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62AA" w14:textId="5879AC72" w:rsidR="00715914" w:rsidRPr="00E841AA" w:rsidRDefault="006B061D" w:rsidP="00850F56">
      <w:pPr>
        <w:spacing w:after="600"/>
        <w:rPr>
          <w:sz w:val="28"/>
        </w:rPr>
      </w:pPr>
      <w:r w:rsidRPr="00E841AA">
        <w:rPr>
          <w:noProof/>
        </w:rPr>
        <w:drawing>
          <wp:inline distT="0" distB="0" distL="0" distR="0" wp14:anchorId="5629BD2D" wp14:editId="1A4B4995">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0F65C032" w14:textId="0BFB12AF" w:rsidR="00243EC0" w:rsidRPr="00E841AA" w:rsidRDefault="00447DB4" w:rsidP="00B16067">
      <w:pPr>
        <w:pStyle w:val="LI-Title"/>
        <w:pBdr>
          <w:bottom w:val="single" w:sz="4" w:space="1" w:color="auto"/>
        </w:pBdr>
      </w:pPr>
      <w:r w:rsidRPr="00E841AA">
        <w:t>A</w:t>
      </w:r>
      <w:r w:rsidR="00327DDF" w:rsidRPr="00E841AA">
        <w:t xml:space="preserve">SIC Corporations </w:t>
      </w:r>
      <w:r w:rsidR="00C11452" w:rsidRPr="00E841AA">
        <w:t>(</w:t>
      </w:r>
      <w:r w:rsidR="008E290E" w:rsidRPr="00E841AA">
        <w:t>Amendment</w:t>
      </w:r>
      <w:r w:rsidR="00FC2FD3" w:rsidRPr="00E841AA">
        <w:t xml:space="preserve">) </w:t>
      </w:r>
      <w:r w:rsidR="00C11452" w:rsidRPr="00E841AA">
        <w:t xml:space="preserve">Instrument </w:t>
      </w:r>
      <w:r w:rsidR="00FC2FD3" w:rsidRPr="00E841AA">
        <w:t>2022</w:t>
      </w:r>
      <w:r w:rsidR="00132B7B" w:rsidRPr="00E841AA">
        <w:t>/</w:t>
      </w:r>
      <w:r w:rsidR="00C2282F" w:rsidRPr="00E841AA">
        <w:t>0940</w:t>
      </w:r>
    </w:p>
    <w:p w14:paraId="4D8AF220" w14:textId="2DF0760D" w:rsidR="00F171A1" w:rsidRPr="00E841AA" w:rsidRDefault="00F171A1" w:rsidP="00005446">
      <w:pPr>
        <w:pStyle w:val="LI-Fronttext"/>
        <w:rPr>
          <w:sz w:val="24"/>
          <w:szCs w:val="24"/>
        </w:rPr>
      </w:pPr>
      <w:r w:rsidRPr="00E841AA">
        <w:rPr>
          <w:sz w:val="24"/>
          <w:szCs w:val="24"/>
        </w:rPr>
        <w:t xml:space="preserve">I, </w:t>
      </w:r>
      <w:r w:rsidR="00C2282F" w:rsidRPr="00E841AA">
        <w:rPr>
          <w:sz w:val="24"/>
          <w:szCs w:val="24"/>
        </w:rPr>
        <w:t>Kate Metz</w:t>
      </w:r>
      <w:r w:rsidR="00C0544A" w:rsidRPr="00E841AA">
        <w:rPr>
          <w:sz w:val="24"/>
          <w:szCs w:val="24"/>
        </w:rPr>
        <w:t>, delegate of the Australian Securities and Investments Commission</w:t>
      </w:r>
      <w:r w:rsidRPr="00E841AA">
        <w:rPr>
          <w:sz w:val="24"/>
          <w:szCs w:val="24"/>
        </w:rPr>
        <w:t xml:space="preserve">, make the following </w:t>
      </w:r>
      <w:r w:rsidR="008C0F29" w:rsidRPr="00E841AA">
        <w:rPr>
          <w:sz w:val="24"/>
          <w:szCs w:val="24"/>
        </w:rPr>
        <w:t>legislative instrument</w:t>
      </w:r>
      <w:r w:rsidRPr="00E841AA">
        <w:rPr>
          <w:sz w:val="24"/>
          <w:szCs w:val="24"/>
        </w:rPr>
        <w:t>.</w:t>
      </w:r>
    </w:p>
    <w:p w14:paraId="66778A68" w14:textId="77777777" w:rsidR="003A2A48" w:rsidRPr="00E841AA" w:rsidRDefault="003A2A48" w:rsidP="00005446">
      <w:pPr>
        <w:pStyle w:val="LI-Fronttext"/>
      </w:pPr>
    </w:p>
    <w:p w14:paraId="13059299" w14:textId="30FF3709" w:rsidR="006554FF" w:rsidRPr="00E841AA" w:rsidRDefault="00F171A1" w:rsidP="00005446">
      <w:pPr>
        <w:pStyle w:val="LI-Fronttext"/>
        <w:rPr>
          <w:sz w:val="24"/>
          <w:szCs w:val="24"/>
        </w:rPr>
      </w:pPr>
      <w:r w:rsidRPr="00E841AA">
        <w:rPr>
          <w:sz w:val="24"/>
          <w:szCs w:val="24"/>
        </w:rPr>
        <w:t>Date</w:t>
      </w:r>
      <w:r w:rsidRPr="00E841AA">
        <w:rPr>
          <w:sz w:val="24"/>
          <w:szCs w:val="24"/>
        </w:rPr>
        <w:tab/>
      </w:r>
      <w:bookmarkStart w:id="0" w:name="BKCheck15B_1"/>
      <w:bookmarkEnd w:id="0"/>
      <w:r w:rsidR="00C2282F" w:rsidRPr="00E841AA">
        <w:rPr>
          <w:sz w:val="24"/>
          <w:szCs w:val="24"/>
        </w:rPr>
        <w:t xml:space="preserve">11 November </w:t>
      </w:r>
      <w:r w:rsidR="00255007" w:rsidRPr="00E841AA">
        <w:rPr>
          <w:sz w:val="24"/>
          <w:szCs w:val="24"/>
        </w:rPr>
        <w:t>20</w:t>
      </w:r>
      <w:r w:rsidR="00053940" w:rsidRPr="00E841AA">
        <w:rPr>
          <w:sz w:val="24"/>
          <w:szCs w:val="24"/>
        </w:rPr>
        <w:t>2</w:t>
      </w:r>
      <w:r w:rsidR="00FC2FD3" w:rsidRPr="00E841AA">
        <w:rPr>
          <w:sz w:val="24"/>
          <w:szCs w:val="24"/>
        </w:rPr>
        <w:t>2</w:t>
      </w:r>
    </w:p>
    <w:p w14:paraId="57D5B0C0" w14:textId="77777777" w:rsidR="00C22264" w:rsidRPr="00E841AA" w:rsidRDefault="00C22264" w:rsidP="00C22264">
      <w:pPr>
        <w:rPr>
          <w:lang w:eastAsia="en-AU"/>
        </w:rPr>
      </w:pPr>
    </w:p>
    <w:p w14:paraId="0862AD81" w14:textId="77777777" w:rsidR="00C2282F" w:rsidRPr="00E841AA" w:rsidRDefault="00C2282F" w:rsidP="00730186">
      <w:pPr>
        <w:pStyle w:val="LI-Fronttext"/>
        <w:pBdr>
          <w:bottom w:val="single" w:sz="4" w:space="1" w:color="auto"/>
        </w:pBdr>
        <w:rPr>
          <w:i/>
          <w:sz w:val="24"/>
          <w:szCs w:val="24"/>
        </w:rPr>
      </w:pPr>
    </w:p>
    <w:p w14:paraId="27021A4E" w14:textId="001CE967" w:rsidR="00F171A1" w:rsidRPr="00BB5C17" w:rsidRDefault="00C2282F" w:rsidP="00730186">
      <w:pPr>
        <w:pStyle w:val="LI-Fronttext"/>
        <w:pBdr>
          <w:bottom w:val="single" w:sz="4" w:space="1" w:color="auto"/>
        </w:pBdr>
        <w:rPr>
          <w:sz w:val="24"/>
          <w:szCs w:val="24"/>
        </w:rPr>
      </w:pPr>
      <w:r w:rsidRPr="00E841AA">
        <w:rPr>
          <w:sz w:val="24"/>
          <w:szCs w:val="24"/>
        </w:rPr>
        <w:t>Kate Metz</w:t>
      </w:r>
      <w:r w:rsidRPr="00C2282F">
        <w:rPr>
          <w:sz w:val="24"/>
          <w:szCs w:val="24"/>
        </w:rPr>
        <w:t xml:space="preserve"> </w:t>
      </w:r>
    </w:p>
    <w:p w14:paraId="16B7EEFE" w14:textId="77777777" w:rsidR="00715914" w:rsidRPr="00F61B09" w:rsidRDefault="00715914" w:rsidP="00715914">
      <w:pPr>
        <w:pStyle w:val="Header"/>
        <w:tabs>
          <w:tab w:val="clear" w:pos="4150"/>
          <w:tab w:val="clear" w:pos="8307"/>
        </w:tabs>
      </w:pPr>
    </w:p>
    <w:p w14:paraId="295832C8" w14:textId="77777777" w:rsidR="00715914" w:rsidRPr="00F61B09" w:rsidRDefault="00715914" w:rsidP="00715914">
      <w:pPr>
        <w:sectPr w:rsidR="00715914" w:rsidRPr="00F61B09" w:rsidSect="008945E0">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titlePg/>
          <w:docGrid w:linePitch="360"/>
        </w:sectPr>
      </w:pPr>
    </w:p>
    <w:p w14:paraId="37A0F873"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52EB4AB9" w14:textId="1A46751E" w:rsidR="00BF0056" w:rsidRDefault="003708CA" w:rsidP="00BF0056">
      <w:pPr>
        <w:pStyle w:val="TOC2"/>
        <w:keepNext w:val="0"/>
        <w:tabs>
          <w:tab w:val="left" w:pos="1474"/>
        </w:tabs>
        <w:rPr>
          <w:rFonts w:asciiTheme="minorHAnsi" w:eastAsiaTheme="minorEastAsia" w:hAnsiTheme="minorHAnsi" w:cstheme="minorBidi"/>
          <w:noProof/>
          <w:kern w:val="0"/>
          <w:sz w:val="22"/>
          <w:szCs w:val="22"/>
        </w:rPr>
      </w:pPr>
      <w:r>
        <w:rPr>
          <w:b/>
          <w:sz w:val="28"/>
        </w:rPr>
        <w:fldChar w:fldCharType="begin"/>
      </w:r>
      <w:r>
        <w:rPr>
          <w:sz w:val="28"/>
        </w:rPr>
        <w:instrText xml:space="preserve"> TOC \h \z \t "LI - Heading 1,1,LI - Heading 2,2" </w:instrText>
      </w:r>
      <w:r>
        <w:rPr>
          <w:b/>
          <w:sz w:val="28"/>
        </w:rPr>
        <w:fldChar w:fldCharType="separate"/>
      </w:r>
      <w:hyperlink w:anchor="_Toc118808549" w:history="1">
        <w:r w:rsidR="00BF0056" w:rsidRPr="00D74AA1">
          <w:rPr>
            <w:rStyle w:val="Hyperlink"/>
            <w:noProof/>
          </w:rPr>
          <w:t>1</w:t>
        </w:r>
        <w:r w:rsidR="00BF0056">
          <w:rPr>
            <w:rFonts w:asciiTheme="minorHAnsi" w:eastAsiaTheme="minorEastAsia" w:hAnsiTheme="minorHAnsi" w:cstheme="minorBidi"/>
            <w:noProof/>
            <w:kern w:val="0"/>
            <w:sz w:val="22"/>
            <w:szCs w:val="22"/>
          </w:rPr>
          <w:tab/>
        </w:r>
        <w:r w:rsidR="00BF0056" w:rsidRPr="00D74AA1">
          <w:rPr>
            <w:rStyle w:val="Hyperlink"/>
            <w:noProof/>
          </w:rPr>
          <w:t>Name of legislative instrument</w:t>
        </w:r>
        <w:r w:rsidR="00BF0056">
          <w:rPr>
            <w:noProof/>
            <w:webHidden/>
          </w:rPr>
          <w:tab/>
        </w:r>
        <w:r w:rsidR="00BF0056">
          <w:rPr>
            <w:noProof/>
            <w:webHidden/>
          </w:rPr>
          <w:fldChar w:fldCharType="begin"/>
        </w:r>
        <w:r w:rsidR="00BF0056">
          <w:rPr>
            <w:noProof/>
            <w:webHidden/>
          </w:rPr>
          <w:instrText xml:space="preserve"> PAGEREF _Toc118808549 \h </w:instrText>
        </w:r>
        <w:r w:rsidR="00BF0056">
          <w:rPr>
            <w:noProof/>
            <w:webHidden/>
          </w:rPr>
        </w:r>
        <w:r w:rsidR="00BF0056">
          <w:rPr>
            <w:noProof/>
            <w:webHidden/>
          </w:rPr>
          <w:fldChar w:fldCharType="separate"/>
        </w:r>
        <w:r w:rsidR="008E7897">
          <w:rPr>
            <w:noProof/>
            <w:webHidden/>
          </w:rPr>
          <w:t>4</w:t>
        </w:r>
        <w:r w:rsidR="00BF0056">
          <w:rPr>
            <w:noProof/>
            <w:webHidden/>
          </w:rPr>
          <w:fldChar w:fldCharType="end"/>
        </w:r>
      </w:hyperlink>
    </w:p>
    <w:p w14:paraId="279E7413" w14:textId="2647C7E8" w:rsidR="00BF0056" w:rsidRDefault="00FE1893" w:rsidP="00BF0056">
      <w:pPr>
        <w:pStyle w:val="TOC2"/>
        <w:keepNext w:val="0"/>
        <w:tabs>
          <w:tab w:val="left" w:pos="1474"/>
        </w:tabs>
        <w:rPr>
          <w:rFonts w:asciiTheme="minorHAnsi" w:eastAsiaTheme="minorEastAsia" w:hAnsiTheme="minorHAnsi" w:cstheme="minorBidi"/>
          <w:noProof/>
          <w:kern w:val="0"/>
          <w:sz w:val="22"/>
          <w:szCs w:val="22"/>
        </w:rPr>
      </w:pPr>
      <w:hyperlink w:anchor="_Toc118808550" w:history="1">
        <w:r w:rsidR="00BF0056" w:rsidRPr="00D74AA1">
          <w:rPr>
            <w:rStyle w:val="Hyperlink"/>
            <w:noProof/>
          </w:rPr>
          <w:t>2</w:t>
        </w:r>
        <w:r w:rsidR="00BF0056">
          <w:rPr>
            <w:rFonts w:asciiTheme="minorHAnsi" w:eastAsiaTheme="minorEastAsia" w:hAnsiTheme="minorHAnsi" w:cstheme="minorBidi"/>
            <w:noProof/>
            <w:kern w:val="0"/>
            <w:sz w:val="22"/>
            <w:szCs w:val="22"/>
          </w:rPr>
          <w:tab/>
        </w:r>
        <w:r w:rsidR="00BF0056" w:rsidRPr="00D74AA1">
          <w:rPr>
            <w:rStyle w:val="Hyperlink"/>
            <w:noProof/>
          </w:rPr>
          <w:t>Commencement</w:t>
        </w:r>
        <w:r w:rsidR="00BF0056">
          <w:rPr>
            <w:noProof/>
            <w:webHidden/>
          </w:rPr>
          <w:tab/>
        </w:r>
        <w:r w:rsidR="00BF0056">
          <w:rPr>
            <w:noProof/>
            <w:webHidden/>
          </w:rPr>
          <w:fldChar w:fldCharType="begin"/>
        </w:r>
        <w:r w:rsidR="00BF0056">
          <w:rPr>
            <w:noProof/>
            <w:webHidden/>
          </w:rPr>
          <w:instrText xml:space="preserve"> PAGEREF _Toc118808550 \h </w:instrText>
        </w:r>
        <w:r w:rsidR="00BF0056">
          <w:rPr>
            <w:noProof/>
            <w:webHidden/>
          </w:rPr>
        </w:r>
        <w:r w:rsidR="00BF0056">
          <w:rPr>
            <w:noProof/>
            <w:webHidden/>
          </w:rPr>
          <w:fldChar w:fldCharType="separate"/>
        </w:r>
        <w:r w:rsidR="008E7897">
          <w:rPr>
            <w:noProof/>
            <w:webHidden/>
          </w:rPr>
          <w:t>4</w:t>
        </w:r>
        <w:r w:rsidR="00BF0056">
          <w:rPr>
            <w:noProof/>
            <w:webHidden/>
          </w:rPr>
          <w:fldChar w:fldCharType="end"/>
        </w:r>
      </w:hyperlink>
    </w:p>
    <w:p w14:paraId="04D7C0B7" w14:textId="7F585D54" w:rsidR="00BF0056" w:rsidRDefault="00FE1893" w:rsidP="00BF0056">
      <w:pPr>
        <w:pStyle w:val="TOC2"/>
        <w:keepNext w:val="0"/>
        <w:tabs>
          <w:tab w:val="left" w:pos="1474"/>
        </w:tabs>
        <w:rPr>
          <w:rFonts w:asciiTheme="minorHAnsi" w:eastAsiaTheme="minorEastAsia" w:hAnsiTheme="minorHAnsi" w:cstheme="minorBidi"/>
          <w:noProof/>
          <w:kern w:val="0"/>
          <w:sz w:val="22"/>
          <w:szCs w:val="22"/>
        </w:rPr>
      </w:pPr>
      <w:hyperlink w:anchor="_Toc118808551" w:history="1">
        <w:r w:rsidR="00BF0056" w:rsidRPr="00D74AA1">
          <w:rPr>
            <w:rStyle w:val="Hyperlink"/>
            <w:noProof/>
          </w:rPr>
          <w:t>3</w:t>
        </w:r>
        <w:r w:rsidR="00BF0056">
          <w:rPr>
            <w:rFonts w:asciiTheme="minorHAnsi" w:eastAsiaTheme="minorEastAsia" w:hAnsiTheme="minorHAnsi" w:cstheme="minorBidi"/>
            <w:noProof/>
            <w:kern w:val="0"/>
            <w:sz w:val="22"/>
            <w:szCs w:val="22"/>
          </w:rPr>
          <w:tab/>
        </w:r>
        <w:r w:rsidR="00BF0056" w:rsidRPr="00D74AA1">
          <w:rPr>
            <w:rStyle w:val="Hyperlink"/>
            <w:noProof/>
          </w:rPr>
          <w:t>Authority</w:t>
        </w:r>
        <w:r w:rsidR="00BF0056">
          <w:rPr>
            <w:noProof/>
            <w:webHidden/>
          </w:rPr>
          <w:tab/>
        </w:r>
        <w:r w:rsidR="00BF0056">
          <w:rPr>
            <w:noProof/>
            <w:webHidden/>
          </w:rPr>
          <w:fldChar w:fldCharType="begin"/>
        </w:r>
        <w:r w:rsidR="00BF0056">
          <w:rPr>
            <w:noProof/>
            <w:webHidden/>
          </w:rPr>
          <w:instrText xml:space="preserve"> PAGEREF _Toc118808551 \h </w:instrText>
        </w:r>
        <w:r w:rsidR="00BF0056">
          <w:rPr>
            <w:noProof/>
            <w:webHidden/>
          </w:rPr>
        </w:r>
        <w:r w:rsidR="00BF0056">
          <w:rPr>
            <w:noProof/>
            <w:webHidden/>
          </w:rPr>
          <w:fldChar w:fldCharType="separate"/>
        </w:r>
        <w:r w:rsidR="008E7897">
          <w:rPr>
            <w:noProof/>
            <w:webHidden/>
          </w:rPr>
          <w:t>4</w:t>
        </w:r>
        <w:r w:rsidR="00BF0056">
          <w:rPr>
            <w:noProof/>
            <w:webHidden/>
          </w:rPr>
          <w:fldChar w:fldCharType="end"/>
        </w:r>
      </w:hyperlink>
    </w:p>
    <w:p w14:paraId="6408EEB7" w14:textId="40D473FE" w:rsidR="00BF0056" w:rsidRDefault="00FE1893" w:rsidP="00BF0056">
      <w:pPr>
        <w:pStyle w:val="TOC2"/>
        <w:keepNext w:val="0"/>
        <w:tabs>
          <w:tab w:val="left" w:pos="1474"/>
        </w:tabs>
        <w:rPr>
          <w:rFonts w:asciiTheme="minorHAnsi" w:eastAsiaTheme="minorEastAsia" w:hAnsiTheme="minorHAnsi" w:cstheme="minorBidi"/>
          <w:noProof/>
          <w:kern w:val="0"/>
          <w:sz w:val="22"/>
          <w:szCs w:val="22"/>
        </w:rPr>
      </w:pPr>
      <w:hyperlink w:anchor="_Toc118808552" w:history="1">
        <w:r w:rsidR="00BF0056" w:rsidRPr="00D74AA1">
          <w:rPr>
            <w:rStyle w:val="Hyperlink"/>
            <w:noProof/>
          </w:rPr>
          <w:t>4</w:t>
        </w:r>
        <w:r w:rsidR="00BF0056">
          <w:rPr>
            <w:rFonts w:asciiTheme="minorHAnsi" w:eastAsiaTheme="minorEastAsia" w:hAnsiTheme="minorHAnsi" w:cstheme="minorBidi"/>
            <w:noProof/>
            <w:kern w:val="0"/>
            <w:sz w:val="22"/>
            <w:szCs w:val="22"/>
          </w:rPr>
          <w:tab/>
        </w:r>
        <w:r w:rsidR="00BF0056" w:rsidRPr="00D74AA1">
          <w:rPr>
            <w:rStyle w:val="Hyperlink"/>
            <w:noProof/>
          </w:rPr>
          <w:t>Schedules</w:t>
        </w:r>
        <w:r w:rsidR="00BF0056">
          <w:rPr>
            <w:noProof/>
            <w:webHidden/>
          </w:rPr>
          <w:tab/>
        </w:r>
        <w:r w:rsidR="00BF0056">
          <w:rPr>
            <w:noProof/>
            <w:webHidden/>
          </w:rPr>
          <w:fldChar w:fldCharType="begin"/>
        </w:r>
        <w:r w:rsidR="00BF0056">
          <w:rPr>
            <w:noProof/>
            <w:webHidden/>
          </w:rPr>
          <w:instrText xml:space="preserve"> PAGEREF _Toc118808552 \h </w:instrText>
        </w:r>
        <w:r w:rsidR="00BF0056">
          <w:rPr>
            <w:noProof/>
            <w:webHidden/>
          </w:rPr>
        </w:r>
        <w:r w:rsidR="00BF0056">
          <w:rPr>
            <w:noProof/>
            <w:webHidden/>
          </w:rPr>
          <w:fldChar w:fldCharType="separate"/>
        </w:r>
        <w:r w:rsidR="008E7897">
          <w:rPr>
            <w:noProof/>
            <w:webHidden/>
          </w:rPr>
          <w:t>4</w:t>
        </w:r>
        <w:r w:rsidR="00BF0056">
          <w:rPr>
            <w:noProof/>
            <w:webHidden/>
          </w:rPr>
          <w:fldChar w:fldCharType="end"/>
        </w:r>
      </w:hyperlink>
    </w:p>
    <w:p w14:paraId="45BAD233" w14:textId="0AE9AE54"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53" w:history="1">
        <w:r w:rsidR="00BF0056" w:rsidRPr="00D74AA1">
          <w:rPr>
            <w:rStyle w:val="Hyperlink"/>
            <w:noProof/>
          </w:rPr>
          <w:t>Schedule 1—Amendments</w:t>
        </w:r>
        <w:r w:rsidR="00BF0056">
          <w:rPr>
            <w:noProof/>
            <w:webHidden/>
          </w:rPr>
          <w:tab/>
        </w:r>
        <w:r w:rsidR="00BF0056">
          <w:rPr>
            <w:noProof/>
            <w:webHidden/>
          </w:rPr>
          <w:fldChar w:fldCharType="begin"/>
        </w:r>
        <w:r w:rsidR="00BF0056">
          <w:rPr>
            <w:noProof/>
            <w:webHidden/>
          </w:rPr>
          <w:instrText xml:space="preserve"> PAGEREF _Toc118808553 \h </w:instrText>
        </w:r>
        <w:r w:rsidR="00BF0056">
          <w:rPr>
            <w:noProof/>
            <w:webHidden/>
          </w:rPr>
        </w:r>
        <w:r w:rsidR="00BF0056">
          <w:rPr>
            <w:noProof/>
            <w:webHidden/>
          </w:rPr>
          <w:fldChar w:fldCharType="separate"/>
        </w:r>
        <w:r w:rsidR="008E7897">
          <w:rPr>
            <w:noProof/>
            <w:webHidden/>
          </w:rPr>
          <w:t>5</w:t>
        </w:r>
        <w:r w:rsidR="00BF0056">
          <w:rPr>
            <w:noProof/>
            <w:webHidden/>
          </w:rPr>
          <w:fldChar w:fldCharType="end"/>
        </w:r>
      </w:hyperlink>
    </w:p>
    <w:p w14:paraId="2B1EC1B3" w14:textId="43362F9C"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54" w:history="1">
        <w:r w:rsidR="00BF0056" w:rsidRPr="00D74AA1">
          <w:rPr>
            <w:rStyle w:val="Hyperlink"/>
            <w:noProof/>
          </w:rPr>
          <w:t>Part 1</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_Toc118808554 \h </w:instrText>
        </w:r>
        <w:r w:rsidR="00BF0056">
          <w:rPr>
            <w:noProof/>
            <w:webHidden/>
          </w:rPr>
        </w:r>
        <w:r w:rsidR="00BF0056">
          <w:rPr>
            <w:noProof/>
            <w:webHidden/>
          </w:rPr>
          <w:fldChar w:fldCharType="separate"/>
        </w:r>
        <w:r w:rsidR="008E7897">
          <w:rPr>
            <w:noProof/>
            <w:webHidden/>
          </w:rPr>
          <w:t>5</w:t>
        </w:r>
        <w:r w:rsidR="00BF0056">
          <w:rPr>
            <w:noProof/>
            <w:webHidden/>
          </w:rPr>
          <w:fldChar w:fldCharType="end"/>
        </w:r>
      </w:hyperlink>
    </w:p>
    <w:p w14:paraId="55F9BB54" w14:textId="7174AA3D" w:rsidR="00BF0056" w:rsidRDefault="00FE1893" w:rsidP="00BF0056">
      <w:pPr>
        <w:pStyle w:val="TOC2"/>
        <w:keepNext w:val="0"/>
        <w:rPr>
          <w:rFonts w:asciiTheme="minorHAnsi" w:eastAsiaTheme="minorEastAsia" w:hAnsiTheme="minorHAnsi" w:cstheme="minorBidi"/>
          <w:noProof/>
          <w:kern w:val="0"/>
          <w:sz w:val="22"/>
          <w:szCs w:val="22"/>
        </w:rPr>
      </w:pPr>
      <w:hyperlink w:anchor="_Toc118808555" w:history="1">
        <w:r w:rsidR="00BF0056" w:rsidRPr="00D74AA1">
          <w:rPr>
            <w:rStyle w:val="Hyperlink"/>
            <w:i/>
            <w:noProof/>
          </w:rPr>
          <w:t>ASIC Corporations (Application Form Requirements) Instrument 2017/241</w:t>
        </w:r>
        <w:r w:rsidR="00BF0056">
          <w:rPr>
            <w:noProof/>
            <w:webHidden/>
          </w:rPr>
          <w:tab/>
        </w:r>
        <w:r w:rsidR="00BF0056">
          <w:rPr>
            <w:noProof/>
            <w:webHidden/>
          </w:rPr>
          <w:fldChar w:fldCharType="begin"/>
        </w:r>
        <w:r w:rsidR="00BF0056">
          <w:rPr>
            <w:noProof/>
            <w:webHidden/>
          </w:rPr>
          <w:instrText xml:space="preserve"> PAGEREF _Toc118808555 \h </w:instrText>
        </w:r>
        <w:r w:rsidR="00BF0056">
          <w:rPr>
            <w:noProof/>
            <w:webHidden/>
          </w:rPr>
        </w:r>
        <w:r w:rsidR="00BF0056">
          <w:rPr>
            <w:noProof/>
            <w:webHidden/>
          </w:rPr>
          <w:fldChar w:fldCharType="separate"/>
        </w:r>
        <w:r w:rsidR="008E7897">
          <w:rPr>
            <w:noProof/>
            <w:webHidden/>
          </w:rPr>
          <w:t>5</w:t>
        </w:r>
        <w:r w:rsidR="00BF0056">
          <w:rPr>
            <w:noProof/>
            <w:webHidden/>
          </w:rPr>
          <w:fldChar w:fldCharType="end"/>
        </w:r>
      </w:hyperlink>
    </w:p>
    <w:p w14:paraId="68947468" w14:textId="6E145447"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56" w:history="1">
        <w:r w:rsidR="00BF0056" w:rsidRPr="00D74AA1">
          <w:rPr>
            <w:rStyle w:val="Hyperlink"/>
            <w:noProof/>
          </w:rPr>
          <w:t>Part 2</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_Toc118808556 \h </w:instrText>
        </w:r>
        <w:r w:rsidR="00BF0056">
          <w:rPr>
            <w:noProof/>
            <w:webHidden/>
          </w:rPr>
        </w:r>
        <w:r w:rsidR="00BF0056">
          <w:rPr>
            <w:noProof/>
            <w:webHidden/>
          </w:rPr>
          <w:fldChar w:fldCharType="separate"/>
        </w:r>
        <w:r w:rsidR="008E7897">
          <w:rPr>
            <w:noProof/>
            <w:webHidden/>
          </w:rPr>
          <w:t>8</w:t>
        </w:r>
        <w:r w:rsidR="00BF0056">
          <w:rPr>
            <w:noProof/>
            <w:webHidden/>
          </w:rPr>
          <w:fldChar w:fldCharType="end"/>
        </w:r>
      </w:hyperlink>
    </w:p>
    <w:p w14:paraId="2242B364" w14:textId="2FF23794" w:rsidR="00BF0056" w:rsidRDefault="00FE1893" w:rsidP="00BF0056">
      <w:pPr>
        <w:pStyle w:val="TOC2"/>
        <w:keepNext w:val="0"/>
        <w:rPr>
          <w:rFonts w:asciiTheme="minorHAnsi" w:eastAsiaTheme="minorEastAsia" w:hAnsiTheme="minorHAnsi" w:cstheme="minorBidi"/>
          <w:noProof/>
          <w:kern w:val="0"/>
          <w:sz w:val="22"/>
          <w:szCs w:val="22"/>
        </w:rPr>
      </w:pPr>
      <w:hyperlink w:anchor="_Toc118808557" w:history="1">
        <w:r w:rsidR="00BF0056" w:rsidRPr="00D74AA1">
          <w:rPr>
            <w:rStyle w:val="Hyperlink"/>
            <w:i/>
            <w:noProof/>
          </w:rPr>
          <w:t>ASIC Corporations (Changing Scheme Constitutions) Instrument 2019/700</w:t>
        </w:r>
        <w:r w:rsidR="00BF0056">
          <w:rPr>
            <w:noProof/>
            <w:webHidden/>
          </w:rPr>
          <w:tab/>
        </w:r>
        <w:r w:rsidR="00BF0056">
          <w:rPr>
            <w:noProof/>
            <w:webHidden/>
          </w:rPr>
          <w:fldChar w:fldCharType="begin"/>
        </w:r>
        <w:r w:rsidR="00BF0056">
          <w:rPr>
            <w:noProof/>
            <w:webHidden/>
          </w:rPr>
          <w:instrText xml:space="preserve"> PAGEREF _Toc118808557 \h </w:instrText>
        </w:r>
        <w:r w:rsidR="00BF0056">
          <w:rPr>
            <w:noProof/>
            <w:webHidden/>
          </w:rPr>
        </w:r>
        <w:r w:rsidR="00BF0056">
          <w:rPr>
            <w:noProof/>
            <w:webHidden/>
          </w:rPr>
          <w:fldChar w:fldCharType="separate"/>
        </w:r>
        <w:r w:rsidR="008E7897">
          <w:rPr>
            <w:noProof/>
            <w:webHidden/>
          </w:rPr>
          <w:t>8</w:t>
        </w:r>
        <w:r w:rsidR="00BF0056">
          <w:rPr>
            <w:noProof/>
            <w:webHidden/>
          </w:rPr>
          <w:fldChar w:fldCharType="end"/>
        </w:r>
      </w:hyperlink>
    </w:p>
    <w:p w14:paraId="73E8D599" w14:textId="77255DAA"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58" w:history="1">
        <w:r w:rsidR="00BF0056" w:rsidRPr="00D74AA1">
          <w:rPr>
            <w:rStyle w:val="Hyperlink"/>
            <w:noProof/>
          </w:rPr>
          <w:t>Part 3</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_Toc118808558 \h </w:instrText>
        </w:r>
        <w:r w:rsidR="00BF0056">
          <w:rPr>
            <w:noProof/>
            <w:webHidden/>
          </w:rPr>
        </w:r>
        <w:r w:rsidR="00BF0056">
          <w:rPr>
            <w:noProof/>
            <w:webHidden/>
          </w:rPr>
          <w:fldChar w:fldCharType="separate"/>
        </w:r>
        <w:r w:rsidR="008E7897">
          <w:rPr>
            <w:noProof/>
            <w:webHidden/>
          </w:rPr>
          <w:t>11</w:t>
        </w:r>
        <w:r w:rsidR="00BF0056">
          <w:rPr>
            <w:noProof/>
            <w:webHidden/>
          </w:rPr>
          <w:fldChar w:fldCharType="end"/>
        </w:r>
      </w:hyperlink>
    </w:p>
    <w:p w14:paraId="4657395B" w14:textId="10A90F45" w:rsidR="00BF0056" w:rsidRDefault="00FE1893" w:rsidP="00BF0056">
      <w:pPr>
        <w:pStyle w:val="TOC2"/>
        <w:keepNext w:val="0"/>
        <w:rPr>
          <w:rFonts w:asciiTheme="minorHAnsi" w:eastAsiaTheme="minorEastAsia" w:hAnsiTheme="minorHAnsi" w:cstheme="minorBidi"/>
          <w:noProof/>
          <w:kern w:val="0"/>
          <w:sz w:val="22"/>
          <w:szCs w:val="22"/>
        </w:rPr>
      </w:pPr>
      <w:hyperlink w:anchor="_Toc118808559" w:history="1">
        <w:r w:rsidR="00BF0056" w:rsidRPr="00D74AA1">
          <w:rPr>
            <w:rStyle w:val="Hyperlink"/>
            <w:i/>
            <w:noProof/>
          </w:rPr>
          <w:t>ASIC Corporations (Chapter 5C—Miscellaneous Provisions) Instrument 2017/125</w:t>
        </w:r>
        <w:r w:rsidR="00BF0056">
          <w:rPr>
            <w:noProof/>
            <w:webHidden/>
          </w:rPr>
          <w:tab/>
        </w:r>
        <w:r w:rsidR="00BF0056">
          <w:rPr>
            <w:noProof/>
            <w:webHidden/>
          </w:rPr>
          <w:fldChar w:fldCharType="begin"/>
        </w:r>
        <w:r w:rsidR="00BF0056">
          <w:rPr>
            <w:noProof/>
            <w:webHidden/>
          </w:rPr>
          <w:instrText xml:space="preserve"> PAGEREF _Toc118808559 \h </w:instrText>
        </w:r>
        <w:r w:rsidR="00BF0056">
          <w:rPr>
            <w:noProof/>
            <w:webHidden/>
          </w:rPr>
        </w:r>
        <w:r w:rsidR="00BF0056">
          <w:rPr>
            <w:noProof/>
            <w:webHidden/>
          </w:rPr>
          <w:fldChar w:fldCharType="separate"/>
        </w:r>
        <w:r w:rsidR="008E7897">
          <w:rPr>
            <w:noProof/>
            <w:webHidden/>
          </w:rPr>
          <w:t>11</w:t>
        </w:r>
        <w:r w:rsidR="00BF0056">
          <w:rPr>
            <w:noProof/>
            <w:webHidden/>
          </w:rPr>
          <w:fldChar w:fldCharType="end"/>
        </w:r>
      </w:hyperlink>
    </w:p>
    <w:p w14:paraId="1B402BC2" w14:textId="0273A7EF"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60" w:history="1">
        <w:r w:rsidR="00BF0056" w:rsidRPr="00D74AA1">
          <w:rPr>
            <w:rStyle w:val="Hyperlink"/>
            <w:noProof/>
          </w:rPr>
          <w:t>Part 4</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_Toc118808560 \h </w:instrText>
        </w:r>
        <w:r w:rsidR="00BF0056">
          <w:rPr>
            <w:noProof/>
            <w:webHidden/>
          </w:rPr>
        </w:r>
        <w:r w:rsidR="00BF0056">
          <w:rPr>
            <w:noProof/>
            <w:webHidden/>
          </w:rPr>
          <w:fldChar w:fldCharType="separate"/>
        </w:r>
        <w:r w:rsidR="008E7897">
          <w:rPr>
            <w:noProof/>
            <w:webHidden/>
          </w:rPr>
          <w:t>14</w:t>
        </w:r>
        <w:r w:rsidR="00BF0056">
          <w:rPr>
            <w:noProof/>
            <w:webHidden/>
          </w:rPr>
          <w:fldChar w:fldCharType="end"/>
        </w:r>
      </w:hyperlink>
    </w:p>
    <w:p w14:paraId="07DB60D6" w14:textId="4710DCE4" w:rsidR="00BF0056" w:rsidRDefault="00FE1893" w:rsidP="00BF0056">
      <w:pPr>
        <w:pStyle w:val="TOC2"/>
        <w:keepNext w:val="0"/>
        <w:rPr>
          <w:rFonts w:asciiTheme="minorHAnsi" w:eastAsiaTheme="minorEastAsia" w:hAnsiTheme="minorHAnsi" w:cstheme="minorBidi"/>
          <w:noProof/>
          <w:kern w:val="0"/>
          <w:sz w:val="22"/>
          <w:szCs w:val="22"/>
        </w:rPr>
      </w:pPr>
      <w:hyperlink w:anchor="_Toc118808561" w:history="1">
        <w:r w:rsidR="00BF0056" w:rsidRPr="00D74AA1">
          <w:rPr>
            <w:rStyle w:val="Hyperlink"/>
            <w:i/>
            <w:noProof/>
          </w:rPr>
          <w:t>ASIC Corporations (Exposure Period) Instrument 2016/74</w:t>
        </w:r>
        <w:r w:rsidR="00BF0056">
          <w:rPr>
            <w:noProof/>
            <w:webHidden/>
          </w:rPr>
          <w:tab/>
        </w:r>
        <w:r w:rsidR="00BF0056">
          <w:rPr>
            <w:noProof/>
            <w:webHidden/>
          </w:rPr>
          <w:fldChar w:fldCharType="begin"/>
        </w:r>
        <w:r w:rsidR="00BF0056">
          <w:rPr>
            <w:noProof/>
            <w:webHidden/>
          </w:rPr>
          <w:instrText xml:space="preserve"> PAGEREF _Toc118808561 \h </w:instrText>
        </w:r>
        <w:r w:rsidR="00BF0056">
          <w:rPr>
            <w:noProof/>
            <w:webHidden/>
          </w:rPr>
        </w:r>
        <w:r w:rsidR="00BF0056">
          <w:rPr>
            <w:noProof/>
            <w:webHidden/>
          </w:rPr>
          <w:fldChar w:fldCharType="separate"/>
        </w:r>
        <w:r w:rsidR="008E7897">
          <w:rPr>
            <w:noProof/>
            <w:webHidden/>
          </w:rPr>
          <w:t>14</w:t>
        </w:r>
        <w:r w:rsidR="00BF0056">
          <w:rPr>
            <w:noProof/>
            <w:webHidden/>
          </w:rPr>
          <w:fldChar w:fldCharType="end"/>
        </w:r>
      </w:hyperlink>
    </w:p>
    <w:p w14:paraId="061E9D6E" w14:textId="652B5747"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62" w:history="1">
        <w:r w:rsidR="00BF0056" w:rsidRPr="00D74AA1">
          <w:rPr>
            <w:rStyle w:val="Hyperlink"/>
            <w:noProof/>
          </w:rPr>
          <w:t>Part 5</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_Toc118808562 \h </w:instrText>
        </w:r>
        <w:r w:rsidR="00BF0056">
          <w:rPr>
            <w:noProof/>
            <w:webHidden/>
          </w:rPr>
        </w:r>
        <w:r w:rsidR="00BF0056">
          <w:rPr>
            <w:noProof/>
            <w:webHidden/>
          </w:rPr>
          <w:fldChar w:fldCharType="separate"/>
        </w:r>
        <w:r w:rsidR="008E7897">
          <w:rPr>
            <w:noProof/>
            <w:webHidden/>
          </w:rPr>
          <w:t>15</w:t>
        </w:r>
        <w:r w:rsidR="00BF0056">
          <w:rPr>
            <w:noProof/>
            <w:webHidden/>
          </w:rPr>
          <w:fldChar w:fldCharType="end"/>
        </w:r>
      </w:hyperlink>
    </w:p>
    <w:p w14:paraId="5F8A3477" w14:textId="4FD6C9AE" w:rsidR="00BF0056" w:rsidRDefault="00FE1893" w:rsidP="00BF0056">
      <w:pPr>
        <w:pStyle w:val="TOC2"/>
        <w:keepNext w:val="0"/>
        <w:rPr>
          <w:rFonts w:asciiTheme="minorHAnsi" w:eastAsiaTheme="minorEastAsia" w:hAnsiTheme="minorHAnsi" w:cstheme="minorBidi"/>
          <w:noProof/>
          <w:kern w:val="0"/>
          <w:sz w:val="22"/>
          <w:szCs w:val="22"/>
        </w:rPr>
      </w:pPr>
      <w:hyperlink w:anchor="_Toc118808563" w:history="1">
        <w:r w:rsidR="00BF0056" w:rsidRPr="00D74AA1">
          <w:rPr>
            <w:rStyle w:val="Hyperlink"/>
            <w:i/>
            <w:noProof/>
          </w:rPr>
          <w:t>ASIC Corporations (Externally-Administered Bodies) Instrument 2015/251</w:t>
        </w:r>
        <w:r w:rsidR="00BF0056">
          <w:rPr>
            <w:noProof/>
            <w:webHidden/>
          </w:rPr>
          <w:tab/>
        </w:r>
        <w:r w:rsidR="00BF0056">
          <w:rPr>
            <w:noProof/>
            <w:webHidden/>
          </w:rPr>
          <w:fldChar w:fldCharType="begin"/>
        </w:r>
        <w:r w:rsidR="00BF0056">
          <w:rPr>
            <w:noProof/>
            <w:webHidden/>
          </w:rPr>
          <w:instrText xml:space="preserve"> PAGEREF _Toc118808563 \h </w:instrText>
        </w:r>
        <w:r w:rsidR="00BF0056">
          <w:rPr>
            <w:noProof/>
            <w:webHidden/>
          </w:rPr>
        </w:r>
        <w:r w:rsidR="00BF0056">
          <w:rPr>
            <w:noProof/>
            <w:webHidden/>
          </w:rPr>
          <w:fldChar w:fldCharType="separate"/>
        </w:r>
        <w:r w:rsidR="008E7897">
          <w:rPr>
            <w:noProof/>
            <w:webHidden/>
          </w:rPr>
          <w:t>15</w:t>
        </w:r>
        <w:r w:rsidR="00BF0056">
          <w:rPr>
            <w:noProof/>
            <w:webHidden/>
          </w:rPr>
          <w:fldChar w:fldCharType="end"/>
        </w:r>
      </w:hyperlink>
    </w:p>
    <w:p w14:paraId="540B9936" w14:textId="61588F3E"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64" w:history="1">
        <w:r w:rsidR="00BF0056" w:rsidRPr="00D74AA1">
          <w:rPr>
            <w:rStyle w:val="Hyperlink"/>
            <w:noProof/>
          </w:rPr>
          <w:t>Part 6</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_Toc118808564 \h </w:instrText>
        </w:r>
        <w:r w:rsidR="00BF0056">
          <w:rPr>
            <w:noProof/>
            <w:webHidden/>
          </w:rPr>
        </w:r>
        <w:r w:rsidR="00BF0056">
          <w:rPr>
            <w:noProof/>
            <w:webHidden/>
          </w:rPr>
          <w:fldChar w:fldCharType="separate"/>
        </w:r>
        <w:r w:rsidR="008E7897">
          <w:rPr>
            <w:noProof/>
            <w:webHidden/>
          </w:rPr>
          <w:t>17</w:t>
        </w:r>
        <w:r w:rsidR="00BF0056">
          <w:rPr>
            <w:noProof/>
            <w:webHidden/>
          </w:rPr>
          <w:fldChar w:fldCharType="end"/>
        </w:r>
      </w:hyperlink>
    </w:p>
    <w:p w14:paraId="5C01A09B" w14:textId="334D4366" w:rsidR="00BF0056" w:rsidRDefault="00FE1893" w:rsidP="00BF0056">
      <w:pPr>
        <w:pStyle w:val="TOC2"/>
        <w:keepNext w:val="0"/>
        <w:rPr>
          <w:rFonts w:asciiTheme="minorHAnsi" w:eastAsiaTheme="minorEastAsia" w:hAnsiTheme="minorHAnsi" w:cstheme="minorBidi"/>
          <w:noProof/>
          <w:kern w:val="0"/>
          <w:sz w:val="22"/>
          <w:szCs w:val="22"/>
        </w:rPr>
      </w:pPr>
      <w:hyperlink w:anchor="_Toc118808565" w:history="1">
        <w:r w:rsidR="00BF0056" w:rsidRPr="00D74AA1">
          <w:rPr>
            <w:rStyle w:val="Hyperlink"/>
            <w:i/>
            <w:noProof/>
          </w:rPr>
          <w:t>ASIC Corporations (Foreign Scrip Bids) Instrument 2015/357</w:t>
        </w:r>
        <w:r w:rsidR="00BF0056">
          <w:rPr>
            <w:noProof/>
            <w:webHidden/>
          </w:rPr>
          <w:tab/>
        </w:r>
        <w:r w:rsidR="00BF0056">
          <w:rPr>
            <w:noProof/>
            <w:webHidden/>
          </w:rPr>
          <w:fldChar w:fldCharType="begin"/>
        </w:r>
        <w:r w:rsidR="00BF0056">
          <w:rPr>
            <w:noProof/>
            <w:webHidden/>
          </w:rPr>
          <w:instrText xml:space="preserve"> PAGEREF _Toc118808565 \h </w:instrText>
        </w:r>
        <w:r w:rsidR="00BF0056">
          <w:rPr>
            <w:noProof/>
            <w:webHidden/>
          </w:rPr>
        </w:r>
        <w:r w:rsidR="00BF0056">
          <w:rPr>
            <w:noProof/>
            <w:webHidden/>
          </w:rPr>
          <w:fldChar w:fldCharType="separate"/>
        </w:r>
        <w:r w:rsidR="008E7897">
          <w:rPr>
            <w:noProof/>
            <w:webHidden/>
          </w:rPr>
          <w:t>17</w:t>
        </w:r>
        <w:r w:rsidR="00BF0056">
          <w:rPr>
            <w:noProof/>
            <w:webHidden/>
          </w:rPr>
          <w:fldChar w:fldCharType="end"/>
        </w:r>
      </w:hyperlink>
    </w:p>
    <w:p w14:paraId="457B3B0A" w14:textId="6EF4F91E"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66" w:history="1">
        <w:r w:rsidR="00BF0056" w:rsidRPr="00D74AA1">
          <w:rPr>
            <w:rStyle w:val="Hyperlink"/>
            <w:noProof/>
          </w:rPr>
          <w:t>Part 7</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_Toc118808566 \h </w:instrText>
        </w:r>
        <w:r w:rsidR="00BF0056">
          <w:rPr>
            <w:noProof/>
            <w:webHidden/>
          </w:rPr>
        </w:r>
        <w:r w:rsidR="00BF0056">
          <w:rPr>
            <w:noProof/>
            <w:webHidden/>
          </w:rPr>
          <w:fldChar w:fldCharType="separate"/>
        </w:r>
        <w:r w:rsidR="008E7897">
          <w:rPr>
            <w:noProof/>
            <w:webHidden/>
          </w:rPr>
          <w:t>18</w:t>
        </w:r>
        <w:r w:rsidR="00BF0056">
          <w:rPr>
            <w:noProof/>
            <w:webHidden/>
          </w:rPr>
          <w:fldChar w:fldCharType="end"/>
        </w:r>
      </w:hyperlink>
    </w:p>
    <w:p w14:paraId="2394DB95" w14:textId="0E86CE29" w:rsidR="00BF0056" w:rsidRDefault="00FE1893" w:rsidP="00BF0056">
      <w:pPr>
        <w:pStyle w:val="TOC2"/>
        <w:keepNext w:val="0"/>
        <w:rPr>
          <w:rFonts w:asciiTheme="minorHAnsi" w:eastAsiaTheme="minorEastAsia" w:hAnsiTheme="minorHAnsi" w:cstheme="minorBidi"/>
          <w:noProof/>
          <w:kern w:val="0"/>
          <w:sz w:val="22"/>
          <w:szCs w:val="22"/>
        </w:rPr>
      </w:pPr>
      <w:hyperlink w:anchor="_Toc118808567" w:history="1">
        <w:r w:rsidR="00BF0056" w:rsidRPr="00D74AA1">
          <w:rPr>
            <w:rStyle w:val="Hyperlink"/>
            <w:i/>
            <w:noProof/>
          </w:rPr>
          <w:t>ASIC Corporations (Registered Schemes—Differential Fees) Instrument 2017/40</w:t>
        </w:r>
        <w:r w:rsidR="00BF0056">
          <w:rPr>
            <w:noProof/>
            <w:webHidden/>
          </w:rPr>
          <w:tab/>
        </w:r>
        <w:r w:rsidR="00BF0056">
          <w:rPr>
            <w:noProof/>
            <w:webHidden/>
          </w:rPr>
          <w:fldChar w:fldCharType="begin"/>
        </w:r>
        <w:r w:rsidR="00BF0056">
          <w:rPr>
            <w:noProof/>
            <w:webHidden/>
          </w:rPr>
          <w:instrText xml:space="preserve"> PAGEREF _Toc118808567 \h </w:instrText>
        </w:r>
        <w:r w:rsidR="00BF0056">
          <w:rPr>
            <w:noProof/>
            <w:webHidden/>
          </w:rPr>
        </w:r>
        <w:r w:rsidR="00BF0056">
          <w:rPr>
            <w:noProof/>
            <w:webHidden/>
          </w:rPr>
          <w:fldChar w:fldCharType="separate"/>
        </w:r>
        <w:r w:rsidR="008E7897">
          <w:rPr>
            <w:noProof/>
            <w:webHidden/>
          </w:rPr>
          <w:t>18</w:t>
        </w:r>
        <w:r w:rsidR="00BF0056">
          <w:rPr>
            <w:noProof/>
            <w:webHidden/>
          </w:rPr>
          <w:fldChar w:fldCharType="end"/>
        </w:r>
      </w:hyperlink>
    </w:p>
    <w:p w14:paraId="20B89AA7" w14:textId="6DDE266E"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68" w:history="1">
        <w:r w:rsidR="00BF0056" w:rsidRPr="00D74AA1">
          <w:rPr>
            <w:rStyle w:val="Hyperlink"/>
            <w:noProof/>
          </w:rPr>
          <w:t>Part 8</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_Toc118808568 \h </w:instrText>
        </w:r>
        <w:r w:rsidR="00BF0056">
          <w:rPr>
            <w:noProof/>
            <w:webHidden/>
          </w:rPr>
        </w:r>
        <w:r w:rsidR="00BF0056">
          <w:rPr>
            <w:noProof/>
            <w:webHidden/>
          </w:rPr>
          <w:fldChar w:fldCharType="separate"/>
        </w:r>
        <w:r w:rsidR="008E7897">
          <w:rPr>
            <w:noProof/>
            <w:webHidden/>
          </w:rPr>
          <w:t>22</w:t>
        </w:r>
        <w:r w:rsidR="00BF0056">
          <w:rPr>
            <w:noProof/>
            <w:webHidden/>
          </w:rPr>
          <w:fldChar w:fldCharType="end"/>
        </w:r>
      </w:hyperlink>
    </w:p>
    <w:p w14:paraId="6511C2FF" w14:textId="55A53274" w:rsidR="00BF0056" w:rsidRDefault="00FE1893" w:rsidP="00BF0056">
      <w:pPr>
        <w:pStyle w:val="TOC2"/>
        <w:keepNext w:val="0"/>
        <w:rPr>
          <w:rFonts w:asciiTheme="minorHAnsi" w:eastAsiaTheme="minorEastAsia" w:hAnsiTheme="minorHAnsi" w:cstheme="minorBidi"/>
          <w:noProof/>
          <w:kern w:val="0"/>
          <w:sz w:val="22"/>
          <w:szCs w:val="22"/>
        </w:rPr>
      </w:pPr>
      <w:hyperlink w:anchor="_Toc118808569" w:history="1">
        <w:r w:rsidR="00BF0056" w:rsidRPr="00D74AA1">
          <w:rPr>
            <w:rStyle w:val="Hyperlink"/>
            <w:i/>
            <w:noProof/>
          </w:rPr>
          <w:t>ASIC Corporations (Removing Barriers to Electronic Disclosure) Instrument 2015/649</w:t>
        </w:r>
        <w:r w:rsidR="00BF0056">
          <w:rPr>
            <w:noProof/>
            <w:webHidden/>
          </w:rPr>
          <w:tab/>
        </w:r>
        <w:r w:rsidR="00BF0056">
          <w:rPr>
            <w:noProof/>
            <w:webHidden/>
          </w:rPr>
          <w:fldChar w:fldCharType="begin"/>
        </w:r>
        <w:r w:rsidR="00BF0056">
          <w:rPr>
            <w:noProof/>
            <w:webHidden/>
          </w:rPr>
          <w:instrText xml:space="preserve"> PAGEREF _Toc118808569 \h </w:instrText>
        </w:r>
        <w:r w:rsidR="00BF0056">
          <w:rPr>
            <w:noProof/>
            <w:webHidden/>
          </w:rPr>
        </w:r>
        <w:r w:rsidR="00BF0056">
          <w:rPr>
            <w:noProof/>
            <w:webHidden/>
          </w:rPr>
          <w:fldChar w:fldCharType="separate"/>
        </w:r>
        <w:r w:rsidR="008E7897">
          <w:rPr>
            <w:noProof/>
            <w:webHidden/>
          </w:rPr>
          <w:t>22</w:t>
        </w:r>
        <w:r w:rsidR="00BF0056">
          <w:rPr>
            <w:noProof/>
            <w:webHidden/>
          </w:rPr>
          <w:fldChar w:fldCharType="end"/>
        </w:r>
      </w:hyperlink>
    </w:p>
    <w:p w14:paraId="757291AA" w14:textId="59EAD6A4"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70" w:history="1">
        <w:r w:rsidR="00BF0056" w:rsidRPr="00D74AA1">
          <w:rPr>
            <w:rStyle w:val="Hyperlink"/>
            <w:noProof/>
          </w:rPr>
          <w:t>Part 9</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_Toc118808570 \h </w:instrText>
        </w:r>
        <w:r w:rsidR="00BF0056">
          <w:rPr>
            <w:noProof/>
            <w:webHidden/>
          </w:rPr>
        </w:r>
        <w:r w:rsidR="00BF0056">
          <w:rPr>
            <w:noProof/>
            <w:webHidden/>
          </w:rPr>
          <w:fldChar w:fldCharType="separate"/>
        </w:r>
        <w:r w:rsidR="008E7897">
          <w:rPr>
            <w:noProof/>
            <w:webHidden/>
          </w:rPr>
          <w:t>24</w:t>
        </w:r>
        <w:r w:rsidR="00BF0056">
          <w:rPr>
            <w:noProof/>
            <w:webHidden/>
          </w:rPr>
          <w:fldChar w:fldCharType="end"/>
        </w:r>
      </w:hyperlink>
    </w:p>
    <w:p w14:paraId="474B2F94" w14:textId="41F4B32B" w:rsidR="00BF0056" w:rsidRDefault="00FE1893" w:rsidP="00BF0056">
      <w:pPr>
        <w:pStyle w:val="TOC2"/>
        <w:keepNext w:val="0"/>
        <w:rPr>
          <w:rFonts w:asciiTheme="minorHAnsi" w:eastAsiaTheme="minorEastAsia" w:hAnsiTheme="minorHAnsi" w:cstheme="minorBidi"/>
          <w:noProof/>
          <w:kern w:val="0"/>
          <w:sz w:val="22"/>
          <w:szCs w:val="22"/>
        </w:rPr>
      </w:pPr>
      <w:hyperlink w:anchor="_Toc118808571" w:history="1">
        <w:r w:rsidR="00BF0056" w:rsidRPr="00D74AA1">
          <w:rPr>
            <w:rStyle w:val="Hyperlink"/>
            <w:i/>
            <w:noProof/>
          </w:rPr>
          <w:t>ASIC C</w:t>
        </w:r>
        <w:r w:rsidR="00BF0056">
          <w:rPr>
            <w:rStyle w:val="Hyperlink"/>
            <w:i/>
            <w:noProof/>
          </w:rPr>
          <w:tab/>
        </w:r>
        <w:r w:rsidR="00BF0056" w:rsidRPr="00D74AA1">
          <w:rPr>
            <w:rStyle w:val="Hyperlink"/>
            <w:i/>
            <w:noProof/>
          </w:rPr>
          <w:t>orporations (Sale Offers: Securities Issued on Conversion of Convertible Notes) Instrument 2016/82</w:t>
        </w:r>
        <w:r w:rsidR="00BF0056">
          <w:rPr>
            <w:noProof/>
            <w:webHidden/>
          </w:rPr>
          <w:tab/>
        </w:r>
        <w:r w:rsidR="00BF0056">
          <w:rPr>
            <w:noProof/>
            <w:webHidden/>
          </w:rPr>
          <w:fldChar w:fldCharType="begin"/>
        </w:r>
        <w:r w:rsidR="00BF0056">
          <w:rPr>
            <w:noProof/>
            <w:webHidden/>
          </w:rPr>
          <w:instrText xml:space="preserve"> PAGEREF _Toc118808571 \h </w:instrText>
        </w:r>
        <w:r w:rsidR="00BF0056">
          <w:rPr>
            <w:noProof/>
            <w:webHidden/>
          </w:rPr>
        </w:r>
        <w:r w:rsidR="00BF0056">
          <w:rPr>
            <w:noProof/>
            <w:webHidden/>
          </w:rPr>
          <w:fldChar w:fldCharType="separate"/>
        </w:r>
        <w:r w:rsidR="008E7897">
          <w:rPr>
            <w:noProof/>
            <w:webHidden/>
          </w:rPr>
          <w:t>24</w:t>
        </w:r>
        <w:r w:rsidR="00BF0056">
          <w:rPr>
            <w:noProof/>
            <w:webHidden/>
          </w:rPr>
          <w:fldChar w:fldCharType="end"/>
        </w:r>
      </w:hyperlink>
    </w:p>
    <w:p w14:paraId="2A6D0E51" w14:textId="667A9DE1"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72" w:history="1">
        <w:r w:rsidR="00BF0056" w:rsidRPr="00D74AA1">
          <w:rPr>
            <w:rStyle w:val="Hyperlink"/>
            <w:noProof/>
          </w:rPr>
          <w:t>Part 10</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_Toc118808572 \h </w:instrText>
        </w:r>
        <w:r w:rsidR="00BF0056">
          <w:rPr>
            <w:noProof/>
            <w:webHidden/>
          </w:rPr>
        </w:r>
        <w:r w:rsidR="00BF0056">
          <w:rPr>
            <w:noProof/>
            <w:webHidden/>
          </w:rPr>
          <w:fldChar w:fldCharType="separate"/>
        </w:r>
        <w:r w:rsidR="008E7897">
          <w:rPr>
            <w:noProof/>
            <w:webHidden/>
          </w:rPr>
          <w:t>28</w:t>
        </w:r>
        <w:r w:rsidR="00BF0056">
          <w:rPr>
            <w:noProof/>
            <w:webHidden/>
          </w:rPr>
          <w:fldChar w:fldCharType="end"/>
        </w:r>
      </w:hyperlink>
    </w:p>
    <w:p w14:paraId="34CB1331" w14:textId="592ADFD8" w:rsidR="00BF0056" w:rsidRDefault="00FE1893" w:rsidP="00BF0056">
      <w:pPr>
        <w:pStyle w:val="TOC2"/>
        <w:keepNext w:val="0"/>
        <w:rPr>
          <w:rFonts w:asciiTheme="minorHAnsi" w:eastAsiaTheme="minorEastAsia" w:hAnsiTheme="minorHAnsi" w:cstheme="minorBidi"/>
          <w:noProof/>
          <w:kern w:val="0"/>
          <w:sz w:val="22"/>
          <w:szCs w:val="22"/>
        </w:rPr>
      </w:pPr>
      <w:hyperlink w:anchor="_Toc118808573" w:history="1">
        <w:r w:rsidR="00BF0056" w:rsidRPr="00D74AA1">
          <w:rPr>
            <w:rStyle w:val="Hyperlink"/>
            <w:i/>
            <w:noProof/>
          </w:rPr>
          <w:t>ASIC Corporations (Share and Interest Purchase Plans) Instrument 2019/547</w:t>
        </w:r>
        <w:r w:rsidR="00BF0056">
          <w:rPr>
            <w:noProof/>
            <w:webHidden/>
          </w:rPr>
          <w:tab/>
        </w:r>
        <w:r w:rsidR="00BF0056">
          <w:rPr>
            <w:noProof/>
            <w:webHidden/>
          </w:rPr>
          <w:fldChar w:fldCharType="begin"/>
        </w:r>
        <w:r w:rsidR="00BF0056">
          <w:rPr>
            <w:noProof/>
            <w:webHidden/>
          </w:rPr>
          <w:instrText xml:space="preserve"> PAGEREF _Toc118808573 \h </w:instrText>
        </w:r>
        <w:r w:rsidR="00BF0056">
          <w:rPr>
            <w:noProof/>
            <w:webHidden/>
          </w:rPr>
        </w:r>
        <w:r w:rsidR="00BF0056">
          <w:rPr>
            <w:noProof/>
            <w:webHidden/>
          </w:rPr>
          <w:fldChar w:fldCharType="separate"/>
        </w:r>
        <w:r w:rsidR="008E7897">
          <w:rPr>
            <w:noProof/>
            <w:webHidden/>
          </w:rPr>
          <w:t>28</w:t>
        </w:r>
        <w:r w:rsidR="00BF0056">
          <w:rPr>
            <w:noProof/>
            <w:webHidden/>
          </w:rPr>
          <w:fldChar w:fldCharType="end"/>
        </w:r>
      </w:hyperlink>
    </w:p>
    <w:p w14:paraId="6DAC0980" w14:textId="2013A79B"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74" w:history="1">
        <w:r w:rsidR="00BF0056" w:rsidRPr="00D74AA1">
          <w:rPr>
            <w:rStyle w:val="Hyperlink"/>
            <w:noProof/>
          </w:rPr>
          <w:t>Part 11</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_Toc118808574 \h </w:instrText>
        </w:r>
        <w:r w:rsidR="00BF0056">
          <w:rPr>
            <w:noProof/>
            <w:webHidden/>
          </w:rPr>
        </w:r>
        <w:r w:rsidR="00BF0056">
          <w:rPr>
            <w:noProof/>
            <w:webHidden/>
          </w:rPr>
          <w:fldChar w:fldCharType="separate"/>
        </w:r>
        <w:r w:rsidR="008E7897">
          <w:rPr>
            <w:noProof/>
            <w:webHidden/>
          </w:rPr>
          <w:t>30</w:t>
        </w:r>
        <w:r w:rsidR="00BF0056">
          <w:rPr>
            <w:noProof/>
            <w:webHidden/>
          </w:rPr>
          <w:fldChar w:fldCharType="end"/>
        </w:r>
      </w:hyperlink>
    </w:p>
    <w:p w14:paraId="7BF5775F" w14:textId="4C77A42A" w:rsidR="00BF0056" w:rsidRDefault="00FE1893" w:rsidP="00BF0056">
      <w:pPr>
        <w:pStyle w:val="TOC2"/>
        <w:keepNext w:val="0"/>
        <w:rPr>
          <w:rFonts w:asciiTheme="minorHAnsi" w:eastAsiaTheme="minorEastAsia" w:hAnsiTheme="minorHAnsi" w:cstheme="minorBidi"/>
          <w:noProof/>
          <w:kern w:val="0"/>
          <w:sz w:val="22"/>
          <w:szCs w:val="22"/>
        </w:rPr>
      </w:pPr>
      <w:hyperlink w:anchor="_Toc118808575" w:history="1">
        <w:r w:rsidR="00BF0056" w:rsidRPr="00D74AA1">
          <w:rPr>
            <w:rStyle w:val="Hyperlink"/>
            <w:i/>
            <w:noProof/>
          </w:rPr>
          <w:t>ASIC Corporations (Shorter PDS and Delivery of Accessible Financial Products Disclosure by Platform Operators and Superannuation Trustees) Instrument 2022/497</w:t>
        </w:r>
        <w:r w:rsidR="00BF0056">
          <w:rPr>
            <w:noProof/>
            <w:webHidden/>
          </w:rPr>
          <w:tab/>
        </w:r>
        <w:r w:rsidR="00BF0056">
          <w:rPr>
            <w:noProof/>
            <w:webHidden/>
          </w:rPr>
          <w:fldChar w:fldCharType="begin"/>
        </w:r>
        <w:r w:rsidR="00BF0056">
          <w:rPr>
            <w:noProof/>
            <w:webHidden/>
          </w:rPr>
          <w:instrText xml:space="preserve"> PAGEREF _Toc118808575 \h </w:instrText>
        </w:r>
        <w:r w:rsidR="00BF0056">
          <w:rPr>
            <w:noProof/>
            <w:webHidden/>
          </w:rPr>
        </w:r>
        <w:r w:rsidR="00BF0056">
          <w:rPr>
            <w:noProof/>
            <w:webHidden/>
          </w:rPr>
          <w:fldChar w:fldCharType="separate"/>
        </w:r>
        <w:r w:rsidR="008E7897">
          <w:rPr>
            <w:noProof/>
            <w:webHidden/>
          </w:rPr>
          <w:t>30</w:t>
        </w:r>
        <w:r w:rsidR="00BF0056">
          <w:rPr>
            <w:noProof/>
            <w:webHidden/>
          </w:rPr>
          <w:fldChar w:fldCharType="end"/>
        </w:r>
      </w:hyperlink>
    </w:p>
    <w:p w14:paraId="12F16BBB" w14:textId="0D311FCE" w:rsidR="00BF0056" w:rsidRDefault="00FE1893" w:rsidP="00BF0056">
      <w:pPr>
        <w:pStyle w:val="TOC1"/>
        <w:rPr>
          <w:rFonts w:asciiTheme="minorHAnsi" w:eastAsiaTheme="minorEastAsia" w:hAnsiTheme="minorHAnsi" w:cstheme="minorBidi"/>
          <w:b w:val="0"/>
          <w:noProof/>
          <w:kern w:val="0"/>
          <w:sz w:val="22"/>
          <w:szCs w:val="22"/>
        </w:rPr>
      </w:pPr>
      <w:hyperlink w:anchor="_Toc118808576" w:history="1">
        <w:r w:rsidR="00BF0056" w:rsidRPr="00D74AA1">
          <w:rPr>
            <w:rStyle w:val="Hyperlink"/>
            <w:noProof/>
          </w:rPr>
          <w:t>Part 12</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_Toc118808576 \h </w:instrText>
        </w:r>
        <w:r w:rsidR="00BF0056">
          <w:rPr>
            <w:noProof/>
            <w:webHidden/>
          </w:rPr>
        </w:r>
        <w:r w:rsidR="00BF0056">
          <w:rPr>
            <w:noProof/>
            <w:webHidden/>
          </w:rPr>
          <w:fldChar w:fldCharType="separate"/>
        </w:r>
        <w:r w:rsidR="008E7897">
          <w:rPr>
            <w:noProof/>
            <w:webHidden/>
          </w:rPr>
          <w:t>40</w:t>
        </w:r>
        <w:r w:rsidR="00BF0056">
          <w:rPr>
            <w:noProof/>
            <w:webHidden/>
          </w:rPr>
          <w:fldChar w:fldCharType="end"/>
        </w:r>
      </w:hyperlink>
    </w:p>
    <w:p w14:paraId="52BE8DEB" w14:textId="1AE00674" w:rsidR="00BF0056" w:rsidRDefault="00FE1893" w:rsidP="00BF0056">
      <w:pPr>
        <w:pStyle w:val="TOC2"/>
        <w:keepNext w:val="0"/>
        <w:rPr>
          <w:rFonts w:asciiTheme="minorHAnsi" w:eastAsiaTheme="minorEastAsia" w:hAnsiTheme="minorHAnsi" w:cstheme="minorBidi"/>
          <w:noProof/>
          <w:kern w:val="0"/>
          <w:sz w:val="22"/>
          <w:szCs w:val="22"/>
        </w:rPr>
      </w:pPr>
      <w:hyperlink w:anchor="_Toc118808577" w:history="1">
        <w:r w:rsidR="00BF0056" w:rsidRPr="00D74AA1">
          <w:rPr>
            <w:rStyle w:val="Hyperlink"/>
            <w:i/>
            <w:noProof/>
          </w:rPr>
          <w:t>ASIC Corporations (Top-up Product Disclosure Statements Relief) Instrument 2016/1054</w:t>
        </w:r>
        <w:r w:rsidR="00BF0056">
          <w:rPr>
            <w:noProof/>
            <w:webHidden/>
          </w:rPr>
          <w:tab/>
        </w:r>
        <w:r w:rsidR="00BF0056">
          <w:rPr>
            <w:noProof/>
            <w:webHidden/>
          </w:rPr>
          <w:fldChar w:fldCharType="begin"/>
        </w:r>
        <w:r w:rsidR="00BF0056">
          <w:rPr>
            <w:noProof/>
            <w:webHidden/>
          </w:rPr>
          <w:instrText xml:space="preserve"> PAGEREF _Toc118808577 \h </w:instrText>
        </w:r>
        <w:r w:rsidR="00BF0056">
          <w:rPr>
            <w:noProof/>
            <w:webHidden/>
          </w:rPr>
        </w:r>
        <w:r w:rsidR="00BF0056">
          <w:rPr>
            <w:noProof/>
            <w:webHidden/>
          </w:rPr>
          <w:fldChar w:fldCharType="separate"/>
        </w:r>
        <w:r w:rsidR="008E7897">
          <w:rPr>
            <w:noProof/>
            <w:webHidden/>
          </w:rPr>
          <w:t>40</w:t>
        </w:r>
        <w:r w:rsidR="00BF0056">
          <w:rPr>
            <w:noProof/>
            <w:webHidden/>
          </w:rPr>
          <w:fldChar w:fldCharType="end"/>
        </w:r>
      </w:hyperlink>
    </w:p>
    <w:p w14:paraId="735757EB" w14:textId="6EF093D6"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78" w:history="1">
        <w:r w:rsidR="00BF0056" w:rsidRPr="00D74AA1">
          <w:rPr>
            <w:rStyle w:val="Hyperlink"/>
            <w:noProof/>
          </w:rPr>
          <w:t>Part 13</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_Toc118808578 \h </w:instrText>
        </w:r>
        <w:r w:rsidR="00BF0056">
          <w:rPr>
            <w:noProof/>
            <w:webHidden/>
          </w:rPr>
        </w:r>
        <w:r w:rsidR="00BF0056">
          <w:rPr>
            <w:noProof/>
            <w:webHidden/>
          </w:rPr>
          <w:fldChar w:fldCharType="separate"/>
        </w:r>
        <w:r w:rsidR="008E7897">
          <w:rPr>
            <w:noProof/>
            <w:webHidden/>
          </w:rPr>
          <w:t>41</w:t>
        </w:r>
        <w:r w:rsidR="00BF0056">
          <w:rPr>
            <w:noProof/>
            <w:webHidden/>
          </w:rPr>
          <w:fldChar w:fldCharType="end"/>
        </w:r>
      </w:hyperlink>
    </w:p>
    <w:p w14:paraId="78D4D39F" w14:textId="5E891475" w:rsidR="00BF0056" w:rsidRDefault="00FE1893" w:rsidP="00BF0056">
      <w:pPr>
        <w:pStyle w:val="TOC2"/>
        <w:keepNext w:val="0"/>
        <w:rPr>
          <w:rFonts w:asciiTheme="minorHAnsi" w:eastAsiaTheme="minorEastAsia" w:hAnsiTheme="minorHAnsi" w:cstheme="minorBidi"/>
          <w:noProof/>
          <w:kern w:val="0"/>
          <w:sz w:val="22"/>
          <w:szCs w:val="22"/>
        </w:rPr>
      </w:pPr>
      <w:hyperlink w:anchor="_Toc118808579" w:history="1">
        <w:r w:rsidR="00BF0056" w:rsidRPr="00D74AA1">
          <w:rPr>
            <w:rStyle w:val="Hyperlink"/>
            <w:i/>
            <w:noProof/>
          </w:rPr>
          <w:t>ASIC Class Order [CO 13/656]</w:t>
        </w:r>
        <w:r w:rsidR="00BF0056">
          <w:rPr>
            <w:noProof/>
            <w:webHidden/>
          </w:rPr>
          <w:tab/>
        </w:r>
        <w:r w:rsidR="00BF0056">
          <w:rPr>
            <w:noProof/>
            <w:webHidden/>
          </w:rPr>
          <w:fldChar w:fldCharType="begin"/>
        </w:r>
        <w:r w:rsidR="00BF0056">
          <w:rPr>
            <w:noProof/>
            <w:webHidden/>
          </w:rPr>
          <w:instrText xml:space="preserve"> PAGEREF _Toc118808579 \h </w:instrText>
        </w:r>
        <w:r w:rsidR="00BF0056">
          <w:rPr>
            <w:noProof/>
            <w:webHidden/>
          </w:rPr>
        </w:r>
        <w:r w:rsidR="00BF0056">
          <w:rPr>
            <w:noProof/>
            <w:webHidden/>
          </w:rPr>
          <w:fldChar w:fldCharType="separate"/>
        </w:r>
        <w:r w:rsidR="008E7897">
          <w:rPr>
            <w:noProof/>
            <w:webHidden/>
          </w:rPr>
          <w:t>41</w:t>
        </w:r>
        <w:r w:rsidR="00BF0056">
          <w:rPr>
            <w:noProof/>
            <w:webHidden/>
          </w:rPr>
          <w:fldChar w:fldCharType="end"/>
        </w:r>
      </w:hyperlink>
    </w:p>
    <w:p w14:paraId="17C76157" w14:textId="034E50D2"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80" w:history="1">
        <w:r w:rsidR="00BF0056" w:rsidRPr="00D74AA1">
          <w:rPr>
            <w:rStyle w:val="Hyperlink"/>
            <w:noProof/>
          </w:rPr>
          <w:t>Part 14</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_Toc118808580 \h </w:instrText>
        </w:r>
        <w:r w:rsidR="00BF0056">
          <w:rPr>
            <w:noProof/>
            <w:webHidden/>
          </w:rPr>
        </w:r>
        <w:r w:rsidR="00BF0056">
          <w:rPr>
            <w:noProof/>
            <w:webHidden/>
          </w:rPr>
          <w:fldChar w:fldCharType="separate"/>
        </w:r>
        <w:r w:rsidR="008E7897">
          <w:rPr>
            <w:noProof/>
            <w:webHidden/>
          </w:rPr>
          <w:t>43</w:t>
        </w:r>
        <w:r w:rsidR="00BF0056">
          <w:rPr>
            <w:noProof/>
            <w:webHidden/>
          </w:rPr>
          <w:fldChar w:fldCharType="end"/>
        </w:r>
      </w:hyperlink>
    </w:p>
    <w:p w14:paraId="56EE13B5" w14:textId="50E753EF" w:rsidR="00BF0056" w:rsidRDefault="00FE1893" w:rsidP="00BF0056">
      <w:pPr>
        <w:pStyle w:val="TOC2"/>
        <w:keepNext w:val="0"/>
        <w:rPr>
          <w:rFonts w:asciiTheme="minorHAnsi" w:eastAsiaTheme="minorEastAsia" w:hAnsiTheme="minorHAnsi" w:cstheme="minorBidi"/>
          <w:noProof/>
          <w:kern w:val="0"/>
          <w:sz w:val="22"/>
          <w:szCs w:val="22"/>
        </w:rPr>
      </w:pPr>
      <w:hyperlink w:anchor="_Toc118808581" w:history="1">
        <w:r w:rsidR="00BF0056" w:rsidRPr="00D74AA1">
          <w:rPr>
            <w:rStyle w:val="Hyperlink"/>
            <w:i/>
            <w:noProof/>
          </w:rPr>
          <w:t>ASIC Class Order [CO 13/721]</w:t>
        </w:r>
        <w:r w:rsidR="00BF0056">
          <w:rPr>
            <w:noProof/>
            <w:webHidden/>
          </w:rPr>
          <w:tab/>
        </w:r>
        <w:r w:rsidR="00BF0056">
          <w:rPr>
            <w:noProof/>
            <w:webHidden/>
          </w:rPr>
          <w:fldChar w:fldCharType="begin"/>
        </w:r>
        <w:r w:rsidR="00BF0056">
          <w:rPr>
            <w:noProof/>
            <w:webHidden/>
          </w:rPr>
          <w:instrText xml:space="preserve"> PAGEREF _Toc118808581 \h </w:instrText>
        </w:r>
        <w:r w:rsidR="00BF0056">
          <w:rPr>
            <w:noProof/>
            <w:webHidden/>
          </w:rPr>
        </w:r>
        <w:r w:rsidR="00BF0056">
          <w:rPr>
            <w:noProof/>
            <w:webHidden/>
          </w:rPr>
          <w:fldChar w:fldCharType="separate"/>
        </w:r>
        <w:r w:rsidR="008E7897">
          <w:rPr>
            <w:noProof/>
            <w:webHidden/>
          </w:rPr>
          <w:t>43</w:t>
        </w:r>
        <w:r w:rsidR="00BF0056">
          <w:rPr>
            <w:noProof/>
            <w:webHidden/>
          </w:rPr>
          <w:fldChar w:fldCharType="end"/>
        </w:r>
      </w:hyperlink>
    </w:p>
    <w:p w14:paraId="0676DD13" w14:textId="0A0F5F66" w:rsidR="00BF0056" w:rsidRDefault="00FE1893" w:rsidP="00BF0056">
      <w:pPr>
        <w:pStyle w:val="TOC1"/>
        <w:keepNext w:val="0"/>
        <w:rPr>
          <w:rFonts w:asciiTheme="minorHAnsi" w:eastAsiaTheme="minorEastAsia" w:hAnsiTheme="minorHAnsi" w:cstheme="minorBidi"/>
          <w:b w:val="0"/>
          <w:noProof/>
          <w:kern w:val="0"/>
          <w:sz w:val="22"/>
          <w:szCs w:val="22"/>
        </w:rPr>
      </w:pPr>
      <w:hyperlink w:anchor="_Toc118808582" w:history="1">
        <w:r w:rsidR="00BF0056" w:rsidRPr="00D74AA1">
          <w:rPr>
            <w:rStyle w:val="Hyperlink"/>
            <w:noProof/>
          </w:rPr>
          <w:t>Part 15</w:t>
        </w:r>
        <w:r w:rsidR="00BF0056">
          <w:rPr>
            <w:noProof/>
            <w:webHidden/>
          </w:rPr>
          <w:tab/>
        </w:r>
        <w:r w:rsidR="00BF0056">
          <w:rPr>
            <w:noProof/>
            <w:webHidden/>
          </w:rPr>
          <w:tab/>
        </w:r>
        <w:r w:rsidR="00BF0056">
          <w:rPr>
            <w:noProof/>
            <w:webHidden/>
          </w:rPr>
          <w:fldChar w:fldCharType="begin"/>
        </w:r>
        <w:r w:rsidR="00BF0056">
          <w:rPr>
            <w:noProof/>
            <w:webHidden/>
          </w:rPr>
          <w:instrText xml:space="preserve"> PAGEREF _Toc118808582 \h </w:instrText>
        </w:r>
        <w:r w:rsidR="00BF0056">
          <w:rPr>
            <w:noProof/>
            <w:webHidden/>
          </w:rPr>
        </w:r>
        <w:r w:rsidR="00BF0056">
          <w:rPr>
            <w:noProof/>
            <w:webHidden/>
          </w:rPr>
          <w:fldChar w:fldCharType="separate"/>
        </w:r>
        <w:r w:rsidR="008E7897">
          <w:rPr>
            <w:noProof/>
            <w:webHidden/>
          </w:rPr>
          <w:t>54</w:t>
        </w:r>
        <w:r w:rsidR="00BF0056">
          <w:rPr>
            <w:noProof/>
            <w:webHidden/>
          </w:rPr>
          <w:fldChar w:fldCharType="end"/>
        </w:r>
      </w:hyperlink>
    </w:p>
    <w:p w14:paraId="190BDEF9" w14:textId="728A3BD9" w:rsidR="00BF0056" w:rsidRDefault="00FE1893" w:rsidP="00BF0056">
      <w:pPr>
        <w:pStyle w:val="TOC2"/>
        <w:keepNext w:val="0"/>
        <w:rPr>
          <w:rFonts w:asciiTheme="minorHAnsi" w:eastAsiaTheme="minorEastAsia" w:hAnsiTheme="minorHAnsi" w:cstheme="minorBidi"/>
          <w:noProof/>
          <w:kern w:val="0"/>
          <w:sz w:val="22"/>
          <w:szCs w:val="22"/>
        </w:rPr>
      </w:pPr>
      <w:hyperlink w:anchor="_Toc118808583" w:history="1">
        <w:r w:rsidR="00BF0056" w:rsidRPr="00D74AA1">
          <w:rPr>
            <w:rStyle w:val="Hyperlink"/>
            <w:i/>
            <w:noProof/>
          </w:rPr>
          <w:t>ASIC Class Order [CO 13/1200]</w:t>
        </w:r>
        <w:r w:rsidR="00BF0056">
          <w:rPr>
            <w:noProof/>
            <w:webHidden/>
          </w:rPr>
          <w:tab/>
        </w:r>
        <w:r w:rsidR="00BF0056">
          <w:rPr>
            <w:noProof/>
            <w:webHidden/>
          </w:rPr>
          <w:fldChar w:fldCharType="begin"/>
        </w:r>
        <w:r w:rsidR="00BF0056">
          <w:rPr>
            <w:noProof/>
            <w:webHidden/>
          </w:rPr>
          <w:instrText xml:space="preserve"> PAGEREF _Toc118808583 \h </w:instrText>
        </w:r>
        <w:r w:rsidR="00BF0056">
          <w:rPr>
            <w:noProof/>
            <w:webHidden/>
          </w:rPr>
        </w:r>
        <w:r w:rsidR="00BF0056">
          <w:rPr>
            <w:noProof/>
            <w:webHidden/>
          </w:rPr>
          <w:fldChar w:fldCharType="separate"/>
        </w:r>
        <w:r w:rsidR="008E7897">
          <w:rPr>
            <w:noProof/>
            <w:webHidden/>
          </w:rPr>
          <w:t>54</w:t>
        </w:r>
        <w:r w:rsidR="00BF0056">
          <w:rPr>
            <w:noProof/>
            <w:webHidden/>
          </w:rPr>
          <w:fldChar w:fldCharType="end"/>
        </w:r>
      </w:hyperlink>
    </w:p>
    <w:p w14:paraId="1665817F" w14:textId="2BB17BE8" w:rsidR="00670EA1" w:rsidRPr="00F61B09" w:rsidRDefault="003708CA" w:rsidP="00BF0056">
      <w:r>
        <w:rPr>
          <w:rFonts w:eastAsia="Times New Roman"/>
          <w:kern w:val="28"/>
          <w:sz w:val="28"/>
          <w:lang w:eastAsia="en-AU"/>
        </w:rPr>
        <w:fldChar w:fldCharType="end"/>
      </w:r>
    </w:p>
    <w:p w14:paraId="4F25B22A" w14:textId="77777777" w:rsidR="00670EA1" w:rsidRPr="00F61B09" w:rsidRDefault="00670EA1" w:rsidP="00715914">
      <w:pPr>
        <w:sectPr w:rsidR="00670EA1" w:rsidRPr="00F61B09" w:rsidSect="00F4215A">
          <w:headerReference w:type="even" r:id="rId14"/>
          <w:headerReference w:type="default" r:id="rId15"/>
          <w:footerReference w:type="even" r:id="rId16"/>
          <w:footerReference w:type="default" r:id="rId17"/>
          <w:headerReference w:type="first" r:id="rId18"/>
          <w:pgSz w:w="11907" w:h="16839"/>
          <w:pgMar w:top="1098" w:right="1797" w:bottom="1440" w:left="1797" w:header="720" w:footer="709" w:gutter="0"/>
          <w:pgNumType w:fmt="lowerRoman"/>
          <w:cols w:space="708"/>
          <w:docGrid w:linePitch="360"/>
        </w:sectPr>
      </w:pPr>
    </w:p>
    <w:p w14:paraId="0DF355DD" w14:textId="77777777" w:rsidR="00FA31DE" w:rsidRDefault="00FA31DE" w:rsidP="00C11452">
      <w:pPr>
        <w:pStyle w:val="LI-Heading2"/>
        <w:rPr>
          <w:szCs w:val="24"/>
        </w:rPr>
      </w:pPr>
      <w:bookmarkStart w:id="2" w:name="BK_S3P1L1C1"/>
      <w:bookmarkStart w:id="3" w:name="_Toc118808549"/>
      <w:bookmarkEnd w:id="2"/>
      <w:r w:rsidRPr="008C0F29">
        <w:rPr>
          <w:szCs w:val="24"/>
        </w:rPr>
        <w:lastRenderedPageBreak/>
        <w:t>1</w:t>
      </w:r>
      <w:r w:rsidR="00FC3EB8">
        <w:rPr>
          <w:szCs w:val="24"/>
        </w:rPr>
        <w:tab/>
      </w:r>
      <w:r w:rsidRPr="008C0F29">
        <w:rPr>
          <w:szCs w:val="24"/>
        </w:rPr>
        <w:t xml:space="preserve">Name of </w:t>
      </w:r>
      <w:r w:rsidR="008C0F29" w:rsidRPr="008C0F29">
        <w:rPr>
          <w:szCs w:val="24"/>
        </w:rPr>
        <w:t>legislative instrument</w:t>
      </w:r>
      <w:bookmarkEnd w:id="3"/>
    </w:p>
    <w:p w14:paraId="4B31B3F6" w14:textId="682206BB" w:rsidR="00FA31DE" w:rsidRDefault="00FA31DE" w:rsidP="00BA2950">
      <w:pPr>
        <w:pStyle w:val="LI-BodyTextUnnumbered"/>
        <w:rPr>
          <w:szCs w:val="24"/>
        </w:rPr>
      </w:pPr>
      <w:r w:rsidRPr="008C0F29">
        <w:rPr>
          <w:szCs w:val="24"/>
        </w:rPr>
        <w:t xml:space="preserve">This </w:t>
      </w:r>
      <w:r w:rsidR="008C0F29" w:rsidRPr="008C0F29">
        <w:rPr>
          <w:szCs w:val="24"/>
        </w:rPr>
        <w:t>is</w:t>
      </w:r>
      <w:r w:rsidR="00C36A52">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FC2FD3">
        <w:rPr>
          <w:i/>
          <w:szCs w:val="24"/>
        </w:rPr>
        <w:t>(</w:t>
      </w:r>
      <w:r w:rsidR="00102307">
        <w:rPr>
          <w:i/>
          <w:szCs w:val="24"/>
        </w:rPr>
        <w:t>Amendment</w:t>
      </w:r>
      <w:r w:rsidR="00C11452" w:rsidRPr="008E7897">
        <w:rPr>
          <w:i/>
          <w:szCs w:val="24"/>
        </w:rPr>
        <w:t xml:space="preserve">) Instrument </w:t>
      </w:r>
      <w:r w:rsidR="00FC2FD3" w:rsidRPr="008E7897">
        <w:rPr>
          <w:i/>
          <w:szCs w:val="24"/>
        </w:rPr>
        <w:t>2022</w:t>
      </w:r>
      <w:r w:rsidR="00530968" w:rsidRPr="008E7897">
        <w:rPr>
          <w:i/>
          <w:szCs w:val="24"/>
        </w:rPr>
        <w:t>/</w:t>
      </w:r>
      <w:r w:rsidR="008E7897" w:rsidRPr="008E7897">
        <w:rPr>
          <w:i/>
          <w:szCs w:val="24"/>
        </w:rPr>
        <w:t>0940</w:t>
      </w:r>
      <w:r w:rsidR="00FC2FD3" w:rsidRPr="008E7897">
        <w:rPr>
          <w:i/>
          <w:szCs w:val="24"/>
        </w:rPr>
        <w:t>.</w:t>
      </w:r>
    </w:p>
    <w:p w14:paraId="4CD1B271" w14:textId="77777777" w:rsidR="00FA31DE" w:rsidRPr="008C0F29" w:rsidRDefault="00FA31DE" w:rsidP="00C11452">
      <w:pPr>
        <w:pStyle w:val="LI-Heading2"/>
        <w:rPr>
          <w:szCs w:val="24"/>
        </w:rPr>
      </w:pPr>
      <w:bookmarkStart w:id="4" w:name="_Toc118808550"/>
      <w:r w:rsidRPr="008C0F29">
        <w:rPr>
          <w:szCs w:val="24"/>
        </w:rPr>
        <w:t>2</w:t>
      </w:r>
      <w:r w:rsidR="00FC3EB8">
        <w:rPr>
          <w:szCs w:val="24"/>
        </w:rPr>
        <w:tab/>
      </w:r>
      <w:r w:rsidRPr="008C0F29">
        <w:rPr>
          <w:szCs w:val="24"/>
        </w:rPr>
        <w:t>Commencement</w:t>
      </w:r>
      <w:bookmarkEnd w:id="4"/>
    </w:p>
    <w:p w14:paraId="23B77D3B" w14:textId="77777777" w:rsidR="00FA31DE" w:rsidRPr="008C0F29" w:rsidRDefault="00FA31DE" w:rsidP="00BA295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5106E">
        <w:rPr>
          <w:szCs w:val="24"/>
        </w:rPr>
        <w:t>registered on</w:t>
      </w:r>
      <w:r w:rsidR="004823C0">
        <w:rPr>
          <w:szCs w:val="24"/>
        </w:rPr>
        <w:t xml:space="preserve"> the </w:t>
      </w:r>
      <w:r w:rsidR="004823C0" w:rsidRPr="00255007">
        <w:rPr>
          <w:szCs w:val="24"/>
        </w:rPr>
        <w:t>Federal</w:t>
      </w:r>
      <w:r w:rsidR="00F60F2F" w:rsidRPr="00255007">
        <w:rPr>
          <w:szCs w:val="24"/>
        </w:rPr>
        <w:t> </w:t>
      </w:r>
      <w:r w:rsidR="004823C0" w:rsidRPr="00255007">
        <w:rPr>
          <w:szCs w:val="24"/>
        </w:rPr>
        <w:t>Register of</w:t>
      </w:r>
      <w:r w:rsidR="00255007" w:rsidRPr="00255007">
        <w:rPr>
          <w:szCs w:val="24"/>
        </w:rPr>
        <w:t xml:space="preserve"> Legislation</w:t>
      </w:r>
      <w:r w:rsidRPr="008C0F29">
        <w:rPr>
          <w:szCs w:val="24"/>
        </w:rPr>
        <w:t>.</w:t>
      </w:r>
    </w:p>
    <w:p w14:paraId="514C14A7" w14:textId="39D7D832" w:rsidR="00FA31DE" w:rsidRDefault="00FA31DE" w:rsidP="00BA2950">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19" w:history="1">
        <w:r w:rsidR="003A7A4A" w:rsidRPr="001E2454">
          <w:rPr>
            <w:rStyle w:val="Hyperlink"/>
          </w:rPr>
          <w:t>http://www.legislation.gov.au</w:t>
        </w:r>
      </w:hyperlink>
      <w:r w:rsidR="003A7A4A">
        <w:t xml:space="preserve">. </w:t>
      </w:r>
    </w:p>
    <w:p w14:paraId="6EC12ACC" w14:textId="77777777" w:rsidR="00FA31DE" w:rsidRPr="008C0F29" w:rsidRDefault="00FA31DE" w:rsidP="00EC4757">
      <w:pPr>
        <w:pStyle w:val="LI-Heading2"/>
        <w:spacing w:before="240"/>
        <w:rPr>
          <w:szCs w:val="24"/>
        </w:rPr>
      </w:pPr>
      <w:bookmarkStart w:id="5" w:name="_Toc118808551"/>
      <w:r w:rsidRPr="008C0F29">
        <w:rPr>
          <w:szCs w:val="24"/>
        </w:rPr>
        <w:t>3</w:t>
      </w:r>
      <w:r w:rsidR="00FC3EB8">
        <w:rPr>
          <w:szCs w:val="24"/>
        </w:rPr>
        <w:tab/>
      </w:r>
      <w:r w:rsidRPr="008C0F29">
        <w:rPr>
          <w:szCs w:val="24"/>
        </w:rPr>
        <w:t>Authority</w:t>
      </w:r>
      <w:bookmarkEnd w:id="5"/>
    </w:p>
    <w:p w14:paraId="0393D60A" w14:textId="14FAF3FF" w:rsidR="00FC2FD3" w:rsidRPr="00FC2FD3"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B93797">
        <w:rPr>
          <w:szCs w:val="24"/>
        </w:rPr>
        <w:t>section</w:t>
      </w:r>
      <w:r w:rsidR="000A2B99">
        <w:rPr>
          <w:szCs w:val="24"/>
        </w:rPr>
        <w:t>s</w:t>
      </w:r>
      <w:r w:rsidR="004F5FC2">
        <w:rPr>
          <w:szCs w:val="24"/>
        </w:rPr>
        <w:t xml:space="preserve"> 341, 601QA,</w:t>
      </w:r>
      <w:r w:rsidR="000A2B99">
        <w:rPr>
          <w:szCs w:val="24"/>
        </w:rPr>
        <w:t xml:space="preserve"> </w:t>
      </w:r>
      <w:r w:rsidR="003631E2">
        <w:rPr>
          <w:szCs w:val="24"/>
        </w:rPr>
        <w:t xml:space="preserve">655A, 673, </w:t>
      </w:r>
      <w:r w:rsidR="00AE0017">
        <w:rPr>
          <w:szCs w:val="24"/>
        </w:rPr>
        <w:t xml:space="preserve">741, </w:t>
      </w:r>
      <w:r w:rsidR="003631E2">
        <w:rPr>
          <w:szCs w:val="24"/>
        </w:rPr>
        <w:t xml:space="preserve">951B, </w:t>
      </w:r>
      <w:r w:rsidR="000A2B99">
        <w:rPr>
          <w:szCs w:val="24"/>
        </w:rPr>
        <w:t>1020F and</w:t>
      </w:r>
      <w:r w:rsidR="00FC2FD3">
        <w:rPr>
          <w:szCs w:val="24"/>
        </w:rPr>
        <w:t xml:space="preserve"> 1243 of the </w:t>
      </w:r>
      <w:r w:rsidR="00FC2FD3">
        <w:rPr>
          <w:i/>
          <w:szCs w:val="24"/>
        </w:rPr>
        <w:t xml:space="preserve">Corporations Act 2001. </w:t>
      </w:r>
    </w:p>
    <w:p w14:paraId="5986EFE9" w14:textId="77777777" w:rsidR="00FA31DE" w:rsidRPr="00BB5C17" w:rsidRDefault="008C0F29" w:rsidP="00EC4757">
      <w:pPr>
        <w:pStyle w:val="LI-Heading2"/>
        <w:spacing w:before="240"/>
        <w:rPr>
          <w:szCs w:val="24"/>
        </w:rPr>
      </w:pPr>
      <w:bookmarkStart w:id="6" w:name="_Toc118808552"/>
      <w:r w:rsidRPr="00BB5C17">
        <w:rPr>
          <w:szCs w:val="24"/>
        </w:rPr>
        <w:t>4</w:t>
      </w:r>
      <w:r w:rsidR="00FC3EB8">
        <w:rPr>
          <w:szCs w:val="24"/>
        </w:rPr>
        <w:tab/>
      </w:r>
      <w:r w:rsidR="009B69D4">
        <w:rPr>
          <w:szCs w:val="24"/>
        </w:rPr>
        <w:t>Schedules</w:t>
      </w:r>
      <w:bookmarkEnd w:id="6"/>
    </w:p>
    <w:p w14:paraId="28AE92EA" w14:textId="4172D5A6" w:rsidR="00FC2FD3" w:rsidRDefault="00FC2FD3" w:rsidP="00FC2FD3">
      <w:pPr>
        <w:pStyle w:val="LI-BodyTextUnnumbered"/>
      </w:pPr>
      <w:r>
        <w:rPr>
          <w:color w:val="000000"/>
          <w:shd w:val="clear" w:color="auto" w:fill="FFFFFF"/>
        </w:rPr>
        <w:t xml:space="preserve">Each instrument that is specified in </w:t>
      </w:r>
      <w:r w:rsidR="006E5C42">
        <w:rPr>
          <w:color w:val="000000"/>
          <w:shd w:val="clear" w:color="auto" w:fill="FFFFFF"/>
        </w:rPr>
        <w:t xml:space="preserve">a </w:t>
      </w:r>
      <w:r>
        <w:rPr>
          <w:color w:val="000000"/>
          <w:shd w:val="clear" w:color="auto" w:fill="FFFFFF"/>
        </w:rPr>
        <w:t xml:space="preserve">Schedule to this instrument is amended </w:t>
      </w:r>
      <w:r w:rsidR="00962708">
        <w:rPr>
          <w:color w:val="000000"/>
          <w:shd w:val="clear" w:color="auto" w:fill="FFFFFF"/>
        </w:rPr>
        <w:t xml:space="preserve">or repealed </w:t>
      </w:r>
      <w:r>
        <w:rPr>
          <w:color w:val="000000"/>
          <w:shd w:val="clear" w:color="auto" w:fill="FFFFFF"/>
        </w:rPr>
        <w:t>as set out in the applicable items in the Schedule</w:t>
      </w:r>
      <w:r w:rsidR="006E5C42">
        <w:rPr>
          <w:color w:val="000000"/>
          <w:shd w:val="clear" w:color="auto" w:fill="FFFFFF"/>
        </w:rPr>
        <w:t xml:space="preserve"> concerned</w:t>
      </w:r>
      <w:r>
        <w:rPr>
          <w:color w:val="000000"/>
          <w:shd w:val="clear" w:color="auto" w:fill="FFFFFF"/>
        </w:rPr>
        <w:t>, and any other item in the Schedule has effect according to its terms.</w:t>
      </w:r>
    </w:p>
    <w:p w14:paraId="4C46E99B" w14:textId="77777777" w:rsidR="005C1C22" w:rsidRDefault="005C1C22" w:rsidP="000873B6">
      <w:pPr>
        <w:pStyle w:val="LI-BodyTextUnnumbered"/>
        <w:sectPr w:rsidR="005C1C22" w:rsidSect="007D230B">
          <w:headerReference w:type="even" r:id="rId20"/>
          <w:headerReference w:type="default" r:id="rId21"/>
          <w:footerReference w:type="even" r:id="rId22"/>
          <w:headerReference w:type="first" r:id="rId23"/>
          <w:footerReference w:type="first" r:id="rId24"/>
          <w:pgSz w:w="11907" w:h="16839" w:code="9"/>
          <w:pgMar w:top="1534" w:right="1797" w:bottom="1440" w:left="1797" w:header="720" w:footer="709" w:gutter="0"/>
          <w:cols w:space="708"/>
          <w:docGrid w:linePitch="360"/>
        </w:sectPr>
      </w:pPr>
    </w:p>
    <w:p w14:paraId="0C4E3C5A" w14:textId="77777777" w:rsidR="002E679C" w:rsidRDefault="002E679C" w:rsidP="002E679C">
      <w:pPr>
        <w:pStyle w:val="LI-Heading1"/>
        <w:ind w:left="0" w:firstLine="0"/>
      </w:pPr>
      <w:bookmarkStart w:id="7" w:name="_Toc118808553"/>
      <w:r>
        <w:lastRenderedPageBreak/>
        <w:t>Schedule 1</w:t>
      </w:r>
      <w:r w:rsidRPr="00F61B09">
        <w:t>—</w:t>
      </w:r>
      <w:r>
        <w:t>Amendments</w:t>
      </w:r>
      <w:bookmarkEnd w:id="7"/>
      <w:r>
        <w:t xml:space="preserve"> </w:t>
      </w:r>
    </w:p>
    <w:p w14:paraId="460D16E5" w14:textId="07CCEEB4" w:rsidR="00C25C80" w:rsidRPr="00C25C80" w:rsidRDefault="00C25C80" w:rsidP="00C25C80">
      <w:pPr>
        <w:pStyle w:val="LI-Heading1"/>
      </w:pPr>
      <w:bookmarkStart w:id="8" w:name="_Toc118808554"/>
      <w:r>
        <w:t>Part 1</w:t>
      </w:r>
      <w:bookmarkEnd w:id="8"/>
    </w:p>
    <w:p w14:paraId="306DFE45" w14:textId="5973AEFD" w:rsidR="002E679C" w:rsidRPr="00E02BC6" w:rsidRDefault="002E679C" w:rsidP="00E02BC6">
      <w:pPr>
        <w:pStyle w:val="LI-Heading2"/>
        <w:rPr>
          <w:i/>
        </w:rPr>
      </w:pPr>
      <w:bookmarkStart w:id="9" w:name="_Toc118808555"/>
      <w:r w:rsidRPr="00E02BC6">
        <w:rPr>
          <w:i/>
        </w:rPr>
        <w:t>ASIC Corporations (Application Form Requirements) Instrument 2017/241</w:t>
      </w:r>
      <w:bookmarkEnd w:id="9"/>
    </w:p>
    <w:p w14:paraId="0147C0FF" w14:textId="133EF85E" w:rsidR="003433EF" w:rsidRPr="00EA102A" w:rsidRDefault="008324E9" w:rsidP="003433EF">
      <w:pPr>
        <w:pStyle w:val="LI-BodyTextNumbered"/>
        <w:ind w:left="567"/>
        <w:rPr>
          <w:b/>
        </w:rPr>
      </w:pPr>
      <w:r>
        <w:rPr>
          <w:b/>
        </w:rPr>
        <w:t>1</w:t>
      </w:r>
      <w:r w:rsidR="003433EF">
        <w:rPr>
          <w:b/>
        </w:rPr>
        <w:t xml:space="preserve"> </w:t>
      </w:r>
      <w:r w:rsidR="003433EF">
        <w:rPr>
          <w:b/>
        </w:rPr>
        <w:tab/>
        <w:t>Section 4 (</w:t>
      </w:r>
      <w:r w:rsidR="00120430">
        <w:rPr>
          <w:b/>
        </w:rPr>
        <w:t xml:space="preserve">at the end of </w:t>
      </w:r>
      <w:r w:rsidR="003433EF">
        <w:rPr>
          <w:b/>
        </w:rPr>
        <w:t xml:space="preserve">the definition of </w:t>
      </w:r>
      <w:r w:rsidR="003433EF">
        <w:rPr>
          <w:b/>
          <w:i/>
        </w:rPr>
        <w:t>member approved switch arrangement</w:t>
      </w:r>
      <w:r w:rsidR="003433EF">
        <w:rPr>
          <w:b/>
        </w:rPr>
        <w:t>)</w:t>
      </w:r>
    </w:p>
    <w:p w14:paraId="5B3C79BC" w14:textId="22E68F3D" w:rsidR="008324E9" w:rsidRDefault="00CF4EF7" w:rsidP="008324E9">
      <w:pPr>
        <w:pStyle w:val="LI-BodyTextUnnumbered"/>
        <w:spacing w:after="240"/>
      </w:pPr>
      <w:r>
        <w:t>Add</w:t>
      </w:r>
      <w:r w:rsidR="003433EF">
        <w:t>:</w:t>
      </w:r>
    </w:p>
    <w:p w14:paraId="63033ECE" w14:textId="0FDDA56D" w:rsidR="003433EF" w:rsidRPr="008D6135" w:rsidRDefault="008324E9" w:rsidP="006C5F8A">
      <w:pPr>
        <w:pStyle w:val="LI-BodyTextUnnumbered"/>
        <w:spacing w:after="240"/>
        <w:ind w:left="2460" w:hanging="1020"/>
      </w:pPr>
      <w:r>
        <w:t>; or (c)</w:t>
      </w:r>
      <w:r>
        <w:tab/>
      </w:r>
      <w:r w:rsidR="003433EF" w:rsidRPr="008D6135">
        <w:t xml:space="preserve">a written arrangement between the </w:t>
      </w:r>
      <w:r w:rsidR="003433EF" w:rsidRPr="003F78E6">
        <w:t>CCIV</w:t>
      </w:r>
      <w:r w:rsidR="003433EF" w:rsidRPr="008D6135">
        <w:t xml:space="preserve"> and the members of a sub-fund of the CCIV where:</w:t>
      </w:r>
    </w:p>
    <w:p w14:paraId="72F6B660" w14:textId="77777777" w:rsidR="003433EF" w:rsidRPr="008D6135" w:rsidRDefault="003433EF" w:rsidP="006C5F8A">
      <w:pPr>
        <w:pStyle w:val="LI-BodyTextSubparai"/>
        <w:ind w:left="3123" w:hanging="657"/>
      </w:pPr>
      <w:r w:rsidRPr="008D6135">
        <w:t>(</w:t>
      </w:r>
      <w:proofErr w:type="spellStart"/>
      <w:r w:rsidRPr="008D6135">
        <w:t>i</w:t>
      </w:r>
      <w:proofErr w:type="spellEnd"/>
      <w:r w:rsidRPr="008D6135">
        <w:t>)</w:t>
      </w:r>
      <w:r w:rsidRPr="008D6135">
        <w:tab/>
        <w:t>the arrangement has been entered into as a result of members voting in favour of a resolution to approve the arrangement at a meeting of the members of the sub-fund; and</w:t>
      </w:r>
    </w:p>
    <w:p w14:paraId="7DBF8079" w14:textId="77777777" w:rsidR="003433EF" w:rsidRPr="008D6135" w:rsidRDefault="003433EF" w:rsidP="006C5F8A">
      <w:pPr>
        <w:pStyle w:val="LI-BodyTextSubparai"/>
        <w:ind w:left="3123" w:hanging="657"/>
      </w:pPr>
      <w:r w:rsidRPr="008D6135">
        <w:t>(ii)</w:t>
      </w:r>
      <w:r w:rsidRPr="008D6135">
        <w:tab/>
        <w:t>under the arrangement all members will switch all or part of their shares to shares in another sub-fund of the CCIV.</w:t>
      </w:r>
    </w:p>
    <w:p w14:paraId="70D7546E" w14:textId="7B1D8256" w:rsidR="002E1E49" w:rsidRPr="00EA102A" w:rsidRDefault="008324E9" w:rsidP="002E1E49">
      <w:pPr>
        <w:pStyle w:val="LI-BodyTextNumbered"/>
        <w:ind w:left="567"/>
        <w:rPr>
          <w:b/>
        </w:rPr>
      </w:pPr>
      <w:r>
        <w:rPr>
          <w:b/>
        </w:rPr>
        <w:t>2</w:t>
      </w:r>
      <w:r w:rsidR="002E1E49">
        <w:rPr>
          <w:b/>
        </w:rPr>
        <w:t xml:space="preserve"> </w:t>
      </w:r>
      <w:r w:rsidR="002E1E49">
        <w:rPr>
          <w:b/>
        </w:rPr>
        <w:tab/>
        <w:t>Section 4 (at the end of the definition of</w:t>
      </w:r>
      <w:r w:rsidR="002E1E49">
        <w:rPr>
          <w:b/>
          <w:i/>
        </w:rPr>
        <w:t xml:space="preserve"> relevant financial product</w:t>
      </w:r>
      <w:r w:rsidR="002E1E49">
        <w:rPr>
          <w:b/>
        </w:rPr>
        <w:t>)</w:t>
      </w:r>
    </w:p>
    <w:p w14:paraId="57D045A3" w14:textId="0E9F2F1F" w:rsidR="002E1E49" w:rsidRPr="002E1E49" w:rsidRDefault="002E1E49" w:rsidP="002E1E49">
      <w:pPr>
        <w:pStyle w:val="LI-BodyTextUnnumbered"/>
        <w:spacing w:after="240"/>
      </w:pPr>
      <w:r>
        <w:t xml:space="preserve">Add: </w:t>
      </w:r>
    </w:p>
    <w:p w14:paraId="75696F42" w14:textId="027BC78C" w:rsidR="00847FE2" w:rsidRPr="00847FE2" w:rsidRDefault="002E1E49" w:rsidP="00847FE2">
      <w:pPr>
        <w:pStyle w:val="LI-BodyTextNumbered"/>
        <w:ind w:left="2007"/>
      </w:pPr>
      <w:r w:rsidRPr="008D6135">
        <w:rPr>
          <w:sz w:val="18"/>
          <w:szCs w:val="18"/>
        </w:rPr>
        <w:t xml:space="preserve">Note:   The definition of </w:t>
      </w:r>
      <w:r w:rsidR="00DA0652">
        <w:rPr>
          <w:sz w:val="18"/>
          <w:szCs w:val="18"/>
        </w:rPr>
        <w:t>“</w:t>
      </w:r>
      <w:r w:rsidRPr="008D6135">
        <w:rPr>
          <w:sz w:val="18"/>
          <w:szCs w:val="18"/>
        </w:rPr>
        <w:t>relevant financial product</w:t>
      </w:r>
      <w:r w:rsidR="00DA0652">
        <w:rPr>
          <w:sz w:val="18"/>
          <w:szCs w:val="18"/>
        </w:rPr>
        <w:t>”</w:t>
      </w:r>
      <w:r w:rsidRPr="008D6135">
        <w:rPr>
          <w:sz w:val="18"/>
          <w:szCs w:val="18"/>
        </w:rPr>
        <w:t xml:space="preserve"> in s</w:t>
      </w:r>
      <w:r w:rsidR="008324E9">
        <w:rPr>
          <w:sz w:val="18"/>
          <w:szCs w:val="18"/>
        </w:rPr>
        <w:t>ubsection</w:t>
      </w:r>
      <w:r w:rsidRPr="008D6135">
        <w:rPr>
          <w:sz w:val="18"/>
          <w:szCs w:val="18"/>
        </w:rPr>
        <w:t xml:space="preserve"> 1016A(1) includes a security in a CCIV: section 1241W.  </w:t>
      </w:r>
    </w:p>
    <w:p w14:paraId="15E31C5C" w14:textId="179FA3DC" w:rsidR="00C640AA" w:rsidRDefault="008324E9" w:rsidP="006E0637">
      <w:pPr>
        <w:pStyle w:val="LI-BodyTextNumbered"/>
        <w:ind w:left="567"/>
        <w:rPr>
          <w:b/>
        </w:rPr>
      </w:pPr>
      <w:r>
        <w:rPr>
          <w:b/>
        </w:rPr>
        <w:t>3</w:t>
      </w:r>
      <w:r w:rsidR="006E0637">
        <w:rPr>
          <w:b/>
        </w:rPr>
        <w:t xml:space="preserve"> </w:t>
      </w:r>
      <w:r w:rsidR="006E0637">
        <w:rPr>
          <w:b/>
        </w:rPr>
        <w:tab/>
      </w:r>
      <w:r w:rsidR="00487E0F">
        <w:rPr>
          <w:b/>
        </w:rPr>
        <w:t>Section 4 (</w:t>
      </w:r>
      <w:r w:rsidR="00CF4EF7">
        <w:rPr>
          <w:b/>
        </w:rPr>
        <w:t xml:space="preserve">at the end of </w:t>
      </w:r>
      <w:r w:rsidR="00487E0F">
        <w:rPr>
          <w:b/>
        </w:rPr>
        <w:t xml:space="preserve">the definition of </w:t>
      </w:r>
      <w:r w:rsidR="00487E0F" w:rsidRPr="006E0637">
        <w:rPr>
          <w:b/>
          <w:i/>
        </w:rPr>
        <w:t>switch</w:t>
      </w:r>
      <w:r w:rsidR="00487E0F">
        <w:rPr>
          <w:b/>
        </w:rPr>
        <w:t>)</w:t>
      </w:r>
    </w:p>
    <w:p w14:paraId="514AFDF5" w14:textId="58E050D9" w:rsidR="0080458B" w:rsidRDefault="006E0637" w:rsidP="0080458B">
      <w:pPr>
        <w:pStyle w:val="LI-BodyTextUnnumbered"/>
        <w:spacing w:after="240"/>
      </w:pPr>
      <w:r w:rsidRPr="00FF677C">
        <w:t>Add</w:t>
      </w:r>
      <w:r w:rsidR="0080458B">
        <w:t xml:space="preserve">: </w:t>
      </w:r>
    </w:p>
    <w:p w14:paraId="323B0D72" w14:textId="791F6128" w:rsidR="00847FE2" w:rsidRDefault="008324E9" w:rsidP="006C5F8A">
      <w:pPr>
        <w:pStyle w:val="LI-BodyTextUnnumbered"/>
        <w:spacing w:after="240"/>
        <w:ind w:left="2460" w:hanging="1020"/>
      </w:pPr>
      <w:r>
        <w:t>;</w:t>
      </w:r>
      <w:r w:rsidR="009C7C47">
        <w:t xml:space="preserve"> or</w:t>
      </w:r>
      <w:r>
        <w:t xml:space="preserve"> </w:t>
      </w:r>
      <w:r w:rsidRPr="008324E9">
        <w:t>(c)</w:t>
      </w:r>
      <w:r>
        <w:tab/>
      </w:r>
      <w:r w:rsidR="00847FE2" w:rsidRPr="008324E9">
        <w:t xml:space="preserve">the redemption of shares in a </w:t>
      </w:r>
      <w:r w:rsidR="00847FE2" w:rsidRPr="003F78E6">
        <w:t>CCIV</w:t>
      </w:r>
      <w:r w:rsidR="00847FE2" w:rsidRPr="008324E9">
        <w:t xml:space="preserve"> that are referable to a sub-fund of the CCIV and the reinvestment of the proceeds in shares in another sub-fund of the CCIV.</w:t>
      </w:r>
      <w:r w:rsidR="00847FE2" w:rsidRPr="00847FE2">
        <w:t xml:space="preserve"> </w:t>
      </w:r>
    </w:p>
    <w:p w14:paraId="712E3B81" w14:textId="5FE5CFFD" w:rsidR="00847FE2" w:rsidRPr="00847FE2" w:rsidRDefault="00883CAC" w:rsidP="00847FE2">
      <w:pPr>
        <w:pStyle w:val="LI-BodyTextNumbered"/>
        <w:ind w:left="567"/>
        <w:rPr>
          <w:b/>
        </w:rPr>
      </w:pPr>
      <w:r>
        <w:rPr>
          <w:b/>
        </w:rPr>
        <w:t>4</w:t>
      </w:r>
      <w:r w:rsidR="00847FE2">
        <w:rPr>
          <w:b/>
        </w:rPr>
        <w:t xml:space="preserve"> </w:t>
      </w:r>
      <w:r w:rsidR="00847FE2">
        <w:rPr>
          <w:b/>
        </w:rPr>
        <w:tab/>
        <w:t xml:space="preserve">Section 4 (paragraph (b) of the definition of </w:t>
      </w:r>
      <w:r w:rsidR="00847FE2">
        <w:rPr>
          <w:b/>
          <w:i/>
        </w:rPr>
        <w:t>voluntary switch arrangement</w:t>
      </w:r>
      <w:r w:rsidR="00847FE2">
        <w:rPr>
          <w:b/>
        </w:rPr>
        <w:t>)</w:t>
      </w:r>
    </w:p>
    <w:p w14:paraId="5163DF05" w14:textId="154704CD" w:rsidR="0080458B" w:rsidRPr="00883CAC" w:rsidRDefault="00370609" w:rsidP="00883CAC">
      <w:pPr>
        <w:pStyle w:val="LI-BodyTextUnnumbered"/>
        <w:spacing w:after="240"/>
      </w:pPr>
      <w:r>
        <w:t xml:space="preserve">Omit “.”, substitute “may be accepted; or”. </w:t>
      </w:r>
    </w:p>
    <w:p w14:paraId="515367E1" w14:textId="5B7B00D1" w:rsidR="00337F07" w:rsidRDefault="00883CAC" w:rsidP="00337F07">
      <w:pPr>
        <w:pStyle w:val="LI-BodyTextNumbered"/>
        <w:ind w:left="567"/>
        <w:rPr>
          <w:b/>
        </w:rPr>
      </w:pPr>
      <w:r>
        <w:rPr>
          <w:b/>
        </w:rPr>
        <w:t>5</w:t>
      </w:r>
      <w:r w:rsidR="00337F07">
        <w:rPr>
          <w:b/>
        </w:rPr>
        <w:t xml:space="preserve"> </w:t>
      </w:r>
      <w:r w:rsidR="00337F07">
        <w:rPr>
          <w:b/>
        </w:rPr>
        <w:tab/>
        <w:t>Section 4 (</w:t>
      </w:r>
      <w:r w:rsidR="00F96DA5">
        <w:rPr>
          <w:b/>
        </w:rPr>
        <w:t xml:space="preserve">at the end of </w:t>
      </w:r>
      <w:r w:rsidR="00337F07">
        <w:rPr>
          <w:b/>
        </w:rPr>
        <w:t xml:space="preserve">the definition of </w:t>
      </w:r>
      <w:r w:rsidR="00337F07">
        <w:rPr>
          <w:b/>
          <w:i/>
        </w:rPr>
        <w:t>voluntary switch arrangement</w:t>
      </w:r>
      <w:r w:rsidR="00337F07">
        <w:rPr>
          <w:b/>
        </w:rPr>
        <w:t>)</w:t>
      </w:r>
    </w:p>
    <w:p w14:paraId="30892EE3" w14:textId="16E4E44E" w:rsidR="0080458B" w:rsidRPr="0080458B" w:rsidRDefault="0000148E" w:rsidP="0080458B">
      <w:pPr>
        <w:pStyle w:val="LI-BodyTextUnnumbered"/>
        <w:spacing w:after="240"/>
      </w:pPr>
      <w:r w:rsidRPr="0064449B">
        <w:t>Add</w:t>
      </w:r>
      <w:r w:rsidR="0080458B">
        <w:t xml:space="preserve">: </w:t>
      </w:r>
    </w:p>
    <w:p w14:paraId="6094C91D" w14:textId="3C4E78BC" w:rsidR="00AD4B89" w:rsidRPr="00DB2958" w:rsidRDefault="00337F07" w:rsidP="00DB2958">
      <w:pPr>
        <w:pStyle w:val="LI-BodyTextSubparai"/>
        <w:numPr>
          <w:ilvl w:val="0"/>
          <w:numId w:val="31"/>
        </w:numPr>
      </w:pPr>
      <w:r w:rsidRPr="00337F07">
        <w:t xml:space="preserve">a written arrangement between the </w:t>
      </w:r>
      <w:r w:rsidRPr="003F78E6">
        <w:t>CCIV</w:t>
      </w:r>
      <w:r w:rsidRPr="00337F07">
        <w:t xml:space="preserve"> and a member of a sub-fund of the CCIV that sets out the circumstances in which an application (</w:t>
      </w:r>
      <w:r w:rsidRPr="00337F07">
        <w:rPr>
          <w:b/>
          <w:i/>
        </w:rPr>
        <w:t>switch application</w:t>
      </w:r>
      <w:r w:rsidRPr="00337F07">
        <w:t xml:space="preserve">) by the member to switch </w:t>
      </w:r>
      <w:r w:rsidRPr="00337F07">
        <w:lastRenderedPageBreak/>
        <w:t>from shares in the sub-fund of the CCIV to shares in another sub-fund of the CCIV may be accepted.</w:t>
      </w:r>
    </w:p>
    <w:p w14:paraId="6D70A32E" w14:textId="6A46D470" w:rsidR="00AD4B89" w:rsidRPr="00CA3A25" w:rsidRDefault="00883CAC" w:rsidP="00AD4B89">
      <w:pPr>
        <w:pStyle w:val="LI-BodyTextNumbered"/>
        <w:ind w:left="567"/>
        <w:rPr>
          <w:b/>
        </w:rPr>
      </w:pPr>
      <w:r>
        <w:rPr>
          <w:b/>
        </w:rPr>
        <w:t>6</w:t>
      </w:r>
      <w:r w:rsidR="00AD4B89" w:rsidRPr="00CA3A25">
        <w:rPr>
          <w:b/>
        </w:rPr>
        <w:tab/>
      </w:r>
      <w:r w:rsidR="00AD4B89">
        <w:rPr>
          <w:b/>
        </w:rPr>
        <w:t>After section 5A</w:t>
      </w:r>
    </w:p>
    <w:p w14:paraId="26AA35AA" w14:textId="5B161B57" w:rsidR="00AD4B89" w:rsidRDefault="00AD4B89" w:rsidP="00AD4B89">
      <w:pPr>
        <w:pStyle w:val="LI-BodyTextUnnumbered"/>
        <w:spacing w:after="240"/>
      </w:pPr>
      <w:r>
        <w:t xml:space="preserve">Insert: </w:t>
      </w:r>
    </w:p>
    <w:p w14:paraId="46E05218" w14:textId="77777777" w:rsidR="00AD4B89" w:rsidRPr="008D6135" w:rsidRDefault="00AD4B89" w:rsidP="00AD4B89">
      <w:pPr>
        <w:pStyle w:val="LI-SectionHeading"/>
        <w:ind w:left="2007"/>
      </w:pPr>
      <w:r w:rsidRPr="008D6135">
        <w:t>5B</w:t>
      </w:r>
      <w:r w:rsidRPr="008D6135">
        <w:tab/>
        <w:t xml:space="preserve">Applications to switch between sub-funds of </w:t>
      </w:r>
      <w:r>
        <w:t xml:space="preserve">a </w:t>
      </w:r>
      <w:r w:rsidRPr="008D6135">
        <w:t>retail CCIV</w:t>
      </w:r>
    </w:p>
    <w:p w14:paraId="26BA3451" w14:textId="77777777" w:rsidR="00AD4B89" w:rsidRPr="008D6135" w:rsidRDefault="00AD4B89" w:rsidP="00AD4B89">
      <w:pPr>
        <w:pStyle w:val="LI-BodyTextNumbered"/>
        <w:ind w:left="2007"/>
        <w:rPr>
          <w:i/>
        </w:rPr>
      </w:pPr>
      <w:r w:rsidRPr="008D6135">
        <w:rPr>
          <w:i/>
        </w:rPr>
        <w:t>Exemption</w:t>
      </w:r>
    </w:p>
    <w:p w14:paraId="5075D9D9" w14:textId="58BF4DAB" w:rsidR="00AD4B89" w:rsidRPr="00AD4B89" w:rsidRDefault="00AD4B89" w:rsidP="00AD4B89">
      <w:pPr>
        <w:pStyle w:val="LI-BodyTextNumbered"/>
        <w:ind w:left="2290" w:hanging="850"/>
        <w:rPr>
          <w:rFonts w:cs="Arial"/>
        </w:rPr>
      </w:pPr>
      <w:r w:rsidRPr="00AD4B89">
        <w:rPr>
          <w:rFonts w:cs="Arial"/>
        </w:rPr>
        <w:t>(1)</w:t>
      </w:r>
      <w:r w:rsidRPr="00AD4B89">
        <w:rPr>
          <w:rFonts w:cs="Arial"/>
        </w:rPr>
        <w:tab/>
        <w:t>A</w:t>
      </w:r>
      <w:r w:rsidR="00AD1A75">
        <w:rPr>
          <w:rFonts w:cs="Arial"/>
        </w:rPr>
        <w:t xml:space="preserve"> </w:t>
      </w:r>
      <w:r w:rsidR="007F6CB1">
        <w:rPr>
          <w:rFonts w:cs="Arial"/>
        </w:rPr>
        <w:t xml:space="preserve">retail </w:t>
      </w:r>
      <w:r w:rsidRPr="001C48DF">
        <w:rPr>
          <w:rFonts w:cs="Arial"/>
        </w:rPr>
        <w:t>CCIV</w:t>
      </w:r>
      <w:r w:rsidRPr="00AD4B89">
        <w:rPr>
          <w:rFonts w:cs="Arial"/>
        </w:rPr>
        <w:t xml:space="preserve"> does not have to comply with section 1016A of the Act in relation to the issue of shares (</w:t>
      </w:r>
      <w:r w:rsidRPr="00AD4B89">
        <w:rPr>
          <w:rFonts w:cs="Arial"/>
          <w:b/>
          <w:i/>
        </w:rPr>
        <w:t>new shares</w:t>
      </w:r>
      <w:r w:rsidRPr="00AD4B89">
        <w:rPr>
          <w:rFonts w:cs="Arial"/>
        </w:rPr>
        <w:t xml:space="preserve">) in the </w:t>
      </w:r>
      <w:r w:rsidR="007F6CB1">
        <w:rPr>
          <w:rFonts w:cs="Arial"/>
        </w:rPr>
        <w:t xml:space="preserve">retail </w:t>
      </w:r>
      <w:r w:rsidRPr="00AD4B89">
        <w:rPr>
          <w:rFonts w:cs="Arial"/>
        </w:rPr>
        <w:t xml:space="preserve">CCIV that is made in accordance with a voluntary switch </w:t>
      </w:r>
      <w:proofErr w:type="gramStart"/>
      <w:r w:rsidRPr="00AD4B89">
        <w:rPr>
          <w:rFonts w:cs="Arial"/>
        </w:rPr>
        <w:t>arrangement</w:t>
      </w:r>
      <w:proofErr w:type="gramEnd"/>
      <w:r w:rsidRPr="00AD4B89">
        <w:rPr>
          <w:rFonts w:cs="Arial"/>
        </w:rPr>
        <w:t xml:space="preserve"> or a member approved switch arrangement.</w:t>
      </w:r>
    </w:p>
    <w:p w14:paraId="54332C2D" w14:textId="77777777" w:rsidR="00AD4B89" w:rsidRPr="00AD4B89" w:rsidRDefault="00AD4B89" w:rsidP="00AD4B89">
      <w:pPr>
        <w:pStyle w:val="LI-BodyTextNumbered"/>
        <w:ind w:left="2007"/>
        <w:rPr>
          <w:i/>
        </w:rPr>
      </w:pPr>
      <w:r w:rsidRPr="008D6135">
        <w:rPr>
          <w:i/>
        </w:rPr>
        <w:t>Where exemption is available</w:t>
      </w:r>
    </w:p>
    <w:p w14:paraId="4A32AC17" w14:textId="0EE263D3" w:rsidR="00AD4B89" w:rsidRPr="00AD4B89" w:rsidRDefault="00AD4B89" w:rsidP="00AD4B89">
      <w:pPr>
        <w:pStyle w:val="LI-BodyTextNumbered"/>
        <w:ind w:left="2290" w:hanging="850"/>
        <w:rPr>
          <w:rFonts w:cs="Arial"/>
        </w:rPr>
      </w:pPr>
      <w:r w:rsidRPr="00AD4B89">
        <w:rPr>
          <w:rFonts w:cs="Arial"/>
        </w:rPr>
        <w:t>(2)</w:t>
      </w:r>
      <w:r w:rsidRPr="00AD4B89">
        <w:rPr>
          <w:rFonts w:cs="Arial"/>
        </w:rPr>
        <w:tab/>
        <w:t xml:space="preserve">The exemption in subsection (1) is available to a </w:t>
      </w:r>
      <w:r w:rsidR="002732B0">
        <w:rPr>
          <w:rFonts w:cs="Arial"/>
        </w:rPr>
        <w:t xml:space="preserve">retail </w:t>
      </w:r>
      <w:r w:rsidRPr="00AD4B89">
        <w:rPr>
          <w:rFonts w:cs="Arial"/>
        </w:rPr>
        <w:t xml:space="preserve">CCIV where the corporate director of the </w:t>
      </w:r>
      <w:r w:rsidR="002732B0">
        <w:rPr>
          <w:rFonts w:cs="Arial"/>
        </w:rPr>
        <w:t xml:space="preserve">retail </w:t>
      </w:r>
      <w:r w:rsidRPr="00AD4B89">
        <w:rPr>
          <w:rFonts w:cs="Arial"/>
        </w:rPr>
        <w:t xml:space="preserve">CCIV has taken reasonable steps to ensure that: </w:t>
      </w:r>
    </w:p>
    <w:p w14:paraId="1500BDDB" w14:textId="58904A35" w:rsidR="00AD4B89" w:rsidRPr="00AD4B89" w:rsidRDefault="00AD4B89" w:rsidP="00E45774">
      <w:pPr>
        <w:pStyle w:val="LI-BodyTextSubparai"/>
        <w:numPr>
          <w:ilvl w:val="0"/>
          <w:numId w:val="32"/>
        </w:numPr>
      </w:pPr>
      <w:r w:rsidRPr="00AD4B89">
        <w:t>in the case of a voluntary switch arrangement—before the time (</w:t>
      </w:r>
      <w:r w:rsidRPr="00AD4B89">
        <w:rPr>
          <w:b/>
          <w:i/>
        </w:rPr>
        <w:t>relevant time</w:t>
      </w:r>
      <w:r w:rsidRPr="00AD4B89">
        <w:t>) of the switch application in relation to the new shares; and</w:t>
      </w:r>
    </w:p>
    <w:p w14:paraId="588049AF" w14:textId="5039E406" w:rsidR="00AD4B89" w:rsidRPr="00AD4B89" w:rsidRDefault="00AD4B89" w:rsidP="00E45774">
      <w:pPr>
        <w:pStyle w:val="LI-BodyTextSubparai"/>
        <w:numPr>
          <w:ilvl w:val="0"/>
          <w:numId w:val="32"/>
        </w:numPr>
      </w:pPr>
      <w:r w:rsidRPr="00AD4B89">
        <w:t>in the case of a member approved switch arrangement—before the time (</w:t>
      </w:r>
      <w:r w:rsidRPr="00AD4B89">
        <w:rPr>
          <w:b/>
          <w:i/>
        </w:rPr>
        <w:t>relevant time</w:t>
      </w:r>
      <w:r w:rsidRPr="00AD4B89">
        <w:t xml:space="preserve">) of the vote on the resolution to approve the </w:t>
      </w:r>
      <w:proofErr w:type="gramStart"/>
      <w:r w:rsidRPr="00AD4B89">
        <w:t>arrangement;</w:t>
      </w:r>
      <w:proofErr w:type="gramEnd"/>
    </w:p>
    <w:p w14:paraId="6DAAF898" w14:textId="4404FC3C" w:rsidR="00AD4B89" w:rsidRPr="008D6135" w:rsidRDefault="00AD4B89" w:rsidP="00724486">
      <w:pPr>
        <w:pStyle w:val="LI-BodyTextNumbered"/>
        <w:ind w:left="2160" w:firstLine="0"/>
      </w:pPr>
      <w:r>
        <w:t xml:space="preserve">the </w:t>
      </w:r>
      <w:r w:rsidR="002732B0">
        <w:t xml:space="preserve">retail </w:t>
      </w:r>
      <w:r>
        <w:t>CCIV</w:t>
      </w:r>
      <w:r w:rsidRPr="008D6135">
        <w:t xml:space="preserve"> gave, or made available by a nominated electronic means, to the member:</w:t>
      </w:r>
    </w:p>
    <w:p w14:paraId="530FC499" w14:textId="2778193B" w:rsidR="00AD4B89" w:rsidRPr="006C78E7" w:rsidRDefault="00AD4B89" w:rsidP="00E45774">
      <w:pPr>
        <w:pStyle w:val="LI-BodyTextSubparai"/>
        <w:numPr>
          <w:ilvl w:val="0"/>
          <w:numId w:val="32"/>
        </w:numPr>
      </w:pPr>
      <w:r w:rsidRPr="008D6135">
        <w:t>a Product Disclosure Statement (</w:t>
      </w:r>
      <w:r w:rsidRPr="006C78E7">
        <w:rPr>
          <w:b/>
          <w:i/>
        </w:rPr>
        <w:t>Statement</w:t>
      </w:r>
      <w:r w:rsidRPr="008D6135">
        <w:t>) or Short-Form PDS (</w:t>
      </w:r>
      <w:r w:rsidRPr="006C78E7">
        <w:rPr>
          <w:b/>
          <w:i/>
        </w:rPr>
        <w:t>Statement</w:t>
      </w:r>
      <w:r w:rsidRPr="008D6135">
        <w:t>) for the new share</w:t>
      </w:r>
      <w:r>
        <w:t>s</w:t>
      </w:r>
      <w:r w:rsidRPr="008D6135">
        <w:t xml:space="preserve"> that was not defective at the relevant time</w:t>
      </w:r>
      <w:r w:rsidRPr="006C78E7">
        <w:t>; and</w:t>
      </w:r>
    </w:p>
    <w:p w14:paraId="1EF5F248" w14:textId="77777777" w:rsidR="00AD4B89" w:rsidRPr="008D6135" w:rsidRDefault="00AD4B89" w:rsidP="00966776">
      <w:pPr>
        <w:pStyle w:val="LI-BodyTextNumbered"/>
        <w:ind w:left="3532"/>
      </w:pPr>
      <w:r w:rsidRPr="008D6135">
        <w:rPr>
          <w:sz w:val="18"/>
          <w:szCs w:val="18"/>
        </w:rPr>
        <w:t>Note:   The information contained in a Statement includes any information contained in a Supplementary Statement given at the same time as the Statement or later: sections 1014D and 1017O</w:t>
      </w:r>
      <w:r w:rsidRPr="008D6135">
        <w:t xml:space="preserve"> </w:t>
      </w:r>
      <w:r w:rsidRPr="008D6135">
        <w:rPr>
          <w:rStyle w:val="LI-SectionNoteChar"/>
        </w:rPr>
        <w:t>(</w:t>
      </w:r>
      <w:r w:rsidRPr="008D6135">
        <w:rPr>
          <w:sz w:val="18"/>
          <w:szCs w:val="18"/>
        </w:rPr>
        <w:t xml:space="preserve">as notionally inserted by Part 3 of Schedule 10BA of the </w:t>
      </w:r>
      <w:r w:rsidRPr="008D6135">
        <w:rPr>
          <w:i/>
          <w:sz w:val="18"/>
          <w:szCs w:val="18"/>
        </w:rPr>
        <w:t>Corporations Regulations 2001</w:t>
      </w:r>
      <w:r w:rsidRPr="008D6135">
        <w:rPr>
          <w:sz w:val="18"/>
          <w:szCs w:val="18"/>
        </w:rPr>
        <w:t xml:space="preserve">). </w:t>
      </w:r>
    </w:p>
    <w:p w14:paraId="6968676C" w14:textId="39EF0CDB" w:rsidR="00AD4B89" w:rsidRDefault="00AD4B89" w:rsidP="00E45774">
      <w:pPr>
        <w:pStyle w:val="LI-BodyTextSubparai"/>
        <w:numPr>
          <w:ilvl w:val="0"/>
          <w:numId w:val="32"/>
        </w:numPr>
      </w:pPr>
      <w:r w:rsidRPr="008D6135">
        <w:t>information which describes the switch arrangement.</w:t>
      </w:r>
    </w:p>
    <w:p w14:paraId="7D2A9A48" w14:textId="2B8B589E" w:rsidR="00287EB5" w:rsidRDefault="00883CAC" w:rsidP="00287EB5">
      <w:pPr>
        <w:pStyle w:val="LI-BodyTextNumbered"/>
        <w:ind w:left="567"/>
        <w:rPr>
          <w:b/>
        </w:rPr>
      </w:pPr>
      <w:r>
        <w:rPr>
          <w:b/>
        </w:rPr>
        <w:t>7</w:t>
      </w:r>
      <w:r w:rsidR="00287EB5" w:rsidRPr="00CA3A25">
        <w:rPr>
          <w:b/>
        </w:rPr>
        <w:tab/>
      </w:r>
      <w:r w:rsidR="007E189C">
        <w:rPr>
          <w:b/>
        </w:rPr>
        <w:t>At the end of s</w:t>
      </w:r>
      <w:r w:rsidR="00287EB5">
        <w:rPr>
          <w:b/>
        </w:rPr>
        <w:t xml:space="preserve">ubsection 9(2) </w:t>
      </w:r>
    </w:p>
    <w:p w14:paraId="0EC8AB03" w14:textId="073510A4" w:rsidR="00642961" w:rsidRPr="004F7887" w:rsidRDefault="007E189C" w:rsidP="004F7887">
      <w:pPr>
        <w:pStyle w:val="LI-BodyTextNumbered"/>
        <w:ind w:left="2007"/>
      </w:pPr>
      <w:r>
        <w:t xml:space="preserve">Add: </w:t>
      </w:r>
      <w:r w:rsidR="00287EB5" w:rsidRPr="008D6135">
        <w:rPr>
          <w:sz w:val="18"/>
          <w:szCs w:val="18"/>
        </w:rPr>
        <w:t xml:space="preserve">Note:   </w:t>
      </w:r>
      <w:r w:rsidR="00287EB5">
        <w:rPr>
          <w:sz w:val="18"/>
          <w:szCs w:val="18"/>
        </w:rPr>
        <w:t xml:space="preserve">Part 7.9 applies to CCIVs subject to modifications: see, in particular, section 1241W (which modifies section 1016A).  </w:t>
      </w:r>
      <w:r w:rsidR="00287EB5" w:rsidRPr="008D6135">
        <w:rPr>
          <w:sz w:val="18"/>
          <w:szCs w:val="18"/>
        </w:rPr>
        <w:t xml:space="preserve">  </w:t>
      </w:r>
    </w:p>
    <w:p w14:paraId="1E917C76" w14:textId="320ED8A0" w:rsidR="00287EB5" w:rsidRDefault="00520E57" w:rsidP="00B6568A">
      <w:pPr>
        <w:pStyle w:val="LI-BodyTextNumbered"/>
        <w:keepNext/>
        <w:ind w:left="567"/>
        <w:rPr>
          <w:b/>
        </w:rPr>
      </w:pPr>
      <w:r>
        <w:rPr>
          <w:b/>
        </w:rPr>
        <w:lastRenderedPageBreak/>
        <w:t>8</w:t>
      </w:r>
      <w:r w:rsidR="00B6568A">
        <w:rPr>
          <w:b/>
        </w:rPr>
        <w:tab/>
      </w:r>
      <w:r w:rsidR="00E45774">
        <w:rPr>
          <w:b/>
        </w:rPr>
        <w:t>Section 10</w:t>
      </w:r>
    </w:p>
    <w:p w14:paraId="342AAA89" w14:textId="1019FA99" w:rsidR="00E45774" w:rsidRPr="00642961" w:rsidRDefault="00E45774" w:rsidP="00E45774">
      <w:pPr>
        <w:pStyle w:val="LI-BodyTextUnnumbered"/>
        <w:spacing w:after="240"/>
      </w:pPr>
      <w:r>
        <w:t xml:space="preserve">Omit </w:t>
      </w:r>
      <w:r w:rsidR="00A23FE5">
        <w:t>“</w:t>
      </w:r>
      <w:r w:rsidR="00B96D87">
        <w:t xml:space="preserve">managed investment </w:t>
      </w:r>
      <w:r w:rsidR="00A23FE5">
        <w:t>product and a foreign passport fund product”, substitute “</w:t>
      </w:r>
      <w:r w:rsidR="00B96D87">
        <w:t xml:space="preserve">managed investment </w:t>
      </w:r>
      <w:r w:rsidR="00A23FE5">
        <w:t xml:space="preserve">product, a foreign passport fund product and a security in a CCIV”. </w:t>
      </w:r>
    </w:p>
    <w:p w14:paraId="1E561BFA" w14:textId="365F09A3" w:rsidR="00642961" w:rsidRDefault="00520E57" w:rsidP="00642961">
      <w:pPr>
        <w:pStyle w:val="LI-BodyTextNumbered"/>
        <w:ind w:left="567"/>
        <w:rPr>
          <w:b/>
        </w:rPr>
      </w:pPr>
      <w:r>
        <w:rPr>
          <w:b/>
        </w:rPr>
        <w:t>9</w:t>
      </w:r>
      <w:r w:rsidR="00642961" w:rsidRPr="00CA3A25">
        <w:rPr>
          <w:b/>
        </w:rPr>
        <w:tab/>
      </w:r>
      <w:r w:rsidR="00642961">
        <w:rPr>
          <w:b/>
        </w:rPr>
        <w:t xml:space="preserve">At the end of section 11  </w:t>
      </w:r>
    </w:p>
    <w:p w14:paraId="687C0296" w14:textId="77777777" w:rsidR="00642961" w:rsidRPr="0058252A" w:rsidRDefault="00642961" w:rsidP="00642961">
      <w:pPr>
        <w:pStyle w:val="LI-BodyTextUnnumbered"/>
        <w:spacing w:after="240"/>
        <w:rPr>
          <w:b/>
        </w:rPr>
      </w:pPr>
      <w:r>
        <w:t xml:space="preserve">Add: </w:t>
      </w:r>
    </w:p>
    <w:p w14:paraId="5C41C280" w14:textId="77777777" w:rsidR="00642961" w:rsidRPr="008D6135" w:rsidRDefault="00642961" w:rsidP="00642961">
      <w:pPr>
        <w:pStyle w:val="LI-BodyTextNumbered"/>
        <w:ind w:left="2007"/>
      </w:pPr>
      <w:r w:rsidRPr="008D6135">
        <w:rPr>
          <w:sz w:val="18"/>
          <w:szCs w:val="18"/>
        </w:rPr>
        <w:t xml:space="preserve">Note:   </w:t>
      </w:r>
      <w:r>
        <w:rPr>
          <w:sz w:val="18"/>
          <w:szCs w:val="18"/>
        </w:rPr>
        <w:t xml:space="preserve">Part 7.9 applies to CCIVs subject to modifications: see, in particular, sections 1241W (which modifies section 1016A) and 1241S (which modifies section 1012DAA). </w:t>
      </w:r>
    </w:p>
    <w:p w14:paraId="2C819A23" w14:textId="4B0CA1B4" w:rsidR="00287EB5" w:rsidRPr="00642961" w:rsidRDefault="00287EB5" w:rsidP="00163D78">
      <w:pPr>
        <w:pStyle w:val="LI-BodyTextUnnumbered"/>
        <w:spacing w:after="240"/>
        <w:ind w:left="0"/>
        <w:rPr>
          <w:b/>
        </w:rPr>
      </w:pPr>
    </w:p>
    <w:p w14:paraId="1A91D248" w14:textId="1D2F14BB" w:rsidR="002E679C" w:rsidRDefault="002E679C" w:rsidP="00724486">
      <w:pPr>
        <w:pStyle w:val="LI-BodyTextUnnumbered"/>
        <w:spacing w:after="240"/>
        <w:rPr>
          <w:b/>
          <w:kern w:val="28"/>
          <w:sz w:val="32"/>
        </w:rPr>
      </w:pPr>
      <w:r>
        <w:br w:type="page"/>
      </w:r>
    </w:p>
    <w:p w14:paraId="56A34D42" w14:textId="4EEB95A7" w:rsidR="00C25C80" w:rsidRPr="00C25C80" w:rsidRDefault="00C25C80" w:rsidP="00C25C80">
      <w:pPr>
        <w:pStyle w:val="LI-Heading1"/>
      </w:pPr>
      <w:bookmarkStart w:id="10" w:name="_Toc118808556"/>
      <w:r>
        <w:lastRenderedPageBreak/>
        <w:t>Part 2</w:t>
      </w:r>
      <w:bookmarkEnd w:id="10"/>
    </w:p>
    <w:p w14:paraId="69F3F4A7" w14:textId="76C74B5E" w:rsidR="00850F56" w:rsidRPr="00E02BC6" w:rsidRDefault="00D42785" w:rsidP="00E02BC6">
      <w:pPr>
        <w:pStyle w:val="LI-Heading2"/>
        <w:rPr>
          <w:i/>
        </w:rPr>
      </w:pPr>
      <w:bookmarkStart w:id="11" w:name="_Toc118808557"/>
      <w:r w:rsidRPr="00E02BC6">
        <w:rPr>
          <w:i/>
        </w:rPr>
        <w:t>ASIC Corporations (Changing Scheme Constitutions) Instrument 2019/700</w:t>
      </w:r>
      <w:bookmarkEnd w:id="11"/>
    </w:p>
    <w:p w14:paraId="4EFD8D6C" w14:textId="26E9BA72" w:rsidR="001E0BF5" w:rsidRPr="00CA3A25" w:rsidRDefault="006C1884" w:rsidP="00CA3A25">
      <w:pPr>
        <w:pStyle w:val="LI-BodyTextNumbered"/>
        <w:ind w:left="567"/>
        <w:rPr>
          <w:b/>
        </w:rPr>
      </w:pPr>
      <w:r>
        <w:rPr>
          <w:b/>
        </w:rPr>
        <w:t>1</w:t>
      </w:r>
      <w:r w:rsidR="00C25C80">
        <w:rPr>
          <w:b/>
        </w:rPr>
        <w:t>0</w:t>
      </w:r>
      <w:r w:rsidR="007F3A6F">
        <w:rPr>
          <w:b/>
        </w:rPr>
        <w:t xml:space="preserve"> </w:t>
      </w:r>
      <w:r w:rsidR="007F3A6F">
        <w:rPr>
          <w:b/>
        </w:rPr>
        <w:tab/>
      </w:r>
      <w:r w:rsidR="00D42785">
        <w:rPr>
          <w:b/>
        </w:rPr>
        <w:t xml:space="preserve">Section 1 </w:t>
      </w:r>
    </w:p>
    <w:p w14:paraId="70275182" w14:textId="483E4CBC" w:rsidR="001E0BF5" w:rsidRDefault="0047420F" w:rsidP="00E970CF">
      <w:pPr>
        <w:pStyle w:val="LI-BodyTextUnnumbered"/>
      </w:pPr>
      <w:r>
        <w:t xml:space="preserve">Omit “(Changing Scheme Constitutions)”, </w:t>
      </w:r>
      <w:r w:rsidR="00733795">
        <w:t>substitute</w:t>
      </w:r>
      <w:r>
        <w:t xml:space="preserve"> “(Changing Scheme and Retail CCIV Constitutions)</w:t>
      </w:r>
      <w:r w:rsidR="00D42785">
        <w:t xml:space="preserve">”. </w:t>
      </w:r>
      <w:r w:rsidR="001E0BF5">
        <w:t xml:space="preserve"> </w:t>
      </w:r>
    </w:p>
    <w:p w14:paraId="2F6EC9EF" w14:textId="0518051E" w:rsidR="001E0BF5" w:rsidRPr="00CA3A25" w:rsidRDefault="00C25C80" w:rsidP="00CA3A25">
      <w:pPr>
        <w:pStyle w:val="LI-BodyTextNumbered"/>
        <w:ind w:left="567"/>
        <w:rPr>
          <w:b/>
        </w:rPr>
      </w:pPr>
      <w:r>
        <w:rPr>
          <w:b/>
        </w:rPr>
        <w:t>11</w:t>
      </w:r>
      <w:r w:rsidR="001E0BF5" w:rsidRPr="00CA3A25">
        <w:rPr>
          <w:b/>
        </w:rPr>
        <w:tab/>
      </w:r>
      <w:r w:rsidR="00D42785">
        <w:rPr>
          <w:b/>
        </w:rPr>
        <w:t xml:space="preserve">Section 3 </w:t>
      </w:r>
    </w:p>
    <w:p w14:paraId="4845AA45" w14:textId="77777777" w:rsidR="001E0BF5" w:rsidRDefault="001E0BF5" w:rsidP="00E970CF">
      <w:pPr>
        <w:pStyle w:val="LI-BodyTextUnnumbered"/>
      </w:pPr>
      <w:r>
        <w:t>Omit “</w:t>
      </w:r>
      <w:r w:rsidR="00D42785">
        <w:t>subsection 601QA(1)”, substitute “subsections</w:t>
      </w:r>
      <w:r w:rsidR="00E970CF">
        <w:t xml:space="preserve"> 601QA(1) and 1243(2)</w:t>
      </w:r>
      <w:r w:rsidR="00D42785">
        <w:t xml:space="preserve">”. </w:t>
      </w:r>
    </w:p>
    <w:p w14:paraId="33A1E7BE" w14:textId="5947C233" w:rsidR="001E0BF5" w:rsidRPr="00CA3A25" w:rsidRDefault="00C25C80" w:rsidP="00CA3A25">
      <w:pPr>
        <w:pStyle w:val="LI-BodyTextNumbered"/>
        <w:ind w:left="567"/>
        <w:rPr>
          <w:b/>
        </w:rPr>
      </w:pPr>
      <w:r>
        <w:rPr>
          <w:b/>
        </w:rPr>
        <w:t>12</w:t>
      </w:r>
      <w:r w:rsidR="001E0BF5" w:rsidRPr="00CA3A25">
        <w:rPr>
          <w:b/>
        </w:rPr>
        <w:tab/>
      </w:r>
      <w:r w:rsidR="00E970CF">
        <w:rPr>
          <w:b/>
        </w:rPr>
        <w:t xml:space="preserve">Section 5 (heading) </w:t>
      </w:r>
    </w:p>
    <w:p w14:paraId="65443338" w14:textId="77777777" w:rsidR="00F64503" w:rsidRDefault="00F64503" w:rsidP="00E970CF">
      <w:pPr>
        <w:pStyle w:val="LI-BodyTextUnnumbered"/>
      </w:pPr>
      <w:r>
        <w:t xml:space="preserve">Repeal the heading, substitute: </w:t>
      </w:r>
    </w:p>
    <w:p w14:paraId="046DEB53" w14:textId="77777777" w:rsidR="00E970CF" w:rsidRPr="00F64503" w:rsidRDefault="00F64503" w:rsidP="00F64503">
      <w:pPr>
        <w:pStyle w:val="LI-SectionHeading"/>
        <w:ind w:left="2007"/>
      </w:pPr>
      <w:r w:rsidRPr="00F64503">
        <w:t>5</w:t>
      </w:r>
      <w:r w:rsidRPr="00F64503">
        <w:tab/>
      </w:r>
      <w:r w:rsidR="00E970CF" w:rsidRPr="00F64503">
        <w:t>Registered scheme – changing the constitution</w:t>
      </w:r>
    </w:p>
    <w:p w14:paraId="07E98BEC" w14:textId="4C5D5421" w:rsidR="00FA31DE" w:rsidRPr="00CA3A25" w:rsidRDefault="00C25C80" w:rsidP="00CA3A25">
      <w:pPr>
        <w:pStyle w:val="LI-BodyTextNumbered"/>
        <w:ind w:left="567"/>
        <w:rPr>
          <w:b/>
        </w:rPr>
      </w:pPr>
      <w:r>
        <w:rPr>
          <w:b/>
        </w:rPr>
        <w:t>13</w:t>
      </w:r>
      <w:r w:rsidR="00FC3EB8" w:rsidRPr="00CA3A25">
        <w:rPr>
          <w:b/>
        </w:rPr>
        <w:tab/>
      </w:r>
      <w:r w:rsidR="00E970CF">
        <w:rPr>
          <w:b/>
        </w:rPr>
        <w:t>A</w:t>
      </w:r>
      <w:r w:rsidR="00841AD1">
        <w:rPr>
          <w:b/>
        </w:rPr>
        <w:t xml:space="preserve">t the end of </w:t>
      </w:r>
      <w:r w:rsidR="00E970CF">
        <w:rPr>
          <w:b/>
        </w:rPr>
        <w:t>section 5</w:t>
      </w:r>
    </w:p>
    <w:p w14:paraId="32DD20E8" w14:textId="737CBC0C" w:rsidR="00CE4532" w:rsidRDefault="00841AD1" w:rsidP="00CE4532">
      <w:pPr>
        <w:pStyle w:val="LI-BodyTextUnnumbered"/>
      </w:pPr>
      <w:r>
        <w:t xml:space="preserve">Add: </w:t>
      </w:r>
      <w:bookmarkStart w:id="12" w:name="_Toc108691734"/>
    </w:p>
    <w:p w14:paraId="76D744B9" w14:textId="78C18375" w:rsidR="0098029E" w:rsidRDefault="0098029E" w:rsidP="0098029E">
      <w:pPr>
        <w:pStyle w:val="LI-SectionHeading"/>
        <w:ind w:left="2007"/>
      </w:pPr>
      <w:r>
        <w:t>6</w:t>
      </w:r>
      <w:r>
        <w:tab/>
        <w:t>Retail CCIV – changing the constitution</w:t>
      </w:r>
      <w:bookmarkEnd w:id="12"/>
    </w:p>
    <w:p w14:paraId="3B7469E3" w14:textId="77777777" w:rsidR="00E970CF" w:rsidRDefault="00E970CF" w:rsidP="0098029E">
      <w:pPr>
        <w:pStyle w:val="LI-BodyTextUnnumbered"/>
        <w:ind w:left="2007"/>
      </w:pPr>
      <w:r>
        <w:t xml:space="preserve">Part 8B.3 of the Act applies in relation to a retail CCIV </w:t>
      </w:r>
      <w:r w:rsidRPr="000D3BAF">
        <w:t>as if section</w:t>
      </w:r>
      <w:r>
        <w:t> 1223D</w:t>
      </w:r>
      <w:r w:rsidRPr="000D3BAF">
        <w:t xml:space="preserve"> of the Act were modified or varied </w:t>
      </w:r>
      <w:r>
        <w:t>by, after subsection (2), inserting the following subsections:</w:t>
      </w:r>
    </w:p>
    <w:p w14:paraId="7C0F0CE4" w14:textId="77777777" w:rsidR="00E970CF" w:rsidRPr="000D3BAF" w:rsidRDefault="00E970CF" w:rsidP="0098029E">
      <w:pPr>
        <w:pStyle w:val="LI-BodyTextNumbered"/>
        <w:ind w:left="3119" w:hanging="850"/>
        <w:rPr>
          <w:rFonts w:cs="Arial"/>
        </w:rPr>
      </w:pPr>
      <w:r w:rsidRPr="0038139D">
        <w:rPr>
          <w:rFonts w:cs="Arial"/>
        </w:rPr>
        <w:t>“(2A)</w:t>
      </w:r>
      <w:r w:rsidRPr="0038139D">
        <w:rPr>
          <w:rFonts w:cs="Arial"/>
        </w:rPr>
        <w:tab/>
        <w:t>If the constitution of a retail CCIV sets out a procedure for varying or cancelling rights of a class of members of the retail CCIV, or rights attached to a class of shares in the retail CCIV, those rights may be varied or cancelled by a resolution under subparagraph (2)(a)(</w:t>
      </w:r>
      <w:proofErr w:type="spellStart"/>
      <w:r w:rsidRPr="0038139D">
        <w:rPr>
          <w:rFonts w:cs="Arial"/>
        </w:rPr>
        <w:t>i</w:t>
      </w:r>
      <w:proofErr w:type="spellEnd"/>
      <w:r w:rsidRPr="0038139D">
        <w:rPr>
          <w:rFonts w:cs="Arial"/>
        </w:rPr>
        <w:t>) or (iii) only if that procedure is complied with.</w:t>
      </w:r>
    </w:p>
    <w:p w14:paraId="686E8874" w14:textId="77777777" w:rsidR="00E970CF" w:rsidRPr="00E950E0" w:rsidRDefault="00E970CF" w:rsidP="0098029E">
      <w:pPr>
        <w:pStyle w:val="LI-BodyTextNumbered"/>
        <w:ind w:left="2269" w:firstLine="0"/>
        <w:rPr>
          <w:rFonts w:cs="Arial"/>
          <w:i/>
        </w:rPr>
      </w:pPr>
      <w:r w:rsidRPr="00E950E0">
        <w:rPr>
          <w:rFonts w:cs="Arial"/>
          <w:i/>
        </w:rPr>
        <w:t>Passport Rules</w:t>
      </w:r>
    </w:p>
    <w:p w14:paraId="7375AD45" w14:textId="77777777" w:rsidR="00E970CF" w:rsidRPr="00E950E0" w:rsidRDefault="00E970CF" w:rsidP="0098029E">
      <w:pPr>
        <w:pStyle w:val="LI-BodyTextNumbered"/>
        <w:ind w:left="3119" w:hanging="850"/>
        <w:rPr>
          <w:rFonts w:cs="Arial"/>
        </w:rPr>
      </w:pPr>
      <w:r w:rsidRPr="00E950E0">
        <w:rPr>
          <w:rFonts w:cs="Arial"/>
        </w:rPr>
        <w:t>(</w:t>
      </w:r>
      <w:r>
        <w:rPr>
          <w:rFonts w:cs="Arial"/>
        </w:rPr>
        <w:t>2B</w:t>
      </w:r>
      <w:r w:rsidRPr="00E950E0">
        <w:rPr>
          <w:rFonts w:cs="Arial"/>
        </w:rPr>
        <w:t>)</w:t>
      </w:r>
      <w:r w:rsidRPr="00E950E0">
        <w:rPr>
          <w:rFonts w:cs="Arial"/>
        </w:rPr>
        <w:tab/>
      </w:r>
      <w:r>
        <w:rPr>
          <w:rFonts w:cs="Arial"/>
        </w:rPr>
        <w:t xml:space="preserve">Despite subsection (2), the corporate director of a retail CCIV </w:t>
      </w:r>
      <w:r w:rsidRPr="00E950E0">
        <w:rPr>
          <w:rFonts w:cs="Arial"/>
        </w:rPr>
        <w:t xml:space="preserve">may modify the constitution of the </w:t>
      </w:r>
      <w:r>
        <w:rPr>
          <w:rFonts w:cs="Arial"/>
        </w:rPr>
        <w:t xml:space="preserve">retail CCIV </w:t>
      </w:r>
      <w:r w:rsidRPr="00E950E0">
        <w:rPr>
          <w:rFonts w:cs="Arial"/>
        </w:rPr>
        <w:t xml:space="preserve">to the extent the </w:t>
      </w:r>
      <w:r>
        <w:rPr>
          <w:rFonts w:cs="Arial"/>
        </w:rPr>
        <w:t>corporate director</w:t>
      </w:r>
      <w:r w:rsidRPr="00E950E0">
        <w:rPr>
          <w:rFonts w:cs="Arial"/>
        </w:rPr>
        <w:t xml:space="preserve"> reasonably considers necessary to ensure the constitution:</w:t>
      </w:r>
    </w:p>
    <w:p w14:paraId="048515D3" w14:textId="1D5480CD" w:rsidR="0038139D" w:rsidRPr="00686CFE" w:rsidRDefault="00686CFE" w:rsidP="00686CFE">
      <w:pPr>
        <w:tabs>
          <w:tab w:val="left" w:pos="720"/>
        </w:tabs>
        <w:spacing w:before="240" w:line="240" w:lineRule="auto"/>
        <w:ind w:left="3686" w:hanging="567"/>
        <w:rPr>
          <w:rFonts w:cs="Arial"/>
          <w:sz w:val="24"/>
          <w:szCs w:val="24"/>
        </w:rPr>
      </w:pPr>
      <w:r>
        <w:rPr>
          <w:rFonts w:cs="Arial"/>
          <w:sz w:val="24"/>
          <w:szCs w:val="24"/>
        </w:rPr>
        <w:t xml:space="preserve">(a) </w:t>
      </w:r>
      <w:r>
        <w:rPr>
          <w:rFonts w:cs="Arial"/>
          <w:sz w:val="24"/>
          <w:szCs w:val="24"/>
        </w:rPr>
        <w:tab/>
      </w:r>
      <w:r w:rsidR="00E970CF" w:rsidRPr="00686CFE">
        <w:rPr>
          <w:rFonts w:cs="Arial"/>
          <w:sz w:val="24"/>
          <w:szCs w:val="24"/>
        </w:rPr>
        <w:t>is consistent with section 4 of the Passport Rules for this jurisdiction; and</w:t>
      </w:r>
    </w:p>
    <w:p w14:paraId="00A2E68B" w14:textId="0C531F6A" w:rsidR="00E970CF" w:rsidRPr="00686CFE" w:rsidRDefault="00686CFE" w:rsidP="00686CFE">
      <w:pPr>
        <w:tabs>
          <w:tab w:val="left" w:pos="720"/>
        </w:tabs>
        <w:spacing w:before="240" w:line="240" w:lineRule="auto"/>
        <w:ind w:left="3686" w:hanging="567"/>
        <w:rPr>
          <w:rFonts w:cs="Arial"/>
          <w:sz w:val="24"/>
          <w:szCs w:val="24"/>
        </w:rPr>
      </w:pPr>
      <w:r>
        <w:rPr>
          <w:rFonts w:cs="Arial"/>
          <w:sz w:val="24"/>
          <w:szCs w:val="24"/>
        </w:rPr>
        <w:t xml:space="preserve">(b) </w:t>
      </w:r>
      <w:r>
        <w:rPr>
          <w:rFonts w:cs="Arial"/>
          <w:sz w:val="24"/>
          <w:szCs w:val="24"/>
        </w:rPr>
        <w:tab/>
      </w:r>
      <w:r w:rsidR="00E970CF" w:rsidRPr="00686CFE">
        <w:rPr>
          <w:rFonts w:cs="Arial"/>
          <w:sz w:val="24"/>
          <w:szCs w:val="24"/>
        </w:rPr>
        <w:t xml:space="preserve">specifies a right of withdrawal and contains provisions for making and dealing with </w:t>
      </w:r>
      <w:r w:rsidR="00E970CF" w:rsidRPr="00686CFE">
        <w:rPr>
          <w:rFonts w:cs="Arial"/>
          <w:sz w:val="24"/>
          <w:szCs w:val="24"/>
        </w:rPr>
        <w:lastRenderedPageBreak/>
        <w:t>withdrawal requests that are consistent with Division 7.1 of Part 7 of those Rules.</w:t>
      </w:r>
    </w:p>
    <w:p w14:paraId="04732064" w14:textId="77777777" w:rsidR="00E970CF" w:rsidRDefault="00E970CF" w:rsidP="0098029E">
      <w:pPr>
        <w:spacing w:before="240" w:line="240" w:lineRule="auto"/>
        <w:ind w:left="3119"/>
      </w:pPr>
      <w:r w:rsidRPr="00E950E0">
        <w:rPr>
          <w:sz w:val="24"/>
          <w:szCs w:val="24"/>
        </w:rPr>
        <w:t>Any modifications made to the constitution under this subsection</w:t>
      </w:r>
      <w:r>
        <w:rPr>
          <w:sz w:val="24"/>
          <w:szCs w:val="24"/>
        </w:rPr>
        <w:t xml:space="preserve"> </w:t>
      </w:r>
      <w:r w:rsidRPr="00E950E0">
        <w:rPr>
          <w:sz w:val="24"/>
          <w:szCs w:val="24"/>
        </w:rPr>
        <w:t>may be made before</w:t>
      </w:r>
      <w:r>
        <w:rPr>
          <w:sz w:val="24"/>
          <w:szCs w:val="24"/>
        </w:rPr>
        <w:t xml:space="preserve"> a sub-fund of the</w:t>
      </w:r>
      <w:r w:rsidRPr="00E950E0">
        <w:rPr>
          <w:sz w:val="24"/>
          <w:szCs w:val="24"/>
        </w:rPr>
        <w:t xml:space="preserve"> </w:t>
      </w:r>
      <w:r>
        <w:rPr>
          <w:sz w:val="24"/>
          <w:szCs w:val="24"/>
        </w:rPr>
        <w:t>retail CCIV</w:t>
      </w:r>
      <w:r w:rsidRPr="00E950E0">
        <w:rPr>
          <w:sz w:val="24"/>
          <w:szCs w:val="24"/>
        </w:rPr>
        <w:t xml:space="preserve"> has a status of being an Australian passport fund but only have operative effect while the Passport Rules for this jurisdiction apply in relation to the fund.</w:t>
      </w:r>
    </w:p>
    <w:p w14:paraId="4FAE5127" w14:textId="77777777" w:rsidR="00E970CF" w:rsidRPr="003D7B3B" w:rsidRDefault="00E970CF" w:rsidP="0098029E">
      <w:pPr>
        <w:spacing w:before="240" w:line="240" w:lineRule="auto"/>
        <w:ind w:left="2269"/>
        <w:rPr>
          <w:rFonts w:cs="Arial"/>
          <w:i/>
          <w:sz w:val="24"/>
          <w:szCs w:val="24"/>
        </w:rPr>
      </w:pPr>
      <w:r w:rsidRPr="003D7B3B">
        <w:rPr>
          <w:rFonts w:cs="Arial"/>
          <w:i/>
          <w:sz w:val="24"/>
          <w:szCs w:val="24"/>
        </w:rPr>
        <w:t>Other scenarios</w:t>
      </w:r>
    </w:p>
    <w:p w14:paraId="6D6C2CAD" w14:textId="77777777" w:rsidR="00E970CF" w:rsidRPr="000D3BAF" w:rsidRDefault="00E970CF" w:rsidP="0098029E">
      <w:pPr>
        <w:spacing w:before="240" w:line="240" w:lineRule="auto"/>
        <w:ind w:left="3119" w:hanging="850"/>
        <w:rPr>
          <w:rFonts w:cs="Arial"/>
          <w:sz w:val="24"/>
          <w:szCs w:val="24"/>
        </w:rPr>
      </w:pPr>
      <w:r w:rsidRPr="000D3BAF">
        <w:rPr>
          <w:rFonts w:cs="Arial"/>
          <w:sz w:val="24"/>
          <w:szCs w:val="24"/>
        </w:rPr>
        <w:t>(</w:t>
      </w:r>
      <w:r>
        <w:rPr>
          <w:rFonts w:cs="Arial"/>
          <w:sz w:val="24"/>
          <w:szCs w:val="24"/>
        </w:rPr>
        <w:t>2C</w:t>
      </w:r>
      <w:r w:rsidRPr="000D3BAF">
        <w:rPr>
          <w:rFonts w:cs="Arial"/>
          <w:sz w:val="24"/>
          <w:szCs w:val="24"/>
        </w:rPr>
        <w:t>)</w:t>
      </w:r>
      <w:r w:rsidRPr="000D3BAF">
        <w:rPr>
          <w:rFonts w:cs="Arial"/>
          <w:sz w:val="24"/>
          <w:szCs w:val="24"/>
        </w:rPr>
        <w:tab/>
      </w:r>
      <w:r>
        <w:rPr>
          <w:rFonts w:cs="Arial"/>
          <w:sz w:val="24"/>
          <w:szCs w:val="24"/>
        </w:rPr>
        <w:t xml:space="preserve">Despite subsection (2), the </w:t>
      </w:r>
      <w:r w:rsidRPr="000D3BAF">
        <w:rPr>
          <w:rFonts w:cs="Arial"/>
          <w:sz w:val="24"/>
          <w:szCs w:val="24"/>
        </w:rPr>
        <w:t>constitution of the</w:t>
      </w:r>
      <w:r>
        <w:rPr>
          <w:rFonts w:cs="Arial"/>
          <w:sz w:val="24"/>
          <w:szCs w:val="24"/>
        </w:rPr>
        <w:t xml:space="preserve"> retail CCIV</w:t>
      </w:r>
      <w:r w:rsidRPr="000D3BAF">
        <w:rPr>
          <w:rFonts w:cs="Arial"/>
          <w:sz w:val="24"/>
          <w:szCs w:val="24"/>
        </w:rPr>
        <w:t xml:space="preserve"> may be modified, or repealed and replaced with a new constitution, by the </w:t>
      </w:r>
      <w:r>
        <w:rPr>
          <w:rFonts w:cs="Arial"/>
          <w:sz w:val="24"/>
          <w:szCs w:val="24"/>
        </w:rPr>
        <w:t>corporate director</w:t>
      </w:r>
      <w:r w:rsidRPr="000D3BAF">
        <w:rPr>
          <w:rFonts w:cs="Arial"/>
          <w:sz w:val="24"/>
          <w:szCs w:val="24"/>
        </w:rPr>
        <w:t xml:space="preserve"> if at least one of the following is satisfied at the time of the modification, or repeal and replacement:</w:t>
      </w:r>
    </w:p>
    <w:p w14:paraId="69FACBD3" w14:textId="77777777" w:rsidR="00E970CF" w:rsidRDefault="00E970CF" w:rsidP="0098029E">
      <w:pPr>
        <w:tabs>
          <w:tab w:val="left" w:pos="720"/>
        </w:tabs>
        <w:spacing w:before="240" w:line="240" w:lineRule="auto"/>
        <w:ind w:left="3686" w:hanging="567"/>
        <w:rPr>
          <w:rFonts w:cs="Arial"/>
          <w:sz w:val="24"/>
          <w:szCs w:val="24"/>
        </w:rPr>
      </w:pPr>
      <w:r w:rsidRPr="000D3BAF">
        <w:rPr>
          <w:rFonts w:cs="Arial"/>
          <w:sz w:val="24"/>
          <w:szCs w:val="24"/>
        </w:rPr>
        <w:t>(a)</w:t>
      </w:r>
      <w:r w:rsidRPr="000D3BAF">
        <w:rPr>
          <w:rFonts w:cs="Arial"/>
          <w:sz w:val="24"/>
          <w:szCs w:val="24"/>
        </w:rPr>
        <w:tab/>
        <w:t>a meeting of members is unable to be held because the quorum</w:t>
      </w:r>
      <w:r>
        <w:rPr>
          <w:rFonts w:cs="Arial"/>
          <w:sz w:val="24"/>
          <w:szCs w:val="24"/>
        </w:rPr>
        <w:t> </w:t>
      </w:r>
      <w:r w:rsidRPr="000D3BAF">
        <w:rPr>
          <w:rFonts w:cs="Arial"/>
          <w:sz w:val="24"/>
          <w:szCs w:val="24"/>
        </w:rPr>
        <w:t>requirement in either subsection 252R(2) or the</w:t>
      </w:r>
      <w:r>
        <w:rPr>
          <w:rFonts w:cs="Arial"/>
          <w:sz w:val="24"/>
          <w:szCs w:val="24"/>
        </w:rPr>
        <w:t> retail CCIV’s</w:t>
      </w:r>
      <w:r w:rsidRPr="000D3BAF">
        <w:rPr>
          <w:rFonts w:cs="Arial"/>
          <w:sz w:val="24"/>
          <w:szCs w:val="24"/>
        </w:rPr>
        <w:t xml:space="preserve"> constitution is not capable of being satisfied because the </w:t>
      </w:r>
      <w:r>
        <w:rPr>
          <w:rFonts w:cs="Arial"/>
          <w:sz w:val="24"/>
          <w:szCs w:val="24"/>
        </w:rPr>
        <w:t>retail CCIV</w:t>
      </w:r>
      <w:r w:rsidRPr="000D3BAF">
        <w:rPr>
          <w:rFonts w:cs="Arial"/>
          <w:sz w:val="24"/>
          <w:szCs w:val="24"/>
        </w:rPr>
        <w:t xml:space="preserve"> has an insufficient number of </w:t>
      </w:r>
      <w:proofErr w:type="gramStart"/>
      <w:r w:rsidRPr="000D3BAF">
        <w:rPr>
          <w:rFonts w:cs="Arial"/>
          <w:sz w:val="24"/>
          <w:szCs w:val="24"/>
        </w:rPr>
        <w:t>members;</w:t>
      </w:r>
      <w:proofErr w:type="gramEnd"/>
    </w:p>
    <w:p w14:paraId="556A5BE8" w14:textId="77777777" w:rsidR="00E970CF" w:rsidRPr="00910B7F" w:rsidRDefault="00E970CF" w:rsidP="0098029E">
      <w:pPr>
        <w:tabs>
          <w:tab w:val="left" w:pos="720"/>
        </w:tabs>
        <w:spacing w:before="240" w:line="240" w:lineRule="auto"/>
        <w:ind w:left="3686" w:hanging="567"/>
        <w:rPr>
          <w:rFonts w:cs="Arial"/>
          <w:sz w:val="18"/>
          <w:szCs w:val="18"/>
        </w:rPr>
      </w:pPr>
      <w:r w:rsidRPr="00910B7F">
        <w:rPr>
          <w:rFonts w:cs="Arial"/>
          <w:sz w:val="18"/>
          <w:szCs w:val="18"/>
        </w:rPr>
        <w:t xml:space="preserve">Note: </w:t>
      </w:r>
      <w:r w:rsidRPr="00910B7F">
        <w:rPr>
          <w:rFonts w:cs="Arial"/>
          <w:sz w:val="18"/>
          <w:szCs w:val="18"/>
        </w:rPr>
        <w:tab/>
      </w:r>
      <w:r>
        <w:rPr>
          <w:rFonts w:cs="Arial"/>
          <w:sz w:val="18"/>
          <w:szCs w:val="18"/>
        </w:rPr>
        <w:t xml:space="preserve">Section 252R </w:t>
      </w:r>
      <w:r w:rsidRPr="00910B7F">
        <w:rPr>
          <w:rFonts w:cs="Arial"/>
          <w:sz w:val="18"/>
          <w:szCs w:val="18"/>
        </w:rPr>
        <w:t xml:space="preserve">applies in relation to a CCIV and its members subject to the modifications in </w:t>
      </w:r>
      <w:r>
        <w:rPr>
          <w:rFonts w:cs="Arial"/>
          <w:sz w:val="18"/>
          <w:szCs w:val="18"/>
        </w:rPr>
        <w:t xml:space="preserve">Subdivision B of Division 6 of Part 8B.3. </w:t>
      </w:r>
      <w:r w:rsidRPr="00910B7F">
        <w:rPr>
          <w:rFonts w:cs="Arial"/>
          <w:sz w:val="18"/>
          <w:szCs w:val="18"/>
        </w:rPr>
        <w:t xml:space="preserve"> </w:t>
      </w:r>
    </w:p>
    <w:p w14:paraId="6C54AF97" w14:textId="77777777" w:rsidR="00E970CF" w:rsidRPr="00FB47F2" w:rsidRDefault="00E970CF" w:rsidP="00155B8F">
      <w:pPr>
        <w:pStyle w:val="LI-BodyTextNumbered"/>
        <w:numPr>
          <w:ilvl w:val="0"/>
          <w:numId w:val="3"/>
        </w:numPr>
        <w:ind w:left="3794"/>
        <w:rPr>
          <w:rFonts w:cs="Arial"/>
        </w:rPr>
      </w:pPr>
      <w:r w:rsidRPr="000D3BAF">
        <w:rPr>
          <w:rFonts w:cs="Arial"/>
        </w:rPr>
        <w:t xml:space="preserve">every member of the </w:t>
      </w:r>
      <w:r>
        <w:rPr>
          <w:rFonts w:cs="Arial"/>
        </w:rPr>
        <w:t>retail CCIV</w:t>
      </w:r>
      <w:r w:rsidRPr="000D3BAF">
        <w:rPr>
          <w:rFonts w:cs="Arial"/>
        </w:rPr>
        <w:t xml:space="preserve"> is not entitled to vote at a meeting of</w:t>
      </w:r>
      <w:r>
        <w:rPr>
          <w:rFonts w:cs="Arial"/>
        </w:rPr>
        <w:t xml:space="preserve"> members because of section </w:t>
      </w:r>
      <w:proofErr w:type="gramStart"/>
      <w:r>
        <w:rPr>
          <w:rFonts w:cs="Arial"/>
        </w:rPr>
        <w:t>253E;</w:t>
      </w:r>
      <w:proofErr w:type="gramEnd"/>
    </w:p>
    <w:p w14:paraId="07E12BAB" w14:textId="77777777" w:rsidR="00E970CF" w:rsidRPr="00910B7F" w:rsidRDefault="00E970CF" w:rsidP="0098029E">
      <w:pPr>
        <w:tabs>
          <w:tab w:val="left" w:pos="720"/>
        </w:tabs>
        <w:spacing w:before="240" w:line="240" w:lineRule="auto"/>
        <w:ind w:left="3686" w:hanging="567"/>
        <w:rPr>
          <w:rFonts w:cs="Arial"/>
          <w:sz w:val="18"/>
          <w:szCs w:val="18"/>
        </w:rPr>
      </w:pPr>
      <w:r w:rsidRPr="00910B7F">
        <w:rPr>
          <w:rFonts w:cs="Arial"/>
          <w:sz w:val="18"/>
          <w:szCs w:val="18"/>
        </w:rPr>
        <w:t xml:space="preserve">Note: </w:t>
      </w:r>
      <w:r w:rsidRPr="00910B7F">
        <w:rPr>
          <w:rFonts w:cs="Arial"/>
          <w:sz w:val="18"/>
          <w:szCs w:val="18"/>
        </w:rPr>
        <w:tab/>
        <w:t xml:space="preserve">Section 253E applies in relation to a CCIV subject to the modifications in </w:t>
      </w:r>
      <w:r>
        <w:rPr>
          <w:rFonts w:cs="Arial"/>
          <w:sz w:val="18"/>
          <w:szCs w:val="18"/>
        </w:rPr>
        <w:t xml:space="preserve">Subdivision B of Division 6 of Part 8B.3. </w:t>
      </w:r>
      <w:r w:rsidRPr="00910B7F">
        <w:rPr>
          <w:rFonts w:cs="Arial"/>
          <w:sz w:val="18"/>
          <w:szCs w:val="18"/>
        </w:rPr>
        <w:t xml:space="preserve"> </w:t>
      </w:r>
    </w:p>
    <w:p w14:paraId="645503AE" w14:textId="77777777" w:rsidR="00E970CF" w:rsidRDefault="00E970CF" w:rsidP="0098029E">
      <w:pPr>
        <w:pStyle w:val="LI-BodyTextNumbered"/>
        <w:ind w:left="3686"/>
        <w:rPr>
          <w:rFonts w:cs="Arial"/>
        </w:rPr>
      </w:pPr>
      <w:r w:rsidRPr="00D80B72">
        <w:rPr>
          <w:rFonts w:cs="Arial"/>
        </w:rPr>
        <w:t xml:space="preserve"> (c)</w:t>
      </w:r>
      <w:r w:rsidRPr="00D80B72">
        <w:rPr>
          <w:rFonts w:cs="Arial"/>
        </w:rPr>
        <w:tab/>
        <w:t xml:space="preserve">all </w:t>
      </w:r>
      <w:r>
        <w:rPr>
          <w:rFonts w:cs="Arial"/>
        </w:rPr>
        <w:t>shares</w:t>
      </w:r>
      <w:r w:rsidRPr="00D80B72">
        <w:rPr>
          <w:rFonts w:cs="Arial"/>
        </w:rPr>
        <w:t xml:space="preserve"> in the</w:t>
      </w:r>
      <w:r>
        <w:rPr>
          <w:rFonts w:cs="Arial"/>
        </w:rPr>
        <w:t xml:space="preserve"> retail CCIV</w:t>
      </w:r>
      <w:r w:rsidRPr="00D80B72">
        <w:rPr>
          <w:rFonts w:cs="Arial"/>
        </w:rPr>
        <w:t xml:space="preserve"> were issued</w:t>
      </w:r>
      <w:r>
        <w:rPr>
          <w:rFonts w:cs="Arial"/>
        </w:rPr>
        <w:t xml:space="preserve"> in situations that </w:t>
      </w:r>
      <w:r w:rsidRPr="00D80B72">
        <w:rPr>
          <w:rFonts w:cs="Arial"/>
        </w:rPr>
        <w:t>did</w:t>
      </w:r>
      <w:r>
        <w:rPr>
          <w:rFonts w:cs="Arial"/>
        </w:rPr>
        <w:t> </w:t>
      </w:r>
      <w:r w:rsidRPr="00D80B72">
        <w:rPr>
          <w:rFonts w:cs="Arial"/>
        </w:rPr>
        <w:t>not require the</w:t>
      </w:r>
      <w:r>
        <w:rPr>
          <w:rFonts w:cs="Arial"/>
        </w:rPr>
        <w:t xml:space="preserve"> retail</w:t>
      </w:r>
      <w:r w:rsidRPr="00D80B72">
        <w:rPr>
          <w:rFonts w:cs="Arial"/>
        </w:rPr>
        <w:t xml:space="preserve"> </w:t>
      </w:r>
      <w:r>
        <w:rPr>
          <w:rFonts w:cs="Arial"/>
        </w:rPr>
        <w:t>CCIV</w:t>
      </w:r>
      <w:r w:rsidRPr="00D80B72">
        <w:rPr>
          <w:rFonts w:cs="Arial"/>
        </w:rPr>
        <w:t xml:space="preserve"> to give a Product</w:t>
      </w:r>
      <w:r>
        <w:rPr>
          <w:rFonts w:cs="Arial"/>
        </w:rPr>
        <w:t> </w:t>
      </w:r>
      <w:r w:rsidRPr="00D80B72">
        <w:rPr>
          <w:rFonts w:cs="Arial"/>
        </w:rPr>
        <w:t>Disclosure Statement</w:t>
      </w:r>
      <w:r>
        <w:rPr>
          <w:rFonts w:cs="Arial"/>
        </w:rPr>
        <w:t>.</w:t>
      </w:r>
    </w:p>
    <w:p w14:paraId="2C7B0BC5" w14:textId="1C8FEBC8" w:rsidR="00E970CF" w:rsidRPr="00D80B72" w:rsidRDefault="00E970CF" w:rsidP="0098029E">
      <w:pPr>
        <w:pStyle w:val="LI-BodyTextNumbered"/>
        <w:ind w:left="3119" w:hanging="850"/>
        <w:rPr>
          <w:rFonts w:cs="Arial"/>
        </w:rPr>
      </w:pPr>
      <w:r w:rsidRPr="00D80B72">
        <w:rPr>
          <w:rFonts w:cs="Arial"/>
        </w:rPr>
        <w:t xml:space="preserve"> (</w:t>
      </w:r>
      <w:r>
        <w:rPr>
          <w:rFonts w:cs="Arial"/>
        </w:rPr>
        <w:t>2D</w:t>
      </w:r>
      <w:r w:rsidRPr="00D80B72">
        <w:rPr>
          <w:rFonts w:cs="Arial"/>
        </w:rPr>
        <w:t>)</w:t>
      </w:r>
      <w:r>
        <w:rPr>
          <w:rFonts w:cs="Arial"/>
        </w:rPr>
        <w:tab/>
      </w:r>
      <w:r w:rsidRPr="00D80B72">
        <w:rPr>
          <w:rFonts w:cs="Arial"/>
        </w:rPr>
        <w:t xml:space="preserve">The </w:t>
      </w:r>
      <w:r>
        <w:rPr>
          <w:rFonts w:cs="Arial"/>
        </w:rPr>
        <w:t>corporate director</w:t>
      </w:r>
      <w:r w:rsidRPr="00D80B72">
        <w:rPr>
          <w:rFonts w:cs="Arial"/>
        </w:rPr>
        <w:t xml:space="preserve"> may only make the modification, or repeal and replacement, under subsection (</w:t>
      </w:r>
      <w:r>
        <w:rPr>
          <w:rFonts w:cs="Arial"/>
        </w:rPr>
        <w:t>2C</w:t>
      </w:r>
      <w:r w:rsidRPr="00D80B72">
        <w:rPr>
          <w:rFonts w:cs="Arial"/>
        </w:rPr>
        <w:t>) if, before the modification, or repeal and replacement, both of the following</w:t>
      </w:r>
      <w:r>
        <w:rPr>
          <w:rFonts w:cs="Arial"/>
        </w:rPr>
        <w:t xml:space="preserve"> </w:t>
      </w:r>
      <w:r w:rsidRPr="00D80B72">
        <w:rPr>
          <w:rFonts w:cs="Arial"/>
        </w:rPr>
        <w:t>are satisfied:</w:t>
      </w:r>
    </w:p>
    <w:p w14:paraId="077F4B14" w14:textId="77777777" w:rsidR="00E970CF" w:rsidRPr="00D80B72" w:rsidRDefault="00E970CF" w:rsidP="0098029E">
      <w:pPr>
        <w:pStyle w:val="LI-BodyTextNumbered"/>
        <w:ind w:left="3686"/>
        <w:rPr>
          <w:rFonts w:cs="Arial"/>
        </w:rPr>
      </w:pPr>
      <w:r w:rsidRPr="00D80B72">
        <w:rPr>
          <w:rFonts w:cs="Arial"/>
        </w:rPr>
        <w:t>(a)</w:t>
      </w:r>
      <w:r w:rsidRPr="00D80B72">
        <w:rPr>
          <w:rFonts w:cs="Arial"/>
        </w:rPr>
        <w:tab/>
        <w:t xml:space="preserve">the </w:t>
      </w:r>
      <w:r>
        <w:rPr>
          <w:rFonts w:cs="Arial"/>
        </w:rPr>
        <w:t>corporate director</w:t>
      </w:r>
      <w:r w:rsidRPr="00D80B72">
        <w:rPr>
          <w:rFonts w:cs="Arial"/>
        </w:rPr>
        <w:t xml:space="preserve"> has provided to each member of the </w:t>
      </w:r>
      <w:r>
        <w:rPr>
          <w:rFonts w:cs="Arial"/>
        </w:rPr>
        <w:t>retail CCIV</w:t>
      </w:r>
      <w:r w:rsidRPr="00D80B72">
        <w:rPr>
          <w:rFonts w:cs="Arial"/>
        </w:rPr>
        <w:t xml:space="preserve">, the auditor of the </w:t>
      </w:r>
      <w:r>
        <w:rPr>
          <w:rFonts w:cs="Arial"/>
        </w:rPr>
        <w:t xml:space="preserve">retail CCIV </w:t>
      </w:r>
      <w:r w:rsidRPr="00D80B72">
        <w:rPr>
          <w:rFonts w:cs="Arial"/>
        </w:rPr>
        <w:t xml:space="preserve">and the auditor of the </w:t>
      </w:r>
      <w:r>
        <w:rPr>
          <w:rFonts w:cs="Arial"/>
        </w:rPr>
        <w:t xml:space="preserve">retail CCIV’s </w:t>
      </w:r>
      <w:r w:rsidRPr="00D80B72">
        <w:rPr>
          <w:rFonts w:cs="Arial"/>
        </w:rPr>
        <w:t xml:space="preserve">compliance plan, all the information that the </w:t>
      </w:r>
      <w:r>
        <w:rPr>
          <w:rFonts w:cs="Arial"/>
        </w:rPr>
        <w:t>corporate director</w:t>
      </w:r>
      <w:r w:rsidRPr="00D80B72">
        <w:rPr>
          <w:rFonts w:cs="Arial"/>
        </w:rPr>
        <w:t xml:space="preserve"> reasonably expects to be material to the decision of a member whether to </w:t>
      </w:r>
      <w:r w:rsidRPr="00D80B72">
        <w:rPr>
          <w:rFonts w:cs="Arial"/>
        </w:rPr>
        <w:lastRenderedPageBreak/>
        <w:t xml:space="preserve">consent to the modification, or repeal and </w:t>
      </w:r>
      <w:proofErr w:type="gramStart"/>
      <w:r w:rsidRPr="00D80B72">
        <w:rPr>
          <w:rFonts w:cs="Arial"/>
        </w:rPr>
        <w:t>replacement;</w:t>
      </w:r>
      <w:proofErr w:type="gramEnd"/>
    </w:p>
    <w:p w14:paraId="396FEED2" w14:textId="77777777" w:rsidR="00E970CF" w:rsidRPr="00D80B72" w:rsidRDefault="00E970CF" w:rsidP="0098029E">
      <w:pPr>
        <w:pStyle w:val="LI-BodyTextNumbered"/>
        <w:ind w:left="3686"/>
        <w:rPr>
          <w:rFonts w:cs="Arial"/>
        </w:rPr>
      </w:pPr>
      <w:r w:rsidRPr="00D80B72">
        <w:rPr>
          <w:rFonts w:cs="Arial"/>
        </w:rPr>
        <w:t>(b)</w:t>
      </w:r>
      <w:r w:rsidRPr="00D80B72">
        <w:rPr>
          <w:rFonts w:cs="Arial"/>
        </w:rPr>
        <w:tab/>
        <w:t xml:space="preserve">after the information in paragraph (a) has been provided, every member </w:t>
      </w:r>
      <w:r>
        <w:rPr>
          <w:rFonts w:cs="Arial"/>
        </w:rPr>
        <w:t>of the retail CCIV</w:t>
      </w:r>
      <w:r w:rsidRPr="00D80B72">
        <w:rPr>
          <w:rFonts w:cs="Arial"/>
        </w:rPr>
        <w:t xml:space="preserve"> has given their written consent to the modification or repeal and replacement.</w:t>
      </w:r>
      <w:r>
        <w:rPr>
          <w:rFonts w:cs="Arial"/>
        </w:rPr>
        <w:t>”.</w:t>
      </w:r>
    </w:p>
    <w:p w14:paraId="52216118" w14:textId="77777777" w:rsidR="002E4EB8" w:rsidRDefault="002E4EB8">
      <w:pPr>
        <w:spacing w:line="240" w:lineRule="auto"/>
        <w:rPr>
          <w:rFonts w:eastAsia="Times New Roman"/>
          <w:b/>
          <w:i/>
          <w:kern w:val="28"/>
          <w:sz w:val="28"/>
          <w:szCs w:val="28"/>
          <w:lang w:eastAsia="en-AU"/>
        </w:rPr>
      </w:pPr>
      <w:r>
        <w:rPr>
          <w:i/>
          <w:sz w:val="28"/>
          <w:szCs w:val="28"/>
        </w:rPr>
        <w:br w:type="page"/>
      </w:r>
    </w:p>
    <w:p w14:paraId="7F8E83E2" w14:textId="5B36E942" w:rsidR="00C25C80" w:rsidRPr="00C25C80" w:rsidRDefault="00C25C80" w:rsidP="002E4EB8">
      <w:pPr>
        <w:pStyle w:val="LI-Heading1"/>
        <w:ind w:left="0" w:firstLine="0"/>
        <w:rPr>
          <w:i/>
        </w:rPr>
      </w:pPr>
      <w:bookmarkStart w:id="13" w:name="_Toc118808558"/>
      <w:r>
        <w:lastRenderedPageBreak/>
        <w:t>Part 3</w:t>
      </w:r>
      <w:bookmarkEnd w:id="13"/>
    </w:p>
    <w:p w14:paraId="428DDDB4" w14:textId="648C9073" w:rsidR="002E4EB8" w:rsidRPr="00E02BC6" w:rsidRDefault="002E4EB8" w:rsidP="00E02BC6">
      <w:pPr>
        <w:pStyle w:val="LI-Heading2"/>
        <w:rPr>
          <w:i/>
        </w:rPr>
      </w:pPr>
      <w:bookmarkStart w:id="14" w:name="_Toc118808559"/>
      <w:r w:rsidRPr="00E02BC6">
        <w:rPr>
          <w:i/>
        </w:rPr>
        <w:t>ASIC Corporations (Chapter 5C—Miscellaneous Provisions) Instrument 2017/125</w:t>
      </w:r>
      <w:bookmarkEnd w:id="14"/>
    </w:p>
    <w:p w14:paraId="5A3A7F51" w14:textId="0C7AA36D" w:rsidR="00CA3A25" w:rsidRPr="00CA3A25" w:rsidRDefault="002E4EB8" w:rsidP="00CA3A25">
      <w:pPr>
        <w:pStyle w:val="LI-BodyTextNumbered"/>
        <w:ind w:left="567"/>
        <w:rPr>
          <w:b/>
        </w:rPr>
      </w:pPr>
      <w:r>
        <w:rPr>
          <w:b/>
        </w:rPr>
        <w:t>1</w:t>
      </w:r>
      <w:r w:rsidR="00C25C80">
        <w:rPr>
          <w:b/>
        </w:rPr>
        <w:t>4</w:t>
      </w:r>
      <w:r w:rsidR="00CA3A25" w:rsidRPr="00CA3A25">
        <w:rPr>
          <w:b/>
        </w:rPr>
        <w:tab/>
      </w:r>
      <w:r w:rsidR="00161438">
        <w:rPr>
          <w:b/>
        </w:rPr>
        <w:t>Section 3</w:t>
      </w:r>
    </w:p>
    <w:p w14:paraId="11332C68" w14:textId="77777777" w:rsidR="00161438" w:rsidRDefault="00161438" w:rsidP="00161438">
      <w:pPr>
        <w:pStyle w:val="LI-BodyTextUnnumbered"/>
      </w:pPr>
      <w:r>
        <w:t xml:space="preserve">Omit “subsection 601QA(1)”, substitute “subsections 601QA(1) and 1243(2)”. </w:t>
      </w:r>
    </w:p>
    <w:p w14:paraId="733B4D6C" w14:textId="2FA2E8BA" w:rsidR="00CA3A25" w:rsidRPr="00CA3A25" w:rsidRDefault="00C25C80" w:rsidP="00CA3A25">
      <w:pPr>
        <w:pStyle w:val="LI-BodyTextNumbered"/>
        <w:ind w:left="567"/>
        <w:rPr>
          <w:b/>
        </w:rPr>
      </w:pPr>
      <w:r>
        <w:rPr>
          <w:b/>
        </w:rPr>
        <w:t>15</w:t>
      </w:r>
      <w:r w:rsidR="00CA3A25" w:rsidRPr="00CA3A25">
        <w:rPr>
          <w:b/>
        </w:rPr>
        <w:tab/>
      </w:r>
      <w:r w:rsidR="00161438">
        <w:rPr>
          <w:b/>
        </w:rPr>
        <w:t>Section 5 (heading)</w:t>
      </w:r>
    </w:p>
    <w:p w14:paraId="4516188D" w14:textId="77777777" w:rsidR="00F64503" w:rsidRDefault="00F64503" w:rsidP="00161438">
      <w:pPr>
        <w:pStyle w:val="LI-BodyTextUnnumbered"/>
      </w:pPr>
      <w:r>
        <w:t xml:space="preserve">Repeal the heading, substitute: </w:t>
      </w:r>
    </w:p>
    <w:p w14:paraId="7BB8BDD9" w14:textId="77777777" w:rsidR="00161438" w:rsidRDefault="00F64503" w:rsidP="00F64503">
      <w:pPr>
        <w:pStyle w:val="LI-SectionHeading"/>
        <w:ind w:left="2007"/>
      </w:pPr>
      <w:r>
        <w:t>5</w:t>
      </w:r>
      <w:r>
        <w:tab/>
      </w:r>
      <w:r w:rsidR="00161438">
        <w:t>Registered scheme – relief to permit constitutional provisions incorporating listing rules by reference</w:t>
      </w:r>
    </w:p>
    <w:p w14:paraId="79582BDC" w14:textId="1FD1B89B" w:rsidR="00F64503" w:rsidRDefault="00C25C80" w:rsidP="00CA3A25">
      <w:pPr>
        <w:pStyle w:val="LI-BodyTextNumbered"/>
        <w:ind w:left="567"/>
        <w:rPr>
          <w:b/>
        </w:rPr>
      </w:pPr>
      <w:r>
        <w:rPr>
          <w:b/>
        </w:rPr>
        <w:t>16</w:t>
      </w:r>
      <w:r w:rsidR="00CA3A25" w:rsidRPr="00CA3A25">
        <w:rPr>
          <w:b/>
        </w:rPr>
        <w:tab/>
      </w:r>
      <w:r w:rsidR="00F64503">
        <w:rPr>
          <w:b/>
        </w:rPr>
        <w:t xml:space="preserve">Section 6 (heading) </w:t>
      </w:r>
    </w:p>
    <w:p w14:paraId="469784D7" w14:textId="77777777" w:rsidR="00F64503" w:rsidRDefault="00F64503" w:rsidP="00F64503">
      <w:pPr>
        <w:pStyle w:val="LI-BodyTextUnnumbered"/>
      </w:pPr>
      <w:r>
        <w:t xml:space="preserve">Repeal the heading, substitute: </w:t>
      </w:r>
    </w:p>
    <w:p w14:paraId="3DD017EE" w14:textId="77777777" w:rsidR="00F64503" w:rsidRDefault="00F64503" w:rsidP="00F64503">
      <w:pPr>
        <w:pStyle w:val="LI-SectionHeading"/>
        <w:ind w:left="2007"/>
      </w:pPr>
      <w:r>
        <w:t>6</w:t>
      </w:r>
      <w:r>
        <w:tab/>
        <w:t xml:space="preserve">Registered scheme – compliance plan may incorporate provisions from another scheme’s plan as amended from time to time </w:t>
      </w:r>
    </w:p>
    <w:p w14:paraId="7332C78B" w14:textId="06226293" w:rsidR="00F64503" w:rsidRDefault="00C25C80" w:rsidP="00F64503">
      <w:pPr>
        <w:pStyle w:val="LI-BodyTextNumbered"/>
        <w:ind w:left="567"/>
        <w:rPr>
          <w:b/>
        </w:rPr>
      </w:pPr>
      <w:r>
        <w:rPr>
          <w:b/>
        </w:rPr>
        <w:t>17</w:t>
      </w:r>
      <w:r w:rsidR="00F64503" w:rsidRPr="00CA3A25">
        <w:rPr>
          <w:b/>
        </w:rPr>
        <w:tab/>
      </w:r>
      <w:r w:rsidR="00F64503">
        <w:rPr>
          <w:b/>
        </w:rPr>
        <w:t xml:space="preserve">Section </w:t>
      </w:r>
      <w:r w:rsidR="0098029E">
        <w:rPr>
          <w:b/>
        </w:rPr>
        <w:t>7</w:t>
      </w:r>
      <w:r w:rsidR="00F64503">
        <w:rPr>
          <w:b/>
        </w:rPr>
        <w:t xml:space="preserve"> (heading) </w:t>
      </w:r>
    </w:p>
    <w:p w14:paraId="7E1E27A3" w14:textId="77777777" w:rsidR="00F64503" w:rsidRDefault="00F64503" w:rsidP="00F64503">
      <w:pPr>
        <w:pStyle w:val="LI-BodyTextUnnumbered"/>
      </w:pPr>
      <w:r>
        <w:t xml:space="preserve">Repeal the heading, substitute: </w:t>
      </w:r>
    </w:p>
    <w:p w14:paraId="65E39A10" w14:textId="77777777" w:rsidR="00F64503" w:rsidRDefault="00D3485A" w:rsidP="00F64503">
      <w:pPr>
        <w:pStyle w:val="LI-SectionHeading"/>
        <w:ind w:left="2007"/>
      </w:pPr>
      <w:r>
        <w:t>7</w:t>
      </w:r>
      <w:r w:rsidR="00F64503">
        <w:tab/>
        <w:t xml:space="preserve">Registered scheme – </w:t>
      </w:r>
      <w:r w:rsidR="0098029E">
        <w:t xml:space="preserve">related bodies corporate and external members of compliance committee </w:t>
      </w:r>
    </w:p>
    <w:p w14:paraId="679A4FC5" w14:textId="21F99FAF" w:rsidR="0098029E" w:rsidRPr="00CA3A25" w:rsidRDefault="00C25C80" w:rsidP="0098029E">
      <w:pPr>
        <w:pStyle w:val="LI-BodyTextNumbered"/>
        <w:ind w:left="567"/>
        <w:rPr>
          <w:b/>
        </w:rPr>
      </w:pPr>
      <w:r>
        <w:rPr>
          <w:b/>
        </w:rPr>
        <w:t>18</w:t>
      </w:r>
      <w:r w:rsidR="0098029E" w:rsidRPr="00CA3A25">
        <w:rPr>
          <w:b/>
        </w:rPr>
        <w:tab/>
      </w:r>
      <w:r w:rsidR="0098029E">
        <w:rPr>
          <w:b/>
        </w:rPr>
        <w:t>A</w:t>
      </w:r>
      <w:r w:rsidR="000C3A4E">
        <w:rPr>
          <w:b/>
        </w:rPr>
        <w:t xml:space="preserve">t the end of </w:t>
      </w:r>
      <w:r w:rsidR="0098029E">
        <w:rPr>
          <w:b/>
        </w:rPr>
        <w:t>section 7</w:t>
      </w:r>
    </w:p>
    <w:p w14:paraId="25F3315A" w14:textId="03FDBD13" w:rsidR="0098029E" w:rsidRDefault="000C3A4E" w:rsidP="0098029E">
      <w:pPr>
        <w:pStyle w:val="LI-BodyTextUnnumbered"/>
      </w:pPr>
      <w:r>
        <w:t xml:space="preserve">Add: </w:t>
      </w:r>
    </w:p>
    <w:p w14:paraId="7DB91C0A" w14:textId="77777777" w:rsidR="00D3485A" w:rsidRDefault="00D3485A" w:rsidP="00D3485A">
      <w:pPr>
        <w:pStyle w:val="LI-SectionHeading"/>
        <w:ind w:left="2007"/>
      </w:pPr>
      <w:bookmarkStart w:id="15" w:name="_Toc108689453"/>
      <w:r>
        <w:t>8</w:t>
      </w:r>
      <w:r>
        <w:tab/>
        <w:t>Retail CCIV – constitutional provisions for incorporating listing rules by reference</w:t>
      </w:r>
      <w:bookmarkEnd w:id="15"/>
    </w:p>
    <w:p w14:paraId="41759D60" w14:textId="77777777" w:rsidR="00D3485A" w:rsidRDefault="00D3485A" w:rsidP="00D3485A">
      <w:pPr>
        <w:pStyle w:val="LI-BodyTextNumbered"/>
        <w:ind w:left="2007" w:firstLine="0"/>
      </w:pPr>
      <w:r>
        <w:t xml:space="preserve">Part 8B.3 of the Act </w:t>
      </w:r>
      <w:r w:rsidRPr="00D3485A">
        <w:t>applies in relation to</w:t>
      </w:r>
      <w:r>
        <w:t xml:space="preserve"> all retail CCIVs as if that Part were modified or varied by inserting the following section after section 1223H:  </w:t>
      </w:r>
    </w:p>
    <w:p w14:paraId="58233B86" w14:textId="6C186698" w:rsidR="00D3485A" w:rsidRPr="00C63E40" w:rsidRDefault="00D3485A" w:rsidP="00D3485A">
      <w:pPr>
        <w:pStyle w:val="LI-BodyTextNumbered"/>
        <w:keepNext/>
        <w:ind w:left="2007" w:firstLine="0"/>
      </w:pPr>
      <w:r w:rsidRPr="00162B3E">
        <w:t>“</w:t>
      </w:r>
      <w:r w:rsidRPr="00C63E40">
        <w:rPr>
          <w:b/>
        </w:rPr>
        <w:t>1223</w:t>
      </w:r>
      <w:r w:rsidR="004F4647">
        <w:rPr>
          <w:b/>
        </w:rPr>
        <w:t>J</w:t>
      </w:r>
      <w:r w:rsidR="007D29E5">
        <w:rPr>
          <w:b/>
        </w:rPr>
        <w:tab/>
      </w:r>
      <w:r w:rsidRPr="00C63E40">
        <w:rPr>
          <w:b/>
        </w:rPr>
        <w:t>Retail CCIV</w:t>
      </w:r>
      <w:r w:rsidR="00724486">
        <w:rPr>
          <w:b/>
        </w:rPr>
        <w:t xml:space="preserve"> </w:t>
      </w:r>
      <w:r w:rsidRPr="00C63E40">
        <w:rPr>
          <w:b/>
        </w:rPr>
        <w:t>–</w:t>
      </w:r>
      <w:r w:rsidR="00724486">
        <w:rPr>
          <w:b/>
        </w:rPr>
        <w:t xml:space="preserve"> </w:t>
      </w:r>
      <w:r w:rsidRPr="00C63E40">
        <w:rPr>
          <w:b/>
        </w:rPr>
        <w:t>Incorporating listing rules by reference</w:t>
      </w:r>
      <w:r w:rsidRPr="00F940AF">
        <w:t xml:space="preserve">  </w:t>
      </w:r>
    </w:p>
    <w:p w14:paraId="5AAF60BD" w14:textId="77777777" w:rsidR="00D3485A" w:rsidRDefault="00D3485A" w:rsidP="00D3485A">
      <w:pPr>
        <w:pStyle w:val="LI-SectionSubsectionText"/>
        <w:ind w:left="3141"/>
      </w:pPr>
      <w:r>
        <w:t>“(1)</w:t>
      </w:r>
      <w:r>
        <w:tab/>
        <w:t xml:space="preserve">Despite anything in this Subdivision, if: </w:t>
      </w:r>
    </w:p>
    <w:p w14:paraId="151F236E" w14:textId="77777777" w:rsidR="00D3485A" w:rsidRDefault="00D3485A" w:rsidP="00D3485A">
      <w:pPr>
        <w:pStyle w:val="LI-Sectionparaa"/>
        <w:ind w:left="3708"/>
      </w:pPr>
      <w:r>
        <w:t>(a)</w:t>
      </w:r>
      <w:r>
        <w:tab/>
        <w:t xml:space="preserve">a retail CCIV or a sub-fund of a retail CCIV is admitted to the official list of an eligible Australian market or the corporate director of </w:t>
      </w:r>
      <w:r>
        <w:lastRenderedPageBreak/>
        <w:t>the retail CCIV is proposing to seek such admission; and</w:t>
      </w:r>
    </w:p>
    <w:p w14:paraId="669EF499" w14:textId="77777777" w:rsidR="00D3485A" w:rsidRDefault="00D3485A" w:rsidP="00D3485A">
      <w:pPr>
        <w:pStyle w:val="LI-Sectionparaa"/>
        <w:ind w:left="3708"/>
      </w:pPr>
      <w:r>
        <w:t>(b)</w:t>
      </w:r>
      <w:r>
        <w:tab/>
        <w:t xml:space="preserve">a retail CCIV is required or permitted for the purposes of the listing rules of the eligible Australian market to include a listing rule consistency provision in its </w:t>
      </w:r>
      <w:proofErr w:type="gramStart"/>
      <w:r>
        <w:t>constitution;</w:t>
      </w:r>
      <w:proofErr w:type="gramEnd"/>
      <w:r>
        <w:t xml:space="preserve"> </w:t>
      </w:r>
    </w:p>
    <w:p w14:paraId="7B1A6FEA" w14:textId="77777777" w:rsidR="00D3485A" w:rsidRDefault="00D3485A" w:rsidP="00D3485A">
      <w:pPr>
        <w:pStyle w:val="LI-SectionSubsectionText"/>
        <w:ind w:left="3141"/>
      </w:pPr>
      <w:r>
        <w:tab/>
        <w:t xml:space="preserve">the </w:t>
      </w:r>
      <w:r w:rsidRPr="00D6102A">
        <w:t>constitution</w:t>
      </w:r>
      <w:r>
        <w:t xml:space="preserve"> of the retail CCIV may include a listing rule consistency provision.</w:t>
      </w:r>
    </w:p>
    <w:p w14:paraId="40445826" w14:textId="77777777" w:rsidR="00D3485A" w:rsidRDefault="00D3485A" w:rsidP="00D3485A">
      <w:pPr>
        <w:pStyle w:val="LI-SectionSubsectionText"/>
        <w:ind w:left="3141"/>
      </w:pPr>
      <w:r>
        <w:t>(2)</w:t>
      </w:r>
      <w:r>
        <w:tab/>
        <w:t>In this section:</w:t>
      </w:r>
    </w:p>
    <w:p w14:paraId="18F67243" w14:textId="77777777" w:rsidR="00D3485A" w:rsidRDefault="00D3485A" w:rsidP="00D3485A">
      <w:pPr>
        <w:pStyle w:val="LI-Sectionparaa"/>
        <w:ind w:left="3141" w:firstLine="0"/>
      </w:pPr>
      <w:r w:rsidRPr="002C0D13">
        <w:rPr>
          <w:b/>
          <w:i/>
        </w:rPr>
        <w:t>eligible Australian market</w:t>
      </w:r>
      <w:r w:rsidRPr="002C0D13">
        <w:t xml:space="preserve"> </w:t>
      </w:r>
      <w:r w:rsidRPr="00AF10CC">
        <w:t>means</w:t>
      </w:r>
      <w:r>
        <w:t xml:space="preserve"> a financial market operated by:</w:t>
      </w:r>
    </w:p>
    <w:p w14:paraId="418A409E" w14:textId="77777777" w:rsidR="00D3485A" w:rsidRDefault="00D3485A" w:rsidP="00D3485A">
      <w:pPr>
        <w:pStyle w:val="LI-Sectionparaa"/>
        <w:ind w:left="3708"/>
      </w:pPr>
      <w:r>
        <w:t>(a)</w:t>
      </w:r>
      <w:r>
        <w:tab/>
        <w:t>Sydney Stock Exchange Limited ACN 080 399 220; or</w:t>
      </w:r>
    </w:p>
    <w:p w14:paraId="6FDDC3CA" w14:textId="77777777" w:rsidR="00D3485A" w:rsidRPr="00D51662" w:rsidRDefault="00D3485A" w:rsidP="00D3485A">
      <w:pPr>
        <w:pStyle w:val="LI-Sectionparaa"/>
        <w:ind w:left="3708"/>
      </w:pPr>
      <w:r>
        <w:t>(b)</w:t>
      </w:r>
      <w:r>
        <w:tab/>
        <w:t>ASX Limited ACN 008 624 691.</w:t>
      </w:r>
    </w:p>
    <w:p w14:paraId="29AD06C8" w14:textId="77777777" w:rsidR="00D3485A" w:rsidRPr="009D3D67" w:rsidRDefault="00D3485A" w:rsidP="00D3485A">
      <w:pPr>
        <w:pStyle w:val="LI-SectionSubsectionText"/>
        <w:ind w:left="3141" w:firstLine="0"/>
        <w:rPr>
          <w:b/>
        </w:rPr>
      </w:pPr>
      <w:r>
        <w:rPr>
          <w:b/>
          <w:i/>
        </w:rPr>
        <w:t>l</w:t>
      </w:r>
      <w:r w:rsidRPr="00D51662">
        <w:rPr>
          <w:b/>
          <w:i/>
        </w:rPr>
        <w:t>isting rule consistency provision</w:t>
      </w:r>
      <w:r>
        <w:t xml:space="preserve"> means, in relation to a retail CCIV or a sub-fund of a retail CCIV, and an eligible Australian market, a provision in the constitution of the retail CCIV to the effect that if the retail CCIV or the sub-fund of the retail CCIV is admitted to the official list of the market: </w:t>
      </w:r>
    </w:p>
    <w:p w14:paraId="6DE9FDCC" w14:textId="77777777" w:rsidR="00D3485A" w:rsidRDefault="00D3485A" w:rsidP="00D3485A">
      <w:pPr>
        <w:pStyle w:val="LI-Sectionparaa"/>
        <w:ind w:left="3708"/>
        <w:rPr>
          <w:lang w:val="en-US"/>
        </w:rPr>
      </w:pPr>
      <w:r>
        <w:t>(a)</w:t>
      </w:r>
      <w:r>
        <w:tab/>
        <w:t xml:space="preserve">notwithstanding </w:t>
      </w:r>
      <w:r>
        <w:rPr>
          <w:lang w:val="en-US"/>
        </w:rPr>
        <w:t>anything contained in the constitution, if the listing rules of the market prohibit an act being done, the act shall not be done; and</w:t>
      </w:r>
    </w:p>
    <w:p w14:paraId="44BA5E77" w14:textId="77777777" w:rsidR="00D3485A" w:rsidRDefault="00D3485A" w:rsidP="00D3485A">
      <w:pPr>
        <w:pStyle w:val="LI-Sectionparaa"/>
        <w:ind w:left="3708"/>
        <w:rPr>
          <w:lang w:val="en-US"/>
        </w:rPr>
      </w:pPr>
      <w:r>
        <w:t>(b)</w:t>
      </w:r>
      <w:r>
        <w:tab/>
      </w:r>
      <w:r>
        <w:rPr>
          <w:lang w:val="en-US"/>
        </w:rPr>
        <w:t>nothing contained in the constitution prevents an act being done that the listing rules of the market require to be done; and</w:t>
      </w:r>
    </w:p>
    <w:p w14:paraId="3CC6CFAD" w14:textId="77777777" w:rsidR="00D3485A" w:rsidRDefault="00D3485A" w:rsidP="00D3485A">
      <w:pPr>
        <w:pStyle w:val="LI-Sectionparaa"/>
        <w:ind w:left="3708"/>
        <w:rPr>
          <w:lang w:val="en-US"/>
        </w:rPr>
      </w:pPr>
      <w:r>
        <w:t>(c)</w:t>
      </w:r>
      <w:r>
        <w:tab/>
      </w:r>
      <w:r>
        <w:rPr>
          <w:lang w:val="en-US"/>
        </w:rPr>
        <w:t>if the listing rules of the market require an act to be done or not to be done, authority is given for that act to be done or not to be done (as the case may be); and</w:t>
      </w:r>
    </w:p>
    <w:p w14:paraId="3219EE86" w14:textId="77777777" w:rsidR="00D3485A" w:rsidRDefault="00D3485A" w:rsidP="00D3485A">
      <w:pPr>
        <w:pStyle w:val="LI-Sectionparaa"/>
        <w:ind w:left="3708"/>
        <w:rPr>
          <w:lang w:val="en-US"/>
        </w:rPr>
      </w:pPr>
      <w:r>
        <w:t>(d)</w:t>
      </w:r>
      <w:r>
        <w:tab/>
      </w:r>
      <w:r>
        <w:rPr>
          <w:lang w:val="en-US"/>
        </w:rPr>
        <w:t>if the listing rules of the market require the constitution to contain a provision and it does not contain such a provision, the constitution is taken to contain that provision; and</w:t>
      </w:r>
    </w:p>
    <w:p w14:paraId="27E059E1" w14:textId="77777777" w:rsidR="00D3485A" w:rsidRDefault="00D3485A" w:rsidP="00D3485A">
      <w:pPr>
        <w:pStyle w:val="LI-Sectionparaa"/>
        <w:ind w:left="3708"/>
        <w:rPr>
          <w:lang w:val="en-US"/>
        </w:rPr>
      </w:pPr>
      <w:r>
        <w:t>(e)</w:t>
      </w:r>
      <w:r>
        <w:tab/>
      </w:r>
      <w:proofErr w:type="spellStart"/>
      <w:r>
        <w:t>i</w:t>
      </w:r>
      <w:r>
        <w:rPr>
          <w:lang w:val="en-US"/>
        </w:rPr>
        <w:t>f</w:t>
      </w:r>
      <w:proofErr w:type="spellEnd"/>
      <w:r>
        <w:rPr>
          <w:lang w:val="en-US"/>
        </w:rPr>
        <w:t xml:space="preserve"> the listing rules of the market require the constitution not to contain a provision and it contains such a provision, the constitution is taken not to contain that provision; and</w:t>
      </w:r>
    </w:p>
    <w:p w14:paraId="64E4E65A" w14:textId="77777777" w:rsidR="00D3485A" w:rsidRDefault="00D3485A" w:rsidP="00D3485A">
      <w:pPr>
        <w:pStyle w:val="LI-Sectionparaa"/>
        <w:ind w:left="3708"/>
      </w:pPr>
      <w:r>
        <w:lastRenderedPageBreak/>
        <w:t>(f)</w:t>
      </w:r>
      <w:r>
        <w:tab/>
      </w:r>
      <w:r>
        <w:rPr>
          <w:lang w:val="en-US"/>
        </w:rPr>
        <w:t>if any provision of the constitution is or becomes inconsistent with the listing rules of the market, the constitution is taken not to contain that provision to the extent of the inconsistency.”.</w:t>
      </w:r>
      <w:r w:rsidDel="002716D8">
        <w:rPr>
          <w:lang w:val="en-US"/>
        </w:rPr>
        <w:t xml:space="preserve"> </w:t>
      </w:r>
    </w:p>
    <w:p w14:paraId="0124558A" w14:textId="77777777" w:rsidR="002E4EB8" w:rsidRDefault="002E4EB8">
      <w:pPr>
        <w:spacing w:line="240" w:lineRule="auto"/>
        <w:rPr>
          <w:rFonts w:eastAsia="Times New Roman"/>
          <w:b/>
          <w:i/>
          <w:kern w:val="28"/>
          <w:sz w:val="28"/>
          <w:szCs w:val="28"/>
          <w:lang w:eastAsia="en-AU"/>
        </w:rPr>
      </w:pPr>
      <w:r>
        <w:rPr>
          <w:i/>
          <w:sz w:val="28"/>
          <w:szCs w:val="28"/>
        </w:rPr>
        <w:br w:type="page"/>
      </w:r>
    </w:p>
    <w:p w14:paraId="3DBCE34D" w14:textId="31CA7323" w:rsidR="000D4AEC" w:rsidRDefault="00C25C80" w:rsidP="000D4AEC">
      <w:pPr>
        <w:pStyle w:val="LI-Heading1"/>
        <w:ind w:left="0" w:firstLine="0"/>
      </w:pPr>
      <w:bookmarkStart w:id="16" w:name="_Toc118808560"/>
      <w:r>
        <w:lastRenderedPageBreak/>
        <w:t xml:space="preserve">Part </w:t>
      </w:r>
      <w:r w:rsidR="002E679C">
        <w:t>4</w:t>
      </w:r>
      <w:bookmarkEnd w:id="16"/>
      <w:r w:rsidR="000D4AEC">
        <w:t xml:space="preserve"> </w:t>
      </w:r>
    </w:p>
    <w:p w14:paraId="77D21967" w14:textId="6605E830" w:rsidR="000D4AEC" w:rsidRPr="00E02BC6" w:rsidRDefault="000D4AEC" w:rsidP="00E02BC6">
      <w:pPr>
        <w:pStyle w:val="LI-Heading2"/>
        <w:rPr>
          <w:i/>
        </w:rPr>
      </w:pPr>
      <w:bookmarkStart w:id="17" w:name="_Toc118808561"/>
      <w:r w:rsidRPr="00E02BC6">
        <w:rPr>
          <w:i/>
        </w:rPr>
        <w:t>ASIC Corporations (Exposure Period) Instrument 2016/74</w:t>
      </w:r>
      <w:bookmarkEnd w:id="17"/>
    </w:p>
    <w:p w14:paraId="6DA00118" w14:textId="51986690" w:rsidR="000D4AEC" w:rsidRDefault="000D4AEC" w:rsidP="00B6568A">
      <w:pPr>
        <w:pStyle w:val="LI-BodyTextUnnumbered"/>
        <w:ind w:left="567" w:hanging="567"/>
        <w:rPr>
          <w:b/>
        </w:rPr>
      </w:pPr>
      <w:r>
        <w:rPr>
          <w:b/>
        </w:rPr>
        <w:t>1</w:t>
      </w:r>
      <w:r w:rsidR="00C25C80">
        <w:rPr>
          <w:b/>
        </w:rPr>
        <w:t>9</w:t>
      </w:r>
      <w:r w:rsidR="00B6568A">
        <w:rPr>
          <w:b/>
        </w:rPr>
        <w:tab/>
      </w:r>
      <w:r w:rsidRPr="0010011F">
        <w:rPr>
          <w:b/>
        </w:rPr>
        <w:t xml:space="preserve">Section </w:t>
      </w:r>
      <w:r>
        <w:rPr>
          <w:b/>
        </w:rPr>
        <w:t>8</w:t>
      </w:r>
    </w:p>
    <w:p w14:paraId="2E56DDB8" w14:textId="77777777" w:rsidR="000D4AEC" w:rsidRPr="007E54BF" w:rsidRDefault="000D4AEC" w:rsidP="000D4AEC">
      <w:pPr>
        <w:pStyle w:val="LI-BodyTextUnnumbered"/>
      </w:pPr>
      <w:r>
        <w:t xml:space="preserve">Repeal the section, substitute: </w:t>
      </w:r>
    </w:p>
    <w:p w14:paraId="5584BA2D" w14:textId="4EF1A9E2" w:rsidR="000D4AEC" w:rsidRPr="005D3D41" w:rsidRDefault="000D4AEC" w:rsidP="000D4AEC">
      <w:pPr>
        <w:pStyle w:val="LI-SectionHeading"/>
        <w:spacing w:after="240"/>
        <w:ind w:left="2007"/>
      </w:pPr>
      <w:r>
        <w:t>8</w:t>
      </w:r>
      <w:r>
        <w:tab/>
        <w:t>Products that are able to be traded on a market</w:t>
      </w:r>
    </w:p>
    <w:p w14:paraId="4BBCF5A8" w14:textId="070E01AE" w:rsidR="000D4AEC" w:rsidRDefault="000D4AEC" w:rsidP="007C545C">
      <w:pPr>
        <w:pStyle w:val="ListParagraph"/>
        <w:numPr>
          <w:ilvl w:val="0"/>
          <w:numId w:val="28"/>
        </w:numPr>
        <w:spacing w:line="240" w:lineRule="auto"/>
        <w:rPr>
          <w:sz w:val="24"/>
          <w:szCs w:val="24"/>
        </w:rPr>
      </w:pPr>
      <w:r w:rsidRPr="000D4AEC">
        <w:rPr>
          <w:sz w:val="24"/>
          <w:szCs w:val="24"/>
        </w:rPr>
        <w:t xml:space="preserve">To avoid doubt, a responsible person does not have to comply with subsection 1016B(1) of the Act in relation to an application made in response to a Product Disclosure Statement for a </w:t>
      </w:r>
      <w:r w:rsidRPr="0063209E">
        <w:rPr>
          <w:sz w:val="24"/>
          <w:szCs w:val="24"/>
        </w:rPr>
        <w:t>managed investment product</w:t>
      </w:r>
      <w:r w:rsidRPr="000D4AEC">
        <w:rPr>
          <w:sz w:val="24"/>
          <w:szCs w:val="24"/>
        </w:rPr>
        <w:t xml:space="preserve"> (the </w:t>
      </w:r>
      <w:r w:rsidRPr="000D4AEC">
        <w:rPr>
          <w:b/>
          <w:i/>
          <w:sz w:val="24"/>
          <w:szCs w:val="24"/>
        </w:rPr>
        <w:t>product</w:t>
      </w:r>
      <w:r w:rsidRPr="000D4AEC">
        <w:rPr>
          <w:sz w:val="24"/>
          <w:szCs w:val="24"/>
        </w:rPr>
        <w:t xml:space="preserve">) or </w:t>
      </w:r>
      <w:r w:rsidRPr="0063209E">
        <w:rPr>
          <w:sz w:val="24"/>
          <w:szCs w:val="24"/>
        </w:rPr>
        <w:t>s</w:t>
      </w:r>
      <w:r w:rsidR="00724486">
        <w:rPr>
          <w:sz w:val="24"/>
          <w:szCs w:val="24"/>
        </w:rPr>
        <w:t>ecurity</w:t>
      </w:r>
      <w:r w:rsidRPr="000D4AEC">
        <w:rPr>
          <w:sz w:val="24"/>
          <w:szCs w:val="24"/>
        </w:rPr>
        <w:t xml:space="preserve"> in a retail CCIV (referable to a sub-fund) (the </w:t>
      </w:r>
      <w:r w:rsidRPr="000D4AEC">
        <w:rPr>
          <w:b/>
          <w:i/>
          <w:sz w:val="24"/>
          <w:szCs w:val="24"/>
        </w:rPr>
        <w:t>product</w:t>
      </w:r>
      <w:r w:rsidRPr="000D4AEC">
        <w:rPr>
          <w:sz w:val="24"/>
          <w:szCs w:val="24"/>
        </w:rPr>
        <w:t xml:space="preserve">) if, at the time of </w:t>
      </w:r>
      <w:proofErr w:type="spellStart"/>
      <w:r w:rsidRPr="000D4AEC">
        <w:rPr>
          <w:sz w:val="24"/>
          <w:szCs w:val="24"/>
        </w:rPr>
        <w:t>lodgment</w:t>
      </w:r>
      <w:proofErr w:type="spellEnd"/>
      <w:r w:rsidRPr="000D4AEC">
        <w:rPr>
          <w:sz w:val="24"/>
          <w:szCs w:val="24"/>
        </w:rPr>
        <w:t xml:space="preserve"> of the Statement, the product is in a class of products that are able to be traded on a prescribed financial market.</w:t>
      </w:r>
    </w:p>
    <w:p w14:paraId="49D3A05E" w14:textId="77777777" w:rsidR="000D4AEC" w:rsidRPr="000D4AEC" w:rsidRDefault="000D4AEC" w:rsidP="000D4AEC">
      <w:pPr>
        <w:pStyle w:val="ListParagraph"/>
        <w:spacing w:line="240" w:lineRule="auto"/>
        <w:ind w:left="2577"/>
        <w:rPr>
          <w:sz w:val="24"/>
          <w:szCs w:val="24"/>
        </w:rPr>
      </w:pPr>
    </w:p>
    <w:p w14:paraId="5B4F5369" w14:textId="7F03B17D" w:rsidR="000D4AEC" w:rsidRPr="000D4AEC" w:rsidRDefault="000D4AEC" w:rsidP="007C545C">
      <w:pPr>
        <w:pStyle w:val="ListParagraph"/>
        <w:numPr>
          <w:ilvl w:val="0"/>
          <w:numId w:val="28"/>
        </w:numPr>
        <w:spacing w:line="240" w:lineRule="auto"/>
        <w:rPr>
          <w:sz w:val="24"/>
          <w:szCs w:val="24"/>
        </w:rPr>
      </w:pPr>
      <w:r w:rsidRPr="000D4AEC">
        <w:rPr>
          <w:sz w:val="24"/>
          <w:szCs w:val="24"/>
        </w:rPr>
        <w:t xml:space="preserve">For the purposes of this section, a class of products is not to be taken as not being able to be traded on a prescribed financial market merely because, at the time of </w:t>
      </w:r>
      <w:proofErr w:type="spellStart"/>
      <w:r w:rsidRPr="000D4AEC">
        <w:rPr>
          <w:sz w:val="24"/>
          <w:szCs w:val="24"/>
        </w:rPr>
        <w:t>lodgment</w:t>
      </w:r>
      <w:proofErr w:type="spellEnd"/>
      <w:r w:rsidRPr="000D4AEC">
        <w:rPr>
          <w:sz w:val="24"/>
          <w:szCs w:val="24"/>
        </w:rPr>
        <w:t xml:space="preserve"> of the Statement, trading in that class has been suspended.</w:t>
      </w:r>
    </w:p>
    <w:p w14:paraId="0BA9694F" w14:textId="77777777" w:rsidR="000D4AEC" w:rsidRPr="000D4AEC" w:rsidRDefault="000D4AEC" w:rsidP="000D4AEC">
      <w:pPr>
        <w:pStyle w:val="ActHead3"/>
      </w:pPr>
    </w:p>
    <w:p w14:paraId="1AD26BDB" w14:textId="77777777" w:rsidR="000D4AEC" w:rsidRDefault="000D4AEC">
      <w:pPr>
        <w:spacing w:line="240" w:lineRule="auto"/>
        <w:rPr>
          <w:rFonts w:eastAsia="Times New Roman"/>
          <w:b/>
          <w:kern w:val="28"/>
          <w:sz w:val="32"/>
          <w:lang w:eastAsia="en-AU"/>
        </w:rPr>
      </w:pPr>
      <w:r>
        <w:br w:type="page"/>
      </w:r>
    </w:p>
    <w:p w14:paraId="27B215A9" w14:textId="62C5AA7C" w:rsidR="006C1884" w:rsidRDefault="00D51433" w:rsidP="002E4EB8">
      <w:pPr>
        <w:pStyle w:val="LI-Heading1"/>
        <w:ind w:left="0" w:firstLine="0"/>
      </w:pPr>
      <w:bookmarkStart w:id="18" w:name="_Toc118808562"/>
      <w:r>
        <w:lastRenderedPageBreak/>
        <w:t xml:space="preserve">Part </w:t>
      </w:r>
      <w:r w:rsidR="002E679C">
        <w:t>5</w:t>
      </w:r>
      <w:bookmarkEnd w:id="18"/>
      <w:r w:rsidR="006C1884">
        <w:t xml:space="preserve"> </w:t>
      </w:r>
    </w:p>
    <w:p w14:paraId="78B12CB7" w14:textId="562D6CC1" w:rsidR="002E4EB8" w:rsidRPr="00E02BC6" w:rsidRDefault="002E4EB8" w:rsidP="00E02BC6">
      <w:pPr>
        <w:pStyle w:val="LI-Heading2"/>
        <w:rPr>
          <w:i/>
        </w:rPr>
      </w:pPr>
      <w:bookmarkStart w:id="19" w:name="_Toc118808563"/>
      <w:r w:rsidRPr="00E02BC6">
        <w:rPr>
          <w:i/>
        </w:rPr>
        <w:t>ASIC Corporations (</w:t>
      </w:r>
      <w:proofErr w:type="gramStart"/>
      <w:r w:rsidRPr="00E02BC6">
        <w:rPr>
          <w:i/>
        </w:rPr>
        <w:t>Externally-Administered</w:t>
      </w:r>
      <w:proofErr w:type="gramEnd"/>
      <w:r w:rsidRPr="00E02BC6">
        <w:rPr>
          <w:i/>
        </w:rPr>
        <w:t xml:space="preserve"> Bodies) Instrument 2015/251</w:t>
      </w:r>
      <w:bookmarkEnd w:id="19"/>
    </w:p>
    <w:p w14:paraId="0097936C" w14:textId="53353D0B" w:rsidR="00736ADF" w:rsidRDefault="00D51433" w:rsidP="00736ADF">
      <w:pPr>
        <w:pStyle w:val="LI-BodyTextNumbered"/>
        <w:ind w:left="567"/>
        <w:rPr>
          <w:b/>
        </w:rPr>
      </w:pPr>
      <w:r>
        <w:rPr>
          <w:b/>
        </w:rPr>
        <w:t>20</w:t>
      </w:r>
      <w:r w:rsidR="0058252A" w:rsidRPr="00CA3A25">
        <w:rPr>
          <w:b/>
        </w:rPr>
        <w:tab/>
      </w:r>
      <w:r w:rsidR="0058252A">
        <w:rPr>
          <w:b/>
        </w:rPr>
        <w:t xml:space="preserve">At the end </w:t>
      </w:r>
      <w:r w:rsidR="00C40B93">
        <w:rPr>
          <w:b/>
        </w:rPr>
        <w:t xml:space="preserve">of </w:t>
      </w:r>
      <w:r w:rsidR="002E4EB8">
        <w:rPr>
          <w:b/>
        </w:rPr>
        <w:t>section 5</w:t>
      </w:r>
      <w:r w:rsidR="0058252A">
        <w:rPr>
          <w:b/>
        </w:rPr>
        <w:t xml:space="preserve">  </w:t>
      </w:r>
    </w:p>
    <w:p w14:paraId="51FF534D" w14:textId="77777777" w:rsidR="00736ADF" w:rsidRPr="0058252A" w:rsidRDefault="00736ADF" w:rsidP="00736ADF">
      <w:pPr>
        <w:pStyle w:val="LI-BodyTextUnnumbered"/>
        <w:spacing w:after="240"/>
        <w:rPr>
          <w:b/>
        </w:rPr>
      </w:pPr>
      <w:r>
        <w:t xml:space="preserve">Add: </w:t>
      </w:r>
    </w:p>
    <w:p w14:paraId="22A8AECA" w14:textId="3E3CC58D" w:rsidR="003E5652" w:rsidRPr="00D630E2" w:rsidRDefault="00E45B9A" w:rsidP="00D630E2">
      <w:pPr>
        <w:pStyle w:val="LI-SectionNote"/>
        <w:ind w:left="2160" w:hanging="720"/>
      </w:pPr>
      <w:r>
        <w:t>Note:</w:t>
      </w:r>
      <w:r>
        <w:tab/>
        <w:t xml:space="preserve">This section does not apply to </w:t>
      </w:r>
      <w:r w:rsidRPr="007D479A">
        <w:rPr>
          <w:bCs/>
        </w:rPr>
        <w:t>CCIVs</w:t>
      </w:r>
      <w:r w:rsidRPr="00D630E2">
        <w:rPr>
          <w:bCs/>
        </w:rPr>
        <w:t>.</w:t>
      </w:r>
      <w:r w:rsidRPr="00D630E2">
        <w:t xml:space="preserve"> </w:t>
      </w:r>
      <w:r>
        <w:t>A CCIV is a company but cannot be wound up or placed in liquidation: see section 1237A.</w:t>
      </w:r>
    </w:p>
    <w:p w14:paraId="3C463D8C" w14:textId="3EF59936" w:rsidR="003E5652" w:rsidRPr="003E5652" w:rsidRDefault="009E09D9" w:rsidP="003E5652">
      <w:pPr>
        <w:pStyle w:val="LI-BodyTextNumbered"/>
        <w:ind w:left="567"/>
        <w:rPr>
          <w:b/>
        </w:rPr>
      </w:pPr>
      <w:r>
        <w:rPr>
          <w:b/>
        </w:rPr>
        <w:t>2</w:t>
      </w:r>
      <w:r w:rsidR="00D51433">
        <w:rPr>
          <w:b/>
        </w:rPr>
        <w:t>1</w:t>
      </w:r>
      <w:r w:rsidR="003E5652">
        <w:rPr>
          <w:b/>
        </w:rPr>
        <w:t xml:space="preserve"> </w:t>
      </w:r>
      <w:r w:rsidR="003E5652">
        <w:rPr>
          <w:b/>
        </w:rPr>
        <w:tab/>
        <w:t>After section 7A</w:t>
      </w:r>
    </w:p>
    <w:p w14:paraId="6DB3E63E" w14:textId="77777777" w:rsidR="003E5652" w:rsidRDefault="003E5652" w:rsidP="00492A11">
      <w:pPr>
        <w:pStyle w:val="LI-BodyTextUnnumbered"/>
        <w:spacing w:after="240"/>
      </w:pPr>
      <w:r>
        <w:t xml:space="preserve">Insert: </w:t>
      </w:r>
    </w:p>
    <w:p w14:paraId="2994D62E" w14:textId="77777777" w:rsidR="003E5652" w:rsidRPr="008D2D0E" w:rsidRDefault="003E5652" w:rsidP="008D2D0E">
      <w:pPr>
        <w:pStyle w:val="LI-SectionHeading"/>
        <w:ind w:left="2007"/>
      </w:pPr>
      <w:r>
        <w:t>7B</w:t>
      </w:r>
      <w:r w:rsidRPr="006134D1">
        <w:tab/>
      </w:r>
      <w:r>
        <w:t>Winding up of sub-funds of retail CCIVs</w:t>
      </w:r>
    </w:p>
    <w:p w14:paraId="4DE96DB7" w14:textId="77777777" w:rsidR="003E5652" w:rsidRPr="002575A7" w:rsidRDefault="003E5652" w:rsidP="00492A11">
      <w:pPr>
        <w:tabs>
          <w:tab w:val="left" w:pos="567"/>
          <w:tab w:val="left" w:pos="1134"/>
          <w:tab w:val="left" w:pos="1701"/>
          <w:tab w:val="left" w:pos="2268"/>
        </w:tabs>
        <w:spacing w:line="240" w:lineRule="auto"/>
        <w:ind w:left="1440"/>
        <w:rPr>
          <w:i/>
          <w:sz w:val="24"/>
          <w:szCs w:val="24"/>
        </w:rPr>
      </w:pPr>
      <w:r>
        <w:rPr>
          <w:b/>
          <w:sz w:val="24"/>
          <w:szCs w:val="24"/>
        </w:rPr>
        <w:tab/>
      </w:r>
    </w:p>
    <w:p w14:paraId="0F22D881" w14:textId="77777777" w:rsidR="003E5652" w:rsidRDefault="003E5652" w:rsidP="00492A11">
      <w:pPr>
        <w:spacing w:line="240" w:lineRule="auto"/>
        <w:ind w:left="2574" w:hanging="567"/>
        <w:rPr>
          <w:sz w:val="24"/>
          <w:szCs w:val="24"/>
        </w:rPr>
      </w:pPr>
      <w:r>
        <w:rPr>
          <w:sz w:val="24"/>
          <w:szCs w:val="24"/>
        </w:rPr>
        <w:t>(1)</w:t>
      </w:r>
      <w:r w:rsidRPr="005D640E">
        <w:rPr>
          <w:sz w:val="24"/>
          <w:szCs w:val="24"/>
        </w:rPr>
        <w:tab/>
        <w:t xml:space="preserve">A </w:t>
      </w:r>
      <w:r>
        <w:rPr>
          <w:sz w:val="24"/>
          <w:szCs w:val="24"/>
        </w:rPr>
        <w:t xml:space="preserve">retail CCIV does not have to comply with </w:t>
      </w:r>
      <w:r w:rsidRPr="005D640E">
        <w:rPr>
          <w:sz w:val="24"/>
          <w:szCs w:val="24"/>
        </w:rPr>
        <w:t>Part 2M.3 of the Act</w:t>
      </w:r>
      <w:r>
        <w:rPr>
          <w:sz w:val="24"/>
          <w:szCs w:val="24"/>
        </w:rPr>
        <w:t xml:space="preserve"> in relation to a sub-fund:</w:t>
      </w:r>
      <w:r w:rsidRPr="005D640E">
        <w:rPr>
          <w:sz w:val="24"/>
          <w:szCs w:val="24"/>
        </w:rPr>
        <w:t xml:space="preserve"> </w:t>
      </w:r>
    </w:p>
    <w:p w14:paraId="46D88A3B" w14:textId="77777777" w:rsidR="003E5652" w:rsidRDefault="003E5652" w:rsidP="00492A11">
      <w:pPr>
        <w:spacing w:line="240" w:lineRule="auto"/>
        <w:ind w:left="2574" w:hanging="567"/>
        <w:rPr>
          <w:sz w:val="24"/>
          <w:szCs w:val="24"/>
        </w:rPr>
      </w:pPr>
    </w:p>
    <w:p w14:paraId="7C3BCA34" w14:textId="58DD2070" w:rsidR="003E5652" w:rsidRDefault="003E5652" w:rsidP="00492A11">
      <w:pPr>
        <w:spacing w:line="240" w:lineRule="auto"/>
        <w:ind w:left="3141" w:hanging="567"/>
        <w:rPr>
          <w:sz w:val="24"/>
          <w:szCs w:val="24"/>
        </w:rPr>
      </w:pPr>
      <w:r>
        <w:rPr>
          <w:sz w:val="24"/>
          <w:szCs w:val="24"/>
        </w:rPr>
        <w:t>(a)</w:t>
      </w:r>
      <w:r>
        <w:rPr>
          <w:sz w:val="24"/>
          <w:szCs w:val="24"/>
        </w:rPr>
        <w:tab/>
      </w:r>
      <w:r w:rsidRPr="005D640E">
        <w:rPr>
          <w:sz w:val="24"/>
          <w:szCs w:val="24"/>
        </w:rPr>
        <w:t>in relation to a financial</w:t>
      </w:r>
      <w:r>
        <w:rPr>
          <w:sz w:val="24"/>
          <w:szCs w:val="24"/>
        </w:rPr>
        <w:t> </w:t>
      </w:r>
      <w:r w:rsidRPr="005D640E">
        <w:rPr>
          <w:sz w:val="24"/>
          <w:szCs w:val="24"/>
        </w:rPr>
        <w:t xml:space="preserve">year or half-year </w:t>
      </w:r>
      <w:r w:rsidR="00F53852">
        <w:rPr>
          <w:sz w:val="24"/>
          <w:szCs w:val="24"/>
        </w:rPr>
        <w:t xml:space="preserve">of the retail CCIV </w:t>
      </w:r>
      <w:r>
        <w:rPr>
          <w:sz w:val="24"/>
          <w:szCs w:val="24"/>
        </w:rPr>
        <w:t>if</w:t>
      </w:r>
      <w:r w:rsidRPr="00335C69">
        <w:rPr>
          <w:sz w:val="24"/>
          <w:szCs w:val="24"/>
        </w:rPr>
        <w:t xml:space="preserve">, as at the day </w:t>
      </w:r>
      <w:r>
        <w:rPr>
          <w:sz w:val="24"/>
          <w:szCs w:val="24"/>
        </w:rPr>
        <w:t xml:space="preserve">the retail CCIV would otherwise have been required to lodge a report for the sub-fund under that Part for the </w:t>
      </w:r>
      <w:r w:rsidRPr="00335C69">
        <w:rPr>
          <w:sz w:val="24"/>
          <w:szCs w:val="24"/>
        </w:rPr>
        <w:t>financial year or half-year</w:t>
      </w:r>
      <w:r>
        <w:rPr>
          <w:sz w:val="24"/>
          <w:szCs w:val="24"/>
        </w:rPr>
        <w:t>, the sub-fund has a liquidator appointed to it; and</w:t>
      </w:r>
    </w:p>
    <w:p w14:paraId="1CC925C1" w14:textId="77777777" w:rsidR="003E5652" w:rsidRDefault="003E5652" w:rsidP="00492A11">
      <w:pPr>
        <w:spacing w:line="240" w:lineRule="auto"/>
        <w:ind w:left="3141" w:hanging="567"/>
        <w:rPr>
          <w:sz w:val="24"/>
          <w:szCs w:val="24"/>
        </w:rPr>
      </w:pPr>
    </w:p>
    <w:p w14:paraId="6BBA1023" w14:textId="432B5C37" w:rsidR="003E5652" w:rsidRPr="005D640E" w:rsidRDefault="003E5652" w:rsidP="00492A11">
      <w:pPr>
        <w:spacing w:line="240" w:lineRule="auto"/>
        <w:ind w:left="3141" w:hanging="567"/>
        <w:rPr>
          <w:sz w:val="24"/>
          <w:szCs w:val="24"/>
        </w:rPr>
      </w:pPr>
      <w:r>
        <w:rPr>
          <w:sz w:val="24"/>
          <w:szCs w:val="24"/>
        </w:rPr>
        <w:t>(b)</w:t>
      </w:r>
      <w:r>
        <w:rPr>
          <w:sz w:val="24"/>
          <w:szCs w:val="24"/>
        </w:rPr>
        <w:tab/>
      </w:r>
      <w:r w:rsidRPr="005D640E">
        <w:rPr>
          <w:sz w:val="24"/>
          <w:szCs w:val="24"/>
        </w:rPr>
        <w:t>in relation to any earlier financial year or half-year</w:t>
      </w:r>
      <w:r w:rsidR="00F53852">
        <w:rPr>
          <w:sz w:val="24"/>
          <w:szCs w:val="24"/>
        </w:rPr>
        <w:t xml:space="preserve"> of the retail CCIV</w:t>
      </w:r>
      <w:r>
        <w:rPr>
          <w:sz w:val="24"/>
          <w:szCs w:val="24"/>
        </w:rPr>
        <w:t>,</w:t>
      </w:r>
      <w:r w:rsidRPr="005D640E">
        <w:rPr>
          <w:sz w:val="24"/>
          <w:szCs w:val="24"/>
        </w:rPr>
        <w:t xml:space="preserve"> but only to the extent </w:t>
      </w:r>
      <w:r>
        <w:rPr>
          <w:sz w:val="24"/>
          <w:szCs w:val="24"/>
        </w:rPr>
        <w:t>that</w:t>
      </w:r>
      <w:r w:rsidRPr="005D640E">
        <w:rPr>
          <w:sz w:val="24"/>
          <w:szCs w:val="24"/>
        </w:rPr>
        <w:t xml:space="preserve"> Part would have imposed</w:t>
      </w:r>
      <w:r>
        <w:rPr>
          <w:sz w:val="24"/>
          <w:szCs w:val="24"/>
        </w:rPr>
        <w:t>, but for this paragraph,</w:t>
      </w:r>
      <w:r w:rsidRPr="005D640E">
        <w:rPr>
          <w:sz w:val="24"/>
          <w:szCs w:val="24"/>
        </w:rPr>
        <w:t xml:space="preserve"> a continuing obligation on the</w:t>
      </w:r>
      <w:r>
        <w:rPr>
          <w:sz w:val="24"/>
          <w:szCs w:val="24"/>
        </w:rPr>
        <w:t xml:space="preserve"> retail CCIV from the date of</w:t>
      </w:r>
      <w:r w:rsidRPr="005D640E">
        <w:rPr>
          <w:sz w:val="24"/>
          <w:szCs w:val="24"/>
        </w:rPr>
        <w:t xml:space="preserve"> appointment of the liquidator</w:t>
      </w:r>
      <w:r>
        <w:rPr>
          <w:sz w:val="24"/>
          <w:szCs w:val="24"/>
        </w:rPr>
        <w:t xml:space="preserve"> of the sub-fund</w:t>
      </w:r>
      <w:r w:rsidRPr="005D640E">
        <w:rPr>
          <w:sz w:val="24"/>
          <w:szCs w:val="24"/>
        </w:rPr>
        <w:t>.</w:t>
      </w:r>
    </w:p>
    <w:p w14:paraId="5C0A034D" w14:textId="77777777" w:rsidR="003E5652" w:rsidRDefault="003E5652" w:rsidP="00492A11">
      <w:pPr>
        <w:spacing w:line="240" w:lineRule="auto"/>
        <w:ind w:left="3141" w:hanging="567"/>
        <w:rPr>
          <w:sz w:val="20"/>
        </w:rPr>
      </w:pPr>
    </w:p>
    <w:p w14:paraId="072D9318" w14:textId="77777777" w:rsidR="003E5652" w:rsidRPr="00E65D9B" w:rsidRDefault="003E5652" w:rsidP="00492A11">
      <w:pPr>
        <w:spacing w:line="240" w:lineRule="auto"/>
        <w:ind w:left="3141" w:hanging="567"/>
        <w:rPr>
          <w:sz w:val="20"/>
        </w:rPr>
      </w:pPr>
      <w:r w:rsidRPr="004C12A3">
        <w:rPr>
          <w:sz w:val="20"/>
        </w:rPr>
        <w:t>Note</w:t>
      </w:r>
      <w:r>
        <w:rPr>
          <w:sz w:val="20"/>
        </w:rPr>
        <w:t>:</w:t>
      </w:r>
      <w:r>
        <w:rPr>
          <w:sz w:val="20"/>
        </w:rPr>
        <w:tab/>
        <w:t xml:space="preserve">A company that is required to do an act under Part 2M.3 of the Act within a particular period or before a particular time continues to be subject to an obligation to do the act even after the period has ended or that time has passed: section 1314 of the Act. Paragraph (b) does not affect </w:t>
      </w:r>
      <w:r w:rsidRPr="005D640E">
        <w:rPr>
          <w:sz w:val="20"/>
        </w:rPr>
        <w:t xml:space="preserve">any liability under </w:t>
      </w:r>
      <w:r>
        <w:rPr>
          <w:sz w:val="20"/>
        </w:rPr>
        <w:t xml:space="preserve">that Part </w:t>
      </w:r>
      <w:r w:rsidRPr="005D640E">
        <w:rPr>
          <w:sz w:val="20"/>
        </w:rPr>
        <w:t xml:space="preserve">that existed at any time before the </w:t>
      </w:r>
      <w:r>
        <w:rPr>
          <w:sz w:val="20"/>
        </w:rPr>
        <w:t xml:space="preserve">date of </w:t>
      </w:r>
      <w:r w:rsidRPr="005D640E">
        <w:rPr>
          <w:sz w:val="20"/>
        </w:rPr>
        <w:t>appointment of the liquidator.</w:t>
      </w:r>
    </w:p>
    <w:p w14:paraId="7A70A554" w14:textId="77777777" w:rsidR="003E5652" w:rsidRPr="005D4FBC" w:rsidRDefault="003E5652" w:rsidP="00492A11">
      <w:pPr>
        <w:spacing w:before="240" w:line="240" w:lineRule="auto"/>
        <w:ind w:left="2574" w:hanging="567"/>
        <w:rPr>
          <w:i/>
          <w:sz w:val="24"/>
          <w:szCs w:val="24"/>
        </w:rPr>
      </w:pPr>
      <w:r w:rsidRPr="005D4FBC">
        <w:rPr>
          <w:i/>
          <w:sz w:val="24"/>
          <w:szCs w:val="24"/>
        </w:rPr>
        <w:t>Condition</w:t>
      </w:r>
    </w:p>
    <w:p w14:paraId="4E838EC3" w14:textId="77777777" w:rsidR="0040053F" w:rsidRPr="00F065B8" w:rsidRDefault="003E5652" w:rsidP="00F065B8">
      <w:pPr>
        <w:spacing w:before="240" w:line="240" w:lineRule="auto"/>
        <w:ind w:left="2574" w:hanging="567"/>
        <w:rPr>
          <w:sz w:val="24"/>
          <w:szCs w:val="24"/>
        </w:rPr>
      </w:pPr>
      <w:r>
        <w:rPr>
          <w:sz w:val="24"/>
          <w:szCs w:val="24"/>
        </w:rPr>
        <w:t>(2)</w:t>
      </w:r>
      <w:r>
        <w:rPr>
          <w:sz w:val="24"/>
          <w:szCs w:val="24"/>
        </w:rPr>
        <w:tab/>
        <w:t>The retail CCIV must have adequate arrangements in place to answer, within a reasonable period of time and without charge, any reasonable questions asked by a member of the sub-fund about the winding up.</w:t>
      </w:r>
    </w:p>
    <w:p w14:paraId="69732D22" w14:textId="16A3E031" w:rsidR="004470EC" w:rsidRDefault="00D51433" w:rsidP="004470EC">
      <w:pPr>
        <w:pStyle w:val="LI-BodyTextNumbered"/>
        <w:ind w:left="567"/>
        <w:rPr>
          <w:b/>
        </w:rPr>
      </w:pPr>
      <w:r>
        <w:rPr>
          <w:b/>
        </w:rPr>
        <w:t>22</w:t>
      </w:r>
      <w:r w:rsidR="004470EC" w:rsidRPr="00CA3A25">
        <w:rPr>
          <w:b/>
        </w:rPr>
        <w:tab/>
      </w:r>
      <w:r w:rsidR="000C2C05">
        <w:rPr>
          <w:b/>
        </w:rPr>
        <w:t>Paragraph 8(5)(c)</w:t>
      </w:r>
    </w:p>
    <w:p w14:paraId="4D94A6A6" w14:textId="6D87BFFD" w:rsidR="000C2C05" w:rsidRDefault="000C2C05" w:rsidP="000C2C05">
      <w:pPr>
        <w:pStyle w:val="LI-BodyTextUnnumbered"/>
        <w:spacing w:after="240"/>
      </w:pPr>
      <w:r>
        <w:t xml:space="preserve">Omit “or”. </w:t>
      </w:r>
    </w:p>
    <w:p w14:paraId="629693E9" w14:textId="00E8EA5F" w:rsidR="000C2C05" w:rsidRDefault="00D51433" w:rsidP="000C2C05">
      <w:pPr>
        <w:pStyle w:val="LI-BodyTextNumbered"/>
        <w:ind w:left="567"/>
        <w:rPr>
          <w:b/>
        </w:rPr>
      </w:pPr>
      <w:r>
        <w:rPr>
          <w:b/>
        </w:rPr>
        <w:lastRenderedPageBreak/>
        <w:t>23</w:t>
      </w:r>
      <w:r w:rsidR="000C2C05">
        <w:rPr>
          <w:b/>
        </w:rPr>
        <w:tab/>
        <w:t xml:space="preserve">At the end of </w:t>
      </w:r>
      <w:r w:rsidR="004F2C94">
        <w:rPr>
          <w:b/>
        </w:rPr>
        <w:t xml:space="preserve">paragraph </w:t>
      </w:r>
      <w:r w:rsidR="000C2C05">
        <w:rPr>
          <w:b/>
        </w:rPr>
        <w:t>8(5)</w:t>
      </w:r>
      <w:r w:rsidR="004F2C94">
        <w:rPr>
          <w:b/>
        </w:rPr>
        <w:t xml:space="preserve">(d) </w:t>
      </w:r>
    </w:p>
    <w:p w14:paraId="0BDD4F5D" w14:textId="4EC7C627" w:rsidR="000C2C05" w:rsidRDefault="000C2C05" w:rsidP="000C2C05">
      <w:pPr>
        <w:pStyle w:val="LI-BodyTextUnnumbered"/>
        <w:spacing w:after="240"/>
      </w:pPr>
      <w:r w:rsidRPr="000C2C05">
        <w:t xml:space="preserve"> </w:t>
      </w:r>
      <w:r>
        <w:t>Add:</w:t>
      </w:r>
    </w:p>
    <w:p w14:paraId="4E8138D4" w14:textId="574AEDC6" w:rsidR="00370548" w:rsidRDefault="000C2C05" w:rsidP="00871E45">
      <w:pPr>
        <w:pStyle w:val="LI-BodyTextUnnumbered"/>
        <w:spacing w:after="240"/>
        <w:ind w:left="2127" w:hanging="687"/>
      </w:pPr>
      <w:r>
        <w:t xml:space="preserve">; or (e) </w:t>
      </w:r>
      <w:r w:rsidR="00871E45">
        <w:tab/>
      </w:r>
      <w:r>
        <w:t xml:space="preserve">a retail CCIV, in relation to a sub-fund of the CCIV. </w:t>
      </w:r>
    </w:p>
    <w:p w14:paraId="2AAC88E2" w14:textId="4F365BD8" w:rsidR="00B93797" w:rsidRPr="00CA3A25" w:rsidRDefault="00D51433" w:rsidP="002267F5">
      <w:pPr>
        <w:pStyle w:val="LI-BodyTextNumbered"/>
        <w:ind w:left="567"/>
        <w:rPr>
          <w:b/>
        </w:rPr>
      </w:pPr>
      <w:r>
        <w:rPr>
          <w:b/>
        </w:rPr>
        <w:t>24</w:t>
      </w:r>
      <w:r w:rsidR="00B93797" w:rsidRPr="00CA3A25">
        <w:rPr>
          <w:b/>
        </w:rPr>
        <w:tab/>
      </w:r>
      <w:r w:rsidR="00B93797">
        <w:rPr>
          <w:b/>
        </w:rPr>
        <w:t>Subsection 8A(1)</w:t>
      </w:r>
    </w:p>
    <w:p w14:paraId="380C02CB" w14:textId="77777777" w:rsidR="00F065B8" w:rsidRDefault="00B93797" w:rsidP="00ED3084">
      <w:pPr>
        <w:pStyle w:val="LI-BodyTextUnnumbered"/>
        <w:spacing w:after="240"/>
      </w:pPr>
      <w:r>
        <w:t xml:space="preserve">Before “8(5)(d)”, insert “paragraph”. </w:t>
      </w:r>
    </w:p>
    <w:p w14:paraId="4341B9C4" w14:textId="77777777" w:rsidR="006B2821" w:rsidRDefault="006B2821">
      <w:pPr>
        <w:spacing w:line="240" w:lineRule="auto"/>
        <w:rPr>
          <w:rFonts w:eastAsia="Times New Roman"/>
          <w:b/>
          <w:i/>
          <w:kern w:val="28"/>
          <w:sz w:val="28"/>
          <w:szCs w:val="28"/>
          <w:lang w:eastAsia="en-AU"/>
        </w:rPr>
      </w:pPr>
      <w:r>
        <w:rPr>
          <w:i/>
          <w:sz w:val="28"/>
          <w:szCs w:val="28"/>
        </w:rPr>
        <w:br w:type="page"/>
      </w:r>
    </w:p>
    <w:p w14:paraId="0FAFE00A" w14:textId="77A0A289" w:rsidR="00A11667" w:rsidRDefault="00D51433" w:rsidP="00A11667">
      <w:pPr>
        <w:pStyle w:val="LI-Heading1"/>
        <w:ind w:left="0" w:firstLine="0"/>
      </w:pPr>
      <w:bookmarkStart w:id="20" w:name="_Toc118808564"/>
      <w:r>
        <w:lastRenderedPageBreak/>
        <w:t xml:space="preserve">Part </w:t>
      </w:r>
      <w:r w:rsidR="002E679C">
        <w:t>6</w:t>
      </w:r>
      <w:bookmarkEnd w:id="20"/>
      <w:r w:rsidR="00A11667">
        <w:t xml:space="preserve"> </w:t>
      </w:r>
    </w:p>
    <w:p w14:paraId="6932AB4F" w14:textId="2512052F" w:rsidR="00A11667" w:rsidRPr="00E02BC6" w:rsidRDefault="00A11667" w:rsidP="00E02BC6">
      <w:pPr>
        <w:pStyle w:val="LI-Heading2"/>
        <w:rPr>
          <w:i/>
        </w:rPr>
      </w:pPr>
      <w:bookmarkStart w:id="21" w:name="_Toc118808565"/>
      <w:r w:rsidRPr="00E02BC6">
        <w:rPr>
          <w:i/>
        </w:rPr>
        <w:t xml:space="preserve">ASIC Corporations </w:t>
      </w:r>
      <w:r w:rsidR="00C83831" w:rsidRPr="00E02BC6">
        <w:rPr>
          <w:i/>
        </w:rPr>
        <w:t>(Foreign Scrip Bids) Instrument 2015/357</w:t>
      </w:r>
      <w:bookmarkEnd w:id="21"/>
      <w:r w:rsidR="00C83831" w:rsidRPr="00E02BC6">
        <w:rPr>
          <w:i/>
        </w:rPr>
        <w:t xml:space="preserve"> </w:t>
      </w:r>
    </w:p>
    <w:p w14:paraId="0F29BC0C" w14:textId="77777777" w:rsidR="00C373F3" w:rsidRDefault="00C373F3">
      <w:pPr>
        <w:spacing w:line="240" w:lineRule="auto"/>
      </w:pPr>
    </w:p>
    <w:p w14:paraId="28FDE202" w14:textId="452D730D" w:rsidR="00C373F3" w:rsidRDefault="00D51433" w:rsidP="00C373F3">
      <w:pPr>
        <w:pStyle w:val="LI-BodyTextNumbered"/>
        <w:ind w:left="567"/>
        <w:rPr>
          <w:b/>
        </w:rPr>
      </w:pPr>
      <w:r>
        <w:rPr>
          <w:b/>
        </w:rPr>
        <w:t>25</w:t>
      </w:r>
      <w:r w:rsidR="00C373F3" w:rsidRPr="00CA3A25">
        <w:rPr>
          <w:b/>
        </w:rPr>
        <w:tab/>
      </w:r>
      <w:r w:rsidR="00C373F3">
        <w:rPr>
          <w:b/>
        </w:rPr>
        <w:t>Subsection 5(</w:t>
      </w:r>
      <w:r w:rsidR="00AF4278">
        <w:rPr>
          <w:b/>
        </w:rPr>
        <w:t>3</w:t>
      </w:r>
      <w:r w:rsidR="00C373F3">
        <w:rPr>
          <w:b/>
        </w:rPr>
        <w:t>) (heading)</w:t>
      </w:r>
    </w:p>
    <w:p w14:paraId="01AD9B97" w14:textId="77777777" w:rsidR="00C373F3" w:rsidRDefault="00C373F3" w:rsidP="00C373F3">
      <w:pPr>
        <w:pStyle w:val="LI-BodyTextUnnumbered"/>
        <w:spacing w:after="240"/>
      </w:pPr>
      <w:r>
        <w:t xml:space="preserve">Repeal the heading, substitute: </w:t>
      </w:r>
    </w:p>
    <w:p w14:paraId="3F2B7FEC" w14:textId="7B42AD8B" w:rsidR="00C373F3" w:rsidRPr="00C373F3" w:rsidRDefault="00C373F3" w:rsidP="00C373F3">
      <w:pPr>
        <w:pStyle w:val="LI-SectionHeading"/>
        <w:ind w:left="1440" w:firstLine="0"/>
        <w:rPr>
          <w:b w:val="0"/>
          <w:i/>
        </w:rPr>
      </w:pPr>
      <w:r w:rsidRPr="00C373F3">
        <w:rPr>
          <w:b w:val="0"/>
          <w:i/>
        </w:rPr>
        <w:t xml:space="preserve">Interests in managed investment schemes and shares in CCIVs </w:t>
      </w:r>
    </w:p>
    <w:p w14:paraId="2CA7BB6A" w14:textId="6B88CA7C" w:rsidR="00C373F3" w:rsidRDefault="00C373F3" w:rsidP="00C373F3">
      <w:pPr>
        <w:pStyle w:val="LI-BodyTextNumbered"/>
        <w:ind w:left="567"/>
        <w:rPr>
          <w:b/>
        </w:rPr>
      </w:pPr>
      <w:r>
        <w:rPr>
          <w:b/>
        </w:rPr>
        <w:t>2</w:t>
      </w:r>
      <w:r w:rsidR="00D51433">
        <w:rPr>
          <w:b/>
        </w:rPr>
        <w:t>6</w:t>
      </w:r>
      <w:r>
        <w:rPr>
          <w:b/>
        </w:rPr>
        <w:tab/>
        <w:t>Subsection 5(3)</w:t>
      </w:r>
    </w:p>
    <w:p w14:paraId="4F5214F5" w14:textId="512F96CC" w:rsidR="00C373F3" w:rsidRPr="00640169" w:rsidRDefault="00EB3064" w:rsidP="00C373F3">
      <w:pPr>
        <w:pStyle w:val="LI-BodyTextUnnumbered"/>
        <w:spacing w:after="240"/>
      </w:pPr>
      <w:r>
        <w:t xml:space="preserve">After “managed investment scheme”, </w:t>
      </w:r>
      <w:r w:rsidR="00C373F3">
        <w:t xml:space="preserve">insert “or a share (the </w:t>
      </w:r>
      <w:r w:rsidR="00C373F3" w:rsidRPr="00C373F3">
        <w:rPr>
          <w:b/>
          <w:i/>
        </w:rPr>
        <w:t>scrip</w:t>
      </w:r>
      <w:r w:rsidR="00C373F3">
        <w:t xml:space="preserve">) </w:t>
      </w:r>
      <w:r w:rsidR="00C373F3" w:rsidRPr="00C373F3">
        <w:t>in</w:t>
      </w:r>
      <w:r w:rsidR="00C373F3">
        <w:t xml:space="preserve"> a CCIV”</w:t>
      </w:r>
      <w:r w:rsidR="00816FFD">
        <w:t>.</w:t>
      </w:r>
    </w:p>
    <w:p w14:paraId="44205FD5" w14:textId="188E0A50" w:rsidR="00C373F3" w:rsidRDefault="00D51433" w:rsidP="00C373F3">
      <w:pPr>
        <w:pStyle w:val="LI-BodyTextNumbered"/>
        <w:ind w:left="567"/>
        <w:rPr>
          <w:b/>
        </w:rPr>
      </w:pPr>
      <w:r>
        <w:rPr>
          <w:b/>
        </w:rPr>
        <w:t>27</w:t>
      </w:r>
      <w:r w:rsidR="00C373F3">
        <w:rPr>
          <w:b/>
        </w:rPr>
        <w:tab/>
      </w:r>
      <w:r w:rsidR="00640169">
        <w:rPr>
          <w:b/>
        </w:rPr>
        <w:t>At the end of s</w:t>
      </w:r>
      <w:r w:rsidR="00C373F3">
        <w:rPr>
          <w:b/>
        </w:rPr>
        <w:t>ubsection 5(5)</w:t>
      </w:r>
    </w:p>
    <w:p w14:paraId="6905DEAB" w14:textId="77777777" w:rsidR="00640169" w:rsidRDefault="00640169" w:rsidP="00640169">
      <w:pPr>
        <w:pStyle w:val="LI-BodyTextUnnumbered"/>
        <w:spacing w:after="240"/>
      </w:pPr>
      <w:r>
        <w:t xml:space="preserve">Add: </w:t>
      </w:r>
    </w:p>
    <w:p w14:paraId="213C2E59" w14:textId="792A263C" w:rsidR="00640169" w:rsidRDefault="00640169" w:rsidP="00640169">
      <w:pPr>
        <w:pStyle w:val="LI-SectionNote"/>
        <w:ind w:left="2160" w:hanging="720"/>
      </w:pPr>
      <w:r w:rsidRPr="00492A11">
        <w:t>Note:</w:t>
      </w:r>
      <w:r w:rsidRPr="00492A11">
        <w:tab/>
      </w:r>
      <w:r w:rsidR="002138ED" w:rsidRPr="00640169">
        <w:t>Part 7.9 applies in relation to the issue and sale of shares in a CCIV, subject to modifications: see, in particular, section 1241Q.</w:t>
      </w:r>
    </w:p>
    <w:p w14:paraId="027A8D3E" w14:textId="463399C9" w:rsidR="00C373F3" w:rsidRDefault="00C373F3" w:rsidP="00C373F3">
      <w:pPr>
        <w:pStyle w:val="LI-BodyTextNumbered"/>
        <w:ind w:left="567"/>
        <w:rPr>
          <w:b/>
        </w:rPr>
      </w:pPr>
    </w:p>
    <w:p w14:paraId="449F9820" w14:textId="77777777" w:rsidR="00C373F3" w:rsidRDefault="00C373F3" w:rsidP="00C373F3">
      <w:pPr>
        <w:pStyle w:val="LI-BodyTextNumbered"/>
        <w:ind w:left="567"/>
        <w:rPr>
          <w:b/>
        </w:rPr>
      </w:pPr>
    </w:p>
    <w:p w14:paraId="7846D2C7" w14:textId="77777777" w:rsidR="00C373F3" w:rsidRPr="00CA3A25" w:rsidRDefault="00C373F3" w:rsidP="00C373F3">
      <w:pPr>
        <w:pStyle w:val="LI-BodyTextNumbered"/>
        <w:ind w:left="567"/>
        <w:rPr>
          <w:b/>
        </w:rPr>
      </w:pPr>
    </w:p>
    <w:p w14:paraId="71301939" w14:textId="31769154" w:rsidR="00A11667" w:rsidRDefault="00A11667">
      <w:pPr>
        <w:spacing w:line="240" w:lineRule="auto"/>
        <w:rPr>
          <w:rFonts w:eastAsia="Times New Roman"/>
          <w:b/>
          <w:kern w:val="28"/>
          <w:sz w:val="32"/>
          <w:lang w:eastAsia="en-AU"/>
        </w:rPr>
      </w:pPr>
      <w:r>
        <w:br w:type="page"/>
      </w:r>
    </w:p>
    <w:p w14:paraId="0D079C52" w14:textId="5129DA58" w:rsidR="00184869" w:rsidRDefault="00D51433" w:rsidP="00184869">
      <w:pPr>
        <w:pStyle w:val="LI-Heading1"/>
        <w:ind w:left="0" w:firstLine="0"/>
      </w:pPr>
      <w:bookmarkStart w:id="22" w:name="_Toc118808566"/>
      <w:r>
        <w:lastRenderedPageBreak/>
        <w:t>Part</w:t>
      </w:r>
      <w:r w:rsidR="00184869">
        <w:t xml:space="preserve"> </w:t>
      </w:r>
      <w:r w:rsidR="002E679C">
        <w:t>7</w:t>
      </w:r>
      <w:bookmarkEnd w:id="22"/>
      <w:r w:rsidR="00184869">
        <w:t xml:space="preserve"> </w:t>
      </w:r>
    </w:p>
    <w:p w14:paraId="1D5F5175" w14:textId="7AD29D38" w:rsidR="00184869" w:rsidRPr="00E02BC6" w:rsidRDefault="00184869" w:rsidP="00E02BC6">
      <w:pPr>
        <w:pStyle w:val="LI-Heading2"/>
        <w:rPr>
          <w:i/>
        </w:rPr>
      </w:pPr>
      <w:bookmarkStart w:id="23" w:name="_Toc118808567"/>
      <w:r w:rsidRPr="00E02BC6">
        <w:rPr>
          <w:i/>
        </w:rPr>
        <w:t>ASIC Corporations (Registered Schemes—Differential Fees) Instrument 2017/40</w:t>
      </w:r>
      <w:bookmarkEnd w:id="23"/>
    </w:p>
    <w:p w14:paraId="5877EF29" w14:textId="2221A709" w:rsidR="00F57777" w:rsidRPr="00CA3A25" w:rsidRDefault="00D51433" w:rsidP="00F57777">
      <w:pPr>
        <w:pStyle w:val="LI-BodyTextNumbered"/>
        <w:ind w:left="567"/>
        <w:rPr>
          <w:b/>
        </w:rPr>
      </w:pPr>
      <w:r>
        <w:rPr>
          <w:b/>
        </w:rPr>
        <w:t>28</w:t>
      </w:r>
      <w:r w:rsidR="00F57777">
        <w:rPr>
          <w:b/>
        </w:rPr>
        <w:t xml:space="preserve"> </w:t>
      </w:r>
      <w:r w:rsidR="00F57777">
        <w:rPr>
          <w:b/>
        </w:rPr>
        <w:tab/>
        <w:t xml:space="preserve">Section 1 </w:t>
      </w:r>
    </w:p>
    <w:p w14:paraId="0C1EE07F" w14:textId="71F11B0F" w:rsidR="00F57777" w:rsidRDefault="00F57777" w:rsidP="00F57777">
      <w:pPr>
        <w:pStyle w:val="LI-BodyTextUnnumbered"/>
      </w:pPr>
      <w:r>
        <w:t>Omit “</w:t>
      </w:r>
      <w:r w:rsidRPr="00231CD1">
        <w:rPr>
          <w:i/>
        </w:rPr>
        <w:t>(Registered Schemes</w:t>
      </w:r>
      <w:r>
        <w:t>—</w:t>
      </w:r>
      <w:r>
        <w:rPr>
          <w:i/>
        </w:rPr>
        <w:t>Differential Fees</w:t>
      </w:r>
      <w:r>
        <w:t xml:space="preserve">)”, substitute </w:t>
      </w:r>
      <w:r w:rsidRPr="00166797">
        <w:t>“</w:t>
      </w:r>
      <w:r w:rsidRPr="00C76DA0">
        <w:rPr>
          <w:i/>
        </w:rPr>
        <w:t>(Registered Schemes and CCIVs—Differential Fees)</w:t>
      </w:r>
      <w:r>
        <w:t>”.</w:t>
      </w:r>
    </w:p>
    <w:p w14:paraId="1797317F" w14:textId="233E1ED5" w:rsidR="00F57777" w:rsidRPr="00CA3A25" w:rsidRDefault="00F57777" w:rsidP="00F57777">
      <w:pPr>
        <w:pStyle w:val="LI-BodyTextNumbered"/>
        <w:ind w:left="567"/>
        <w:rPr>
          <w:b/>
        </w:rPr>
      </w:pPr>
      <w:r>
        <w:rPr>
          <w:b/>
        </w:rPr>
        <w:t>2</w:t>
      </w:r>
      <w:r w:rsidR="00D51433">
        <w:rPr>
          <w:b/>
        </w:rPr>
        <w:t>9</w:t>
      </w:r>
      <w:r w:rsidRPr="00CA3A25">
        <w:rPr>
          <w:b/>
        </w:rPr>
        <w:tab/>
      </w:r>
      <w:r>
        <w:rPr>
          <w:b/>
        </w:rPr>
        <w:t xml:space="preserve">Section 3 </w:t>
      </w:r>
    </w:p>
    <w:p w14:paraId="1E5281F2" w14:textId="5EAA6902" w:rsidR="00F57777" w:rsidRDefault="00F57777" w:rsidP="00F57777">
      <w:pPr>
        <w:pStyle w:val="LI-BodyTextUnnumbered"/>
      </w:pPr>
      <w:r>
        <w:t xml:space="preserve">Omit “subsection 601QA(1)”, substitute “subsections 601QA(1) and 1243(2)”. </w:t>
      </w:r>
    </w:p>
    <w:p w14:paraId="12C44246" w14:textId="518344CE" w:rsidR="00F57777" w:rsidRPr="00DA4C12" w:rsidRDefault="00F57777" w:rsidP="00B6568A">
      <w:pPr>
        <w:pStyle w:val="LI-BodyTextUnnumbered"/>
        <w:ind w:left="567" w:hanging="567"/>
        <w:rPr>
          <w:b/>
        </w:rPr>
      </w:pPr>
      <w:r w:rsidRPr="00F57777">
        <w:rPr>
          <w:b/>
        </w:rPr>
        <w:t>3</w:t>
      </w:r>
      <w:r w:rsidR="00D51433">
        <w:rPr>
          <w:b/>
        </w:rPr>
        <w:t>0</w:t>
      </w:r>
      <w:r w:rsidR="00B6568A">
        <w:rPr>
          <w:b/>
        </w:rPr>
        <w:tab/>
      </w:r>
      <w:r w:rsidRPr="00F57777">
        <w:rPr>
          <w:b/>
        </w:rPr>
        <w:t>Section 4</w:t>
      </w:r>
      <w:r>
        <w:rPr>
          <w:b/>
        </w:rPr>
        <w:t xml:space="preserve"> (definition of </w:t>
      </w:r>
      <w:r>
        <w:rPr>
          <w:b/>
          <w:i/>
        </w:rPr>
        <w:t>differential fee arrangement</w:t>
      </w:r>
      <w:r>
        <w:rPr>
          <w:b/>
        </w:rPr>
        <w:t>)</w:t>
      </w:r>
    </w:p>
    <w:p w14:paraId="0E2F24C4" w14:textId="77777777" w:rsidR="00F57777" w:rsidRPr="003260E1" w:rsidRDefault="00F57777" w:rsidP="00F57777">
      <w:pPr>
        <w:pStyle w:val="LI-BodyTextUnnumbered"/>
        <w:spacing w:after="240"/>
        <w:rPr>
          <w:szCs w:val="24"/>
        </w:rPr>
      </w:pPr>
      <w:r w:rsidRPr="003260E1">
        <w:rPr>
          <w:szCs w:val="24"/>
        </w:rPr>
        <w:t xml:space="preserve">Repeal the definition, substitute: </w:t>
      </w:r>
    </w:p>
    <w:p w14:paraId="588B5CE1" w14:textId="0F8FAE57" w:rsidR="00F57777" w:rsidRDefault="00F57777" w:rsidP="00A03088">
      <w:pPr>
        <w:pStyle w:val="LI-BodyTextSubparai"/>
        <w:ind w:left="1440" w:firstLine="0"/>
        <w:rPr>
          <w:b/>
          <w:i/>
        </w:rPr>
      </w:pPr>
      <w:r w:rsidRPr="00056BF7">
        <w:rPr>
          <w:b/>
          <w:i/>
        </w:rPr>
        <w:t>differential fee arrangement</w:t>
      </w:r>
      <w:r w:rsidRPr="006C47C5">
        <w:rPr>
          <w:i/>
        </w:rPr>
        <w:t>:</w:t>
      </w:r>
    </w:p>
    <w:p w14:paraId="75771567" w14:textId="029CFDAE" w:rsidR="00F57777" w:rsidRPr="0032383B" w:rsidRDefault="00F57777" w:rsidP="00155B8F">
      <w:pPr>
        <w:pStyle w:val="LI-BodyTextSubparai"/>
        <w:numPr>
          <w:ilvl w:val="0"/>
          <w:numId w:val="29"/>
        </w:numPr>
      </w:pPr>
      <w:r w:rsidRPr="009056D2">
        <w:t xml:space="preserve">in relation to a </w:t>
      </w:r>
      <w:r>
        <w:t xml:space="preserve">registered </w:t>
      </w:r>
      <w:r w:rsidRPr="009056D2">
        <w:t>scheme,</w:t>
      </w:r>
      <w:r w:rsidRPr="00A03088">
        <w:t xml:space="preserve"> </w:t>
      </w:r>
      <w:r w:rsidRPr="00056BF7">
        <w:t xml:space="preserve">means an arrangement for the charging, </w:t>
      </w:r>
      <w:proofErr w:type="gramStart"/>
      <w:r w:rsidRPr="00056BF7">
        <w:t>rebating</w:t>
      </w:r>
      <w:proofErr w:type="gramEnd"/>
      <w:r w:rsidRPr="00056BF7">
        <w:t xml:space="preserve"> or waiving of fees, including entry, exit and periodic fees, by the responsible entity to members of the scheme on a</w:t>
      </w:r>
      <w:r w:rsidRPr="009056D2">
        <w:t xml:space="preserve"> basis that differs from that applying to other members who hold interests of the same class</w:t>
      </w:r>
      <w:r w:rsidRPr="0032383B">
        <w:t xml:space="preserve">; </w:t>
      </w:r>
      <w:r w:rsidR="00BE4E6C">
        <w:t xml:space="preserve">and </w:t>
      </w:r>
      <w:r w:rsidRPr="0032383B">
        <w:t xml:space="preserve"> </w:t>
      </w:r>
    </w:p>
    <w:p w14:paraId="747CFF4F" w14:textId="7E40FFFD" w:rsidR="00F57777" w:rsidRPr="00A03088" w:rsidRDefault="00F57777" w:rsidP="00155B8F">
      <w:pPr>
        <w:pStyle w:val="LI-BodyTextSubparai"/>
        <w:numPr>
          <w:ilvl w:val="0"/>
          <w:numId w:val="29"/>
        </w:numPr>
      </w:pPr>
      <w:r w:rsidRPr="00F57777">
        <w:t xml:space="preserve">in relation to a CCIV, means an arrangement for the charging, </w:t>
      </w:r>
      <w:proofErr w:type="gramStart"/>
      <w:r w:rsidRPr="00F57777">
        <w:t>rebating</w:t>
      </w:r>
      <w:proofErr w:type="gramEnd"/>
      <w:r w:rsidRPr="00F57777">
        <w:t xml:space="preserve"> or waiving of fees, including entry, exit and periodic fees, by the corporate director of the CCIV or the CCIV, as the case may be, to members of a sub-fund of the CCIV on a basis that differs from that applying to other members </w:t>
      </w:r>
      <w:r w:rsidRPr="00867048">
        <w:t>of the sub-fund who hold shares of the</w:t>
      </w:r>
      <w:r w:rsidRPr="00A03088">
        <w:t xml:space="preserve"> same class referable to that sub-fund.</w:t>
      </w:r>
    </w:p>
    <w:p w14:paraId="533543D5" w14:textId="2C986EA3" w:rsidR="00A03088" w:rsidRPr="00DA4C12" w:rsidRDefault="00D51433" w:rsidP="00B6568A">
      <w:pPr>
        <w:pStyle w:val="LI-BodyTextUnnumbered"/>
        <w:ind w:left="567" w:hanging="567"/>
        <w:rPr>
          <w:b/>
        </w:rPr>
      </w:pPr>
      <w:r>
        <w:rPr>
          <w:b/>
        </w:rPr>
        <w:t>31</w:t>
      </w:r>
      <w:r w:rsidR="00B6568A">
        <w:rPr>
          <w:b/>
        </w:rPr>
        <w:tab/>
      </w:r>
      <w:r w:rsidR="00A03088" w:rsidRPr="00F57777">
        <w:rPr>
          <w:b/>
        </w:rPr>
        <w:t>Section 4</w:t>
      </w:r>
      <w:r w:rsidR="00A03088">
        <w:rPr>
          <w:b/>
        </w:rPr>
        <w:t xml:space="preserve"> (definition of </w:t>
      </w:r>
      <w:r w:rsidR="00A03088">
        <w:rPr>
          <w:b/>
          <w:i/>
        </w:rPr>
        <w:t>employee member</w:t>
      </w:r>
      <w:r w:rsidR="00A03088">
        <w:rPr>
          <w:b/>
        </w:rPr>
        <w:t>)</w:t>
      </w:r>
    </w:p>
    <w:p w14:paraId="3D7827D5" w14:textId="77777777" w:rsidR="00A03088" w:rsidRPr="003260E1" w:rsidRDefault="00A03088" w:rsidP="00A03088">
      <w:pPr>
        <w:pStyle w:val="LI-BodyTextUnnumbered"/>
        <w:spacing w:after="240"/>
        <w:rPr>
          <w:szCs w:val="24"/>
        </w:rPr>
      </w:pPr>
      <w:r w:rsidRPr="003260E1">
        <w:rPr>
          <w:szCs w:val="24"/>
        </w:rPr>
        <w:t xml:space="preserve">Repeal the definition, substitute: </w:t>
      </w:r>
    </w:p>
    <w:p w14:paraId="1EB6F04A" w14:textId="77777777" w:rsidR="00A03088" w:rsidRPr="00A03088" w:rsidRDefault="00A03088" w:rsidP="00A03088">
      <w:pPr>
        <w:pStyle w:val="LI-BodyTextSubparai"/>
        <w:ind w:left="1440" w:firstLine="0"/>
        <w:rPr>
          <w:b/>
          <w:i/>
        </w:rPr>
      </w:pPr>
      <w:r w:rsidRPr="00056BF7">
        <w:rPr>
          <w:b/>
          <w:i/>
        </w:rPr>
        <w:t>employee member</w:t>
      </w:r>
      <w:r w:rsidRPr="006C47C5">
        <w:rPr>
          <w:i/>
        </w:rPr>
        <w:t>:</w:t>
      </w:r>
    </w:p>
    <w:p w14:paraId="6B2CFFFA" w14:textId="3E01F9F6" w:rsidR="00A03088" w:rsidRPr="00A12B87" w:rsidRDefault="00A03088" w:rsidP="00155B8F">
      <w:pPr>
        <w:pStyle w:val="LI-BodyTextSubparai"/>
        <w:numPr>
          <w:ilvl w:val="0"/>
          <w:numId w:val="19"/>
        </w:numPr>
      </w:pPr>
      <w:r w:rsidRPr="000679A2">
        <w:t xml:space="preserve">in relation to a </w:t>
      </w:r>
      <w:r w:rsidRPr="009056D2">
        <w:t>scheme, means a member of the scheme who is also an employee of the responsible entity of the scheme or a related body corporate</w:t>
      </w:r>
      <w:r w:rsidRPr="00A12B87">
        <w:t xml:space="preserve">; </w:t>
      </w:r>
      <w:r w:rsidR="00BE4E6C">
        <w:t xml:space="preserve">and </w:t>
      </w:r>
    </w:p>
    <w:p w14:paraId="36B6C816" w14:textId="10BB966B" w:rsidR="00A03088" w:rsidRDefault="00A03088" w:rsidP="00155B8F">
      <w:pPr>
        <w:pStyle w:val="LI-BodyTextSubparai"/>
        <w:numPr>
          <w:ilvl w:val="0"/>
          <w:numId w:val="19"/>
        </w:numPr>
      </w:pPr>
      <w:r w:rsidRPr="00056BF7">
        <w:t xml:space="preserve">in </w:t>
      </w:r>
      <w:r w:rsidRPr="003A4815">
        <w:t xml:space="preserve">relation to a </w:t>
      </w:r>
      <w:r w:rsidRPr="009350DA">
        <w:t>CCIV</w:t>
      </w:r>
      <w:r w:rsidRPr="003A4815">
        <w:t xml:space="preserve">, means a member of </w:t>
      </w:r>
      <w:r w:rsidRPr="00D37C99">
        <w:t>the CCIV</w:t>
      </w:r>
      <w:r w:rsidRPr="003A4815">
        <w:t xml:space="preserve"> who </w:t>
      </w:r>
      <w:proofErr w:type="gramStart"/>
      <w:r w:rsidRPr="003A4815">
        <w:t>is also an employee of</w:t>
      </w:r>
      <w:proofErr w:type="gramEnd"/>
      <w:r w:rsidRPr="003A4815">
        <w:t>:</w:t>
      </w:r>
    </w:p>
    <w:p w14:paraId="275BE39C" w14:textId="77777777" w:rsidR="00A03088" w:rsidRDefault="00A03088" w:rsidP="00155B8F">
      <w:pPr>
        <w:pStyle w:val="LI-BodyTextSubparai"/>
        <w:numPr>
          <w:ilvl w:val="0"/>
          <w:numId w:val="21"/>
        </w:numPr>
      </w:pPr>
      <w:r w:rsidRPr="008717E1">
        <w:t xml:space="preserve">the corporate director of the CCIV; or </w:t>
      </w:r>
    </w:p>
    <w:p w14:paraId="32D85E7A" w14:textId="03B3E4C4" w:rsidR="00A03088" w:rsidRPr="008717E1" w:rsidRDefault="00A03088" w:rsidP="00155B8F">
      <w:pPr>
        <w:pStyle w:val="LI-BodyTextSubparai"/>
        <w:numPr>
          <w:ilvl w:val="0"/>
          <w:numId w:val="21"/>
        </w:numPr>
      </w:pPr>
      <w:r w:rsidRPr="008717E1">
        <w:t>a related body corporate of the corporate director.</w:t>
      </w:r>
    </w:p>
    <w:p w14:paraId="3BC70B99" w14:textId="77777777" w:rsidR="004C1BFB" w:rsidRDefault="004C1BFB">
      <w:pPr>
        <w:spacing w:line="240" w:lineRule="auto"/>
        <w:rPr>
          <w:b/>
        </w:rPr>
      </w:pPr>
    </w:p>
    <w:p w14:paraId="02CFFAC7" w14:textId="67284683" w:rsidR="00E61465" w:rsidRPr="00797A09" w:rsidRDefault="00D51433" w:rsidP="00B6568A">
      <w:pPr>
        <w:keepNext/>
        <w:spacing w:line="240" w:lineRule="auto"/>
        <w:ind w:left="567" w:hanging="567"/>
        <w:rPr>
          <w:b/>
          <w:sz w:val="24"/>
          <w:szCs w:val="24"/>
        </w:rPr>
      </w:pPr>
      <w:r>
        <w:rPr>
          <w:b/>
          <w:sz w:val="24"/>
          <w:szCs w:val="24"/>
        </w:rPr>
        <w:lastRenderedPageBreak/>
        <w:t>32</w:t>
      </w:r>
      <w:r w:rsidR="00B6568A">
        <w:rPr>
          <w:b/>
          <w:sz w:val="24"/>
          <w:szCs w:val="24"/>
        </w:rPr>
        <w:tab/>
      </w:r>
      <w:r w:rsidR="00E61465" w:rsidRPr="00797A09">
        <w:rPr>
          <w:b/>
          <w:sz w:val="24"/>
          <w:szCs w:val="24"/>
        </w:rPr>
        <w:t xml:space="preserve">Section </w:t>
      </w:r>
      <w:r w:rsidR="0089046A" w:rsidRPr="00797A09">
        <w:rPr>
          <w:b/>
          <w:sz w:val="24"/>
          <w:szCs w:val="24"/>
        </w:rPr>
        <w:t>5</w:t>
      </w:r>
      <w:r w:rsidR="00E61465" w:rsidRPr="00797A09">
        <w:rPr>
          <w:b/>
          <w:sz w:val="24"/>
          <w:szCs w:val="24"/>
        </w:rPr>
        <w:t xml:space="preserve"> (heading)</w:t>
      </w:r>
    </w:p>
    <w:p w14:paraId="3A90E8E1" w14:textId="77777777" w:rsidR="00E61465" w:rsidRDefault="00E61465" w:rsidP="00E61465">
      <w:pPr>
        <w:pStyle w:val="LI-BodyTextUnnumbered"/>
      </w:pPr>
      <w:r>
        <w:t xml:space="preserve">Repeal the heading, substitute: </w:t>
      </w:r>
    </w:p>
    <w:p w14:paraId="6080D6D6" w14:textId="59EABC7F" w:rsidR="00E61465" w:rsidRPr="00A12B87" w:rsidRDefault="008C2C04" w:rsidP="008C2C04">
      <w:pPr>
        <w:pStyle w:val="LI-SectionHeading"/>
        <w:ind w:left="2007"/>
      </w:pPr>
      <w:r>
        <w:t>5</w:t>
      </w:r>
      <w:r>
        <w:tab/>
      </w:r>
      <w:r w:rsidR="00E61465" w:rsidRPr="00A12B87">
        <w:t>Registered schemes – differential fees</w:t>
      </w:r>
    </w:p>
    <w:p w14:paraId="4CD7C17E" w14:textId="405B21F5" w:rsidR="00E61465" w:rsidRDefault="00D51433" w:rsidP="00554E72">
      <w:pPr>
        <w:pStyle w:val="LI-SectionHeading"/>
        <w:ind w:left="567"/>
      </w:pPr>
      <w:r>
        <w:t>33</w:t>
      </w:r>
      <w:r w:rsidR="00554E72">
        <w:tab/>
      </w:r>
      <w:r w:rsidR="00E61465">
        <w:t>Subsection 5(2)</w:t>
      </w:r>
    </w:p>
    <w:p w14:paraId="191E27E5" w14:textId="136F395B" w:rsidR="00E61465" w:rsidRDefault="004C1BFB" w:rsidP="00E61465">
      <w:pPr>
        <w:pStyle w:val="LI-BodyTextUnnumbered"/>
      </w:pPr>
      <w:r>
        <w:t xml:space="preserve">After, “differential fee arrangement”, insert “in relation to a registered scheme”. </w:t>
      </w:r>
    </w:p>
    <w:p w14:paraId="3E0DA848" w14:textId="037865F8" w:rsidR="00E61465" w:rsidRDefault="00D51433" w:rsidP="00554E72">
      <w:pPr>
        <w:pStyle w:val="LI-SectionHeading"/>
        <w:ind w:left="567"/>
      </w:pPr>
      <w:r>
        <w:t>34</w:t>
      </w:r>
      <w:r w:rsidR="00554E72">
        <w:tab/>
      </w:r>
      <w:r w:rsidR="00E61465">
        <w:t>Subsection 5(3)</w:t>
      </w:r>
    </w:p>
    <w:p w14:paraId="0F32913B" w14:textId="77777777" w:rsidR="006863AC" w:rsidRDefault="006863AC" w:rsidP="006863AC">
      <w:pPr>
        <w:pStyle w:val="LI-BodyTextUnnumbered"/>
      </w:pPr>
      <w:r>
        <w:t xml:space="preserve">After, “differential fee arrangement”, insert “in relation to a registered scheme”. </w:t>
      </w:r>
    </w:p>
    <w:p w14:paraId="46364EB1" w14:textId="77777777" w:rsidR="004656AE" w:rsidRDefault="004656AE">
      <w:pPr>
        <w:spacing w:line="240" w:lineRule="auto"/>
      </w:pPr>
    </w:p>
    <w:p w14:paraId="07374A90" w14:textId="0373A059" w:rsidR="004656AE" w:rsidRPr="00797A09" w:rsidRDefault="00D51433" w:rsidP="00554E72">
      <w:pPr>
        <w:spacing w:line="240" w:lineRule="auto"/>
        <w:ind w:left="567" w:hanging="567"/>
        <w:rPr>
          <w:b/>
          <w:sz w:val="24"/>
          <w:szCs w:val="24"/>
        </w:rPr>
      </w:pPr>
      <w:r>
        <w:rPr>
          <w:b/>
          <w:sz w:val="24"/>
          <w:szCs w:val="24"/>
        </w:rPr>
        <w:t>35</w:t>
      </w:r>
      <w:r w:rsidR="004656AE" w:rsidRPr="00797A09">
        <w:rPr>
          <w:b/>
          <w:sz w:val="24"/>
          <w:szCs w:val="24"/>
        </w:rPr>
        <w:t xml:space="preserve"> </w:t>
      </w:r>
      <w:r w:rsidR="00554E72">
        <w:rPr>
          <w:b/>
          <w:sz w:val="24"/>
          <w:szCs w:val="24"/>
        </w:rPr>
        <w:tab/>
      </w:r>
      <w:r w:rsidR="004656AE" w:rsidRPr="00797A09">
        <w:rPr>
          <w:b/>
          <w:sz w:val="24"/>
          <w:szCs w:val="24"/>
        </w:rPr>
        <w:t>A</w:t>
      </w:r>
      <w:r w:rsidR="003209E8">
        <w:rPr>
          <w:b/>
          <w:sz w:val="24"/>
          <w:szCs w:val="24"/>
        </w:rPr>
        <w:t xml:space="preserve">t the end of </w:t>
      </w:r>
      <w:r w:rsidR="004656AE" w:rsidRPr="00797A09">
        <w:rPr>
          <w:b/>
          <w:sz w:val="24"/>
          <w:szCs w:val="24"/>
        </w:rPr>
        <w:t>section 6</w:t>
      </w:r>
    </w:p>
    <w:p w14:paraId="33281680" w14:textId="0683B61E" w:rsidR="00A77511" w:rsidRPr="00797A09" w:rsidRDefault="003209E8" w:rsidP="00A77511">
      <w:pPr>
        <w:pStyle w:val="LI-BodyTextUnnumbered"/>
        <w:rPr>
          <w:szCs w:val="24"/>
        </w:rPr>
      </w:pPr>
      <w:r>
        <w:rPr>
          <w:szCs w:val="24"/>
        </w:rPr>
        <w:t>Add</w:t>
      </w:r>
      <w:r w:rsidR="00A77511" w:rsidRPr="00797A09">
        <w:rPr>
          <w:szCs w:val="24"/>
        </w:rPr>
        <w:t>:</w:t>
      </w:r>
    </w:p>
    <w:p w14:paraId="551E8E77" w14:textId="77777777" w:rsidR="00A77511" w:rsidRPr="008373A5" w:rsidRDefault="00A77511" w:rsidP="00E75866">
      <w:pPr>
        <w:pStyle w:val="LI-SectionHeading"/>
        <w:ind w:left="2007"/>
      </w:pPr>
      <w:r>
        <w:t>7</w:t>
      </w:r>
      <w:r>
        <w:tab/>
        <w:t>CCIVs – d</w:t>
      </w:r>
      <w:r w:rsidRPr="008373A5">
        <w:t>ifferential fees</w:t>
      </w:r>
    </w:p>
    <w:p w14:paraId="104C3D94" w14:textId="7EED78CD" w:rsidR="00A77511" w:rsidRDefault="00A77511" w:rsidP="00E75866">
      <w:pPr>
        <w:pStyle w:val="LI-BodyTextSubparai"/>
        <w:ind w:left="2007"/>
      </w:pPr>
      <w:r w:rsidRPr="008373A5">
        <w:t>(1)</w:t>
      </w:r>
      <w:r w:rsidRPr="008373A5">
        <w:tab/>
      </w:r>
      <w:r w:rsidRPr="00C75898">
        <w:t xml:space="preserve">A corporate director of a CCIV does not have to comply with </w:t>
      </w:r>
      <w:r w:rsidRPr="008C0D03">
        <w:t>paragraphs 1224D(2)(b) or (3)(b) of the Act</w:t>
      </w:r>
      <w:r w:rsidRPr="00C75898">
        <w:t xml:space="preserve">, as the case may be, to the extent they would otherwise prohibit the corporate director </w:t>
      </w:r>
      <w:r>
        <w:t xml:space="preserve">or the CCIV </w:t>
      </w:r>
      <w:r w:rsidRPr="00C75898">
        <w:t>from administering a differential fee arrangement</w:t>
      </w:r>
      <w:r w:rsidRPr="00E44C02">
        <w:t xml:space="preserve">. </w:t>
      </w:r>
      <w:r>
        <w:t xml:space="preserve"> </w:t>
      </w:r>
    </w:p>
    <w:p w14:paraId="57E32224" w14:textId="77777777" w:rsidR="00A77511" w:rsidRPr="00C75898" w:rsidRDefault="00A77511" w:rsidP="00E75866">
      <w:pPr>
        <w:pStyle w:val="LI-BodyTextNumbered"/>
        <w:ind w:left="2007"/>
        <w:rPr>
          <w:i/>
        </w:rPr>
      </w:pPr>
      <w:r w:rsidRPr="00C75898">
        <w:rPr>
          <w:i/>
        </w:rPr>
        <w:t>Characteristics of the member or of their investment</w:t>
      </w:r>
    </w:p>
    <w:p w14:paraId="3FA1B4F1" w14:textId="219D51F8" w:rsidR="00A77511" w:rsidRPr="00C75898" w:rsidRDefault="00A77511" w:rsidP="00E75866">
      <w:pPr>
        <w:pStyle w:val="LI-BodyTextSubparai"/>
        <w:ind w:left="2007"/>
      </w:pPr>
      <w:r w:rsidRPr="00C75898">
        <w:t>(2)</w:t>
      </w:r>
      <w:r w:rsidRPr="00C75898">
        <w:tab/>
        <w:t xml:space="preserve">This </w:t>
      </w:r>
      <w:r w:rsidR="008C2C04">
        <w:t>instrument</w:t>
      </w:r>
      <w:r w:rsidRPr="00C75898">
        <w:t xml:space="preserve"> applies to a differential fee arrangement </w:t>
      </w:r>
      <w:r w:rsidR="008C2C04">
        <w:t xml:space="preserve">in relation to a CCIV </w:t>
      </w:r>
      <w:r w:rsidRPr="00C75898">
        <w:t xml:space="preserve">under which the fees that may be charged, </w:t>
      </w:r>
      <w:proofErr w:type="gramStart"/>
      <w:r w:rsidRPr="00C75898">
        <w:t>rebated</w:t>
      </w:r>
      <w:proofErr w:type="gramEnd"/>
      <w:r w:rsidRPr="00C75898">
        <w:t xml:space="preserve"> or waived by the corporate director </w:t>
      </w:r>
      <w:r>
        <w:t xml:space="preserve">or the CCIV </w:t>
      </w:r>
      <w:r w:rsidRPr="00C75898">
        <w:t>to membe</w:t>
      </w:r>
      <w:r w:rsidRPr="00B50A13">
        <w:t xml:space="preserve">rs of </w:t>
      </w:r>
      <w:r w:rsidRPr="00AB5031">
        <w:t>a</w:t>
      </w:r>
      <w:r>
        <w:t xml:space="preserve"> </w:t>
      </w:r>
      <w:r w:rsidR="005E4F18">
        <w:t xml:space="preserve">sub-fund of </w:t>
      </w:r>
      <w:r w:rsidR="008C2C04">
        <w:t>the</w:t>
      </w:r>
      <w:r w:rsidR="005E4F18">
        <w:t xml:space="preserve"> </w:t>
      </w:r>
      <w:r w:rsidRPr="00C75898">
        <w:t>CCIV differ based on any of the following criteria:</w:t>
      </w:r>
    </w:p>
    <w:p w14:paraId="39A750AD" w14:textId="77777777" w:rsidR="00A77511" w:rsidRPr="00C75898" w:rsidRDefault="00A77511" w:rsidP="00AD3054">
      <w:pPr>
        <w:pStyle w:val="LI-BodyTextParaa"/>
        <w:ind w:left="2574"/>
      </w:pPr>
      <w:r w:rsidRPr="00C75898">
        <w:t>(a)</w:t>
      </w:r>
      <w:r w:rsidRPr="00C75898">
        <w:tab/>
        <w:t>the total value of, or the number of, shares held by the member, or by the member and associated persons, in one or more of the following:</w:t>
      </w:r>
    </w:p>
    <w:p w14:paraId="0C54D778" w14:textId="62E4532E" w:rsidR="002E53A9" w:rsidRDefault="00A77511" w:rsidP="00AD3054">
      <w:pPr>
        <w:pStyle w:val="LI-BodyTextSubparai"/>
        <w:ind w:left="3231" w:hanging="657"/>
      </w:pPr>
      <w:r w:rsidRPr="00AD3054">
        <w:t>(</w:t>
      </w:r>
      <w:proofErr w:type="spellStart"/>
      <w:r w:rsidRPr="00AD3054">
        <w:t>i</w:t>
      </w:r>
      <w:proofErr w:type="spellEnd"/>
      <w:r w:rsidRPr="00AD3054">
        <w:t xml:space="preserve">) </w:t>
      </w:r>
      <w:r w:rsidR="00E75866">
        <w:tab/>
      </w:r>
      <w:r w:rsidRPr="00AD3054">
        <w:t>the CCIV</w:t>
      </w:r>
      <w:r w:rsidR="002E53A9">
        <w:t xml:space="preserve"> (in respect of the sub-fund</w:t>
      </w:r>
      <w:proofErr w:type="gramStart"/>
      <w:r w:rsidR="002E53A9">
        <w:t>);</w:t>
      </w:r>
      <w:proofErr w:type="gramEnd"/>
    </w:p>
    <w:p w14:paraId="62CECF7E" w14:textId="110596E0" w:rsidR="00A77511" w:rsidRPr="00AD3054" w:rsidRDefault="00A77511" w:rsidP="00AD3054">
      <w:pPr>
        <w:pStyle w:val="LI-BodyTextSubparai"/>
        <w:ind w:left="3231" w:hanging="657"/>
      </w:pPr>
      <w:r w:rsidRPr="00AD3054">
        <w:t>(ii)</w:t>
      </w:r>
      <w:r w:rsidRPr="00AD3054">
        <w:tab/>
        <w:t>other CCIV</w:t>
      </w:r>
      <w:r w:rsidR="006F4A27">
        <w:t>s</w:t>
      </w:r>
      <w:r w:rsidRPr="00AD3054">
        <w:t xml:space="preserve"> operated by the corporate director or a related body corporate of the corporate </w:t>
      </w:r>
      <w:proofErr w:type="gramStart"/>
      <w:r w:rsidRPr="00AD3054">
        <w:t>director;</w:t>
      </w:r>
      <w:proofErr w:type="gramEnd"/>
      <w:r w:rsidRPr="00AD3054">
        <w:t xml:space="preserve"> </w:t>
      </w:r>
    </w:p>
    <w:p w14:paraId="32FAFC07" w14:textId="2E4FB1E4" w:rsidR="00A77511" w:rsidRPr="00C75898" w:rsidRDefault="00A77511" w:rsidP="00AD3054">
      <w:pPr>
        <w:pStyle w:val="LI-BodyTextSubparai"/>
        <w:ind w:left="3231" w:hanging="657"/>
        <w:rPr>
          <w:lang w:val="en-US"/>
        </w:rPr>
      </w:pPr>
      <w:r w:rsidRPr="00AD3054">
        <w:t>(i</w:t>
      </w:r>
      <w:r w:rsidR="0083362C">
        <w:t>ii</w:t>
      </w:r>
      <w:r w:rsidRPr="00AD3054">
        <w:t>)</w:t>
      </w:r>
      <w:r w:rsidRPr="00AD3054">
        <w:tab/>
        <w:t>other financial products issued by the corporate director</w:t>
      </w:r>
      <w:r w:rsidRPr="00C75898">
        <w:rPr>
          <w:lang w:val="en-US"/>
        </w:rPr>
        <w:t xml:space="preserve"> or a related body corporate of the corporate </w:t>
      </w:r>
      <w:proofErr w:type="gramStart"/>
      <w:r w:rsidRPr="00C75898">
        <w:rPr>
          <w:lang w:val="en-US"/>
        </w:rPr>
        <w:t>director;</w:t>
      </w:r>
      <w:proofErr w:type="gramEnd"/>
    </w:p>
    <w:p w14:paraId="61A3578E" w14:textId="77777777" w:rsidR="00A77511" w:rsidRPr="00C75898" w:rsidRDefault="00A77511" w:rsidP="00AD3054">
      <w:pPr>
        <w:pStyle w:val="LI-BodyTextParaa"/>
        <w:ind w:left="2574"/>
      </w:pPr>
      <w:r w:rsidRPr="00C75898">
        <w:t>(b)</w:t>
      </w:r>
      <w:r w:rsidRPr="00C75898">
        <w:tab/>
        <w:t>the total period of time during which the member, or the member and associated persons, has held shares in one or more of the following:</w:t>
      </w:r>
    </w:p>
    <w:p w14:paraId="4EAE0059" w14:textId="791968F1" w:rsidR="002E53A9" w:rsidRDefault="00A77511" w:rsidP="0054040F">
      <w:pPr>
        <w:pStyle w:val="LI-BodyTextSubparai"/>
        <w:ind w:left="3231" w:hanging="657"/>
      </w:pPr>
      <w:r w:rsidRPr="00AD3054">
        <w:lastRenderedPageBreak/>
        <w:t>(</w:t>
      </w:r>
      <w:proofErr w:type="spellStart"/>
      <w:r w:rsidRPr="00AD3054">
        <w:t>i</w:t>
      </w:r>
      <w:proofErr w:type="spellEnd"/>
      <w:r w:rsidRPr="00AD3054">
        <w:t xml:space="preserve">) </w:t>
      </w:r>
      <w:r w:rsidR="00E75866">
        <w:tab/>
      </w:r>
      <w:r w:rsidRPr="00AD3054">
        <w:t>the CCIV</w:t>
      </w:r>
      <w:r w:rsidR="002E53A9">
        <w:t xml:space="preserve"> (in respect of the sub-fund</w:t>
      </w:r>
      <w:proofErr w:type="gramStart"/>
      <w:r w:rsidR="002E53A9">
        <w:t>)</w:t>
      </w:r>
      <w:r w:rsidRPr="00AD3054">
        <w:t>;</w:t>
      </w:r>
      <w:proofErr w:type="gramEnd"/>
    </w:p>
    <w:p w14:paraId="5262D992" w14:textId="517D9DA9" w:rsidR="00A77511" w:rsidRPr="00AD3054" w:rsidRDefault="00A77511" w:rsidP="00AD3054">
      <w:pPr>
        <w:pStyle w:val="LI-BodyTextSubparai"/>
        <w:ind w:left="3231" w:hanging="657"/>
      </w:pPr>
      <w:r w:rsidRPr="00AD3054">
        <w:t>(ii)</w:t>
      </w:r>
      <w:r w:rsidRPr="00AD3054">
        <w:tab/>
        <w:t>other CCIV</w:t>
      </w:r>
      <w:r w:rsidR="00374DEE">
        <w:t>s</w:t>
      </w:r>
      <w:r w:rsidRPr="00AD3054">
        <w:t xml:space="preserve"> operated by the corporate director or a related body corporate of the corporate </w:t>
      </w:r>
      <w:proofErr w:type="gramStart"/>
      <w:r w:rsidRPr="00AD3054">
        <w:t>director;</w:t>
      </w:r>
      <w:proofErr w:type="gramEnd"/>
    </w:p>
    <w:p w14:paraId="3541A0F6" w14:textId="473240C2" w:rsidR="00A77511" w:rsidRPr="00C75898" w:rsidRDefault="00A77511" w:rsidP="00AD3054">
      <w:pPr>
        <w:pStyle w:val="LI-BodyTextSubparai"/>
        <w:ind w:left="3231" w:hanging="657"/>
      </w:pPr>
      <w:r w:rsidRPr="00C75898">
        <w:t>(i</w:t>
      </w:r>
      <w:r w:rsidR="0083362C">
        <w:t>ii</w:t>
      </w:r>
      <w:r w:rsidRPr="00C75898">
        <w:t>)</w:t>
      </w:r>
      <w:r w:rsidRPr="00C75898">
        <w:tab/>
        <w:t xml:space="preserve">other financial products issued by the corporate director or a related body corporate of the corporate </w:t>
      </w:r>
      <w:proofErr w:type="gramStart"/>
      <w:r w:rsidRPr="00C75898">
        <w:t>director;</w:t>
      </w:r>
      <w:proofErr w:type="gramEnd"/>
    </w:p>
    <w:p w14:paraId="31C8DEED" w14:textId="72B540FA" w:rsidR="00A77511" w:rsidRPr="00C75898" w:rsidRDefault="00A77511" w:rsidP="005A3FDF">
      <w:pPr>
        <w:pStyle w:val="LI-BodyTextParaa"/>
        <w:ind w:left="2574"/>
      </w:pPr>
      <w:r w:rsidRPr="00C75898">
        <w:t>(c)</w:t>
      </w:r>
      <w:r w:rsidRPr="00C75898">
        <w:tab/>
        <w:t xml:space="preserve">the member being an employee of the corporate director or a related body corporate </w:t>
      </w:r>
      <w:r>
        <w:t xml:space="preserve">of the corporate director </w:t>
      </w:r>
      <w:r w:rsidRPr="00C75898">
        <w:t xml:space="preserve">in circumstances where the number of votes that may be cast on a resolution of the </w:t>
      </w:r>
      <w:r w:rsidR="00F04236">
        <w:t xml:space="preserve">members of the sub-fund of the CCIV </w:t>
      </w:r>
      <w:r w:rsidRPr="00C75898">
        <w:t>by employee members is no more than 5% of the total votes that may be cast by the members</w:t>
      </w:r>
      <w:r>
        <w:t xml:space="preserve"> of the </w:t>
      </w:r>
      <w:r w:rsidR="00F04236">
        <w:t xml:space="preserve">sub-fund of the </w:t>
      </w:r>
      <w:proofErr w:type="gramStart"/>
      <w:r>
        <w:t>CCIV</w:t>
      </w:r>
      <w:r w:rsidRPr="00C75898">
        <w:t>;</w:t>
      </w:r>
      <w:proofErr w:type="gramEnd"/>
    </w:p>
    <w:p w14:paraId="4E01896F" w14:textId="77777777" w:rsidR="00C42E38" w:rsidRDefault="00A77511" w:rsidP="005A3FDF">
      <w:pPr>
        <w:pStyle w:val="LI-BodyTextParaa"/>
        <w:ind w:left="2574"/>
      </w:pPr>
      <w:r w:rsidRPr="00C75898">
        <w:t>(d)</w:t>
      </w:r>
      <w:r w:rsidRPr="00C75898">
        <w:tab/>
        <w:t>the member having acquired their shares under a switching facility that involved the member first withdrawing from</w:t>
      </w:r>
      <w:r w:rsidR="00C42E38">
        <w:t>:</w:t>
      </w:r>
    </w:p>
    <w:p w14:paraId="5C1782BF" w14:textId="41780393" w:rsidR="00C42E38" w:rsidRDefault="00A77511" w:rsidP="00C42E38">
      <w:pPr>
        <w:pStyle w:val="LI-BodyTextSubparai"/>
        <w:ind w:left="3231" w:hanging="657"/>
      </w:pPr>
      <w:r w:rsidRPr="00C75898">
        <w:t xml:space="preserve"> </w:t>
      </w:r>
      <w:r w:rsidR="00C42E38">
        <w:t>(</w:t>
      </w:r>
      <w:proofErr w:type="spellStart"/>
      <w:r w:rsidR="00C42E38">
        <w:t>i</w:t>
      </w:r>
      <w:proofErr w:type="spellEnd"/>
      <w:r w:rsidR="00C42E38">
        <w:t xml:space="preserve">) </w:t>
      </w:r>
      <w:r w:rsidR="00C42E38">
        <w:tab/>
      </w:r>
      <w:r w:rsidRPr="00C75898">
        <w:t>a</w:t>
      </w:r>
      <w:r w:rsidR="00C42E38">
        <w:t xml:space="preserve">nother sub-fund of the CCIV; or </w:t>
      </w:r>
    </w:p>
    <w:p w14:paraId="021CF09C" w14:textId="306B5C88" w:rsidR="00A77511" w:rsidRPr="00C75898" w:rsidRDefault="00C42E38" w:rsidP="00C42E38">
      <w:pPr>
        <w:pStyle w:val="LI-BodyTextSubparai"/>
        <w:ind w:left="3231" w:hanging="657"/>
      </w:pPr>
      <w:r>
        <w:t xml:space="preserve">(ii) </w:t>
      </w:r>
      <w:r>
        <w:tab/>
        <w:t xml:space="preserve">another </w:t>
      </w:r>
      <w:r w:rsidRPr="00C75898">
        <w:t>CCIV operated by the corporate director or a related body corporate of the corporate director; or</w:t>
      </w:r>
    </w:p>
    <w:p w14:paraId="2B47413A" w14:textId="77777777" w:rsidR="00A77511" w:rsidRPr="00C75898" w:rsidRDefault="00A77511" w:rsidP="005A3FDF">
      <w:pPr>
        <w:pStyle w:val="LI-BodyTextParaa"/>
        <w:ind w:left="2574"/>
      </w:pPr>
      <w:r w:rsidRPr="00C75898">
        <w:t>(e)</w:t>
      </w:r>
      <w:r w:rsidRPr="00C75898">
        <w:tab/>
        <w:t>savings to the CCIV resulting, or reasonably expected by the corporate director to result, from the lower cost of servicing a member of the CCIV because of particular characteristics of that member or of their investment, where the amount of the benefit by way of lower fees charged to that member, or the rebate or waiver of fees provided to that member, is no greater than a reasonable estimate of the amount of the saving or expected saving.</w:t>
      </w:r>
    </w:p>
    <w:p w14:paraId="679E1C85" w14:textId="77777777" w:rsidR="00A77511" w:rsidRPr="00C75898" w:rsidRDefault="00A77511" w:rsidP="005800D6">
      <w:pPr>
        <w:pStyle w:val="LI-BodyTextNumbered"/>
        <w:ind w:left="2007"/>
        <w:rPr>
          <w:i/>
        </w:rPr>
      </w:pPr>
      <w:r w:rsidRPr="00C75898">
        <w:rPr>
          <w:i/>
        </w:rPr>
        <w:t>Individual negotiation with wholesale clients</w:t>
      </w:r>
    </w:p>
    <w:p w14:paraId="37B911FA" w14:textId="0F2EAC59" w:rsidR="00A77511" w:rsidRPr="00C75898" w:rsidRDefault="00A77511" w:rsidP="005800D6">
      <w:pPr>
        <w:pStyle w:val="LI-BodyTextSubparai"/>
        <w:ind w:left="2007"/>
      </w:pPr>
      <w:r w:rsidRPr="00C75898">
        <w:t>(3)</w:t>
      </w:r>
      <w:r w:rsidRPr="00C75898">
        <w:tab/>
        <w:t xml:space="preserve">This </w:t>
      </w:r>
      <w:r w:rsidR="007F0E0E">
        <w:t>instrument</w:t>
      </w:r>
      <w:r>
        <w:t xml:space="preserve"> </w:t>
      </w:r>
      <w:r w:rsidRPr="00C75898">
        <w:t xml:space="preserve">also applies to a differential fee arrangement </w:t>
      </w:r>
      <w:r w:rsidR="007F0E0E">
        <w:t xml:space="preserve">in relation to a CCIV </w:t>
      </w:r>
      <w:r w:rsidRPr="00C75898">
        <w:t xml:space="preserve">under which the fees that may be charged, </w:t>
      </w:r>
      <w:proofErr w:type="gramStart"/>
      <w:r w:rsidRPr="00C75898">
        <w:t>rebated</w:t>
      </w:r>
      <w:proofErr w:type="gramEnd"/>
      <w:r w:rsidRPr="00C75898">
        <w:t xml:space="preserve"> or waived by the corporate director </w:t>
      </w:r>
      <w:r w:rsidR="005A3FDF">
        <w:t xml:space="preserve">or a CCIV </w:t>
      </w:r>
      <w:r w:rsidRPr="00C75898">
        <w:t>to a member that is a wholesale client differs from that applying to other members based on individual negotiation between the corporate director and the member.</w:t>
      </w:r>
    </w:p>
    <w:p w14:paraId="51F380BB" w14:textId="77777777" w:rsidR="00A77511" w:rsidRPr="00C75898" w:rsidRDefault="00A77511" w:rsidP="00FA0C42">
      <w:pPr>
        <w:pStyle w:val="LI-SectionHeading"/>
        <w:keepNext/>
        <w:ind w:left="2007"/>
      </w:pPr>
      <w:r w:rsidRPr="00C75898">
        <w:t>8</w:t>
      </w:r>
      <w:r w:rsidRPr="00C75898">
        <w:tab/>
        <w:t>Conditions</w:t>
      </w:r>
    </w:p>
    <w:p w14:paraId="059E68C5" w14:textId="77777777" w:rsidR="00A77511" w:rsidRPr="00C75898" w:rsidRDefault="00A77511" w:rsidP="005800D6">
      <w:pPr>
        <w:pStyle w:val="LI-BodyTextSubparai"/>
        <w:ind w:left="2007"/>
      </w:pPr>
      <w:r w:rsidRPr="00C75898">
        <w:t>(1)</w:t>
      </w:r>
      <w:r w:rsidRPr="00C75898">
        <w:tab/>
        <w:t>The corporate director must ensure that:</w:t>
      </w:r>
    </w:p>
    <w:p w14:paraId="2925F116" w14:textId="77777777" w:rsidR="00A77511" w:rsidRPr="00C75898" w:rsidRDefault="00A77511" w:rsidP="005800D6">
      <w:pPr>
        <w:pStyle w:val="LI-BodyTextParaa"/>
        <w:ind w:left="2574"/>
      </w:pPr>
      <w:r w:rsidRPr="00C75898">
        <w:t>(a)</w:t>
      </w:r>
      <w:r w:rsidRPr="00C75898">
        <w:tab/>
        <w:t xml:space="preserve">where a differential fee arrangement of a kind referred to in subsection 7(2) is in place or is to be offered—a statement of the basis on which the differential fee will be </w:t>
      </w:r>
      <w:proofErr w:type="gramStart"/>
      <w:r w:rsidRPr="00C75898">
        <w:t>calculated</w:t>
      </w:r>
      <w:proofErr w:type="gramEnd"/>
      <w:r w:rsidRPr="00C75898">
        <w:t xml:space="preserve"> </w:t>
      </w:r>
      <w:r w:rsidRPr="00C75898">
        <w:lastRenderedPageBreak/>
        <w:t>and which specifies the fees that members will have to bear; and</w:t>
      </w:r>
    </w:p>
    <w:p w14:paraId="2F9E9037" w14:textId="77777777" w:rsidR="00A77511" w:rsidRPr="00C75898" w:rsidRDefault="00A77511" w:rsidP="005800D6">
      <w:pPr>
        <w:pStyle w:val="LI-BodyTextParaa"/>
        <w:ind w:left="2574"/>
      </w:pPr>
      <w:r w:rsidRPr="00C75898">
        <w:t>(b)</w:t>
      </w:r>
      <w:r w:rsidRPr="00C75898">
        <w:tab/>
        <w:t>where a differential fee arrangement of a kind referred to in subsection 7(3) is in place or is to be offered—a statement of that fact,</w:t>
      </w:r>
    </w:p>
    <w:p w14:paraId="710F62CC" w14:textId="77777777" w:rsidR="00A77511" w:rsidRPr="00C75898" w:rsidRDefault="00A77511" w:rsidP="005800D6">
      <w:pPr>
        <w:pStyle w:val="LI-BodyTextNumbered"/>
        <w:ind w:left="2007" w:firstLine="0"/>
      </w:pPr>
      <w:r w:rsidRPr="00C75898">
        <w:t>is or has been disclosed in a clear, concise and effective manner:</w:t>
      </w:r>
    </w:p>
    <w:p w14:paraId="764E1D9F" w14:textId="77777777" w:rsidR="00A77511" w:rsidRPr="00C75898" w:rsidRDefault="00A77511" w:rsidP="005800D6">
      <w:pPr>
        <w:pStyle w:val="LI-BodyTextParaa"/>
        <w:ind w:left="2574"/>
      </w:pPr>
      <w:r w:rsidRPr="00C75898">
        <w:t>(c)</w:t>
      </w:r>
      <w:r w:rsidRPr="00C75898">
        <w:tab/>
        <w:t xml:space="preserve">to existing members of the </w:t>
      </w:r>
      <w:r>
        <w:t xml:space="preserve">sub-fund of the </w:t>
      </w:r>
      <w:r w:rsidRPr="00C75898">
        <w:t xml:space="preserve">CCIV by no later than the date of the first communication by the corporate director to all members </w:t>
      </w:r>
      <w:r>
        <w:t xml:space="preserve">of the sub-fund </w:t>
      </w:r>
      <w:r w:rsidRPr="00C75898">
        <w:t>after the date when the differential fee arrangement is first offered; and</w:t>
      </w:r>
    </w:p>
    <w:p w14:paraId="2DD36429" w14:textId="77777777" w:rsidR="00A77511" w:rsidRPr="00C75898" w:rsidRDefault="00A77511" w:rsidP="005800D6">
      <w:pPr>
        <w:pStyle w:val="LI-BodyTextParaa"/>
        <w:ind w:left="2574"/>
      </w:pPr>
      <w:r w:rsidRPr="00C75898">
        <w:t>(d)</w:t>
      </w:r>
      <w:r w:rsidRPr="00C75898">
        <w:tab/>
        <w:t>in any Product Disclosure Statement required by the Act in relation to shares in the CCIV that is in use during the period in which the differential fee arrangement is offered.</w:t>
      </w:r>
    </w:p>
    <w:p w14:paraId="21B63510" w14:textId="77777777" w:rsidR="00A77511" w:rsidRPr="00C75898" w:rsidRDefault="00A77511" w:rsidP="005800D6">
      <w:pPr>
        <w:pStyle w:val="LI-BodyTextSubparai"/>
        <w:ind w:left="2007"/>
      </w:pPr>
      <w:r w:rsidRPr="00C75898">
        <w:t>(2)</w:t>
      </w:r>
      <w:r w:rsidRPr="00C75898">
        <w:tab/>
        <w:t xml:space="preserve">The corporate director must ensure that any differential fee arrangements do not adversely affect the fees paid or to be paid by any member of the </w:t>
      </w:r>
      <w:r>
        <w:t xml:space="preserve">sub-fund of the </w:t>
      </w:r>
      <w:r w:rsidRPr="00C75898">
        <w:t xml:space="preserve">CCIV who is not entitled to the benefit of those fee arrangements. </w:t>
      </w:r>
    </w:p>
    <w:p w14:paraId="661E7B2E" w14:textId="651896FB" w:rsidR="00A77511" w:rsidRDefault="00A77511" w:rsidP="005800D6">
      <w:pPr>
        <w:pStyle w:val="LI-BodyTextSubparai"/>
        <w:ind w:left="2007"/>
      </w:pPr>
      <w:r w:rsidRPr="00C75898">
        <w:t>(3)</w:t>
      </w:r>
      <w:r w:rsidRPr="00C75898">
        <w:tab/>
        <w:t xml:space="preserve">The corporate director must ensure that where a differential fee arrangement of a kind referred to </w:t>
      </w:r>
      <w:r w:rsidR="00554E72">
        <w:t xml:space="preserve">in </w:t>
      </w:r>
      <w:r w:rsidRPr="00C75898">
        <w:t>subsection 7(2) is in place or is to be offered, the arrangement is applied without discrimination to all members </w:t>
      </w:r>
      <w:r>
        <w:t xml:space="preserve">of the sub-fund of the CCIV </w:t>
      </w:r>
      <w:r w:rsidRPr="00C75898">
        <w:t>who satisfy the criteria necessary to receive the benefit of the arrangement.</w:t>
      </w:r>
    </w:p>
    <w:p w14:paraId="1928E007" w14:textId="328188E0" w:rsidR="00184869" w:rsidRDefault="00184869">
      <w:pPr>
        <w:spacing w:line="240" w:lineRule="auto"/>
        <w:rPr>
          <w:rFonts w:eastAsia="Times New Roman"/>
          <w:b/>
          <w:kern w:val="28"/>
          <w:sz w:val="32"/>
          <w:lang w:eastAsia="en-AU"/>
        </w:rPr>
      </w:pPr>
    </w:p>
    <w:p w14:paraId="293ED24E" w14:textId="77777777" w:rsidR="00E16692" w:rsidRDefault="00E16692">
      <w:pPr>
        <w:spacing w:line="240" w:lineRule="auto"/>
        <w:rPr>
          <w:rFonts w:eastAsia="Times New Roman"/>
          <w:b/>
          <w:kern w:val="28"/>
          <w:sz w:val="32"/>
          <w:lang w:eastAsia="en-AU"/>
        </w:rPr>
      </w:pPr>
      <w:r>
        <w:br w:type="page"/>
      </w:r>
    </w:p>
    <w:p w14:paraId="1F869665" w14:textId="7CF448D9" w:rsidR="005800D6" w:rsidRDefault="00D51433" w:rsidP="005800D6">
      <w:pPr>
        <w:pStyle w:val="LI-Heading1"/>
        <w:ind w:left="0" w:firstLine="0"/>
      </w:pPr>
      <w:bookmarkStart w:id="24" w:name="_Toc118808568"/>
      <w:r>
        <w:lastRenderedPageBreak/>
        <w:t>Part</w:t>
      </w:r>
      <w:r w:rsidR="005800D6">
        <w:t xml:space="preserve"> </w:t>
      </w:r>
      <w:r w:rsidR="002E679C">
        <w:t>8</w:t>
      </w:r>
      <w:bookmarkEnd w:id="24"/>
      <w:r w:rsidR="005800D6">
        <w:t xml:space="preserve"> </w:t>
      </w:r>
    </w:p>
    <w:p w14:paraId="09445EF6" w14:textId="30419949" w:rsidR="005800D6" w:rsidRPr="00E02BC6" w:rsidRDefault="005800D6" w:rsidP="004C7E31">
      <w:pPr>
        <w:pStyle w:val="LI-Heading2"/>
        <w:ind w:left="0" w:firstLine="0"/>
        <w:rPr>
          <w:i/>
        </w:rPr>
      </w:pPr>
      <w:bookmarkStart w:id="25" w:name="_Toc118808569"/>
      <w:r w:rsidRPr="00E02BC6">
        <w:rPr>
          <w:i/>
        </w:rPr>
        <w:t>ASIC Corporations (Removing Barriers to Electronic Disclosure) Instrument 2015/649</w:t>
      </w:r>
      <w:bookmarkEnd w:id="25"/>
    </w:p>
    <w:p w14:paraId="20ED9B4B" w14:textId="3204242D" w:rsidR="005800D6" w:rsidRDefault="00D51433" w:rsidP="00871E45">
      <w:pPr>
        <w:pStyle w:val="LI-BodyTextNumbered"/>
        <w:ind w:left="567"/>
        <w:rPr>
          <w:b/>
        </w:rPr>
      </w:pPr>
      <w:r>
        <w:rPr>
          <w:b/>
        </w:rPr>
        <w:t>36</w:t>
      </w:r>
      <w:r w:rsidR="005800D6">
        <w:rPr>
          <w:b/>
        </w:rPr>
        <w:t xml:space="preserve"> </w:t>
      </w:r>
      <w:r w:rsidR="00871E45">
        <w:rPr>
          <w:b/>
        </w:rPr>
        <w:tab/>
      </w:r>
      <w:r w:rsidR="005800D6">
        <w:rPr>
          <w:b/>
        </w:rPr>
        <w:t>Section 2 (note)</w:t>
      </w:r>
    </w:p>
    <w:p w14:paraId="111C913E" w14:textId="76DE40F0" w:rsidR="005800D6" w:rsidRDefault="005800D6" w:rsidP="005800D6">
      <w:pPr>
        <w:pStyle w:val="LI-BodyTextUnnumbered"/>
      </w:pPr>
      <w:r>
        <w:t>Omit “</w:t>
      </w:r>
      <w:r w:rsidRPr="00F91AB9">
        <w:t>http://www.comlaw.gov.au</w:t>
      </w:r>
      <w:r>
        <w:t>”, substitute “</w:t>
      </w:r>
      <w:r w:rsidRPr="005800D6">
        <w:t>www.legislation.gov.au</w:t>
      </w:r>
      <w:r>
        <w:t>”.</w:t>
      </w:r>
    </w:p>
    <w:p w14:paraId="0449921E" w14:textId="604E4A8C" w:rsidR="0010011F" w:rsidRPr="00CA3A25" w:rsidRDefault="00D51433" w:rsidP="00871E45">
      <w:pPr>
        <w:pStyle w:val="LI-BodyTextNumbered"/>
        <w:ind w:left="567"/>
        <w:rPr>
          <w:b/>
        </w:rPr>
      </w:pPr>
      <w:r>
        <w:rPr>
          <w:b/>
        </w:rPr>
        <w:t>37</w:t>
      </w:r>
      <w:r w:rsidR="00871E45">
        <w:rPr>
          <w:b/>
        </w:rPr>
        <w:tab/>
      </w:r>
      <w:r w:rsidR="0010011F">
        <w:rPr>
          <w:b/>
        </w:rPr>
        <w:t>Section 4</w:t>
      </w:r>
    </w:p>
    <w:p w14:paraId="1C0896F5" w14:textId="2B32C755" w:rsidR="0010011F" w:rsidRDefault="0010011F" w:rsidP="0010011F">
      <w:pPr>
        <w:pStyle w:val="LI-BodyTextUnnumbered"/>
      </w:pPr>
      <w:r>
        <w:t>Insert</w:t>
      </w:r>
      <w:r w:rsidR="009A569E">
        <w:t xml:space="preserve">: </w:t>
      </w:r>
    </w:p>
    <w:p w14:paraId="6C91894E" w14:textId="77777777" w:rsidR="0010011F" w:rsidRDefault="0010011F" w:rsidP="0010011F">
      <w:pPr>
        <w:pStyle w:val="LI-BodyTextParaa"/>
        <w:ind w:left="1440" w:firstLine="0"/>
      </w:pPr>
      <w:r>
        <w:rPr>
          <w:b/>
          <w:i/>
        </w:rPr>
        <w:t xml:space="preserve">simple sub-fund product </w:t>
      </w:r>
      <w:r w:rsidRPr="00D02181">
        <w:t>has the same meaning as in regulation 1.0.02 of the Regulations.</w:t>
      </w:r>
    </w:p>
    <w:p w14:paraId="78477D73" w14:textId="21EE4751" w:rsidR="0010011F" w:rsidRDefault="0010011F" w:rsidP="00871E45">
      <w:pPr>
        <w:pStyle w:val="LI-BodyTextUnnumbered"/>
        <w:ind w:left="567" w:hanging="567"/>
        <w:rPr>
          <w:b/>
        </w:rPr>
      </w:pPr>
      <w:r w:rsidRPr="0010011F">
        <w:rPr>
          <w:b/>
        </w:rPr>
        <w:t>3</w:t>
      </w:r>
      <w:r w:rsidR="00D51433">
        <w:rPr>
          <w:b/>
        </w:rPr>
        <w:t>8</w:t>
      </w:r>
      <w:r w:rsidR="00871E45">
        <w:rPr>
          <w:b/>
        </w:rPr>
        <w:tab/>
      </w:r>
      <w:r w:rsidRPr="0010011F">
        <w:rPr>
          <w:b/>
        </w:rPr>
        <w:t>Section 5</w:t>
      </w:r>
    </w:p>
    <w:p w14:paraId="506B5269" w14:textId="0592D5C9" w:rsidR="0010011F" w:rsidRPr="007E54BF" w:rsidRDefault="0010011F" w:rsidP="007E54BF">
      <w:pPr>
        <w:pStyle w:val="LI-BodyTextUnnumbered"/>
      </w:pPr>
      <w:r>
        <w:t xml:space="preserve">Repeal the section, substitute: </w:t>
      </w:r>
    </w:p>
    <w:p w14:paraId="51C2F0E0" w14:textId="77777777" w:rsidR="0010011F" w:rsidRPr="005D3D41" w:rsidRDefault="0010011F" w:rsidP="007E54BF">
      <w:pPr>
        <w:pStyle w:val="LI-SectionHeading"/>
        <w:ind w:left="2007"/>
      </w:pPr>
      <w:bookmarkStart w:id="26" w:name="_Toc424299267"/>
      <w:r>
        <w:t>5</w:t>
      </w:r>
      <w:r>
        <w:tab/>
        <w:t>Page length for electronic PDSs</w:t>
      </w:r>
      <w:bookmarkEnd w:id="26"/>
    </w:p>
    <w:p w14:paraId="3E9FA0FC" w14:textId="1795BAFC" w:rsidR="0010011F" w:rsidRDefault="0010011F" w:rsidP="007E54BF">
      <w:pPr>
        <w:pStyle w:val="LI-BodyTextSubparai"/>
        <w:ind w:left="2007" w:firstLine="0"/>
      </w:pPr>
      <w:r w:rsidRPr="00EF4103">
        <w:t xml:space="preserve">Part 7.9 of the Act applies in relation to a margin loan, a superannuation product to which Subdivision 4.2B of Division 4 of Part 7.9 of the Regulations applies, a simple managed investment scheme to which Subdivision 4.2C of Division 4 of Part 7.9 of the Regulations </w:t>
      </w:r>
      <w:r w:rsidR="001010B3">
        <w:t xml:space="preserve">applies </w:t>
      </w:r>
      <w:r w:rsidRPr="00EF4103">
        <w:t xml:space="preserve">and a simple sub-fund product to which Subdivision 4.2D of Division 4 of Part 7.9 of the Regulations </w:t>
      </w:r>
      <w:r w:rsidRPr="00AB533D">
        <w:t xml:space="preserve">applies as if Schedules 10C, 10D, </w:t>
      </w:r>
      <w:r w:rsidRPr="00FF2767">
        <w:t xml:space="preserve">10E and 10F to the </w:t>
      </w:r>
      <w:r w:rsidRPr="0029457E">
        <w:t>Regulations were modified or varied by inserting after subclause 1(2) in each of those Schedules:</w:t>
      </w:r>
    </w:p>
    <w:p w14:paraId="510119A1" w14:textId="6369BFA4" w:rsidR="007E54BF" w:rsidRDefault="007E54BF" w:rsidP="007E54BF">
      <w:pPr>
        <w:pStyle w:val="LI-BodyTextSubparai"/>
        <w:ind w:left="3141"/>
      </w:pPr>
      <w:r w:rsidRPr="00EF4103">
        <w:t>“(3)</w:t>
      </w:r>
      <w:r w:rsidRPr="00EF4103">
        <w:tab/>
        <w:t xml:space="preserve">The requirement in subclause 1(1) only applies to the extent that material contained in the Statement is of a kind that is able to be printed.”. </w:t>
      </w:r>
    </w:p>
    <w:p w14:paraId="110E85D7" w14:textId="77777777" w:rsidR="007E54BF" w:rsidRPr="007E54BF" w:rsidRDefault="007E54BF" w:rsidP="007E54BF">
      <w:pPr>
        <w:pStyle w:val="LI-SectionNote"/>
        <w:ind w:left="2574"/>
        <w:rPr>
          <w:szCs w:val="18"/>
        </w:rPr>
      </w:pPr>
      <w:r w:rsidRPr="007E54BF">
        <w:rPr>
          <w:szCs w:val="18"/>
        </w:rPr>
        <w:t>Note:</w:t>
      </w:r>
      <w:r w:rsidRPr="007E54BF">
        <w:rPr>
          <w:szCs w:val="18"/>
        </w:rPr>
        <w:tab/>
        <w:t xml:space="preserve">Part 7.9 applies in relation to the issue of sale of securities in a CCIV, subject to modifications: see, in particular, section 1241Q. </w:t>
      </w:r>
    </w:p>
    <w:p w14:paraId="43B9C1C1" w14:textId="755E9624" w:rsidR="007E54BF" w:rsidRDefault="00D51433" w:rsidP="00871E45">
      <w:pPr>
        <w:pStyle w:val="LI-BodyTextSubparai"/>
        <w:ind w:left="567"/>
        <w:rPr>
          <w:b/>
        </w:rPr>
      </w:pPr>
      <w:r>
        <w:rPr>
          <w:b/>
        </w:rPr>
        <w:t>39</w:t>
      </w:r>
      <w:r w:rsidR="00871E45">
        <w:rPr>
          <w:b/>
        </w:rPr>
        <w:tab/>
      </w:r>
      <w:r w:rsidR="007E54BF">
        <w:rPr>
          <w:b/>
        </w:rPr>
        <w:t>Section 6</w:t>
      </w:r>
    </w:p>
    <w:p w14:paraId="1AF7C8AD" w14:textId="6C73283A" w:rsidR="00A16875" w:rsidRDefault="007E54BF" w:rsidP="00F861E6">
      <w:pPr>
        <w:pStyle w:val="LI-BodyTextUnnumbered"/>
      </w:pPr>
      <w:r>
        <w:t>Omit “</w:t>
      </w:r>
      <w:r w:rsidR="00CC7A74">
        <w:t>applies and a simple managed investment scheme to which Subdivision 4.2C of Division 4 of Part 7.9 of the Regulations applies</w:t>
      </w:r>
      <w:r w:rsidR="003C3D3C">
        <w:t>”, substitute “applies, a simple managed investment scheme to which Subdivision 4.2C of Division 4 of Part 7.9 of the Regulations applies and a simple sub-fund product to which Subdivision 4.2D of Division 4 of Part 7.9 of the Regulations</w:t>
      </w:r>
      <w:r w:rsidR="00780021">
        <w:t xml:space="preserve"> applies</w:t>
      </w:r>
      <w:r w:rsidR="003C3D3C">
        <w:t>”</w:t>
      </w:r>
      <w:r w:rsidR="00F861E6">
        <w:t xml:space="preserve">. </w:t>
      </w:r>
    </w:p>
    <w:p w14:paraId="6E575FBE" w14:textId="6EE8B08F" w:rsidR="00A16875" w:rsidRDefault="00D51433" w:rsidP="00871E45">
      <w:pPr>
        <w:pStyle w:val="LI-BodyTextUnnumbered"/>
        <w:ind w:left="567" w:hanging="567"/>
        <w:rPr>
          <w:b/>
        </w:rPr>
      </w:pPr>
      <w:r>
        <w:rPr>
          <w:b/>
        </w:rPr>
        <w:t>40</w:t>
      </w:r>
      <w:r w:rsidR="00871E45">
        <w:rPr>
          <w:b/>
        </w:rPr>
        <w:tab/>
      </w:r>
      <w:r w:rsidR="00A16875">
        <w:rPr>
          <w:b/>
        </w:rPr>
        <w:t>Paragraph 6(a) (notional paragraph 1015C</w:t>
      </w:r>
      <w:r w:rsidR="00202B98">
        <w:rPr>
          <w:b/>
        </w:rPr>
        <w:t>(5A)</w:t>
      </w:r>
      <w:r w:rsidR="00A16875">
        <w:rPr>
          <w:b/>
        </w:rPr>
        <w:t>(c)</w:t>
      </w:r>
      <w:r w:rsidR="0084545F">
        <w:rPr>
          <w:b/>
        </w:rPr>
        <w:t xml:space="preserve"> of the Act</w:t>
      </w:r>
      <w:r w:rsidR="00A16875">
        <w:rPr>
          <w:b/>
        </w:rPr>
        <w:t>)</w:t>
      </w:r>
    </w:p>
    <w:p w14:paraId="3B7B6086" w14:textId="40B19881" w:rsidR="00291633" w:rsidRDefault="00A16875" w:rsidP="00FB07A2">
      <w:pPr>
        <w:pStyle w:val="LI-BodyTextUnnumbered"/>
      </w:pPr>
      <w:r>
        <w:t>Omit “7.9.11R(2)(a) and 7.9.11Z(2)(a)”, substitute “</w:t>
      </w:r>
      <w:bookmarkStart w:id="27" w:name="_Hlk113703835"/>
      <w:r>
        <w:t xml:space="preserve">7.9.11R(2)(a), 7.9.11Z(2)(a) </w:t>
      </w:r>
      <w:bookmarkEnd w:id="27"/>
      <w:r>
        <w:t xml:space="preserve">and </w:t>
      </w:r>
      <w:r w:rsidRPr="00E624E1">
        <w:t>7.9.11ZH(2)(a)</w:t>
      </w:r>
      <w:r>
        <w:t xml:space="preserve">”.  </w:t>
      </w:r>
    </w:p>
    <w:p w14:paraId="054AE242" w14:textId="1E0D6A09" w:rsidR="00FB07A2" w:rsidRPr="00FB07A2" w:rsidRDefault="00D51433" w:rsidP="00871E45">
      <w:pPr>
        <w:pStyle w:val="LI-SectionHeading"/>
        <w:ind w:left="567"/>
      </w:pPr>
      <w:r>
        <w:lastRenderedPageBreak/>
        <w:t>4</w:t>
      </w:r>
      <w:r w:rsidR="00C90C45">
        <w:t>1</w:t>
      </w:r>
      <w:r w:rsidR="00871E45">
        <w:tab/>
      </w:r>
      <w:r w:rsidR="00FB07A2">
        <w:t>A</w:t>
      </w:r>
      <w:r w:rsidR="003209E8">
        <w:t xml:space="preserve">t the end of </w:t>
      </w:r>
      <w:r w:rsidR="00FB07A2">
        <w:t>paragraph 6(d)</w:t>
      </w:r>
    </w:p>
    <w:p w14:paraId="3FE7C5DF" w14:textId="626CC0CB" w:rsidR="00FB07A2" w:rsidRDefault="003209E8" w:rsidP="00FB07A2">
      <w:pPr>
        <w:pStyle w:val="LI-BodyTextUnnumbered"/>
      </w:pPr>
      <w:r>
        <w:t xml:space="preserve">Add: </w:t>
      </w:r>
    </w:p>
    <w:p w14:paraId="7F174188" w14:textId="6D67F653" w:rsidR="00FB07A2" w:rsidRDefault="00BE4E6C" w:rsidP="00904DC5">
      <w:pPr>
        <w:pStyle w:val="LI-BodyTextUnnumbered"/>
        <w:spacing w:after="240"/>
        <w:ind w:left="2460" w:hanging="1020"/>
      </w:pPr>
      <w:r>
        <w:t xml:space="preserve">; and </w:t>
      </w:r>
      <w:r w:rsidR="00FB07A2">
        <w:t>(e)</w:t>
      </w:r>
      <w:r w:rsidR="00FB07A2">
        <w:tab/>
        <w:t xml:space="preserve">Schedule 10F to the Regulations were modified or varied as follows: </w:t>
      </w:r>
    </w:p>
    <w:p w14:paraId="3A3A0C19" w14:textId="77777777" w:rsidR="00FB07A2" w:rsidRDefault="00FB07A2" w:rsidP="00C90C45">
      <w:pPr>
        <w:pStyle w:val="LI-BodyTextSubparai"/>
        <w:ind w:left="3123" w:hanging="657"/>
      </w:pPr>
      <w:r>
        <w:t>(</w:t>
      </w:r>
      <w:proofErr w:type="spellStart"/>
      <w:r>
        <w:t>i</w:t>
      </w:r>
      <w:proofErr w:type="spellEnd"/>
      <w:r>
        <w:t>)</w:t>
      </w:r>
      <w:r>
        <w:tab/>
        <w:t>in paragraph 2(2)(b) omit “.”, substitute “; and</w:t>
      </w:r>
      <w:proofErr w:type="gramStart"/>
      <w:r>
        <w:t>”;</w:t>
      </w:r>
      <w:proofErr w:type="gramEnd"/>
      <w:r>
        <w:t xml:space="preserve"> </w:t>
      </w:r>
    </w:p>
    <w:p w14:paraId="5FEEE123" w14:textId="77777777" w:rsidR="00FB07A2" w:rsidRDefault="00FB07A2" w:rsidP="00C90C45">
      <w:pPr>
        <w:pStyle w:val="LI-BodyTextSubparai"/>
        <w:ind w:left="3123" w:hanging="657"/>
      </w:pPr>
      <w:r>
        <w:t>(ii)</w:t>
      </w:r>
      <w:r>
        <w:tab/>
        <w:t>after paragraph 2(2)(b) insert:</w:t>
      </w:r>
    </w:p>
    <w:p w14:paraId="6A3FF58C" w14:textId="77777777" w:rsidR="00FB07A2" w:rsidRDefault="00FB07A2" w:rsidP="00C90C45">
      <w:pPr>
        <w:pStyle w:val="LI-BodyTextParaa"/>
        <w:ind w:left="3690"/>
      </w:pPr>
      <w:r>
        <w:t>“(c)</w:t>
      </w:r>
      <w:r>
        <w:tab/>
        <w:t xml:space="preserve">if the Statement is in an electronic form and some or all of the Statement is of a kind that is not able to be printed: </w:t>
      </w:r>
    </w:p>
    <w:p w14:paraId="32BBE309" w14:textId="77777777" w:rsidR="00FB07A2" w:rsidRDefault="00FB07A2" w:rsidP="00C90C45">
      <w:pPr>
        <w:pStyle w:val="LI-BodyTextSubparai"/>
        <w:ind w:left="4347" w:hanging="657"/>
      </w:pPr>
      <w:r>
        <w:t>(</w:t>
      </w:r>
      <w:proofErr w:type="spellStart"/>
      <w:r>
        <w:t>i</w:t>
      </w:r>
      <w:proofErr w:type="spellEnd"/>
      <w:r>
        <w:t>)</w:t>
      </w:r>
      <w:r>
        <w:tab/>
        <w:t>a description of the electronic means by which the responsible person for the Statement makes the Statement available; and</w:t>
      </w:r>
    </w:p>
    <w:p w14:paraId="6D01AEAD" w14:textId="77777777" w:rsidR="00FB07A2" w:rsidRDefault="00FB07A2" w:rsidP="00C90C45">
      <w:pPr>
        <w:pStyle w:val="LI-BodyTextSubparai"/>
        <w:ind w:left="4347" w:hanging="657"/>
      </w:pPr>
      <w:r>
        <w:t>(ii)</w:t>
      </w:r>
      <w:r>
        <w:tab/>
        <w:t>a statement that a person who requests a copy of the Statement must nominate one of those electronic means in order to receive a copy of the Statement; and</w:t>
      </w:r>
    </w:p>
    <w:p w14:paraId="74971DF4" w14:textId="687DEBE4" w:rsidR="00FB07A2" w:rsidRDefault="00FB07A2" w:rsidP="00C90C45">
      <w:pPr>
        <w:pStyle w:val="LI-BodyTextSubparai"/>
        <w:ind w:left="4347" w:hanging="657"/>
      </w:pPr>
      <w:r>
        <w:t>(iii)</w:t>
      </w:r>
      <w:r>
        <w:tab/>
        <w:t>if there is another Product Disclosure Statement for the simple sub-fund product that is in use and is able to be printed, a statement that that is the case and that a person may request a copy of that Statement.”</w:t>
      </w:r>
      <w:r w:rsidR="00B61EC2">
        <w:t xml:space="preserve">. </w:t>
      </w:r>
    </w:p>
    <w:p w14:paraId="2B6B3BF5" w14:textId="4C129DB1" w:rsidR="00BC078F" w:rsidRPr="00BC078F" w:rsidRDefault="00D51433" w:rsidP="00871E45">
      <w:pPr>
        <w:pStyle w:val="LI-SectionHeading"/>
        <w:ind w:left="567"/>
      </w:pPr>
      <w:r>
        <w:t>4</w:t>
      </w:r>
      <w:r w:rsidR="00CA7F60">
        <w:t>2</w:t>
      </w:r>
      <w:r w:rsidR="00BC078F">
        <w:t xml:space="preserve"> </w:t>
      </w:r>
      <w:r w:rsidR="00871E45">
        <w:tab/>
      </w:r>
      <w:r w:rsidR="00BC078F">
        <w:t>Paragraph 7(c)</w:t>
      </w:r>
    </w:p>
    <w:p w14:paraId="16864CB3" w14:textId="4F29414A" w:rsidR="00BC078F" w:rsidRDefault="00BC078F" w:rsidP="00BC078F">
      <w:pPr>
        <w:pStyle w:val="LI-BodyTextUnnumbered"/>
      </w:pPr>
      <w:r>
        <w:t>Omit “7.9.11P(3)(c)(ii) and 7.9.11X(3)(c)(ii)</w:t>
      </w:r>
      <w:r w:rsidR="009F6828">
        <w:t>”</w:t>
      </w:r>
      <w:r>
        <w:t xml:space="preserve">, substitute “7.9.11P(3)(c)(ii), 7.9.11X(3)(c)(ii) and </w:t>
      </w:r>
      <w:r w:rsidRPr="00FA0C42">
        <w:t>7.</w:t>
      </w:r>
      <w:r w:rsidR="003C2389" w:rsidRPr="00FA0C42">
        <w:t>9</w:t>
      </w:r>
      <w:r w:rsidRPr="00FA0C42">
        <w:t>.</w:t>
      </w:r>
      <w:r w:rsidR="00876677" w:rsidRPr="00FA0C42">
        <w:t>11.</w:t>
      </w:r>
      <w:r w:rsidRPr="00FA0C42">
        <w:t>ZF(3)(c)(ii)</w:t>
      </w:r>
      <w:r w:rsidR="00983BD3" w:rsidRPr="00A6169A">
        <w:t>”.</w:t>
      </w:r>
      <w:r>
        <w:t xml:space="preserve"> </w:t>
      </w:r>
    </w:p>
    <w:p w14:paraId="0FF28F4A" w14:textId="0991B89F" w:rsidR="005800D6" w:rsidRPr="00FB07A2" w:rsidRDefault="005800D6" w:rsidP="00BC078F">
      <w:pPr>
        <w:pStyle w:val="LI-SectionHeading"/>
        <w:ind w:left="0" w:firstLine="0"/>
        <w:rPr>
          <w:b w:val="0"/>
        </w:rPr>
      </w:pPr>
    </w:p>
    <w:p w14:paraId="5E91A635" w14:textId="77777777" w:rsidR="00FA0C42" w:rsidRDefault="00FA0C42">
      <w:pPr>
        <w:spacing w:line="240" w:lineRule="auto"/>
        <w:rPr>
          <w:rFonts w:eastAsia="Times New Roman"/>
          <w:b/>
          <w:kern w:val="28"/>
          <w:sz w:val="32"/>
          <w:lang w:eastAsia="en-AU"/>
        </w:rPr>
      </w:pPr>
      <w:r>
        <w:br w:type="page"/>
      </w:r>
    </w:p>
    <w:p w14:paraId="634CDB08" w14:textId="37CA14ED" w:rsidR="009E2689" w:rsidRDefault="00D51433" w:rsidP="009E2689">
      <w:pPr>
        <w:pStyle w:val="LI-Heading1"/>
        <w:ind w:left="0" w:firstLine="0"/>
      </w:pPr>
      <w:bookmarkStart w:id="28" w:name="_Toc118808570"/>
      <w:r>
        <w:lastRenderedPageBreak/>
        <w:t>Part</w:t>
      </w:r>
      <w:r w:rsidR="009E2689">
        <w:t xml:space="preserve"> </w:t>
      </w:r>
      <w:r w:rsidR="002E679C">
        <w:t>9</w:t>
      </w:r>
      <w:bookmarkEnd w:id="28"/>
      <w:r w:rsidR="009E2689">
        <w:t xml:space="preserve"> </w:t>
      </w:r>
    </w:p>
    <w:p w14:paraId="167B9F7F" w14:textId="77777777" w:rsidR="009E2689" w:rsidRPr="00E02BC6" w:rsidRDefault="009E2689" w:rsidP="004C7E31">
      <w:pPr>
        <w:pStyle w:val="LI-Heading2"/>
        <w:ind w:left="0" w:firstLine="0"/>
        <w:rPr>
          <w:i/>
        </w:rPr>
      </w:pPr>
      <w:bookmarkStart w:id="29" w:name="_Toc118808571"/>
      <w:r w:rsidRPr="00E02BC6">
        <w:rPr>
          <w:i/>
        </w:rPr>
        <w:t>ASIC Corporations (Sale Offers: Securities Issued on Conversion of Convertible Notes) Instrument 2016/82</w:t>
      </w:r>
      <w:bookmarkEnd w:id="29"/>
    </w:p>
    <w:p w14:paraId="1FA27998" w14:textId="06741721" w:rsidR="009E2689" w:rsidRPr="00CA3A25" w:rsidRDefault="00D51433" w:rsidP="009E2689">
      <w:pPr>
        <w:pStyle w:val="LI-BodyTextNumbered"/>
        <w:ind w:left="567"/>
        <w:rPr>
          <w:b/>
        </w:rPr>
      </w:pPr>
      <w:r>
        <w:rPr>
          <w:b/>
        </w:rPr>
        <w:t>4</w:t>
      </w:r>
      <w:r w:rsidR="00CA7F60">
        <w:rPr>
          <w:b/>
        </w:rPr>
        <w:t>3</w:t>
      </w:r>
      <w:r w:rsidR="009E2689" w:rsidRPr="00CA3A25">
        <w:rPr>
          <w:b/>
        </w:rPr>
        <w:tab/>
      </w:r>
      <w:r w:rsidR="009E2689">
        <w:rPr>
          <w:b/>
        </w:rPr>
        <w:t xml:space="preserve">At the end of section 5 </w:t>
      </w:r>
    </w:p>
    <w:p w14:paraId="371F875F" w14:textId="77777777" w:rsidR="009E2689" w:rsidRDefault="009E2689" w:rsidP="009E2689">
      <w:pPr>
        <w:pStyle w:val="LI-BodyTextUnnumbered"/>
        <w:spacing w:after="240"/>
      </w:pPr>
      <w:r>
        <w:t xml:space="preserve">Add: </w:t>
      </w:r>
    </w:p>
    <w:p w14:paraId="4F992878" w14:textId="77777777" w:rsidR="009E2689" w:rsidRDefault="009E2689" w:rsidP="009E2689">
      <w:pPr>
        <w:pStyle w:val="LI-SectionNote"/>
        <w:ind w:left="2160" w:hanging="720"/>
      </w:pPr>
      <w:r w:rsidRPr="0085392C">
        <w:t>Note:</w:t>
      </w:r>
      <w:r w:rsidRPr="0085392C">
        <w:tab/>
        <w:t xml:space="preserve">Part 7.9 applies in relation to the issue and sale of securities in a CCIV, subject to modifications in Division 4 of Part 8B.7. </w:t>
      </w:r>
    </w:p>
    <w:p w14:paraId="41B25F15" w14:textId="1567733D" w:rsidR="009E2689" w:rsidRPr="00CA3A25" w:rsidRDefault="00D51433" w:rsidP="009E2689">
      <w:pPr>
        <w:pStyle w:val="LI-BodyTextNumbered"/>
        <w:ind w:left="567"/>
        <w:rPr>
          <w:b/>
        </w:rPr>
      </w:pPr>
      <w:r>
        <w:rPr>
          <w:b/>
        </w:rPr>
        <w:t>4</w:t>
      </w:r>
      <w:r w:rsidR="00CA7F60">
        <w:rPr>
          <w:b/>
        </w:rPr>
        <w:t>4</w:t>
      </w:r>
      <w:r w:rsidR="009E2689" w:rsidRPr="00CA3A25">
        <w:rPr>
          <w:b/>
        </w:rPr>
        <w:tab/>
      </w:r>
      <w:r w:rsidR="009E2689">
        <w:rPr>
          <w:b/>
        </w:rPr>
        <w:t xml:space="preserve">Paragraph 7(b)  </w:t>
      </w:r>
    </w:p>
    <w:p w14:paraId="72F67A26" w14:textId="77777777" w:rsidR="009E2689" w:rsidRDefault="009E2689" w:rsidP="009E2689">
      <w:pPr>
        <w:pStyle w:val="LI-BodyTextUnnumbered"/>
        <w:spacing w:after="240"/>
      </w:pPr>
      <w:r>
        <w:t xml:space="preserve">Repeal the paragraph, substitute:  </w:t>
      </w:r>
    </w:p>
    <w:p w14:paraId="74B8F59E" w14:textId="231D9145" w:rsidR="009E2689" w:rsidRDefault="009E2689" w:rsidP="009E2689">
      <w:pPr>
        <w:pStyle w:val="LI-BodyTextParaa"/>
        <w:ind w:left="2007"/>
      </w:pPr>
      <w:r>
        <w:t>(b)</w:t>
      </w:r>
      <w:r>
        <w:tab/>
      </w:r>
      <w:r w:rsidRPr="00A6020F">
        <w:t>after subsection (12B)</w:t>
      </w:r>
      <w:r w:rsidR="00586B78">
        <w:t>,</w:t>
      </w:r>
      <w:r w:rsidRPr="001801EF">
        <w:t xml:space="preserve"> insert:</w:t>
      </w:r>
    </w:p>
    <w:p w14:paraId="76B3AB4D" w14:textId="77777777" w:rsidR="009E2689" w:rsidRPr="003D77B5" w:rsidRDefault="009E2689" w:rsidP="009E2689">
      <w:pPr>
        <w:pStyle w:val="LI-SectionHeading"/>
        <w:ind w:left="2007" w:firstLine="0"/>
        <w:rPr>
          <w:b w:val="0"/>
          <w:i/>
        </w:rPr>
      </w:pPr>
      <w:r w:rsidRPr="003D77B5">
        <w:rPr>
          <w:b w:val="0"/>
        </w:rPr>
        <w:t>“</w:t>
      </w:r>
      <w:r w:rsidRPr="003D77B5">
        <w:rPr>
          <w:b w:val="0"/>
          <w:i/>
        </w:rPr>
        <w:t xml:space="preserve">Transfer or sale of underlying products issued on conversion of convertible notes </w:t>
      </w:r>
    </w:p>
    <w:p w14:paraId="65BFA161" w14:textId="77777777" w:rsidR="009E2689" w:rsidRDefault="009E2689" w:rsidP="009E2689">
      <w:pPr>
        <w:pStyle w:val="LI-SectionSubsectionText"/>
        <w:ind w:left="2858" w:hanging="851"/>
      </w:pPr>
      <w:r>
        <w:t>(12C)</w:t>
      </w:r>
      <w:r>
        <w:tab/>
        <w:t>The regulated person does not have to give the client a Product Disclosure Statement if:</w:t>
      </w:r>
    </w:p>
    <w:p w14:paraId="039F028C" w14:textId="77777777" w:rsidR="009E2689" w:rsidRDefault="009E2689" w:rsidP="009E2689">
      <w:pPr>
        <w:pStyle w:val="LI-Sectionparaa"/>
        <w:ind w:left="3425"/>
      </w:pPr>
      <w:r>
        <w:t>(a)</w:t>
      </w:r>
      <w:r>
        <w:tab/>
        <w:t xml:space="preserve">the relevant product was issued </w:t>
      </w:r>
      <w:r w:rsidRPr="00C00E56">
        <w:t>by the issuer</w:t>
      </w:r>
      <w:r w:rsidRPr="003D77B5">
        <w:t xml:space="preserve"> of the convertible notes</w:t>
      </w:r>
      <w:r w:rsidRPr="003D77B5" w:rsidDel="004E5CB5">
        <w:t xml:space="preserve"> </w:t>
      </w:r>
      <w:r w:rsidRPr="00A6020F">
        <w:t>by reason of</w:t>
      </w:r>
      <w:r>
        <w:t xml:space="preserve"> the conversion of those convertible notes; and</w:t>
      </w:r>
    </w:p>
    <w:p w14:paraId="06317574" w14:textId="77777777" w:rsidR="009E2689" w:rsidRDefault="009E2689" w:rsidP="009E2689">
      <w:pPr>
        <w:pStyle w:val="LI-Sectionparaa"/>
        <w:ind w:left="3425"/>
      </w:pPr>
      <w:r>
        <w:t>(b)</w:t>
      </w:r>
      <w:r>
        <w:tab/>
        <w:t>on the day on which a notice in relation to the convertible notes was given under paragraph (e):</w:t>
      </w:r>
    </w:p>
    <w:p w14:paraId="32738648" w14:textId="77777777" w:rsidR="009E2689" w:rsidRDefault="009E2689" w:rsidP="009E2689">
      <w:pPr>
        <w:pStyle w:val="LI-Sectionsubparai"/>
        <w:ind w:left="3992"/>
      </w:pPr>
      <w:r>
        <w:t>(</w:t>
      </w:r>
      <w:proofErr w:type="spellStart"/>
      <w:r>
        <w:t>i</w:t>
      </w:r>
      <w:proofErr w:type="spellEnd"/>
      <w:r>
        <w:t>)</w:t>
      </w:r>
      <w:r>
        <w:tab/>
        <w:t>financial products in the same class as the relevant product were continuously quoted securities; and</w:t>
      </w:r>
    </w:p>
    <w:p w14:paraId="14F35944" w14:textId="77777777" w:rsidR="009E2689" w:rsidRDefault="009E2689" w:rsidP="009E2689">
      <w:pPr>
        <w:pStyle w:val="LI-Sectionsubparai"/>
        <w:ind w:left="3992"/>
      </w:pPr>
      <w:r>
        <w:t>(ii)</w:t>
      </w:r>
      <w:r>
        <w:tab/>
        <w:t>there was no determination in force under subsection 1013FA(3) in respect of the relevant product; and</w:t>
      </w:r>
    </w:p>
    <w:p w14:paraId="56B448C3" w14:textId="77777777" w:rsidR="009E2689" w:rsidRDefault="009E2689" w:rsidP="009E2689">
      <w:pPr>
        <w:pStyle w:val="LI-Sectionparaa"/>
        <w:ind w:left="3425"/>
      </w:pPr>
      <w:r>
        <w:t>(c)</w:t>
      </w:r>
      <w:r>
        <w:tab/>
        <w:t xml:space="preserve">trading in financial products in the class of relevant products on the prescribed financial market on which they were quoted was not suspended for more than a total of 5 days during the shorter of the period during which the class of relevant product was quoted, and the period of 12 months before the first day on which the convertible notes were </w:t>
      </w:r>
      <w:proofErr w:type="gramStart"/>
      <w:r>
        <w:t>issued;</w:t>
      </w:r>
      <w:proofErr w:type="gramEnd"/>
      <w:r>
        <w:t xml:space="preserve"> and </w:t>
      </w:r>
    </w:p>
    <w:p w14:paraId="5D58507B" w14:textId="77777777" w:rsidR="009E2689" w:rsidRDefault="009E2689" w:rsidP="009E2689">
      <w:pPr>
        <w:pStyle w:val="LI-Sectionparaa"/>
        <w:ind w:left="3425"/>
      </w:pPr>
      <w:r>
        <w:t>(d)</w:t>
      </w:r>
      <w:r>
        <w:tab/>
        <w:t>the conversion of the convertible notes did not involve any further offer; and</w:t>
      </w:r>
    </w:p>
    <w:p w14:paraId="20147140" w14:textId="77777777" w:rsidR="009E2689" w:rsidRDefault="009E2689" w:rsidP="009E2689">
      <w:pPr>
        <w:pStyle w:val="LI-Sectionparaa"/>
        <w:ind w:left="3425"/>
      </w:pPr>
      <w:r>
        <w:lastRenderedPageBreak/>
        <w:t>(e)</w:t>
      </w:r>
      <w:r>
        <w:tab/>
        <w:t>the issuer of the convertible notes gave the relevant market operator for the issuer a notice that complied with subsection (12D) on the same day as, or within 2 business days before, the first day on which the convertible notes were issued.</w:t>
      </w:r>
    </w:p>
    <w:p w14:paraId="4B4973AC" w14:textId="77777777" w:rsidR="009E2689" w:rsidRDefault="009E2689" w:rsidP="009E2689">
      <w:pPr>
        <w:pStyle w:val="LI-SectionSubsectionText"/>
        <w:ind w:left="2858" w:hanging="851"/>
      </w:pPr>
      <w:r>
        <w:t>(12D)</w:t>
      </w:r>
      <w:r>
        <w:tab/>
        <w:t>A notice complies with this subsection if:</w:t>
      </w:r>
    </w:p>
    <w:p w14:paraId="5BE77C01" w14:textId="77777777" w:rsidR="009E2689" w:rsidRDefault="009E2689" w:rsidP="009E2689">
      <w:pPr>
        <w:pStyle w:val="LI-Sectionparaa"/>
        <w:ind w:left="3425"/>
      </w:pPr>
      <w:r>
        <w:t>(a)</w:t>
      </w:r>
      <w:r>
        <w:tab/>
        <w:t xml:space="preserve">for the convertible notes—the notice contains all the information </w:t>
      </w:r>
      <w:proofErr w:type="gramStart"/>
      <w:r>
        <w:t>investors</w:t>
      </w:r>
      <w:proofErr w:type="gramEnd"/>
      <w:r>
        <w:t xml:space="preserve"> and their professional advisors would reasonably require to make an informed assessment of:</w:t>
      </w:r>
    </w:p>
    <w:p w14:paraId="5A8D0921" w14:textId="77777777" w:rsidR="009E2689" w:rsidRPr="00C00E56" w:rsidRDefault="009E2689" w:rsidP="009E2689">
      <w:pPr>
        <w:pStyle w:val="LI-Sectionsubparai"/>
        <w:ind w:left="3992"/>
      </w:pPr>
      <w:r w:rsidRPr="00C00E56">
        <w:t>(</w:t>
      </w:r>
      <w:proofErr w:type="spellStart"/>
      <w:r w:rsidRPr="00C00E56">
        <w:t>i</w:t>
      </w:r>
      <w:proofErr w:type="spellEnd"/>
      <w:r w:rsidRPr="00C00E56">
        <w:t>)</w:t>
      </w:r>
      <w:r w:rsidRPr="00C00E56">
        <w:tab/>
        <w:t xml:space="preserve">the effect of the offer of the convertible notes on the body; and </w:t>
      </w:r>
    </w:p>
    <w:p w14:paraId="6FA41DDD" w14:textId="77777777" w:rsidR="009E2689" w:rsidRPr="00C00E56" w:rsidRDefault="009E2689" w:rsidP="009E2689">
      <w:pPr>
        <w:pStyle w:val="LI-Sectionsubparai"/>
        <w:ind w:left="3992"/>
      </w:pPr>
      <w:r w:rsidRPr="00C00E56">
        <w:t xml:space="preserve">(ii) </w:t>
      </w:r>
      <w:r w:rsidRPr="00C00E56">
        <w:tab/>
        <w:t xml:space="preserve">the rights and liabilities attaching to the convertible notes offered; and </w:t>
      </w:r>
    </w:p>
    <w:p w14:paraId="061A9030" w14:textId="77777777" w:rsidR="009E2689" w:rsidRPr="00C00E56" w:rsidRDefault="009E2689" w:rsidP="009E2689">
      <w:pPr>
        <w:pStyle w:val="LI-Sectionsubparai"/>
        <w:ind w:left="3992"/>
      </w:pPr>
      <w:r w:rsidRPr="00C00E56">
        <w:t xml:space="preserve">(iii) </w:t>
      </w:r>
      <w:r w:rsidRPr="00C00E56">
        <w:tab/>
        <w:t xml:space="preserve">the rights and liabilities attaching to the convertible notes themselves and the underlying securities; and </w:t>
      </w:r>
    </w:p>
    <w:p w14:paraId="441A404D" w14:textId="77777777" w:rsidR="009E2689" w:rsidRDefault="009E2689" w:rsidP="009E2689">
      <w:pPr>
        <w:pStyle w:val="LI-Sectionparaa"/>
        <w:ind w:left="3425"/>
      </w:pPr>
      <w:r>
        <w:t xml:space="preserve"> (b)</w:t>
      </w:r>
      <w:r>
        <w:tab/>
        <w:t xml:space="preserve">for financial products in the class of relevant products—the information required to be included in a Product Disclosure Statement for continuously quoted securities as if the notice were a Product Disclosure Statement; and </w:t>
      </w:r>
      <w:r w:rsidDel="004A18EE">
        <w:t xml:space="preserve"> </w:t>
      </w:r>
    </w:p>
    <w:p w14:paraId="3E21B306" w14:textId="77777777" w:rsidR="009E2689" w:rsidRDefault="009E2689" w:rsidP="009E2689">
      <w:pPr>
        <w:pStyle w:val="LI-Sectionparaa"/>
        <w:ind w:left="3425"/>
      </w:pPr>
      <w:r>
        <w:t>(c)</w:t>
      </w:r>
      <w:r>
        <w:tab/>
        <w:t xml:space="preserve">the information in the notice is worded and presented in a clear, </w:t>
      </w:r>
      <w:proofErr w:type="gramStart"/>
      <w:r>
        <w:t>concise</w:t>
      </w:r>
      <w:proofErr w:type="gramEnd"/>
      <w:r>
        <w:t xml:space="preserve"> and effective manner; and</w:t>
      </w:r>
    </w:p>
    <w:p w14:paraId="2DDDB9FC" w14:textId="77777777" w:rsidR="009E2689" w:rsidRDefault="009E2689" w:rsidP="009E2689">
      <w:pPr>
        <w:pStyle w:val="LI-Sectionparaa"/>
        <w:ind w:left="3425"/>
      </w:pPr>
      <w:r>
        <w:t>(d)</w:t>
      </w:r>
      <w:r>
        <w:tab/>
        <w:t>where the notice includes a statement by a person, or a statement said in the notice to be based on a statement by a person:</w:t>
      </w:r>
    </w:p>
    <w:p w14:paraId="2E34B2FE" w14:textId="77777777" w:rsidR="009E2689" w:rsidRDefault="009E2689" w:rsidP="009E2689">
      <w:pPr>
        <w:pStyle w:val="LI-Sectionsubparai"/>
        <w:ind w:left="3992"/>
      </w:pPr>
      <w:r>
        <w:t>(</w:t>
      </w:r>
      <w:proofErr w:type="spellStart"/>
      <w:r>
        <w:t>i</w:t>
      </w:r>
      <w:proofErr w:type="spellEnd"/>
      <w:r>
        <w:t>)</w:t>
      </w:r>
      <w:r>
        <w:tab/>
        <w:t xml:space="preserve">the person has consented to the statement being included in the notice in the form and context in which it is </w:t>
      </w:r>
      <w:proofErr w:type="gramStart"/>
      <w:r>
        <w:t>included;</w:t>
      </w:r>
      <w:proofErr w:type="gramEnd"/>
    </w:p>
    <w:p w14:paraId="36C387D3" w14:textId="77777777" w:rsidR="009E2689" w:rsidRDefault="009E2689" w:rsidP="009E2689">
      <w:pPr>
        <w:pStyle w:val="LI-Sectionsubparai"/>
        <w:ind w:left="3992"/>
      </w:pPr>
      <w:r>
        <w:t>(ii)</w:t>
      </w:r>
      <w:r>
        <w:tab/>
        <w:t>the notice states that the person has given this consent; and</w:t>
      </w:r>
    </w:p>
    <w:p w14:paraId="063E836C" w14:textId="77777777" w:rsidR="009E2689" w:rsidRDefault="009E2689" w:rsidP="009E2689">
      <w:pPr>
        <w:pStyle w:val="LI-Sectionsubparai"/>
        <w:ind w:left="3992"/>
      </w:pPr>
      <w:r>
        <w:t>(iii)</w:t>
      </w:r>
      <w:r>
        <w:tab/>
        <w:t>the person has not withdrawn this consent before the notice is given to the relevant market operator.</w:t>
      </w:r>
    </w:p>
    <w:p w14:paraId="27446A94" w14:textId="6D746997" w:rsidR="009E2689" w:rsidRDefault="009E2689" w:rsidP="009E2689">
      <w:pPr>
        <w:pStyle w:val="LI-SectionSubsectionText"/>
        <w:ind w:left="2858" w:hanging="851"/>
      </w:pPr>
      <w:r>
        <w:t>(12E)</w:t>
      </w:r>
      <w:r>
        <w:tab/>
        <w:t xml:space="preserve">If the issuer gives a notice under paragraph (12C)(e) in relation to convertible notes, </w:t>
      </w:r>
      <w:r w:rsidRPr="00A6020F">
        <w:t xml:space="preserve">each financial report or directors’ report of the issuer (or if the issuer is the </w:t>
      </w:r>
      <w:r w:rsidRPr="00A6020F">
        <w:lastRenderedPageBreak/>
        <w:t>responsible entity of a registered scheme</w:t>
      </w:r>
      <w:r>
        <w:t xml:space="preserve"> or a CCIV in respect of a sub-fund</w:t>
      </w:r>
      <w:r w:rsidRPr="00A6020F">
        <w:t>, the registered scheme</w:t>
      </w:r>
      <w:r>
        <w:t xml:space="preserve"> or the sub-fund</w:t>
      </w:r>
      <w:r w:rsidRPr="00A6020F">
        <w:t>) required under section 298 in relation to a financial year of the issuer (or scheme</w:t>
      </w:r>
      <w:r>
        <w:t xml:space="preserve"> or</w:t>
      </w:r>
      <w:r w:rsidR="0049762D">
        <w:t xml:space="preserve"> CCIV</w:t>
      </w:r>
      <w:r w:rsidRPr="00A6020F">
        <w:t>)</w:t>
      </w:r>
      <w:r>
        <w:t xml:space="preserve"> during which those convertible notes were on issue must contain the following information:</w:t>
      </w:r>
    </w:p>
    <w:p w14:paraId="06B966EB" w14:textId="77777777" w:rsidR="009E2689" w:rsidRPr="00A6020F" w:rsidRDefault="009E2689" w:rsidP="009E2689">
      <w:pPr>
        <w:pStyle w:val="LI-Sectionparaa"/>
        <w:ind w:left="3425"/>
      </w:pPr>
      <w:r w:rsidRPr="00A6020F">
        <w:t>(a)</w:t>
      </w:r>
      <w:r w:rsidRPr="00A6020F">
        <w:tab/>
        <w:t xml:space="preserve">the number of convertible notes in that class that have not converted as at the end of the financial </w:t>
      </w:r>
      <w:proofErr w:type="gramStart"/>
      <w:r w:rsidRPr="00A6020F">
        <w:t>year;</w:t>
      </w:r>
      <w:proofErr w:type="gramEnd"/>
      <w:r w:rsidRPr="00A6020F">
        <w:t xml:space="preserve"> </w:t>
      </w:r>
    </w:p>
    <w:p w14:paraId="11ADECDD" w14:textId="77777777" w:rsidR="009E2689" w:rsidRPr="00A6020F" w:rsidRDefault="009E2689" w:rsidP="009E2689">
      <w:pPr>
        <w:pStyle w:val="LI-Sectionsubparai"/>
        <w:ind w:left="3425"/>
      </w:pPr>
      <w:r w:rsidRPr="00A6020F">
        <w:t>(b)</w:t>
      </w:r>
      <w:r w:rsidRPr="00A6020F">
        <w:tab/>
        <w:t xml:space="preserve">the number of financial products in the class of relevant products into which the convertible notes will </w:t>
      </w:r>
      <w:proofErr w:type="gramStart"/>
      <w:r w:rsidRPr="00A6020F">
        <w:t>convert;</w:t>
      </w:r>
      <w:proofErr w:type="gramEnd"/>
      <w:r w:rsidRPr="00A6020F">
        <w:t xml:space="preserve"> </w:t>
      </w:r>
    </w:p>
    <w:p w14:paraId="58648332" w14:textId="77777777" w:rsidR="009E2689" w:rsidRPr="00A6020F" w:rsidRDefault="009E2689" w:rsidP="009E2689">
      <w:pPr>
        <w:pStyle w:val="LI-Sectionsubparai"/>
        <w:ind w:left="3425"/>
      </w:pPr>
      <w:r w:rsidRPr="00A6020F">
        <w:t>(c)</w:t>
      </w:r>
      <w:r w:rsidRPr="00A6020F">
        <w:tab/>
        <w:t xml:space="preserve">the price (if any) to be paid on </w:t>
      </w:r>
      <w:proofErr w:type="gramStart"/>
      <w:r w:rsidRPr="00A6020F">
        <w:t>conversion;</w:t>
      </w:r>
      <w:proofErr w:type="gramEnd"/>
      <w:r w:rsidRPr="00A6020F">
        <w:t xml:space="preserve"> </w:t>
      </w:r>
    </w:p>
    <w:p w14:paraId="2309F5C0" w14:textId="77777777" w:rsidR="009E2689" w:rsidRPr="00A6020F" w:rsidRDefault="009E2689" w:rsidP="009E2689">
      <w:pPr>
        <w:pStyle w:val="LI-Sectionsubparai"/>
        <w:ind w:left="3425"/>
      </w:pPr>
      <w:r w:rsidRPr="00A6020F">
        <w:t>(d)</w:t>
      </w:r>
      <w:r w:rsidRPr="00A6020F">
        <w:tab/>
        <w:t xml:space="preserve">the circumstances in which conversion may </w:t>
      </w:r>
      <w:proofErr w:type="gramStart"/>
      <w:r w:rsidRPr="00A6020F">
        <w:t>occur;</w:t>
      </w:r>
      <w:proofErr w:type="gramEnd"/>
    </w:p>
    <w:p w14:paraId="50257F65" w14:textId="77777777" w:rsidR="009E2689" w:rsidRPr="00A6020F" w:rsidRDefault="009E2689" w:rsidP="009E2689">
      <w:pPr>
        <w:pStyle w:val="LI-Sectionparaa"/>
        <w:ind w:left="3425"/>
      </w:pPr>
      <w:r w:rsidRPr="00A6020F">
        <w:t>(e)</w:t>
      </w:r>
      <w:r w:rsidRPr="00A6020F">
        <w:tab/>
        <w:t xml:space="preserve">the remaining liability of the issuer to make payments under convertible notes in that class as at the end of the financial </w:t>
      </w:r>
      <w:proofErr w:type="gramStart"/>
      <w:r w:rsidRPr="00A6020F">
        <w:t>year;</w:t>
      </w:r>
      <w:proofErr w:type="gramEnd"/>
    </w:p>
    <w:p w14:paraId="49952BD2" w14:textId="5AEDBA8B" w:rsidR="009E2689" w:rsidRPr="00A6020F" w:rsidRDefault="009E2689" w:rsidP="009E2689">
      <w:pPr>
        <w:pStyle w:val="LI-Sectionparaa"/>
        <w:ind w:left="3425"/>
      </w:pPr>
      <w:r w:rsidRPr="00A6020F">
        <w:t>(f)</w:t>
      </w:r>
      <w:r w:rsidRPr="00A6020F">
        <w:tab/>
        <w:t xml:space="preserve">the average conversion price (if any) paid for any convertible notes in that class that were converted during the financial year and the number of financial products in the class of relevant products into which they converted; </w:t>
      </w:r>
      <w:r w:rsidR="00F450B6">
        <w:t>and</w:t>
      </w:r>
    </w:p>
    <w:p w14:paraId="7ABEE0DE" w14:textId="77777777" w:rsidR="009E2689" w:rsidRDefault="009E2689" w:rsidP="009E2689">
      <w:pPr>
        <w:pStyle w:val="LI-Sectionparaa"/>
        <w:ind w:left="3425"/>
      </w:pPr>
      <w:r w:rsidRPr="00A6020F">
        <w:rPr>
          <w:rStyle w:val="LI-SectionparaaChar"/>
        </w:rPr>
        <w:t>(g)</w:t>
      </w:r>
      <w:r w:rsidRPr="007C7407">
        <w:rPr>
          <w:rStyle w:val="LI-SectionparaaChar"/>
        </w:rPr>
        <w:tab/>
        <w:t xml:space="preserve">any other matters relating to the convertible notes that holders of </w:t>
      </w:r>
      <w:r w:rsidRPr="00A6020F">
        <w:rPr>
          <w:rStyle w:val="LI-SectionparaaChar"/>
        </w:rPr>
        <w:t>ED securities of the issuer</w:t>
      </w:r>
      <w:r>
        <w:rPr>
          <w:rStyle w:val="LI-SectionparaaChar"/>
        </w:rPr>
        <w:t xml:space="preserve"> </w:t>
      </w:r>
      <w:r w:rsidRPr="007C7407">
        <w:rPr>
          <w:rStyle w:val="LI-SectionparaaChar"/>
        </w:rPr>
        <w:t>would reasonably require to make an</w:t>
      </w:r>
      <w:r>
        <w:t xml:space="preserve"> informed assessment of the financial position of the issuer (or if the issuer is the responsible entity of a registered scheme or a CCIV in respect of a sub-fund, the registered </w:t>
      </w:r>
      <w:proofErr w:type="gramStart"/>
      <w:r>
        <w:t>scheme</w:t>
      </w:r>
      <w:proofErr w:type="gramEnd"/>
      <w:r>
        <w:t xml:space="preserve"> or the sub-fund) and its prospects for future financial years. </w:t>
      </w:r>
    </w:p>
    <w:p w14:paraId="07C58CBA" w14:textId="77777777" w:rsidR="009E2689" w:rsidRPr="00094134" w:rsidRDefault="009E2689" w:rsidP="009E2689">
      <w:pPr>
        <w:pStyle w:val="LI-SectionNote"/>
        <w:ind w:left="3578" w:hanging="720"/>
      </w:pPr>
      <w:r w:rsidRPr="00094134">
        <w:t>Note:</w:t>
      </w:r>
      <w:r w:rsidRPr="00094134">
        <w:tab/>
        <w:t xml:space="preserve">Section 298 applies to a retail CCIV subject to modifications: see 1232C. </w:t>
      </w:r>
    </w:p>
    <w:p w14:paraId="40B47A96" w14:textId="77777777" w:rsidR="009E2689" w:rsidRDefault="009E2689" w:rsidP="009E2689">
      <w:pPr>
        <w:pStyle w:val="LI-SectionSubsectionText"/>
        <w:ind w:left="2858" w:hanging="851"/>
      </w:pPr>
      <w:r>
        <w:t>(12F)</w:t>
      </w:r>
      <w:r>
        <w:tab/>
        <w:t xml:space="preserve">The financial report and directors’ report may omit material that would otherwise be </w:t>
      </w:r>
      <w:r w:rsidRPr="00A6020F">
        <w:t>required to be</w:t>
      </w:r>
      <w:r>
        <w:t xml:space="preserve"> included under paragraph (12E)(</w:t>
      </w:r>
      <w:r w:rsidRPr="00A6020F">
        <w:t>g</w:t>
      </w:r>
      <w:r>
        <w:t>) if it is likely to result in unreasonable prejudice to:</w:t>
      </w:r>
    </w:p>
    <w:p w14:paraId="66CF9D1D" w14:textId="77777777" w:rsidR="009E2689" w:rsidRDefault="009E2689" w:rsidP="009E2689">
      <w:pPr>
        <w:pStyle w:val="LI-Sectionparaa"/>
        <w:ind w:left="3425"/>
      </w:pPr>
      <w:r>
        <w:t>(a)</w:t>
      </w:r>
      <w:r>
        <w:tab/>
        <w:t xml:space="preserve">the issuer (or, if the issuer is the responsible entity of a registered scheme or a CCIV in respect of a sub-fund, the registered </w:t>
      </w:r>
      <w:proofErr w:type="gramStart"/>
      <w:r>
        <w:t>scheme</w:t>
      </w:r>
      <w:proofErr w:type="gramEnd"/>
      <w:r>
        <w:t xml:space="preserve"> or the sub-fund); or</w:t>
      </w:r>
    </w:p>
    <w:p w14:paraId="45CB4C75" w14:textId="77777777" w:rsidR="009E2689" w:rsidRDefault="009E2689" w:rsidP="009E2689">
      <w:pPr>
        <w:pStyle w:val="LI-Sectionparaa"/>
        <w:ind w:left="3425"/>
      </w:pPr>
      <w:r>
        <w:lastRenderedPageBreak/>
        <w:t>(b)</w:t>
      </w:r>
      <w:r>
        <w:tab/>
        <w:t xml:space="preserve">if consolidated financial statements are required – the consolidated entity or any entity (including the issuer or, if the issuer is the responsible entity of a registered scheme, the registered scheme) that is part of the consolidated entity. </w:t>
      </w:r>
    </w:p>
    <w:p w14:paraId="23410610" w14:textId="77777777" w:rsidR="009E2689" w:rsidRDefault="009E2689" w:rsidP="009E2689">
      <w:pPr>
        <w:pStyle w:val="LI-SectionSubsectionText"/>
        <w:ind w:left="3141" w:hanging="108"/>
      </w:pPr>
      <w:r>
        <w:t>If material is omitted, the report must say so.”.</w:t>
      </w:r>
    </w:p>
    <w:p w14:paraId="10925A53" w14:textId="77777777" w:rsidR="009E2689" w:rsidRPr="00094134" w:rsidRDefault="009E2689" w:rsidP="009E2689">
      <w:pPr>
        <w:pStyle w:val="LI-SectionNote"/>
        <w:ind w:left="3753" w:hanging="720"/>
      </w:pPr>
      <w:r w:rsidRPr="00094134">
        <w:t>Note:</w:t>
      </w:r>
      <w:r w:rsidRPr="00094134">
        <w:tab/>
        <w:t xml:space="preserve">Subsection 1012DA(12B) is notionally inserted into the Act by </w:t>
      </w:r>
      <w:r w:rsidRPr="00094134">
        <w:rPr>
          <w:i/>
        </w:rPr>
        <w:t>ASIC Corporations (Non-Traditional Rights Issues) Instrument 2016/84</w:t>
      </w:r>
      <w:r w:rsidRPr="00094134">
        <w:t>.</w:t>
      </w:r>
    </w:p>
    <w:p w14:paraId="599FD2B4" w14:textId="77777777" w:rsidR="009E2689" w:rsidRDefault="009E2689" w:rsidP="009E2689">
      <w:pPr>
        <w:spacing w:line="240" w:lineRule="auto"/>
        <w:rPr>
          <w:rFonts w:eastAsia="Times New Roman"/>
          <w:b/>
          <w:i/>
          <w:kern w:val="28"/>
          <w:sz w:val="28"/>
          <w:szCs w:val="28"/>
          <w:lang w:eastAsia="en-AU"/>
        </w:rPr>
      </w:pPr>
      <w:r>
        <w:rPr>
          <w:i/>
          <w:sz w:val="28"/>
          <w:szCs w:val="28"/>
        </w:rPr>
        <w:br w:type="page"/>
      </w:r>
    </w:p>
    <w:p w14:paraId="36840A8D" w14:textId="5C50E09E" w:rsidR="006C1884" w:rsidRDefault="00D51433" w:rsidP="006B2821">
      <w:pPr>
        <w:pStyle w:val="LI-Heading1"/>
        <w:ind w:left="0" w:firstLine="0"/>
      </w:pPr>
      <w:bookmarkStart w:id="30" w:name="_Toc118808572"/>
      <w:r>
        <w:lastRenderedPageBreak/>
        <w:t>Part</w:t>
      </w:r>
      <w:r w:rsidR="006B2821">
        <w:t xml:space="preserve"> </w:t>
      </w:r>
      <w:r w:rsidR="002E679C">
        <w:t>10</w:t>
      </w:r>
      <w:bookmarkEnd w:id="30"/>
      <w:r w:rsidR="006C1884">
        <w:t xml:space="preserve"> </w:t>
      </w:r>
    </w:p>
    <w:p w14:paraId="61D34A80" w14:textId="55DDBC0C" w:rsidR="006B2821" w:rsidRPr="00E02BC6" w:rsidRDefault="006B2821" w:rsidP="00E02BC6">
      <w:pPr>
        <w:pStyle w:val="LI-Heading2"/>
        <w:rPr>
          <w:i/>
        </w:rPr>
      </w:pPr>
      <w:bookmarkStart w:id="31" w:name="_Toc118808573"/>
      <w:r w:rsidRPr="00E02BC6">
        <w:rPr>
          <w:i/>
        </w:rPr>
        <w:t>ASIC Corporations (Share and Interest Purchase Plans) Instrument 2019/547</w:t>
      </w:r>
      <w:bookmarkEnd w:id="31"/>
    </w:p>
    <w:p w14:paraId="2FA99425" w14:textId="353612BB" w:rsidR="002267F5" w:rsidRPr="00CA3A25" w:rsidRDefault="00D51433" w:rsidP="002267F5">
      <w:pPr>
        <w:pStyle w:val="LI-BodyTextNumbered"/>
        <w:ind w:left="567"/>
        <w:rPr>
          <w:b/>
        </w:rPr>
      </w:pPr>
      <w:r>
        <w:rPr>
          <w:b/>
        </w:rPr>
        <w:t>4</w:t>
      </w:r>
      <w:r w:rsidR="00CA7F60">
        <w:rPr>
          <w:b/>
        </w:rPr>
        <w:t>5</w:t>
      </w:r>
      <w:r w:rsidR="002267F5" w:rsidRPr="00CA3A25">
        <w:rPr>
          <w:b/>
        </w:rPr>
        <w:tab/>
      </w:r>
      <w:r w:rsidR="005E268E">
        <w:rPr>
          <w:b/>
        </w:rPr>
        <w:t xml:space="preserve">Section 4 (at the end of the definition of </w:t>
      </w:r>
      <w:r w:rsidR="005E268E">
        <w:rPr>
          <w:b/>
          <w:i/>
        </w:rPr>
        <w:t>custodial or depository service</w:t>
      </w:r>
      <w:r w:rsidR="005E268E">
        <w:rPr>
          <w:b/>
        </w:rPr>
        <w:t>)</w:t>
      </w:r>
      <w:r w:rsidR="002267F5">
        <w:rPr>
          <w:b/>
        </w:rPr>
        <w:t xml:space="preserve">  </w:t>
      </w:r>
    </w:p>
    <w:p w14:paraId="22911A79" w14:textId="77777777" w:rsidR="005E268E" w:rsidRDefault="005E268E" w:rsidP="005E268E">
      <w:pPr>
        <w:pStyle w:val="LI-BodyTextUnnumbered"/>
        <w:spacing w:after="240"/>
      </w:pPr>
      <w:r>
        <w:t xml:space="preserve">Add: </w:t>
      </w:r>
    </w:p>
    <w:p w14:paraId="10A6E991" w14:textId="1C66D343" w:rsidR="005E268E" w:rsidRPr="00B31D6D" w:rsidRDefault="005E268E" w:rsidP="005E268E">
      <w:pPr>
        <w:pStyle w:val="LI-SectionNote"/>
        <w:ind w:left="2160" w:hanging="720"/>
      </w:pPr>
      <w:r w:rsidRPr="005E268E">
        <w:t>Note:</w:t>
      </w:r>
      <w:r w:rsidRPr="005E268E">
        <w:tab/>
        <w:t xml:space="preserve">Subsection </w:t>
      </w:r>
      <w:r w:rsidR="0049762D">
        <w:t>766</w:t>
      </w:r>
      <w:r w:rsidRPr="005E268E">
        <w:t xml:space="preserve">E(3) is modified in relation to CCIVs: see section 1241E. </w:t>
      </w:r>
    </w:p>
    <w:p w14:paraId="165334C3" w14:textId="50EBDB3D" w:rsidR="0074768D" w:rsidRPr="00CA3A25" w:rsidRDefault="00D51433" w:rsidP="0074768D">
      <w:pPr>
        <w:pStyle w:val="LI-BodyTextNumbered"/>
        <w:ind w:left="567"/>
        <w:rPr>
          <w:b/>
        </w:rPr>
      </w:pPr>
      <w:r>
        <w:rPr>
          <w:b/>
        </w:rPr>
        <w:t>4</w:t>
      </w:r>
      <w:r w:rsidR="00CA7F60">
        <w:rPr>
          <w:b/>
        </w:rPr>
        <w:t>6</w:t>
      </w:r>
      <w:r w:rsidR="0074768D" w:rsidRPr="00CA3A25">
        <w:rPr>
          <w:b/>
        </w:rPr>
        <w:tab/>
      </w:r>
      <w:r w:rsidR="0074768D">
        <w:rPr>
          <w:b/>
        </w:rPr>
        <w:t xml:space="preserve">Section 4 (at the end of the definition of </w:t>
      </w:r>
      <w:r w:rsidR="00E44619">
        <w:rPr>
          <w:b/>
          <w:i/>
        </w:rPr>
        <w:t>custodian</w:t>
      </w:r>
      <w:r w:rsidR="0074768D">
        <w:rPr>
          <w:b/>
        </w:rPr>
        <w:t xml:space="preserve">)  </w:t>
      </w:r>
    </w:p>
    <w:p w14:paraId="4CAC7864" w14:textId="77777777" w:rsidR="00E44619" w:rsidRDefault="00E44619" w:rsidP="00E44619">
      <w:pPr>
        <w:pStyle w:val="LI-BodyTextUnnumbered"/>
        <w:spacing w:after="240"/>
      </w:pPr>
      <w:r>
        <w:t xml:space="preserve">Add: </w:t>
      </w:r>
    </w:p>
    <w:p w14:paraId="1BBAD4C1" w14:textId="082F643B" w:rsidR="00E44619" w:rsidRPr="00B31D6D" w:rsidRDefault="00E44619" w:rsidP="00E44619">
      <w:pPr>
        <w:pStyle w:val="LI-SectionNote"/>
        <w:ind w:left="2160" w:hanging="720"/>
      </w:pPr>
      <w:r>
        <w:rPr>
          <w:szCs w:val="18"/>
        </w:rPr>
        <w:t>Note:</w:t>
      </w:r>
      <w:r>
        <w:rPr>
          <w:szCs w:val="18"/>
        </w:rPr>
        <w:tab/>
        <w:t>If the shares are in a CCIV, the register of members must show additional information about the sub-fund of the CCIV to which each share is referable: section</w:t>
      </w:r>
      <w:r w:rsidR="00641643">
        <w:rPr>
          <w:szCs w:val="18"/>
        </w:rPr>
        <w:t> </w:t>
      </w:r>
      <w:r>
        <w:rPr>
          <w:szCs w:val="18"/>
        </w:rPr>
        <w:t>1222ZB</w:t>
      </w:r>
      <w:r w:rsidRPr="005E268E">
        <w:t xml:space="preserve">. </w:t>
      </w:r>
    </w:p>
    <w:p w14:paraId="4A25A11F" w14:textId="5D07E594" w:rsidR="00E44619" w:rsidRPr="003E5652" w:rsidRDefault="00D51433" w:rsidP="00E44619">
      <w:pPr>
        <w:pStyle w:val="LI-BodyTextNumbered"/>
        <w:ind w:left="567"/>
        <w:rPr>
          <w:b/>
        </w:rPr>
      </w:pPr>
      <w:r>
        <w:rPr>
          <w:b/>
        </w:rPr>
        <w:t>4</w:t>
      </w:r>
      <w:r w:rsidR="00CA7F60">
        <w:rPr>
          <w:b/>
        </w:rPr>
        <w:t>7</w:t>
      </w:r>
      <w:r w:rsidR="00E44619">
        <w:rPr>
          <w:b/>
        </w:rPr>
        <w:t xml:space="preserve"> </w:t>
      </w:r>
      <w:r w:rsidR="00E44619">
        <w:rPr>
          <w:b/>
        </w:rPr>
        <w:tab/>
        <w:t>A</w:t>
      </w:r>
      <w:r w:rsidR="005C5EF8">
        <w:rPr>
          <w:b/>
        </w:rPr>
        <w:t xml:space="preserve">t the end of </w:t>
      </w:r>
      <w:r w:rsidR="00E44619">
        <w:rPr>
          <w:b/>
        </w:rPr>
        <w:t>section 6</w:t>
      </w:r>
    </w:p>
    <w:p w14:paraId="20A2FA88" w14:textId="6434F246" w:rsidR="00E44619" w:rsidRDefault="005C5EF8" w:rsidP="00E44619">
      <w:pPr>
        <w:pStyle w:val="LI-BodyTextUnnumbered"/>
        <w:spacing w:after="240"/>
      </w:pPr>
      <w:r>
        <w:t>Add</w:t>
      </w:r>
      <w:r w:rsidR="00E44619">
        <w:t xml:space="preserve">: </w:t>
      </w:r>
    </w:p>
    <w:p w14:paraId="3A514EBB" w14:textId="77777777" w:rsidR="00E44619" w:rsidRDefault="00E44619" w:rsidP="00E44619">
      <w:pPr>
        <w:pStyle w:val="LI-BodyTextNumbered"/>
        <w:ind w:left="2007"/>
        <w:rPr>
          <w:i/>
        </w:rPr>
      </w:pPr>
      <w:r>
        <w:rPr>
          <w:i/>
        </w:rPr>
        <w:t>Shares in CCIVs – disclosure and advertising relief</w:t>
      </w:r>
    </w:p>
    <w:p w14:paraId="5C462A88" w14:textId="77777777" w:rsidR="00E44619" w:rsidRDefault="00E44619" w:rsidP="00E44619">
      <w:pPr>
        <w:pStyle w:val="LI-BodyTextNumbered"/>
        <w:ind w:left="2007"/>
      </w:pPr>
      <w:r>
        <w:t xml:space="preserve">(4) </w:t>
      </w:r>
      <w:r>
        <w:tab/>
        <w:t>If a sub-fund of a retail CCIV or a retail CCIV is admitted to the official list of ASX, the retail CCIV does not have to comply with section 1012B or Division 4 of Part 7.9 of the Act in relation to:</w:t>
      </w:r>
    </w:p>
    <w:p w14:paraId="0ADA9201" w14:textId="77777777" w:rsidR="00E44619" w:rsidRDefault="00E44619" w:rsidP="00E44619">
      <w:pPr>
        <w:pStyle w:val="LI-BodyTextParaa"/>
        <w:ind w:left="2574"/>
      </w:pPr>
      <w:r>
        <w:t>(a)</w:t>
      </w:r>
      <w:r>
        <w:tab/>
        <w:t>an offer of shares in the retail CCIV referable to the sub-fund for issue under a purchase plan; or</w:t>
      </w:r>
    </w:p>
    <w:p w14:paraId="7E1FE7BB" w14:textId="77777777" w:rsidR="00E44619" w:rsidRDefault="00E44619" w:rsidP="00E44619">
      <w:pPr>
        <w:pStyle w:val="LI-BodyTextParaa"/>
        <w:ind w:left="2574"/>
      </w:pPr>
      <w:r>
        <w:t>(b)</w:t>
      </w:r>
      <w:r>
        <w:tab/>
        <w:t>an issue of shares in the retail CCIV</w:t>
      </w:r>
      <w:r w:rsidRPr="00142EE9">
        <w:t xml:space="preserve"> </w:t>
      </w:r>
      <w:r>
        <w:t xml:space="preserve">referable to the sub-fund under a purchase plan. </w:t>
      </w:r>
    </w:p>
    <w:p w14:paraId="2909FA0E" w14:textId="77777777" w:rsidR="00E44619" w:rsidRPr="00E44619" w:rsidRDefault="00E44619" w:rsidP="00E44619">
      <w:pPr>
        <w:pStyle w:val="LI-SectionNote"/>
        <w:ind w:left="2160" w:hanging="720"/>
        <w:rPr>
          <w:szCs w:val="18"/>
        </w:rPr>
      </w:pPr>
      <w:r>
        <w:rPr>
          <w:szCs w:val="18"/>
        </w:rPr>
        <w:t>Note:</w:t>
      </w:r>
      <w:r>
        <w:rPr>
          <w:szCs w:val="18"/>
        </w:rPr>
        <w:tab/>
        <w:t xml:space="preserve">Part 7.9 applies to CCIVs subject to modifications: see, in particular, section 1241Q. </w:t>
      </w:r>
    </w:p>
    <w:p w14:paraId="29BC7830" w14:textId="2C5CFBAE" w:rsidR="00E44619" w:rsidRPr="004A21A8" w:rsidRDefault="006B2821" w:rsidP="004A21A8">
      <w:pPr>
        <w:pStyle w:val="LI-BodyTextNumbered"/>
        <w:ind w:left="567"/>
        <w:rPr>
          <w:b/>
        </w:rPr>
      </w:pPr>
      <w:r>
        <w:rPr>
          <w:b/>
        </w:rPr>
        <w:t>4</w:t>
      </w:r>
      <w:r w:rsidR="00CA7F60">
        <w:rPr>
          <w:b/>
        </w:rPr>
        <w:t>8</w:t>
      </w:r>
      <w:r w:rsidR="004A21A8">
        <w:rPr>
          <w:b/>
        </w:rPr>
        <w:t xml:space="preserve"> </w:t>
      </w:r>
      <w:r w:rsidR="004A21A8">
        <w:rPr>
          <w:b/>
        </w:rPr>
        <w:tab/>
      </w:r>
      <w:r w:rsidR="00792FF0">
        <w:rPr>
          <w:b/>
        </w:rPr>
        <w:t>Section 7</w:t>
      </w:r>
      <w:r w:rsidR="004A21A8">
        <w:rPr>
          <w:b/>
        </w:rPr>
        <w:t xml:space="preserve"> </w:t>
      </w:r>
    </w:p>
    <w:p w14:paraId="0490CAEC" w14:textId="2083EAA4" w:rsidR="004A21A8" w:rsidRDefault="004A21A8" w:rsidP="004A21A8">
      <w:pPr>
        <w:pStyle w:val="LI-BodyTextUnnumbered"/>
      </w:pPr>
      <w:r>
        <w:t xml:space="preserve">Omit “subsections 6(2) and (3)”, substitute “subsections 6(2), (3) and (4)”. </w:t>
      </w:r>
    </w:p>
    <w:p w14:paraId="6172D768" w14:textId="233D89CD" w:rsidR="004A21A8" w:rsidRPr="00CA3A25" w:rsidRDefault="00CA7F60" w:rsidP="004A21A8">
      <w:pPr>
        <w:pStyle w:val="LI-BodyTextNumbered"/>
        <w:ind w:left="567"/>
        <w:rPr>
          <w:b/>
        </w:rPr>
      </w:pPr>
      <w:r>
        <w:rPr>
          <w:b/>
        </w:rPr>
        <w:t>49</w:t>
      </w:r>
      <w:r w:rsidR="004A21A8" w:rsidRPr="00CA3A25">
        <w:rPr>
          <w:b/>
        </w:rPr>
        <w:tab/>
      </w:r>
      <w:r w:rsidR="004A21A8">
        <w:rPr>
          <w:b/>
        </w:rPr>
        <w:t>A</w:t>
      </w:r>
      <w:r w:rsidR="00D51433">
        <w:rPr>
          <w:b/>
        </w:rPr>
        <w:t>t the end of</w:t>
      </w:r>
      <w:r w:rsidR="004A21A8">
        <w:rPr>
          <w:b/>
        </w:rPr>
        <w:t xml:space="preserve"> paragraph 7(b)   </w:t>
      </w:r>
    </w:p>
    <w:p w14:paraId="0DBEABE4" w14:textId="4B174D33" w:rsidR="004A21A8" w:rsidRDefault="004A21A8" w:rsidP="004A21A8">
      <w:pPr>
        <w:pStyle w:val="LI-BodyTextUnnumbered"/>
        <w:spacing w:after="240"/>
      </w:pPr>
      <w:r>
        <w:t xml:space="preserve">Add: </w:t>
      </w:r>
    </w:p>
    <w:p w14:paraId="66D50E03" w14:textId="7A993055" w:rsidR="004A21A8" w:rsidRDefault="004A21A8" w:rsidP="004A21A8">
      <w:pPr>
        <w:pStyle w:val="LI-SectionNote"/>
        <w:ind w:left="2160" w:hanging="720"/>
      </w:pPr>
      <w:r>
        <w:rPr>
          <w:szCs w:val="18"/>
        </w:rPr>
        <w:t>Note:</w:t>
      </w:r>
      <w:r>
        <w:rPr>
          <w:szCs w:val="18"/>
        </w:rPr>
        <w:tab/>
        <w:t xml:space="preserve">Subsection 1012DAA(3) applies to CCIVs subject to modifications: see subsection 1241S(6). </w:t>
      </w:r>
      <w:r w:rsidDel="000C7E71">
        <w:t xml:space="preserve"> </w:t>
      </w:r>
    </w:p>
    <w:p w14:paraId="0DD6B1FF" w14:textId="2A97CE96" w:rsidR="004A21A8" w:rsidRPr="00CA3A25" w:rsidRDefault="00D51433" w:rsidP="004A21A8">
      <w:pPr>
        <w:pStyle w:val="LI-BodyTextNumbered"/>
        <w:ind w:left="567"/>
        <w:rPr>
          <w:b/>
        </w:rPr>
      </w:pPr>
      <w:r>
        <w:rPr>
          <w:b/>
        </w:rPr>
        <w:t>5</w:t>
      </w:r>
      <w:r w:rsidR="00CA7F60">
        <w:rPr>
          <w:b/>
        </w:rPr>
        <w:t>0</w:t>
      </w:r>
      <w:r w:rsidR="004A21A8" w:rsidRPr="00CA3A25">
        <w:rPr>
          <w:b/>
        </w:rPr>
        <w:tab/>
      </w:r>
      <w:r>
        <w:rPr>
          <w:b/>
        </w:rPr>
        <w:t xml:space="preserve">At the end of </w:t>
      </w:r>
      <w:r w:rsidR="00101ABF">
        <w:rPr>
          <w:b/>
        </w:rPr>
        <w:t>sub-sub</w:t>
      </w:r>
      <w:r w:rsidR="004A21A8">
        <w:rPr>
          <w:b/>
        </w:rPr>
        <w:t>paragraph 7(</w:t>
      </w:r>
      <w:r w:rsidR="002B5633">
        <w:rPr>
          <w:b/>
        </w:rPr>
        <w:t>f</w:t>
      </w:r>
      <w:r w:rsidR="004A21A8">
        <w:rPr>
          <w:b/>
        </w:rPr>
        <w:t xml:space="preserve">)(ii)(C)   </w:t>
      </w:r>
    </w:p>
    <w:p w14:paraId="00774E7F" w14:textId="49D5CE0F" w:rsidR="004A21A8" w:rsidRDefault="004A21A8" w:rsidP="004A21A8">
      <w:pPr>
        <w:pStyle w:val="LI-BodyTextUnnumbered"/>
        <w:spacing w:after="240"/>
      </w:pPr>
      <w:r>
        <w:t xml:space="preserve">Add: </w:t>
      </w:r>
    </w:p>
    <w:p w14:paraId="7DF75A86" w14:textId="3549C861" w:rsidR="004A21A8" w:rsidRPr="004A21A8" w:rsidRDefault="004A21A8" w:rsidP="004A21A8">
      <w:pPr>
        <w:pStyle w:val="LI-SectionNote"/>
        <w:ind w:left="2160" w:hanging="720"/>
        <w:rPr>
          <w:szCs w:val="18"/>
        </w:rPr>
      </w:pPr>
      <w:r>
        <w:rPr>
          <w:szCs w:val="18"/>
        </w:rPr>
        <w:t>Note:</w:t>
      </w:r>
      <w:r>
        <w:rPr>
          <w:szCs w:val="18"/>
        </w:rPr>
        <w:tab/>
        <w:t>Chapter 2M applies to CCIVs subject to modifications: see Division 4 of Part 8B.4.</w:t>
      </w:r>
    </w:p>
    <w:p w14:paraId="5547A8C3" w14:textId="1C3667E4" w:rsidR="004A21A8" w:rsidRPr="00CA3A25" w:rsidRDefault="00D51433" w:rsidP="004A21A8">
      <w:pPr>
        <w:pStyle w:val="LI-BodyTextNumbered"/>
        <w:ind w:left="567"/>
        <w:rPr>
          <w:b/>
        </w:rPr>
      </w:pPr>
      <w:r>
        <w:rPr>
          <w:b/>
        </w:rPr>
        <w:lastRenderedPageBreak/>
        <w:t>5</w:t>
      </w:r>
      <w:r w:rsidR="00CA7F60">
        <w:rPr>
          <w:b/>
        </w:rPr>
        <w:t>1</w:t>
      </w:r>
      <w:r w:rsidR="004A21A8" w:rsidRPr="00CA3A25">
        <w:rPr>
          <w:b/>
        </w:rPr>
        <w:tab/>
      </w:r>
      <w:r>
        <w:rPr>
          <w:b/>
        </w:rPr>
        <w:t xml:space="preserve">At the end of </w:t>
      </w:r>
      <w:r w:rsidR="00101ABF">
        <w:rPr>
          <w:b/>
        </w:rPr>
        <w:t>sub-</w:t>
      </w:r>
      <w:r w:rsidR="004A21A8">
        <w:rPr>
          <w:b/>
        </w:rPr>
        <w:t>subparagraph 7(</w:t>
      </w:r>
      <w:r w:rsidR="002B5633">
        <w:rPr>
          <w:b/>
        </w:rPr>
        <w:t>f</w:t>
      </w:r>
      <w:r w:rsidR="004A21A8">
        <w:rPr>
          <w:b/>
        </w:rPr>
        <w:t xml:space="preserve">)(ii)(D)   </w:t>
      </w:r>
    </w:p>
    <w:p w14:paraId="39221B6E" w14:textId="3B6A5C9F" w:rsidR="004A21A8" w:rsidRDefault="004A21A8" w:rsidP="004A21A8">
      <w:pPr>
        <w:pStyle w:val="LI-BodyTextUnnumbered"/>
        <w:spacing w:after="240"/>
      </w:pPr>
      <w:r>
        <w:t xml:space="preserve">Add: </w:t>
      </w:r>
    </w:p>
    <w:p w14:paraId="15315223" w14:textId="69526891" w:rsidR="00C15941" w:rsidRDefault="004A21A8" w:rsidP="00C15941">
      <w:pPr>
        <w:pStyle w:val="LI-SectionNote"/>
        <w:ind w:left="2160" w:hanging="720"/>
      </w:pPr>
      <w:r>
        <w:rPr>
          <w:szCs w:val="18"/>
        </w:rPr>
        <w:t>Note:</w:t>
      </w:r>
      <w:r>
        <w:rPr>
          <w:szCs w:val="18"/>
        </w:rPr>
        <w:tab/>
        <w:t xml:space="preserve">Subsection 1012DA(7) applies to CCIVs subject to modifications: see subsection 1241S(7). </w:t>
      </w:r>
      <w:r w:rsidDel="000C7E71">
        <w:t xml:space="preserve"> </w:t>
      </w:r>
    </w:p>
    <w:p w14:paraId="63C2ADC2" w14:textId="77777777" w:rsidR="00C15941" w:rsidRDefault="00C15941" w:rsidP="00C15941">
      <w:pPr>
        <w:pStyle w:val="LI-SectionNote"/>
        <w:ind w:left="2160" w:hanging="720"/>
      </w:pPr>
    </w:p>
    <w:p w14:paraId="2A9440D6" w14:textId="77777777" w:rsidR="00C15941" w:rsidRDefault="00C15941" w:rsidP="00C15941">
      <w:pPr>
        <w:pStyle w:val="LI-SectionNote"/>
        <w:ind w:left="2160" w:hanging="720"/>
      </w:pPr>
    </w:p>
    <w:p w14:paraId="1D1DF67C" w14:textId="607B0FA3" w:rsidR="00C15941" w:rsidRDefault="00C15941">
      <w:pPr>
        <w:spacing w:line="240" w:lineRule="auto"/>
        <w:rPr>
          <w:rFonts w:eastAsia="Times New Roman"/>
          <w:sz w:val="18"/>
          <w:lang w:eastAsia="en-AU"/>
        </w:rPr>
      </w:pPr>
      <w:r>
        <w:br w:type="page"/>
      </w:r>
    </w:p>
    <w:p w14:paraId="7ACE8223" w14:textId="5C7F0981" w:rsidR="00C36D2F" w:rsidRDefault="00344EA9" w:rsidP="00C36D2F">
      <w:pPr>
        <w:pStyle w:val="LI-Heading1"/>
        <w:ind w:left="0" w:firstLine="0"/>
      </w:pPr>
      <w:bookmarkStart w:id="32" w:name="_Toc118808574"/>
      <w:r>
        <w:lastRenderedPageBreak/>
        <w:t xml:space="preserve">Part </w:t>
      </w:r>
      <w:r w:rsidR="002E679C">
        <w:t>11</w:t>
      </w:r>
      <w:bookmarkEnd w:id="32"/>
      <w:r w:rsidR="00C36D2F">
        <w:t xml:space="preserve"> </w:t>
      </w:r>
    </w:p>
    <w:p w14:paraId="5F6381AF" w14:textId="3DB6B47E" w:rsidR="00C36D2F" w:rsidRPr="00E02BC6" w:rsidRDefault="00C36D2F" w:rsidP="00F91AB9">
      <w:pPr>
        <w:pStyle w:val="LI-Heading2"/>
        <w:ind w:left="0" w:firstLine="0"/>
        <w:rPr>
          <w:i/>
        </w:rPr>
      </w:pPr>
      <w:bookmarkStart w:id="33" w:name="_Toc118808575"/>
      <w:bookmarkStart w:id="34" w:name="_Hlk116283278"/>
      <w:r w:rsidRPr="00E02BC6">
        <w:rPr>
          <w:i/>
        </w:rPr>
        <w:t>ASIC Corporations (</w:t>
      </w:r>
      <w:r w:rsidR="00565DF9" w:rsidRPr="00E02BC6">
        <w:rPr>
          <w:i/>
        </w:rPr>
        <w:t>Shorter PDS and Delivery of Accessible Financial Products Disclosure by Platform Operators and Superannuation Trustees) Instrument 2022/497</w:t>
      </w:r>
      <w:bookmarkEnd w:id="33"/>
    </w:p>
    <w:bookmarkEnd w:id="34"/>
    <w:p w14:paraId="5DB40A9B" w14:textId="12AF2CD2" w:rsidR="00565DF9" w:rsidRDefault="00625121" w:rsidP="00565DF9">
      <w:pPr>
        <w:pStyle w:val="LI-BodyTextNumbered"/>
        <w:ind w:left="567"/>
        <w:rPr>
          <w:b/>
        </w:rPr>
      </w:pPr>
      <w:r>
        <w:rPr>
          <w:b/>
        </w:rPr>
        <w:t>5</w:t>
      </w:r>
      <w:r w:rsidR="00CA7F60">
        <w:rPr>
          <w:b/>
        </w:rPr>
        <w:t>2</w:t>
      </w:r>
      <w:r w:rsidR="00565DF9">
        <w:rPr>
          <w:b/>
        </w:rPr>
        <w:t xml:space="preserve"> </w:t>
      </w:r>
      <w:r w:rsidR="00565DF9">
        <w:rPr>
          <w:b/>
        </w:rPr>
        <w:tab/>
        <w:t>Section 4</w:t>
      </w:r>
    </w:p>
    <w:p w14:paraId="3D602B6B" w14:textId="77777777" w:rsidR="00565DF9" w:rsidRDefault="00565DF9" w:rsidP="00565DF9">
      <w:pPr>
        <w:pStyle w:val="LI-BodyTextUnnumbered"/>
        <w:spacing w:after="240"/>
      </w:pPr>
      <w:r>
        <w:t xml:space="preserve">Insert: </w:t>
      </w:r>
    </w:p>
    <w:p w14:paraId="783E15CF" w14:textId="77777777" w:rsidR="00565DF9" w:rsidRPr="002F6958" w:rsidRDefault="00565DF9" w:rsidP="00565DF9">
      <w:pPr>
        <w:pStyle w:val="LI-BodyTextSubsubparaA"/>
        <w:ind w:left="1440" w:firstLine="0"/>
      </w:pPr>
      <w:r w:rsidRPr="002F6958">
        <w:rPr>
          <w:b/>
          <w:i/>
        </w:rPr>
        <w:t xml:space="preserve">simple sub-fund </w:t>
      </w:r>
      <w:r w:rsidRPr="002F6958">
        <w:t xml:space="preserve">means a sub-fund of a retail CCIV </w:t>
      </w:r>
      <w:r>
        <w:t>in respect of</w:t>
      </w:r>
      <w:r w:rsidRPr="002F6958">
        <w:t xml:space="preserve"> which a simple sub-fund product is </w:t>
      </w:r>
      <w:r>
        <w:t xml:space="preserve">referable. </w:t>
      </w:r>
      <w:r w:rsidRPr="002F6958">
        <w:t xml:space="preserve"> </w:t>
      </w:r>
    </w:p>
    <w:p w14:paraId="00D7A9C7" w14:textId="77777777" w:rsidR="00565DF9" w:rsidRPr="00F97BBC" w:rsidRDefault="00565DF9" w:rsidP="00565DF9">
      <w:pPr>
        <w:pStyle w:val="LI-BodyTextSubsubparaA"/>
        <w:ind w:left="1440" w:firstLine="0"/>
      </w:pPr>
      <w:r w:rsidRPr="002F6958">
        <w:rPr>
          <w:b/>
          <w:i/>
        </w:rPr>
        <w:t xml:space="preserve">simple sub-fund product </w:t>
      </w:r>
      <w:r w:rsidRPr="002F6958">
        <w:t>has the same meaning as in regulation 1.0.02 of the Regulations.</w:t>
      </w:r>
      <w:r>
        <w:t xml:space="preserve"> </w:t>
      </w:r>
    </w:p>
    <w:p w14:paraId="5DC85471" w14:textId="331F5651" w:rsidR="007C3317" w:rsidRPr="003F78E6" w:rsidRDefault="00625121" w:rsidP="00B96B9E">
      <w:pPr>
        <w:pStyle w:val="LI-BodyTextNumbered"/>
        <w:ind w:left="567"/>
        <w:rPr>
          <w:b/>
        </w:rPr>
      </w:pPr>
      <w:r>
        <w:rPr>
          <w:b/>
        </w:rPr>
        <w:t>5</w:t>
      </w:r>
      <w:r w:rsidR="00CA7F60">
        <w:rPr>
          <w:b/>
        </w:rPr>
        <w:t>3</w:t>
      </w:r>
      <w:r w:rsidR="00B96B9E">
        <w:rPr>
          <w:b/>
        </w:rPr>
        <w:t xml:space="preserve"> </w:t>
      </w:r>
      <w:r w:rsidR="00B96B9E">
        <w:rPr>
          <w:b/>
        </w:rPr>
        <w:tab/>
      </w:r>
      <w:r w:rsidR="00B96B9E" w:rsidRPr="003F78E6">
        <w:rPr>
          <w:b/>
        </w:rPr>
        <w:t>S</w:t>
      </w:r>
      <w:r w:rsidR="007C3317" w:rsidRPr="003F78E6">
        <w:rPr>
          <w:b/>
        </w:rPr>
        <w:t xml:space="preserve">ubsection 5(2) (notional </w:t>
      </w:r>
      <w:proofErr w:type="spellStart"/>
      <w:r w:rsidR="007C3317" w:rsidRPr="003F78E6">
        <w:rPr>
          <w:b/>
        </w:rPr>
        <w:t>subregulation</w:t>
      </w:r>
      <w:proofErr w:type="spellEnd"/>
      <w:r w:rsidR="007C3317" w:rsidRPr="003F78E6">
        <w:rPr>
          <w:b/>
        </w:rPr>
        <w:t xml:space="preserve"> 7.9.11S(7) (</w:t>
      </w:r>
      <w:r w:rsidR="009A4ADF">
        <w:rPr>
          <w:b/>
        </w:rPr>
        <w:t>after</w:t>
      </w:r>
      <w:r w:rsidR="007E54ED">
        <w:rPr>
          <w:b/>
        </w:rPr>
        <w:t xml:space="preserve"> </w:t>
      </w:r>
      <w:r w:rsidR="0000724F">
        <w:rPr>
          <w:b/>
        </w:rPr>
        <w:t>sub</w:t>
      </w:r>
      <w:r w:rsidR="007C3317" w:rsidRPr="003F78E6">
        <w:rPr>
          <w:b/>
        </w:rPr>
        <w:t>paragraph</w:t>
      </w:r>
      <w:r w:rsidR="008C7241">
        <w:rPr>
          <w:b/>
        </w:rPr>
        <w:t xml:space="preserve"> </w:t>
      </w:r>
      <w:r w:rsidR="007C3317" w:rsidRPr="003F78E6">
        <w:rPr>
          <w:b/>
        </w:rPr>
        <w:t>(b)</w:t>
      </w:r>
      <w:r w:rsidR="0000724F">
        <w:rPr>
          <w:b/>
        </w:rPr>
        <w:t>(ii)</w:t>
      </w:r>
      <w:r w:rsidR="007C3317" w:rsidRPr="003F78E6">
        <w:rPr>
          <w:b/>
        </w:rPr>
        <w:t xml:space="preserve"> of the definition of </w:t>
      </w:r>
      <w:r w:rsidR="007C3317" w:rsidRPr="003F78E6">
        <w:rPr>
          <w:b/>
          <w:i/>
        </w:rPr>
        <w:t>fund of hedge funds</w:t>
      </w:r>
      <w:r w:rsidR="007C3317" w:rsidRPr="003F78E6">
        <w:rPr>
          <w:b/>
        </w:rPr>
        <w:t>))</w:t>
      </w:r>
    </w:p>
    <w:p w14:paraId="13319310" w14:textId="0AE4E358" w:rsidR="0000724F" w:rsidRDefault="009A4ADF" w:rsidP="0000724F">
      <w:pPr>
        <w:pStyle w:val="LI-BodyTextUnnumbered"/>
        <w:spacing w:after="240"/>
      </w:pPr>
      <w:r>
        <w:t>Insert</w:t>
      </w:r>
      <w:r w:rsidR="00416522">
        <w:t xml:space="preserve">: </w:t>
      </w:r>
    </w:p>
    <w:p w14:paraId="0110C718" w14:textId="662BA97E" w:rsidR="00B96B9E" w:rsidRPr="003F78E6" w:rsidRDefault="0000724F" w:rsidP="00921949">
      <w:pPr>
        <w:pStyle w:val="LI-BodyTextUnnumbered"/>
        <w:spacing w:after="240"/>
        <w:ind w:left="2127" w:hanging="737"/>
      </w:pPr>
      <w:r>
        <w:t xml:space="preserve"> </w:t>
      </w:r>
      <w:r w:rsidRPr="00580A6D">
        <w:t>(iii)</w:t>
      </w:r>
      <w:r w:rsidR="00921949">
        <w:tab/>
      </w:r>
      <w:r w:rsidRPr="00580A6D">
        <w:t>a sub-fund of a CCIV</w:t>
      </w:r>
      <w:r w:rsidR="008C7241">
        <w:t>; or</w:t>
      </w:r>
      <w:r>
        <w:t xml:space="preserve"> </w:t>
      </w:r>
    </w:p>
    <w:p w14:paraId="2EE0B737" w14:textId="2B4545B6" w:rsidR="00DD5246" w:rsidRPr="003F78E6" w:rsidRDefault="00416522" w:rsidP="00DD5246">
      <w:pPr>
        <w:pStyle w:val="LI-BodyTextNumbered"/>
        <w:ind w:left="567"/>
        <w:rPr>
          <w:b/>
        </w:rPr>
      </w:pPr>
      <w:r w:rsidRPr="003F78E6" w:rsidDel="00416522">
        <w:t xml:space="preserve"> </w:t>
      </w:r>
      <w:r w:rsidR="00DD5246">
        <w:rPr>
          <w:b/>
        </w:rPr>
        <w:t>5</w:t>
      </w:r>
      <w:r w:rsidR="00CA7F60">
        <w:rPr>
          <w:b/>
        </w:rPr>
        <w:t>4</w:t>
      </w:r>
      <w:r w:rsidR="00DD5246">
        <w:rPr>
          <w:b/>
        </w:rPr>
        <w:t xml:space="preserve"> </w:t>
      </w:r>
      <w:r w:rsidR="00DD5246">
        <w:rPr>
          <w:b/>
        </w:rPr>
        <w:tab/>
      </w:r>
      <w:r w:rsidR="00DD5246" w:rsidRPr="003F78E6">
        <w:rPr>
          <w:b/>
        </w:rPr>
        <w:t xml:space="preserve">Subsection 5(2) (notional </w:t>
      </w:r>
      <w:proofErr w:type="spellStart"/>
      <w:r w:rsidR="00DD5246" w:rsidRPr="003F78E6">
        <w:rPr>
          <w:b/>
        </w:rPr>
        <w:t>subregulation</w:t>
      </w:r>
      <w:proofErr w:type="spellEnd"/>
      <w:r w:rsidR="00DD5246" w:rsidRPr="003F78E6">
        <w:rPr>
          <w:b/>
        </w:rPr>
        <w:t xml:space="preserve"> 7.9.11S(7) (definition of</w:t>
      </w:r>
      <w:r w:rsidR="00DD5246" w:rsidRPr="003F78E6">
        <w:rPr>
          <w:b/>
          <w:i/>
        </w:rPr>
        <w:t xml:space="preserve"> hedge fund</w:t>
      </w:r>
      <w:r w:rsidR="00DD5246" w:rsidRPr="003F78E6">
        <w:rPr>
          <w:b/>
        </w:rPr>
        <w:t>))</w:t>
      </w:r>
    </w:p>
    <w:p w14:paraId="0C5A895C" w14:textId="3A20DF48" w:rsidR="00DD5246" w:rsidRDefault="00603B76" w:rsidP="00603B76">
      <w:pPr>
        <w:pStyle w:val="LI-BodyTextUnnumbered"/>
        <w:spacing w:after="240"/>
        <w:rPr>
          <w:b/>
        </w:rPr>
      </w:pPr>
      <w:r>
        <w:t>Omit “</w:t>
      </w:r>
      <w:r w:rsidRPr="00E24540">
        <w:t>(the derivatives limb)</w:t>
      </w:r>
      <w:r>
        <w:t>”, substitute “</w:t>
      </w:r>
      <w:r w:rsidRPr="00E24540">
        <w:t xml:space="preserve">(the </w:t>
      </w:r>
      <w:r w:rsidRPr="00603B76">
        <w:rPr>
          <w:b/>
          <w:i/>
        </w:rPr>
        <w:t>derivatives limb</w:t>
      </w:r>
      <w:r w:rsidRPr="00E24540">
        <w:t>)</w:t>
      </w:r>
      <w:r>
        <w:t>”.</w:t>
      </w:r>
    </w:p>
    <w:p w14:paraId="7945BCE9" w14:textId="595D2AF9" w:rsidR="00565DF9" w:rsidRPr="00B50DBB" w:rsidRDefault="00625121" w:rsidP="00565DF9">
      <w:pPr>
        <w:pStyle w:val="LI-BodyTextNumbered"/>
        <w:ind w:left="567"/>
        <w:rPr>
          <w:b/>
        </w:rPr>
      </w:pPr>
      <w:r>
        <w:rPr>
          <w:b/>
        </w:rPr>
        <w:t>5</w:t>
      </w:r>
      <w:r w:rsidR="00207B20">
        <w:rPr>
          <w:b/>
        </w:rPr>
        <w:t>5</w:t>
      </w:r>
      <w:r w:rsidR="00565DF9">
        <w:rPr>
          <w:b/>
        </w:rPr>
        <w:tab/>
        <w:t>S</w:t>
      </w:r>
      <w:r w:rsidR="007C3317">
        <w:rPr>
          <w:b/>
        </w:rPr>
        <w:t>ubs</w:t>
      </w:r>
      <w:r w:rsidR="00565DF9">
        <w:rPr>
          <w:b/>
        </w:rPr>
        <w:t>ection 5</w:t>
      </w:r>
      <w:r w:rsidR="007C3317">
        <w:rPr>
          <w:b/>
        </w:rPr>
        <w:t>(2)</w:t>
      </w:r>
      <w:r w:rsidR="00565DF9">
        <w:rPr>
          <w:b/>
        </w:rPr>
        <w:t xml:space="preserve"> </w:t>
      </w:r>
      <w:r w:rsidR="007C3317">
        <w:rPr>
          <w:b/>
        </w:rPr>
        <w:t xml:space="preserve">(notional </w:t>
      </w:r>
      <w:proofErr w:type="spellStart"/>
      <w:r w:rsidR="007C3317">
        <w:rPr>
          <w:b/>
        </w:rPr>
        <w:t>subregulation</w:t>
      </w:r>
      <w:proofErr w:type="spellEnd"/>
      <w:r w:rsidR="007C3317">
        <w:rPr>
          <w:b/>
        </w:rPr>
        <w:t xml:space="preserve"> 7.9.11S(7) (</w:t>
      </w:r>
      <w:r w:rsidR="00B50DBB">
        <w:rPr>
          <w:b/>
        </w:rPr>
        <w:t>note to subparagraph</w:t>
      </w:r>
      <w:r w:rsidR="00052943">
        <w:rPr>
          <w:b/>
        </w:rPr>
        <w:t> </w:t>
      </w:r>
      <w:r w:rsidR="00B50DBB">
        <w:rPr>
          <w:b/>
        </w:rPr>
        <w:t>(b)(</w:t>
      </w:r>
      <w:proofErr w:type="spellStart"/>
      <w:r w:rsidR="00B50DBB">
        <w:rPr>
          <w:b/>
        </w:rPr>
        <w:t>i</w:t>
      </w:r>
      <w:proofErr w:type="spellEnd"/>
      <w:r w:rsidR="00B50DBB">
        <w:rPr>
          <w:b/>
        </w:rPr>
        <w:t xml:space="preserve">) of the definition of </w:t>
      </w:r>
      <w:r w:rsidR="00B50DBB">
        <w:rPr>
          <w:b/>
          <w:i/>
        </w:rPr>
        <w:t>hedge fund</w:t>
      </w:r>
      <w:r w:rsidR="00B50DBB">
        <w:rPr>
          <w:b/>
        </w:rPr>
        <w:t>)</w:t>
      </w:r>
      <w:r w:rsidR="007C3317">
        <w:rPr>
          <w:b/>
        </w:rPr>
        <w:t>)</w:t>
      </w:r>
    </w:p>
    <w:p w14:paraId="5155A182" w14:textId="52BA0CE1" w:rsidR="00EA102A" w:rsidRPr="00492AE4" w:rsidRDefault="00D419C6" w:rsidP="00492AE4">
      <w:pPr>
        <w:pStyle w:val="LI-BodyTextUnnumbered"/>
        <w:spacing w:after="240"/>
      </w:pPr>
      <w:r>
        <w:t>Omit “</w:t>
      </w:r>
      <w:r w:rsidR="008C7241" w:rsidRPr="00405B5F">
        <w:t>A, B and C</w:t>
      </w:r>
      <w:r w:rsidR="008C7241">
        <w:t>.</w:t>
      </w:r>
      <w:r w:rsidR="008C7241">
        <w:rPr>
          <w:szCs w:val="24"/>
        </w:rPr>
        <w:t>)</w:t>
      </w:r>
      <w:r>
        <w:t>”</w:t>
      </w:r>
      <w:r w:rsidR="00C73213">
        <w:t>”</w:t>
      </w:r>
      <w:r w:rsidR="008C7241">
        <w:t>, substitute “A, B and C.)</w:t>
      </w:r>
      <w:r>
        <w:t xml:space="preserve">”. </w:t>
      </w:r>
    </w:p>
    <w:p w14:paraId="137A42E4" w14:textId="5CEA5486" w:rsidR="00EA102A" w:rsidRPr="00EA102A" w:rsidRDefault="00625121" w:rsidP="00EA102A">
      <w:pPr>
        <w:pStyle w:val="LI-BodyTextNumbered"/>
        <w:ind w:left="567"/>
        <w:rPr>
          <w:b/>
        </w:rPr>
      </w:pPr>
      <w:r>
        <w:rPr>
          <w:b/>
        </w:rPr>
        <w:t>5</w:t>
      </w:r>
      <w:r w:rsidR="00207B20">
        <w:rPr>
          <w:b/>
        </w:rPr>
        <w:t>6</w:t>
      </w:r>
      <w:r w:rsidR="00EA102A">
        <w:rPr>
          <w:b/>
        </w:rPr>
        <w:t xml:space="preserve"> </w:t>
      </w:r>
      <w:r w:rsidR="00EA102A">
        <w:rPr>
          <w:b/>
        </w:rPr>
        <w:tab/>
      </w:r>
      <w:r w:rsidR="007C3317">
        <w:rPr>
          <w:b/>
        </w:rPr>
        <w:t xml:space="preserve">Subsection 5(2) (notional </w:t>
      </w:r>
      <w:proofErr w:type="spellStart"/>
      <w:r w:rsidR="007C3317">
        <w:rPr>
          <w:b/>
        </w:rPr>
        <w:t>subregulation</w:t>
      </w:r>
      <w:proofErr w:type="spellEnd"/>
      <w:r w:rsidR="007C3317">
        <w:rPr>
          <w:b/>
        </w:rPr>
        <w:t xml:space="preserve"> 7.9.11S(7) </w:t>
      </w:r>
      <w:r w:rsidR="00EA102A">
        <w:rPr>
          <w:b/>
        </w:rPr>
        <w:t>(</w:t>
      </w:r>
      <w:r w:rsidR="00FF2F59">
        <w:rPr>
          <w:b/>
        </w:rPr>
        <w:t xml:space="preserve">after paragraph (b) of the </w:t>
      </w:r>
      <w:r w:rsidR="00EA102A">
        <w:rPr>
          <w:b/>
        </w:rPr>
        <w:t xml:space="preserve">definition of </w:t>
      </w:r>
      <w:r w:rsidR="00EA102A">
        <w:rPr>
          <w:b/>
          <w:i/>
        </w:rPr>
        <w:t>interposed entity</w:t>
      </w:r>
      <w:r w:rsidR="00EA102A">
        <w:rPr>
          <w:b/>
        </w:rPr>
        <w:t>)</w:t>
      </w:r>
      <w:r w:rsidR="007C3317">
        <w:rPr>
          <w:b/>
        </w:rPr>
        <w:t>)</w:t>
      </w:r>
    </w:p>
    <w:p w14:paraId="68D4B95D" w14:textId="77777777" w:rsidR="00FF2F59" w:rsidRDefault="00FF2F59" w:rsidP="00FF2F59">
      <w:pPr>
        <w:pStyle w:val="LI-BodyTextUnnumbered"/>
        <w:spacing w:after="240"/>
      </w:pPr>
      <w:r>
        <w:t xml:space="preserve">Insert: </w:t>
      </w:r>
    </w:p>
    <w:p w14:paraId="744DD6D5" w14:textId="17F54AF2" w:rsidR="008E6B7C" w:rsidRPr="00492AE4" w:rsidRDefault="00D12087" w:rsidP="00492AE4">
      <w:pPr>
        <w:pStyle w:val="LI-BodyTextSubparai"/>
        <w:ind w:left="1440" w:firstLine="0"/>
      </w:pPr>
      <w:r>
        <w:t>(</w:t>
      </w:r>
      <w:proofErr w:type="spellStart"/>
      <w:r>
        <w:t>ba</w:t>
      </w:r>
      <w:proofErr w:type="spellEnd"/>
      <w:r>
        <w:t>)</w:t>
      </w:r>
      <w:r>
        <w:tab/>
        <w:t xml:space="preserve">a CCIV; or </w:t>
      </w:r>
    </w:p>
    <w:p w14:paraId="707769F0" w14:textId="315756CC" w:rsidR="008E6B7C" w:rsidRPr="00EA102A" w:rsidRDefault="00D515AC" w:rsidP="00492AE4">
      <w:pPr>
        <w:pStyle w:val="LI-BodyTextNumbered"/>
        <w:ind w:left="567"/>
        <w:rPr>
          <w:b/>
        </w:rPr>
      </w:pPr>
      <w:r>
        <w:rPr>
          <w:b/>
        </w:rPr>
        <w:t>5</w:t>
      </w:r>
      <w:r w:rsidR="00207B20">
        <w:rPr>
          <w:b/>
        </w:rPr>
        <w:t>7</w:t>
      </w:r>
      <w:r w:rsidR="00492AE4">
        <w:rPr>
          <w:b/>
        </w:rPr>
        <w:tab/>
      </w:r>
      <w:r w:rsidR="007C3317">
        <w:rPr>
          <w:b/>
        </w:rPr>
        <w:t xml:space="preserve">Subsection 5(2) (notional </w:t>
      </w:r>
      <w:proofErr w:type="spellStart"/>
      <w:r w:rsidR="007C3317">
        <w:rPr>
          <w:b/>
        </w:rPr>
        <w:t>subregulation</w:t>
      </w:r>
      <w:proofErr w:type="spellEnd"/>
      <w:r w:rsidR="007C3317">
        <w:rPr>
          <w:b/>
        </w:rPr>
        <w:t xml:space="preserve"> 7.9.11S(7)</w:t>
      </w:r>
      <w:r w:rsidR="008E6B7C">
        <w:rPr>
          <w:b/>
        </w:rPr>
        <w:t xml:space="preserve"> (definition of </w:t>
      </w:r>
      <w:r w:rsidR="008E6B7C" w:rsidRPr="00492AE4">
        <w:rPr>
          <w:b/>
          <w:i/>
        </w:rPr>
        <w:t>prescribed foreign regulatory authority</w:t>
      </w:r>
      <w:r w:rsidR="008E6B7C">
        <w:rPr>
          <w:b/>
        </w:rPr>
        <w:t>)</w:t>
      </w:r>
    </w:p>
    <w:p w14:paraId="1F594C9F" w14:textId="66CC3A69" w:rsidR="00FC792A" w:rsidRPr="00A446B5" w:rsidRDefault="008E6B7C" w:rsidP="00A446B5">
      <w:pPr>
        <w:pStyle w:val="LI-BodyTextUnnumbered"/>
        <w:spacing w:after="240"/>
      </w:pPr>
      <w:r>
        <w:t xml:space="preserve">Omit “10F”, </w:t>
      </w:r>
      <w:r w:rsidR="00492AE4">
        <w:t xml:space="preserve">substitute “10G”. </w:t>
      </w:r>
    </w:p>
    <w:p w14:paraId="0C0D94F0" w14:textId="560088A5" w:rsidR="00492AE4" w:rsidRDefault="00625121" w:rsidP="00492AE4">
      <w:pPr>
        <w:pStyle w:val="LI-BodyTextNumbered"/>
        <w:ind w:left="567"/>
        <w:rPr>
          <w:b/>
        </w:rPr>
      </w:pPr>
      <w:r>
        <w:rPr>
          <w:b/>
        </w:rPr>
        <w:t>5</w:t>
      </w:r>
      <w:r w:rsidR="00207B20">
        <w:rPr>
          <w:b/>
        </w:rPr>
        <w:t>8</w:t>
      </w:r>
      <w:r w:rsidR="00492AE4">
        <w:rPr>
          <w:b/>
        </w:rPr>
        <w:tab/>
      </w:r>
      <w:r w:rsidR="00566525">
        <w:rPr>
          <w:b/>
        </w:rPr>
        <w:t>After</w:t>
      </w:r>
      <w:r w:rsidR="005C5EF8">
        <w:rPr>
          <w:b/>
        </w:rPr>
        <w:t xml:space="preserve"> </w:t>
      </w:r>
      <w:r w:rsidR="00492AE4">
        <w:rPr>
          <w:b/>
        </w:rPr>
        <w:t xml:space="preserve">subsection 5(2) </w:t>
      </w:r>
    </w:p>
    <w:p w14:paraId="3449BBB7" w14:textId="39797265" w:rsidR="00492AE4" w:rsidRPr="00492AE4" w:rsidRDefault="00566525" w:rsidP="000A20DB">
      <w:pPr>
        <w:pStyle w:val="LI-BodyTextUnnumbered"/>
        <w:spacing w:after="240"/>
      </w:pPr>
      <w:r>
        <w:t>Insert</w:t>
      </w:r>
      <w:r w:rsidR="00492AE4" w:rsidRPr="00492AE4">
        <w:t>:</w:t>
      </w:r>
    </w:p>
    <w:p w14:paraId="02A8F475" w14:textId="77777777" w:rsidR="00492AE4" w:rsidRPr="000A20DB" w:rsidRDefault="00492AE4" w:rsidP="000A20DB">
      <w:pPr>
        <w:pStyle w:val="LI-BodyTextSubparai"/>
        <w:ind w:left="2007"/>
        <w:rPr>
          <w:i/>
        </w:rPr>
      </w:pPr>
      <w:r w:rsidRPr="000A20DB">
        <w:rPr>
          <w:i/>
        </w:rPr>
        <w:t xml:space="preserve">Simple sub-funds: </w:t>
      </w:r>
      <w:proofErr w:type="spellStart"/>
      <w:r w:rsidRPr="000A20DB">
        <w:rPr>
          <w:i/>
        </w:rPr>
        <w:t>multifunds</w:t>
      </w:r>
      <w:proofErr w:type="spellEnd"/>
      <w:r w:rsidRPr="000A20DB">
        <w:rPr>
          <w:i/>
        </w:rPr>
        <w:t xml:space="preserve"> and hedge funds</w:t>
      </w:r>
    </w:p>
    <w:p w14:paraId="26B6CB4D" w14:textId="7EC7E954" w:rsidR="00492AE4" w:rsidRDefault="00492AE4" w:rsidP="000A20DB">
      <w:pPr>
        <w:pStyle w:val="LI-BodyTextNumbered"/>
        <w:ind w:left="2007"/>
      </w:pPr>
      <w:r w:rsidRPr="00F57F23">
        <w:lastRenderedPageBreak/>
        <w:t>(</w:t>
      </w:r>
      <w:r w:rsidR="00C73213">
        <w:t>2A</w:t>
      </w:r>
      <w:r w:rsidRPr="00F57F23">
        <w:t>)</w:t>
      </w:r>
      <w:r w:rsidRPr="00F57F23">
        <w:tab/>
        <w:t>Part 7.9 of the Act applies in relation to a</w:t>
      </w:r>
      <w:r>
        <w:t xml:space="preserve"> retail CCIV in respect of a simple sub-fund </w:t>
      </w:r>
      <w:r w:rsidRPr="00F57F23">
        <w:t>as if regulation 7.9.11</w:t>
      </w:r>
      <w:r>
        <w:t>ZA</w:t>
      </w:r>
      <w:r w:rsidRPr="00F57F23">
        <w:t xml:space="preserve"> of the Regulations were modified or varied by, after </w:t>
      </w:r>
      <w:proofErr w:type="spellStart"/>
      <w:r w:rsidRPr="00F57F23">
        <w:t>subregulation</w:t>
      </w:r>
      <w:proofErr w:type="spellEnd"/>
      <w:r w:rsidRPr="00F57F23">
        <w:t xml:space="preserve"> (4), inserting:</w:t>
      </w:r>
    </w:p>
    <w:p w14:paraId="4DA2158D" w14:textId="77777777" w:rsidR="00492AE4" w:rsidRPr="000A20DB" w:rsidRDefault="00492AE4" w:rsidP="000A20DB">
      <w:pPr>
        <w:pStyle w:val="LI-SectionNote"/>
        <w:ind w:left="2727" w:hanging="720"/>
        <w:rPr>
          <w:szCs w:val="18"/>
        </w:rPr>
      </w:pPr>
      <w:r w:rsidRPr="000A20DB">
        <w:rPr>
          <w:szCs w:val="18"/>
        </w:rPr>
        <w:t>Note:</w:t>
      </w:r>
      <w:r w:rsidRPr="000A20DB">
        <w:rPr>
          <w:szCs w:val="18"/>
        </w:rPr>
        <w:tab/>
        <w:t xml:space="preserve">Part 7.9 applies to CCIVs subject to modifications: see, in particular, section 1241Q.  </w:t>
      </w:r>
    </w:p>
    <w:p w14:paraId="5E21A520" w14:textId="77777777" w:rsidR="00492AE4" w:rsidRDefault="00492AE4" w:rsidP="000A20DB">
      <w:pPr>
        <w:pStyle w:val="LI-BodyTextSubparai"/>
        <w:ind w:left="2574"/>
      </w:pPr>
      <w:r w:rsidRPr="00906639">
        <w:t>“(5)</w:t>
      </w:r>
      <w:r w:rsidRPr="00906639">
        <w:tab/>
        <w:t>This Subdivision does not apply to a Product Disclosure Statement to which all of the following apply:</w:t>
      </w:r>
    </w:p>
    <w:p w14:paraId="4BC8B3D6" w14:textId="418B32DA" w:rsidR="00492AE4" w:rsidRDefault="00492AE4" w:rsidP="000A20DB">
      <w:pPr>
        <w:pStyle w:val="LI-BodyTextParaa"/>
        <w:ind w:left="3141"/>
      </w:pPr>
      <w:r>
        <w:t>(a)</w:t>
      </w:r>
      <w:r>
        <w:tab/>
      </w:r>
      <w:r w:rsidRPr="003F78E6">
        <w:t>the Statement covers a financial product which relates to a simple sub-</w:t>
      </w:r>
      <w:proofErr w:type="gramStart"/>
      <w:r w:rsidRPr="003F78E6">
        <w:t>fund;</w:t>
      </w:r>
      <w:proofErr w:type="gramEnd"/>
    </w:p>
    <w:p w14:paraId="6DA7F234" w14:textId="77777777" w:rsidR="00492AE4" w:rsidRDefault="00492AE4" w:rsidP="000A20DB">
      <w:pPr>
        <w:pStyle w:val="LI-BodyTextParaa"/>
        <w:ind w:left="3141"/>
      </w:pPr>
      <w:r>
        <w:t>(b)</w:t>
      </w:r>
      <w:r>
        <w:tab/>
        <w:t xml:space="preserve">the Statement is prepared or purports to be prepared in accordance with Part 7.9 of the Act as it applies but for this </w:t>
      </w:r>
      <w:proofErr w:type="gramStart"/>
      <w:r>
        <w:t>Subdivision;</w:t>
      </w:r>
      <w:proofErr w:type="gramEnd"/>
    </w:p>
    <w:p w14:paraId="5F03B072" w14:textId="77777777" w:rsidR="00492AE4" w:rsidRDefault="00492AE4" w:rsidP="000A20DB">
      <w:pPr>
        <w:pStyle w:val="LI-BodyTextParaa"/>
        <w:ind w:left="3141"/>
      </w:pPr>
      <w:r>
        <w:t>(c)</w:t>
      </w:r>
      <w:r>
        <w:tab/>
        <w:t>the Statement is set out in a document in which there is also set out one or more other Product Disclosure Statements which:</w:t>
      </w:r>
    </w:p>
    <w:p w14:paraId="2B94F37C" w14:textId="2C29A543" w:rsidR="00492AE4" w:rsidRPr="00F57F23" w:rsidRDefault="00492AE4" w:rsidP="000A20DB">
      <w:pPr>
        <w:pStyle w:val="LI-BodyTextSubparai"/>
        <w:ind w:left="3798" w:hanging="657"/>
      </w:pPr>
      <w:r>
        <w:t>(</w:t>
      </w:r>
      <w:proofErr w:type="spellStart"/>
      <w:r>
        <w:t>i</w:t>
      </w:r>
      <w:proofErr w:type="spellEnd"/>
      <w:r>
        <w:t xml:space="preserve">)     </w:t>
      </w:r>
      <w:r w:rsidR="007C1959">
        <w:tab/>
      </w:r>
      <w:r w:rsidRPr="00F57F23">
        <w:t>cover a financial product which relates to another</w:t>
      </w:r>
      <w:r w:rsidRPr="008F4C34">
        <w:t xml:space="preserve"> </w:t>
      </w:r>
      <w:r>
        <w:t xml:space="preserve">sub-fund of the same CCIV or a sub-fund of another CCIV, </w:t>
      </w:r>
      <w:r w:rsidRPr="00F57F23">
        <w:t>but not another financial product; and</w:t>
      </w:r>
    </w:p>
    <w:p w14:paraId="0C4DAF5F" w14:textId="46AE43E6" w:rsidR="00492AE4" w:rsidRPr="00F57F23" w:rsidRDefault="00492AE4" w:rsidP="000A20DB">
      <w:pPr>
        <w:pStyle w:val="LI-BodyTextSubparai"/>
        <w:ind w:left="3798" w:hanging="657"/>
      </w:pPr>
      <w:r>
        <w:t xml:space="preserve">(ii)    </w:t>
      </w:r>
      <w:r w:rsidR="007C1959">
        <w:tab/>
      </w:r>
      <w:r w:rsidRPr="00F57F23">
        <w:t>is prepared or purports to be prepared in accordance with Part 7.9 of the Act as it applies but for this Subdivision.</w:t>
      </w:r>
    </w:p>
    <w:p w14:paraId="5C8C7BCC" w14:textId="6EFDA9C1" w:rsidR="00492AE4" w:rsidRPr="000A20DB" w:rsidRDefault="00492AE4" w:rsidP="000A20DB">
      <w:pPr>
        <w:pStyle w:val="LI-BodyTextSubparai"/>
        <w:ind w:left="2574"/>
      </w:pPr>
      <w:r>
        <w:t xml:space="preserve">(6)   </w:t>
      </w:r>
      <w:r>
        <w:tab/>
        <w:t>This Subdivision does not apply to a simple sub-fund that is a hedge fund or fund of hedge funds.</w:t>
      </w:r>
    </w:p>
    <w:p w14:paraId="1CDED237" w14:textId="77777777" w:rsidR="000A20DB" w:rsidRDefault="000A20DB" w:rsidP="000A20DB">
      <w:pPr>
        <w:pStyle w:val="LI-BodyTextSubparai"/>
        <w:ind w:left="2574"/>
      </w:pPr>
      <w:r>
        <w:t>(7)</w:t>
      </w:r>
      <w:r>
        <w:tab/>
      </w:r>
      <w:r w:rsidRPr="00EF3740">
        <w:t xml:space="preserve">In this regulation: </w:t>
      </w:r>
    </w:p>
    <w:p w14:paraId="6B1A5F88" w14:textId="45527E6F" w:rsidR="000A20DB" w:rsidRDefault="000A20DB" w:rsidP="002C0085">
      <w:pPr>
        <w:pStyle w:val="LI-Sectionparaa"/>
        <w:ind w:left="2574" w:firstLine="0"/>
      </w:pPr>
      <w:r w:rsidRPr="00405B5F">
        <w:rPr>
          <w:b/>
          <w:i/>
        </w:rPr>
        <w:t>derivative</w:t>
      </w:r>
      <w:r>
        <w:t xml:space="preserve"> has the same meaning as in regulation 7.9.11S of the Regulations.</w:t>
      </w:r>
    </w:p>
    <w:p w14:paraId="08C95174" w14:textId="580E8C27" w:rsidR="007C1959" w:rsidRPr="002C0085" w:rsidRDefault="007C1959" w:rsidP="007C1959">
      <w:pPr>
        <w:pStyle w:val="LI-SectionNote"/>
        <w:ind w:left="3294" w:hanging="720"/>
      </w:pPr>
      <w:r>
        <w:rPr>
          <w:szCs w:val="18"/>
        </w:rPr>
        <w:t>Note:</w:t>
      </w:r>
      <w:r>
        <w:rPr>
          <w:szCs w:val="18"/>
        </w:rPr>
        <w:tab/>
        <w:t>Regulation 7.</w:t>
      </w:r>
      <w:r w:rsidR="008B779D">
        <w:rPr>
          <w:szCs w:val="18"/>
        </w:rPr>
        <w:t>9.</w:t>
      </w:r>
      <w:r>
        <w:rPr>
          <w:szCs w:val="18"/>
        </w:rPr>
        <w:t xml:space="preserve">11.S is modified by </w:t>
      </w:r>
      <w:r w:rsidR="00A446B5" w:rsidRPr="00A446B5">
        <w:rPr>
          <w:i/>
          <w:szCs w:val="18"/>
        </w:rPr>
        <w:t>ASIC Corporations (Shorter PDS and Delivery of Accessible Financial Products Disclosure by Platform Operators and Superannuation Trustees) Instrument 2022/497</w:t>
      </w:r>
      <w:r w:rsidR="00A446B5">
        <w:rPr>
          <w:szCs w:val="18"/>
        </w:rPr>
        <w:t>.</w:t>
      </w:r>
      <w:r>
        <w:rPr>
          <w:szCs w:val="18"/>
        </w:rPr>
        <w:t xml:space="preserve"> </w:t>
      </w:r>
    </w:p>
    <w:p w14:paraId="6DCFCD87" w14:textId="77777777" w:rsidR="000A20DB" w:rsidRPr="002C0085" w:rsidRDefault="000A20DB" w:rsidP="002C0085">
      <w:pPr>
        <w:pStyle w:val="LI-Sectionparaa"/>
        <w:ind w:left="2574" w:firstLine="0"/>
      </w:pPr>
      <w:r w:rsidRPr="00FB44C9">
        <w:rPr>
          <w:b/>
          <w:i/>
        </w:rPr>
        <w:t>fund of hedge funds</w:t>
      </w:r>
      <w:r w:rsidRPr="002C0085">
        <w:rPr>
          <w:b/>
          <w:i/>
        </w:rPr>
        <w:t xml:space="preserve"> </w:t>
      </w:r>
      <w:r w:rsidRPr="002C0085">
        <w:t>means a sub-fund of a retail CCIV:</w:t>
      </w:r>
    </w:p>
    <w:p w14:paraId="580CAE40" w14:textId="35C8BEB0" w:rsidR="000A20DB" w:rsidRDefault="000A20DB" w:rsidP="002C0085">
      <w:pPr>
        <w:pStyle w:val="LI-BodyTextParaa"/>
        <w:ind w:left="3141"/>
      </w:pPr>
      <w:r>
        <w:t>(a)</w:t>
      </w:r>
      <w:r>
        <w:tab/>
        <w:t>that is promoted by the retail CCIV using the expression and as being a “fund of hedge funds”; or</w:t>
      </w:r>
    </w:p>
    <w:p w14:paraId="7985B0FA" w14:textId="77777777" w:rsidR="000A20DB" w:rsidRDefault="000A20DB" w:rsidP="002C0085">
      <w:pPr>
        <w:pStyle w:val="LI-BodyTextParaa"/>
        <w:ind w:left="3141"/>
      </w:pPr>
      <w:r>
        <w:t xml:space="preserve">(b) </w:t>
      </w:r>
      <w:r>
        <w:tab/>
        <w:t>in relation to which at least 35% of the assets of the sub-fund are invested in a way that gives rise to economic interests in one or more of the following:</w:t>
      </w:r>
    </w:p>
    <w:p w14:paraId="18E35DF6" w14:textId="77777777" w:rsidR="000A20DB" w:rsidRDefault="000A20DB" w:rsidP="00C259A9">
      <w:pPr>
        <w:pStyle w:val="LI-Sectionsubparai"/>
        <w:ind w:left="3708"/>
      </w:pPr>
      <w:r>
        <w:t>(</w:t>
      </w:r>
      <w:proofErr w:type="spellStart"/>
      <w:r>
        <w:t>i</w:t>
      </w:r>
      <w:proofErr w:type="spellEnd"/>
      <w:r>
        <w:t>)</w:t>
      </w:r>
      <w:r>
        <w:tab/>
        <w:t>a hedge fund; or</w:t>
      </w:r>
    </w:p>
    <w:p w14:paraId="659852A6" w14:textId="23407970" w:rsidR="000A20DB" w:rsidRDefault="000A20DB" w:rsidP="00C259A9">
      <w:pPr>
        <w:pStyle w:val="LI-Sectionsubparai"/>
        <w:ind w:left="3708"/>
      </w:pPr>
      <w:r>
        <w:lastRenderedPageBreak/>
        <w:t>(ii)</w:t>
      </w:r>
      <w:r>
        <w:tab/>
        <w:t>a managed investment scheme</w:t>
      </w:r>
      <w:r w:rsidR="00012C3A">
        <w:t xml:space="preserve"> or</w:t>
      </w:r>
      <w:r>
        <w:t xml:space="preserve"> body, whether operating or carrying on business in or outside this jurisdiction, that would be a hedge fund if the scheme</w:t>
      </w:r>
      <w:r w:rsidR="00012C3A">
        <w:t xml:space="preserve"> or</w:t>
      </w:r>
      <w:r>
        <w:t xml:space="preserve"> body were a</w:t>
      </w:r>
      <w:r w:rsidR="006F7B1D">
        <w:t xml:space="preserve"> </w:t>
      </w:r>
      <w:r w:rsidR="00012C3A">
        <w:t>registered scheme</w:t>
      </w:r>
      <w:r>
        <w:t>; or</w:t>
      </w:r>
    </w:p>
    <w:p w14:paraId="1FA7918F" w14:textId="1FF1D8E3" w:rsidR="000A20DB" w:rsidRDefault="000A20DB" w:rsidP="00C259A9">
      <w:pPr>
        <w:pStyle w:val="LI-Sectionsubparai"/>
        <w:ind w:left="3708"/>
      </w:pPr>
      <w:r>
        <w:t>(iii)</w:t>
      </w:r>
      <w:r>
        <w:tab/>
      </w:r>
      <w:r w:rsidRPr="00012C3A">
        <w:t>a sub-fund of another CCIV</w:t>
      </w:r>
      <w:r w:rsidR="00A446B5" w:rsidRPr="00012C3A">
        <w:t>; or</w:t>
      </w:r>
      <w:r>
        <w:t xml:space="preserve">   </w:t>
      </w:r>
    </w:p>
    <w:p w14:paraId="7A87D9F6" w14:textId="77777777" w:rsidR="000A20DB" w:rsidRDefault="000A20DB" w:rsidP="00523A6D">
      <w:pPr>
        <w:pStyle w:val="LI-BodyTextParaa"/>
        <w:ind w:left="3141"/>
      </w:pPr>
      <w:r>
        <w:t>(c)</w:t>
      </w:r>
      <w:r>
        <w:tab/>
        <w:t>that is promoted by the retail CCIV on the basis that assets of the sub-fund will be invested in a way so that paragraph (b) will apply to it.</w:t>
      </w:r>
    </w:p>
    <w:p w14:paraId="19F8CCF8" w14:textId="77777777" w:rsidR="00523A6D" w:rsidRDefault="00523A6D" w:rsidP="00D94A4C">
      <w:pPr>
        <w:pStyle w:val="LI-Sectionparaa"/>
        <w:keepNext/>
        <w:ind w:left="2574" w:firstLine="0"/>
      </w:pPr>
      <w:r w:rsidRPr="00FB44C9">
        <w:rPr>
          <w:b/>
          <w:i/>
        </w:rPr>
        <w:t>hedge fund</w:t>
      </w:r>
      <w:r>
        <w:t xml:space="preserve"> means </w:t>
      </w:r>
      <w:r w:rsidRPr="002A0AD0">
        <w:t xml:space="preserve">a </w:t>
      </w:r>
      <w:r>
        <w:t>sub-fund of a retail CCIV:</w:t>
      </w:r>
    </w:p>
    <w:p w14:paraId="78DC016F" w14:textId="77777777" w:rsidR="00523A6D" w:rsidRDefault="00523A6D" w:rsidP="00523A6D">
      <w:pPr>
        <w:pStyle w:val="LI-BodyTextParaa"/>
        <w:ind w:left="3141"/>
      </w:pPr>
      <w:r>
        <w:t>(a)</w:t>
      </w:r>
      <w:r>
        <w:tab/>
        <w:t>that is promoted by the retail CCIV using the expression and as being a “hedge fund”; or</w:t>
      </w:r>
    </w:p>
    <w:p w14:paraId="2B2FFA22" w14:textId="77777777" w:rsidR="00523A6D" w:rsidRDefault="00523A6D" w:rsidP="00523A6D">
      <w:pPr>
        <w:pStyle w:val="LI-BodyTextParaa"/>
        <w:ind w:left="3141"/>
      </w:pPr>
      <w:r>
        <w:t>(b)</w:t>
      </w:r>
      <w:r>
        <w:tab/>
        <w:t>where the retail CCIV (in respect of the sub-fund) is covered by two or more of the following:</w:t>
      </w:r>
    </w:p>
    <w:p w14:paraId="6A9BB919" w14:textId="77777777" w:rsidR="00523A6D" w:rsidRDefault="00523A6D" w:rsidP="00523A6D">
      <w:pPr>
        <w:pStyle w:val="LI-Sectionsubparai"/>
        <w:ind w:left="3708"/>
      </w:pPr>
      <w:r w:rsidRPr="002A0AD0">
        <w:t>(</w:t>
      </w:r>
      <w:proofErr w:type="spellStart"/>
      <w:r>
        <w:t>i</w:t>
      </w:r>
      <w:proofErr w:type="spellEnd"/>
      <w:r w:rsidRPr="002A0AD0">
        <w:t>)</w:t>
      </w:r>
      <w:r w:rsidRPr="002A0AD0">
        <w:tab/>
      </w:r>
      <w:r>
        <w:t>the retail CCIV (in respect of the sub-fund):</w:t>
      </w:r>
    </w:p>
    <w:p w14:paraId="7318F09C" w14:textId="77777777" w:rsidR="00523A6D" w:rsidRDefault="00523A6D" w:rsidP="00523A6D">
      <w:pPr>
        <w:pStyle w:val="LI-SectionsubsubparaA"/>
        <w:ind w:left="4275"/>
      </w:pPr>
      <w:r>
        <w:t>(A)</w:t>
      </w:r>
      <w:r>
        <w:tab/>
        <w:t xml:space="preserve">deals in financial products in accordance with investment strategies intended to produce a return with low correlation (including no correlation) to each of the </w:t>
      </w:r>
      <w:r w:rsidRPr="00183D5D">
        <w:t>prescribed published indexes</w:t>
      </w:r>
      <w:r>
        <w:t xml:space="preserve"> or any combination of them</w:t>
      </w:r>
      <w:r w:rsidRPr="00183D5D">
        <w:t>; or</w:t>
      </w:r>
    </w:p>
    <w:p w14:paraId="1ED38C88" w14:textId="77777777" w:rsidR="00523A6D" w:rsidRDefault="00523A6D" w:rsidP="00523A6D">
      <w:pPr>
        <w:pStyle w:val="LI-SectionsubsubparaA"/>
        <w:ind w:left="4275"/>
      </w:pPr>
      <w:r>
        <w:t>(B)</w:t>
      </w:r>
      <w:r>
        <w:tab/>
        <w:t>acquires an economic interest in financial products through:</w:t>
      </w:r>
    </w:p>
    <w:p w14:paraId="34C2FAA0" w14:textId="77777777" w:rsidR="00523A6D" w:rsidRDefault="00523A6D" w:rsidP="00523A6D">
      <w:pPr>
        <w:pStyle w:val="LI-SectionsubsubsubparaI"/>
        <w:ind w:left="4842"/>
      </w:pPr>
      <w:r>
        <w:t>(I)</w:t>
      </w:r>
      <w:r>
        <w:tab/>
        <w:t>three or more interposed entities; or</w:t>
      </w:r>
    </w:p>
    <w:p w14:paraId="37158EF6" w14:textId="77777777" w:rsidR="00523A6D" w:rsidRDefault="00523A6D" w:rsidP="00523A6D">
      <w:pPr>
        <w:pStyle w:val="LI-SectionsubsubsubparaI"/>
        <w:ind w:left="4842"/>
      </w:pPr>
      <w:r>
        <w:t>(II)</w:t>
      </w:r>
      <w:r>
        <w:tab/>
        <w:t xml:space="preserve">two or more interposed entities if at least one of the entities is an entity that is formed or incorporated outside this jurisdiction or under laws other than Australian </w:t>
      </w:r>
      <w:proofErr w:type="gramStart"/>
      <w:r>
        <w:t>laws;</w:t>
      </w:r>
      <w:proofErr w:type="gramEnd"/>
    </w:p>
    <w:p w14:paraId="511A4E1B" w14:textId="039EBA3B" w:rsidR="00523A6D" w:rsidRDefault="00523A6D" w:rsidP="00523A6D">
      <w:pPr>
        <w:pStyle w:val="LI-SectionsubsubsubparaI"/>
        <w:ind w:left="4275" w:firstLine="0"/>
      </w:pPr>
      <w:r>
        <w:t>where the retail CCIV (in respect of the sub-fund), or an associate of the retail CCIV, has the capacity to control:</w:t>
      </w:r>
    </w:p>
    <w:p w14:paraId="79333A5F" w14:textId="77777777" w:rsidR="00523A6D" w:rsidRDefault="00523A6D" w:rsidP="00523A6D">
      <w:pPr>
        <w:pStyle w:val="LI-SectionsubsubsubparaI"/>
        <w:spacing w:before="200"/>
        <w:ind w:left="4842"/>
      </w:pPr>
      <w:r>
        <w:t xml:space="preserve">(III) </w:t>
      </w:r>
      <w:r>
        <w:tab/>
        <w:t>the disposal of the products; or</w:t>
      </w:r>
    </w:p>
    <w:p w14:paraId="3D53432D" w14:textId="77777777" w:rsidR="00523A6D" w:rsidRDefault="00523A6D" w:rsidP="00523A6D">
      <w:pPr>
        <w:pStyle w:val="LI-SectionsubsubsubparaI"/>
        <w:spacing w:before="200"/>
        <w:ind w:left="4842"/>
      </w:pPr>
      <w:r>
        <w:t>(IV)</w:t>
      </w:r>
      <w:r>
        <w:tab/>
        <w:t xml:space="preserve">two or more of the interposed </w:t>
      </w:r>
      <w:proofErr w:type="gramStart"/>
      <w:r>
        <w:t>entities;</w:t>
      </w:r>
      <w:proofErr w:type="gramEnd"/>
    </w:p>
    <w:p w14:paraId="3E44E825" w14:textId="752B2462" w:rsidR="00523A6D" w:rsidRPr="00405B5F" w:rsidRDefault="00523A6D" w:rsidP="004E5578">
      <w:pPr>
        <w:pStyle w:val="LI-SectionsubsubparaA"/>
        <w:spacing w:before="200"/>
        <w:ind w:left="3708" w:firstLine="0"/>
      </w:pPr>
      <w:r w:rsidRPr="00405B5F">
        <w:t xml:space="preserve">(For the purposes of sub-subparagraph (B), the calculation of the number of interposed entities through which </w:t>
      </w:r>
      <w:r>
        <w:t xml:space="preserve">a retail CCIV (in respect of a </w:t>
      </w:r>
      <w:r>
        <w:lastRenderedPageBreak/>
        <w:t xml:space="preserve">sub-fund) </w:t>
      </w:r>
      <w:r w:rsidRPr="00405B5F">
        <w:t>acquires an economic interest in a financial product is to be performed by reference to each separate vertical stream of interposed entities</w:t>
      </w:r>
      <w:proofErr w:type="gramStart"/>
      <w:r>
        <w:t>);</w:t>
      </w:r>
      <w:proofErr w:type="gramEnd"/>
    </w:p>
    <w:p w14:paraId="748AA243" w14:textId="77777777" w:rsidR="00523A6D" w:rsidRDefault="00523A6D" w:rsidP="00523A6D">
      <w:pPr>
        <w:pStyle w:val="LI-Sectionsubparai"/>
        <w:ind w:left="3708"/>
      </w:pPr>
      <w:r w:rsidDel="003F2EC8">
        <w:t xml:space="preserve"> </w:t>
      </w:r>
      <w:r>
        <w:t>(ii)</w:t>
      </w:r>
      <w:r>
        <w:tab/>
        <w:t>the retail CCIV (in respect of the sub-fund) acquires any of the following</w:t>
      </w:r>
      <w:r w:rsidRPr="00CF7ED9">
        <w:t xml:space="preserve"> for the dominant purpose of making a financial investment</w:t>
      </w:r>
      <w:r>
        <w:t>:</w:t>
      </w:r>
    </w:p>
    <w:p w14:paraId="057FE7D8" w14:textId="77777777" w:rsidR="00523A6D" w:rsidRDefault="00523A6D" w:rsidP="00523A6D">
      <w:pPr>
        <w:pStyle w:val="LI-SectionsubsubparaA"/>
        <w:ind w:left="4275"/>
      </w:pPr>
      <w:r>
        <w:t>(A)</w:t>
      </w:r>
      <w:r>
        <w:tab/>
        <w:t xml:space="preserve">a credit </w:t>
      </w:r>
      <w:proofErr w:type="gramStart"/>
      <w:r>
        <w:t>facility;</w:t>
      </w:r>
      <w:proofErr w:type="gramEnd"/>
    </w:p>
    <w:p w14:paraId="16EDF48E" w14:textId="77777777" w:rsidR="00523A6D" w:rsidRDefault="00523A6D" w:rsidP="00523A6D">
      <w:pPr>
        <w:pStyle w:val="LI-SectionsubsubparaA"/>
        <w:ind w:left="4275"/>
      </w:pPr>
      <w:r>
        <w:t>(B)</w:t>
      </w:r>
      <w:r>
        <w:tab/>
        <w:t xml:space="preserve">a margin lending </w:t>
      </w:r>
      <w:proofErr w:type="gramStart"/>
      <w:r>
        <w:t>facility;</w:t>
      </w:r>
      <w:proofErr w:type="gramEnd"/>
    </w:p>
    <w:p w14:paraId="41CBB012" w14:textId="77777777" w:rsidR="00523A6D" w:rsidRDefault="00523A6D" w:rsidP="00523A6D">
      <w:pPr>
        <w:pStyle w:val="LI-SectionsubsubparaA"/>
        <w:ind w:left="4275"/>
      </w:pPr>
      <w:r w:rsidRPr="003F5E02">
        <w:t>(C)</w:t>
      </w:r>
      <w:r w:rsidRPr="003F5E02">
        <w:tab/>
        <w:t xml:space="preserve">a </w:t>
      </w:r>
      <w:r>
        <w:t xml:space="preserve">financial product (other than </w:t>
      </w:r>
      <w:proofErr w:type="gramStart"/>
      <w:r>
        <w:t>partly-paid</w:t>
      </w:r>
      <w:proofErr w:type="gramEnd"/>
      <w:r>
        <w:t xml:space="preserve"> securities) the acquisition of which is likely to result in a debt, whether actual, contingent or prospective, owed by the holder of the product to another person</w:t>
      </w:r>
      <w:r w:rsidRPr="003F5E02">
        <w:t>;</w:t>
      </w:r>
    </w:p>
    <w:p w14:paraId="3E2E7D21" w14:textId="77777777" w:rsidR="00523A6D" w:rsidRDefault="00523A6D" w:rsidP="00523A6D">
      <w:pPr>
        <w:pStyle w:val="LI-Sectionsubparai"/>
        <w:ind w:left="3708"/>
      </w:pPr>
      <w:r w:rsidRPr="002A0AD0">
        <w:t>(</w:t>
      </w:r>
      <w:r>
        <w:t>iii)</w:t>
      </w:r>
      <w:r>
        <w:tab/>
        <w:t xml:space="preserve">the retail CCIV (in respect of the sub-fund) </w:t>
      </w:r>
      <w:r w:rsidRPr="002A0AD0">
        <w:t>deal</w:t>
      </w:r>
      <w:r>
        <w:t>s</w:t>
      </w:r>
      <w:r w:rsidRPr="002A0AD0">
        <w:t xml:space="preserve"> in derivatives</w:t>
      </w:r>
      <w:r>
        <w:t xml:space="preserve"> </w:t>
      </w:r>
      <w:r w:rsidRPr="00CD5CDB">
        <w:t xml:space="preserve">excluding dealings covered by one or more of </w:t>
      </w:r>
      <w:r>
        <w:t>the following sub-subparagraphs:</w:t>
      </w:r>
    </w:p>
    <w:p w14:paraId="1883259F" w14:textId="77777777" w:rsidR="00523A6D" w:rsidRDefault="00523A6D" w:rsidP="00523A6D">
      <w:pPr>
        <w:pStyle w:val="LI-SectionsubsubparaA"/>
        <w:ind w:left="4275"/>
      </w:pPr>
      <w:r>
        <w:t>(A)</w:t>
      </w:r>
      <w:r>
        <w:tab/>
      </w:r>
      <w:r w:rsidRPr="00F643EB">
        <w:t xml:space="preserve">the dealing </w:t>
      </w:r>
      <w:r>
        <w:t>is for the dominant purpose of managing foreign exchange or interest rate risk associated with the holding of some or all of the assets of the sub-fund; or</w:t>
      </w:r>
    </w:p>
    <w:p w14:paraId="7A46F4F0" w14:textId="77777777" w:rsidR="00523A6D" w:rsidRDefault="00523A6D" w:rsidP="00523A6D">
      <w:pPr>
        <w:pStyle w:val="LI-SectionsubsubparaA"/>
        <w:ind w:left="4275"/>
      </w:pPr>
      <w:r>
        <w:t>(B)</w:t>
      </w:r>
      <w:r>
        <w:tab/>
        <w:t xml:space="preserve">both of the following apply: </w:t>
      </w:r>
    </w:p>
    <w:p w14:paraId="0F2F9387" w14:textId="77777777" w:rsidR="00523A6D" w:rsidRDefault="00523A6D" w:rsidP="00523A6D">
      <w:pPr>
        <w:pStyle w:val="LI-SectionsubsubsubparaI"/>
        <w:ind w:left="4842"/>
      </w:pPr>
      <w:r>
        <w:t>(I)</w:t>
      </w:r>
      <w:r>
        <w:tab/>
        <w:t xml:space="preserve">the dealing takes place on a financial </w:t>
      </w:r>
      <w:proofErr w:type="gramStart"/>
      <w:r>
        <w:t>market;</w:t>
      </w:r>
      <w:proofErr w:type="gramEnd"/>
    </w:p>
    <w:p w14:paraId="2F3B4ABB" w14:textId="77777777" w:rsidR="00523A6D" w:rsidRDefault="00523A6D" w:rsidP="00523A6D">
      <w:pPr>
        <w:pStyle w:val="LI-SectionsubsubsubparaI"/>
        <w:ind w:left="4842"/>
      </w:pPr>
      <w:r>
        <w:t>(II)</w:t>
      </w:r>
      <w:r>
        <w:tab/>
        <w:t>the dealing is for the dominant purpose of managing the financial risk arising from deferring a proposed dealing in another financial product that is not a derivative for a period of less than 28 </w:t>
      </w:r>
      <w:proofErr w:type="gramStart"/>
      <w:r>
        <w:t>days;</w:t>
      </w:r>
      <w:proofErr w:type="gramEnd"/>
      <w:r>
        <w:t xml:space="preserve"> or</w:t>
      </w:r>
    </w:p>
    <w:p w14:paraId="10AEB39D" w14:textId="77777777" w:rsidR="00523A6D" w:rsidRPr="00757CE1" w:rsidRDefault="00523A6D" w:rsidP="00523A6D">
      <w:pPr>
        <w:pStyle w:val="LI-SectionsubsubparaA"/>
        <w:ind w:left="4275"/>
      </w:pPr>
      <w:r>
        <w:t xml:space="preserve">(C) </w:t>
      </w:r>
      <w:r>
        <w:tab/>
      </w:r>
      <w:r w:rsidRPr="00757CE1">
        <w:t>both of the following apply:</w:t>
      </w:r>
    </w:p>
    <w:p w14:paraId="192D530C" w14:textId="77777777" w:rsidR="00523A6D" w:rsidRPr="00E24540" w:rsidRDefault="00523A6D" w:rsidP="00523A6D">
      <w:pPr>
        <w:pStyle w:val="LI-SectionsubsubsubparaI"/>
        <w:ind w:left="4842"/>
      </w:pPr>
      <w:r w:rsidRPr="00E24540">
        <w:t>(I)</w:t>
      </w:r>
      <w:r w:rsidRPr="00E24540">
        <w:tab/>
        <w:t xml:space="preserve">the dealing takes place on a financial </w:t>
      </w:r>
      <w:proofErr w:type="gramStart"/>
      <w:r w:rsidRPr="00E24540">
        <w:t>market;</w:t>
      </w:r>
      <w:proofErr w:type="gramEnd"/>
    </w:p>
    <w:p w14:paraId="7AD7B1FF" w14:textId="6C9DD622" w:rsidR="00523A6D" w:rsidRPr="00E24540" w:rsidRDefault="00523A6D" w:rsidP="00523A6D">
      <w:pPr>
        <w:pStyle w:val="LI-SectionsubsubsubparaI"/>
        <w:ind w:left="4842"/>
      </w:pPr>
      <w:r w:rsidRPr="00E24540">
        <w:t>(II)</w:t>
      </w:r>
      <w:r w:rsidRPr="00E24540">
        <w:tab/>
        <w:t xml:space="preserve">the notional derivatives exposure of the </w:t>
      </w:r>
      <w:r>
        <w:t xml:space="preserve">retail CCIV (in respect of the sub-fund) </w:t>
      </w:r>
      <w:r w:rsidRPr="00E24540">
        <w:t xml:space="preserve">(excluding derivatives </w:t>
      </w:r>
      <w:r w:rsidRPr="00E24540">
        <w:lastRenderedPageBreak/>
        <w:t xml:space="preserve">covered by sub-subparagraph (A) or (B)) at any point in time does not exceed 10% of the net asset value of the </w:t>
      </w:r>
      <w:r>
        <w:t xml:space="preserve">sub-fund </w:t>
      </w:r>
      <w:r w:rsidRPr="00E24540">
        <w:t xml:space="preserve">at that time unless the exposure is attributable to circumstances that were not  reasonably foreseeable by the </w:t>
      </w:r>
      <w:r>
        <w:t xml:space="preserve">corporate director of the retail </w:t>
      </w:r>
      <w:proofErr w:type="gramStart"/>
      <w:r>
        <w:t>CCIV</w:t>
      </w:r>
      <w:proofErr w:type="gramEnd"/>
      <w:r>
        <w:t xml:space="preserve"> </w:t>
      </w:r>
      <w:r w:rsidRPr="00E24540">
        <w:t>and the exposure is for a period of no more than 3 consecutive business days;</w:t>
      </w:r>
    </w:p>
    <w:p w14:paraId="3FD47E25" w14:textId="77777777" w:rsidR="00523A6D" w:rsidRDefault="00523A6D" w:rsidP="00523A6D">
      <w:pPr>
        <w:pStyle w:val="LI-SectionsubsubparaA"/>
        <w:spacing w:before="200"/>
        <w:ind w:left="4536"/>
      </w:pPr>
      <w:r>
        <w:t>(For the purposes of sub-subparagraph (B):</w:t>
      </w:r>
    </w:p>
    <w:p w14:paraId="55F82AAE" w14:textId="77777777" w:rsidR="00523A6D" w:rsidRDefault="00523A6D" w:rsidP="00523A6D">
      <w:pPr>
        <w:pStyle w:val="LI-SectionsubsubparaA"/>
        <w:spacing w:before="200"/>
        <w:ind w:left="4536"/>
      </w:pPr>
      <w:r w:rsidRPr="007C4C6E">
        <w:t>(</w:t>
      </w:r>
      <w:r>
        <w:t>a</w:t>
      </w:r>
      <w:r w:rsidRPr="007C4C6E">
        <w:t>)</w:t>
      </w:r>
      <w:r w:rsidRPr="007C4C6E">
        <w:tab/>
      </w:r>
      <w:r>
        <w:t>a dealing in a derivative</w:t>
      </w:r>
      <w:r w:rsidRPr="007C4C6E">
        <w:t xml:space="preserve"> for the dominant purpose of managing the financial risk arising from deferring a proposed dealing in another financial product</w:t>
      </w:r>
      <w:r>
        <w:t xml:space="preserve"> that is not a derivative is taken to be </w:t>
      </w:r>
      <w:r w:rsidRPr="007C4C6E">
        <w:t xml:space="preserve">for </w:t>
      </w:r>
      <w:r>
        <w:t xml:space="preserve">a period of deferral of </w:t>
      </w:r>
      <w:r w:rsidRPr="00405B5F">
        <w:t>28 days</w:t>
      </w:r>
      <w:r>
        <w:t xml:space="preserve"> or more if the dealing</w:t>
      </w:r>
      <w:r w:rsidRPr="007C4C6E">
        <w:t xml:space="preserve">, </w:t>
      </w:r>
      <w:r>
        <w:t xml:space="preserve">and </w:t>
      </w:r>
      <w:r w:rsidRPr="007C4C6E">
        <w:t xml:space="preserve">any previous dealing in derivatives that takes place on a financial market, </w:t>
      </w:r>
      <w:r>
        <w:t xml:space="preserve">together are </w:t>
      </w:r>
      <w:r w:rsidRPr="007C4C6E">
        <w:t xml:space="preserve">for the dominant purpose of </w:t>
      </w:r>
      <w:r w:rsidRPr="00C631FF">
        <w:t xml:space="preserve">managing the financial risk arising from deferring </w:t>
      </w:r>
      <w:r>
        <w:t xml:space="preserve">the same </w:t>
      </w:r>
      <w:r w:rsidRPr="00C631FF">
        <w:t xml:space="preserve">proposed dealing in </w:t>
      </w:r>
      <w:r>
        <w:t xml:space="preserve">the </w:t>
      </w:r>
      <w:r w:rsidRPr="00C631FF">
        <w:t xml:space="preserve">other financial product </w:t>
      </w:r>
      <w:r>
        <w:t>for a period of 28 days or more; and</w:t>
      </w:r>
    </w:p>
    <w:p w14:paraId="2C8A3BDD" w14:textId="77777777" w:rsidR="00523A6D" w:rsidRPr="00E24540" w:rsidRDefault="00523A6D" w:rsidP="00523A6D">
      <w:pPr>
        <w:pStyle w:val="LI-SectionsubsubparaA"/>
        <w:spacing w:before="200"/>
        <w:ind w:left="4536" w:right="-227"/>
      </w:pPr>
      <w:r>
        <w:t>(b)</w:t>
      </w:r>
      <w:r>
        <w:tab/>
        <w:t>a dealing in a derivative for the dominant purpose of managing the financial risk arising from deferring a proposed dealing in another financial product is not taken to satisfy the sub-subparagraph merely because the derivative has a term of 28 days or more.)</w:t>
      </w:r>
    </w:p>
    <w:p w14:paraId="4E276147" w14:textId="77777777" w:rsidR="00523A6D" w:rsidRDefault="00523A6D" w:rsidP="00523A6D">
      <w:pPr>
        <w:pStyle w:val="LI-Sectionsubparai"/>
        <w:ind w:left="3708"/>
      </w:pPr>
      <w:r w:rsidRPr="002A0AD0">
        <w:t>(</w:t>
      </w:r>
      <w:r>
        <w:t>iv</w:t>
      </w:r>
      <w:r w:rsidRPr="002A0AD0">
        <w:t>)</w:t>
      </w:r>
      <w:r w:rsidRPr="002A0AD0">
        <w:tab/>
      </w:r>
      <w:r>
        <w:t>the retail CCIV (in respect of the sub-fund) sells financial products, whether in or outside this jurisdiction, in relation to which, at the time of the sale:</w:t>
      </w:r>
    </w:p>
    <w:p w14:paraId="57CBD262" w14:textId="77777777" w:rsidR="00523A6D" w:rsidRDefault="00523A6D" w:rsidP="00523A6D">
      <w:pPr>
        <w:pStyle w:val="LI-SectionsubsubparaA"/>
        <w:ind w:left="4275"/>
      </w:pPr>
      <w:r>
        <w:t>(A)</w:t>
      </w:r>
      <w:r>
        <w:tab/>
        <w:t>the seller does not have a presently exercisable and unconditional right to vest the products in a buyer; or</w:t>
      </w:r>
    </w:p>
    <w:p w14:paraId="4152E187" w14:textId="77777777" w:rsidR="00523A6D" w:rsidRDefault="00523A6D" w:rsidP="00523A6D">
      <w:pPr>
        <w:pStyle w:val="LI-SectionsubsubparaA"/>
        <w:ind w:left="4275"/>
      </w:pPr>
      <w:r>
        <w:t>(B)</w:t>
      </w:r>
      <w:r>
        <w:tab/>
        <w:t xml:space="preserve">the seller </w:t>
      </w:r>
      <w:r w:rsidRPr="00D754ED">
        <w:t>ha</w:t>
      </w:r>
      <w:r>
        <w:t xml:space="preserve">s </w:t>
      </w:r>
      <w:r w:rsidRPr="00D754ED">
        <w:t xml:space="preserve">a presently exercisable and unconditional right to vest the products in a buyer </w:t>
      </w:r>
      <w:r>
        <w:t xml:space="preserve">only because of a securities lending </w:t>
      </w:r>
      <w:proofErr w:type="gramStart"/>
      <w:r>
        <w:t>arrangement;</w:t>
      </w:r>
      <w:proofErr w:type="gramEnd"/>
    </w:p>
    <w:p w14:paraId="23A2CF69" w14:textId="77777777" w:rsidR="00523A6D" w:rsidRDefault="00523A6D" w:rsidP="00523A6D">
      <w:pPr>
        <w:pStyle w:val="LI-Sectionsubparai"/>
        <w:ind w:left="3708"/>
      </w:pPr>
      <w:r>
        <w:lastRenderedPageBreak/>
        <w:t xml:space="preserve">(v)     both </w:t>
      </w:r>
      <w:r w:rsidRPr="00B30714">
        <w:t>of the following are satisfied:</w:t>
      </w:r>
    </w:p>
    <w:p w14:paraId="37FBC10B" w14:textId="6705EF0F" w:rsidR="00523A6D" w:rsidRDefault="00523A6D" w:rsidP="006C7716">
      <w:pPr>
        <w:pStyle w:val="LI-SectionsubsubparaA"/>
        <w:ind w:left="4275"/>
      </w:pPr>
      <w:r>
        <w:t>(A)</w:t>
      </w:r>
      <w:r>
        <w:tab/>
      </w:r>
      <w:r w:rsidRPr="00792CD4">
        <w:t xml:space="preserve">the </w:t>
      </w:r>
      <w:r>
        <w:t>corporate director of the retail CCIV (in respect of the sub-fund)</w:t>
      </w:r>
      <w:r w:rsidRPr="00792CD4">
        <w:t xml:space="preserve"> or a person who manages some or all of the </w:t>
      </w:r>
      <w:r>
        <w:t xml:space="preserve">assets of the sub-fund </w:t>
      </w:r>
      <w:r w:rsidRPr="00792CD4">
        <w:t xml:space="preserve">has rights to be paid fees </w:t>
      </w:r>
      <w:r w:rsidRPr="00B30714">
        <w:t>(</w:t>
      </w:r>
      <w:r w:rsidRPr="006C7716">
        <w:rPr>
          <w:b/>
          <w:i/>
        </w:rPr>
        <w:t>performance fees</w:t>
      </w:r>
      <w:r w:rsidRPr="00B30714">
        <w:t>)</w:t>
      </w:r>
      <w:r>
        <w:t xml:space="preserve"> </w:t>
      </w:r>
      <w:r w:rsidRPr="00792CD4">
        <w:t>substantially based on the performance of th</w:t>
      </w:r>
      <w:r>
        <w:t xml:space="preserve">ose assets </w:t>
      </w:r>
      <w:r w:rsidRPr="00792CD4">
        <w:t xml:space="preserve"> whether or not the </w:t>
      </w:r>
      <w:r>
        <w:t xml:space="preserve">corporate director of the retail CCIV (in respect of the sub-fund) </w:t>
      </w:r>
      <w:r w:rsidRPr="00792CD4">
        <w:t>or the person also has rights to be paid fees substantially based on the gross or net value of all of the</w:t>
      </w:r>
      <w:r>
        <w:t xml:space="preserve"> assets of the sub-fund;</w:t>
      </w:r>
    </w:p>
    <w:p w14:paraId="50298AED" w14:textId="405A1882" w:rsidR="00523A6D" w:rsidRDefault="00523A6D" w:rsidP="006C7716">
      <w:pPr>
        <w:pStyle w:val="LI-SectionsubsubparaA"/>
        <w:ind w:left="4275"/>
      </w:pPr>
      <w:r w:rsidRPr="00405B5F">
        <w:t>(B)</w:t>
      </w:r>
      <w:r w:rsidRPr="00405B5F">
        <w:tab/>
        <w:t xml:space="preserve">the </w:t>
      </w:r>
      <w:r>
        <w:t xml:space="preserve">retail CCIV (in respect of the sub-fund) </w:t>
      </w:r>
      <w:r w:rsidRPr="00405B5F">
        <w:t xml:space="preserve">has made a statement in writing (whether in a Product Disclosure Statement or otherwise) to the effect that performance fees will be payable in the event the </w:t>
      </w:r>
      <w:r>
        <w:t xml:space="preserve">corporate </w:t>
      </w:r>
      <w:proofErr w:type="gramStart"/>
      <w:r>
        <w:t>director</w:t>
      </w:r>
      <w:proofErr w:type="gramEnd"/>
      <w:r>
        <w:t xml:space="preserve"> </w:t>
      </w:r>
      <w:r w:rsidRPr="00405B5F">
        <w:t>or the person satisf</w:t>
      </w:r>
      <w:r>
        <w:t>ies</w:t>
      </w:r>
      <w:r w:rsidRPr="00405B5F">
        <w:t xml:space="preserve"> certain criteria related to the performance of the </w:t>
      </w:r>
      <w:r>
        <w:t xml:space="preserve">assets of the sub-fund </w:t>
      </w:r>
      <w:r w:rsidRPr="00405B5F">
        <w:t>and has not withdrawn that statement.</w:t>
      </w:r>
      <w:r>
        <w:t xml:space="preserve"> </w:t>
      </w:r>
    </w:p>
    <w:p w14:paraId="64C38E52" w14:textId="299C11A8" w:rsidR="00523A6D" w:rsidRDefault="00523A6D" w:rsidP="006C7716">
      <w:pPr>
        <w:pStyle w:val="LI-SectionsubsubparaA"/>
        <w:ind w:left="3708" w:firstLine="0"/>
      </w:pPr>
      <w:r w:rsidRPr="006A6509">
        <w:t>For the purposes of subparagraphs (b)(</w:t>
      </w:r>
      <w:proofErr w:type="spellStart"/>
      <w:r w:rsidRPr="006A6509">
        <w:t>i</w:t>
      </w:r>
      <w:proofErr w:type="spellEnd"/>
      <w:r w:rsidRPr="006A6509">
        <w:t>) to (v), the</w:t>
      </w:r>
      <w:r w:rsidRPr="003C6895">
        <w:t xml:space="preserve"> </w:t>
      </w:r>
      <w:r>
        <w:t xml:space="preserve">retail CCIV (in respect of the sub-fund) </w:t>
      </w:r>
      <w:r w:rsidRPr="003C6895">
        <w:t xml:space="preserve">deals in, acquires or sells a financial product, an economic interest or facility if the </w:t>
      </w:r>
      <w:r>
        <w:t xml:space="preserve">retail CCIV (in respect of the sub-fund) </w:t>
      </w:r>
      <w:r w:rsidRPr="003C6895">
        <w:t xml:space="preserve">does so in relation to the </w:t>
      </w:r>
      <w:r>
        <w:t xml:space="preserve">sub-fund </w:t>
      </w:r>
      <w:r w:rsidRPr="003C6895">
        <w:t xml:space="preserve">(whether directly or through an interposed entity) or the </w:t>
      </w:r>
      <w:r>
        <w:t xml:space="preserve">sub-fund </w:t>
      </w:r>
      <w:r w:rsidRPr="003C6895">
        <w:t xml:space="preserve">is promoted by the </w:t>
      </w:r>
      <w:r>
        <w:t xml:space="preserve">retail CCIV </w:t>
      </w:r>
      <w:r w:rsidRPr="003C6895">
        <w:t>on the basis that it will do so.</w:t>
      </w:r>
    </w:p>
    <w:p w14:paraId="3D37D307" w14:textId="77777777" w:rsidR="00523A6D" w:rsidRPr="00652182" w:rsidRDefault="00523A6D" w:rsidP="006C7716">
      <w:pPr>
        <w:pStyle w:val="LI-Sectionparaa"/>
        <w:ind w:left="2574" w:firstLine="0"/>
      </w:pPr>
      <w:r w:rsidRPr="00652182">
        <w:t xml:space="preserve">For the purposes of determining whether a </w:t>
      </w:r>
      <w:r>
        <w:t xml:space="preserve">CCIV (in respect of a sub-fund) </w:t>
      </w:r>
      <w:r w:rsidRPr="00652182">
        <w:t xml:space="preserve">is covered by two or more subparagraphs of paragraph (b) of this definition, a </w:t>
      </w:r>
      <w:r>
        <w:t xml:space="preserve">retail CCIV </w:t>
      </w:r>
      <w:r w:rsidRPr="00652182">
        <w:t xml:space="preserve">that deals in derivatives which, but for this provision, results in the </w:t>
      </w:r>
      <w:r>
        <w:t xml:space="preserve">retail CCIV </w:t>
      </w:r>
      <w:r w:rsidRPr="00652182">
        <w:t>being covered by:</w:t>
      </w:r>
    </w:p>
    <w:p w14:paraId="21A79B52" w14:textId="77777777" w:rsidR="00523A6D" w:rsidRPr="00E24540" w:rsidRDefault="00523A6D" w:rsidP="006C7716">
      <w:pPr>
        <w:pStyle w:val="LI-BodyTextParaa"/>
        <w:ind w:left="3141"/>
      </w:pPr>
      <w:r w:rsidRPr="00E24540">
        <w:t>(a)</w:t>
      </w:r>
      <w:r w:rsidRPr="00E24540">
        <w:tab/>
        <w:t xml:space="preserve">subparagraph (iii) (the </w:t>
      </w:r>
      <w:r w:rsidRPr="004648A7">
        <w:rPr>
          <w:b/>
          <w:i/>
        </w:rPr>
        <w:t>derivatives limb</w:t>
      </w:r>
      <w:r w:rsidRPr="00E24540">
        <w:t>); and</w:t>
      </w:r>
    </w:p>
    <w:p w14:paraId="35FE6238" w14:textId="77777777" w:rsidR="00523A6D" w:rsidRPr="00E24540" w:rsidRDefault="00523A6D" w:rsidP="006C7716">
      <w:pPr>
        <w:pStyle w:val="LI-BodyTextParaa"/>
        <w:ind w:left="3141"/>
      </w:pPr>
      <w:r w:rsidRPr="00E24540">
        <w:t>(b)</w:t>
      </w:r>
      <w:r w:rsidRPr="00E24540">
        <w:tab/>
        <w:t>either or both of the following:</w:t>
      </w:r>
    </w:p>
    <w:p w14:paraId="7B0AD87B" w14:textId="77777777" w:rsidR="00523A6D" w:rsidRPr="00E24540" w:rsidRDefault="00523A6D" w:rsidP="00D440B5">
      <w:pPr>
        <w:pStyle w:val="LI-Sectionsubparai"/>
        <w:ind w:left="3708"/>
      </w:pPr>
      <w:r w:rsidRPr="00E24540">
        <w:t>(</w:t>
      </w:r>
      <w:proofErr w:type="spellStart"/>
      <w:r w:rsidRPr="00E24540">
        <w:t>i</w:t>
      </w:r>
      <w:proofErr w:type="spellEnd"/>
      <w:r w:rsidRPr="00E24540">
        <w:t>)</w:t>
      </w:r>
      <w:r w:rsidRPr="00E24540">
        <w:tab/>
        <w:t xml:space="preserve">subparagraph (ii) (the </w:t>
      </w:r>
      <w:r w:rsidRPr="00D440B5">
        <w:rPr>
          <w:b/>
          <w:i/>
        </w:rPr>
        <w:t>leverage limb</w:t>
      </w:r>
      <w:proofErr w:type="gramStart"/>
      <w:r w:rsidRPr="00E24540">
        <w:t>);</w:t>
      </w:r>
      <w:proofErr w:type="gramEnd"/>
    </w:p>
    <w:p w14:paraId="6A1FD43A" w14:textId="77777777" w:rsidR="00523A6D" w:rsidRPr="00E24540" w:rsidRDefault="00523A6D" w:rsidP="00D440B5">
      <w:pPr>
        <w:pStyle w:val="LI-Sectionsubparai"/>
        <w:ind w:left="3708"/>
      </w:pPr>
      <w:r w:rsidRPr="00E24540">
        <w:t>(ii)</w:t>
      </w:r>
      <w:r w:rsidRPr="00E24540">
        <w:tab/>
        <w:t xml:space="preserve">subparagraph (iv) (the </w:t>
      </w:r>
      <w:r w:rsidRPr="00D440B5">
        <w:rPr>
          <w:b/>
          <w:i/>
        </w:rPr>
        <w:t>short selling limb</w:t>
      </w:r>
      <w:proofErr w:type="gramStart"/>
      <w:r w:rsidRPr="00E24540">
        <w:t>);</w:t>
      </w:r>
      <w:proofErr w:type="gramEnd"/>
    </w:p>
    <w:p w14:paraId="621DA47D" w14:textId="77777777" w:rsidR="00523A6D" w:rsidRPr="00E24540" w:rsidRDefault="00523A6D" w:rsidP="00A4633E">
      <w:pPr>
        <w:pStyle w:val="LI-Sectionparaa"/>
        <w:ind w:left="2574" w:firstLine="0"/>
      </w:pPr>
      <w:r w:rsidRPr="00E24540">
        <w:t xml:space="preserve">is taken not to be covered by the leverage limb or the short selling limb unless the </w:t>
      </w:r>
      <w:r>
        <w:t xml:space="preserve">retail CCIV </w:t>
      </w:r>
      <w:r w:rsidRPr="00E24540">
        <w:t xml:space="preserve">is covered by the </w:t>
      </w:r>
      <w:r w:rsidRPr="00E24540">
        <w:lastRenderedPageBreak/>
        <w:t>leverage limb or the short selling limb for some other reason.</w:t>
      </w:r>
    </w:p>
    <w:p w14:paraId="263C2D13" w14:textId="77777777" w:rsidR="00523A6D" w:rsidRPr="00E24540" w:rsidRDefault="00523A6D" w:rsidP="00A4633E">
      <w:pPr>
        <w:pStyle w:val="LI-Sectionparaa"/>
        <w:keepNext/>
        <w:ind w:left="2574" w:firstLine="0"/>
      </w:pPr>
      <w:r w:rsidRPr="00E24540">
        <w:t xml:space="preserve">A </w:t>
      </w:r>
      <w:r>
        <w:t xml:space="preserve">retail CCIV (in respect of the sub-fund) </w:t>
      </w:r>
      <w:r w:rsidRPr="00E24540">
        <w:t>is taken to be covered by two or more subparagraphs of paragraph (b) of this definition if all of the following apply:</w:t>
      </w:r>
    </w:p>
    <w:p w14:paraId="6D99E753" w14:textId="56259E21" w:rsidR="00523A6D" w:rsidRDefault="00523A6D" w:rsidP="00A4633E">
      <w:pPr>
        <w:pStyle w:val="LI-BodyTextParaa"/>
        <w:ind w:left="3141"/>
      </w:pPr>
      <w:r w:rsidRPr="00E11CA6">
        <w:t>(a)</w:t>
      </w:r>
      <w:r>
        <w:tab/>
      </w:r>
      <w:r w:rsidRPr="00E11CA6">
        <w:t xml:space="preserve">the </w:t>
      </w:r>
      <w:r>
        <w:t>retail CCIV (in respect of the sub-fund)</w:t>
      </w:r>
      <w:r w:rsidR="00A4633E">
        <w:t xml:space="preserve"> </w:t>
      </w:r>
      <w:r w:rsidRPr="00E11CA6">
        <w:t>and</w:t>
      </w:r>
      <w:r>
        <w:t>:</w:t>
      </w:r>
    </w:p>
    <w:p w14:paraId="444C488C" w14:textId="4932F9C0" w:rsidR="00523A6D" w:rsidRPr="00A76575" w:rsidRDefault="00523A6D" w:rsidP="00A4633E">
      <w:pPr>
        <w:pStyle w:val="LI-Sectionsubparai"/>
        <w:ind w:left="3708"/>
      </w:pPr>
      <w:r w:rsidRPr="00A76575">
        <w:t>(</w:t>
      </w:r>
      <w:proofErr w:type="spellStart"/>
      <w:r w:rsidRPr="00A76575">
        <w:t>i</w:t>
      </w:r>
      <w:proofErr w:type="spellEnd"/>
      <w:r w:rsidRPr="00A76575">
        <w:t xml:space="preserve">) </w:t>
      </w:r>
      <w:r w:rsidRPr="00A76575">
        <w:tab/>
        <w:t xml:space="preserve">any other entity (including, for the avoidance of doubt, a registered scheme or foreign entity); or </w:t>
      </w:r>
    </w:p>
    <w:p w14:paraId="3D880431" w14:textId="4A765FB7" w:rsidR="00523A6D" w:rsidRDefault="00523A6D" w:rsidP="00A4633E">
      <w:pPr>
        <w:pStyle w:val="LI-Sectionsubparai"/>
        <w:ind w:left="3708"/>
      </w:pPr>
      <w:r w:rsidRPr="00A76575">
        <w:t xml:space="preserve">(ii) </w:t>
      </w:r>
      <w:r w:rsidRPr="00A76575">
        <w:tab/>
        <w:t xml:space="preserve">a sub-fund of </w:t>
      </w:r>
      <w:r w:rsidR="003839B2">
        <w:t xml:space="preserve">any other </w:t>
      </w:r>
      <w:r w:rsidRPr="00A76575">
        <w:t xml:space="preserve">retail </w:t>
      </w:r>
      <w:proofErr w:type="gramStart"/>
      <w:r w:rsidRPr="00A76575">
        <w:t>CCIV;</w:t>
      </w:r>
      <w:proofErr w:type="gramEnd"/>
      <w:r>
        <w:t xml:space="preserve"> </w:t>
      </w:r>
    </w:p>
    <w:p w14:paraId="2615A3C5" w14:textId="3F1AD83B" w:rsidR="00523A6D" w:rsidRPr="00E11CA6" w:rsidRDefault="00523A6D" w:rsidP="00A4633E">
      <w:pPr>
        <w:pStyle w:val="LI-Sectionsubparai"/>
        <w:ind w:left="3141" w:firstLine="0"/>
      </w:pPr>
      <w:r w:rsidRPr="00E11CA6">
        <w:t xml:space="preserve">through which the </w:t>
      </w:r>
      <w:r>
        <w:t xml:space="preserve">retail CCIV </w:t>
      </w:r>
      <w:r w:rsidRPr="00E11CA6">
        <w:t>acquires an economic interest in financial products, taken together, would be covered by two or more of those sub</w:t>
      </w:r>
      <w:r w:rsidR="006E6F2F">
        <w:t>-</w:t>
      </w:r>
      <w:proofErr w:type="gramStart"/>
      <w:r w:rsidRPr="00E11CA6">
        <w:t>paragraphs;</w:t>
      </w:r>
      <w:proofErr w:type="gramEnd"/>
    </w:p>
    <w:p w14:paraId="2738797C" w14:textId="77777777" w:rsidR="00523A6D" w:rsidRPr="00E11CA6" w:rsidRDefault="00523A6D" w:rsidP="00A4633E">
      <w:pPr>
        <w:pStyle w:val="LI-BodyTextParaa"/>
        <w:ind w:left="3141"/>
      </w:pPr>
      <w:r w:rsidRPr="00E11CA6">
        <w:t>(b)</w:t>
      </w:r>
      <w:r>
        <w:tab/>
      </w:r>
      <w:r w:rsidRPr="00E11CA6">
        <w:t xml:space="preserve">the </w:t>
      </w:r>
      <w:r>
        <w:t>retail CCIV (in respect of the sub-fund)</w:t>
      </w:r>
      <w:r w:rsidRPr="00E11CA6">
        <w:t xml:space="preserve">, taken alone, would not be covered by two or more of those </w:t>
      </w:r>
      <w:proofErr w:type="gramStart"/>
      <w:r w:rsidRPr="00E11CA6">
        <w:t>subparagraphs;</w:t>
      </w:r>
      <w:proofErr w:type="gramEnd"/>
    </w:p>
    <w:p w14:paraId="3C995760" w14:textId="3CEF378D" w:rsidR="00523A6D" w:rsidRDefault="00523A6D" w:rsidP="00A4633E">
      <w:pPr>
        <w:pStyle w:val="LI-BodyTextParaa"/>
        <w:ind w:left="3141"/>
      </w:pPr>
      <w:r w:rsidRPr="00E11CA6">
        <w:t>(c)</w:t>
      </w:r>
      <w:r>
        <w:tab/>
      </w:r>
      <w:r w:rsidRPr="00E11CA6">
        <w:t xml:space="preserve">a reasonable person would conclude that </w:t>
      </w:r>
      <w:r>
        <w:t xml:space="preserve">the use of one or more </w:t>
      </w:r>
      <w:r w:rsidRPr="00054FB1">
        <w:t>of those other entities</w:t>
      </w:r>
      <w:r>
        <w:t xml:space="preserve"> </w:t>
      </w:r>
      <w:r w:rsidR="009F5F13">
        <w:t xml:space="preserve">or sub-funds </w:t>
      </w:r>
      <w:r>
        <w:t xml:space="preserve">as a means </w:t>
      </w:r>
      <w:r w:rsidRPr="00183D5D">
        <w:t>through</w:t>
      </w:r>
      <w:r>
        <w:t xml:space="preserve"> which the retail CCIV (in respect of the sub-fund) acquires an economic interest in financial products is for the sole or dominant purpose of bringing</w:t>
      </w:r>
      <w:r w:rsidRPr="00E11CA6">
        <w:t xml:space="preserve"> about a result that the</w:t>
      </w:r>
      <w:r w:rsidR="00A4633E">
        <w:t xml:space="preserve"> </w:t>
      </w:r>
      <w:r>
        <w:t>retail CCIV (in respect of a sub-fund)</w:t>
      </w:r>
      <w:r w:rsidRPr="00E11CA6">
        <w:t>, taken alone, would not be covered by two or more of those subparagraphs.</w:t>
      </w:r>
    </w:p>
    <w:p w14:paraId="1D22C544" w14:textId="20AE2137" w:rsidR="00D94A4C" w:rsidRPr="00D94A4C" w:rsidRDefault="00D94A4C" w:rsidP="00D94A4C">
      <w:pPr>
        <w:pStyle w:val="LI-Sectionparaa"/>
        <w:keepNext/>
        <w:ind w:left="2574" w:firstLine="0"/>
        <w:rPr>
          <w:b/>
          <w:i/>
        </w:rPr>
      </w:pPr>
      <w:r w:rsidRPr="00D132D3">
        <w:rPr>
          <w:b/>
          <w:i/>
        </w:rPr>
        <w:t>interposed entity</w:t>
      </w:r>
      <w:r w:rsidRPr="00D94A4C">
        <w:t>, in relation to a retail CCIV (in respect of a sub-fund), means an entity that is interposed between the retail CCIV and a financial product in which the retail CCIV (in respect of a sub-fund) has an economic interest</w:t>
      </w:r>
      <w:r w:rsidR="004B57CC">
        <w:t>,</w:t>
      </w:r>
      <w:r w:rsidRPr="00D94A4C">
        <w:t xml:space="preserve"> but does not include:</w:t>
      </w:r>
    </w:p>
    <w:p w14:paraId="59F68B6E" w14:textId="77777777" w:rsidR="00D94A4C" w:rsidRDefault="00D94A4C" w:rsidP="00D94A4C">
      <w:pPr>
        <w:pStyle w:val="LI-BodyTextParaa"/>
        <w:ind w:left="3141"/>
      </w:pPr>
      <w:r>
        <w:t>(a)</w:t>
      </w:r>
      <w:r>
        <w:tab/>
      </w:r>
      <w:r w:rsidRPr="00D132D3">
        <w:t>a registered scheme; or</w:t>
      </w:r>
    </w:p>
    <w:p w14:paraId="624FF0F9" w14:textId="77777777" w:rsidR="00D94A4C" w:rsidRDefault="00D94A4C" w:rsidP="00D94A4C">
      <w:pPr>
        <w:pStyle w:val="LI-BodyTextParaa"/>
        <w:ind w:left="3141"/>
      </w:pPr>
      <w:r w:rsidRPr="00080361">
        <w:t>(b</w:t>
      </w:r>
      <w:r>
        <w:t>)</w:t>
      </w:r>
      <w:r>
        <w:tab/>
      </w:r>
      <w:r w:rsidRPr="00080361">
        <w:t>a notified foreign passport fund; or</w:t>
      </w:r>
    </w:p>
    <w:p w14:paraId="2FDC5D85" w14:textId="77777777" w:rsidR="00D94A4C" w:rsidRPr="00D132D3" w:rsidRDefault="00D94A4C" w:rsidP="00D94A4C">
      <w:pPr>
        <w:pStyle w:val="LI-BodyTextParaa"/>
        <w:ind w:left="3141"/>
      </w:pPr>
      <w:r>
        <w:t>(c)</w:t>
      </w:r>
      <w:r>
        <w:tab/>
        <w:t xml:space="preserve">a CCIV; or </w:t>
      </w:r>
    </w:p>
    <w:p w14:paraId="33FC81B9" w14:textId="77777777" w:rsidR="00D94A4C" w:rsidRPr="00D132D3" w:rsidRDefault="00D94A4C" w:rsidP="00D94A4C">
      <w:pPr>
        <w:pStyle w:val="LI-BodyTextParaa"/>
        <w:ind w:left="3141"/>
      </w:pPr>
      <w:r w:rsidRPr="00D132D3">
        <w:t>(</w:t>
      </w:r>
      <w:r>
        <w:t>d</w:t>
      </w:r>
      <w:r w:rsidRPr="00D132D3">
        <w:t>)</w:t>
      </w:r>
      <w:r>
        <w:tab/>
        <w:t>an entity</w:t>
      </w:r>
      <w:r w:rsidRPr="00D132D3">
        <w:t xml:space="preserve"> which:</w:t>
      </w:r>
    </w:p>
    <w:p w14:paraId="790957D7" w14:textId="77777777" w:rsidR="00D94A4C" w:rsidRPr="00D132D3" w:rsidRDefault="00D94A4C" w:rsidP="00D94A4C">
      <w:pPr>
        <w:pStyle w:val="LI-Sectionsubparai"/>
        <w:ind w:left="3708"/>
      </w:pPr>
      <w:r w:rsidRPr="00D132D3">
        <w:t>(</w:t>
      </w:r>
      <w:proofErr w:type="spellStart"/>
      <w:r w:rsidRPr="00D132D3">
        <w:t>i</w:t>
      </w:r>
      <w:proofErr w:type="spellEnd"/>
      <w:r w:rsidRPr="00D132D3">
        <w:t>)</w:t>
      </w:r>
      <w:r w:rsidRPr="00D132D3">
        <w:tab/>
        <w:t>is incorporated</w:t>
      </w:r>
      <w:r>
        <w:t>,</w:t>
      </w:r>
      <w:r w:rsidRPr="00D132D3">
        <w:t xml:space="preserve"> </w:t>
      </w:r>
      <w:proofErr w:type="gramStart"/>
      <w:r w:rsidRPr="00D132D3">
        <w:t>formed</w:t>
      </w:r>
      <w:proofErr w:type="gramEnd"/>
      <w:r w:rsidRPr="00D132D3">
        <w:t xml:space="preserve"> </w:t>
      </w:r>
      <w:r>
        <w:t xml:space="preserve">or registered </w:t>
      </w:r>
      <w:r w:rsidRPr="00D132D3">
        <w:t xml:space="preserve">in </w:t>
      </w:r>
      <w:r>
        <w:t>a foreign jurisdiction in relation to which a prescribed foreign regulatory authority regulates financial services</w:t>
      </w:r>
      <w:r w:rsidRPr="00D132D3">
        <w:t>; and</w:t>
      </w:r>
    </w:p>
    <w:p w14:paraId="767BD7CD" w14:textId="77777777" w:rsidR="00D94A4C" w:rsidRPr="00183D5D" w:rsidRDefault="00D94A4C" w:rsidP="00D94A4C">
      <w:pPr>
        <w:pStyle w:val="LI-Sectionsubparai"/>
        <w:ind w:left="3708"/>
      </w:pPr>
      <w:r w:rsidRPr="00D132D3">
        <w:t>(ii)</w:t>
      </w:r>
      <w:r w:rsidRPr="00D132D3">
        <w:tab/>
      </w:r>
      <w:r>
        <w:t>either:</w:t>
      </w:r>
    </w:p>
    <w:p w14:paraId="0812C7B1" w14:textId="77777777" w:rsidR="00D94A4C" w:rsidRDefault="00D94A4C" w:rsidP="00D94A4C">
      <w:pPr>
        <w:pStyle w:val="LI-SectionsubsubparaA"/>
        <w:ind w:left="4275"/>
      </w:pPr>
      <w:r>
        <w:lastRenderedPageBreak/>
        <w:t>(A)</w:t>
      </w:r>
      <w:r>
        <w:tab/>
        <w:t>is, or whose operator is, specifically authorised by that regulatory authority to make offers of financial products that comprise rights or interests in the entity to the general public in that foreign jurisdiction; or</w:t>
      </w:r>
    </w:p>
    <w:p w14:paraId="53837A49" w14:textId="77777777" w:rsidR="00D94A4C" w:rsidRPr="00D94A4C" w:rsidRDefault="00D94A4C" w:rsidP="00D94A4C">
      <w:pPr>
        <w:pStyle w:val="LI-SectionsubsubparaA"/>
        <w:ind w:left="4275"/>
      </w:pPr>
      <w:r>
        <w:t>(B)</w:t>
      </w:r>
      <w:r>
        <w:tab/>
        <w:t xml:space="preserve">is, or whose operator is, specifically authorised to make offers of financial products that comprise rights or </w:t>
      </w:r>
      <w:r w:rsidRPr="00405B5F">
        <w:t>interests in the entity to the general public in another foreign jurisdiction by a prescribed foreign regulatory authority that regulates financial services in that other jurisdiction</w:t>
      </w:r>
      <w:r>
        <w:t>.</w:t>
      </w:r>
    </w:p>
    <w:p w14:paraId="75F72A11" w14:textId="01B4F544" w:rsidR="00D94A4C" w:rsidRPr="00D94A4C" w:rsidRDefault="00D94A4C" w:rsidP="00D94A4C">
      <w:pPr>
        <w:pStyle w:val="LI-Sectionparaa"/>
        <w:keepNext/>
        <w:ind w:left="2574" w:firstLine="0"/>
        <w:rPr>
          <w:b/>
          <w:i/>
        </w:rPr>
      </w:pPr>
      <w:r w:rsidRPr="00B30714">
        <w:rPr>
          <w:b/>
          <w:i/>
        </w:rPr>
        <w:t>net asset value</w:t>
      </w:r>
      <w:r w:rsidRPr="00D94A4C">
        <w:t xml:space="preserve">, in relation to a sub-fund of a retail CCIV, means the value of the assets of the sub-fund less the value of the liabilities of the sub-fund (other than liabilities to members as members of the sub-fund), as they would appear on a balance sheet at the time of calculation made up for </w:t>
      </w:r>
      <w:proofErr w:type="spellStart"/>
      <w:r w:rsidRPr="00D94A4C">
        <w:t>lodgment</w:t>
      </w:r>
      <w:proofErr w:type="spellEnd"/>
      <w:r w:rsidRPr="00D94A4C">
        <w:t xml:space="preserve"> as part of a financial report under Chapter 2M of the Act.</w:t>
      </w:r>
    </w:p>
    <w:p w14:paraId="2615CF6E" w14:textId="77777777" w:rsidR="00D94A4C" w:rsidRPr="00604565" w:rsidRDefault="00D94A4C" w:rsidP="00604565">
      <w:pPr>
        <w:pStyle w:val="LI-Sectionparaa"/>
        <w:keepNext/>
        <w:ind w:left="2574" w:firstLine="0"/>
        <w:rPr>
          <w:b/>
          <w:i/>
        </w:rPr>
      </w:pPr>
      <w:r>
        <w:rPr>
          <w:b/>
          <w:i/>
        </w:rPr>
        <w:t>notional derivatives exposure</w:t>
      </w:r>
      <w:r w:rsidRPr="00604565">
        <w:t>, in relation to a retail CCIV (in respect of a sub-fund), means the absolute sum of:</w:t>
      </w:r>
    </w:p>
    <w:p w14:paraId="2DC36F2D" w14:textId="77777777" w:rsidR="00D94A4C" w:rsidRDefault="00D94A4C" w:rsidP="00604565">
      <w:pPr>
        <w:pStyle w:val="LI-BodyTextParaa"/>
        <w:ind w:left="3141"/>
      </w:pPr>
      <w:r>
        <w:t>(a)</w:t>
      </w:r>
      <w:r>
        <w:tab/>
        <w:t>the face value of, or the notional amount in respect of, each derivative as at the date on which the derivative is entered into, held by the retail CCIV (in respect of the sub-fund) that gives rise to an exposure (</w:t>
      </w:r>
      <w:r w:rsidRPr="005F674A">
        <w:rPr>
          <w:b/>
          <w:i/>
        </w:rPr>
        <w:t>long exposure</w:t>
      </w:r>
      <w:r>
        <w:t>) because the retail CCIV (in respect of the sub-fund) would benefit by an increase in the price or value of the underlying or reference asset to which the derivative relates; and</w:t>
      </w:r>
    </w:p>
    <w:p w14:paraId="3D8CDE60" w14:textId="77777777" w:rsidR="00D94A4C" w:rsidRDefault="00D94A4C" w:rsidP="00604565">
      <w:pPr>
        <w:pStyle w:val="LI-BodyTextParaa"/>
        <w:ind w:left="3141"/>
      </w:pPr>
      <w:r>
        <w:t>(b)</w:t>
      </w:r>
      <w:r>
        <w:tab/>
        <w:t>the face value of, or the notional amount in respect of, each derivative as at the date on which the derivative is entered into,</w:t>
      </w:r>
      <w:r w:rsidRPr="005A3530">
        <w:t xml:space="preserve"> </w:t>
      </w:r>
      <w:r w:rsidRPr="00A6602C">
        <w:t xml:space="preserve">held by the </w:t>
      </w:r>
      <w:r>
        <w:t xml:space="preserve">retail CCIV (in respect of the sub-fund) </w:t>
      </w:r>
      <w:r w:rsidRPr="00FB2906">
        <w:t>that gives rise to an exposure (</w:t>
      </w:r>
      <w:r w:rsidRPr="005F674A">
        <w:rPr>
          <w:b/>
          <w:i/>
        </w:rPr>
        <w:t>short exposure</w:t>
      </w:r>
      <w:r w:rsidRPr="00FB2906">
        <w:t xml:space="preserve">) </w:t>
      </w:r>
      <w:r>
        <w:t xml:space="preserve">because </w:t>
      </w:r>
      <w:r w:rsidRPr="00A6602C">
        <w:t xml:space="preserve">the </w:t>
      </w:r>
      <w:r>
        <w:t xml:space="preserve">retail CCIV (in respect of the sub-fund) </w:t>
      </w:r>
      <w:r w:rsidRPr="00A6602C">
        <w:t xml:space="preserve">would benefit by a </w:t>
      </w:r>
      <w:r>
        <w:t>decrease</w:t>
      </w:r>
      <w:r w:rsidRPr="00A6602C">
        <w:t xml:space="preserve"> in the price or value of the </w:t>
      </w:r>
      <w:r>
        <w:t xml:space="preserve">underlying or reference </w:t>
      </w:r>
      <w:r w:rsidRPr="00A6602C">
        <w:t>asset to which the derivative relates</w:t>
      </w:r>
      <w:r>
        <w:t>;</w:t>
      </w:r>
    </w:p>
    <w:p w14:paraId="603BD839" w14:textId="77777777" w:rsidR="00D94A4C" w:rsidRDefault="00D94A4C" w:rsidP="00604565">
      <w:pPr>
        <w:pStyle w:val="LI-BodyTextSubsubparaA"/>
        <w:ind w:left="3141"/>
      </w:pPr>
      <w:r>
        <w:t>adjusted as follows:</w:t>
      </w:r>
    </w:p>
    <w:p w14:paraId="72E2EA41" w14:textId="77777777" w:rsidR="00D94A4C" w:rsidRDefault="00D94A4C" w:rsidP="00604565">
      <w:pPr>
        <w:pStyle w:val="LI-BodyTextParaa"/>
        <w:ind w:left="3141"/>
      </w:pPr>
      <w:r w:rsidRPr="00652182">
        <w:t>(c)</w:t>
      </w:r>
      <w:r w:rsidRPr="00652182">
        <w:tab/>
        <w:t xml:space="preserve">if a derivative gives rise to a long exposure and another derivative gives rise to a short exposure, and both derivatives are otherwise on the same terms and relate to an underlying or reference asset of the same </w:t>
      </w:r>
      <w:r w:rsidRPr="00652182">
        <w:lastRenderedPageBreak/>
        <w:t>class, the face value of, or notional amount in respect of, each derivative is to be offset against each other.</w:t>
      </w:r>
    </w:p>
    <w:p w14:paraId="4D933A62" w14:textId="10A244E2" w:rsidR="000A20DB" w:rsidRDefault="001D69AB" w:rsidP="001D69AB">
      <w:pPr>
        <w:pStyle w:val="LI-Sectionparaa"/>
        <w:keepNext/>
        <w:ind w:left="2574" w:firstLine="0"/>
      </w:pPr>
      <w:r w:rsidRPr="00774FB4">
        <w:rPr>
          <w:b/>
          <w:i/>
        </w:rPr>
        <w:t>prescribed foreign regulatory authority</w:t>
      </w:r>
      <w:r w:rsidRPr="001D69AB">
        <w:rPr>
          <w:b/>
          <w:i/>
        </w:rPr>
        <w:t xml:space="preserve"> </w:t>
      </w:r>
      <w:r w:rsidRPr="001D69AB">
        <w:t>has the same meaning as in regulation 7.9.11S of the Regulations.</w:t>
      </w:r>
    </w:p>
    <w:p w14:paraId="3C395C6E" w14:textId="7091F044" w:rsidR="001D69AB" w:rsidRDefault="001D69AB" w:rsidP="001D69AB">
      <w:pPr>
        <w:pStyle w:val="LI-Sectionparaa"/>
        <w:keepNext/>
        <w:ind w:left="2574" w:firstLine="0"/>
      </w:pPr>
      <w:r w:rsidRPr="00B30714">
        <w:rPr>
          <w:b/>
          <w:i/>
        </w:rPr>
        <w:t>prescribed published index</w:t>
      </w:r>
      <w:r w:rsidRPr="00702625">
        <w:t xml:space="preserve"> </w:t>
      </w:r>
      <w:r>
        <w:t>has the same meaning as in regulation 7.9.11S of the Regulations.</w:t>
      </w:r>
    </w:p>
    <w:p w14:paraId="29BB5B83" w14:textId="65F6880E" w:rsidR="001D69AB" w:rsidRDefault="001D69AB" w:rsidP="001D69AB">
      <w:pPr>
        <w:pStyle w:val="LI-Sectionparaa"/>
        <w:keepNext/>
        <w:ind w:left="2574" w:firstLine="0"/>
      </w:pPr>
      <w:r>
        <w:rPr>
          <w:b/>
          <w:i/>
        </w:rPr>
        <w:t>securities lending</w:t>
      </w:r>
      <w:r w:rsidRPr="00E072B2">
        <w:rPr>
          <w:b/>
          <w:i/>
        </w:rPr>
        <w:t xml:space="preserve"> arrangement</w:t>
      </w:r>
      <w:r>
        <w:t xml:space="preserve"> has the same meaning as in regulation 7.9.11S of the Regulations.</w:t>
      </w:r>
    </w:p>
    <w:p w14:paraId="3DCE66C4" w14:textId="1D3568ED" w:rsidR="001D69AB" w:rsidRPr="001D69AB" w:rsidRDefault="001D69AB" w:rsidP="001D69AB">
      <w:pPr>
        <w:pStyle w:val="LI-Sectionparaa"/>
        <w:keepNext/>
        <w:ind w:left="2574" w:firstLine="0"/>
        <w:rPr>
          <w:b/>
        </w:rPr>
      </w:pPr>
      <w:r w:rsidRPr="002F6958">
        <w:rPr>
          <w:b/>
          <w:i/>
        </w:rPr>
        <w:t xml:space="preserve">simple sub-fund </w:t>
      </w:r>
      <w:r w:rsidRPr="002F6958">
        <w:t xml:space="preserve">means a sub-fund of a retail CCIV </w:t>
      </w:r>
      <w:r>
        <w:t>in respect of</w:t>
      </w:r>
      <w:r w:rsidRPr="002F6958">
        <w:t xml:space="preserve"> which a simple sub-fund product is </w:t>
      </w:r>
      <w:r>
        <w:t>referable.”</w:t>
      </w:r>
      <w:r w:rsidR="00133B34">
        <w:t>.</w:t>
      </w:r>
    </w:p>
    <w:p w14:paraId="549BC1EB" w14:textId="7D2D3124" w:rsidR="00C630B5" w:rsidRDefault="002F1ECE" w:rsidP="00C630B5">
      <w:pPr>
        <w:pStyle w:val="LI-BodyTextNumbered"/>
        <w:ind w:left="567"/>
        <w:rPr>
          <w:b/>
        </w:rPr>
      </w:pPr>
      <w:r>
        <w:rPr>
          <w:b/>
        </w:rPr>
        <w:t>59</w:t>
      </w:r>
      <w:r w:rsidR="00C630B5">
        <w:rPr>
          <w:b/>
        </w:rPr>
        <w:tab/>
        <w:t xml:space="preserve">Subsection 5(3) </w:t>
      </w:r>
    </w:p>
    <w:p w14:paraId="6C3A032E" w14:textId="78B9DF0B" w:rsidR="00C630B5" w:rsidRDefault="00C630B5" w:rsidP="00C630B5">
      <w:pPr>
        <w:pStyle w:val="LI-BodyTextUnnumbered"/>
      </w:pPr>
      <w:r>
        <w:t xml:space="preserve">Repeal the subsection, substitute: </w:t>
      </w:r>
    </w:p>
    <w:p w14:paraId="787C3541" w14:textId="1E9945D3" w:rsidR="00283261" w:rsidRDefault="00283261" w:rsidP="00283261">
      <w:pPr>
        <w:pStyle w:val="LI-BodyTextNumbered"/>
        <w:ind w:left="2007"/>
      </w:pPr>
      <w:r>
        <w:t>(</w:t>
      </w:r>
      <w:r w:rsidR="00C73213">
        <w:t>3</w:t>
      </w:r>
      <w:r>
        <w:t xml:space="preserve">) </w:t>
      </w:r>
      <w:r w:rsidRPr="00183D5D">
        <w:tab/>
        <w:t xml:space="preserve">Part 7.9 of the Act applies in relation to </w:t>
      </w:r>
      <w:r>
        <w:t>a responsible entity of a simple managed investment scheme</w:t>
      </w:r>
      <w:r w:rsidRPr="00183D5D">
        <w:t xml:space="preserve"> </w:t>
      </w:r>
      <w:r>
        <w:t xml:space="preserve">and </w:t>
      </w:r>
      <w:r w:rsidRPr="00F57F23">
        <w:t>a</w:t>
      </w:r>
      <w:r>
        <w:t xml:space="preserve"> retail CCIV in respect of a simple sub-fund </w:t>
      </w:r>
      <w:r w:rsidRPr="00183D5D">
        <w:t>as if the Regulations were modified or varied by, after Schedule 10</w:t>
      </w:r>
      <w:r>
        <w:t>F</w:t>
      </w:r>
      <w:r w:rsidRPr="00183D5D">
        <w:t>, inserting:</w:t>
      </w:r>
    </w:p>
    <w:p w14:paraId="5013FA9E" w14:textId="77777777" w:rsidR="00283261" w:rsidRPr="00F35EE4" w:rsidRDefault="00283261" w:rsidP="00283261">
      <w:pPr>
        <w:pStyle w:val="ListB"/>
        <w:spacing w:before="240"/>
        <w:ind w:left="3850" w:hanging="1843"/>
      </w:pPr>
      <w:r w:rsidRPr="00183D5D">
        <w:t>“</w:t>
      </w:r>
      <w:r w:rsidRPr="00C66FE0">
        <w:rPr>
          <w:b/>
        </w:rPr>
        <w:t>Schedule 10</w:t>
      </w:r>
      <w:r>
        <w:rPr>
          <w:b/>
        </w:rPr>
        <w:t>G</w:t>
      </w:r>
      <w:r w:rsidRPr="00C66FE0">
        <w:rPr>
          <w:b/>
        </w:rPr>
        <w:t xml:space="preserve"> </w:t>
      </w:r>
      <w:r w:rsidRPr="00C66FE0">
        <w:rPr>
          <w:b/>
        </w:rPr>
        <w:tab/>
        <w:t>Prescribed foreign regulatory authorities</w:t>
      </w:r>
      <w:r w:rsidRPr="00C66FE0">
        <w:rPr>
          <w:b/>
        </w:rPr>
        <w:br/>
      </w:r>
      <w:r w:rsidRPr="00C66FE0">
        <w:rPr>
          <w:sz w:val="20"/>
        </w:rPr>
        <w:t>(</w:t>
      </w:r>
      <w:proofErr w:type="spellStart"/>
      <w:r w:rsidRPr="00C66FE0">
        <w:rPr>
          <w:sz w:val="20"/>
        </w:rPr>
        <w:t>subregulation</w:t>
      </w:r>
      <w:r>
        <w:rPr>
          <w:sz w:val="20"/>
        </w:rPr>
        <w:t>s</w:t>
      </w:r>
      <w:proofErr w:type="spellEnd"/>
      <w:r w:rsidRPr="00C66FE0">
        <w:rPr>
          <w:sz w:val="20"/>
        </w:rPr>
        <w:t xml:space="preserve"> 7.9.11S(</w:t>
      </w:r>
      <w:r>
        <w:rPr>
          <w:sz w:val="20"/>
        </w:rPr>
        <w:t>7</w:t>
      </w:r>
      <w:r w:rsidRPr="00C66FE0">
        <w:rPr>
          <w:sz w:val="20"/>
        </w:rPr>
        <w:t>)</w:t>
      </w:r>
      <w:r w:rsidRPr="005062BB">
        <w:rPr>
          <w:sz w:val="20"/>
        </w:rPr>
        <w:t xml:space="preserve"> </w:t>
      </w:r>
      <w:r>
        <w:rPr>
          <w:sz w:val="20"/>
        </w:rPr>
        <w:t>and 7.9.11ZA(7)</w:t>
      </w:r>
      <w:r w:rsidRPr="00C66FE0">
        <w:rPr>
          <w:sz w:val="20"/>
        </w:rPr>
        <w:t>)</w:t>
      </w:r>
    </w:p>
    <w:p w14:paraId="298270EB" w14:textId="77777777" w:rsidR="00283261" w:rsidRPr="00774FB4" w:rsidRDefault="00283261" w:rsidP="00283261">
      <w:pPr>
        <w:pBdr>
          <w:bottom w:val="single" w:sz="4" w:space="1" w:color="auto"/>
        </w:pBdr>
        <w:ind w:left="3141" w:hanging="992"/>
        <w:rPr>
          <w:b/>
          <w:sz w:val="20"/>
        </w:rPr>
      </w:pPr>
      <w:r w:rsidRPr="00774FB4">
        <w:rPr>
          <w:b/>
          <w:sz w:val="20"/>
        </w:rPr>
        <w:t>Item</w:t>
      </w:r>
      <w:r>
        <w:rPr>
          <w:b/>
          <w:sz w:val="20"/>
        </w:rPr>
        <w:tab/>
      </w:r>
      <w:r w:rsidRPr="00774FB4">
        <w:rPr>
          <w:b/>
          <w:sz w:val="20"/>
        </w:rPr>
        <w:t>Foreign regulatory authorit</w:t>
      </w:r>
      <w:r w:rsidRPr="00183D5D">
        <w:rPr>
          <w:b/>
          <w:sz w:val="20"/>
        </w:rPr>
        <w:t>ies</w:t>
      </w:r>
    </w:p>
    <w:p w14:paraId="0C32A1F8" w14:textId="77777777" w:rsidR="00283261" w:rsidRPr="00774FB4" w:rsidRDefault="00283261" w:rsidP="00283261">
      <w:pPr>
        <w:ind w:left="3141" w:hanging="992"/>
        <w:rPr>
          <w:sz w:val="20"/>
        </w:rPr>
      </w:pPr>
      <w:r w:rsidRPr="00774FB4">
        <w:rPr>
          <w:sz w:val="20"/>
        </w:rPr>
        <w:t>1</w:t>
      </w:r>
      <w:r w:rsidRPr="00774FB4">
        <w:rPr>
          <w:sz w:val="20"/>
        </w:rPr>
        <w:tab/>
      </w:r>
      <w:r w:rsidRPr="001B680D">
        <w:rPr>
          <w:sz w:val="20"/>
        </w:rPr>
        <w:t>Alberta Securities Commission</w:t>
      </w:r>
    </w:p>
    <w:p w14:paraId="0D7C5C39" w14:textId="77777777" w:rsidR="00283261" w:rsidRPr="001B680D" w:rsidRDefault="00283261" w:rsidP="00283261">
      <w:pPr>
        <w:ind w:left="3141" w:hanging="992"/>
        <w:rPr>
          <w:sz w:val="20"/>
        </w:rPr>
      </w:pPr>
      <w:r w:rsidRPr="00774FB4">
        <w:rPr>
          <w:sz w:val="20"/>
        </w:rPr>
        <w:t>2</w:t>
      </w:r>
      <w:r w:rsidRPr="00774FB4">
        <w:rPr>
          <w:sz w:val="20"/>
        </w:rPr>
        <w:tab/>
      </w:r>
      <w:proofErr w:type="spellStart"/>
      <w:r w:rsidRPr="001B680D">
        <w:rPr>
          <w:sz w:val="20"/>
        </w:rPr>
        <w:t>Finanzmarktaufsicht</w:t>
      </w:r>
      <w:proofErr w:type="spellEnd"/>
      <w:r>
        <w:rPr>
          <w:sz w:val="20"/>
        </w:rPr>
        <w:t xml:space="preserve"> </w:t>
      </w:r>
      <w:r w:rsidRPr="000F4F7B">
        <w:rPr>
          <w:sz w:val="20"/>
        </w:rPr>
        <w:t>(Financial Market Authority (Austria))</w:t>
      </w:r>
    </w:p>
    <w:p w14:paraId="76EAA1DD" w14:textId="231D6820" w:rsidR="00283261" w:rsidRPr="001B680D" w:rsidRDefault="00283261" w:rsidP="00283261">
      <w:pPr>
        <w:ind w:left="3141" w:hanging="992"/>
        <w:rPr>
          <w:sz w:val="20"/>
        </w:rPr>
      </w:pPr>
      <w:r>
        <w:rPr>
          <w:sz w:val="20"/>
        </w:rPr>
        <w:t>3</w:t>
      </w:r>
      <w:r>
        <w:rPr>
          <w:b/>
          <w:sz w:val="20"/>
        </w:rPr>
        <w:tab/>
      </w:r>
      <w:r w:rsidRPr="001B680D">
        <w:rPr>
          <w:sz w:val="20"/>
        </w:rPr>
        <w:t>Financial Services and Markets Authority</w:t>
      </w:r>
      <w:r>
        <w:rPr>
          <w:sz w:val="20"/>
        </w:rPr>
        <w:t xml:space="preserve"> </w:t>
      </w:r>
      <w:r w:rsidRPr="000F4F7B">
        <w:rPr>
          <w:sz w:val="20"/>
        </w:rPr>
        <w:t>(Belgium)</w:t>
      </w:r>
    </w:p>
    <w:p w14:paraId="22508D1A" w14:textId="77777777" w:rsidR="00283261" w:rsidRPr="001B680D" w:rsidRDefault="00283261" w:rsidP="00283261">
      <w:pPr>
        <w:ind w:left="3141" w:hanging="992"/>
        <w:rPr>
          <w:sz w:val="20"/>
        </w:rPr>
      </w:pPr>
      <w:r>
        <w:rPr>
          <w:sz w:val="20"/>
        </w:rPr>
        <w:t>4</w:t>
      </w:r>
      <w:r>
        <w:rPr>
          <w:sz w:val="20"/>
        </w:rPr>
        <w:tab/>
      </w:r>
      <w:r w:rsidRPr="001B680D">
        <w:rPr>
          <w:sz w:val="20"/>
        </w:rPr>
        <w:t>British Columbia Securities Commission</w:t>
      </w:r>
    </w:p>
    <w:p w14:paraId="0741F4FE" w14:textId="77777777" w:rsidR="00283261" w:rsidRPr="001B680D" w:rsidRDefault="00283261" w:rsidP="00283261">
      <w:pPr>
        <w:ind w:left="3141" w:hanging="992"/>
        <w:rPr>
          <w:sz w:val="20"/>
        </w:rPr>
      </w:pPr>
      <w:r w:rsidRPr="00E112A1">
        <w:rPr>
          <w:sz w:val="20"/>
        </w:rPr>
        <w:t>5</w:t>
      </w:r>
      <w:r>
        <w:rPr>
          <w:b/>
          <w:sz w:val="20"/>
        </w:rPr>
        <w:tab/>
      </w:r>
      <w:r w:rsidRPr="001B680D">
        <w:rPr>
          <w:sz w:val="20"/>
        </w:rPr>
        <w:t>Financial Supervision Commission</w:t>
      </w:r>
      <w:r>
        <w:rPr>
          <w:sz w:val="20"/>
        </w:rPr>
        <w:t xml:space="preserve"> (Bulgaria)</w:t>
      </w:r>
    </w:p>
    <w:p w14:paraId="08605FE3" w14:textId="77777777" w:rsidR="00283261" w:rsidRPr="001B680D" w:rsidRDefault="00283261" w:rsidP="00283261">
      <w:pPr>
        <w:ind w:left="3141" w:hanging="992"/>
        <w:rPr>
          <w:sz w:val="20"/>
        </w:rPr>
      </w:pPr>
      <w:r>
        <w:rPr>
          <w:sz w:val="20"/>
        </w:rPr>
        <w:t>6</w:t>
      </w:r>
      <w:r>
        <w:rPr>
          <w:sz w:val="20"/>
        </w:rPr>
        <w:tab/>
      </w:r>
      <w:r w:rsidRPr="001B680D">
        <w:rPr>
          <w:sz w:val="20"/>
        </w:rPr>
        <w:t>Cyprus Securities and Exchange Commission</w:t>
      </w:r>
    </w:p>
    <w:p w14:paraId="744B3000" w14:textId="77777777" w:rsidR="00283261" w:rsidRPr="001B680D" w:rsidRDefault="00283261" w:rsidP="00283261">
      <w:pPr>
        <w:ind w:left="3141" w:hanging="992"/>
        <w:rPr>
          <w:sz w:val="20"/>
        </w:rPr>
      </w:pPr>
      <w:r>
        <w:rPr>
          <w:sz w:val="20"/>
        </w:rPr>
        <w:t>7</w:t>
      </w:r>
      <w:r>
        <w:rPr>
          <w:sz w:val="20"/>
        </w:rPr>
        <w:tab/>
      </w:r>
      <w:r w:rsidRPr="001B680D">
        <w:rPr>
          <w:sz w:val="20"/>
        </w:rPr>
        <w:t>Czech National Bank</w:t>
      </w:r>
    </w:p>
    <w:p w14:paraId="037D541C" w14:textId="77777777" w:rsidR="00283261" w:rsidRPr="001B680D" w:rsidRDefault="00283261" w:rsidP="00283261">
      <w:pPr>
        <w:ind w:left="3141" w:hanging="992"/>
        <w:rPr>
          <w:sz w:val="20"/>
        </w:rPr>
      </w:pPr>
      <w:r w:rsidRPr="00E112A1">
        <w:rPr>
          <w:sz w:val="20"/>
        </w:rPr>
        <w:t>8</w:t>
      </w:r>
      <w:r>
        <w:rPr>
          <w:b/>
          <w:sz w:val="20"/>
        </w:rPr>
        <w:tab/>
      </w:r>
      <w:proofErr w:type="spellStart"/>
      <w:r w:rsidRPr="001B680D">
        <w:rPr>
          <w:sz w:val="20"/>
        </w:rPr>
        <w:t>Finanstilsynet</w:t>
      </w:r>
      <w:proofErr w:type="spellEnd"/>
      <w:r>
        <w:rPr>
          <w:sz w:val="20"/>
        </w:rPr>
        <w:t xml:space="preserve"> </w:t>
      </w:r>
      <w:r w:rsidRPr="00A06403">
        <w:rPr>
          <w:sz w:val="20"/>
        </w:rPr>
        <w:t>(</w:t>
      </w:r>
      <w:r w:rsidRPr="004C6A5F">
        <w:rPr>
          <w:sz w:val="20"/>
        </w:rPr>
        <w:t xml:space="preserve">Danish </w:t>
      </w:r>
      <w:r w:rsidRPr="00A06403">
        <w:rPr>
          <w:sz w:val="20"/>
        </w:rPr>
        <w:t>Financial Supervisory Authority)</w:t>
      </w:r>
    </w:p>
    <w:p w14:paraId="7A105D0E" w14:textId="77777777" w:rsidR="00283261" w:rsidRPr="001B680D" w:rsidRDefault="00283261" w:rsidP="00283261">
      <w:pPr>
        <w:ind w:left="3141" w:hanging="992"/>
        <w:rPr>
          <w:sz w:val="20"/>
        </w:rPr>
      </w:pPr>
      <w:r>
        <w:rPr>
          <w:sz w:val="20"/>
        </w:rPr>
        <w:t>9</w:t>
      </w:r>
      <w:r>
        <w:rPr>
          <w:sz w:val="20"/>
        </w:rPr>
        <w:tab/>
      </w:r>
      <w:r w:rsidRPr="001B680D">
        <w:rPr>
          <w:sz w:val="20"/>
        </w:rPr>
        <w:t>Dubai Financial Services Authority</w:t>
      </w:r>
    </w:p>
    <w:p w14:paraId="60CEECB4" w14:textId="77777777" w:rsidR="00283261" w:rsidRPr="001B680D" w:rsidRDefault="00283261" w:rsidP="00283261">
      <w:pPr>
        <w:ind w:left="3141" w:hanging="992"/>
        <w:rPr>
          <w:sz w:val="20"/>
        </w:rPr>
      </w:pPr>
      <w:r>
        <w:rPr>
          <w:sz w:val="20"/>
        </w:rPr>
        <w:t>10</w:t>
      </w:r>
      <w:r>
        <w:rPr>
          <w:sz w:val="20"/>
        </w:rPr>
        <w:tab/>
      </w:r>
      <w:r w:rsidRPr="001B680D">
        <w:rPr>
          <w:sz w:val="20"/>
        </w:rPr>
        <w:t>Estonian Financial Supervision Authority</w:t>
      </w:r>
    </w:p>
    <w:p w14:paraId="7D5B90BA" w14:textId="77777777" w:rsidR="00283261" w:rsidRDefault="00283261" w:rsidP="00283261">
      <w:pPr>
        <w:ind w:left="3141" w:hanging="992"/>
        <w:rPr>
          <w:sz w:val="20"/>
        </w:rPr>
      </w:pPr>
      <w:r>
        <w:rPr>
          <w:sz w:val="20"/>
        </w:rPr>
        <w:t>11</w:t>
      </w:r>
      <w:r>
        <w:rPr>
          <w:sz w:val="20"/>
        </w:rPr>
        <w:tab/>
      </w:r>
      <w:proofErr w:type="spellStart"/>
      <w:r w:rsidRPr="00E112A1">
        <w:rPr>
          <w:sz w:val="20"/>
        </w:rPr>
        <w:t>Finanssivalvonta</w:t>
      </w:r>
      <w:proofErr w:type="spellEnd"/>
      <w:r w:rsidRPr="00E112A1">
        <w:rPr>
          <w:sz w:val="20"/>
        </w:rPr>
        <w:t xml:space="preserve"> </w:t>
      </w:r>
      <w:r>
        <w:rPr>
          <w:sz w:val="20"/>
        </w:rPr>
        <w:t>(</w:t>
      </w:r>
      <w:r w:rsidRPr="003D5C96">
        <w:rPr>
          <w:sz w:val="20"/>
        </w:rPr>
        <w:t>Financial Supervisory Authority</w:t>
      </w:r>
      <w:r>
        <w:rPr>
          <w:sz w:val="20"/>
        </w:rPr>
        <w:t xml:space="preserve"> (Finland))</w:t>
      </w:r>
    </w:p>
    <w:p w14:paraId="3CCC1985" w14:textId="50A039F3" w:rsidR="00283261" w:rsidRPr="00E112A1" w:rsidRDefault="00283261" w:rsidP="00283261">
      <w:pPr>
        <w:ind w:left="3141" w:hanging="992"/>
        <w:rPr>
          <w:sz w:val="20"/>
        </w:rPr>
      </w:pPr>
      <w:r>
        <w:rPr>
          <w:sz w:val="20"/>
        </w:rPr>
        <w:t>12</w:t>
      </w:r>
      <w:r>
        <w:rPr>
          <w:sz w:val="20"/>
        </w:rPr>
        <w:tab/>
      </w:r>
      <w:proofErr w:type="spellStart"/>
      <w:r w:rsidRPr="00E112A1">
        <w:rPr>
          <w:sz w:val="20"/>
        </w:rPr>
        <w:t>Autorité</w:t>
      </w:r>
      <w:proofErr w:type="spellEnd"/>
      <w:r w:rsidRPr="00E112A1">
        <w:rPr>
          <w:sz w:val="20"/>
        </w:rPr>
        <w:t xml:space="preserve"> des </w:t>
      </w:r>
      <w:proofErr w:type="spellStart"/>
      <w:r w:rsidRPr="00E112A1">
        <w:rPr>
          <w:sz w:val="20"/>
        </w:rPr>
        <w:t>Marchés</w:t>
      </w:r>
      <w:proofErr w:type="spellEnd"/>
      <w:r w:rsidRPr="00E112A1">
        <w:rPr>
          <w:sz w:val="20"/>
        </w:rPr>
        <w:t xml:space="preserve"> Financiers </w:t>
      </w:r>
      <w:r>
        <w:rPr>
          <w:sz w:val="20"/>
        </w:rPr>
        <w:t>(</w:t>
      </w:r>
      <w:r w:rsidRPr="00711DA3">
        <w:rPr>
          <w:sz w:val="20"/>
        </w:rPr>
        <w:t>Financial Market</w:t>
      </w:r>
      <w:r>
        <w:rPr>
          <w:sz w:val="20"/>
        </w:rPr>
        <w:t>s</w:t>
      </w:r>
      <w:r w:rsidRPr="00711DA3">
        <w:rPr>
          <w:sz w:val="20"/>
        </w:rPr>
        <w:t xml:space="preserve"> Authority</w:t>
      </w:r>
      <w:r>
        <w:rPr>
          <w:sz w:val="20"/>
        </w:rPr>
        <w:t xml:space="preserve"> (France))</w:t>
      </w:r>
    </w:p>
    <w:p w14:paraId="7CFBD728" w14:textId="781C6D71" w:rsidR="00283261" w:rsidRPr="001B680D" w:rsidRDefault="00283261" w:rsidP="00283261">
      <w:pPr>
        <w:ind w:left="3141" w:hanging="992"/>
        <w:rPr>
          <w:sz w:val="20"/>
        </w:rPr>
      </w:pPr>
      <w:r>
        <w:rPr>
          <w:sz w:val="20"/>
        </w:rPr>
        <w:t>13</w:t>
      </w:r>
      <w:r>
        <w:rPr>
          <w:sz w:val="20"/>
        </w:rPr>
        <w:tab/>
      </w:r>
      <w:proofErr w:type="spellStart"/>
      <w:r w:rsidRPr="001B680D">
        <w:rPr>
          <w:sz w:val="20"/>
        </w:rPr>
        <w:t>Bundesanstalt</w:t>
      </w:r>
      <w:proofErr w:type="spellEnd"/>
      <w:r w:rsidRPr="001B680D">
        <w:rPr>
          <w:sz w:val="20"/>
        </w:rPr>
        <w:t xml:space="preserve"> für </w:t>
      </w:r>
      <w:proofErr w:type="spellStart"/>
      <w:r w:rsidRPr="001B680D">
        <w:rPr>
          <w:sz w:val="20"/>
        </w:rPr>
        <w:t>Finanzdienstleistungsaufsicht</w:t>
      </w:r>
      <w:proofErr w:type="spellEnd"/>
      <w:r w:rsidR="00133B34">
        <w:rPr>
          <w:sz w:val="20"/>
        </w:rPr>
        <w:t xml:space="preserve"> </w:t>
      </w:r>
      <w:r>
        <w:rPr>
          <w:sz w:val="20"/>
        </w:rPr>
        <w:t>(</w:t>
      </w:r>
      <w:r w:rsidRPr="0006716A">
        <w:rPr>
          <w:sz w:val="20"/>
        </w:rPr>
        <w:t>Federal Financial Supervisory Authority</w:t>
      </w:r>
      <w:r>
        <w:rPr>
          <w:sz w:val="20"/>
        </w:rPr>
        <w:t xml:space="preserve"> (Germany))</w:t>
      </w:r>
    </w:p>
    <w:p w14:paraId="647A238C" w14:textId="77777777" w:rsidR="00283261" w:rsidRPr="001B680D" w:rsidRDefault="00283261" w:rsidP="00283261">
      <w:pPr>
        <w:ind w:left="3141" w:hanging="992"/>
        <w:rPr>
          <w:sz w:val="20"/>
        </w:rPr>
      </w:pPr>
      <w:r w:rsidRPr="001B680D">
        <w:rPr>
          <w:sz w:val="20"/>
        </w:rPr>
        <w:t>1</w:t>
      </w:r>
      <w:r>
        <w:rPr>
          <w:sz w:val="20"/>
        </w:rPr>
        <w:t>4</w:t>
      </w:r>
      <w:r w:rsidRPr="001B680D">
        <w:rPr>
          <w:sz w:val="20"/>
        </w:rPr>
        <w:tab/>
        <w:t>Hellenic Capital Market Commission</w:t>
      </w:r>
      <w:r>
        <w:rPr>
          <w:sz w:val="20"/>
        </w:rPr>
        <w:t xml:space="preserve"> (Greece)</w:t>
      </w:r>
    </w:p>
    <w:p w14:paraId="3CB2A22D" w14:textId="77777777" w:rsidR="00283261" w:rsidRPr="001B680D" w:rsidRDefault="00283261" w:rsidP="00283261">
      <w:pPr>
        <w:ind w:left="3141" w:hanging="992"/>
        <w:rPr>
          <w:sz w:val="20"/>
        </w:rPr>
      </w:pPr>
      <w:r>
        <w:rPr>
          <w:sz w:val="20"/>
        </w:rPr>
        <w:t>15</w:t>
      </w:r>
      <w:r>
        <w:rPr>
          <w:sz w:val="20"/>
        </w:rPr>
        <w:tab/>
      </w:r>
      <w:r w:rsidRPr="001B680D">
        <w:rPr>
          <w:sz w:val="20"/>
        </w:rPr>
        <w:t>Guernsey Financial Services Commission</w:t>
      </w:r>
    </w:p>
    <w:p w14:paraId="2C047CE7" w14:textId="77777777" w:rsidR="00283261" w:rsidRPr="001B680D" w:rsidRDefault="00283261" w:rsidP="00283261">
      <w:pPr>
        <w:ind w:left="3141" w:hanging="992"/>
        <w:rPr>
          <w:sz w:val="20"/>
        </w:rPr>
      </w:pPr>
      <w:r>
        <w:rPr>
          <w:sz w:val="20"/>
        </w:rPr>
        <w:t>16</w:t>
      </w:r>
      <w:r>
        <w:rPr>
          <w:sz w:val="20"/>
        </w:rPr>
        <w:tab/>
      </w:r>
      <w:r w:rsidRPr="001B680D">
        <w:rPr>
          <w:sz w:val="20"/>
        </w:rPr>
        <w:t>Securities and Futures Commission</w:t>
      </w:r>
      <w:r w:rsidRPr="00A03E18">
        <w:rPr>
          <w:sz w:val="20"/>
        </w:rPr>
        <w:t xml:space="preserve"> </w:t>
      </w:r>
      <w:r>
        <w:rPr>
          <w:sz w:val="20"/>
        </w:rPr>
        <w:t>(</w:t>
      </w:r>
      <w:r w:rsidRPr="001B680D">
        <w:rPr>
          <w:sz w:val="20"/>
        </w:rPr>
        <w:t>Hong Kong</w:t>
      </w:r>
      <w:r>
        <w:rPr>
          <w:sz w:val="20"/>
        </w:rPr>
        <w:t>)</w:t>
      </w:r>
    </w:p>
    <w:p w14:paraId="43387A9E" w14:textId="19CE2784" w:rsidR="00283261" w:rsidRPr="001B680D" w:rsidRDefault="00283261" w:rsidP="00283261">
      <w:pPr>
        <w:ind w:left="3141" w:hanging="992"/>
        <w:rPr>
          <w:sz w:val="20"/>
        </w:rPr>
      </w:pPr>
      <w:r>
        <w:rPr>
          <w:sz w:val="20"/>
        </w:rPr>
        <w:t>17</w:t>
      </w:r>
      <w:r w:rsidRPr="001B680D">
        <w:rPr>
          <w:sz w:val="20"/>
        </w:rPr>
        <w:tab/>
      </w:r>
      <w:proofErr w:type="spellStart"/>
      <w:r w:rsidRPr="001B680D">
        <w:rPr>
          <w:sz w:val="20"/>
        </w:rPr>
        <w:t>Pénzügyi</w:t>
      </w:r>
      <w:proofErr w:type="spellEnd"/>
      <w:r w:rsidRPr="001B680D">
        <w:rPr>
          <w:sz w:val="20"/>
        </w:rPr>
        <w:t xml:space="preserve"> </w:t>
      </w:r>
      <w:proofErr w:type="spellStart"/>
      <w:r w:rsidRPr="001B680D">
        <w:rPr>
          <w:sz w:val="20"/>
        </w:rPr>
        <w:t>Szervezetek</w:t>
      </w:r>
      <w:proofErr w:type="spellEnd"/>
      <w:r w:rsidRPr="001B680D">
        <w:rPr>
          <w:sz w:val="20"/>
        </w:rPr>
        <w:t xml:space="preserve"> </w:t>
      </w:r>
      <w:proofErr w:type="spellStart"/>
      <w:r w:rsidRPr="001B680D">
        <w:rPr>
          <w:sz w:val="20"/>
        </w:rPr>
        <w:t>Állami</w:t>
      </w:r>
      <w:proofErr w:type="spellEnd"/>
      <w:r w:rsidRPr="001B680D">
        <w:rPr>
          <w:sz w:val="20"/>
        </w:rPr>
        <w:t xml:space="preserve"> </w:t>
      </w:r>
      <w:proofErr w:type="spellStart"/>
      <w:r w:rsidRPr="001B680D">
        <w:rPr>
          <w:sz w:val="20"/>
        </w:rPr>
        <w:t>Felügyelete</w:t>
      </w:r>
      <w:proofErr w:type="spellEnd"/>
      <w:r w:rsidRPr="001B680D">
        <w:rPr>
          <w:sz w:val="20"/>
        </w:rPr>
        <w:t xml:space="preserve"> </w:t>
      </w:r>
      <w:r w:rsidR="00724863">
        <w:rPr>
          <w:sz w:val="20"/>
        </w:rPr>
        <w:t>(</w:t>
      </w:r>
      <w:r w:rsidRPr="008662C0">
        <w:rPr>
          <w:sz w:val="20"/>
        </w:rPr>
        <w:t>Hungarian Financial Supervisory Authority</w:t>
      </w:r>
      <w:r w:rsidR="00724863">
        <w:rPr>
          <w:sz w:val="20"/>
        </w:rPr>
        <w:t>)</w:t>
      </w:r>
    </w:p>
    <w:p w14:paraId="68C4CAED" w14:textId="77777777" w:rsidR="00283261" w:rsidRPr="001B680D" w:rsidRDefault="00283261" w:rsidP="00283261">
      <w:pPr>
        <w:ind w:left="3141" w:hanging="992"/>
        <w:rPr>
          <w:sz w:val="20"/>
        </w:rPr>
      </w:pPr>
      <w:r>
        <w:rPr>
          <w:sz w:val="20"/>
        </w:rPr>
        <w:t>18</w:t>
      </w:r>
      <w:r w:rsidRPr="001B680D">
        <w:rPr>
          <w:sz w:val="20"/>
        </w:rPr>
        <w:tab/>
      </w:r>
      <w:proofErr w:type="spellStart"/>
      <w:r w:rsidRPr="001B680D">
        <w:rPr>
          <w:sz w:val="20"/>
        </w:rPr>
        <w:t>Fjármálaeftirlitið</w:t>
      </w:r>
      <w:proofErr w:type="spellEnd"/>
      <w:r w:rsidRPr="001B680D">
        <w:rPr>
          <w:sz w:val="20"/>
        </w:rPr>
        <w:t xml:space="preserve"> </w:t>
      </w:r>
      <w:r>
        <w:rPr>
          <w:sz w:val="20"/>
        </w:rPr>
        <w:t>(</w:t>
      </w:r>
      <w:r w:rsidRPr="00B30D2C">
        <w:rPr>
          <w:sz w:val="20"/>
        </w:rPr>
        <w:t>Financial Supervisory Authority</w:t>
      </w:r>
      <w:r>
        <w:rPr>
          <w:sz w:val="20"/>
        </w:rPr>
        <w:t xml:space="preserve"> (Iceland))</w:t>
      </w:r>
    </w:p>
    <w:p w14:paraId="60A9C388" w14:textId="77777777" w:rsidR="00283261" w:rsidRPr="00E112A1" w:rsidRDefault="00283261" w:rsidP="00283261">
      <w:pPr>
        <w:ind w:left="3141" w:hanging="992"/>
        <w:rPr>
          <w:sz w:val="20"/>
        </w:rPr>
      </w:pPr>
      <w:r>
        <w:rPr>
          <w:sz w:val="20"/>
        </w:rPr>
        <w:t>19</w:t>
      </w:r>
      <w:r>
        <w:rPr>
          <w:sz w:val="20"/>
        </w:rPr>
        <w:tab/>
      </w:r>
      <w:r w:rsidRPr="00E112A1">
        <w:rPr>
          <w:sz w:val="20"/>
        </w:rPr>
        <w:t>Central Bank of Ireland</w:t>
      </w:r>
    </w:p>
    <w:p w14:paraId="6BBF25A6" w14:textId="77777777" w:rsidR="00283261" w:rsidRPr="001B680D" w:rsidRDefault="00283261" w:rsidP="00283261">
      <w:pPr>
        <w:ind w:left="3141" w:hanging="992"/>
        <w:rPr>
          <w:sz w:val="20"/>
        </w:rPr>
      </w:pPr>
      <w:r>
        <w:rPr>
          <w:sz w:val="20"/>
        </w:rPr>
        <w:t>20</w:t>
      </w:r>
      <w:r w:rsidRPr="001B680D">
        <w:rPr>
          <w:sz w:val="20"/>
        </w:rPr>
        <w:tab/>
        <w:t xml:space="preserve">Isle of Man Financial </w:t>
      </w:r>
      <w:r>
        <w:rPr>
          <w:sz w:val="20"/>
        </w:rPr>
        <w:t>Services Authority</w:t>
      </w:r>
    </w:p>
    <w:p w14:paraId="1F144B11" w14:textId="77777777" w:rsidR="00283261" w:rsidRPr="001B680D" w:rsidRDefault="00283261" w:rsidP="00283261">
      <w:pPr>
        <w:ind w:left="3141" w:hanging="992"/>
        <w:rPr>
          <w:sz w:val="20"/>
        </w:rPr>
      </w:pPr>
      <w:r w:rsidRPr="001B680D">
        <w:rPr>
          <w:sz w:val="20"/>
        </w:rPr>
        <w:t>2</w:t>
      </w:r>
      <w:r>
        <w:rPr>
          <w:sz w:val="20"/>
        </w:rPr>
        <w:t>1</w:t>
      </w:r>
      <w:r w:rsidRPr="001B680D">
        <w:rPr>
          <w:sz w:val="20"/>
        </w:rPr>
        <w:tab/>
        <w:t>Israel Securities Authority</w:t>
      </w:r>
    </w:p>
    <w:p w14:paraId="68908518" w14:textId="311F6CA4" w:rsidR="00283261" w:rsidRDefault="00283261" w:rsidP="00283261">
      <w:pPr>
        <w:ind w:left="3141" w:hanging="992"/>
        <w:rPr>
          <w:sz w:val="20"/>
        </w:rPr>
      </w:pPr>
      <w:r w:rsidRPr="001B680D">
        <w:rPr>
          <w:sz w:val="20"/>
        </w:rPr>
        <w:lastRenderedPageBreak/>
        <w:t>2</w:t>
      </w:r>
      <w:r>
        <w:rPr>
          <w:sz w:val="20"/>
        </w:rPr>
        <w:t>2</w:t>
      </w:r>
      <w:r w:rsidRPr="001B680D">
        <w:rPr>
          <w:sz w:val="20"/>
        </w:rPr>
        <w:tab/>
      </w:r>
      <w:proofErr w:type="spellStart"/>
      <w:r w:rsidRPr="001B680D">
        <w:rPr>
          <w:sz w:val="20"/>
        </w:rPr>
        <w:t>Commissione</w:t>
      </w:r>
      <w:proofErr w:type="spellEnd"/>
      <w:r w:rsidRPr="001B680D">
        <w:rPr>
          <w:sz w:val="20"/>
        </w:rPr>
        <w:t xml:space="preserve"> Nazionale per le </w:t>
      </w:r>
      <w:proofErr w:type="spellStart"/>
      <w:r w:rsidRPr="001B680D">
        <w:rPr>
          <w:sz w:val="20"/>
        </w:rPr>
        <w:t>Società</w:t>
      </w:r>
      <w:proofErr w:type="spellEnd"/>
      <w:r w:rsidRPr="001B680D">
        <w:rPr>
          <w:sz w:val="20"/>
        </w:rPr>
        <w:t xml:space="preserve"> e la </w:t>
      </w:r>
      <w:proofErr w:type="spellStart"/>
      <w:r w:rsidRPr="001B680D">
        <w:rPr>
          <w:sz w:val="20"/>
        </w:rPr>
        <w:t>Borsa</w:t>
      </w:r>
      <w:proofErr w:type="spellEnd"/>
      <w:r w:rsidR="008B004E">
        <w:rPr>
          <w:sz w:val="20"/>
        </w:rPr>
        <w:t xml:space="preserve"> </w:t>
      </w:r>
      <w:r>
        <w:rPr>
          <w:sz w:val="20"/>
        </w:rPr>
        <w:t>(</w:t>
      </w:r>
      <w:r w:rsidRPr="004F1146">
        <w:rPr>
          <w:sz w:val="20"/>
        </w:rPr>
        <w:t>Italian Companies and Exchange Commission</w:t>
      </w:r>
      <w:r>
        <w:rPr>
          <w:sz w:val="20"/>
        </w:rPr>
        <w:t>)</w:t>
      </w:r>
    </w:p>
    <w:p w14:paraId="0B4ED339" w14:textId="77777777" w:rsidR="00283261" w:rsidRDefault="00283261" w:rsidP="00283261">
      <w:pPr>
        <w:ind w:left="3141" w:hanging="992"/>
        <w:rPr>
          <w:sz w:val="20"/>
        </w:rPr>
      </w:pPr>
      <w:r>
        <w:rPr>
          <w:sz w:val="20"/>
        </w:rPr>
        <w:t>23</w:t>
      </w:r>
      <w:r>
        <w:rPr>
          <w:sz w:val="20"/>
        </w:rPr>
        <w:tab/>
      </w:r>
      <w:r w:rsidRPr="00E112A1">
        <w:rPr>
          <w:sz w:val="20"/>
        </w:rPr>
        <w:t xml:space="preserve">Financial Services Agency </w:t>
      </w:r>
      <w:r>
        <w:rPr>
          <w:sz w:val="20"/>
        </w:rPr>
        <w:t>(</w:t>
      </w:r>
      <w:r w:rsidRPr="00E112A1">
        <w:rPr>
          <w:sz w:val="20"/>
        </w:rPr>
        <w:t>Japan</w:t>
      </w:r>
      <w:r>
        <w:rPr>
          <w:sz w:val="20"/>
        </w:rPr>
        <w:t>)</w:t>
      </w:r>
    </w:p>
    <w:p w14:paraId="6A09DB97" w14:textId="77777777" w:rsidR="00283261" w:rsidRPr="00E112A1" w:rsidRDefault="00283261" w:rsidP="00283261">
      <w:pPr>
        <w:ind w:left="3141" w:hanging="992"/>
        <w:rPr>
          <w:sz w:val="20"/>
        </w:rPr>
      </w:pPr>
      <w:r>
        <w:rPr>
          <w:sz w:val="20"/>
        </w:rPr>
        <w:t>24</w:t>
      </w:r>
      <w:r w:rsidRPr="00E112A1">
        <w:rPr>
          <w:sz w:val="20"/>
        </w:rPr>
        <w:tab/>
        <w:t>Jersey Financial Services Commission</w:t>
      </w:r>
    </w:p>
    <w:p w14:paraId="173A1E4D" w14:textId="77777777" w:rsidR="00283261" w:rsidRPr="001B680D" w:rsidRDefault="00283261" w:rsidP="00283261">
      <w:pPr>
        <w:ind w:left="3141" w:hanging="992"/>
        <w:rPr>
          <w:sz w:val="20"/>
        </w:rPr>
      </w:pPr>
      <w:r w:rsidRPr="001B680D">
        <w:rPr>
          <w:sz w:val="20"/>
        </w:rPr>
        <w:t>2</w:t>
      </w:r>
      <w:r>
        <w:rPr>
          <w:sz w:val="20"/>
        </w:rPr>
        <w:t>5</w:t>
      </w:r>
      <w:r w:rsidRPr="001B680D">
        <w:rPr>
          <w:sz w:val="20"/>
        </w:rPr>
        <w:tab/>
      </w:r>
      <w:proofErr w:type="spellStart"/>
      <w:r w:rsidRPr="001B680D">
        <w:rPr>
          <w:sz w:val="20"/>
        </w:rPr>
        <w:t>Finanšu</w:t>
      </w:r>
      <w:proofErr w:type="spellEnd"/>
      <w:r w:rsidRPr="001B680D">
        <w:rPr>
          <w:sz w:val="20"/>
        </w:rPr>
        <w:t xml:space="preserve"> un </w:t>
      </w:r>
      <w:proofErr w:type="spellStart"/>
      <w:r w:rsidRPr="001B680D">
        <w:rPr>
          <w:sz w:val="20"/>
        </w:rPr>
        <w:t>kapitāla</w:t>
      </w:r>
      <w:proofErr w:type="spellEnd"/>
      <w:r w:rsidRPr="001B680D">
        <w:rPr>
          <w:sz w:val="20"/>
        </w:rPr>
        <w:t xml:space="preserve"> </w:t>
      </w:r>
      <w:proofErr w:type="spellStart"/>
      <w:r w:rsidRPr="001B680D">
        <w:rPr>
          <w:sz w:val="20"/>
        </w:rPr>
        <w:t>tirgus</w:t>
      </w:r>
      <w:proofErr w:type="spellEnd"/>
      <w:r w:rsidRPr="001B680D">
        <w:rPr>
          <w:sz w:val="20"/>
        </w:rPr>
        <w:t xml:space="preserve"> </w:t>
      </w:r>
      <w:proofErr w:type="spellStart"/>
      <w:r w:rsidRPr="001B680D">
        <w:rPr>
          <w:sz w:val="20"/>
        </w:rPr>
        <w:t>komisija</w:t>
      </w:r>
      <w:proofErr w:type="spellEnd"/>
      <w:r w:rsidRPr="001B680D">
        <w:rPr>
          <w:sz w:val="20"/>
        </w:rPr>
        <w:t xml:space="preserve"> </w:t>
      </w:r>
      <w:r>
        <w:rPr>
          <w:sz w:val="20"/>
        </w:rPr>
        <w:t>(</w:t>
      </w:r>
      <w:r w:rsidRPr="00E23398">
        <w:rPr>
          <w:sz w:val="20"/>
        </w:rPr>
        <w:t xml:space="preserve">Financial and Capital Market Commission </w:t>
      </w:r>
      <w:r>
        <w:rPr>
          <w:sz w:val="20"/>
        </w:rPr>
        <w:t>(</w:t>
      </w:r>
      <w:r w:rsidRPr="001B680D">
        <w:rPr>
          <w:sz w:val="20"/>
        </w:rPr>
        <w:t>Latvia</w:t>
      </w:r>
      <w:r>
        <w:rPr>
          <w:sz w:val="20"/>
        </w:rPr>
        <w:t>))</w:t>
      </w:r>
    </w:p>
    <w:p w14:paraId="2BA93FC6" w14:textId="77777777" w:rsidR="00283261" w:rsidRPr="001B680D" w:rsidRDefault="00283261" w:rsidP="00283261">
      <w:pPr>
        <w:ind w:left="3141" w:hanging="992"/>
        <w:rPr>
          <w:sz w:val="20"/>
        </w:rPr>
      </w:pPr>
      <w:r w:rsidRPr="001B680D">
        <w:rPr>
          <w:sz w:val="20"/>
        </w:rPr>
        <w:t>2</w:t>
      </w:r>
      <w:r>
        <w:rPr>
          <w:sz w:val="20"/>
        </w:rPr>
        <w:t>6</w:t>
      </w:r>
      <w:r w:rsidRPr="001B680D">
        <w:rPr>
          <w:sz w:val="20"/>
        </w:rPr>
        <w:tab/>
      </w:r>
      <w:proofErr w:type="spellStart"/>
      <w:r w:rsidRPr="001B680D">
        <w:rPr>
          <w:sz w:val="20"/>
        </w:rPr>
        <w:t>Finanzmarktaufsicht</w:t>
      </w:r>
      <w:proofErr w:type="spellEnd"/>
      <w:r w:rsidRPr="001B680D">
        <w:rPr>
          <w:sz w:val="20"/>
        </w:rPr>
        <w:t xml:space="preserve"> </w:t>
      </w:r>
      <w:r>
        <w:rPr>
          <w:sz w:val="20"/>
        </w:rPr>
        <w:t>(</w:t>
      </w:r>
      <w:r w:rsidRPr="00746E11">
        <w:rPr>
          <w:sz w:val="20"/>
        </w:rPr>
        <w:t xml:space="preserve">Financial Market Authority </w:t>
      </w:r>
      <w:r w:rsidRPr="001B680D">
        <w:rPr>
          <w:sz w:val="20"/>
        </w:rPr>
        <w:t>Liechtenstein</w:t>
      </w:r>
      <w:r>
        <w:rPr>
          <w:sz w:val="20"/>
        </w:rPr>
        <w:t>)</w:t>
      </w:r>
    </w:p>
    <w:p w14:paraId="17005391" w14:textId="77777777" w:rsidR="00283261" w:rsidRPr="00E112A1" w:rsidRDefault="00283261" w:rsidP="00283261">
      <w:pPr>
        <w:ind w:left="3141" w:hanging="992"/>
        <w:rPr>
          <w:sz w:val="20"/>
        </w:rPr>
      </w:pPr>
      <w:r>
        <w:rPr>
          <w:sz w:val="20"/>
        </w:rPr>
        <w:t>27</w:t>
      </w:r>
      <w:r>
        <w:rPr>
          <w:sz w:val="20"/>
        </w:rPr>
        <w:tab/>
      </w:r>
      <w:r w:rsidRPr="00E112A1">
        <w:rPr>
          <w:sz w:val="20"/>
        </w:rPr>
        <w:t>Bank of Lithuania</w:t>
      </w:r>
    </w:p>
    <w:p w14:paraId="0292A3D7" w14:textId="77777777" w:rsidR="00283261" w:rsidRPr="001B680D" w:rsidRDefault="00283261" w:rsidP="00283261">
      <w:pPr>
        <w:ind w:left="3141" w:hanging="992"/>
        <w:rPr>
          <w:sz w:val="20"/>
        </w:rPr>
      </w:pPr>
      <w:r w:rsidRPr="001B680D">
        <w:rPr>
          <w:sz w:val="20"/>
        </w:rPr>
        <w:t>2</w:t>
      </w:r>
      <w:r>
        <w:rPr>
          <w:sz w:val="20"/>
        </w:rPr>
        <w:t>8</w:t>
      </w:r>
      <w:r>
        <w:rPr>
          <w:b/>
          <w:sz w:val="20"/>
        </w:rPr>
        <w:tab/>
      </w:r>
      <w:r w:rsidRPr="001B680D">
        <w:rPr>
          <w:sz w:val="20"/>
        </w:rPr>
        <w:t xml:space="preserve">Commission de Surveillance du </w:t>
      </w:r>
      <w:proofErr w:type="spellStart"/>
      <w:r w:rsidRPr="001B680D">
        <w:rPr>
          <w:sz w:val="20"/>
        </w:rPr>
        <w:t>Secteur</w:t>
      </w:r>
      <w:proofErr w:type="spellEnd"/>
      <w:r w:rsidRPr="001B680D">
        <w:rPr>
          <w:sz w:val="20"/>
        </w:rPr>
        <w:t xml:space="preserve"> Financier</w:t>
      </w:r>
      <w:r>
        <w:rPr>
          <w:sz w:val="20"/>
        </w:rPr>
        <w:t xml:space="preserve"> (Luxembourg)</w:t>
      </w:r>
    </w:p>
    <w:p w14:paraId="4EA4317E" w14:textId="77777777" w:rsidR="00283261" w:rsidRPr="00E112A1" w:rsidRDefault="00283261" w:rsidP="00283261">
      <w:pPr>
        <w:ind w:left="3141" w:hanging="992"/>
        <w:rPr>
          <w:sz w:val="20"/>
        </w:rPr>
      </w:pPr>
      <w:r>
        <w:rPr>
          <w:sz w:val="20"/>
        </w:rPr>
        <w:t>29</w:t>
      </w:r>
      <w:r w:rsidRPr="00E112A1">
        <w:rPr>
          <w:sz w:val="20"/>
        </w:rPr>
        <w:tab/>
        <w:t>Securities Commission Malaysia</w:t>
      </w:r>
    </w:p>
    <w:p w14:paraId="0C0B8612" w14:textId="77777777" w:rsidR="00283261" w:rsidRPr="001B680D" w:rsidRDefault="00283261" w:rsidP="00283261">
      <w:pPr>
        <w:ind w:left="3141" w:hanging="992"/>
        <w:rPr>
          <w:sz w:val="20"/>
        </w:rPr>
      </w:pPr>
      <w:r>
        <w:rPr>
          <w:sz w:val="20"/>
        </w:rPr>
        <w:t>30</w:t>
      </w:r>
      <w:r>
        <w:rPr>
          <w:sz w:val="20"/>
        </w:rPr>
        <w:tab/>
      </w:r>
      <w:r w:rsidRPr="001B680D">
        <w:rPr>
          <w:sz w:val="20"/>
        </w:rPr>
        <w:t>Malta Financial Services Authority</w:t>
      </w:r>
    </w:p>
    <w:p w14:paraId="31231C1C" w14:textId="27705EE0" w:rsidR="00283261" w:rsidRPr="00E112A1" w:rsidRDefault="00283261" w:rsidP="00283261">
      <w:pPr>
        <w:ind w:left="3141" w:hanging="992"/>
        <w:rPr>
          <w:sz w:val="20"/>
        </w:rPr>
      </w:pPr>
      <w:r>
        <w:rPr>
          <w:sz w:val="20"/>
        </w:rPr>
        <w:t>31</w:t>
      </w:r>
      <w:r w:rsidRPr="00E112A1">
        <w:rPr>
          <w:sz w:val="20"/>
        </w:rPr>
        <w:tab/>
      </w:r>
      <w:proofErr w:type="spellStart"/>
      <w:r w:rsidRPr="00E112A1">
        <w:rPr>
          <w:sz w:val="20"/>
        </w:rPr>
        <w:t>Autoriteit</w:t>
      </w:r>
      <w:proofErr w:type="spellEnd"/>
      <w:r w:rsidRPr="00E112A1">
        <w:rPr>
          <w:sz w:val="20"/>
        </w:rPr>
        <w:t xml:space="preserve"> </w:t>
      </w:r>
      <w:proofErr w:type="spellStart"/>
      <w:r w:rsidRPr="00E112A1">
        <w:rPr>
          <w:sz w:val="20"/>
        </w:rPr>
        <w:t>Financiële</w:t>
      </w:r>
      <w:proofErr w:type="spellEnd"/>
      <w:r w:rsidRPr="00E112A1">
        <w:rPr>
          <w:sz w:val="20"/>
        </w:rPr>
        <w:t xml:space="preserve"> </w:t>
      </w:r>
      <w:proofErr w:type="spellStart"/>
      <w:r w:rsidRPr="00E112A1">
        <w:rPr>
          <w:sz w:val="20"/>
        </w:rPr>
        <w:t>Markten</w:t>
      </w:r>
      <w:proofErr w:type="spellEnd"/>
      <w:r w:rsidRPr="00E112A1">
        <w:rPr>
          <w:sz w:val="20"/>
        </w:rPr>
        <w:t xml:space="preserve"> </w:t>
      </w:r>
      <w:r>
        <w:rPr>
          <w:sz w:val="20"/>
        </w:rPr>
        <w:t xml:space="preserve">(Dutch </w:t>
      </w:r>
      <w:r w:rsidRPr="000F2361">
        <w:rPr>
          <w:sz w:val="20"/>
        </w:rPr>
        <w:t xml:space="preserve">Authority for the Financial Markets </w:t>
      </w:r>
      <w:r>
        <w:rPr>
          <w:sz w:val="20"/>
        </w:rPr>
        <w:t xml:space="preserve">(the </w:t>
      </w:r>
      <w:r w:rsidRPr="00E112A1">
        <w:rPr>
          <w:sz w:val="20"/>
        </w:rPr>
        <w:t>Netherlands</w:t>
      </w:r>
      <w:r>
        <w:rPr>
          <w:sz w:val="20"/>
        </w:rPr>
        <w:t>)</w:t>
      </w:r>
      <w:r w:rsidR="00724863">
        <w:rPr>
          <w:sz w:val="20"/>
        </w:rPr>
        <w:t>)</w:t>
      </w:r>
    </w:p>
    <w:p w14:paraId="2AFA2129" w14:textId="77777777" w:rsidR="00283261" w:rsidRPr="001B680D" w:rsidRDefault="00283261" w:rsidP="00283261">
      <w:pPr>
        <w:ind w:left="3141" w:hanging="992"/>
        <w:rPr>
          <w:sz w:val="20"/>
        </w:rPr>
      </w:pPr>
      <w:r>
        <w:rPr>
          <w:sz w:val="20"/>
        </w:rPr>
        <w:t>32</w:t>
      </w:r>
      <w:r>
        <w:rPr>
          <w:sz w:val="20"/>
        </w:rPr>
        <w:tab/>
      </w:r>
      <w:r w:rsidRPr="001B680D">
        <w:rPr>
          <w:sz w:val="20"/>
        </w:rPr>
        <w:t>Financial Markets Authority</w:t>
      </w:r>
      <w:r w:rsidRPr="000B6AB8">
        <w:rPr>
          <w:sz w:val="20"/>
        </w:rPr>
        <w:t xml:space="preserve"> </w:t>
      </w:r>
      <w:r>
        <w:rPr>
          <w:sz w:val="20"/>
        </w:rPr>
        <w:t>(</w:t>
      </w:r>
      <w:r w:rsidRPr="001B680D">
        <w:rPr>
          <w:sz w:val="20"/>
        </w:rPr>
        <w:t>New Zealand</w:t>
      </w:r>
      <w:r>
        <w:rPr>
          <w:sz w:val="20"/>
        </w:rPr>
        <w:t>)</w:t>
      </w:r>
    </w:p>
    <w:p w14:paraId="58D6E434" w14:textId="77777777" w:rsidR="00283261" w:rsidRPr="00405B5F" w:rsidRDefault="00283261" w:rsidP="00283261">
      <w:pPr>
        <w:ind w:left="3141" w:hanging="992"/>
        <w:rPr>
          <w:sz w:val="20"/>
        </w:rPr>
      </w:pPr>
      <w:r w:rsidRPr="00405B5F">
        <w:rPr>
          <w:sz w:val="20"/>
        </w:rPr>
        <w:t>3</w:t>
      </w:r>
      <w:r>
        <w:rPr>
          <w:sz w:val="20"/>
        </w:rPr>
        <w:t>3</w:t>
      </w:r>
      <w:r w:rsidRPr="00405B5F">
        <w:rPr>
          <w:sz w:val="20"/>
        </w:rPr>
        <w:tab/>
      </w:r>
      <w:proofErr w:type="spellStart"/>
      <w:r w:rsidRPr="00405B5F">
        <w:rPr>
          <w:sz w:val="20"/>
        </w:rPr>
        <w:t>Finanstilsynet</w:t>
      </w:r>
      <w:proofErr w:type="spellEnd"/>
      <w:r w:rsidRPr="00405B5F">
        <w:rPr>
          <w:sz w:val="20"/>
        </w:rPr>
        <w:t xml:space="preserve"> </w:t>
      </w:r>
      <w:r>
        <w:rPr>
          <w:sz w:val="20"/>
        </w:rPr>
        <w:t>(</w:t>
      </w:r>
      <w:r w:rsidRPr="00340525">
        <w:rPr>
          <w:sz w:val="20"/>
        </w:rPr>
        <w:t>Financial Supervisory Authority of Norway</w:t>
      </w:r>
      <w:r>
        <w:rPr>
          <w:sz w:val="20"/>
        </w:rPr>
        <w:t>)</w:t>
      </w:r>
    </w:p>
    <w:p w14:paraId="46FD9594" w14:textId="77777777" w:rsidR="00283261" w:rsidRDefault="00283261" w:rsidP="00283261">
      <w:pPr>
        <w:ind w:left="3141" w:hanging="992"/>
        <w:rPr>
          <w:sz w:val="20"/>
        </w:rPr>
      </w:pPr>
      <w:r w:rsidRPr="00405B5F">
        <w:rPr>
          <w:sz w:val="20"/>
        </w:rPr>
        <w:t>3</w:t>
      </w:r>
      <w:r>
        <w:rPr>
          <w:sz w:val="20"/>
        </w:rPr>
        <w:t>4</w:t>
      </w:r>
      <w:r w:rsidRPr="00405B5F">
        <w:rPr>
          <w:sz w:val="20"/>
        </w:rPr>
        <w:tab/>
        <w:t>Ontario Securities Commission</w:t>
      </w:r>
    </w:p>
    <w:p w14:paraId="09601DD2" w14:textId="77777777" w:rsidR="00283261" w:rsidRPr="00E112A1" w:rsidRDefault="00283261" w:rsidP="00283261">
      <w:pPr>
        <w:ind w:left="3141" w:hanging="992"/>
        <w:rPr>
          <w:sz w:val="20"/>
        </w:rPr>
      </w:pPr>
      <w:r>
        <w:rPr>
          <w:sz w:val="20"/>
        </w:rPr>
        <w:t>35</w:t>
      </w:r>
      <w:r>
        <w:rPr>
          <w:sz w:val="20"/>
        </w:rPr>
        <w:tab/>
      </w:r>
      <w:r w:rsidRPr="00E112A1">
        <w:rPr>
          <w:sz w:val="20"/>
        </w:rPr>
        <w:t>Securities and Exchange Commission of Pakistan</w:t>
      </w:r>
    </w:p>
    <w:p w14:paraId="4764A69A" w14:textId="77777777" w:rsidR="00283261" w:rsidRPr="00405B5F" w:rsidRDefault="00283261" w:rsidP="00283261">
      <w:pPr>
        <w:ind w:left="3141" w:hanging="992"/>
        <w:rPr>
          <w:sz w:val="20"/>
        </w:rPr>
      </w:pPr>
      <w:r w:rsidRPr="00405B5F">
        <w:rPr>
          <w:sz w:val="20"/>
        </w:rPr>
        <w:t>3</w:t>
      </w:r>
      <w:r>
        <w:rPr>
          <w:sz w:val="20"/>
        </w:rPr>
        <w:t>6</w:t>
      </w:r>
      <w:r w:rsidRPr="00405B5F">
        <w:rPr>
          <w:sz w:val="20"/>
        </w:rPr>
        <w:tab/>
        <w:t>Polish Financial Supervision Authority</w:t>
      </w:r>
      <w:r>
        <w:rPr>
          <w:sz w:val="20"/>
        </w:rPr>
        <w:t xml:space="preserve"> (Poland)</w:t>
      </w:r>
    </w:p>
    <w:p w14:paraId="7B584D50" w14:textId="77777777" w:rsidR="00283261" w:rsidRPr="001B680D" w:rsidRDefault="00283261" w:rsidP="00283261">
      <w:pPr>
        <w:ind w:left="3141" w:hanging="992"/>
        <w:rPr>
          <w:sz w:val="20"/>
        </w:rPr>
      </w:pPr>
      <w:r w:rsidRPr="00405B5F">
        <w:rPr>
          <w:sz w:val="20"/>
        </w:rPr>
        <w:t>3</w:t>
      </w:r>
      <w:r>
        <w:rPr>
          <w:sz w:val="20"/>
        </w:rPr>
        <w:t>7</w:t>
      </w:r>
      <w:r>
        <w:rPr>
          <w:b/>
          <w:sz w:val="20"/>
        </w:rPr>
        <w:tab/>
      </w:r>
      <w:proofErr w:type="spellStart"/>
      <w:r w:rsidRPr="001B680D">
        <w:rPr>
          <w:sz w:val="20"/>
        </w:rPr>
        <w:t>Comissão</w:t>
      </w:r>
      <w:proofErr w:type="spellEnd"/>
      <w:r w:rsidRPr="001B680D">
        <w:rPr>
          <w:sz w:val="20"/>
        </w:rPr>
        <w:t xml:space="preserve"> do Mercado de </w:t>
      </w:r>
      <w:proofErr w:type="spellStart"/>
      <w:r w:rsidRPr="001B680D">
        <w:rPr>
          <w:sz w:val="20"/>
        </w:rPr>
        <w:t>Valores</w:t>
      </w:r>
      <w:proofErr w:type="spellEnd"/>
      <w:r w:rsidRPr="001B680D">
        <w:rPr>
          <w:sz w:val="20"/>
        </w:rPr>
        <w:t xml:space="preserve"> </w:t>
      </w:r>
      <w:proofErr w:type="spellStart"/>
      <w:r w:rsidRPr="001B680D">
        <w:rPr>
          <w:sz w:val="20"/>
        </w:rPr>
        <w:t>Mobiliários</w:t>
      </w:r>
      <w:proofErr w:type="spellEnd"/>
      <w:r>
        <w:rPr>
          <w:sz w:val="20"/>
        </w:rPr>
        <w:t xml:space="preserve"> (</w:t>
      </w:r>
      <w:r w:rsidRPr="00762930">
        <w:rPr>
          <w:sz w:val="20"/>
        </w:rPr>
        <w:t>Portuguese Securities Market Commission</w:t>
      </w:r>
      <w:r>
        <w:rPr>
          <w:sz w:val="20"/>
        </w:rPr>
        <w:t>)</w:t>
      </w:r>
    </w:p>
    <w:p w14:paraId="059B016F" w14:textId="77777777" w:rsidR="00283261" w:rsidRPr="001B680D" w:rsidRDefault="00283261" w:rsidP="00283261">
      <w:pPr>
        <w:ind w:left="3141" w:hanging="992"/>
        <w:rPr>
          <w:sz w:val="20"/>
        </w:rPr>
      </w:pPr>
      <w:r>
        <w:rPr>
          <w:sz w:val="20"/>
        </w:rPr>
        <w:t>38</w:t>
      </w:r>
      <w:r>
        <w:rPr>
          <w:sz w:val="20"/>
        </w:rPr>
        <w:tab/>
      </w:r>
      <w:proofErr w:type="spellStart"/>
      <w:r w:rsidRPr="001B680D">
        <w:rPr>
          <w:sz w:val="20"/>
        </w:rPr>
        <w:t>Autorité</w:t>
      </w:r>
      <w:proofErr w:type="spellEnd"/>
      <w:r w:rsidRPr="001B680D">
        <w:rPr>
          <w:sz w:val="20"/>
        </w:rPr>
        <w:t xml:space="preserve"> des </w:t>
      </w:r>
      <w:proofErr w:type="spellStart"/>
      <w:r w:rsidRPr="001B680D">
        <w:rPr>
          <w:sz w:val="20"/>
        </w:rPr>
        <w:t>Marchés</w:t>
      </w:r>
      <w:proofErr w:type="spellEnd"/>
      <w:r w:rsidRPr="001B680D">
        <w:rPr>
          <w:sz w:val="20"/>
        </w:rPr>
        <w:t xml:space="preserve"> Financier</w:t>
      </w:r>
      <w:r>
        <w:rPr>
          <w:sz w:val="20"/>
        </w:rPr>
        <w:t>s (</w:t>
      </w:r>
      <w:r w:rsidRPr="007D226D">
        <w:rPr>
          <w:sz w:val="20"/>
        </w:rPr>
        <w:t>Québec</w:t>
      </w:r>
      <w:r>
        <w:rPr>
          <w:sz w:val="20"/>
        </w:rPr>
        <w:t>)</w:t>
      </w:r>
    </w:p>
    <w:p w14:paraId="2692AD1B" w14:textId="77777777" w:rsidR="00283261" w:rsidRPr="001B680D" w:rsidRDefault="00283261" w:rsidP="00283261">
      <w:pPr>
        <w:ind w:left="3141" w:hanging="992"/>
        <w:rPr>
          <w:sz w:val="20"/>
        </w:rPr>
      </w:pPr>
      <w:r>
        <w:rPr>
          <w:sz w:val="20"/>
        </w:rPr>
        <w:t>39</w:t>
      </w:r>
      <w:r>
        <w:rPr>
          <w:sz w:val="20"/>
        </w:rPr>
        <w:tab/>
      </w:r>
      <w:r w:rsidRPr="00A70114">
        <w:rPr>
          <w:sz w:val="20"/>
        </w:rPr>
        <w:t>Financial Supervisory Authority</w:t>
      </w:r>
      <w:r>
        <w:rPr>
          <w:sz w:val="20"/>
        </w:rPr>
        <w:t xml:space="preserve"> (Romania)</w:t>
      </w:r>
    </w:p>
    <w:p w14:paraId="6407BDF9" w14:textId="77777777" w:rsidR="00283261" w:rsidRPr="00E112A1" w:rsidRDefault="00283261" w:rsidP="00283261">
      <w:pPr>
        <w:ind w:left="3141" w:hanging="992"/>
        <w:rPr>
          <w:sz w:val="20"/>
        </w:rPr>
      </w:pPr>
      <w:r>
        <w:rPr>
          <w:sz w:val="20"/>
        </w:rPr>
        <w:t>40</w:t>
      </w:r>
      <w:r w:rsidRPr="00E112A1">
        <w:rPr>
          <w:sz w:val="20"/>
        </w:rPr>
        <w:tab/>
        <w:t>Monetary Authority of Singapore</w:t>
      </w:r>
    </w:p>
    <w:p w14:paraId="180FD925" w14:textId="77777777" w:rsidR="00283261" w:rsidRPr="00E112A1" w:rsidRDefault="00283261" w:rsidP="00283261">
      <w:pPr>
        <w:ind w:left="3141" w:hanging="992"/>
        <w:rPr>
          <w:sz w:val="20"/>
        </w:rPr>
      </w:pPr>
      <w:r>
        <w:rPr>
          <w:sz w:val="20"/>
        </w:rPr>
        <w:t>41</w:t>
      </w:r>
      <w:r>
        <w:rPr>
          <w:sz w:val="20"/>
        </w:rPr>
        <w:tab/>
      </w:r>
      <w:proofErr w:type="spellStart"/>
      <w:r w:rsidRPr="00E112A1">
        <w:rPr>
          <w:sz w:val="20"/>
        </w:rPr>
        <w:t>Národná</w:t>
      </w:r>
      <w:proofErr w:type="spellEnd"/>
      <w:r w:rsidRPr="00E112A1">
        <w:rPr>
          <w:sz w:val="20"/>
        </w:rPr>
        <w:t xml:space="preserve"> </w:t>
      </w:r>
      <w:proofErr w:type="spellStart"/>
      <w:r w:rsidRPr="00E112A1">
        <w:rPr>
          <w:sz w:val="20"/>
        </w:rPr>
        <w:t>banka</w:t>
      </w:r>
      <w:proofErr w:type="spellEnd"/>
      <w:r w:rsidRPr="00E112A1">
        <w:rPr>
          <w:sz w:val="20"/>
        </w:rPr>
        <w:t xml:space="preserve"> </w:t>
      </w:r>
      <w:proofErr w:type="spellStart"/>
      <w:r w:rsidRPr="00E112A1">
        <w:rPr>
          <w:sz w:val="20"/>
        </w:rPr>
        <w:t>Slovenska</w:t>
      </w:r>
      <w:proofErr w:type="spellEnd"/>
      <w:r>
        <w:rPr>
          <w:sz w:val="20"/>
        </w:rPr>
        <w:t xml:space="preserve"> (</w:t>
      </w:r>
      <w:r w:rsidRPr="006D5CC6">
        <w:rPr>
          <w:sz w:val="20"/>
        </w:rPr>
        <w:t>National Bank of Slovakia</w:t>
      </w:r>
      <w:r>
        <w:rPr>
          <w:sz w:val="20"/>
        </w:rPr>
        <w:t>)</w:t>
      </w:r>
    </w:p>
    <w:p w14:paraId="330A1232" w14:textId="77777777" w:rsidR="00283261" w:rsidRPr="00E112A1" w:rsidRDefault="00283261" w:rsidP="00283261">
      <w:pPr>
        <w:ind w:left="3141" w:hanging="992"/>
        <w:rPr>
          <w:sz w:val="20"/>
        </w:rPr>
      </w:pPr>
      <w:r>
        <w:rPr>
          <w:sz w:val="20"/>
        </w:rPr>
        <w:t>42</w:t>
      </w:r>
      <w:r>
        <w:rPr>
          <w:sz w:val="20"/>
        </w:rPr>
        <w:tab/>
      </w:r>
      <w:r w:rsidRPr="00C3514B">
        <w:rPr>
          <w:sz w:val="20"/>
        </w:rPr>
        <w:t xml:space="preserve">Financial Sector Conduct Authority </w:t>
      </w:r>
      <w:r>
        <w:rPr>
          <w:sz w:val="20"/>
        </w:rPr>
        <w:t>(</w:t>
      </w:r>
      <w:r w:rsidRPr="00E112A1">
        <w:rPr>
          <w:sz w:val="20"/>
        </w:rPr>
        <w:t>South Africa</w:t>
      </w:r>
      <w:r>
        <w:rPr>
          <w:sz w:val="20"/>
        </w:rPr>
        <w:t>)</w:t>
      </w:r>
    </w:p>
    <w:p w14:paraId="2468D305" w14:textId="77777777" w:rsidR="00283261" w:rsidRPr="00405B5F" w:rsidRDefault="00283261" w:rsidP="00283261">
      <w:pPr>
        <w:ind w:left="3141" w:hanging="992"/>
        <w:rPr>
          <w:sz w:val="20"/>
        </w:rPr>
      </w:pPr>
      <w:r w:rsidRPr="00405B5F">
        <w:rPr>
          <w:sz w:val="20"/>
        </w:rPr>
        <w:t>4</w:t>
      </w:r>
      <w:r>
        <w:rPr>
          <w:sz w:val="20"/>
        </w:rPr>
        <w:t>3</w:t>
      </w:r>
      <w:r w:rsidRPr="00405B5F">
        <w:rPr>
          <w:sz w:val="20"/>
        </w:rPr>
        <w:tab/>
      </w:r>
      <w:proofErr w:type="spellStart"/>
      <w:r w:rsidRPr="00405B5F">
        <w:rPr>
          <w:sz w:val="20"/>
        </w:rPr>
        <w:t>Comisión</w:t>
      </w:r>
      <w:proofErr w:type="spellEnd"/>
      <w:r w:rsidRPr="00405B5F">
        <w:rPr>
          <w:sz w:val="20"/>
        </w:rPr>
        <w:t xml:space="preserve"> Nacional del Mercado de </w:t>
      </w:r>
      <w:proofErr w:type="spellStart"/>
      <w:r w:rsidRPr="00405B5F">
        <w:rPr>
          <w:sz w:val="20"/>
        </w:rPr>
        <w:t>Valores</w:t>
      </w:r>
      <w:proofErr w:type="spellEnd"/>
      <w:r w:rsidRPr="00405B5F">
        <w:rPr>
          <w:sz w:val="20"/>
        </w:rPr>
        <w:t xml:space="preserve"> </w:t>
      </w:r>
      <w:r>
        <w:rPr>
          <w:sz w:val="20"/>
        </w:rPr>
        <w:t>(</w:t>
      </w:r>
      <w:r w:rsidRPr="008C698D">
        <w:rPr>
          <w:sz w:val="20"/>
        </w:rPr>
        <w:t xml:space="preserve">National Securities Market Commission </w:t>
      </w:r>
      <w:r>
        <w:rPr>
          <w:sz w:val="20"/>
        </w:rPr>
        <w:t>(</w:t>
      </w:r>
      <w:r w:rsidRPr="00405B5F">
        <w:rPr>
          <w:sz w:val="20"/>
        </w:rPr>
        <w:t>Spain</w:t>
      </w:r>
      <w:r>
        <w:rPr>
          <w:sz w:val="20"/>
        </w:rPr>
        <w:t>))</w:t>
      </w:r>
    </w:p>
    <w:p w14:paraId="64742BE6" w14:textId="77777777" w:rsidR="00283261" w:rsidRPr="00405B5F" w:rsidRDefault="00283261" w:rsidP="00283261">
      <w:pPr>
        <w:ind w:left="3141" w:hanging="992"/>
        <w:rPr>
          <w:sz w:val="20"/>
        </w:rPr>
      </w:pPr>
      <w:r w:rsidRPr="00405B5F">
        <w:rPr>
          <w:sz w:val="20"/>
        </w:rPr>
        <w:t>4</w:t>
      </w:r>
      <w:r>
        <w:rPr>
          <w:sz w:val="20"/>
        </w:rPr>
        <w:t>4</w:t>
      </w:r>
      <w:r w:rsidRPr="00405B5F">
        <w:rPr>
          <w:sz w:val="20"/>
        </w:rPr>
        <w:tab/>
      </w:r>
      <w:proofErr w:type="spellStart"/>
      <w:r w:rsidRPr="00405B5F">
        <w:rPr>
          <w:sz w:val="20"/>
        </w:rPr>
        <w:t>Finansinspektionen</w:t>
      </w:r>
      <w:proofErr w:type="spellEnd"/>
      <w:r w:rsidRPr="00405B5F">
        <w:rPr>
          <w:sz w:val="20"/>
        </w:rPr>
        <w:t xml:space="preserve"> </w:t>
      </w:r>
      <w:r>
        <w:rPr>
          <w:sz w:val="20"/>
        </w:rPr>
        <w:t>(</w:t>
      </w:r>
      <w:r w:rsidRPr="006C07A4">
        <w:rPr>
          <w:sz w:val="20"/>
        </w:rPr>
        <w:t xml:space="preserve">Financial Supervisory Authority </w:t>
      </w:r>
      <w:r>
        <w:rPr>
          <w:sz w:val="20"/>
        </w:rPr>
        <w:t>(</w:t>
      </w:r>
      <w:r w:rsidRPr="00405B5F">
        <w:rPr>
          <w:sz w:val="20"/>
        </w:rPr>
        <w:t>Sweden</w:t>
      </w:r>
      <w:r>
        <w:rPr>
          <w:sz w:val="20"/>
        </w:rPr>
        <w:t>))</w:t>
      </w:r>
    </w:p>
    <w:p w14:paraId="57C50286" w14:textId="77777777" w:rsidR="00283261" w:rsidRPr="00405B5F" w:rsidRDefault="00283261" w:rsidP="00283261">
      <w:pPr>
        <w:ind w:left="3141" w:hanging="992"/>
        <w:rPr>
          <w:sz w:val="20"/>
        </w:rPr>
      </w:pPr>
      <w:r w:rsidRPr="00405B5F">
        <w:rPr>
          <w:sz w:val="20"/>
        </w:rPr>
        <w:t>45</w:t>
      </w:r>
      <w:r w:rsidRPr="00405B5F">
        <w:rPr>
          <w:sz w:val="20"/>
        </w:rPr>
        <w:tab/>
        <w:t xml:space="preserve">Securities </w:t>
      </w:r>
      <w:r>
        <w:rPr>
          <w:sz w:val="20"/>
        </w:rPr>
        <w:t xml:space="preserve">and </w:t>
      </w:r>
      <w:r w:rsidRPr="00405B5F">
        <w:rPr>
          <w:sz w:val="20"/>
        </w:rPr>
        <w:t xml:space="preserve">Commodities Authority </w:t>
      </w:r>
      <w:r>
        <w:rPr>
          <w:sz w:val="20"/>
        </w:rPr>
        <w:t>(</w:t>
      </w:r>
      <w:r w:rsidRPr="00405B5F">
        <w:rPr>
          <w:sz w:val="20"/>
        </w:rPr>
        <w:t>United Arab Emirates</w:t>
      </w:r>
      <w:r>
        <w:rPr>
          <w:sz w:val="20"/>
        </w:rPr>
        <w:t>)</w:t>
      </w:r>
    </w:p>
    <w:p w14:paraId="3BFEC511" w14:textId="77777777" w:rsidR="00283261" w:rsidRDefault="00283261" w:rsidP="00283261">
      <w:pPr>
        <w:ind w:left="3141" w:hanging="992"/>
        <w:rPr>
          <w:sz w:val="20"/>
        </w:rPr>
      </w:pPr>
      <w:r>
        <w:rPr>
          <w:sz w:val="20"/>
        </w:rPr>
        <w:t>46</w:t>
      </w:r>
      <w:r>
        <w:rPr>
          <w:sz w:val="20"/>
        </w:rPr>
        <w:tab/>
      </w:r>
      <w:r w:rsidRPr="00405B5F">
        <w:rPr>
          <w:sz w:val="20"/>
        </w:rPr>
        <w:t xml:space="preserve">Financial Conduct Authority </w:t>
      </w:r>
      <w:r>
        <w:rPr>
          <w:sz w:val="20"/>
        </w:rPr>
        <w:t>(</w:t>
      </w:r>
      <w:r w:rsidRPr="00405B5F">
        <w:rPr>
          <w:sz w:val="20"/>
        </w:rPr>
        <w:t>United Kingdom</w:t>
      </w:r>
      <w:r>
        <w:rPr>
          <w:sz w:val="20"/>
        </w:rPr>
        <w:t>)</w:t>
      </w:r>
    </w:p>
    <w:p w14:paraId="37DAF6B7" w14:textId="77777777" w:rsidR="00283261" w:rsidRPr="00405B5F" w:rsidRDefault="00283261" w:rsidP="00283261">
      <w:pPr>
        <w:ind w:left="3141" w:hanging="992"/>
        <w:rPr>
          <w:sz w:val="20"/>
        </w:rPr>
      </w:pPr>
      <w:r w:rsidRPr="005E0AC9">
        <w:rPr>
          <w:sz w:val="20"/>
        </w:rPr>
        <w:t>4</w:t>
      </w:r>
      <w:r>
        <w:rPr>
          <w:sz w:val="20"/>
        </w:rPr>
        <w:t>7</w:t>
      </w:r>
      <w:r w:rsidRPr="005E0AC9">
        <w:rPr>
          <w:sz w:val="20"/>
        </w:rPr>
        <w:tab/>
        <w:t>U.S. Securities and Exchange Commission</w:t>
      </w:r>
    </w:p>
    <w:p w14:paraId="6637A6A4" w14:textId="77777777" w:rsidR="00283261" w:rsidRDefault="00283261" w:rsidP="00283261">
      <w:pPr>
        <w:ind w:left="3141" w:hanging="992"/>
        <w:rPr>
          <w:sz w:val="20"/>
        </w:rPr>
      </w:pPr>
    </w:p>
    <w:p w14:paraId="0000CB75" w14:textId="68B83FAF" w:rsidR="00283261" w:rsidRDefault="00283261" w:rsidP="00283261">
      <w:pPr>
        <w:pStyle w:val="aheade"/>
        <w:ind w:left="2268" w:right="-113" w:hanging="992"/>
        <w:rPr>
          <w:lang w:val="en-US"/>
        </w:rPr>
      </w:pPr>
      <w:r w:rsidRPr="00183D5D">
        <w:rPr>
          <w:sz w:val="20"/>
        </w:rPr>
        <w:t>_____________________________________________________________</w:t>
      </w:r>
      <w:r>
        <w:rPr>
          <w:b w:val="0"/>
        </w:rPr>
        <w:t>”</w:t>
      </w:r>
      <w:r w:rsidRPr="006A4571">
        <w:rPr>
          <w:b w:val="0"/>
        </w:rPr>
        <w:t>.</w:t>
      </w:r>
    </w:p>
    <w:p w14:paraId="0DAE9EDD" w14:textId="77777777" w:rsidR="00C630B5" w:rsidRDefault="00C630B5" w:rsidP="00C630B5">
      <w:pPr>
        <w:pStyle w:val="LI-BodyTextUnnumbered"/>
      </w:pPr>
    </w:p>
    <w:p w14:paraId="34BAFF28" w14:textId="1480E0FA" w:rsidR="00C630B5" w:rsidRDefault="00C630B5" w:rsidP="00C630B5">
      <w:pPr>
        <w:pStyle w:val="LI-BodyTextNumbered"/>
        <w:ind w:left="567"/>
        <w:rPr>
          <w:b/>
        </w:rPr>
      </w:pPr>
      <w:r>
        <w:rPr>
          <w:b/>
        </w:rPr>
        <w:t xml:space="preserve"> </w:t>
      </w:r>
    </w:p>
    <w:p w14:paraId="072AA128" w14:textId="77777777" w:rsidR="00C36D2F" w:rsidRDefault="00C36D2F">
      <w:pPr>
        <w:spacing w:line="240" w:lineRule="auto"/>
        <w:rPr>
          <w:rFonts w:eastAsia="Times New Roman"/>
          <w:b/>
          <w:kern w:val="28"/>
          <w:sz w:val="32"/>
          <w:lang w:eastAsia="en-AU"/>
        </w:rPr>
      </w:pPr>
      <w:r>
        <w:br w:type="page"/>
      </w:r>
    </w:p>
    <w:p w14:paraId="31CEA08C" w14:textId="2D33CB21" w:rsidR="00F56EAA" w:rsidRDefault="000D5C42" w:rsidP="00F56EAA">
      <w:pPr>
        <w:pStyle w:val="LI-Heading1"/>
        <w:ind w:left="0" w:firstLine="0"/>
      </w:pPr>
      <w:bookmarkStart w:id="35" w:name="_Toc118808576"/>
      <w:r>
        <w:lastRenderedPageBreak/>
        <w:t>Part</w:t>
      </w:r>
      <w:r w:rsidR="00F56EAA">
        <w:t xml:space="preserve"> </w:t>
      </w:r>
      <w:r w:rsidR="00B76F12">
        <w:t>1</w:t>
      </w:r>
      <w:r w:rsidR="002E679C">
        <w:t>2</w:t>
      </w:r>
      <w:bookmarkEnd w:id="35"/>
      <w:r w:rsidR="00F56EAA">
        <w:t xml:space="preserve"> </w:t>
      </w:r>
    </w:p>
    <w:p w14:paraId="5EF1F8E5" w14:textId="77777777" w:rsidR="00F56EAA" w:rsidRPr="00E02BC6" w:rsidRDefault="00F56EAA" w:rsidP="00F91AB9">
      <w:pPr>
        <w:pStyle w:val="LI-Heading2"/>
        <w:ind w:left="0" w:firstLine="0"/>
        <w:rPr>
          <w:i/>
        </w:rPr>
      </w:pPr>
      <w:bookmarkStart w:id="36" w:name="_Toc118808577"/>
      <w:r w:rsidRPr="00E02BC6">
        <w:rPr>
          <w:i/>
        </w:rPr>
        <w:t>ASIC Corporations (Top-up Product Disclosure Statements Relief) Instrument 2016/1054</w:t>
      </w:r>
      <w:bookmarkEnd w:id="36"/>
    </w:p>
    <w:p w14:paraId="03E64176" w14:textId="36508E5B" w:rsidR="00F56EAA" w:rsidRPr="003E5652" w:rsidRDefault="001E52BA" w:rsidP="00F56EAA">
      <w:pPr>
        <w:pStyle w:val="LI-BodyTextNumbered"/>
        <w:ind w:left="567"/>
        <w:rPr>
          <w:b/>
        </w:rPr>
      </w:pPr>
      <w:r>
        <w:rPr>
          <w:b/>
        </w:rPr>
        <w:t>6</w:t>
      </w:r>
      <w:r w:rsidR="002F1ECE">
        <w:rPr>
          <w:b/>
        </w:rPr>
        <w:t>0</w:t>
      </w:r>
      <w:r w:rsidR="00F56EAA">
        <w:rPr>
          <w:b/>
        </w:rPr>
        <w:t xml:space="preserve"> </w:t>
      </w:r>
      <w:r w:rsidR="00F56EAA">
        <w:rPr>
          <w:b/>
        </w:rPr>
        <w:tab/>
        <w:t>A</w:t>
      </w:r>
      <w:r w:rsidR="005C5EF8">
        <w:rPr>
          <w:b/>
        </w:rPr>
        <w:t xml:space="preserve">t the end of </w:t>
      </w:r>
      <w:r w:rsidR="00F56EAA">
        <w:rPr>
          <w:b/>
        </w:rPr>
        <w:t xml:space="preserve">section 5 </w:t>
      </w:r>
    </w:p>
    <w:p w14:paraId="3369FE4C" w14:textId="794F5C28" w:rsidR="00F56EAA" w:rsidRDefault="005C5EF8" w:rsidP="00F56EAA">
      <w:pPr>
        <w:pStyle w:val="LI-BodyTextUnnumbered"/>
        <w:spacing w:after="240"/>
      </w:pPr>
      <w:r>
        <w:t>Add</w:t>
      </w:r>
      <w:r w:rsidR="00F56EAA">
        <w:t xml:space="preserve">: </w:t>
      </w:r>
    </w:p>
    <w:p w14:paraId="044D6675" w14:textId="77777777" w:rsidR="00F56EAA" w:rsidRPr="001823F6" w:rsidRDefault="00F56EAA" w:rsidP="00F56EAA">
      <w:pPr>
        <w:pStyle w:val="LI-SectionHeading"/>
        <w:ind w:left="2007"/>
      </w:pPr>
      <w:r>
        <w:t>6</w:t>
      </w:r>
      <w:r w:rsidRPr="001823F6">
        <w:tab/>
        <w:t xml:space="preserve">Top-up </w:t>
      </w:r>
      <w:r w:rsidRPr="001B70C6">
        <w:t>Product Disclosure Statement</w:t>
      </w:r>
      <w:r>
        <w:t>s</w:t>
      </w:r>
      <w:r w:rsidRPr="001B70C6">
        <w:t xml:space="preserve"> </w:t>
      </w:r>
      <w:r w:rsidRPr="001823F6">
        <w:t xml:space="preserve">relief for </w:t>
      </w:r>
      <w:r>
        <w:t>CCIVs</w:t>
      </w:r>
    </w:p>
    <w:p w14:paraId="28603680" w14:textId="02FE0DF2" w:rsidR="00F56EAA" w:rsidRPr="007C78AD" w:rsidRDefault="00F56EAA" w:rsidP="00F56EAA">
      <w:pPr>
        <w:pStyle w:val="LI-BodyTextSubparai"/>
        <w:ind w:left="2574"/>
      </w:pPr>
      <w:r w:rsidRPr="007C78AD">
        <w:t>(1)</w:t>
      </w:r>
      <w:r w:rsidRPr="007C78AD">
        <w:tab/>
        <w:t xml:space="preserve">A share in a CCIV, referable to a sub-fund, is exempt from sections 1012A, 1012B and 1012C of the Act where an offer to issue, </w:t>
      </w:r>
      <w:r w:rsidR="00DC1C94">
        <w:t xml:space="preserve">to </w:t>
      </w:r>
      <w:r w:rsidRPr="007C78AD">
        <w:t>arrange for the issue of, or to sell, or an issue of, or a recommendation to acquire, the share is made to a person who holds shares in the same class, referable to the same sub-fund, for which the person has paid at least $500,000.</w:t>
      </w:r>
    </w:p>
    <w:p w14:paraId="0E17957C" w14:textId="77777777" w:rsidR="00F56EAA" w:rsidRPr="007C78AD" w:rsidRDefault="00F56EAA" w:rsidP="00DD18FC">
      <w:pPr>
        <w:pStyle w:val="LI-SectionNote"/>
        <w:ind w:left="3294" w:hanging="720"/>
        <w:rPr>
          <w:szCs w:val="18"/>
        </w:rPr>
      </w:pPr>
      <w:r w:rsidRPr="007C78AD">
        <w:rPr>
          <w:szCs w:val="18"/>
        </w:rPr>
        <w:t>Note:</w:t>
      </w:r>
      <w:r w:rsidRPr="007C78AD">
        <w:rPr>
          <w:szCs w:val="18"/>
        </w:rPr>
        <w:tab/>
        <w:t xml:space="preserve">Section 1012C applies in relation to a CCIV subject to modifications: see section 1241R. </w:t>
      </w:r>
    </w:p>
    <w:p w14:paraId="39CE6660" w14:textId="77777777" w:rsidR="00F56EAA" w:rsidRPr="007C78AD" w:rsidRDefault="00F56EAA" w:rsidP="00F56EAA">
      <w:pPr>
        <w:pStyle w:val="LI-BodyTextSubparai"/>
        <w:ind w:left="2574"/>
      </w:pPr>
      <w:r w:rsidRPr="007C78AD">
        <w:t>(2)</w:t>
      </w:r>
      <w:r w:rsidRPr="007C78AD">
        <w:tab/>
        <w:t xml:space="preserve">In working out the amount paid for a share, disregard any amount to the extent it was paid out of money lent by the person offering the share or any associate of that person. </w:t>
      </w:r>
    </w:p>
    <w:p w14:paraId="2639D2A8" w14:textId="70680885" w:rsidR="008C23AA" w:rsidRDefault="008C23AA">
      <w:pPr>
        <w:spacing w:line="240" w:lineRule="auto"/>
        <w:rPr>
          <w:rFonts w:eastAsia="Times New Roman"/>
          <w:b/>
          <w:kern w:val="28"/>
          <w:sz w:val="28"/>
          <w:lang w:eastAsia="en-AU"/>
        </w:rPr>
      </w:pPr>
      <w:r>
        <w:br w:type="page"/>
      </w:r>
    </w:p>
    <w:p w14:paraId="263A64D1" w14:textId="0626CAEC" w:rsidR="00AF07E3" w:rsidRDefault="000D5C42" w:rsidP="00AF07E3">
      <w:pPr>
        <w:pStyle w:val="LI-Heading1"/>
        <w:ind w:left="0" w:firstLine="0"/>
      </w:pPr>
      <w:bookmarkStart w:id="37" w:name="_Toc118808578"/>
      <w:r>
        <w:lastRenderedPageBreak/>
        <w:t>Part</w:t>
      </w:r>
      <w:r w:rsidR="00AF07E3">
        <w:t xml:space="preserve"> </w:t>
      </w:r>
      <w:r w:rsidR="00FE0FDB">
        <w:t>1</w:t>
      </w:r>
      <w:r w:rsidR="002E679C">
        <w:t>3</w:t>
      </w:r>
      <w:bookmarkEnd w:id="37"/>
      <w:r w:rsidR="00AF07E3">
        <w:t xml:space="preserve"> </w:t>
      </w:r>
    </w:p>
    <w:p w14:paraId="293A78F0" w14:textId="45F38C29" w:rsidR="00AF07E3" w:rsidRPr="00E02BC6" w:rsidRDefault="00AF07E3" w:rsidP="00E02BC6">
      <w:pPr>
        <w:pStyle w:val="LI-Heading2"/>
        <w:rPr>
          <w:i/>
        </w:rPr>
      </w:pPr>
      <w:bookmarkStart w:id="38" w:name="_Toc118808579"/>
      <w:r w:rsidRPr="00E02BC6">
        <w:rPr>
          <w:i/>
        </w:rPr>
        <w:t>ASIC Class Order [CO 13/656]</w:t>
      </w:r>
      <w:bookmarkEnd w:id="38"/>
    </w:p>
    <w:p w14:paraId="51F7C819" w14:textId="022B0BB2" w:rsidR="00EB366B" w:rsidRPr="00BB7585" w:rsidRDefault="000D5C42" w:rsidP="00BB7585">
      <w:pPr>
        <w:pStyle w:val="LI-BodyTextNumbered"/>
        <w:ind w:left="567"/>
        <w:rPr>
          <w:b/>
        </w:rPr>
      </w:pPr>
      <w:r>
        <w:rPr>
          <w:b/>
        </w:rPr>
        <w:t>6</w:t>
      </w:r>
      <w:r w:rsidR="002F1ECE">
        <w:rPr>
          <w:b/>
        </w:rPr>
        <w:t>1</w:t>
      </w:r>
      <w:r w:rsidR="00EB366B" w:rsidRPr="00BB7585">
        <w:rPr>
          <w:b/>
        </w:rPr>
        <w:tab/>
        <w:t>Section 1</w:t>
      </w:r>
    </w:p>
    <w:p w14:paraId="2376EF00" w14:textId="393A014D" w:rsidR="00EB366B" w:rsidRDefault="00EB366B" w:rsidP="00EB366B">
      <w:pPr>
        <w:pStyle w:val="LI-BodyTextUnnumbered"/>
        <w:rPr>
          <w:color w:val="000000"/>
          <w:shd w:val="clear" w:color="auto" w:fill="FFFFFF"/>
        </w:rPr>
      </w:pPr>
      <w:r>
        <w:rPr>
          <w:szCs w:val="24"/>
        </w:rPr>
        <w:t>Omit “</w:t>
      </w:r>
      <w:r>
        <w:rPr>
          <w:color w:val="000000"/>
          <w:shd w:val="clear" w:color="auto" w:fill="FFFFFF"/>
        </w:rPr>
        <w:t xml:space="preserve">subsection 601QA(1)”, substitute “subsections 601QA(1) and 1243(2)”. </w:t>
      </w:r>
    </w:p>
    <w:p w14:paraId="0DEF9340" w14:textId="77777777" w:rsidR="00F46DD5" w:rsidRDefault="00F46DD5">
      <w:pPr>
        <w:spacing w:line="240" w:lineRule="auto"/>
      </w:pPr>
    </w:p>
    <w:p w14:paraId="4C832387" w14:textId="4A0EF406" w:rsidR="00F46DD5" w:rsidRPr="00BB7585" w:rsidRDefault="000D5C42" w:rsidP="00BB7585">
      <w:pPr>
        <w:pStyle w:val="LI-BodyTextNumbered"/>
        <w:ind w:left="567"/>
        <w:rPr>
          <w:b/>
        </w:rPr>
      </w:pPr>
      <w:r>
        <w:rPr>
          <w:b/>
        </w:rPr>
        <w:t>6</w:t>
      </w:r>
      <w:r w:rsidR="002F1ECE">
        <w:rPr>
          <w:b/>
        </w:rPr>
        <w:t>2</w:t>
      </w:r>
      <w:r w:rsidR="00F46DD5" w:rsidRPr="00BB7585">
        <w:rPr>
          <w:b/>
        </w:rPr>
        <w:tab/>
        <w:t xml:space="preserve">Section 4 (heading) </w:t>
      </w:r>
    </w:p>
    <w:p w14:paraId="68D5C939" w14:textId="77777777" w:rsidR="00F46DD5" w:rsidRDefault="00F46DD5" w:rsidP="00F46DD5">
      <w:pPr>
        <w:pStyle w:val="LI-BodyTextUnnumbered"/>
      </w:pPr>
      <w:r>
        <w:t xml:space="preserve">Repeal the heading, substitute: </w:t>
      </w:r>
    </w:p>
    <w:p w14:paraId="7C693FB8" w14:textId="77777777" w:rsidR="00F46DD5" w:rsidRDefault="00F46DD5" w:rsidP="00F46DD5">
      <w:pPr>
        <w:pStyle w:val="LI-SectionHeading"/>
        <w:ind w:left="1440" w:firstLine="0"/>
      </w:pPr>
      <w:r>
        <w:t xml:space="preserve">Exemption — Equality of treatment for responsible entity of a registered scheme </w:t>
      </w:r>
    </w:p>
    <w:p w14:paraId="42660AF9" w14:textId="4D9B6B1A" w:rsidR="00F46DD5" w:rsidRPr="00BB7585" w:rsidRDefault="000D5C42" w:rsidP="00BB7585">
      <w:pPr>
        <w:pStyle w:val="LI-BodyTextNumbered"/>
        <w:ind w:left="567"/>
        <w:rPr>
          <w:b/>
        </w:rPr>
      </w:pPr>
      <w:r>
        <w:rPr>
          <w:b/>
        </w:rPr>
        <w:t>6</w:t>
      </w:r>
      <w:r w:rsidR="002F1ECE">
        <w:rPr>
          <w:b/>
        </w:rPr>
        <w:t>3</w:t>
      </w:r>
      <w:r w:rsidR="00F46DD5" w:rsidRPr="00BB7585">
        <w:rPr>
          <w:b/>
        </w:rPr>
        <w:tab/>
        <w:t>After section 4</w:t>
      </w:r>
    </w:p>
    <w:p w14:paraId="7F3D1411" w14:textId="6998E6EA" w:rsidR="00F46DD5" w:rsidRDefault="00F46DD5" w:rsidP="00F46DD5">
      <w:pPr>
        <w:pStyle w:val="LI-BodyTextUnnumbered"/>
        <w:rPr>
          <w:szCs w:val="24"/>
        </w:rPr>
      </w:pPr>
      <w:r>
        <w:rPr>
          <w:szCs w:val="24"/>
        </w:rPr>
        <w:t xml:space="preserve"> Insert:</w:t>
      </w:r>
    </w:p>
    <w:p w14:paraId="56EE0409" w14:textId="4A187D1D" w:rsidR="002B6376" w:rsidRPr="00EA0DA1" w:rsidRDefault="002B6376" w:rsidP="002B6376">
      <w:pPr>
        <w:pStyle w:val="LI-SectionHeading"/>
        <w:ind w:left="1440" w:firstLine="0"/>
      </w:pPr>
      <w:r w:rsidRPr="002B6376">
        <w:t>Ex</w:t>
      </w:r>
      <w:r w:rsidRPr="00EA0DA1">
        <w:t xml:space="preserve">emption – Equality of treatment for corporate director of a retail CCIV </w:t>
      </w:r>
    </w:p>
    <w:p w14:paraId="275454CC" w14:textId="3F5D4756" w:rsidR="00F46DD5" w:rsidRDefault="00F46DD5" w:rsidP="00F46DD5">
      <w:pPr>
        <w:pStyle w:val="LI-BodyTextSubparai"/>
        <w:ind w:left="2007"/>
      </w:pPr>
      <w:r>
        <w:t>4A.</w:t>
      </w:r>
      <w:r>
        <w:tab/>
        <w:t>A corporate director of a retail CCIV does not have to comply with paragraph 1224D(2)(b) of the Act to the extent that it would prevent the corporate director from doing any or all of the following:</w:t>
      </w:r>
    </w:p>
    <w:p w14:paraId="452410A8" w14:textId="378F25DD" w:rsidR="00F46DD5" w:rsidRDefault="00F46DD5" w:rsidP="00155B8F">
      <w:pPr>
        <w:pStyle w:val="LI-BodyTextSubparai"/>
        <w:numPr>
          <w:ilvl w:val="0"/>
          <w:numId w:val="4"/>
        </w:numPr>
        <w:ind w:left="2682"/>
      </w:pPr>
      <w:r>
        <w:t xml:space="preserve">not making an offer of shares to a member of the retail CCIV (a </w:t>
      </w:r>
      <w:r w:rsidRPr="00F46DD5">
        <w:rPr>
          <w:b/>
          <w:i/>
        </w:rPr>
        <w:t>non-resident</w:t>
      </w:r>
      <w:r>
        <w:t xml:space="preserve">) with a registered address outside </w:t>
      </w:r>
      <w:r w:rsidRPr="00FF6EB8">
        <w:t>Australia, New Zealand and, in the case of an Australian passport fund, each host economy of the fund,</w:t>
      </w:r>
      <w:r>
        <w:t xml:space="preserve"> if the corporate director: </w:t>
      </w:r>
    </w:p>
    <w:p w14:paraId="6D72D791" w14:textId="7571B9B4" w:rsidR="00F46DD5" w:rsidRDefault="00F46DD5" w:rsidP="00F46DD5">
      <w:pPr>
        <w:pStyle w:val="LI-BodyTextSubparai"/>
        <w:ind w:left="3339" w:hanging="657"/>
      </w:pPr>
      <w:r>
        <w:t>(</w:t>
      </w:r>
      <w:proofErr w:type="spellStart"/>
      <w:r>
        <w:t>i</w:t>
      </w:r>
      <w:proofErr w:type="spellEnd"/>
      <w:r>
        <w:t>)</w:t>
      </w:r>
      <w:r>
        <w:tab/>
        <w:t>where the sub-fund of the retail CCIV is not included in the official list of the financial market operated by ASX Limited and the offer is renounceable—appoints a nominee to sell the rights to acquire the shares that are not offered to the non-residents and distribute to each non-resident their proportion of the proceeds of sale net of expenses; or</w:t>
      </w:r>
    </w:p>
    <w:p w14:paraId="6792BB2E" w14:textId="588E8A63" w:rsidR="00DC1C94" w:rsidRDefault="00F46DD5" w:rsidP="005F674A">
      <w:pPr>
        <w:pStyle w:val="LI-BodyTextSubparai"/>
        <w:spacing w:after="240"/>
        <w:ind w:left="3339" w:hanging="657"/>
      </w:pPr>
      <w:r>
        <w:t>(ii)</w:t>
      </w:r>
      <w:r>
        <w:tab/>
        <w:t>in any other case—determines that it would be unreasonable to make the offer to the non-resident having regard to each of the following:</w:t>
      </w:r>
    </w:p>
    <w:p w14:paraId="3AC1BEF0" w14:textId="7F5ABDB8" w:rsidR="00F46DD5" w:rsidRDefault="00F46DD5" w:rsidP="00DC1C94">
      <w:pPr>
        <w:ind w:left="3816" w:hanging="555"/>
        <w:contextualSpacing/>
        <w:rPr>
          <w:sz w:val="24"/>
          <w:szCs w:val="24"/>
        </w:rPr>
      </w:pPr>
      <w:r w:rsidRPr="00F46DD5">
        <w:rPr>
          <w:sz w:val="24"/>
          <w:szCs w:val="24"/>
        </w:rPr>
        <w:t>(A)</w:t>
      </w:r>
      <w:r w:rsidRPr="00F46DD5">
        <w:rPr>
          <w:sz w:val="24"/>
          <w:szCs w:val="24"/>
        </w:rPr>
        <w:tab/>
        <w:t xml:space="preserve">the number of members of the retail CCIV in the place (the </w:t>
      </w:r>
      <w:r w:rsidRPr="00F46DD5">
        <w:rPr>
          <w:b/>
          <w:i/>
          <w:sz w:val="24"/>
          <w:szCs w:val="24"/>
        </w:rPr>
        <w:t>relevant place</w:t>
      </w:r>
      <w:r w:rsidRPr="00F46DD5">
        <w:rPr>
          <w:sz w:val="24"/>
          <w:szCs w:val="24"/>
        </w:rPr>
        <w:t xml:space="preserve">) where the </w:t>
      </w:r>
      <w:r w:rsidRPr="00F46DD5">
        <w:rPr>
          <w:sz w:val="24"/>
          <w:szCs w:val="24"/>
        </w:rPr>
        <w:lastRenderedPageBreak/>
        <w:t xml:space="preserve">registered address of the non-resident is </w:t>
      </w:r>
      <w:proofErr w:type="gramStart"/>
      <w:r w:rsidRPr="00F46DD5">
        <w:rPr>
          <w:sz w:val="24"/>
          <w:szCs w:val="24"/>
        </w:rPr>
        <w:t>situated;</w:t>
      </w:r>
      <w:proofErr w:type="gramEnd"/>
    </w:p>
    <w:p w14:paraId="572D3DFE" w14:textId="77777777" w:rsidR="00B46C19" w:rsidRPr="00F46DD5" w:rsidRDefault="00B46C19" w:rsidP="00DC1C94">
      <w:pPr>
        <w:ind w:left="3816" w:hanging="555"/>
        <w:contextualSpacing/>
        <w:rPr>
          <w:sz w:val="24"/>
          <w:szCs w:val="24"/>
        </w:rPr>
      </w:pPr>
    </w:p>
    <w:p w14:paraId="35C6D18F" w14:textId="65CA3ABF" w:rsidR="00F46DD5" w:rsidRDefault="00F46DD5" w:rsidP="00DC1C94">
      <w:pPr>
        <w:ind w:left="3816" w:hanging="555"/>
        <w:contextualSpacing/>
        <w:rPr>
          <w:sz w:val="24"/>
          <w:szCs w:val="24"/>
        </w:rPr>
      </w:pPr>
      <w:r w:rsidRPr="00F46DD5">
        <w:rPr>
          <w:sz w:val="24"/>
          <w:szCs w:val="24"/>
        </w:rPr>
        <w:t>(B)</w:t>
      </w:r>
      <w:r w:rsidRPr="00F46DD5">
        <w:rPr>
          <w:sz w:val="24"/>
          <w:szCs w:val="24"/>
        </w:rPr>
        <w:tab/>
        <w:t xml:space="preserve">the number and the value of the shares that may be issued to </w:t>
      </w:r>
      <w:proofErr w:type="spellStart"/>
      <w:r w:rsidRPr="00F46DD5">
        <w:rPr>
          <w:sz w:val="24"/>
          <w:szCs w:val="24"/>
        </w:rPr>
        <w:t>non residents</w:t>
      </w:r>
      <w:proofErr w:type="spellEnd"/>
      <w:r w:rsidRPr="00F46DD5">
        <w:rPr>
          <w:sz w:val="24"/>
          <w:szCs w:val="24"/>
        </w:rPr>
        <w:t xml:space="preserve"> in the relevant </w:t>
      </w:r>
      <w:proofErr w:type="gramStart"/>
      <w:r w:rsidRPr="00F46DD5">
        <w:rPr>
          <w:sz w:val="24"/>
          <w:szCs w:val="24"/>
        </w:rPr>
        <w:t>place;</w:t>
      </w:r>
      <w:proofErr w:type="gramEnd"/>
    </w:p>
    <w:p w14:paraId="1A3CAB4C" w14:textId="77777777" w:rsidR="00B46C19" w:rsidRPr="00F46DD5" w:rsidRDefault="00B46C19" w:rsidP="00DC1C94">
      <w:pPr>
        <w:ind w:left="3816" w:hanging="555"/>
        <w:contextualSpacing/>
        <w:rPr>
          <w:sz w:val="24"/>
          <w:szCs w:val="24"/>
        </w:rPr>
      </w:pPr>
    </w:p>
    <w:p w14:paraId="276222A8" w14:textId="77777777" w:rsidR="00F46DD5" w:rsidRPr="00F46DD5" w:rsidRDefault="00F46DD5" w:rsidP="00DC1C94">
      <w:pPr>
        <w:ind w:left="3816" w:hanging="555"/>
        <w:contextualSpacing/>
        <w:rPr>
          <w:sz w:val="24"/>
          <w:szCs w:val="24"/>
        </w:rPr>
      </w:pPr>
      <w:r w:rsidRPr="00F46DD5">
        <w:rPr>
          <w:sz w:val="24"/>
          <w:szCs w:val="24"/>
        </w:rPr>
        <w:t>(C)</w:t>
      </w:r>
      <w:r w:rsidRPr="00F46DD5">
        <w:rPr>
          <w:sz w:val="24"/>
          <w:szCs w:val="24"/>
        </w:rPr>
        <w:tab/>
        <w:t xml:space="preserve">the cost of complying with legal requirements and the requirements of any relevant regulatory authority applicable to making the offer in the relevant </w:t>
      </w:r>
      <w:proofErr w:type="gramStart"/>
      <w:r w:rsidRPr="00F46DD5">
        <w:rPr>
          <w:sz w:val="24"/>
          <w:szCs w:val="24"/>
        </w:rPr>
        <w:t>place;</w:t>
      </w:r>
      <w:proofErr w:type="gramEnd"/>
    </w:p>
    <w:p w14:paraId="7AD85A59" w14:textId="1D4E6911" w:rsidR="00F46DD5" w:rsidRPr="00F46DD5" w:rsidRDefault="00F46DD5" w:rsidP="00155B8F">
      <w:pPr>
        <w:pStyle w:val="LI-BodyTextSubparai"/>
        <w:numPr>
          <w:ilvl w:val="0"/>
          <w:numId w:val="4"/>
        </w:numPr>
        <w:ind w:left="2682"/>
      </w:pPr>
      <w:r w:rsidRPr="00F46DD5">
        <w:t xml:space="preserve">offering </w:t>
      </w:r>
      <w:r>
        <w:t xml:space="preserve">shares to </w:t>
      </w:r>
      <w:r w:rsidRPr="00F46DD5">
        <w:t xml:space="preserve">some members of a sub-fund of the retail CCIV (the </w:t>
      </w:r>
      <w:r w:rsidRPr="00F46DD5">
        <w:rPr>
          <w:b/>
          <w:i/>
        </w:rPr>
        <w:t>priority offerees</w:t>
      </w:r>
      <w:r w:rsidRPr="00F46DD5">
        <w:t>) who would be acquiring as wholesale clients at an earlier time than other members where:</w:t>
      </w:r>
    </w:p>
    <w:p w14:paraId="590F07EF" w14:textId="77777777" w:rsidR="00F46DD5" w:rsidRPr="00F46DD5" w:rsidRDefault="00F46DD5" w:rsidP="00F46DD5">
      <w:pPr>
        <w:pStyle w:val="LI-BodyTextSubparai"/>
        <w:ind w:left="3339" w:hanging="657"/>
      </w:pPr>
      <w:r w:rsidRPr="00F46DD5">
        <w:t>(</w:t>
      </w:r>
      <w:proofErr w:type="spellStart"/>
      <w:r w:rsidRPr="00F46DD5">
        <w:t>i</w:t>
      </w:r>
      <w:proofErr w:type="spellEnd"/>
      <w:r w:rsidRPr="00F46DD5">
        <w:t>)</w:t>
      </w:r>
      <w:r w:rsidRPr="00F46DD5">
        <w:tab/>
        <w:t>the terms of the offer require the priority offerees to notify the corporate director of their acceptance of the offer by a date that occurs before another date by which other members of the sub-fund are to notify their acceptance; and</w:t>
      </w:r>
    </w:p>
    <w:p w14:paraId="30B0428D" w14:textId="77777777" w:rsidR="00F46DD5" w:rsidRPr="00F46DD5" w:rsidRDefault="00F46DD5" w:rsidP="00F46DD5">
      <w:pPr>
        <w:pStyle w:val="LI-BodyTextSubparai"/>
        <w:ind w:left="3339" w:hanging="657"/>
      </w:pPr>
      <w:r w:rsidRPr="00F46DD5">
        <w:t>(ii)</w:t>
      </w:r>
      <w:r w:rsidRPr="00F46DD5">
        <w:tab/>
        <w:t>under the terms of the offers shares will not be issued to the priority offerees before the earliest date on which shares may be issued to the other members of the sub-fund; and</w:t>
      </w:r>
    </w:p>
    <w:p w14:paraId="74F5F62F" w14:textId="101B7D5B" w:rsidR="00F46DD5" w:rsidRPr="00F46DD5" w:rsidRDefault="00F46DD5" w:rsidP="00F46DD5">
      <w:pPr>
        <w:pStyle w:val="LI-BodyTextSubparai"/>
        <w:ind w:left="3339" w:hanging="657"/>
      </w:pPr>
      <w:r w:rsidRPr="00F46DD5">
        <w:t>(iii)</w:t>
      </w:r>
      <w:r w:rsidRPr="00F46DD5">
        <w:tab/>
        <w:t xml:space="preserve">shares are only issued to the priority offerees in accordance with the terms of the offers required by </w:t>
      </w:r>
      <w:r w:rsidR="000B7D52">
        <w:t>sub</w:t>
      </w:r>
      <w:r w:rsidRPr="00F46DD5">
        <w:t>paragraphs (</w:t>
      </w:r>
      <w:proofErr w:type="spellStart"/>
      <w:r w:rsidRPr="00F46DD5">
        <w:t>i</w:t>
      </w:r>
      <w:proofErr w:type="spellEnd"/>
      <w:r w:rsidRPr="00F46DD5">
        <w:t>) and (ii</w:t>
      </w:r>
      <w:proofErr w:type="gramStart"/>
      <w:r w:rsidRPr="00F46DD5">
        <w:t>);</w:t>
      </w:r>
      <w:proofErr w:type="gramEnd"/>
    </w:p>
    <w:p w14:paraId="1AF2568C" w14:textId="277B3CA0" w:rsidR="00F46DD5" w:rsidRPr="00F46DD5" w:rsidRDefault="00F46DD5" w:rsidP="00155B8F">
      <w:pPr>
        <w:pStyle w:val="LI-BodyTextSubparai"/>
        <w:numPr>
          <w:ilvl w:val="0"/>
          <w:numId w:val="4"/>
        </w:numPr>
        <w:ind w:left="2682"/>
      </w:pPr>
      <w:r w:rsidRPr="00F46DD5">
        <w:t>dealing with complaints made by members of a sub-fund of the retail CCIV who acquire a share as wholesale clients differently from complaints by other members of the sub-</w:t>
      </w:r>
      <w:proofErr w:type="gramStart"/>
      <w:r w:rsidRPr="00F46DD5">
        <w:t>fund;</w:t>
      </w:r>
      <w:proofErr w:type="gramEnd"/>
    </w:p>
    <w:p w14:paraId="5DEEFADF" w14:textId="645CB0FF" w:rsidR="00F46DD5" w:rsidRPr="00F46DD5" w:rsidRDefault="00F46DD5" w:rsidP="00155B8F">
      <w:pPr>
        <w:pStyle w:val="LI-BodyTextSubparai"/>
        <w:numPr>
          <w:ilvl w:val="0"/>
          <w:numId w:val="4"/>
        </w:numPr>
        <w:ind w:left="2682"/>
      </w:pPr>
      <w:r w:rsidRPr="00F46DD5">
        <w:t xml:space="preserve">offering and issuing shares in accordance with </w:t>
      </w:r>
      <w:r w:rsidRPr="00F46DD5">
        <w:rPr>
          <w:i/>
        </w:rPr>
        <w:t>ASIC Corporations (Share and Interest Purchase Plans) Instrument 2019/547</w:t>
      </w:r>
      <w:r w:rsidRPr="00F46DD5">
        <w:t>.</w:t>
      </w:r>
    </w:p>
    <w:p w14:paraId="29DFA19C" w14:textId="77777777" w:rsidR="00F46DD5" w:rsidRPr="008C0F29" w:rsidRDefault="00F46DD5" w:rsidP="00277C87">
      <w:pPr>
        <w:pStyle w:val="LI-BodyTextUnnumbered"/>
        <w:rPr>
          <w:szCs w:val="24"/>
        </w:rPr>
      </w:pPr>
    </w:p>
    <w:p w14:paraId="6EBD1ACD" w14:textId="34663E31" w:rsidR="00F46DD5" w:rsidRPr="00F46DD5" w:rsidRDefault="00F46DD5" w:rsidP="00F46DD5">
      <w:pPr>
        <w:pStyle w:val="LI-SectionHeading"/>
        <w:ind w:left="0" w:firstLine="0"/>
        <w:rPr>
          <w:b w:val="0"/>
        </w:rPr>
      </w:pPr>
      <w:r>
        <w:rPr>
          <w:b w:val="0"/>
        </w:rPr>
        <w:tab/>
      </w:r>
    </w:p>
    <w:p w14:paraId="2519D2F3" w14:textId="77777777" w:rsidR="00710C0B" w:rsidRDefault="00710C0B">
      <w:pPr>
        <w:spacing w:line="240" w:lineRule="auto"/>
        <w:rPr>
          <w:rFonts w:eastAsia="Times New Roman"/>
          <w:b/>
          <w:kern w:val="28"/>
          <w:sz w:val="32"/>
          <w:lang w:eastAsia="en-AU"/>
        </w:rPr>
      </w:pPr>
      <w:r>
        <w:br w:type="page"/>
      </w:r>
    </w:p>
    <w:p w14:paraId="1C7FF4B9" w14:textId="30D444DC" w:rsidR="008C23AA" w:rsidRDefault="000D5C42" w:rsidP="008C23AA">
      <w:pPr>
        <w:pStyle w:val="LI-Heading1"/>
        <w:ind w:left="0" w:firstLine="0"/>
      </w:pPr>
      <w:bookmarkStart w:id="39" w:name="_Toc118808580"/>
      <w:r>
        <w:lastRenderedPageBreak/>
        <w:t>Part</w:t>
      </w:r>
      <w:r w:rsidR="008C23AA">
        <w:t xml:space="preserve"> </w:t>
      </w:r>
      <w:r w:rsidR="000F2E3A">
        <w:t>1</w:t>
      </w:r>
      <w:r w:rsidR="002E679C">
        <w:t>4</w:t>
      </w:r>
      <w:bookmarkEnd w:id="39"/>
      <w:r w:rsidR="008C23AA">
        <w:t xml:space="preserve"> </w:t>
      </w:r>
    </w:p>
    <w:p w14:paraId="73DC1BC5" w14:textId="599471DE" w:rsidR="008C23AA" w:rsidRPr="00E02BC6" w:rsidRDefault="002278C8" w:rsidP="00E02BC6">
      <w:pPr>
        <w:pStyle w:val="LI-Heading2"/>
        <w:rPr>
          <w:i/>
        </w:rPr>
      </w:pPr>
      <w:bookmarkStart w:id="40" w:name="_Toc118808581"/>
      <w:r w:rsidRPr="00E02BC6">
        <w:rPr>
          <w:i/>
        </w:rPr>
        <w:t>ASIC Class Order [CO 13/721]</w:t>
      </w:r>
      <w:bookmarkEnd w:id="40"/>
      <w:r w:rsidRPr="00E02BC6">
        <w:rPr>
          <w:i/>
        </w:rPr>
        <w:t xml:space="preserve"> </w:t>
      </w:r>
    </w:p>
    <w:p w14:paraId="09ECC624" w14:textId="1F70B445" w:rsidR="004F5FF1" w:rsidRPr="00BB7585" w:rsidRDefault="000D5C42" w:rsidP="00BB7585">
      <w:pPr>
        <w:pStyle w:val="LI-BodyTextNumbered"/>
        <w:ind w:left="567"/>
        <w:rPr>
          <w:b/>
        </w:rPr>
      </w:pPr>
      <w:r>
        <w:rPr>
          <w:b/>
        </w:rPr>
        <w:t>6</w:t>
      </w:r>
      <w:r w:rsidR="002F1ECE">
        <w:rPr>
          <w:b/>
        </w:rPr>
        <w:t>4</w:t>
      </w:r>
      <w:r w:rsidR="004F5FF1" w:rsidRPr="00BB7585">
        <w:rPr>
          <w:b/>
        </w:rPr>
        <w:tab/>
        <w:t>Section 1</w:t>
      </w:r>
    </w:p>
    <w:p w14:paraId="621BC9EE" w14:textId="1785A581" w:rsidR="007C78AD" w:rsidRPr="00615DF7" w:rsidRDefault="001C5E4F" w:rsidP="00615DF7">
      <w:pPr>
        <w:pStyle w:val="LI-BodyTextUnnumbered"/>
        <w:rPr>
          <w:szCs w:val="24"/>
        </w:rPr>
      </w:pPr>
      <w:r>
        <w:rPr>
          <w:szCs w:val="24"/>
        </w:rPr>
        <w:t>Omit “</w:t>
      </w:r>
      <w:r w:rsidR="00CC085C">
        <w:rPr>
          <w:color w:val="000000"/>
          <w:shd w:val="clear" w:color="auto" w:fill="FFFFFF"/>
        </w:rPr>
        <w:t>subsections 601QA(1), 1020F(1), 655A(1) and 673(1)”, substitute “</w:t>
      </w:r>
      <w:r w:rsidR="00CC085C" w:rsidRPr="001669D9">
        <w:rPr>
          <w:szCs w:val="24"/>
        </w:rPr>
        <w:t>subsections 601QA(1), 655A(1), 673(1), 1020F(1) and 1243(2)</w:t>
      </w:r>
      <w:r w:rsidR="00CC085C">
        <w:rPr>
          <w:szCs w:val="24"/>
        </w:rPr>
        <w:t xml:space="preserve">”. </w:t>
      </w:r>
    </w:p>
    <w:p w14:paraId="67280F1B" w14:textId="1EE03DC3" w:rsidR="00615DF7" w:rsidRPr="00CA3A25" w:rsidRDefault="000D5C42" w:rsidP="00615DF7">
      <w:pPr>
        <w:pStyle w:val="LI-BodyTextNumbered"/>
        <w:ind w:left="567"/>
        <w:rPr>
          <w:b/>
        </w:rPr>
      </w:pPr>
      <w:r>
        <w:rPr>
          <w:b/>
        </w:rPr>
        <w:t>6</w:t>
      </w:r>
      <w:r w:rsidR="002F1ECE">
        <w:rPr>
          <w:b/>
        </w:rPr>
        <w:t>5</w:t>
      </w:r>
      <w:r w:rsidR="00615DF7" w:rsidRPr="00CA3A25">
        <w:rPr>
          <w:b/>
        </w:rPr>
        <w:tab/>
      </w:r>
      <w:r w:rsidR="00615DF7">
        <w:rPr>
          <w:b/>
        </w:rPr>
        <w:t xml:space="preserve">Section 4 (heading) </w:t>
      </w:r>
    </w:p>
    <w:p w14:paraId="06D85E6C" w14:textId="77777777" w:rsidR="00615DF7" w:rsidRDefault="00615DF7" w:rsidP="00615DF7">
      <w:pPr>
        <w:pStyle w:val="LI-BodyTextUnnumbered"/>
      </w:pPr>
      <w:r>
        <w:t xml:space="preserve">Repeal the heading, substitute: </w:t>
      </w:r>
    </w:p>
    <w:p w14:paraId="6FCEE989" w14:textId="594C82CB" w:rsidR="00615DF7" w:rsidRPr="00615DF7" w:rsidRDefault="00615DF7" w:rsidP="00615DF7">
      <w:pPr>
        <w:pStyle w:val="LI-SectionHeading"/>
        <w:ind w:left="1440" w:firstLine="0"/>
      </w:pPr>
      <w:r w:rsidRPr="001669D9">
        <w:t xml:space="preserve">Exemption—Unequal treatment in withdrawal from an ETF—responsible entities </w:t>
      </w:r>
    </w:p>
    <w:p w14:paraId="332CE390" w14:textId="77777777" w:rsidR="002F1ECE" w:rsidRDefault="002F1ECE" w:rsidP="002F1ECE">
      <w:pPr>
        <w:pStyle w:val="LI-BodyTextNumbered"/>
        <w:ind w:left="567"/>
        <w:rPr>
          <w:b/>
        </w:rPr>
      </w:pPr>
      <w:r>
        <w:rPr>
          <w:b/>
        </w:rPr>
        <w:t>66</w:t>
      </w:r>
      <w:r>
        <w:rPr>
          <w:b/>
        </w:rPr>
        <w:tab/>
        <w:t>Paragraph 5(b)</w:t>
      </w:r>
    </w:p>
    <w:p w14:paraId="5C22ECCB" w14:textId="77777777" w:rsidR="002F1ECE" w:rsidRPr="002F1ECE" w:rsidRDefault="002F1ECE" w:rsidP="002F1ECE">
      <w:pPr>
        <w:pStyle w:val="LI-BodyTextUnnumbered"/>
      </w:pPr>
      <w:r>
        <w:t xml:space="preserve">Omit “minimum parcel;”, substitute “minimum parcel.”. </w:t>
      </w:r>
    </w:p>
    <w:p w14:paraId="6640A8A4" w14:textId="3C7B25AC" w:rsidR="001F7FF5" w:rsidRDefault="000D5C42" w:rsidP="00BB7585">
      <w:pPr>
        <w:pStyle w:val="LI-BodyTextNumbered"/>
        <w:ind w:left="567"/>
        <w:rPr>
          <w:b/>
        </w:rPr>
      </w:pPr>
      <w:r>
        <w:rPr>
          <w:b/>
        </w:rPr>
        <w:t>6</w:t>
      </w:r>
      <w:r w:rsidR="00D95856">
        <w:rPr>
          <w:b/>
        </w:rPr>
        <w:t>7</w:t>
      </w:r>
      <w:r w:rsidR="001F7FF5">
        <w:rPr>
          <w:b/>
        </w:rPr>
        <w:t xml:space="preserve"> </w:t>
      </w:r>
      <w:r w:rsidR="001F7FF5">
        <w:rPr>
          <w:b/>
        </w:rPr>
        <w:tab/>
        <w:t>Paragraph 5(c)</w:t>
      </w:r>
    </w:p>
    <w:p w14:paraId="07877639" w14:textId="0ADB6BBB" w:rsidR="001F7FF5" w:rsidRPr="001F7FF5" w:rsidRDefault="001F7FF5" w:rsidP="001F7FF5">
      <w:pPr>
        <w:pStyle w:val="LI-BodyTextUnnumbered"/>
      </w:pPr>
      <w:r>
        <w:t xml:space="preserve">Repeal the paragraph. </w:t>
      </w:r>
    </w:p>
    <w:p w14:paraId="076BFD8E" w14:textId="0B4FC82D" w:rsidR="00F03E4F" w:rsidRPr="00BB7585" w:rsidRDefault="000D5C42" w:rsidP="00BB7585">
      <w:pPr>
        <w:pStyle w:val="LI-BodyTextNumbered"/>
        <w:ind w:left="567"/>
        <w:rPr>
          <w:b/>
        </w:rPr>
      </w:pPr>
      <w:r>
        <w:rPr>
          <w:b/>
        </w:rPr>
        <w:t>6</w:t>
      </w:r>
      <w:r w:rsidR="00D95856">
        <w:rPr>
          <w:b/>
        </w:rPr>
        <w:t>8</w:t>
      </w:r>
      <w:r w:rsidR="00F03E4F" w:rsidRPr="00BB7585">
        <w:rPr>
          <w:b/>
        </w:rPr>
        <w:tab/>
        <w:t>After section 5</w:t>
      </w:r>
    </w:p>
    <w:p w14:paraId="22005D99" w14:textId="43BA1863" w:rsidR="00F03E4F" w:rsidRDefault="0092046D" w:rsidP="000300DD">
      <w:pPr>
        <w:pStyle w:val="LI-BodyTextUnnumbered"/>
        <w:spacing w:after="240"/>
      </w:pPr>
      <w:r>
        <w:t>Insert:</w:t>
      </w:r>
    </w:p>
    <w:p w14:paraId="64887C3D" w14:textId="47969C19" w:rsidR="003C5C31" w:rsidRDefault="003C5C31" w:rsidP="003C5C31">
      <w:pPr>
        <w:pStyle w:val="LI-SectionHeading"/>
        <w:ind w:left="1440" w:firstLine="0"/>
      </w:pPr>
      <w:r>
        <w:t>Exemption</w:t>
      </w:r>
      <w:r w:rsidR="00B722DB">
        <w:t>—</w:t>
      </w:r>
      <w:r>
        <w:t xml:space="preserve">Unequal treatment in withdrawal from an ETF—corporate directors </w:t>
      </w:r>
    </w:p>
    <w:p w14:paraId="44314BCA" w14:textId="74EDDEC7" w:rsidR="00FC379D" w:rsidRDefault="0092046D" w:rsidP="003C5C31">
      <w:pPr>
        <w:pStyle w:val="LI-BodyTextSubparai"/>
        <w:ind w:left="2007"/>
      </w:pPr>
      <w:r w:rsidRPr="0092046D">
        <w:t>5A.</w:t>
      </w:r>
      <w:r w:rsidRPr="0092046D">
        <w:tab/>
        <w:t>The</w:t>
      </w:r>
      <w:r w:rsidRPr="00FC379D">
        <w:t xml:space="preserve"> corporate director of an exchange traded fund does not have to comply with paragraph 1224D(2)(b) of the Act to the extent that it would prevent the corporate director from permitting only authorised participants to withdraw from the fund.</w:t>
      </w:r>
    </w:p>
    <w:p w14:paraId="7F7BB77B" w14:textId="77777777" w:rsidR="00FC379D" w:rsidRDefault="0092046D" w:rsidP="003C5C31">
      <w:pPr>
        <w:pStyle w:val="LI-BodyTextSubparai"/>
        <w:ind w:left="2007"/>
        <w:rPr>
          <w:i/>
        </w:rPr>
      </w:pPr>
      <w:r w:rsidRPr="001669D9">
        <w:rPr>
          <w:i/>
        </w:rPr>
        <w:t xml:space="preserve">Where the exemption applies </w:t>
      </w:r>
    </w:p>
    <w:p w14:paraId="7AF6C2E1" w14:textId="26B7FD60" w:rsidR="000300DD" w:rsidRDefault="0092046D" w:rsidP="003C5C31">
      <w:pPr>
        <w:pStyle w:val="LI-BodyTextSubparai"/>
        <w:ind w:left="2007"/>
      </w:pPr>
      <w:r w:rsidRPr="001669D9">
        <w:t>5B.</w:t>
      </w:r>
      <w:r w:rsidRPr="001669D9">
        <w:tab/>
        <w:t>The exemption applies where all of the following are satisfied:</w:t>
      </w:r>
    </w:p>
    <w:p w14:paraId="7B474AB4" w14:textId="0CD003F7" w:rsidR="0092046D" w:rsidRPr="00F46DD5" w:rsidRDefault="0092046D" w:rsidP="00155B8F">
      <w:pPr>
        <w:pStyle w:val="LI-BodyTextSubparai"/>
        <w:numPr>
          <w:ilvl w:val="0"/>
          <w:numId w:val="22"/>
        </w:numPr>
      </w:pPr>
      <w:r w:rsidRPr="00042977">
        <w:t xml:space="preserve">there is a Product Disclosure Statement in relation to shares in the exchange traded fund that are or will be able to be traded on a financial market operated by ASX or </w:t>
      </w:r>
      <w:proofErr w:type="spellStart"/>
      <w:r w:rsidRPr="00042977">
        <w:t>Cboe</w:t>
      </w:r>
      <w:proofErr w:type="spellEnd"/>
      <w:r w:rsidRPr="00042977">
        <w:t xml:space="preserve"> that contains statements to the effect that:</w:t>
      </w:r>
    </w:p>
    <w:p w14:paraId="0A232901" w14:textId="0DBF9CB4" w:rsidR="0092046D" w:rsidRPr="001669D9" w:rsidRDefault="0092046D" w:rsidP="003C5C31">
      <w:pPr>
        <w:pStyle w:val="LI-BodyTextSubparai"/>
        <w:ind w:left="3339" w:hanging="657"/>
      </w:pPr>
      <w:r w:rsidRPr="001669D9">
        <w:t>(</w:t>
      </w:r>
      <w:proofErr w:type="spellStart"/>
      <w:r w:rsidRPr="001669D9">
        <w:t>i</w:t>
      </w:r>
      <w:proofErr w:type="spellEnd"/>
      <w:r w:rsidRPr="001669D9">
        <w:t>)</w:t>
      </w:r>
      <w:r w:rsidRPr="001669D9">
        <w:tab/>
        <w:t>the corporate director will not treat members of the fund who hold shares of the same class equally</w:t>
      </w:r>
      <w:r w:rsidRPr="000300DD">
        <w:t xml:space="preserve"> to the extent that it </w:t>
      </w:r>
      <w:r w:rsidRPr="001669D9">
        <w:t>restricts withdrawal from the fund to authorised participants; and</w:t>
      </w:r>
    </w:p>
    <w:p w14:paraId="2446BCF0" w14:textId="26503AF8" w:rsidR="0092046D" w:rsidRPr="001669D9" w:rsidRDefault="0092046D" w:rsidP="003C5C31">
      <w:pPr>
        <w:pStyle w:val="LI-BodyTextSubparai"/>
        <w:ind w:left="3339" w:hanging="657"/>
      </w:pPr>
      <w:r w:rsidRPr="001669D9">
        <w:lastRenderedPageBreak/>
        <w:t xml:space="preserve">(ii) </w:t>
      </w:r>
      <w:r w:rsidRPr="001669D9">
        <w:tab/>
        <w:t xml:space="preserve">except in exceptional circumstances only authorised participants may withdraw from the fund, but other members of the fund may sell </w:t>
      </w:r>
      <w:r w:rsidRPr="000300DD">
        <w:t xml:space="preserve">their shares on the financial market operated by ASX or </w:t>
      </w:r>
      <w:proofErr w:type="spellStart"/>
      <w:r w:rsidRPr="000300DD">
        <w:t>Cboe</w:t>
      </w:r>
      <w:proofErr w:type="spellEnd"/>
      <w:r w:rsidRPr="000300DD">
        <w:t xml:space="preserve">; </w:t>
      </w:r>
      <w:r w:rsidRPr="001669D9">
        <w:t xml:space="preserve">and </w:t>
      </w:r>
    </w:p>
    <w:p w14:paraId="48CB080C" w14:textId="77777777" w:rsidR="0092046D" w:rsidRPr="001669D9" w:rsidRDefault="0092046D" w:rsidP="003C5C31">
      <w:pPr>
        <w:pStyle w:val="LI-BodyTextSubparai"/>
        <w:ind w:left="3339" w:hanging="657"/>
      </w:pPr>
      <w:r w:rsidRPr="001669D9">
        <w:t xml:space="preserve">(iii) </w:t>
      </w:r>
      <w:r w:rsidRPr="001669D9">
        <w:tab/>
        <w:t xml:space="preserve">when shares in the exchange traded fund are suspended from trading on the financial market operated by ASX or </w:t>
      </w:r>
      <w:proofErr w:type="spellStart"/>
      <w:r w:rsidRPr="001669D9">
        <w:t>Cboe</w:t>
      </w:r>
      <w:proofErr w:type="spellEnd"/>
      <w:r w:rsidRPr="001669D9">
        <w:t xml:space="preserve"> for more than 5 consecutive trading days, members of the fund have a right to withdraw from the fund and receive payment for their shares in money within a reasonable time of request unless any of the following apply:</w:t>
      </w:r>
    </w:p>
    <w:p w14:paraId="30008B6D" w14:textId="77777777" w:rsidR="0092046D" w:rsidRPr="001669D9" w:rsidRDefault="0092046D" w:rsidP="003C5C31">
      <w:pPr>
        <w:ind w:left="1866" w:hanging="698"/>
        <w:contextualSpacing/>
        <w:rPr>
          <w:sz w:val="24"/>
          <w:szCs w:val="24"/>
        </w:rPr>
      </w:pPr>
    </w:p>
    <w:p w14:paraId="1FF1B0FD" w14:textId="77777777" w:rsidR="0092046D" w:rsidRPr="001669D9" w:rsidRDefault="0092046D" w:rsidP="003C5C31">
      <w:pPr>
        <w:ind w:left="3816" w:hanging="567"/>
        <w:contextualSpacing/>
        <w:rPr>
          <w:sz w:val="24"/>
          <w:szCs w:val="24"/>
        </w:rPr>
      </w:pPr>
      <w:r w:rsidRPr="001669D9">
        <w:rPr>
          <w:sz w:val="24"/>
          <w:szCs w:val="24"/>
        </w:rPr>
        <w:t>(A)</w:t>
      </w:r>
      <w:r w:rsidRPr="001669D9">
        <w:rPr>
          <w:sz w:val="24"/>
          <w:szCs w:val="24"/>
        </w:rPr>
        <w:tab/>
        <w:t xml:space="preserve">the fund is being </w:t>
      </w:r>
      <w:proofErr w:type="gramStart"/>
      <w:r w:rsidRPr="001669D9">
        <w:rPr>
          <w:sz w:val="24"/>
          <w:szCs w:val="24"/>
        </w:rPr>
        <w:t>wound-up;</w:t>
      </w:r>
      <w:proofErr w:type="gramEnd"/>
    </w:p>
    <w:p w14:paraId="161F8BF7" w14:textId="77777777" w:rsidR="0092046D" w:rsidRPr="001669D9" w:rsidRDefault="0092046D" w:rsidP="003C5C31">
      <w:pPr>
        <w:ind w:left="3816" w:hanging="567"/>
        <w:contextualSpacing/>
        <w:rPr>
          <w:sz w:val="24"/>
          <w:szCs w:val="24"/>
        </w:rPr>
      </w:pPr>
    </w:p>
    <w:p w14:paraId="53494318" w14:textId="77777777" w:rsidR="0092046D" w:rsidRPr="001669D9" w:rsidRDefault="0092046D" w:rsidP="003C5C31">
      <w:pPr>
        <w:ind w:left="3816" w:hanging="567"/>
        <w:contextualSpacing/>
        <w:rPr>
          <w:sz w:val="24"/>
          <w:szCs w:val="24"/>
        </w:rPr>
      </w:pPr>
      <w:r w:rsidRPr="001669D9">
        <w:rPr>
          <w:sz w:val="24"/>
          <w:szCs w:val="24"/>
        </w:rPr>
        <w:t>(B)</w:t>
      </w:r>
      <w:r w:rsidRPr="001669D9">
        <w:rPr>
          <w:sz w:val="24"/>
          <w:szCs w:val="24"/>
        </w:rPr>
        <w:tab/>
        <w:t xml:space="preserve">section 1230H (about when a sub-fund is liquid) does not apply to the </w:t>
      </w:r>
      <w:proofErr w:type="gramStart"/>
      <w:r w:rsidRPr="001669D9">
        <w:rPr>
          <w:sz w:val="24"/>
          <w:szCs w:val="24"/>
        </w:rPr>
        <w:t>fund;</w:t>
      </w:r>
      <w:proofErr w:type="gramEnd"/>
    </w:p>
    <w:p w14:paraId="3C9FCAAF" w14:textId="77777777" w:rsidR="0092046D" w:rsidRPr="001669D9" w:rsidRDefault="0092046D" w:rsidP="003C5C31">
      <w:pPr>
        <w:ind w:left="3816" w:hanging="567"/>
        <w:contextualSpacing/>
        <w:rPr>
          <w:sz w:val="24"/>
          <w:szCs w:val="24"/>
        </w:rPr>
      </w:pPr>
    </w:p>
    <w:p w14:paraId="6119966F" w14:textId="5CA17A4A" w:rsidR="0092046D" w:rsidRPr="001669D9" w:rsidRDefault="0092046D" w:rsidP="003C5C31">
      <w:pPr>
        <w:ind w:left="3816" w:hanging="567"/>
        <w:contextualSpacing/>
        <w:rPr>
          <w:sz w:val="24"/>
          <w:szCs w:val="24"/>
        </w:rPr>
      </w:pPr>
      <w:r w:rsidRPr="001669D9">
        <w:rPr>
          <w:sz w:val="24"/>
          <w:szCs w:val="24"/>
        </w:rPr>
        <w:t>(C)</w:t>
      </w:r>
      <w:r w:rsidRPr="001669D9">
        <w:rPr>
          <w:sz w:val="24"/>
          <w:szCs w:val="24"/>
        </w:rPr>
        <w:tab/>
        <w:t xml:space="preserve">the CCIV suspends withdrawals in accordance with the constitution of the </w:t>
      </w:r>
      <w:proofErr w:type="gramStart"/>
      <w:r w:rsidRPr="001669D9">
        <w:rPr>
          <w:sz w:val="24"/>
          <w:szCs w:val="24"/>
        </w:rPr>
        <w:t>fund;</w:t>
      </w:r>
      <w:proofErr w:type="gramEnd"/>
      <w:r w:rsidRPr="001669D9">
        <w:rPr>
          <w:sz w:val="24"/>
          <w:szCs w:val="24"/>
        </w:rPr>
        <w:t xml:space="preserve"> </w:t>
      </w:r>
    </w:p>
    <w:p w14:paraId="617E7DFC" w14:textId="442B25DD" w:rsidR="0092046D" w:rsidRPr="00042977" w:rsidRDefault="0092046D" w:rsidP="00155B8F">
      <w:pPr>
        <w:pStyle w:val="LI-BodyTextSubparai"/>
        <w:numPr>
          <w:ilvl w:val="0"/>
          <w:numId w:val="22"/>
        </w:numPr>
      </w:pPr>
      <w:r w:rsidRPr="001669D9">
        <w:t>the constitution of the</w:t>
      </w:r>
      <w:r w:rsidR="005246D9">
        <w:t xml:space="preserve"> CCIV, in respect of </w:t>
      </w:r>
      <w:r w:rsidR="00066B18">
        <w:t>a</w:t>
      </w:r>
      <w:r w:rsidR="005246D9">
        <w:t xml:space="preserve"> sub-fund that is an</w:t>
      </w:r>
      <w:r w:rsidRPr="001669D9">
        <w:t xml:space="preserve"> exchange</w:t>
      </w:r>
      <w:r w:rsidR="005246D9">
        <w:t xml:space="preserve"> </w:t>
      </w:r>
      <w:r w:rsidRPr="001669D9">
        <w:t>traded fund</w:t>
      </w:r>
      <w:r w:rsidR="00822A73">
        <w:t>,</w:t>
      </w:r>
      <w:r w:rsidRPr="001669D9">
        <w:t xml:space="preserve"> does not permit a withdrawal fee per share in the fund to be payable by a member who is not an authorised participant that is greater than the withdrawal fee per share that would generally be payable by an authorised participant receiving redemption proceeds in cash while shares in the exchange traded fund are quoted when withdrawing the minimum parcel</w:t>
      </w:r>
      <w:r w:rsidR="00042977">
        <w:t xml:space="preserve">. </w:t>
      </w:r>
    </w:p>
    <w:p w14:paraId="4CB42987" w14:textId="70336AD9" w:rsidR="0092046D" w:rsidRPr="00042977" w:rsidRDefault="0092046D" w:rsidP="00573F74">
      <w:pPr>
        <w:pStyle w:val="LI-SectionNote"/>
        <w:ind w:left="3402" w:hanging="720"/>
        <w:rPr>
          <w:szCs w:val="18"/>
        </w:rPr>
      </w:pPr>
      <w:r w:rsidRPr="00042977">
        <w:rPr>
          <w:szCs w:val="18"/>
        </w:rPr>
        <w:t>Note:</w:t>
      </w:r>
      <w:r w:rsidRPr="00042977">
        <w:rPr>
          <w:szCs w:val="18"/>
        </w:rPr>
        <w:tab/>
      </w:r>
      <w:r w:rsidR="00B57B71">
        <w:rPr>
          <w:szCs w:val="18"/>
        </w:rPr>
        <w:t>P</w:t>
      </w:r>
      <w:r w:rsidRPr="00042977">
        <w:rPr>
          <w:szCs w:val="18"/>
        </w:rPr>
        <w:t>aragraph 5B(b) applies regardless of whether the withdrawal fees for the fund are calculated on a per share basis or otherwise.</w:t>
      </w:r>
    </w:p>
    <w:p w14:paraId="5C63963A" w14:textId="5EBBD441" w:rsidR="008D1EC1" w:rsidRPr="00CA3A25" w:rsidRDefault="000E5CF3" w:rsidP="008D1EC1">
      <w:pPr>
        <w:pStyle w:val="LI-BodyTextNumbered"/>
        <w:ind w:left="567"/>
        <w:rPr>
          <w:b/>
        </w:rPr>
      </w:pPr>
      <w:r>
        <w:rPr>
          <w:b/>
        </w:rPr>
        <w:t>6</w:t>
      </w:r>
      <w:r w:rsidR="00D95856">
        <w:rPr>
          <w:b/>
        </w:rPr>
        <w:t>9</w:t>
      </w:r>
      <w:r w:rsidR="008D1EC1" w:rsidRPr="00CA3A25">
        <w:rPr>
          <w:b/>
        </w:rPr>
        <w:tab/>
      </w:r>
      <w:r w:rsidR="008D1EC1">
        <w:rPr>
          <w:b/>
        </w:rPr>
        <w:t xml:space="preserve">Section 6 (heading) </w:t>
      </w:r>
    </w:p>
    <w:p w14:paraId="7387108D" w14:textId="77777777" w:rsidR="008D1EC1" w:rsidRDefault="008D1EC1" w:rsidP="008D1EC1">
      <w:pPr>
        <w:pStyle w:val="LI-BodyTextUnnumbered"/>
      </w:pPr>
      <w:r>
        <w:t xml:space="preserve">Repeal the heading, substitute: </w:t>
      </w:r>
    </w:p>
    <w:p w14:paraId="2B5FBEC3" w14:textId="6C32C97C" w:rsidR="007147D2" w:rsidRPr="00615DF7" w:rsidRDefault="007147D2" w:rsidP="008330CE">
      <w:pPr>
        <w:pStyle w:val="LI-SectionHeading"/>
        <w:ind w:left="1440" w:firstLine="0"/>
      </w:pPr>
      <w:r w:rsidRPr="001669D9">
        <w:t>Exemption—Unequal treatment in provision of information to authorised participants—responsible entities</w:t>
      </w:r>
    </w:p>
    <w:p w14:paraId="2E771285" w14:textId="5C7EEF38" w:rsidR="000E5CF3" w:rsidRDefault="00D95856" w:rsidP="00BB7585">
      <w:pPr>
        <w:pStyle w:val="LI-BodyTextNumbered"/>
        <w:ind w:left="567"/>
        <w:rPr>
          <w:b/>
        </w:rPr>
      </w:pPr>
      <w:r>
        <w:rPr>
          <w:b/>
        </w:rPr>
        <w:t>70</w:t>
      </w:r>
      <w:r w:rsidR="000E5CF3">
        <w:rPr>
          <w:b/>
        </w:rPr>
        <w:tab/>
      </w:r>
      <w:r w:rsidR="00B523B9">
        <w:rPr>
          <w:b/>
        </w:rPr>
        <w:t xml:space="preserve">Section </w:t>
      </w:r>
      <w:r w:rsidR="000E5CF3">
        <w:rPr>
          <w:b/>
        </w:rPr>
        <w:t>7</w:t>
      </w:r>
    </w:p>
    <w:p w14:paraId="50C2C75E" w14:textId="1CD49B3D" w:rsidR="00B523B9" w:rsidRDefault="000E5CF3" w:rsidP="000E5CF3">
      <w:pPr>
        <w:pStyle w:val="LI-BodyTextUnnumbered"/>
      </w:pPr>
      <w:r w:rsidRPr="000E5CF3">
        <w:t xml:space="preserve">Repeal the </w:t>
      </w:r>
      <w:r w:rsidR="00B523B9">
        <w:t xml:space="preserve">section, substitute: </w:t>
      </w:r>
    </w:p>
    <w:p w14:paraId="14F4AF2A" w14:textId="77777777" w:rsidR="00F04B47" w:rsidRDefault="00B523B9" w:rsidP="00F2578A">
      <w:pPr>
        <w:pStyle w:val="LI-BodyTextSubparai"/>
        <w:ind w:left="1985"/>
      </w:pPr>
      <w:r>
        <w:t xml:space="preserve">7. </w:t>
      </w:r>
      <w:r>
        <w:tab/>
      </w:r>
      <w:r w:rsidRPr="001669D9">
        <w:t xml:space="preserve">The exemption applies where there is a Product Disclosure Statement in relation to interests in the exchange traded fund that are or will be able to be traded on a financial market operated by ASX or </w:t>
      </w:r>
      <w:proofErr w:type="spellStart"/>
      <w:r w:rsidRPr="001669D9">
        <w:t>Cboe</w:t>
      </w:r>
      <w:proofErr w:type="spellEnd"/>
      <w:r w:rsidRPr="001669D9">
        <w:t xml:space="preserve"> that contains a statement to the effect that the responsible entity will provide information about the index that </w:t>
      </w:r>
      <w:r w:rsidRPr="001669D9">
        <w:lastRenderedPageBreak/>
        <w:t>the fund aims to track as its investment strategy and the number and identity of securities in the fund to authorised participants before other members</w:t>
      </w:r>
      <w:r>
        <w:t xml:space="preserve">. </w:t>
      </w:r>
    </w:p>
    <w:p w14:paraId="6693FD98" w14:textId="11E8398E" w:rsidR="008330CE" w:rsidRPr="00BB7585" w:rsidRDefault="001E52BA" w:rsidP="00AA146E">
      <w:pPr>
        <w:pStyle w:val="LI-BodyTextSubparai"/>
        <w:ind w:left="567"/>
        <w:rPr>
          <w:b/>
        </w:rPr>
      </w:pPr>
      <w:r>
        <w:rPr>
          <w:b/>
        </w:rPr>
        <w:t>7</w:t>
      </w:r>
      <w:r w:rsidR="00D95856">
        <w:rPr>
          <w:b/>
        </w:rPr>
        <w:t>1</w:t>
      </w:r>
      <w:r w:rsidR="008330CE" w:rsidRPr="00BB7585">
        <w:rPr>
          <w:b/>
        </w:rPr>
        <w:tab/>
        <w:t>After section 8</w:t>
      </w:r>
    </w:p>
    <w:p w14:paraId="1642B05D" w14:textId="2EDBCBA0" w:rsidR="00615DF7" w:rsidRPr="00FD7F36" w:rsidRDefault="008330CE" w:rsidP="00DB2558">
      <w:pPr>
        <w:pStyle w:val="LI-BodyTextUnnumbered"/>
        <w:spacing w:after="240"/>
      </w:pPr>
      <w:r>
        <w:t>Insert:</w:t>
      </w:r>
    </w:p>
    <w:p w14:paraId="3DDC0FBE" w14:textId="5877578A" w:rsidR="003F18E1" w:rsidRPr="00060A86" w:rsidRDefault="003F18E1" w:rsidP="00060A86">
      <w:pPr>
        <w:pStyle w:val="LI-SectionHeading"/>
        <w:ind w:left="1440" w:firstLine="0"/>
      </w:pPr>
      <w:r w:rsidRPr="001669D9">
        <w:t>Exemption—Unequal treatment in provision of information to authorised participants—corporate directors</w:t>
      </w:r>
    </w:p>
    <w:p w14:paraId="528E3F9B" w14:textId="6444F4A2" w:rsidR="003F18E1" w:rsidRPr="001669D9" w:rsidRDefault="003F18E1" w:rsidP="008C6141">
      <w:pPr>
        <w:pStyle w:val="LI-BodyTextSubparai"/>
        <w:ind w:left="2007"/>
      </w:pPr>
      <w:r w:rsidRPr="001669D9">
        <w:t>8A.</w:t>
      </w:r>
      <w:r w:rsidRPr="001669D9">
        <w:tab/>
        <w:t xml:space="preserve">A corporate director of an exchange traded fund does not have </w:t>
      </w:r>
      <w:r w:rsidRPr="00FD7F36">
        <w:t xml:space="preserve">to comply with paragraph 1224D(2)(b) of the Act to the extent that it would prevent the </w:t>
      </w:r>
      <w:r w:rsidRPr="001669D9">
        <w:t xml:space="preserve">corporate director </w:t>
      </w:r>
      <w:r w:rsidRPr="00FD7F36">
        <w:t xml:space="preserve">from </w:t>
      </w:r>
      <w:r w:rsidRPr="001669D9">
        <w:t xml:space="preserve">providing information to authorised participants before other members about: </w:t>
      </w:r>
    </w:p>
    <w:p w14:paraId="362B084F" w14:textId="4B89509D" w:rsidR="003F18E1" w:rsidRDefault="00F04B47" w:rsidP="00AA146E">
      <w:pPr>
        <w:pStyle w:val="LI-BodyTextSubparai"/>
        <w:ind w:left="2880" w:hanging="720"/>
      </w:pPr>
      <w:r>
        <w:t xml:space="preserve">(a) </w:t>
      </w:r>
      <w:r>
        <w:tab/>
      </w:r>
      <w:r w:rsidR="003F18E1" w:rsidRPr="001669D9">
        <w:t>the index the fund aims to track as its investment strategy; and</w:t>
      </w:r>
    </w:p>
    <w:p w14:paraId="2BEA80DD" w14:textId="47BF7D8D" w:rsidR="003F18E1" w:rsidRPr="00DC4831" w:rsidRDefault="00F04B47" w:rsidP="00AA146E">
      <w:pPr>
        <w:pStyle w:val="LI-BodyTextSubparai"/>
        <w:ind w:left="2115" w:firstLine="45"/>
      </w:pPr>
      <w:r>
        <w:t xml:space="preserve">(b) </w:t>
      </w:r>
      <w:r>
        <w:tab/>
      </w:r>
      <w:r w:rsidR="003F18E1" w:rsidRPr="00FD7F36">
        <w:t>assets of the fund specifying:</w:t>
      </w:r>
    </w:p>
    <w:p w14:paraId="5E5E60AC" w14:textId="77777777" w:rsidR="003F18E1" w:rsidRPr="001669D9" w:rsidRDefault="003F18E1" w:rsidP="003F18E1">
      <w:pPr>
        <w:pStyle w:val="LI-BodyTextSubparai"/>
        <w:ind w:left="3339" w:hanging="657"/>
      </w:pPr>
      <w:r w:rsidRPr="001669D9">
        <w:t>(</w:t>
      </w:r>
      <w:proofErr w:type="spellStart"/>
      <w:r w:rsidRPr="001669D9">
        <w:t>i</w:t>
      </w:r>
      <w:proofErr w:type="spellEnd"/>
      <w:r w:rsidRPr="001669D9">
        <w:t>)</w:t>
      </w:r>
      <w:r w:rsidRPr="001669D9">
        <w:tab/>
        <w:t>the number and class of securities</w:t>
      </w:r>
      <w:r>
        <w:t xml:space="preserve"> and </w:t>
      </w:r>
      <w:r w:rsidRPr="001669D9">
        <w:t>any other property required to acquire securities in the fund acquired by authorised participants on the trading day that first ends after the information is provided; and</w:t>
      </w:r>
    </w:p>
    <w:p w14:paraId="65AF7DC6" w14:textId="77777777" w:rsidR="003F18E1" w:rsidRPr="00FD7F36" w:rsidRDefault="003F18E1" w:rsidP="003F18E1">
      <w:pPr>
        <w:pStyle w:val="LI-BodyTextSubparai"/>
        <w:ind w:left="3339" w:hanging="657"/>
      </w:pPr>
      <w:r w:rsidRPr="001669D9">
        <w:t>(ii)</w:t>
      </w:r>
      <w:r w:rsidRPr="001669D9">
        <w:tab/>
        <w:t>the number and class of securities</w:t>
      </w:r>
      <w:r>
        <w:t xml:space="preserve"> and</w:t>
      </w:r>
      <w:r w:rsidRPr="001669D9">
        <w:t xml:space="preserve"> any other property required to acquire securities in the fund disposed of by participants on the trading day that first ends after the information is provided.</w:t>
      </w:r>
    </w:p>
    <w:p w14:paraId="18790639" w14:textId="77777777" w:rsidR="003F18E1" w:rsidRPr="00FD7F36" w:rsidRDefault="003F18E1" w:rsidP="003F18E1">
      <w:pPr>
        <w:pStyle w:val="LI-BodyTextSubparai"/>
        <w:ind w:left="2007"/>
        <w:rPr>
          <w:i/>
        </w:rPr>
      </w:pPr>
      <w:r w:rsidRPr="001669D9">
        <w:rPr>
          <w:i/>
        </w:rPr>
        <w:t xml:space="preserve">Where the exemption applies </w:t>
      </w:r>
    </w:p>
    <w:p w14:paraId="75F084C2" w14:textId="77777777" w:rsidR="003F18E1" w:rsidRDefault="003F18E1" w:rsidP="003F18E1">
      <w:pPr>
        <w:pStyle w:val="LI-BodyTextSubparai"/>
        <w:ind w:left="2007"/>
      </w:pPr>
      <w:r w:rsidRPr="001669D9">
        <w:t>8B.</w:t>
      </w:r>
      <w:r w:rsidRPr="001669D9">
        <w:tab/>
        <w:t xml:space="preserve">The exemption applies where there is a Product Disclosure Statement in relation to shares in the exchange traded fund that are or will be able to be traded on a financial market operated by ASX or </w:t>
      </w:r>
      <w:proofErr w:type="spellStart"/>
      <w:r w:rsidRPr="001669D9">
        <w:t>Cboe</w:t>
      </w:r>
      <w:proofErr w:type="spellEnd"/>
      <w:r w:rsidRPr="001669D9">
        <w:t xml:space="preserve"> that contains a statement to the effect that the corporate director will provide information about the index that the fund aims to track as its investment strategy and the number and identity of shares in the fund to authorised participants before other </w:t>
      </w:r>
      <w:proofErr w:type="gramStart"/>
      <w:r w:rsidRPr="001669D9">
        <w:t>members;</w:t>
      </w:r>
      <w:proofErr w:type="gramEnd"/>
      <w:r w:rsidRPr="001669D9">
        <w:t xml:space="preserve"> </w:t>
      </w:r>
    </w:p>
    <w:p w14:paraId="2721EE54" w14:textId="77777777" w:rsidR="003F18E1" w:rsidRPr="001669D9" w:rsidRDefault="003F18E1" w:rsidP="003F18E1">
      <w:pPr>
        <w:pStyle w:val="LI-BodyTextSubparai"/>
        <w:ind w:left="2007"/>
        <w:rPr>
          <w:i/>
        </w:rPr>
      </w:pPr>
      <w:r w:rsidRPr="001669D9">
        <w:rPr>
          <w:i/>
        </w:rPr>
        <w:t>Conditions</w:t>
      </w:r>
    </w:p>
    <w:p w14:paraId="10ED92C5" w14:textId="2C46CC18" w:rsidR="003F18E1" w:rsidRPr="001669D9" w:rsidRDefault="003F18E1" w:rsidP="008608F9">
      <w:pPr>
        <w:pStyle w:val="LI-BodyTextSubparai"/>
        <w:ind w:left="2007"/>
      </w:pPr>
      <w:r w:rsidRPr="001669D9">
        <w:t>8C.</w:t>
      </w:r>
      <w:r w:rsidRPr="001669D9">
        <w:tab/>
        <w:t>The corporate director must:</w:t>
      </w:r>
    </w:p>
    <w:p w14:paraId="05244EE2" w14:textId="77777777" w:rsidR="003F18E1" w:rsidRPr="001669D9" w:rsidRDefault="003F18E1" w:rsidP="00155B8F">
      <w:pPr>
        <w:pStyle w:val="LI-BodyTextSubparai"/>
        <w:numPr>
          <w:ilvl w:val="0"/>
          <w:numId w:val="6"/>
        </w:numPr>
      </w:pPr>
      <w:r w:rsidRPr="001669D9">
        <w:t xml:space="preserve">publicly disclose any information which has been disclosed to authorised participants as permitted by the exemption before the commencement of the trading </w:t>
      </w:r>
      <w:r w:rsidRPr="001669D9">
        <w:lastRenderedPageBreak/>
        <w:t>day after the day on which such disclosure was made to authorised participants; and</w:t>
      </w:r>
    </w:p>
    <w:p w14:paraId="7076AA3C" w14:textId="11AB3C26" w:rsidR="003F18E1" w:rsidRPr="00573F74" w:rsidRDefault="003F18E1" w:rsidP="00155B8F">
      <w:pPr>
        <w:pStyle w:val="LI-BodyTextSubparai"/>
        <w:numPr>
          <w:ilvl w:val="0"/>
          <w:numId w:val="6"/>
        </w:numPr>
      </w:pPr>
      <w:r w:rsidRPr="00FD7F36">
        <w:t xml:space="preserve">take reasonable steps to ensure that the following information is publicly available and </w:t>
      </w:r>
      <w:r w:rsidRPr="001669D9">
        <w:t>updated every 15 minutes during each trading day</w:t>
      </w:r>
      <w:r w:rsidRPr="00FD7F36">
        <w:t>:</w:t>
      </w:r>
    </w:p>
    <w:p w14:paraId="136DA2DB" w14:textId="77777777" w:rsidR="003F18E1" w:rsidRPr="001669D9" w:rsidRDefault="003F18E1" w:rsidP="00573F74">
      <w:pPr>
        <w:pStyle w:val="LI-BodyTextSubparai"/>
        <w:ind w:left="3600" w:hanging="657"/>
      </w:pPr>
      <w:r w:rsidRPr="001669D9">
        <w:t>(</w:t>
      </w:r>
      <w:proofErr w:type="spellStart"/>
      <w:r w:rsidRPr="001669D9">
        <w:t>i</w:t>
      </w:r>
      <w:proofErr w:type="spellEnd"/>
      <w:r w:rsidRPr="001669D9">
        <w:t>)</w:t>
      </w:r>
      <w:r w:rsidRPr="001669D9">
        <w:tab/>
        <w:t>where the exchange traded fund has only one class of shares—the indicative net asset value per share in the exchange traded fund; or</w:t>
      </w:r>
    </w:p>
    <w:p w14:paraId="3B80F865" w14:textId="2A96CD16" w:rsidR="00C83F83" w:rsidRPr="00573F74" w:rsidRDefault="003F18E1" w:rsidP="00573F74">
      <w:pPr>
        <w:pStyle w:val="LI-BodyTextSubparai"/>
        <w:ind w:left="3600" w:hanging="657"/>
      </w:pPr>
      <w:r w:rsidRPr="001669D9">
        <w:t>(ii)</w:t>
      </w:r>
      <w:r w:rsidRPr="001669D9">
        <w:tab/>
        <w:t>otherwise—the indicative net asset value per share for each class of shares.</w:t>
      </w:r>
    </w:p>
    <w:p w14:paraId="749DF0A4" w14:textId="6EF7C55E" w:rsidR="00F73799" w:rsidRPr="00CA3A25" w:rsidRDefault="000D5C42" w:rsidP="00F73799">
      <w:pPr>
        <w:pStyle w:val="LI-BodyTextNumbered"/>
        <w:ind w:left="567"/>
        <w:rPr>
          <w:b/>
        </w:rPr>
      </w:pPr>
      <w:r>
        <w:rPr>
          <w:b/>
        </w:rPr>
        <w:t>7</w:t>
      </w:r>
      <w:r w:rsidR="00D95856">
        <w:rPr>
          <w:b/>
        </w:rPr>
        <w:t>2</w:t>
      </w:r>
      <w:r w:rsidR="00F73799" w:rsidRPr="00CA3A25">
        <w:rPr>
          <w:b/>
        </w:rPr>
        <w:tab/>
      </w:r>
      <w:r w:rsidR="00F73799">
        <w:rPr>
          <w:b/>
        </w:rPr>
        <w:t xml:space="preserve">Section 9 (heading) </w:t>
      </w:r>
    </w:p>
    <w:p w14:paraId="4D12A83E" w14:textId="79B5AE3B" w:rsidR="00F73799" w:rsidRDefault="00F73799" w:rsidP="00F73799">
      <w:pPr>
        <w:pStyle w:val="LI-BodyTextUnnumbered"/>
      </w:pPr>
      <w:r>
        <w:t xml:space="preserve">Repeal the heading, substitute: </w:t>
      </w:r>
    </w:p>
    <w:p w14:paraId="2AB4D8D1" w14:textId="6C346FC5" w:rsidR="00F73799" w:rsidRPr="00615DF7" w:rsidRDefault="00F73799" w:rsidP="00F73799">
      <w:pPr>
        <w:pStyle w:val="LI-SectionHeading"/>
        <w:ind w:left="1440" w:firstLine="0"/>
      </w:pPr>
      <w:r w:rsidRPr="00F73799">
        <w:t>Exemption—Ongoing disclosure for ETFs and managed funds—responsible entit</w:t>
      </w:r>
      <w:r w:rsidR="006836C2">
        <w:t>ies</w:t>
      </w:r>
    </w:p>
    <w:p w14:paraId="4D22B2A4" w14:textId="7462E644" w:rsidR="00D81493" w:rsidRDefault="000D5C42" w:rsidP="00D81493">
      <w:pPr>
        <w:pStyle w:val="LI-BodyTextNumbered"/>
        <w:ind w:left="567"/>
        <w:rPr>
          <w:b/>
        </w:rPr>
      </w:pPr>
      <w:r>
        <w:rPr>
          <w:b/>
        </w:rPr>
        <w:t>7</w:t>
      </w:r>
      <w:r w:rsidR="00D95856">
        <w:rPr>
          <w:b/>
        </w:rPr>
        <w:t>3</w:t>
      </w:r>
      <w:r w:rsidR="00D81493" w:rsidRPr="00CA3A25">
        <w:rPr>
          <w:b/>
        </w:rPr>
        <w:tab/>
      </w:r>
      <w:r w:rsidR="00D81493">
        <w:rPr>
          <w:b/>
        </w:rPr>
        <w:t>After section 10</w:t>
      </w:r>
    </w:p>
    <w:p w14:paraId="530D8C62" w14:textId="58AA7A0C" w:rsidR="004645C4" w:rsidRPr="008C6141" w:rsidRDefault="004645C4" w:rsidP="004645C4">
      <w:pPr>
        <w:pStyle w:val="LI-BodyTextUnnumbered"/>
        <w:spacing w:after="240"/>
      </w:pPr>
      <w:r w:rsidRPr="008C6141">
        <w:t xml:space="preserve">Insert: </w:t>
      </w:r>
    </w:p>
    <w:p w14:paraId="6510BFAE" w14:textId="728CAECB" w:rsidR="004645C4" w:rsidRPr="004645C4" w:rsidRDefault="004645C4" w:rsidP="004645C4">
      <w:pPr>
        <w:pStyle w:val="LI-SectionHeading"/>
        <w:ind w:left="1440" w:firstLine="0"/>
      </w:pPr>
      <w:r w:rsidRPr="004645C4">
        <w:t>Exemption—Ongoing disclosure for ETFs and managed funds—CCIV</w:t>
      </w:r>
      <w:r w:rsidR="00B3010B">
        <w:t>s</w:t>
      </w:r>
    </w:p>
    <w:p w14:paraId="69E61390" w14:textId="00CCA99A" w:rsidR="008C6141" w:rsidRPr="008C6141" w:rsidRDefault="004645C4" w:rsidP="008C6141">
      <w:pPr>
        <w:pStyle w:val="LI-BodyTextSubparai"/>
        <w:ind w:left="2007"/>
      </w:pPr>
      <w:r w:rsidRPr="001669D9">
        <w:t xml:space="preserve">10A.  Where a sub-fund of a CCIV is an exchange traded fund or a managed fund whose shares are in a class of shares that are able to be traded on a financial market operated by ASX or </w:t>
      </w:r>
      <w:proofErr w:type="spellStart"/>
      <w:r w:rsidRPr="001669D9">
        <w:t>Cboe</w:t>
      </w:r>
      <w:proofErr w:type="spellEnd"/>
      <w:r w:rsidRPr="001669D9">
        <w:t>, the CCIV does not have to comply with section 1017B of the Act for as long as the conditions in section 10B are met.</w:t>
      </w:r>
    </w:p>
    <w:p w14:paraId="36A08A8A" w14:textId="7F0255F7" w:rsidR="004645C4" w:rsidRPr="008C6141" w:rsidRDefault="004645C4" w:rsidP="008C6141">
      <w:pPr>
        <w:pStyle w:val="LI-SectionNote"/>
        <w:ind w:left="2727" w:hanging="720"/>
        <w:rPr>
          <w:szCs w:val="18"/>
        </w:rPr>
      </w:pPr>
      <w:r w:rsidRPr="008C6141">
        <w:rPr>
          <w:szCs w:val="18"/>
        </w:rPr>
        <w:t>Note:</w:t>
      </w:r>
      <w:r w:rsidRPr="008C6141">
        <w:rPr>
          <w:szCs w:val="18"/>
        </w:rPr>
        <w:tab/>
        <w:t xml:space="preserve">Section 1017B of the Act applies to a CCIV subject to the modifications set out in Division 4 of Part 8B.4: see sections 1241 and 1241Z. </w:t>
      </w:r>
    </w:p>
    <w:p w14:paraId="4CC0B083" w14:textId="0580DA8C" w:rsidR="004645C4" w:rsidRPr="008C6141" w:rsidRDefault="004645C4" w:rsidP="008C6141">
      <w:pPr>
        <w:pStyle w:val="LI-BodyTextSubparai"/>
        <w:ind w:left="2007"/>
        <w:rPr>
          <w:i/>
        </w:rPr>
      </w:pPr>
      <w:r w:rsidRPr="001669D9">
        <w:rPr>
          <w:i/>
        </w:rPr>
        <w:t>Conditions</w:t>
      </w:r>
    </w:p>
    <w:p w14:paraId="12F40BE8" w14:textId="6CB0BDD6" w:rsidR="004645C4" w:rsidRPr="001669D9" w:rsidRDefault="004645C4" w:rsidP="008C6141">
      <w:pPr>
        <w:pStyle w:val="LI-BodyTextSubparai"/>
        <w:ind w:left="2007"/>
      </w:pPr>
      <w:r w:rsidRPr="001669D9">
        <w:t>10B.</w:t>
      </w:r>
      <w:r w:rsidRPr="001669D9">
        <w:tab/>
        <w:t>The CCIV must:</w:t>
      </w:r>
    </w:p>
    <w:p w14:paraId="4CC1C023" w14:textId="3CB879BE" w:rsidR="004645C4" w:rsidRPr="008C6141" w:rsidRDefault="004645C4" w:rsidP="00155B8F">
      <w:pPr>
        <w:pStyle w:val="LI-BodyTextSubparai"/>
        <w:numPr>
          <w:ilvl w:val="0"/>
          <w:numId w:val="7"/>
        </w:numPr>
      </w:pPr>
      <w:r w:rsidRPr="008C6141">
        <w:t>comply with section 675 of the Act as if the CCIV</w:t>
      </w:r>
      <w:r w:rsidR="008C6141" w:rsidRPr="008C6141">
        <w:t xml:space="preserve"> </w:t>
      </w:r>
      <w:r w:rsidRPr="008C6141">
        <w:t>were an unlisted disclosing entity; and</w:t>
      </w:r>
    </w:p>
    <w:p w14:paraId="2DA082B8" w14:textId="45D336E8" w:rsidR="004645C4" w:rsidRPr="00A6169A" w:rsidRDefault="004645C4" w:rsidP="00155B8F">
      <w:pPr>
        <w:pStyle w:val="LI-BodyTextSubparai"/>
        <w:numPr>
          <w:ilvl w:val="0"/>
          <w:numId w:val="7"/>
        </w:numPr>
      </w:pPr>
      <w:r w:rsidRPr="00A6169A">
        <w:t>include statements in any Product Disclosure Statement for shares in the CCIV (in respect of the sub-fund) to the effect that the CCIV will comply with the continuous disclosure requirements of the Act as if the CCIV</w:t>
      </w:r>
      <w:r w:rsidR="008C6141" w:rsidRPr="00A6169A">
        <w:t xml:space="preserve"> </w:t>
      </w:r>
      <w:r w:rsidRPr="00A6169A">
        <w:t>were an unlisted disclosing entity.</w:t>
      </w:r>
    </w:p>
    <w:p w14:paraId="4C91D279" w14:textId="423EB74A" w:rsidR="00D81493" w:rsidRPr="008C6141" w:rsidRDefault="004645C4" w:rsidP="00AA146E">
      <w:pPr>
        <w:pStyle w:val="LI-SectionNote"/>
        <w:ind w:left="2682" w:hanging="675"/>
        <w:rPr>
          <w:szCs w:val="18"/>
        </w:rPr>
      </w:pPr>
      <w:r w:rsidRPr="008C6141">
        <w:rPr>
          <w:szCs w:val="18"/>
        </w:rPr>
        <w:t>Note:</w:t>
      </w:r>
      <w:r w:rsidRPr="008C6141">
        <w:rPr>
          <w:szCs w:val="18"/>
        </w:rPr>
        <w:tab/>
        <w:t xml:space="preserve">Section 675 has a modified operation in relation to securities in a CCIV: see section 1240F.  </w:t>
      </w:r>
      <w:r w:rsidR="00D81493" w:rsidRPr="008C6141">
        <w:rPr>
          <w:szCs w:val="18"/>
        </w:rPr>
        <w:t xml:space="preserve"> </w:t>
      </w:r>
    </w:p>
    <w:p w14:paraId="1704189D" w14:textId="0A4F15C0" w:rsidR="009D68FF" w:rsidRDefault="000D5C42" w:rsidP="00F73799">
      <w:pPr>
        <w:pStyle w:val="LI-BodyTextNumbered"/>
        <w:ind w:left="567"/>
        <w:rPr>
          <w:b/>
        </w:rPr>
      </w:pPr>
      <w:r>
        <w:rPr>
          <w:b/>
        </w:rPr>
        <w:lastRenderedPageBreak/>
        <w:t>7</w:t>
      </w:r>
      <w:r w:rsidR="009947F9">
        <w:rPr>
          <w:b/>
        </w:rPr>
        <w:t>4</w:t>
      </w:r>
      <w:r w:rsidR="009D68FF">
        <w:rPr>
          <w:b/>
        </w:rPr>
        <w:tab/>
        <w:t xml:space="preserve">Section 11 (notional </w:t>
      </w:r>
      <w:r w:rsidR="00650A9D">
        <w:rPr>
          <w:b/>
        </w:rPr>
        <w:t xml:space="preserve">subsection 609(19A) </w:t>
      </w:r>
      <w:r w:rsidR="00AC5AFD">
        <w:rPr>
          <w:b/>
        </w:rPr>
        <w:t>of the Act)</w:t>
      </w:r>
      <w:r w:rsidR="00F93D90">
        <w:rPr>
          <w:b/>
        </w:rPr>
        <w:t xml:space="preserve"> (heading)</w:t>
      </w:r>
    </w:p>
    <w:p w14:paraId="24E2A9F5" w14:textId="7B42DF7E" w:rsidR="00AC5AFD" w:rsidRDefault="00AC5AFD" w:rsidP="00AC5AFD">
      <w:pPr>
        <w:pStyle w:val="LI-BodyTextUnnumbered"/>
      </w:pPr>
      <w:r>
        <w:t xml:space="preserve">Repeal the heading, substitute: </w:t>
      </w:r>
    </w:p>
    <w:p w14:paraId="0603D554" w14:textId="4D848785" w:rsidR="00AC5AFD" w:rsidRPr="00AC5AFD" w:rsidRDefault="00AC5AFD" w:rsidP="00AC5AFD">
      <w:pPr>
        <w:pStyle w:val="LI-SectionHeading"/>
        <w:ind w:left="1440" w:firstLine="0"/>
        <w:rPr>
          <w:b w:val="0"/>
        </w:rPr>
      </w:pPr>
      <w:r w:rsidRPr="00AC5AFD">
        <w:rPr>
          <w:b w:val="0"/>
          <w:i/>
        </w:rPr>
        <w:t>ETFs</w:t>
      </w:r>
      <w:r w:rsidRPr="00AC5AFD">
        <w:rPr>
          <w:b w:val="0"/>
          <w:bCs/>
          <w:i/>
          <w:lang w:val="en-US"/>
        </w:rPr>
        <w:t>—registered schemes</w:t>
      </w:r>
    </w:p>
    <w:p w14:paraId="78367089" w14:textId="209A33D6" w:rsidR="00B93B80" w:rsidRPr="00B93B80" w:rsidRDefault="000D5C42" w:rsidP="003C2FD0">
      <w:pPr>
        <w:pStyle w:val="LI-BodyTextNumbered"/>
        <w:keepNext/>
        <w:ind w:left="567"/>
        <w:rPr>
          <w:b/>
        </w:rPr>
      </w:pPr>
      <w:r>
        <w:rPr>
          <w:b/>
        </w:rPr>
        <w:t>7</w:t>
      </w:r>
      <w:r w:rsidR="009947F9">
        <w:rPr>
          <w:b/>
        </w:rPr>
        <w:t>5</w:t>
      </w:r>
      <w:r w:rsidR="00B93B80">
        <w:rPr>
          <w:b/>
        </w:rPr>
        <w:t xml:space="preserve"> </w:t>
      </w:r>
      <w:r w:rsidR="00B93B80">
        <w:rPr>
          <w:b/>
        </w:rPr>
        <w:tab/>
        <w:t xml:space="preserve">Section 11 </w:t>
      </w:r>
      <w:r w:rsidR="00D31813">
        <w:rPr>
          <w:b/>
        </w:rPr>
        <w:t xml:space="preserve">(notional </w:t>
      </w:r>
      <w:r w:rsidR="00662FA9">
        <w:rPr>
          <w:b/>
        </w:rPr>
        <w:t xml:space="preserve">subsection </w:t>
      </w:r>
      <w:r w:rsidR="00D31813">
        <w:rPr>
          <w:b/>
        </w:rPr>
        <w:t xml:space="preserve">609(19E) of the Act) </w:t>
      </w:r>
      <w:r w:rsidR="00B93B80">
        <w:rPr>
          <w:b/>
        </w:rPr>
        <w:t xml:space="preserve">(definition of </w:t>
      </w:r>
      <w:r w:rsidR="00B93B80">
        <w:rPr>
          <w:b/>
          <w:i/>
        </w:rPr>
        <w:t>trading day</w:t>
      </w:r>
      <w:r w:rsidR="00B93B80">
        <w:rPr>
          <w:b/>
        </w:rPr>
        <w:t>)</w:t>
      </w:r>
    </w:p>
    <w:p w14:paraId="300D95BC" w14:textId="61496CC0" w:rsidR="00B93B80" w:rsidRPr="009B3C04" w:rsidRDefault="00B93B80" w:rsidP="009B3C04">
      <w:pPr>
        <w:pStyle w:val="LI-BodyTextUnnumbered"/>
      </w:pPr>
      <w:r>
        <w:rPr>
          <w:b/>
        </w:rPr>
        <w:t xml:space="preserve"> </w:t>
      </w:r>
      <w:r>
        <w:t xml:space="preserve">Omit “”.” </w:t>
      </w:r>
      <w:r w:rsidRPr="00B93B80">
        <w:t xml:space="preserve"> </w:t>
      </w:r>
    </w:p>
    <w:p w14:paraId="62C902D3" w14:textId="554738AA" w:rsidR="003C2FD0" w:rsidRDefault="000D5C42" w:rsidP="003C2FD0">
      <w:pPr>
        <w:pStyle w:val="LI-BodyTextNumbered"/>
        <w:keepNext/>
        <w:ind w:left="567"/>
        <w:rPr>
          <w:b/>
        </w:rPr>
      </w:pPr>
      <w:r>
        <w:rPr>
          <w:b/>
        </w:rPr>
        <w:t>7</w:t>
      </w:r>
      <w:r w:rsidR="009947F9">
        <w:rPr>
          <w:b/>
        </w:rPr>
        <w:t>6</w:t>
      </w:r>
      <w:r w:rsidR="003C2FD0" w:rsidRPr="00CA3A25">
        <w:rPr>
          <w:b/>
        </w:rPr>
        <w:tab/>
      </w:r>
      <w:r w:rsidR="00FC6D35">
        <w:rPr>
          <w:b/>
        </w:rPr>
        <w:t>S</w:t>
      </w:r>
      <w:r w:rsidR="000D50F0">
        <w:rPr>
          <w:b/>
        </w:rPr>
        <w:t>ection 11</w:t>
      </w:r>
      <w:r w:rsidR="003C2FD0">
        <w:rPr>
          <w:b/>
        </w:rPr>
        <w:t xml:space="preserve"> (</w:t>
      </w:r>
      <w:r w:rsidR="006050BD">
        <w:rPr>
          <w:b/>
        </w:rPr>
        <w:t>after</w:t>
      </w:r>
      <w:r w:rsidR="00FC6D35">
        <w:rPr>
          <w:b/>
        </w:rPr>
        <w:t xml:space="preserve"> </w:t>
      </w:r>
      <w:r w:rsidR="003C2FD0">
        <w:rPr>
          <w:b/>
        </w:rPr>
        <w:t xml:space="preserve">notional </w:t>
      </w:r>
      <w:r w:rsidR="00BA7A1A">
        <w:rPr>
          <w:b/>
        </w:rPr>
        <w:t xml:space="preserve">subsection </w:t>
      </w:r>
      <w:r w:rsidR="005824EA">
        <w:rPr>
          <w:b/>
        </w:rPr>
        <w:t>609</w:t>
      </w:r>
      <w:r w:rsidR="009D2DC3">
        <w:rPr>
          <w:b/>
        </w:rPr>
        <w:t>(19</w:t>
      </w:r>
      <w:r w:rsidR="00D31813">
        <w:rPr>
          <w:b/>
        </w:rPr>
        <w:t>E</w:t>
      </w:r>
      <w:r w:rsidR="009D2DC3">
        <w:rPr>
          <w:b/>
        </w:rPr>
        <w:t>)</w:t>
      </w:r>
      <w:r w:rsidR="005824EA">
        <w:rPr>
          <w:b/>
        </w:rPr>
        <w:t xml:space="preserve"> of the Act)</w:t>
      </w:r>
    </w:p>
    <w:p w14:paraId="103A2748" w14:textId="2A85110B" w:rsidR="005824EA" w:rsidRPr="005824EA" w:rsidRDefault="005824EA" w:rsidP="005824EA">
      <w:pPr>
        <w:pStyle w:val="LI-BodyTextUnnumbered"/>
        <w:spacing w:after="240"/>
        <w:rPr>
          <w:szCs w:val="24"/>
        </w:rPr>
      </w:pPr>
      <w:r>
        <w:rPr>
          <w:szCs w:val="24"/>
        </w:rPr>
        <w:t xml:space="preserve">Insert: </w:t>
      </w:r>
    </w:p>
    <w:p w14:paraId="461EA28C" w14:textId="67498B69" w:rsidR="005824EA" w:rsidRPr="00C12FCB" w:rsidRDefault="005824EA" w:rsidP="00C12FCB">
      <w:pPr>
        <w:pStyle w:val="LI-BodyTextSubparai"/>
        <w:ind w:left="2007"/>
        <w:rPr>
          <w:i/>
        </w:rPr>
      </w:pPr>
      <w:r w:rsidRPr="001669D9">
        <w:rPr>
          <w:i/>
        </w:rPr>
        <w:t>ETFs</w:t>
      </w:r>
      <w:r w:rsidRPr="005824EA">
        <w:rPr>
          <w:i/>
        </w:rPr>
        <w:t>—sub-funds</w:t>
      </w:r>
    </w:p>
    <w:p w14:paraId="07F51F28" w14:textId="7ED20336" w:rsidR="005824EA" w:rsidRPr="001669D9" w:rsidRDefault="005824EA" w:rsidP="00AA146E">
      <w:pPr>
        <w:pStyle w:val="LI-BodyTextSubparai"/>
        <w:ind w:left="2160" w:hanging="720"/>
      </w:pPr>
      <w:r w:rsidRPr="001669D9">
        <w:t>(20A)</w:t>
      </w:r>
      <w:r w:rsidR="00391F5E">
        <w:tab/>
      </w:r>
      <w:r w:rsidRPr="001669D9">
        <w:t xml:space="preserve">A member of a sub-fund of a CCIV who </w:t>
      </w:r>
      <w:proofErr w:type="gramStart"/>
      <w:r w:rsidRPr="001669D9">
        <w:t>is an authorised participant in relation to the sub-fund</w:t>
      </w:r>
      <w:proofErr w:type="gramEnd"/>
      <w:r w:rsidRPr="001669D9">
        <w:t xml:space="preserve"> does not have a relevant interest in securities that form part of the assets of the sub-fund merely because the sub-fund has an acquisition and withdrawal facility, provided that: </w:t>
      </w:r>
    </w:p>
    <w:p w14:paraId="103A384A" w14:textId="05398039" w:rsidR="005824EA" w:rsidRPr="005824EA" w:rsidRDefault="005824EA" w:rsidP="00155B8F">
      <w:pPr>
        <w:pStyle w:val="LI-BodyTextSubparai"/>
        <w:numPr>
          <w:ilvl w:val="0"/>
          <w:numId w:val="8"/>
        </w:numPr>
      </w:pPr>
      <w:r w:rsidRPr="005824EA">
        <w:t>the sub-fund is an exchange traded fund; and</w:t>
      </w:r>
    </w:p>
    <w:p w14:paraId="7C3ECFCA" w14:textId="698C499B" w:rsidR="005824EA" w:rsidRPr="001669D9" w:rsidRDefault="005824EA" w:rsidP="00155B8F">
      <w:pPr>
        <w:pStyle w:val="LI-BodyTextSubparai"/>
        <w:numPr>
          <w:ilvl w:val="0"/>
          <w:numId w:val="8"/>
        </w:numPr>
      </w:pPr>
      <w:r w:rsidRPr="005824EA">
        <w:t>the current PDS contains a statement to the effect that the investment strategy for the sub-fund is to make investments that are expected to result in the value of a share in the sub-fund changing in proportion to the value of a published index of securities, ignoring the effect of fees and other costs (including taxes) in relation to the sub-fund; and</w:t>
      </w:r>
    </w:p>
    <w:p w14:paraId="10B668A1" w14:textId="29A03C0D" w:rsidR="005824EA" w:rsidRPr="001669D9" w:rsidRDefault="005824EA" w:rsidP="00155B8F">
      <w:pPr>
        <w:pStyle w:val="LI-BodyTextSubparai"/>
        <w:numPr>
          <w:ilvl w:val="0"/>
          <w:numId w:val="8"/>
        </w:numPr>
        <w:rPr>
          <w:bCs/>
        </w:rPr>
      </w:pPr>
      <w:r w:rsidRPr="005824EA">
        <w:t>the current PDS contains a statement to the effect that at the time the investment strategy for the sub-fund disclosed in the current PDS was first published in a Product Disclosure Statement for shares in the sub-fund, there were reasonable grounds to believe that implementation of the investment strategy would not be likely to lead to the assets of the sub-fund including securities in a class of securities that:</w:t>
      </w:r>
    </w:p>
    <w:p w14:paraId="51799DAD" w14:textId="00D8108D" w:rsidR="005824EA" w:rsidRPr="005824EA" w:rsidRDefault="005824EA" w:rsidP="00AA146E">
      <w:pPr>
        <w:pStyle w:val="LI-BodyTextSubparai"/>
        <w:ind w:left="3339" w:hanging="459"/>
      </w:pPr>
      <w:r w:rsidRPr="005824EA">
        <w:t>(</w:t>
      </w:r>
      <w:proofErr w:type="spellStart"/>
      <w:r w:rsidRPr="005824EA">
        <w:t>i</w:t>
      </w:r>
      <w:proofErr w:type="spellEnd"/>
      <w:r w:rsidRPr="005824EA">
        <w:t>)</w:t>
      </w:r>
      <w:r w:rsidRPr="005824EA">
        <w:tab/>
        <w:t>would represent more than 10% by value of the assets of the sub-fund; and</w:t>
      </w:r>
    </w:p>
    <w:p w14:paraId="41A2DF1F" w14:textId="7B788F55" w:rsidR="005824EA" w:rsidRPr="001669D9" w:rsidRDefault="005824EA" w:rsidP="00AA146E">
      <w:pPr>
        <w:pStyle w:val="LI-BodyTextSubparai"/>
        <w:ind w:left="3339" w:hanging="459"/>
        <w:rPr>
          <w:bCs/>
        </w:rPr>
      </w:pPr>
      <w:r w:rsidRPr="005824EA">
        <w:t>(ii)</w:t>
      </w:r>
      <w:r w:rsidRPr="005824EA">
        <w:tab/>
        <w:t>were, or would result in the CCIV having a relevant interest in, securities in:</w:t>
      </w:r>
      <w:r w:rsidRPr="001669D9">
        <w:rPr>
          <w:bCs/>
        </w:rPr>
        <w:t xml:space="preserve"> </w:t>
      </w:r>
    </w:p>
    <w:p w14:paraId="32F7C38A" w14:textId="6BAB0D80" w:rsidR="005824EA" w:rsidRPr="005824EA" w:rsidRDefault="005824EA" w:rsidP="005824EA">
      <w:pPr>
        <w:pStyle w:val="LI-BodyTextSubparai"/>
        <w:ind w:left="3996" w:hanging="657"/>
      </w:pPr>
      <w:r w:rsidRPr="005824EA">
        <w:t>(A)</w:t>
      </w:r>
      <w:r w:rsidRPr="005824EA">
        <w:tab/>
        <w:t>a listed company; or</w:t>
      </w:r>
    </w:p>
    <w:p w14:paraId="5B3CFB66" w14:textId="19EFB614" w:rsidR="005824EA" w:rsidRPr="005824EA" w:rsidRDefault="005824EA" w:rsidP="005824EA">
      <w:pPr>
        <w:pStyle w:val="LI-BodyTextSubparai"/>
        <w:ind w:left="3996" w:hanging="657"/>
      </w:pPr>
      <w:r w:rsidRPr="005824EA">
        <w:t>(B)</w:t>
      </w:r>
      <w:r w:rsidRPr="005824EA">
        <w:tab/>
        <w:t xml:space="preserve">an unlisted company, other than a CCIV, with more than 50 members; or </w:t>
      </w:r>
    </w:p>
    <w:p w14:paraId="4D8551AB" w14:textId="2F479C30" w:rsidR="005824EA" w:rsidRPr="005824EA" w:rsidRDefault="005824EA" w:rsidP="005824EA">
      <w:pPr>
        <w:pStyle w:val="LI-BodyTextSubparai"/>
        <w:ind w:left="3996" w:hanging="657"/>
      </w:pPr>
      <w:r w:rsidRPr="005824EA">
        <w:lastRenderedPageBreak/>
        <w:t>(C)</w:t>
      </w:r>
      <w:r w:rsidRPr="005824EA">
        <w:tab/>
        <w:t xml:space="preserve">a listed body that is formed or incorporated in Australia; or </w:t>
      </w:r>
    </w:p>
    <w:p w14:paraId="0DB8EA38" w14:textId="042A7D55" w:rsidR="00C83F83" w:rsidRPr="009B1510" w:rsidRDefault="005824EA" w:rsidP="009B1510">
      <w:pPr>
        <w:pStyle w:val="LI-BodyTextSubparai"/>
        <w:ind w:left="3996" w:hanging="657"/>
        <w:rPr>
          <w:bCs/>
          <w:sz w:val="20"/>
          <w:szCs w:val="20"/>
        </w:rPr>
      </w:pPr>
      <w:r w:rsidRPr="005824EA">
        <w:t>(D)</w:t>
      </w:r>
      <w:r w:rsidRPr="001669D9">
        <w:tab/>
      </w:r>
      <w:r w:rsidRPr="005824EA">
        <w:t xml:space="preserve">a listed scheme. </w:t>
      </w:r>
    </w:p>
    <w:p w14:paraId="763107F0" w14:textId="296ED860" w:rsidR="00C83F83" w:rsidRPr="001669D9" w:rsidRDefault="00C83F83" w:rsidP="00AA146E">
      <w:pPr>
        <w:pStyle w:val="LI-BodyTextSubparai"/>
        <w:ind w:left="2160" w:hanging="720"/>
      </w:pPr>
      <w:r w:rsidRPr="001669D9">
        <w:t>(20B)</w:t>
      </w:r>
      <w:r w:rsidR="00391F5E">
        <w:tab/>
      </w:r>
      <w:r w:rsidRPr="001669D9">
        <w:t xml:space="preserve">If subsection (20A) applies in relation to a member and the member makes a withdrawal request under the acquisition and withdrawal facility: </w:t>
      </w:r>
    </w:p>
    <w:p w14:paraId="520A7D4B" w14:textId="08B9F4AE" w:rsidR="00C83F83" w:rsidRPr="001669D9" w:rsidRDefault="00C83F83" w:rsidP="00155B8F">
      <w:pPr>
        <w:pStyle w:val="LI-BodyTextSubparai"/>
        <w:numPr>
          <w:ilvl w:val="0"/>
          <w:numId w:val="9"/>
        </w:numPr>
      </w:pPr>
      <w:r w:rsidRPr="001669D9">
        <w:t>subsection (20A) stops applying in relation to any securities that the member would receive if the CCIV transferred securities to the member in accordance with the withdrawal request; and</w:t>
      </w:r>
    </w:p>
    <w:p w14:paraId="777590DE" w14:textId="12C15340" w:rsidR="00C83F83" w:rsidRPr="001669D9" w:rsidRDefault="00C83F83" w:rsidP="00155B8F">
      <w:pPr>
        <w:pStyle w:val="LI-BodyTextSubparai"/>
        <w:numPr>
          <w:ilvl w:val="0"/>
          <w:numId w:val="9"/>
        </w:numPr>
      </w:pPr>
      <w:r w:rsidRPr="001669D9">
        <w:t>the member is taken to acquire a relevant interest in those securities at that time through a transaction in relation to the securities entered into by the member.</w:t>
      </w:r>
    </w:p>
    <w:p w14:paraId="2025DE54" w14:textId="6B937762" w:rsidR="00E0760D" w:rsidRPr="00A6169A" w:rsidRDefault="00E0760D" w:rsidP="00E0760D">
      <w:pPr>
        <w:pStyle w:val="LI-BodyTextSubparai"/>
        <w:ind w:left="2007"/>
      </w:pPr>
      <w:r w:rsidRPr="00A6169A">
        <w:t>(20C)</w:t>
      </w:r>
      <w:r w:rsidRPr="00A6169A">
        <w:tab/>
      </w:r>
      <w:r w:rsidRPr="00A6169A">
        <w:tab/>
        <w:t xml:space="preserve">If: </w:t>
      </w:r>
    </w:p>
    <w:p w14:paraId="67CEF0E3" w14:textId="4DEADEB2" w:rsidR="00E0760D" w:rsidRPr="00A6169A" w:rsidRDefault="00E0760D" w:rsidP="00155B8F">
      <w:pPr>
        <w:pStyle w:val="LI-BodyTextSubparai"/>
        <w:numPr>
          <w:ilvl w:val="0"/>
          <w:numId w:val="10"/>
        </w:numPr>
      </w:pPr>
      <w:r w:rsidRPr="00A6169A">
        <w:t>other than because of subsection (20B), a member has a relevant interest in securities that form part of the assets of the sub-fund because subsection (</w:t>
      </w:r>
      <w:r w:rsidR="000C7E92" w:rsidRPr="00A6169A">
        <w:t>20</w:t>
      </w:r>
      <w:r w:rsidRPr="00A6169A">
        <w:t>A) has stopped applying in relation to the sub-fund; and</w:t>
      </w:r>
    </w:p>
    <w:p w14:paraId="4E4C77FE" w14:textId="59275B70" w:rsidR="00E0760D" w:rsidRPr="00193BD5" w:rsidRDefault="00E0760D" w:rsidP="00155B8F">
      <w:pPr>
        <w:pStyle w:val="LI-BodyTextSubparai"/>
        <w:numPr>
          <w:ilvl w:val="0"/>
          <w:numId w:val="10"/>
        </w:numPr>
      </w:pPr>
      <w:r w:rsidRPr="001669D9">
        <w:t>the member makes a withdrawal request in relation to the shares in the sub-</w:t>
      </w:r>
      <w:proofErr w:type="gramStart"/>
      <w:r w:rsidRPr="001669D9">
        <w:t>fund;</w:t>
      </w:r>
      <w:proofErr w:type="gramEnd"/>
    </w:p>
    <w:p w14:paraId="411F877E" w14:textId="6F887ACE" w:rsidR="00E0760D" w:rsidRPr="001669D9" w:rsidRDefault="00E0760D" w:rsidP="00193BD5">
      <w:pPr>
        <w:pStyle w:val="LI-BodyTextSubparai"/>
        <w:ind w:firstLine="0"/>
      </w:pPr>
      <w:r w:rsidRPr="001669D9">
        <w:t xml:space="preserve">then for the purposes of section 606, at the time of the withdrawal request: </w:t>
      </w:r>
    </w:p>
    <w:p w14:paraId="4DF5D9E7" w14:textId="0CD09E68" w:rsidR="00E0760D" w:rsidRPr="001669D9" w:rsidRDefault="00E0760D" w:rsidP="00155B8F">
      <w:pPr>
        <w:pStyle w:val="LI-BodyTextSubparai"/>
        <w:numPr>
          <w:ilvl w:val="0"/>
          <w:numId w:val="10"/>
        </w:numPr>
      </w:pPr>
      <w:r w:rsidRPr="001669D9">
        <w:t>the member is taken to acquire a relevant interest in any securities that the member would receive if the CCIV transferred securities to the member in accordance with the withdrawal request; and</w:t>
      </w:r>
    </w:p>
    <w:p w14:paraId="2759A89D" w14:textId="55991900" w:rsidR="00E0760D" w:rsidRPr="001669D9" w:rsidRDefault="00E0760D" w:rsidP="00155B8F">
      <w:pPr>
        <w:pStyle w:val="LI-BodyTextSubparai"/>
        <w:numPr>
          <w:ilvl w:val="0"/>
          <w:numId w:val="10"/>
        </w:numPr>
      </w:pPr>
      <w:r w:rsidRPr="001669D9">
        <w:t>the member is taken to have acquired the relevant interest through a transaction entered into by the member in relation to those securities; and</w:t>
      </w:r>
    </w:p>
    <w:p w14:paraId="48D6504B" w14:textId="456B92A4" w:rsidR="00E0760D" w:rsidRPr="00193BD5" w:rsidRDefault="00E0760D" w:rsidP="00155B8F">
      <w:pPr>
        <w:pStyle w:val="LI-BodyTextSubparai"/>
        <w:numPr>
          <w:ilvl w:val="0"/>
          <w:numId w:val="10"/>
        </w:numPr>
      </w:pPr>
      <w:r w:rsidRPr="001669D9">
        <w:t xml:space="preserve">the member’s voting power is taken to have increased from what it would have been before the withdrawal request if the votes attached to those securities were disregarded to what it was after the withdrawal request (taking the votes attached to those securities into account). </w:t>
      </w:r>
    </w:p>
    <w:p w14:paraId="60D3243C" w14:textId="77777777" w:rsidR="00E0760D" w:rsidRPr="001669D9" w:rsidRDefault="00E0760D" w:rsidP="00193BD5">
      <w:pPr>
        <w:pStyle w:val="LI-BodyTextSubparai"/>
        <w:ind w:left="2007"/>
      </w:pPr>
      <w:r w:rsidRPr="001669D9">
        <w:t>(20D)</w:t>
      </w:r>
      <w:r w:rsidRPr="001669D9">
        <w:tab/>
        <w:t xml:space="preserve">If, in the previous 6 months: </w:t>
      </w:r>
    </w:p>
    <w:p w14:paraId="1F220D95" w14:textId="68759577" w:rsidR="00E0760D" w:rsidRPr="001669D9" w:rsidRDefault="00E0760D" w:rsidP="00155B8F">
      <w:pPr>
        <w:pStyle w:val="LI-BodyTextSubparai"/>
        <w:numPr>
          <w:ilvl w:val="0"/>
          <w:numId w:val="11"/>
        </w:numPr>
      </w:pPr>
      <w:r w:rsidRPr="001669D9">
        <w:lastRenderedPageBreak/>
        <w:t>a member’s voting power has increased because subsection (20A) stopped applying in relation to securities; and</w:t>
      </w:r>
    </w:p>
    <w:p w14:paraId="786FC34D" w14:textId="5ECAAA0F" w:rsidR="00E0760D" w:rsidRPr="001669D9" w:rsidRDefault="00E0760D" w:rsidP="00155B8F">
      <w:pPr>
        <w:pStyle w:val="LI-BodyTextSubparai"/>
        <w:numPr>
          <w:ilvl w:val="0"/>
          <w:numId w:val="11"/>
        </w:numPr>
      </w:pPr>
      <w:r w:rsidRPr="001669D9">
        <w:t>the member has not been taken to acquire a relevant interest in the securities under subsection (20B) or (20C</w:t>
      </w:r>
      <w:proofErr w:type="gramStart"/>
      <w:r w:rsidRPr="001669D9">
        <w:t>);</w:t>
      </w:r>
      <w:proofErr w:type="gramEnd"/>
    </w:p>
    <w:p w14:paraId="235119CA" w14:textId="36670886" w:rsidR="00E0760D" w:rsidRPr="001669D9" w:rsidRDefault="00E0760D" w:rsidP="00193BD5">
      <w:pPr>
        <w:pStyle w:val="LI-BodyTextSubparai"/>
        <w:ind w:left="2160" w:firstLine="0"/>
      </w:pPr>
      <w:r w:rsidRPr="001669D9">
        <w:t xml:space="preserve">the increase in voting power is to be disregarded in determining the member’s, or any other person’s, voting power for the purposes of item 9 of the table in section 611. </w:t>
      </w:r>
    </w:p>
    <w:p w14:paraId="1E1CE72E" w14:textId="157FB2DD" w:rsidR="00E0760D" w:rsidRPr="001669D9" w:rsidRDefault="00E0760D" w:rsidP="00193BD5">
      <w:pPr>
        <w:pStyle w:val="LI-BodyTextSubparai"/>
        <w:ind w:left="2007"/>
      </w:pPr>
      <w:r w:rsidRPr="001669D9">
        <w:t>(20E)</w:t>
      </w:r>
      <w:r w:rsidRPr="001669D9">
        <w:tab/>
      </w:r>
      <w:r w:rsidRPr="001669D9">
        <w:tab/>
        <w:t>In subsections (20A) to (20D) and in this subsection:</w:t>
      </w:r>
    </w:p>
    <w:p w14:paraId="55DD8B94" w14:textId="218805FC" w:rsidR="00E0760D" w:rsidRPr="001669D9" w:rsidRDefault="00E0760D" w:rsidP="00193BD5">
      <w:pPr>
        <w:pStyle w:val="LI-BodyTextSubparai"/>
        <w:ind w:left="2160" w:firstLine="0"/>
        <w:rPr>
          <w:bCs/>
        </w:rPr>
      </w:pPr>
      <w:r w:rsidRPr="00193BD5">
        <w:rPr>
          <w:b/>
          <w:i/>
        </w:rPr>
        <w:t>acquisition and withdrawal facility</w:t>
      </w:r>
      <w:r w:rsidRPr="00193BD5">
        <w:t xml:space="preserve"> </w:t>
      </w:r>
      <w:proofErr w:type="gramStart"/>
      <w:r w:rsidRPr="001669D9">
        <w:t>means</w:t>
      </w:r>
      <w:proofErr w:type="gramEnd"/>
      <w:r w:rsidRPr="001669D9">
        <w:t>, in relation to a sub-fund of a CCIV, a facility that the CCIV has stated in the current PDS that it intends to offer on each trading day on which shares in the sub-fund are traded</w:t>
      </w:r>
      <w:r w:rsidRPr="00193BD5">
        <w:t xml:space="preserve"> on the financial market operated by ASX which allows:</w:t>
      </w:r>
    </w:p>
    <w:p w14:paraId="2F408BA0" w14:textId="46B9507E" w:rsidR="00E0760D" w:rsidRPr="00193BD5" w:rsidRDefault="00E0760D" w:rsidP="00155B8F">
      <w:pPr>
        <w:pStyle w:val="LI-BodyTextSubparai"/>
        <w:numPr>
          <w:ilvl w:val="0"/>
          <w:numId w:val="12"/>
        </w:numPr>
      </w:pPr>
      <w:r w:rsidRPr="00193BD5">
        <w:t xml:space="preserve">a person who is an authorised participant to acquire </w:t>
      </w:r>
      <w:r w:rsidRPr="001669D9">
        <w:t xml:space="preserve">a share </w:t>
      </w:r>
      <w:r w:rsidRPr="00193BD5">
        <w:t>in the sub-fund by contributing to the sub-fund; and</w:t>
      </w:r>
    </w:p>
    <w:p w14:paraId="5A395150" w14:textId="73B7ADB9" w:rsidR="00E0760D" w:rsidRPr="001669D9" w:rsidRDefault="00E0760D" w:rsidP="00155B8F">
      <w:pPr>
        <w:pStyle w:val="LI-BodyTextSubparai"/>
        <w:numPr>
          <w:ilvl w:val="0"/>
          <w:numId w:val="12"/>
        </w:numPr>
        <w:rPr>
          <w:bCs/>
        </w:rPr>
      </w:pPr>
      <w:r w:rsidRPr="00193BD5">
        <w:t xml:space="preserve">a member who is an authorised participant to request that the CCIV satisfy a withdrawal request in relation to shares in the sub-fund by transferring to the </w:t>
      </w:r>
      <w:proofErr w:type="gramStart"/>
      <w:r w:rsidRPr="00193BD5">
        <w:t>member;</w:t>
      </w:r>
      <w:proofErr w:type="gramEnd"/>
      <w:r w:rsidRPr="001669D9">
        <w:rPr>
          <w:bCs/>
        </w:rPr>
        <w:t xml:space="preserve"> </w:t>
      </w:r>
    </w:p>
    <w:p w14:paraId="3E52F237" w14:textId="759BBE1D" w:rsidR="00E0760D" w:rsidRPr="00193BD5" w:rsidRDefault="00E0760D" w:rsidP="00193BD5">
      <w:pPr>
        <w:pStyle w:val="LI-BodyTextSubparai"/>
        <w:ind w:left="2160" w:firstLine="0"/>
      </w:pPr>
      <w:r w:rsidRPr="00193BD5">
        <w:t xml:space="preserve">consideration that predominantly comprises a parcel of securities, the composition of which in relation to an acquisition and a withdrawal is published by or on behalf of the responsible entity from time to time. </w:t>
      </w:r>
    </w:p>
    <w:p w14:paraId="4A0FE93B" w14:textId="0038C848" w:rsidR="00E0760D" w:rsidRPr="00193BD5" w:rsidRDefault="00E0760D" w:rsidP="00193BD5">
      <w:pPr>
        <w:pStyle w:val="LI-SectionNote"/>
        <w:ind w:left="2880" w:hanging="720"/>
        <w:rPr>
          <w:szCs w:val="18"/>
        </w:rPr>
      </w:pPr>
      <w:r w:rsidRPr="00193BD5">
        <w:rPr>
          <w:szCs w:val="18"/>
        </w:rPr>
        <w:t xml:space="preserve">Note: </w:t>
      </w:r>
      <w:r w:rsidRPr="00193BD5">
        <w:rPr>
          <w:szCs w:val="18"/>
        </w:rPr>
        <w:tab/>
        <w:t>The composition of the parcel of securities may be different for an acquisition and a withdrawal.</w:t>
      </w:r>
    </w:p>
    <w:p w14:paraId="695F4EF7" w14:textId="5EE053DE" w:rsidR="00E0760D" w:rsidRPr="00193BD5" w:rsidRDefault="00E0760D" w:rsidP="00193BD5">
      <w:pPr>
        <w:pStyle w:val="LI-BodyTextSubparai"/>
        <w:ind w:left="2160" w:firstLine="0"/>
        <w:rPr>
          <w:b/>
          <w:i/>
        </w:rPr>
      </w:pPr>
      <w:r w:rsidRPr="00193BD5">
        <w:rPr>
          <w:b/>
          <w:i/>
        </w:rPr>
        <w:t xml:space="preserve">ASX </w:t>
      </w:r>
      <w:r w:rsidRPr="00193BD5">
        <w:t>means ASX Limited</w:t>
      </w:r>
      <w:r w:rsidR="000C7E92">
        <w:t>.</w:t>
      </w:r>
    </w:p>
    <w:p w14:paraId="32FB9A37" w14:textId="427D5BFA" w:rsidR="00E0760D" w:rsidRPr="00193BD5" w:rsidRDefault="00E0760D" w:rsidP="00193BD5">
      <w:pPr>
        <w:pStyle w:val="LI-BodyTextSubparai"/>
        <w:ind w:left="2160" w:firstLine="0"/>
        <w:rPr>
          <w:b/>
          <w:i/>
        </w:rPr>
      </w:pPr>
      <w:r w:rsidRPr="00193BD5">
        <w:rPr>
          <w:b/>
          <w:i/>
        </w:rPr>
        <w:t xml:space="preserve">authorised participant </w:t>
      </w:r>
      <w:r w:rsidRPr="00193BD5">
        <w:t>means, in relation to a sub-fund</w:t>
      </w:r>
      <w:r w:rsidR="000C7E92">
        <w:t xml:space="preserve"> of a CCIV</w:t>
      </w:r>
      <w:r w:rsidRPr="00193BD5">
        <w:t>, a person who:</w:t>
      </w:r>
    </w:p>
    <w:p w14:paraId="54703925" w14:textId="7DF52A5E" w:rsidR="00E0760D" w:rsidRPr="001669D9" w:rsidRDefault="00E0760D" w:rsidP="00155B8F">
      <w:pPr>
        <w:pStyle w:val="LI-BodyTextSubparai"/>
        <w:numPr>
          <w:ilvl w:val="0"/>
          <w:numId w:val="13"/>
        </w:numPr>
      </w:pPr>
      <w:r w:rsidRPr="001669D9">
        <w:t>has an agreement with the CCIV in relation to making applications to acquire and withdraw shares in the sub-fund; and</w:t>
      </w:r>
    </w:p>
    <w:p w14:paraId="5988A73B" w14:textId="119B2BCC" w:rsidR="00E0760D" w:rsidRPr="00193BD5" w:rsidRDefault="00E0760D" w:rsidP="00155B8F">
      <w:pPr>
        <w:pStyle w:val="LI-BodyTextSubparai"/>
        <w:numPr>
          <w:ilvl w:val="0"/>
          <w:numId w:val="13"/>
        </w:numPr>
      </w:pPr>
      <w:r w:rsidRPr="001669D9">
        <w:t xml:space="preserve">is, or who has engaged to act on its behalf, a participant (within the meaning of section 761A) in relation to a financial market, to acquire and dispose of shares in the sub-fund.   </w:t>
      </w:r>
    </w:p>
    <w:p w14:paraId="75C5D937" w14:textId="4B458DE6" w:rsidR="00E0760D" w:rsidRPr="00193BD5" w:rsidRDefault="00E0760D" w:rsidP="00193BD5">
      <w:pPr>
        <w:pStyle w:val="LI-BodyTextSubparai"/>
        <w:ind w:left="2160" w:firstLine="0"/>
        <w:rPr>
          <w:b/>
          <w:i/>
        </w:rPr>
      </w:pPr>
      <w:proofErr w:type="spellStart"/>
      <w:r w:rsidRPr="001669D9">
        <w:rPr>
          <w:b/>
          <w:i/>
        </w:rPr>
        <w:t>Cboe</w:t>
      </w:r>
      <w:proofErr w:type="spellEnd"/>
      <w:r w:rsidRPr="00193BD5">
        <w:rPr>
          <w:b/>
          <w:i/>
        </w:rPr>
        <w:t xml:space="preserve"> </w:t>
      </w:r>
      <w:r w:rsidRPr="00193BD5">
        <w:t xml:space="preserve">means </w:t>
      </w:r>
      <w:proofErr w:type="spellStart"/>
      <w:r w:rsidRPr="00193BD5">
        <w:t>Cboe</w:t>
      </w:r>
      <w:proofErr w:type="spellEnd"/>
      <w:r w:rsidRPr="00193BD5">
        <w:t xml:space="preserve"> Australia Pty Ltd.</w:t>
      </w:r>
      <w:r w:rsidRPr="00193BD5">
        <w:rPr>
          <w:b/>
          <w:i/>
        </w:rPr>
        <w:t xml:space="preserve"> </w:t>
      </w:r>
    </w:p>
    <w:p w14:paraId="422B0D30" w14:textId="77777777" w:rsidR="00E0760D" w:rsidRPr="00193BD5" w:rsidRDefault="00E0760D" w:rsidP="00193BD5">
      <w:pPr>
        <w:pStyle w:val="LI-BodyTextSubparai"/>
        <w:ind w:left="2160" w:firstLine="0"/>
        <w:rPr>
          <w:b/>
          <w:i/>
        </w:rPr>
      </w:pPr>
      <w:r w:rsidRPr="00193BD5">
        <w:rPr>
          <w:b/>
          <w:i/>
        </w:rPr>
        <w:lastRenderedPageBreak/>
        <w:t>current PDS</w:t>
      </w:r>
      <w:r w:rsidRPr="00193BD5">
        <w:t>, in relation to a sub-fund, means the most recently lodged Product Disclosure Statement relating to shares in the sub-fund.</w:t>
      </w:r>
      <w:r w:rsidRPr="00193BD5">
        <w:rPr>
          <w:b/>
          <w:i/>
        </w:rPr>
        <w:t xml:space="preserve">  </w:t>
      </w:r>
    </w:p>
    <w:p w14:paraId="08A5CE2C" w14:textId="77777777" w:rsidR="00E0760D" w:rsidRPr="00193BD5" w:rsidRDefault="00E0760D" w:rsidP="00193BD5">
      <w:pPr>
        <w:pStyle w:val="LI-BodyTextSubparai"/>
        <w:ind w:left="2160" w:firstLine="0"/>
      </w:pPr>
      <w:r w:rsidRPr="001669D9">
        <w:rPr>
          <w:b/>
          <w:i/>
        </w:rPr>
        <w:t xml:space="preserve">exchange traded fund </w:t>
      </w:r>
      <w:r w:rsidRPr="00193BD5">
        <w:t>(or ETF) means a sub-fund of a CCIV in relation to which all of the following are satisfied:</w:t>
      </w:r>
    </w:p>
    <w:p w14:paraId="5BE31864" w14:textId="7974EBD9" w:rsidR="00E0760D" w:rsidRPr="001669D9" w:rsidRDefault="00E0760D" w:rsidP="00155B8F">
      <w:pPr>
        <w:pStyle w:val="LI-BodyTextSubparai"/>
        <w:numPr>
          <w:ilvl w:val="0"/>
          <w:numId w:val="14"/>
        </w:numPr>
      </w:pPr>
      <w:r w:rsidRPr="001669D9">
        <w:t xml:space="preserve">shares in the sub-fund are in a class that are able to be traded on a financial market operated by ASX or </w:t>
      </w:r>
      <w:proofErr w:type="spellStart"/>
      <w:r w:rsidRPr="001669D9">
        <w:t>Cboe</w:t>
      </w:r>
      <w:proofErr w:type="spellEnd"/>
      <w:r w:rsidR="00066D69">
        <w:t>,</w:t>
      </w:r>
      <w:r w:rsidRPr="001669D9">
        <w:t xml:space="preserve"> but the sub-fund is not listed on either of those </w:t>
      </w:r>
      <w:proofErr w:type="gramStart"/>
      <w:r w:rsidRPr="001669D9">
        <w:t>markets;</w:t>
      </w:r>
      <w:proofErr w:type="gramEnd"/>
    </w:p>
    <w:p w14:paraId="322BAD30" w14:textId="77777777" w:rsidR="00E0760D" w:rsidRPr="001669D9" w:rsidRDefault="00E0760D" w:rsidP="00155B8F">
      <w:pPr>
        <w:pStyle w:val="LI-BodyTextSubparai"/>
        <w:numPr>
          <w:ilvl w:val="0"/>
          <w:numId w:val="14"/>
        </w:numPr>
      </w:pPr>
      <w:r w:rsidRPr="001669D9">
        <w:t xml:space="preserve">the CCIV has the power and approval to issue shares in that class on any day that those shares are able to be traded on the relevant financial </w:t>
      </w:r>
      <w:proofErr w:type="gramStart"/>
      <w:r w:rsidRPr="001669D9">
        <w:t>market;</w:t>
      </w:r>
      <w:proofErr w:type="gramEnd"/>
    </w:p>
    <w:p w14:paraId="509FE3C0" w14:textId="77777777" w:rsidR="00E0760D" w:rsidRPr="001669D9" w:rsidRDefault="00E0760D" w:rsidP="00155B8F">
      <w:pPr>
        <w:pStyle w:val="LI-BodyTextSubparai"/>
        <w:numPr>
          <w:ilvl w:val="0"/>
          <w:numId w:val="14"/>
        </w:numPr>
      </w:pPr>
      <w:r w:rsidRPr="001669D9">
        <w:t xml:space="preserve">the CCIV allows applications for and redemptions of shares in that class on any day that those shares are able to be traded on the relevant financial </w:t>
      </w:r>
      <w:proofErr w:type="gramStart"/>
      <w:r w:rsidRPr="001669D9">
        <w:t>market;</w:t>
      </w:r>
      <w:proofErr w:type="gramEnd"/>
    </w:p>
    <w:p w14:paraId="20F12A5F" w14:textId="77777777" w:rsidR="00E0760D" w:rsidRPr="001669D9" w:rsidRDefault="00E0760D" w:rsidP="00155B8F">
      <w:pPr>
        <w:pStyle w:val="LI-BodyTextSubparai"/>
        <w:numPr>
          <w:ilvl w:val="0"/>
          <w:numId w:val="14"/>
        </w:numPr>
      </w:pPr>
      <w:r w:rsidRPr="001669D9">
        <w:t xml:space="preserve">the price or value of any financial product, index, currency, commodity or other thing that the sub-fund invests in or tracks is continuously disclosed or can be immediately </w:t>
      </w:r>
      <w:proofErr w:type="gramStart"/>
      <w:r w:rsidRPr="001669D9">
        <w:t>ascertained;</w:t>
      </w:r>
      <w:proofErr w:type="gramEnd"/>
    </w:p>
    <w:p w14:paraId="5EF34E62" w14:textId="77777777" w:rsidR="00E0760D" w:rsidRPr="001669D9" w:rsidRDefault="00E0760D" w:rsidP="00155B8F">
      <w:pPr>
        <w:pStyle w:val="LI-BodyTextSubparai"/>
        <w:numPr>
          <w:ilvl w:val="0"/>
          <w:numId w:val="14"/>
        </w:numPr>
      </w:pPr>
      <w:r w:rsidRPr="001669D9">
        <w:t>the name of the sub-fund does not contain the expression “managed fund” or “hedge fund”.</w:t>
      </w:r>
    </w:p>
    <w:p w14:paraId="43B4942C" w14:textId="7D4C95E2" w:rsidR="00E0760D" w:rsidRPr="00193BD5" w:rsidRDefault="00E0760D" w:rsidP="00193BD5">
      <w:pPr>
        <w:pStyle w:val="LI-BodyTextSubparai"/>
        <w:ind w:left="2160" w:firstLine="0"/>
      </w:pPr>
      <w:r w:rsidRPr="001669D9">
        <w:rPr>
          <w:b/>
          <w:i/>
        </w:rPr>
        <w:t>trading day</w:t>
      </w:r>
      <w:r w:rsidRPr="00193BD5">
        <w:t>, in relation to a financial market, means any day that financial products are able to be traded on the market.”.</w:t>
      </w:r>
    </w:p>
    <w:p w14:paraId="26F4C074" w14:textId="7968DAED" w:rsidR="009947F9" w:rsidRPr="00CA3A25" w:rsidRDefault="009947F9" w:rsidP="009947F9">
      <w:pPr>
        <w:pStyle w:val="LI-BodyTextNumbered"/>
        <w:keepNext/>
        <w:ind w:left="567"/>
        <w:rPr>
          <w:b/>
        </w:rPr>
      </w:pPr>
      <w:r>
        <w:rPr>
          <w:b/>
        </w:rPr>
        <w:t>77</w:t>
      </w:r>
      <w:r w:rsidRPr="00CA3A25">
        <w:rPr>
          <w:b/>
        </w:rPr>
        <w:tab/>
      </w:r>
      <w:r>
        <w:rPr>
          <w:b/>
        </w:rPr>
        <w:t xml:space="preserve">At the end of section 11 </w:t>
      </w:r>
    </w:p>
    <w:p w14:paraId="1687E8BA" w14:textId="77777777" w:rsidR="009947F9" w:rsidRDefault="009947F9" w:rsidP="009947F9">
      <w:pPr>
        <w:pStyle w:val="LI-BodyTextUnnumbered"/>
        <w:keepNext/>
        <w:spacing w:after="240"/>
      </w:pPr>
      <w:r>
        <w:t xml:space="preserve">Add: </w:t>
      </w:r>
    </w:p>
    <w:p w14:paraId="76F7DF17" w14:textId="77777777" w:rsidR="009947F9" w:rsidRDefault="009947F9" w:rsidP="009947F9">
      <w:pPr>
        <w:pStyle w:val="LI-SectionNote"/>
        <w:ind w:left="2160" w:hanging="720"/>
        <w:rPr>
          <w:szCs w:val="18"/>
        </w:rPr>
      </w:pPr>
      <w:r w:rsidRPr="009D68FF">
        <w:rPr>
          <w:szCs w:val="18"/>
        </w:rPr>
        <w:t>Note:</w:t>
      </w:r>
      <w:r w:rsidRPr="009D68FF">
        <w:rPr>
          <w:szCs w:val="18"/>
        </w:rPr>
        <w:tab/>
        <w:t xml:space="preserve">Chapter 6 applies to a CCIV subject to the modifications set out in Part 8B.7: see section 1240.  </w:t>
      </w:r>
    </w:p>
    <w:p w14:paraId="4617A519" w14:textId="55EE8043" w:rsidR="00193BD5" w:rsidRPr="00A6169A" w:rsidRDefault="000D5C42" w:rsidP="00193BD5">
      <w:pPr>
        <w:pStyle w:val="LI-BodyTextNumbered"/>
        <w:keepNext/>
        <w:ind w:left="567"/>
        <w:rPr>
          <w:b/>
        </w:rPr>
      </w:pPr>
      <w:r>
        <w:rPr>
          <w:b/>
        </w:rPr>
        <w:t>7</w:t>
      </w:r>
      <w:r w:rsidR="00D95856">
        <w:rPr>
          <w:b/>
        </w:rPr>
        <w:t>8</w:t>
      </w:r>
      <w:r w:rsidR="00193BD5" w:rsidRPr="00CA3A25">
        <w:rPr>
          <w:b/>
        </w:rPr>
        <w:tab/>
      </w:r>
      <w:r w:rsidR="00193BD5" w:rsidRPr="00A6169A">
        <w:rPr>
          <w:b/>
        </w:rPr>
        <w:t xml:space="preserve">Paragraph 12(a) (notional section 671AA of the Act) </w:t>
      </w:r>
    </w:p>
    <w:p w14:paraId="21D1ED9F" w14:textId="3BCDCFCD" w:rsidR="00193BD5" w:rsidRDefault="00193BD5" w:rsidP="00193BD5">
      <w:pPr>
        <w:pStyle w:val="LI-BodyTextUnnumbered"/>
        <w:spacing w:after="240"/>
        <w:rPr>
          <w:szCs w:val="24"/>
        </w:rPr>
      </w:pPr>
      <w:r w:rsidRPr="00A6169A">
        <w:rPr>
          <w:szCs w:val="24"/>
        </w:rPr>
        <w:t>Omit “</w:t>
      </w:r>
      <w:r w:rsidRPr="00A6169A">
        <w:rPr>
          <w:bCs/>
          <w:szCs w:val="24"/>
        </w:rPr>
        <w:t>subsection 609(19A) applies as if paragraph 609(19A)(c)</w:t>
      </w:r>
      <w:r w:rsidR="00E30CE1">
        <w:rPr>
          <w:bCs/>
          <w:szCs w:val="24"/>
        </w:rPr>
        <w:t xml:space="preserve"> were omitted</w:t>
      </w:r>
      <w:r w:rsidRPr="00A6169A">
        <w:rPr>
          <w:bCs/>
          <w:szCs w:val="24"/>
        </w:rPr>
        <w:t>”, substitute “subsections 609(19A) and 609(20A) apply as if paragraphs 609(19A)(c) and 609(20A)(c)</w:t>
      </w:r>
      <w:r w:rsidR="00E30CE1">
        <w:rPr>
          <w:bCs/>
          <w:szCs w:val="24"/>
        </w:rPr>
        <w:t xml:space="preserve"> were omitted</w:t>
      </w:r>
      <w:r w:rsidRPr="00A6169A">
        <w:rPr>
          <w:bCs/>
          <w:szCs w:val="24"/>
        </w:rPr>
        <w:t>”.</w:t>
      </w:r>
      <w:r>
        <w:rPr>
          <w:bCs/>
          <w:szCs w:val="24"/>
        </w:rPr>
        <w:t xml:space="preserve"> </w:t>
      </w:r>
    </w:p>
    <w:p w14:paraId="12B1E4F9" w14:textId="0593E3BF" w:rsidR="00C12FCB" w:rsidRDefault="000D5C42" w:rsidP="00C12FCB">
      <w:pPr>
        <w:pStyle w:val="LI-BodyTextNumbered"/>
        <w:ind w:left="567"/>
        <w:rPr>
          <w:b/>
        </w:rPr>
      </w:pPr>
      <w:r>
        <w:rPr>
          <w:b/>
        </w:rPr>
        <w:t>7</w:t>
      </w:r>
      <w:r w:rsidR="00D95856">
        <w:rPr>
          <w:b/>
        </w:rPr>
        <w:t>9</w:t>
      </w:r>
      <w:r w:rsidR="00C12FCB">
        <w:rPr>
          <w:b/>
        </w:rPr>
        <w:tab/>
        <w:t xml:space="preserve">Paragraph 12(b) (notional </w:t>
      </w:r>
      <w:r w:rsidR="00165B18">
        <w:rPr>
          <w:b/>
        </w:rPr>
        <w:t xml:space="preserve">subsection </w:t>
      </w:r>
      <w:r w:rsidR="00C12FCB">
        <w:rPr>
          <w:b/>
        </w:rPr>
        <w:t>671B</w:t>
      </w:r>
      <w:r w:rsidR="00A77F26">
        <w:rPr>
          <w:b/>
        </w:rPr>
        <w:t>(7A)</w:t>
      </w:r>
      <w:r w:rsidR="00C12FCB">
        <w:rPr>
          <w:b/>
        </w:rPr>
        <w:t xml:space="preserve"> of the Act)</w:t>
      </w:r>
      <w:r w:rsidR="00AD587F">
        <w:rPr>
          <w:b/>
        </w:rPr>
        <w:t xml:space="preserve"> (heading) </w:t>
      </w:r>
    </w:p>
    <w:p w14:paraId="4DA9DCBA" w14:textId="77777777" w:rsidR="00C12FCB" w:rsidRDefault="00C12FCB" w:rsidP="00C12FCB">
      <w:pPr>
        <w:pStyle w:val="LI-BodyTextUnnumbered"/>
      </w:pPr>
      <w:r>
        <w:t xml:space="preserve">Repeal the heading, substitute: </w:t>
      </w:r>
    </w:p>
    <w:p w14:paraId="0885B539" w14:textId="77777777" w:rsidR="00C12FCB" w:rsidRPr="00AC5AFD" w:rsidRDefault="00C12FCB" w:rsidP="00C12FCB">
      <w:pPr>
        <w:pStyle w:val="LI-SectionHeading"/>
        <w:ind w:left="1440" w:firstLine="0"/>
        <w:rPr>
          <w:b w:val="0"/>
        </w:rPr>
      </w:pPr>
      <w:r w:rsidRPr="00AC5AFD">
        <w:rPr>
          <w:b w:val="0"/>
          <w:i/>
        </w:rPr>
        <w:t>ETFs</w:t>
      </w:r>
      <w:r w:rsidRPr="00AC5AFD">
        <w:rPr>
          <w:b w:val="0"/>
          <w:bCs/>
          <w:i/>
          <w:lang w:val="en-US"/>
        </w:rPr>
        <w:t>—registered schemes</w:t>
      </w:r>
    </w:p>
    <w:p w14:paraId="7B200D94" w14:textId="4FBC3781" w:rsidR="006E6F7E" w:rsidRPr="00A6169A" w:rsidRDefault="00D95856" w:rsidP="00C12FCB">
      <w:pPr>
        <w:pStyle w:val="LI-BodyTextNumbered"/>
        <w:keepNext/>
        <w:ind w:left="567"/>
        <w:rPr>
          <w:b/>
        </w:rPr>
      </w:pPr>
      <w:r>
        <w:rPr>
          <w:b/>
        </w:rPr>
        <w:t>80</w:t>
      </w:r>
      <w:r w:rsidR="006E6F7E">
        <w:rPr>
          <w:b/>
        </w:rPr>
        <w:t xml:space="preserve"> </w:t>
      </w:r>
      <w:r w:rsidR="006E6F7E">
        <w:rPr>
          <w:b/>
        </w:rPr>
        <w:tab/>
      </w:r>
      <w:r w:rsidR="006E6F7E" w:rsidRPr="00A6169A">
        <w:rPr>
          <w:b/>
        </w:rPr>
        <w:t xml:space="preserve">Paragraph 12(b) (notional </w:t>
      </w:r>
      <w:r w:rsidR="006E469B" w:rsidRPr="00A6169A">
        <w:rPr>
          <w:b/>
        </w:rPr>
        <w:t>subsection 671B(7</w:t>
      </w:r>
      <w:r w:rsidR="003D339D" w:rsidRPr="00A6169A">
        <w:rPr>
          <w:b/>
        </w:rPr>
        <w:t>B</w:t>
      </w:r>
      <w:r w:rsidR="006E469B" w:rsidRPr="00A6169A">
        <w:rPr>
          <w:b/>
        </w:rPr>
        <w:t>) of the Act</w:t>
      </w:r>
      <w:r w:rsidR="006E6F7E" w:rsidRPr="00A6169A">
        <w:rPr>
          <w:b/>
        </w:rPr>
        <w:t>)</w:t>
      </w:r>
    </w:p>
    <w:p w14:paraId="42796700" w14:textId="4A7A0BAF" w:rsidR="006E6F7E" w:rsidRPr="00BD3B9E" w:rsidRDefault="006E6F7E" w:rsidP="00BD3B9E">
      <w:pPr>
        <w:pStyle w:val="LI-BodyTextUnnumbered"/>
      </w:pPr>
      <w:r w:rsidRPr="00A6169A">
        <w:t>Omit “”</w:t>
      </w:r>
      <w:r w:rsidR="003D339D" w:rsidRPr="00A6169A">
        <w:t>; and</w:t>
      </w:r>
      <w:r w:rsidRPr="00A6169A">
        <w:t>”.</w:t>
      </w:r>
      <w:r>
        <w:t xml:space="preserve"> </w:t>
      </w:r>
    </w:p>
    <w:p w14:paraId="11B27713" w14:textId="767D4AEB" w:rsidR="00C12FCB" w:rsidRDefault="001E52BA" w:rsidP="00C12FCB">
      <w:pPr>
        <w:pStyle w:val="LI-BodyTextNumbered"/>
        <w:keepNext/>
        <w:ind w:left="567"/>
        <w:rPr>
          <w:b/>
        </w:rPr>
      </w:pPr>
      <w:r>
        <w:rPr>
          <w:b/>
        </w:rPr>
        <w:lastRenderedPageBreak/>
        <w:t>8</w:t>
      </w:r>
      <w:r w:rsidR="00D95856">
        <w:rPr>
          <w:b/>
        </w:rPr>
        <w:t>1</w:t>
      </w:r>
      <w:r w:rsidR="00C12FCB" w:rsidRPr="00CA3A25">
        <w:rPr>
          <w:b/>
        </w:rPr>
        <w:tab/>
      </w:r>
      <w:r w:rsidR="003D339D">
        <w:rPr>
          <w:b/>
        </w:rPr>
        <w:t>P</w:t>
      </w:r>
      <w:r w:rsidR="00D52AFB">
        <w:rPr>
          <w:b/>
        </w:rPr>
        <w:t xml:space="preserve">aragraph 12(b) </w:t>
      </w:r>
      <w:r w:rsidR="00C12FCB">
        <w:rPr>
          <w:b/>
        </w:rPr>
        <w:t>(</w:t>
      </w:r>
      <w:r w:rsidR="003D339D">
        <w:rPr>
          <w:b/>
        </w:rPr>
        <w:t xml:space="preserve">at the end of </w:t>
      </w:r>
      <w:r w:rsidR="00C12FCB">
        <w:rPr>
          <w:b/>
        </w:rPr>
        <w:t>notional subsection 6</w:t>
      </w:r>
      <w:r w:rsidR="00D52AFB">
        <w:rPr>
          <w:b/>
        </w:rPr>
        <w:t>71B(7B</w:t>
      </w:r>
      <w:r w:rsidR="004E6223">
        <w:rPr>
          <w:b/>
        </w:rPr>
        <w:t>)</w:t>
      </w:r>
      <w:r w:rsidR="00C12FCB">
        <w:rPr>
          <w:b/>
        </w:rPr>
        <w:t xml:space="preserve"> of the Act)</w:t>
      </w:r>
    </w:p>
    <w:p w14:paraId="068ECC67" w14:textId="24184722" w:rsidR="00C12FCB" w:rsidRPr="005824EA" w:rsidRDefault="000D5C42" w:rsidP="00C12FCB">
      <w:pPr>
        <w:pStyle w:val="LI-BodyTextUnnumbered"/>
        <w:spacing w:after="240"/>
        <w:rPr>
          <w:szCs w:val="24"/>
        </w:rPr>
      </w:pPr>
      <w:r>
        <w:rPr>
          <w:szCs w:val="24"/>
        </w:rPr>
        <w:t xml:space="preserve">Add: </w:t>
      </w:r>
    </w:p>
    <w:p w14:paraId="132451F9" w14:textId="7713C691" w:rsidR="00C12FCB" w:rsidRPr="00E96348" w:rsidRDefault="00C12FCB" w:rsidP="00E96348">
      <w:pPr>
        <w:pStyle w:val="LI-BodyTextSubparai"/>
        <w:ind w:left="2007"/>
        <w:rPr>
          <w:i/>
        </w:rPr>
      </w:pPr>
      <w:r w:rsidRPr="001669D9">
        <w:rPr>
          <w:i/>
        </w:rPr>
        <w:t>ETFs</w:t>
      </w:r>
      <w:r w:rsidRPr="005824EA">
        <w:rPr>
          <w:i/>
        </w:rPr>
        <w:t>—sub-funds</w:t>
      </w:r>
    </w:p>
    <w:p w14:paraId="78958B68" w14:textId="0A5A5D67" w:rsidR="00E96348" w:rsidRPr="00E96348" w:rsidRDefault="00E96348" w:rsidP="00AA146E">
      <w:pPr>
        <w:pStyle w:val="LI-BodyTextSubparai"/>
        <w:ind w:left="2160" w:hanging="720"/>
      </w:pPr>
      <w:r w:rsidRPr="00E96348">
        <w:t>(7C)</w:t>
      </w:r>
      <w:r w:rsidRPr="00E96348">
        <w:tab/>
        <w:t>If a member of a sub-fund of a CCIV that has an acquisition and withdrawal facility does not have a relevant interest in securities that form part of the assets of the sub-fund because of subsection</w:t>
      </w:r>
      <w:r w:rsidR="00513089">
        <w:t> </w:t>
      </w:r>
      <w:r w:rsidRPr="00E96348">
        <w:t xml:space="preserve">609(20A) (as affected by section 671AA), then for the purposes of this section and the definition of </w:t>
      </w:r>
      <w:r w:rsidRPr="00FF7388">
        <w:rPr>
          <w:b/>
          <w:i/>
        </w:rPr>
        <w:t>substantial holding</w:t>
      </w:r>
      <w:r w:rsidRPr="00E96348">
        <w:t xml:space="preserve"> in section 9, the member is taken to have a relevant interest in the securities that would be transferred to the member if: </w:t>
      </w:r>
    </w:p>
    <w:p w14:paraId="78B3E7A5" w14:textId="518796FE" w:rsidR="00E96348" w:rsidRPr="00E96348" w:rsidRDefault="00E96348" w:rsidP="00155B8F">
      <w:pPr>
        <w:pStyle w:val="LI-BodyTextSubparai"/>
        <w:numPr>
          <w:ilvl w:val="0"/>
          <w:numId w:val="15"/>
        </w:numPr>
      </w:pPr>
      <w:r w:rsidRPr="00E96348">
        <w:t xml:space="preserve">the member made a withdrawal request under the acquisition and withdrawal facility for all their shares in the sub-fund, other than any shares in relation to which the member has a relevant interest in securities that form part of the assets of the sub-fund because of subsection 609(20B); and </w:t>
      </w:r>
    </w:p>
    <w:p w14:paraId="7E9C0BE0" w14:textId="23D17F95" w:rsidR="00E96348" w:rsidRPr="00E96348" w:rsidRDefault="00E96348" w:rsidP="00AA146E">
      <w:pPr>
        <w:pStyle w:val="LI-SectionNote"/>
        <w:ind w:left="3600" w:hanging="657"/>
        <w:rPr>
          <w:szCs w:val="18"/>
        </w:rPr>
      </w:pPr>
      <w:r w:rsidRPr="00E96348">
        <w:rPr>
          <w:szCs w:val="18"/>
        </w:rPr>
        <w:t>Note:</w:t>
      </w:r>
      <w:r w:rsidRPr="00E96348">
        <w:rPr>
          <w:szCs w:val="18"/>
        </w:rPr>
        <w:tab/>
        <w:t xml:space="preserve">Subsection 609(20B) may give a member a relevant interest in securities that form part of the assets of the sub-fund if the member has made a withdrawal request in relation to some or all of their shares in the sub-fund. </w:t>
      </w:r>
    </w:p>
    <w:p w14:paraId="35EF72D2" w14:textId="2BEFF426" w:rsidR="00E96348" w:rsidRPr="00BE0CC1" w:rsidRDefault="00E96348" w:rsidP="00155B8F">
      <w:pPr>
        <w:pStyle w:val="LI-BodyTextSubparai"/>
        <w:numPr>
          <w:ilvl w:val="0"/>
          <w:numId w:val="15"/>
        </w:numPr>
      </w:pPr>
      <w:r w:rsidRPr="00E96348">
        <w:t>the numbers and classes of securities transferred to the member under the facility for each share in the sub-fund were the same as the numbers and classes of securities most recently disclosed to the member by the CCIV in relation to a withdrawal request for a share under the facility.</w:t>
      </w:r>
    </w:p>
    <w:p w14:paraId="3E14BD8D" w14:textId="0068AC91" w:rsidR="00E96348" w:rsidRPr="00BE0CC1" w:rsidRDefault="00E96348" w:rsidP="00AA146E">
      <w:pPr>
        <w:pStyle w:val="LI-BodyTextSubparai"/>
        <w:ind w:left="2160" w:hanging="720"/>
      </w:pPr>
      <w:r w:rsidRPr="00BE0CC1">
        <w:t>(7D)</w:t>
      </w:r>
      <w:r w:rsidRPr="00BE0CC1">
        <w:tab/>
        <w:t xml:space="preserve">In subsection (7C), </w:t>
      </w:r>
      <w:r w:rsidRPr="00FF7388">
        <w:rPr>
          <w:b/>
          <w:i/>
        </w:rPr>
        <w:t>acquisition and withdrawal facility</w:t>
      </w:r>
      <w:r w:rsidRPr="00BE0CC1">
        <w:t xml:space="preserve"> </w:t>
      </w:r>
      <w:proofErr w:type="gramStart"/>
      <w:r w:rsidRPr="00BE0CC1">
        <w:t>has</w:t>
      </w:r>
      <w:proofErr w:type="gramEnd"/>
      <w:r w:rsidRPr="00BE0CC1">
        <w:t xml:space="preserve"> the same meaning as in subsection 609(20E)</w:t>
      </w:r>
      <w:r w:rsidR="00513089">
        <w:t>.</w:t>
      </w:r>
      <w:r w:rsidRPr="00BE0CC1">
        <w:t>”</w:t>
      </w:r>
      <w:r w:rsidR="00FF7388">
        <w:t xml:space="preserve">; and </w:t>
      </w:r>
      <w:r w:rsidRPr="00BE0CC1">
        <w:t xml:space="preserve"> </w:t>
      </w:r>
    </w:p>
    <w:p w14:paraId="01246390" w14:textId="489B018F" w:rsidR="00B60A84" w:rsidRPr="00A6169A" w:rsidRDefault="000D5C42" w:rsidP="00722432">
      <w:pPr>
        <w:pStyle w:val="LI-BodyTextNumbered"/>
        <w:keepNext/>
        <w:ind w:left="567"/>
        <w:rPr>
          <w:b/>
        </w:rPr>
      </w:pPr>
      <w:r>
        <w:rPr>
          <w:b/>
        </w:rPr>
        <w:t>8</w:t>
      </w:r>
      <w:r w:rsidR="00D95856">
        <w:rPr>
          <w:b/>
        </w:rPr>
        <w:t>2</w:t>
      </w:r>
      <w:r w:rsidR="00B60A84">
        <w:rPr>
          <w:b/>
        </w:rPr>
        <w:t xml:space="preserve"> </w:t>
      </w:r>
      <w:r w:rsidR="00B60A84">
        <w:rPr>
          <w:b/>
        </w:rPr>
        <w:tab/>
      </w:r>
      <w:r w:rsidR="00AC4EC6" w:rsidRPr="00A6169A">
        <w:rPr>
          <w:b/>
        </w:rPr>
        <w:t>P</w:t>
      </w:r>
      <w:r w:rsidR="00B60A84" w:rsidRPr="00A6169A">
        <w:rPr>
          <w:b/>
        </w:rPr>
        <w:t>aragraph 12(</w:t>
      </w:r>
      <w:r w:rsidR="00AC4EC6" w:rsidRPr="00A6169A">
        <w:rPr>
          <w:b/>
        </w:rPr>
        <w:t>c</w:t>
      </w:r>
      <w:r w:rsidR="00B60A84" w:rsidRPr="00A6169A">
        <w:rPr>
          <w:b/>
        </w:rPr>
        <w:t xml:space="preserve">) (notional </w:t>
      </w:r>
      <w:r w:rsidR="00722432" w:rsidRPr="00A6169A">
        <w:rPr>
          <w:b/>
        </w:rPr>
        <w:t>subsection 672B(1AA) of the Act)</w:t>
      </w:r>
    </w:p>
    <w:p w14:paraId="3397646B" w14:textId="2C33CC83" w:rsidR="00B60A84" w:rsidRPr="006B5266" w:rsidRDefault="00B60A84" w:rsidP="006B5266">
      <w:pPr>
        <w:pStyle w:val="LI-BodyTextUnnumbered"/>
        <w:spacing w:after="240"/>
      </w:pPr>
      <w:r w:rsidRPr="00A6169A">
        <w:t>Omit “”.”</w:t>
      </w:r>
    </w:p>
    <w:p w14:paraId="055D809F" w14:textId="19F72CB6" w:rsidR="00990D59" w:rsidRDefault="000D5C42" w:rsidP="00990D59">
      <w:pPr>
        <w:pStyle w:val="LI-BodyTextNumbered"/>
        <w:keepNext/>
        <w:ind w:left="567"/>
        <w:rPr>
          <w:b/>
        </w:rPr>
      </w:pPr>
      <w:r>
        <w:rPr>
          <w:b/>
        </w:rPr>
        <w:t>8</w:t>
      </w:r>
      <w:r w:rsidR="00D95856">
        <w:rPr>
          <w:b/>
        </w:rPr>
        <w:t>3</w:t>
      </w:r>
      <w:r w:rsidR="00990D59" w:rsidRPr="00CA3A25">
        <w:rPr>
          <w:b/>
        </w:rPr>
        <w:tab/>
      </w:r>
      <w:r w:rsidR="00ED6BA0">
        <w:rPr>
          <w:b/>
        </w:rPr>
        <w:t>P</w:t>
      </w:r>
      <w:r w:rsidR="00990D59">
        <w:rPr>
          <w:b/>
        </w:rPr>
        <w:t>aragraph 12(c) (</w:t>
      </w:r>
      <w:r w:rsidR="00ED6BA0">
        <w:rPr>
          <w:b/>
        </w:rPr>
        <w:t xml:space="preserve">at the end of </w:t>
      </w:r>
      <w:r w:rsidR="00990D59">
        <w:rPr>
          <w:b/>
        </w:rPr>
        <w:t>notional subsection 672B(1AA) of the Act)</w:t>
      </w:r>
    </w:p>
    <w:p w14:paraId="6F1C0CEE" w14:textId="5EAF57CF" w:rsidR="00990D59" w:rsidRPr="005824EA" w:rsidRDefault="00E5207A" w:rsidP="00990D59">
      <w:pPr>
        <w:pStyle w:val="LI-BodyTextUnnumbered"/>
        <w:spacing w:after="240"/>
        <w:rPr>
          <w:szCs w:val="24"/>
        </w:rPr>
      </w:pPr>
      <w:r>
        <w:rPr>
          <w:szCs w:val="24"/>
        </w:rPr>
        <w:t xml:space="preserve">Add: </w:t>
      </w:r>
    </w:p>
    <w:p w14:paraId="6C13BC73" w14:textId="376AA3F0" w:rsidR="00C15941" w:rsidRPr="003260E1" w:rsidRDefault="00990D59" w:rsidP="00AA146E">
      <w:pPr>
        <w:ind w:left="2160" w:hanging="720"/>
        <w:jc w:val="both"/>
        <w:rPr>
          <w:bCs/>
          <w:sz w:val="24"/>
          <w:szCs w:val="24"/>
        </w:rPr>
      </w:pPr>
      <w:r w:rsidRPr="001669D9">
        <w:rPr>
          <w:bCs/>
          <w:sz w:val="24"/>
          <w:szCs w:val="24"/>
        </w:rPr>
        <w:t>(1AB)</w:t>
      </w:r>
      <w:r>
        <w:rPr>
          <w:bCs/>
          <w:sz w:val="24"/>
          <w:szCs w:val="24"/>
        </w:rPr>
        <w:t xml:space="preserve"> </w:t>
      </w:r>
      <w:r w:rsidR="00CB515F">
        <w:rPr>
          <w:bCs/>
          <w:sz w:val="24"/>
          <w:szCs w:val="24"/>
        </w:rPr>
        <w:tab/>
      </w:r>
      <w:r w:rsidRPr="001669D9">
        <w:rPr>
          <w:bCs/>
          <w:sz w:val="24"/>
          <w:szCs w:val="24"/>
        </w:rPr>
        <w:t>If a member of a sub-fund of a CCIV does not have a relevant interest in securities that form part of the assets of the sub-fund because of subsection 609(20A) (as affected by section 671AA), then for the purposes of this section and section 672DA, the member is taken to have a relevant interest in securities that the member has a relevant interest in for the purposes of section 671B because of subsection 671B(7A).</w:t>
      </w:r>
      <w:r w:rsidR="00B60A84">
        <w:rPr>
          <w:bCs/>
          <w:sz w:val="24"/>
          <w:szCs w:val="24"/>
        </w:rPr>
        <w:t>”</w:t>
      </w:r>
      <w:r w:rsidR="00992B52">
        <w:rPr>
          <w:bCs/>
          <w:sz w:val="24"/>
          <w:szCs w:val="24"/>
        </w:rPr>
        <w:t xml:space="preserve">. </w:t>
      </w:r>
    </w:p>
    <w:p w14:paraId="57579805" w14:textId="5E147CBD" w:rsidR="003260E1" w:rsidRDefault="000D5C42" w:rsidP="003260E1">
      <w:pPr>
        <w:pStyle w:val="LI-BodyTextNumbered"/>
        <w:keepNext/>
        <w:ind w:left="567"/>
        <w:rPr>
          <w:b/>
        </w:rPr>
      </w:pPr>
      <w:r>
        <w:rPr>
          <w:b/>
        </w:rPr>
        <w:lastRenderedPageBreak/>
        <w:t>8</w:t>
      </w:r>
      <w:r w:rsidR="00D95856">
        <w:rPr>
          <w:b/>
        </w:rPr>
        <w:t>4</w:t>
      </w:r>
      <w:r w:rsidR="003260E1" w:rsidRPr="00CA3A25">
        <w:rPr>
          <w:b/>
        </w:rPr>
        <w:tab/>
      </w:r>
      <w:r w:rsidR="003260E1">
        <w:rPr>
          <w:b/>
        </w:rPr>
        <w:t xml:space="preserve">Section 13 (definition of </w:t>
      </w:r>
      <w:r w:rsidR="003260E1">
        <w:rPr>
          <w:b/>
          <w:i/>
        </w:rPr>
        <w:t>authorised participant</w:t>
      </w:r>
      <w:r w:rsidR="003260E1">
        <w:rPr>
          <w:b/>
        </w:rPr>
        <w:t xml:space="preserve">) </w:t>
      </w:r>
    </w:p>
    <w:p w14:paraId="695DE9D6" w14:textId="432288E2" w:rsidR="003260E1" w:rsidRPr="003260E1" w:rsidRDefault="003260E1" w:rsidP="00BE0CC1">
      <w:pPr>
        <w:pStyle w:val="LI-BodyTextUnnumbered"/>
        <w:spacing w:after="240"/>
        <w:rPr>
          <w:szCs w:val="24"/>
        </w:rPr>
      </w:pPr>
      <w:r w:rsidRPr="003260E1">
        <w:rPr>
          <w:szCs w:val="24"/>
        </w:rPr>
        <w:t xml:space="preserve">Repeal the definition, substitute: </w:t>
      </w:r>
    </w:p>
    <w:p w14:paraId="66110C38" w14:textId="17E502AB" w:rsidR="003260E1" w:rsidRPr="001669D9" w:rsidRDefault="003260E1" w:rsidP="00BE0CC1">
      <w:pPr>
        <w:pStyle w:val="LI-BodyTextSubparai"/>
        <w:ind w:left="1440" w:firstLine="0"/>
      </w:pPr>
      <w:r w:rsidRPr="003260E1">
        <w:rPr>
          <w:b/>
          <w:i/>
        </w:rPr>
        <w:t xml:space="preserve">authorised participant </w:t>
      </w:r>
      <w:r w:rsidRPr="00BE0CC1">
        <w:t>means, in relation to an exchange traded fund, a person who:</w:t>
      </w:r>
    </w:p>
    <w:p w14:paraId="56D5FC1C" w14:textId="0FC6ADAE" w:rsidR="00CB515F" w:rsidRDefault="00CB515F" w:rsidP="00F2578A">
      <w:pPr>
        <w:pStyle w:val="LI-BodyTextSubparai"/>
        <w:ind w:left="2160" w:hanging="720"/>
      </w:pPr>
      <w:r>
        <w:t>(a)</w:t>
      </w:r>
      <w:r>
        <w:tab/>
      </w:r>
      <w:r w:rsidR="003260E1" w:rsidRPr="00C52616">
        <w:t>has an agreement with the responsible entity</w:t>
      </w:r>
      <w:r w:rsidR="003260E1">
        <w:t xml:space="preserve"> of that fund</w:t>
      </w:r>
      <w:r w:rsidR="003260E1" w:rsidRPr="00C52616">
        <w:t xml:space="preserve"> </w:t>
      </w:r>
      <w:r w:rsidR="003260E1" w:rsidRPr="001669D9">
        <w:t>or CCIV</w:t>
      </w:r>
      <w:r w:rsidR="003260E1">
        <w:t xml:space="preserve"> (in respect of the sub-fund) </w:t>
      </w:r>
      <w:r w:rsidR="003260E1" w:rsidRPr="00C52616">
        <w:t xml:space="preserve">in relation to making applications to acquire and withdraw interests </w:t>
      </w:r>
      <w:r w:rsidR="003260E1" w:rsidRPr="001669D9">
        <w:t xml:space="preserve">or shares </w:t>
      </w:r>
      <w:r w:rsidR="003260E1" w:rsidRPr="00C52616">
        <w:t>in the fund; and</w:t>
      </w:r>
    </w:p>
    <w:p w14:paraId="3A397E74" w14:textId="4ADC89D8" w:rsidR="003260E1" w:rsidRPr="001669D9" w:rsidRDefault="00CB515F" w:rsidP="00AA146E">
      <w:pPr>
        <w:pStyle w:val="LI-BodyTextSubparai"/>
        <w:ind w:left="2160" w:hanging="720"/>
      </w:pPr>
      <w:r>
        <w:t>(b)</w:t>
      </w:r>
      <w:r>
        <w:tab/>
      </w:r>
      <w:r w:rsidR="003260E1" w:rsidRPr="001669D9">
        <w:t>is, or has engaged to act on its behalf, a participant (within the meaning of section 761A of the Act) in relation to a financial market, to acquire and dispose of interests in the registered scheme or shares in the sub-fund.</w:t>
      </w:r>
    </w:p>
    <w:p w14:paraId="0477150C" w14:textId="6A32398B" w:rsidR="008E4209" w:rsidRDefault="000D5C42" w:rsidP="001A6977">
      <w:pPr>
        <w:pStyle w:val="LI-BodyTextUnnumbered"/>
        <w:spacing w:after="240"/>
        <w:ind w:left="567" w:hanging="567"/>
        <w:rPr>
          <w:b/>
        </w:rPr>
      </w:pPr>
      <w:r>
        <w:rPr>
          <w:b/>
        </w:rPr>
        <w:t>8</w:t>
      </w:r>
      <w:r w:rsidR="00D95856">
        <w:rPr>
          <w:b/>
        </w:rPr>
        <w:t>5</w:t>
      </w:r>
      <w:r w:rsidR="00AA146E">
        <w:rPr>
          <w:b/>
        </w:rPr>
        <w:tab/>
      </w:r>
      <w:r w:rsidR="008E4209">
        <w:rPr>
          <w:b/>
        </w:rPr>
        <w:t xml:space="preserve">Section 13 </w:t>
      </w:r>
    </w:p>
    <w:p w14:paraId="2F0DE4D1" w14:textId="5BDBB59B" w:rsidR="008E4209" w:rsidRPr="008E4209" w:rsidRDefault="008E4209" w:rsidP="008E4209">
      <w:pPr>
        <w:pStyle w:val="LI-BodyTextUnnumbered"/>
        <w:spacing w:after="240"/>
      </w:pPr>
      <w:r w:rsidRPr="008E4209">
        <w:t>Insert:</w:t>
      </w:r>
    </w:p>
    <w:p w14:paraId="1D7D53DC" w14:textId="20C4BD3D" w:rsidR="008E4209" w:rsidRPr="001669D9" w:rsidRDefault="008E4209" w:rsidP="008E4209">
      <w:pPr>
        <w:pStyle w:val="LI-BodyTextSubparai"/>
        <w:ind w:left="1440" w:firstLine="0"/>
        <w:rPr>
          <w:b/>
          <w:i/>
        </w:rPr>
      </w:pPr>
      <w:r w:rsidRPr="001669D9">
        <w:rPr>
          <w:b/>
          <w:i/>
        </w:rPr>
        <w:t>constitution</w:t>
      </w:r>
      <w:r w:rsidRPr="00194351">
        <w:rPr>
          <w:i/>
        </w:rPr>
        <w:t>,</w:t>
      </w:r>
      <w:r w:rsidRPr="008E4209">
        <w:t xml:space="preserve"> in relation to a sub-fund of a CCIV </w:t>
      </w:r>
      <w:r w:rsidR="007B3E69">
        <w:t>(</w:t>
      </w:r>
      <w:r w:rsidRPr="008E4209">
        <w:t>including a sub-fund that is an ETF</w:t>
      </w:r>
      <w:r w:rsidR="007B3E69">
        <w:t>)</w:t>
      </w:r>
      <w:r w:rsidRPr="008E4209">
        <w:t>, means the constitution of the CCIV.</w:t>
      </w:r>
    </w:p>
    <w:p w14:paraId="10F0ED64" w14:textId="7013498A" w:rsidR="008E4209" w:rsidRDefault="008E4209" w:rsidP="00442195">
      <w:pPr>
        <w:pStyle w:val="LI-BodyTextSubparai"/>
        <w:ind w:left="1440" w:firstLine="0"/>
      </w:pPr>
      <w:r w:rsidRPr="001669D9">
        <w:rPr>
          <w:b/>
          <w:i/>
        </w:rPr>
        <w:t>corporate director</w:t>
      </w:r>
      <w:r w:rsidRPr="00194351">
        <w:rPr>
          <w:i/>
        </w:rPr>
        <w:t>,</w:t>
      </w:r>
      <w:r w:rsidRPr="00194351">
        <w:t xml:space="preserve"> </w:t>
      </w:r>
      <w:r w:rsidRPr="008E4209">
        <w:t xml:space="preserve">in relation to a sub-fund of a CCIV </w:t>
      </w:r>
      <w:r w:rsidR="007B3E69">
        <w:t>(</w:t>
      </w:r>
      <w:r w:rsidRPr="008E4209">
        <w:t>including a sub-fund that is an ETF</w:t>
      </w:r>
      <w:r w:rsidR="007B3E69">
        <w:t>)</w:t>
      </w:r>
      <w:r w:rsidRPr="008E4209">
        <w:t>, means the corporate director of the CCIV.</w:t>
      </w:r>
    </w:p>
    <w:p w14:paraId="70AA5659" w14:textId="77777777" w:rsidR="00442195" w:rsidRPr="00442195" w:rsidRDefault="00442195" w:rsidP="00442195">
      <w:pPr>
        <w:pStyle w:val="LI-BodyTextSubparai"/>
        <w:ind w:left="1440" w:firstLine="0"/>
        <w:rPr>
          <w:b/>
          <w:i/>
        </w:rPr>
      </w:pPr>
    </w:p>
    <w:p w14:paraId="557DA018" w14:textId="1341885C" w:rsidR="00442195" w:rsidRPr="005A6511" w:rsidRDefault="000D5C42" w:rsidP="001A6977">
      <w:pPr>
        <w:spacing w:line="240" w:lineRule="auto"/>
        <w:ind w:left="567" w:hanging="567"/>
        <w:rPr>
          <w:b/>
          <w:sz w:val="24"/>
          <w:szCs w:val="24"/>
        </w:rPr>
      </w:pPr>
      <w:r>
        <w:rPr>
          <w:b/>
          <w:sz w:val="24"/>
          <w:szCs w:val="24"/>
        </w:rPr>
        <w:t>8</w:t>
      </w:r>
      <w:r w:rsidR="00D95856">
        <w:rPr>
          <w:b/>
          <w:sz w:val="24"/>
          <w:szCs w:val="24"/>
        </w:rPr>
        <w:t>6</w:t>
      </w:r>
      <w:r w:rsidR="00AA146E">
        <w:rPr>
          <w:b/>
          <w:sz w:val="24"/>
          <w:szCs w:val="24"/>
        </w:rPr>
        <w:tab/>
      </w:r>
      <w:r w:rsidR="00442195" w:rsidRPr="005A6511">
        <w:rPr>
          <w:b/>
          <w:sz w:val="24"/>
          <w:szCs w:val="24"/>
        </w:rPr>
        <w:t xml:space="preserve">Section 13 (definition of </w:t>
      </w:r>
      <w:r w:rsidR="00442195" w:rsidRPr="005A6511">
        <w:rPr>
          <w:b/>
          <w:i/>
          <w:sz w:val="24"/>
          <w:szCs w:val="24"/>
        </w:rPr>
        <w:t>exchange traded fund</w:t>
      </w:r>
      <w:r w:rsidR="00442195" w:rsidRPr="005A6511">
        <w:rPr>
          <w:b/>
          <w:sz w:val="24"/>
          <w:szCs w:val="24"/>
        </w:rPr>
        <w:t>)</w:t>
      </w:r>
    </w:p>
    <w:p w14:paraId="3E60D970" w14:textId="77777777" w:rsidR="00442195" w:rsidRPr="003260E1" w:rsidRDefault="00442195" w:rsidP="00442195">
      <w:pPr>
        <w:pStyle w:val="LI-BodyTextUnnumbered"/>
        <w:spacing w:after="240"/>
        <w:rPr>
          <w:szCs w:val="24"/>
        </w:rPr>
      </w:pPr>
      <w:r w:rsidRPr="003260E1">
        <w:rPr>
          <w:szCs w:val="24"/>
        </w:rPr>
        <w:t xml:space="preserve">Repeal the definition, substitute: </w:t>
      </w:r>
    </w:p>
    <w:p w14:paraId="41F684C9" w14:textId="4476743B" w:rsidR="00442195" w:rsidRPr="005A6511" w:rsidRDefault="00442195" w:rsidP="005A6511">
      <w:pPr>
        <w:pStyle w:val="LI-BodyTextSubparai"/>
        <w:ind w:left="1440" w:firstLine="0"/>
        <w:rPr>
          <w:b/>
          <w:i/>
        </w:rPr>
      </w:pPr>
      <w:r w:rsidRPr="001669D9">
        <w:rPr>
          <w:b/>
          <w:i/>
        </w:rPr>
        <w:t>exchange traded fund</w:t>
      </w:r>
      <w:r w:rsidRPr="00442195">
        <w:rPr>
          <w:b/>
          <w:i/>
        </w:rPr>
        <w:t xml:space="preserve"> </w:t>
      </w:r>
      <w:r w:rsidRPr="005A6511">
        <w:rPr>
          <w:i/>
        </w:rPr>
        <w:t>(or</w:t>
      </w:r>
      <w:r w:rsidRPr="00442195">
        <w:rPr>
          <w:b/>
          <w:i/>
        </w:rPr>
        <w:t xml:space="preserve"> </w:t>
      </w:r>
      <w:r w:rsidRPr="001669D9">
        <w:rPr>
          <w:b/>
          <w:i/>
        </w:rPr>
        <w:t>ETF</w:t>
      </w:r>
      <w:r w:rsidRPr="00AA146E">
        <w:rPr>
          <w:i/>
        </w:rPr>
        <w:t>)</w:t>
      </w:r>
      <w:r w:rsidRPr="00442195">
        <w:rPr>
          <w:b/>
          <w:i/>
        </w:rPr>
        <w:t xml:space="preserve"> </w:t>
      </w:r>
      <w:r w:rsidRPr="005A6511">
        <w:t>means a registered scheme or a sub-fund of a CCIV in relation to which all of the following are satisfied:</w:t>
      </w:r>
    </w:p>
    <w:p w14:paraId="2202D56E" w14:textId="1C8FC454" w:rsidR="00442195" w:rsidRPr="005A6511" w:rsidRDefault="00442195" w:rsidP="00155B8F">
      <w:pPr>
        <w:pStyle w:val="LI-BodyTextSubparai"/>
        <w:numPr>
          <w:ilvl w:val="0"/>
          <w:numId w:val="17"/>
        </w:numPr>
      </w:pPr>
      <w:r w:rsidRPr="001669D9">
        <w:t xml:space="preserve">interests in the scheme or shares in the sub-fund are in a class that </w:t>
      </w:r>
      <w:r w:rsidRPr="005A6511">
        <w:t xml:space="preserve">are able to be traded on a financial market operated by ASX or </w:t>
      </w:r>
      <w:proofErr w:type="spellStart"/>
      <w:r w:rsidRPr="005A6511">
        <w:t>Cboe</w:t>
      </w:r>
      <w:proofErr w:type="spellEnd"/>
      <w:r w:rsidR="007B3E69">
        <w:t>,</w:t>
      </w:r>
      <w:r w:rsidRPr="005A6511">
        <w:t xml:space="preserve"> but the scheme or sub-fund is not listed on either of those </w:t>
      </w:r>
      <w:proofErr w:type="gramStart"/>
      <w:r w:rsidRPr="005A6511">
        <w:t>markets;</w:t>
      </w:r>
      <w:proofErr w:type="gramEnd"/>
    </w:p>
    <w:p w14:paraId="0364E53F" w14:textId="28D6A959" w:rsidR="00442195" w:rsidRPr="001669D9" w:rsidRDefault="00442195" w:rsidP="00155B8F">
      <w:pPr>
        <w:pStyle w:val="LI-BodyTextSubparai"/>
        <w:numPr>
          <w:ilvl w:val="0"/>
          <w:numId w:val="17"/>
        </w:numPr>
      </w:pPr>
      <w:r w:rsidRPr="001669D9">
        <w:t xml:space="preserve">the responsible entity or CCIV has the power and approval to issue interests or shares in that class on any day that those interests or shares are able to be traded on the relevant financial </w:t>
      </w:r>
      <w:proofErr w:type="gramStart"/>
      <w:r w:rsidRPr="001669D9">
        <w:t>market;</w:t>
      </w:r>
      <w:proofErr w:type="gramEnd"/>
    </w:p>
    <w:p w14:paraId="3EAF77FB" w14:textId="5EF9EF8E" w:rsidR="00442195" w:rsidRPr="001669D9" w:rsidRDefault="00442195" w:rsidP="00155B8F">
      <w:pPr>
        <w:pStyle w:val="LI-BodyTextSubparai"/>
        <w:numPr>
          <w:ilvl w:val="0"/>
          <w:numId w:val="17"/>
        </w:numPr>
      </w:pPr>
      <w:r w:rsidRPr="001669D9">
        <w:t xml:space="preserve">the responsible entity or CCIV allows applications for and redemptions of interests or shares in that class on any day that those interests or shares are able to be traded on the relevant financial </w:t>
      </w:r>
      <w:proofErr w:type="gramStart"/>
      <w:r w:rsidRPr="001669D9">
        <w:t>market;</w:t>
      </w:r>
      <w:proofErr w:type="gramEnd"/>
    </w:p>
    <w:p w14:paraId="0752EED8" w14:textId="433E0947" w:rsidR="00442195" w:rsidRPr="001669D9" w:rsidRDefault="00442195" w:rsidP="00155B8F">
      <w:pPr>
        <w:pStyle w:val="LI-BodyTextSubparai"/>
        <w:numPr>
          <w:ilvl w:val="0"/>
          <w:numId w:val="17"/>
        </w:numPr>
      </w:pPr>
      <w:r w:rsidRPr="001669D9">
        <w:t xml:space="preserve">the price or value of any financial product, index, currency, commodity or other thing that the scheme or sub-fund invests in </w:t>
      </w:r>
      <w:r w:rsidRPr="001669D9">
        <w:lastRenderedPageBreak/>
        <w:t xml:space="preserve">or tracks is continuously disclosed or can be immediately </w:t>
      </w:r>
      <w:proofErr w:type="gramStart"/>
      <w:r w:rsidRPr="001669D9">
        <w:t>ascertained;</w:t>
      </w:r>
      <w:proofErr w:type="gramEnd"/>
    </w:p>
    <w:p w14:paraId="13A18F97" w14:textId="050DFB32" w:rsidR="00442195" w:rsidRPr="001669D9" w:rsidRDefault="00442195" w:rsidP="00155B8F">
      <w:pPr>
        <w:pStyle w:val="LI-BodyTextSubparai"/>
        <w:numPr>
          <w:ilvl w:val="0"/>
          <w:numId w:val="17"/>
        </w:numPr>
      </w:pPr>
      <w:r w:rsidRPr="001669D9">
        <w:t xml:space="preserve">the name of the scheme or sub-fund does not contain the expression “managed fund” or “hedge fund”. </w:t>
      </w:r>
    </w:p>
    <w:p w14:paraId="38FD63DD" w14:textId="77777777" w:rsidR="00DA4C12" w:rsidRDefault="00DA4C12">
      <w:pPr>
        <w:spacing w:line="240" w:lineRule="auto"/>
      </w:pPr>
    </w:p>
    <w:p w14:paraId="2A741A24" w14:textId="4058E489" w:rsidR="00DA4C12" w:rsidRPr="00AA146E" w:rsidRDefault="000D5C42" w:rsidP="001A6977">
      <w:pPr>
        <w:spacing w:line="240" w:lineRule="auto"/>
        <w:ind w:left="567" w:hanging="567"/>
        <w:rPr>
          <w:b/>
          <w:sz w:val="24"/>
          <w:szCs w:val="24"/>
        </w:rPr>
      </w:pPr>
      <w:r w:rsidRPr="00AA146E">
        <w:rPr>
          <w:b/>
          <w:sz w:val="24"/>
          <w:szCs w:val="24"/>
        </w:rPr>
        <w:t>8</w:t>
      </w:r>
      <w:r w:rsidR="00D95856" w:rsidRPr="00AA146E">
        <w:rPr>
          <w:b/>
          <w:sz w:val="24"/>
          <w:szCs w:val="24"/>
        </w:rPr>
        <w:t>7</w:t>
      </w:r>
      <w:r w:rsidR="00AA146E">
        <w:rPr>
          <w:b/>
          <w:sz w:val="24"/>
          <w:szCs w:val="24"/>
        </w:rPr>
        <w:tab/>
      </w:r>
      <w:r w:rsidR="00DA4C12" w:rsidRPr="00AA146E">
        <w:rPr>
          <w:b/>
          <w:sz w:val="24"/>
          <w:szCs w:val="24"/>
        </w:rPr>
        <w:t xml:space="preserve">Section 13 </w:t>
      </w:r>
    </w:p>
    <w:p w14:paraId="2062B157" w14:textId="41280865" w:rsidR="00DA4C12" w:rsidRPr="003260E1" w:rsidRDefault="006B5266" w:rsidP="00DA4C12">
      <w:pPr>
        <w:pStyle w:val="LI-BodyTextUnnumbered"/>
        <w:spacing w:after="240"/>
        <w:rPr>
          <w:szCs w:val="24"/>
        </w:rPr>
      </w:pPr>
      <w:r>
        <w:rPr>
          <w:szCs w:val="24"/>
        </w:rPr>
        <w:t xml:space="preserve">Insert: </w:t>
      </w:r>
    </w:p>
    <w:p w14:paraId="22E5DA4A" w14:textId="3C55A58F" w:rsidR="00DA4C12" w:rsidRPr="00DA4C12" w:rsidRDefault="00DA4C12" w:rsidP="00DA4C12">
      <w:pPr>
        <w:pStyle w:val="LI-BodyTextSubparai"/>
        <w:ind w:left="1440" w:firstLine="0"/>
        <w:rPr>
          <w:b/>
          <w:i/>
        </w:rPr>
      </w:pPr>
      <w:r w:rsidRPr="00DA4C12">
        <w:rPr>
          <w:b/>
          <w:i/>
        </w:rPr>
        <w:t xml:space="preserve">indicative net asset value per share </w:t>
      </w:r>
      <w:r w:rsidRPr="00DA4C12">
        <w:t>means:</w:t>
      </w:r>
    </w:p>
    <w:p w14:paraId="3A24FB96" w14:textId="54C3062D" w:rsidR="00DA4C12" w:rsidRPr="00DA4C12" w:rsidRDefault="00DA4C12" w:rsidP="00155B8F">
      <w:pPr>
        <w:pStyle w:val="LI-BodyTextSubparai"/>
        <w:numPr>
          <w:ilvl w:val="0"/>
          <w:numId w:val="20"/>
        </w:numPr>
      </w:pPr>
      <w:r w:rsidRPr="00DA4C12">
        <w:t>for an exchange traded fund, the total assets of the exchange traded fund less the total liabilities of the exchange traded fund (disregarding any liability to a member of the exchange traded fund as a member), divided by the number of shares in the exchange traded fund; and</w:t>
      </w:r>
    </w:p>
    <w:p w14:paraId="37D46D61" w14:textId="6FD75597" w:rsidR="00DA4C12" w:rsidRPr="00DA4C12" w:rsidRDefault="00DA4C12" w:rsidP="00155B8F">
      <w:pPr>
        <w:pStyle w:val="LI-BodyTextSubparai"/>
        <w:numPr>
          <w:ilvl w:val="0"/>
          <w:numId w:val="20"/>
        </w:numPr>
      </w:pPr>
      <w:r w:rsidRPr="00DA4C12">
        <w:t>for a class of shares in an exchange traded fund, the total assets attributable to that class of shares less the total liabilities attributable to that class of shares (disregarding any liability to a member of the exchange traded fund as a member), divided by the number of shares in that class.</w:t>
      </w:r>
    </w:p>
    <w:p w14:paraId="768D868E" w14:textId="77777777" w:rsidR="00FC154B" w:rsidRPr="00AA146E" w:rsidRDefault="00FC154B">
      <w:pPr>
        <w:spacing w:line="240" w:lineRule="auto"/>
        <w:rPr>
          <w:sz w:val="24"/>
          <w:szCs w:val="24"/>
        </w:rPr>
      </w:pPr>
    </w:p>
    <w:p w14:paraId="096C31A4" w14:textId="0E2F716F" w:rsidR="00FC154B" w:rsidRDefault="000D5C42" w:rsidP="001A6977">
      <w:pPr>
        <w:spacing w:line="240" w:lineRule="auto"/>
        <w:ind w:left="567" w:hanging="567"/>
        <w:rPr>
          <w:b/>
        </w:rPr>
      </w:pPr>
      <w:r w:rsidRPr="00AA146E">
        <w:rPr>
          <w:b/>
          <w:sz w:val="24"/>
          <w:szCs w:val="24"/>
        </w:rPr>
        <w:t>8</w:t>
      </w:r>
      <w:r w:rsidR="00D95856" w:rsidRPr="00AA146E">
        <w:rPr>
          <w:b/>
          <w:sz w:val="24"/>
          <w:szCs w:val="24"/>
        </w:rPr>
        <w:t>8</w:t>
      </w:r>
      <w:r w:rsidR="00AA146E">
        <w:rPr>
          <w:b/>
          <w:sz w:val="24"/>
          <w:szCs w:val="24"/>
        </w:rPr>
        <w:tab/>
      </w:r>
      <w:r w:rsidR="00FC154B" w:rsidRPr="00AA146E">
        <w:rPr>
          <w:b/>
          <w:sz w:val="24"/>
          <w:szCs w:val="24"/>
        </w:rPr>
        <w:t xml:space="preserve">Section 13 (definition of </w:t>
      </w:r>
      <w:r w:rsidR="00FC154B" w:rsidRPr="00AA146E">
        <w:rPr>
          <w:b/>
          <w:i/>
          <w:sz w:val="24"/>
          <w:szCs w:val="24"/>
        </w:rPr>
        <w:t>managed fund</w:t>
      </w:r>
      <w:r w:rsidR="00FC154B" w:rsidRPr="00AA146E">
        <w:rPr>
          <w:b/>
          <w:sz w:val="24"/>
          <w:szCs w:val="24"/>
        </w:rPr>
        <w:t>)</w:t>
      </w:r>
    </w:p>
    <w:p w14:paraId="41D1D07D" w14:textId="1680FFFB" w:rsidR="00FC154B" w:rsidRDefault="00AF4203" w:rsidP="008357F5">
      <w:pPr>
        <w:pStyle w:val="LI-BodyTextUnnumbered"/>
        <w:spacing w:after="240"/>
      </w:pPr>
      <w:r>
        <w:rPr>
          <w:szCs w:val="24"/>
        </w:rPr>
        <w:t xml:space="preserve">After “a registered scheme”, insert “or sub-fund of a CCIV”. </w:t>
      </w:r>
    </w:p>
    <w:p w14:paraId="3E00FC61" w14:textId="36DF6443" w:rsidR="00FC154B" w:rsidRPr="00AA146E" w:rsidRDefault="000D5C42" w:rsidP="001A6977">
      <w:pPr>
        <w:spacing w:line="240" w:lineRule="auto"/>
        <w:ind w:left="567" w:hanging="567"/>
        <w:rPr>
          <w:b/>
          <w:sz w:val="24"/>
          <w:szCs w:val="24"/>
        </w:rPr>
      </w:pPr>
      <w:r w:rsidRPr="00AA146E">
        <w:rPr>
          <w:b/>
          <w:sz w:val="24"/>
          <w:szCs w:val="24"/>
        </w:rPr>
        <w:t>8</w:t>
      </w:r>
      <w:r w:rsidR="00D95856" w:rsidRPr="00AA146E">
        <w:rPr>
          <w:b/>
          <w:sz w:val="24"/>
          <w:szCs w:val="24"/>
        </w:rPr>
        <w:t>9</w:t>
      </w:r>
      <w:r w:rsidR="00AA146E">
        <w:rPr>
          <w:b/>
          <w:sz w:val="24"/>
          <w:szCs w:val="24"/>
        </w:rPr>
        <w:tab/>
      </w:r>
      <w:r w:rsidR="00FC154B" w:rsidRPr="00AA146E">
        <w:rPr>
          <w:b/>
          <w:sz w:val="24"/>
          <w:szCs w:val="24"/>
        </w:rPr>
        <w:t xml:space="preserve">Section 13 (definition of </w:t>
      </w:r>
      <w:r w:rsidR="00FC154B" w:rsidRPr="00AA146E">
        <w:rPr>
          <w:b/>
          <w:i/>
          <w:sz w:val="24"/>
          <w:szCs w:val="24"/>
        </w:rPr>
        <w:t>minimum parcel</w:t>
      </w:r>
      <w:r w:rsidR="00FC154B" w:rsidRPr="00AA146E">
        <w:rPr>
          <w:b/>
          <w:sz w:val="24"/>
          <w:szCs w:val="24"/>
        </w:rPr>
        <w:t>)</w:t>
      </w:r>
    </w:p>
    <w:p w14:paraId="46DEF825" w14:textId="77777777" w:rsidR="00FC154B" w:rsidRPr="003260E1" w:rsidRDefault="00FC154B" w:rsidP="00FC154B">
      <w:pPr>
        <w:pStyle w:val="LI-BodyTextUnnumbered"/>
        <w:spacing w:after="240"/>
        <w:rPr>
          <w:szCs w:val="24"/>
        </w:rPr>
      </w:pPr>
      <w:r w:rsidRPr="003260E1">
        <w:rPr>
          <w:szCs w:val="24"/>
        </w:rPr>
        <w:t xml:space="preserve">Repeal the definition, substitute: </w:t>
      </w:r>
    </w:p>
    <w:p w14:paraId="3BAA6DC7" w14:textId="77777777" w:rsidR="00FC154B" w:rsidRPr="00FC154B" w:rsidRDefault="00FC154B" w:rsidP="00FC154B">
      <w:pPr>
        <w:pStyle w:val="LI-BodyTextSubparai"/>
        <w:ind w:left="1440" w:firstLine="0"/>
      </w:pPr>
      <w:r w:rsidRPr="00FC154B">
        <w:rPr>
          <w:b/>
          <w:i/>
        </w:rPr>
        <w:t xml:space="preserve">minimum parcel </w:t>
      </w:r>
      <w:r w:rsidRPr="00FC154B">
        <w:t>means the smallest number or value of interests or shares in an exchange traded fund that are generally permitted to be withdrawn from the exchange traded fund by an authorised participant while interests or shares in the exchange traded fund are quoted.</w:t>
      </w:r>
    </w:p>
    <w:p w14:paraId="42C741CD" w14:textId="77777777" w:rsidR="00FC154B" w:rsidRPr="00AA146E" w:rsidRDefault="00FC154B">
      <w:pPr>
        <w:spacing w:line="240" w:lineRule="auto"/>
        <w:rPr>
          <w:sz w:val="24"/>
          <w:szCs w:val="24"/>
        </w:rPr>
      </w:pPr>
    </w:p>
    <w:p w14:paraId="19B685C5" w14:textId="5F389108" w:rsidR="00FC154B" w:rsidRPr="00AA146E" w:rsidRDefault="00D95856" w:rsidP="001A6977">
      <w:pPr>
        <w:spacing w:line="240" w:lineRule="auto"/>
        <w:ind w:left="567" w:hanging="567"/>
        <w:rPr>
          <w:b/>
          <w:sz w:val="24"/>
          <w:szCs w:val="24"/>
        </w:rPr>
      </w:pPr>
      <w:r w:rsidRPr="00AA146E">
        <w:rPr>
          <w:b/>
          <w:sz w:val="24"/>
          <w:szCs w:val="24"/>
        </w:rPr>
        <w:t>90</w:t>
      </w:r>
      <w:r w:rsidR="00AA146E">
        <w:rPr>
          <w:b/>
          <w:sz w:val="24"/>
          <w:szCs w:val="24"/>
        </w:rPr>
        <w:tab/>
      </w:r>
      <w:r w:rsidR="00FC154B" w:rsidRPr="00AA146E">
        <w:rPr>
          <w:b/>
          <w:sz w:val="24"/>
          <w:szCs w:val="24"/>
        </w:rPr>
        <w:t>Section 13</w:t>
      </w:r>
    </w:p>
    <w:p w14:paraId="32109EE0" w14:textId="77777777" w:rsidR="00FC154B" w:rsidRPr="008E4209" w:rsidRDefault="00FC154B" w:rsidP="00FC154B">
      <w:pPr>
        <w:pStyle w:val="LI-BodyTextUnnumbered"/>
        <w:spacing w:after="240"/>
      </w:pPr>
      <w:r w:rsidRPr="008E4209">
        <w:t>Insert:</w:t>
      </w:r>
    </w:p>
    <w:p w14:paraId="5CB12B7E" w14:textId="6F4B1EFB" w:rsidR="000B2AEC" w:rsidRDefault="00FC154B" w:rsidP="00FC154B">
      <w:pPr>
        <w:pStyle w:val="LI-BodyTextSubparai"/>
        <w:ind w:left="1440" w:firstLine="0"/>
      </w:pPr>
      <w:r w:rsidRPr="001669D9">
        <w:rPr>
          <w:b/>
          <w:i/>
        </w:rPr>
        <w:t xml:space="preserve">withdrawal fee per share </w:t>
      </w:r>
      <w:r w:rsidRPr="00FC154B">
        <w:t>means, in relation an exchange traded fund, the fee that is payable in relation to a withdrawal from the fund divided by the number of shares in the fund to which the withdrawal relates.</w:t>
      </w:r>
    </w:p>
    <w:p w14:paraId="50761CD0" w14:textId="77777777" w:rsidR="00CA1112" w:rsidRDefault="00CA1112">
      <w:pPr>
        <w:spacing w:line="240" w:lineRule="auto"/>
      </w:pPr>
    </w:p>
    <w:p w14:paraId="59758B78" w14:textId="40E62F11" w:rsidR="00CA1112" w:rsidRPr="00BB7585" w:rsidRDefault="001E52BA" w:rsidP="00CA1112">
      <w:pPr>
        <w:pStyle w:val="LI-BodyTextNumbered"/>
        <w:ind w:left="567"/>
        <w:rPr>
          <w:b/>
        </w:rPr>
      </w:pPr>
      <w:r>
        <w:rPr>
          <w:b/>
        </w:rPr>
        <w:t>9</w:t>
      </w:r>
      <w:r w:rsidR="00D95856">
        <w:rPr>
          <w:b/>
        </w:rPr>
        <w:t>1</w:t>
      </w:r>
      <w:r w:rsidR="00CA1112" w:rsidRPr="00BB7585">
        <w:rPr>
          <w:b/>
        </w:rPr>
        <w:tab/>
        <w:t>The whole of the instrument</w:t>
      </w:r>
    </w:p>
    <w:p w14:paraId="0D745C9A" w14:textId="77777777" w:rsidR="00CA1112" w:rsidRPr="00C83F83" w:rsidRDefault="00CA1112" w:rsidP="00CA1112">
      <w:pPr>
        <w:pStyle w:val="LI-BodyTextUnnumbered"/>
      </w:pPr>
      <w:r w:rsidRPr="00C83F83">
        <w:rPr>
          <w:szCs w:val="24"/>
        </w:rPr>
        <w:t xml:space="preserve">Omit every occurrence </w:t>
      </w:r>
      <w:r>
        <w:rPr>
          <w:szCs w:val="24"/>
        </w:rPr>
        <w:t>of “</w:t>
      </w:r>
      <w:r>
        <w:t>Chi-X”, substitute “</w:t>
      </w:r>
      <w:proofErr w:type="spellStart"/>
      <w:r>
        <w:t>Cboe</w:t>
      </w:r>
      <w:proofErr w:type="spellEnd"/>
      <w:r>
        <w:t xml:space="preserve">”. </w:t>
      </w:r>
    </w:p>
    <w:p w14:paraId="2FF063D8" w14:textId="0A8CA3D7" w:rsidR="000B2AEC" w:rsidRDefault="000B2AEC">
      <w:pPr>
        <w:spacing w:line="240" w:lineRule="auto"/>
        <w:rPr>
          <w:rFonts w:eastAsia="Times New Roman"/>
          <w:sz w:val="24"/>
          <w:szCs w:val="24"/>
          <w:lang w:eastAsia="en-AU"/>
        </w:rPr>
      </w:pPr>
      <w:r>
        <w:br w:type="page"/>
      </w:r>
    </w:p>
    <w:p w14:paraId="7E20341E" w14:textId="29BEC858" w:rsidR="000B2AEC" w:rsidRDefault="000D5C42" w:rsidP="000B2AEC">
      <w:pPr>
        <w:pStyle w:val="LI-Heading1"/>
        <w:ind w:left="0" w:firstLine="0"/>
      </w:pPr>
      <w:bookmarkStart w:id="41" w:name="_Toc118808582"/>
      <w:r>
        <w:lastRenderedPageBreak/>
        <w:t xml:space="preserve">Part </w:t>
      </w:r>
      <w:r w:rsidR="000B2AEC">
        <w:t>1</w:t>
      </w:r>
      <w:r w:rsidR="002E679C">
        <w:t>5</w:t>
      </w:r>
      <w:bookmarkEnd w:id="41"/>
      <w:r w:rsidR="000B2AEC">
        <w:t xml:space="preserve"> </w:t>
      </w:r>
    </w:p>
    <w:p w14:paraId="2426A2AA" w14:textId="77777777" w:rsidR="000B2AEC" w:rsidRPr="00E02BC6" w:rsidRDefault="000B2AEC" w:rsidP="00E02BC6">
      <w:pPr>
        <w:pStyle w:val="LI-Heading2"/>
        <w:rPr>
          <w:i/>
        </w:rPr>
      </w:pPr>
      <w:bookmarkStart w:id="42" w:name="_Toc118808583"/>
      <w:r w:rsidRPr="00E02BC6">
        <w:rPr>
          <w:i/>
        </w:rPr>
        <w:t>ASIC Class Order [CO 13/1200]</w:t>
      </w:r>
      <w:bookmarkEnd w:id="42"/>
    </w:p>
    <w:p w14:paraId="7ADC3369" w14:textId="0CD09BE9" w:rsidR="00FC3690" w:rsidRDefault="000D5C42" w:rsidP="005E70A7">
      <w:pPr>
        <w:pStyle w:val="LI-BodyTextNumbered"/>
        <w:ind w:left="567"/>
        <w:rPr>
          <w:b/>
        </w:rPr>
      </w:pPr>
      <w:r>
        <w:rPr>
          <w:b/>
        </w:rPr>
        <w:t>9</w:t>
      </w:r>
      <w:r w:rsidR="00D95856">
        <w:rPr>
          <w:b/>
        </w:rPr>
        <w:t>2</w:t>
      </w:r>
      <w:r w:rsidR="005E70A7">
        <w:rPr>
          <w:b/>
        </w:rPr>
        <w:tab/>
      </w:r>
      <w:r w:rsidR="00FC3690" w:rsidRPr="00BB7585">
        <w:rPr>
          <w:b/>
        </w:rPr>
        <w:t xml:space="preserve">Section </w:t>
      </w:r>
      <w:r w:rsidR="00FC3690">
        <w:rPr>
          <w:b/>
        </w:rPr>
        <w:t>8</w:t>
      </w:r>
    </w:p>
    <w:p w14:paraId="2565EEDC" w14:textId="77777777" w:rsidR="005E70A7" w:rsidRDefault="005E70A7" w:rsidP="005E70A7">
      <w:pPr>
        <w:pStyle w:val="LI-BodyTextUnnumbered"/>
      </w:pPr>
      <w:r>
        <w:t xml:space="preserve">After “registered scheme” (first occurring), insert “or sub-fund of a CCIV”. </w:t>
      </w:r>
    </w:p>
    <w:p w14:paraId="185F748E" w14:textId="0A5A6C7A" w:rsidR="00FC3690" w:rsidRDefault="000D5C42" w:rsidP="001A6977">
      <w:pPr>
        <w:pStyle w:val="LI-BodyTextUnnumbered"/>
        <w:ind w:left="567" w:hanging="567"/>
        <w:rPr>
          <w:b/>
        </w:rPr>
      </w:pPr>
      <w:r>
        <w:rPr>
          <w:b/>
        </w:rPr>
        <w:t>9</w:t>
      </w:r>
      <w:r w:rsidR="00D95856">
        <w:rPr>
          <w:b/>
        </w:rPr>
        <w:t>3</w:t>
      </w:r>
      <w:r w:rsidR="00AA146E">
        <w:rPr>
          <w:b/>
        </w:rPr>
        <w:tab/>
      </w:r>
      <w:r w:rsidR="005E70A7">
        <w:rPr>
          <w:b/>
        </w:rPr>
        <w:t>At the end of paragraph 8(b)</w:t>
      </w:r>
    </w:p>
    <w:p w14:paraId="00C5565C" w14:textId="77260A20" w:rsidR="005E70A7" w:rsidRPr="008E4209" w:rsidRDefault="005E70A7" w:rsidP="005E70A7">
      <w:pPr>
        <w:pStyle w:val="LI-BodyTextUnnumbered"/>
        <w:spacing w:after="240"/>
      </w:pPr>
      <w:r>
        <w:t xml:space="preserve">Add: </w:t>
      </w:r>
    </w:p>
    <w:p w14:paraId="48517DFE" w14:textId="2F8CCA12" w:rsidR="005E70A7" w:rsidRDefault="005E70A7" w:rsidP="005E70A7">
      <w:pPr>
        <w:pStyle w:val="LI-SectionNote"/>
        <w:ind w:left="2160" w:hanging="720"/>
      </w:pPr>
      <w:r w:rsidRPr="005E70A7">
        <w:t>Note:</w:t>
      </w:r>
      <w:r w:rsidRPr="005E70A7">
        <w:tab/>
        <w:t xml:space="preserve">Part 7.9 of the Act applies to a CCIV subject to the modifications set out in Division 4 of Part 8B.7. </w:t>
      </w:r>
    </w:p>
    <w:p w14:paraId="49EF12EB" w14:textId="2D352AE9" w:rsidR="00834599" w:rsidRDefault="000D5C42" w:rsidP="00834599">
      <w:pPr>
        <w:pStyle w:val="LI-BodyTextNumbered"/>
        <w:ind w:left="567"/>
        <w:rPr>
          <w:b/>
        </w:rPr>
      </w:pPr>
      <w:r>
        <w:rPr>
          <w:b/>
        </w:rPr>
        <w:t>9</w:t>
      </w:r>
      <w:r w:rsidR="00D95856">
        <w:rPr>
          <w:b/>
        </w:rPr>
        <w:t>4</w:t>
      </w:r>
      <w:r w:rsidR="00834599">
        <w:rPr>
          <w:b/>
        </w:rPr>
        <w:tab/>
        <w:t>Paragraph 8</w:t>
      </w:r>
      <w:r w:rsidR="004C7B3A">
        <w:rPr>
          <w:b/>
        </w:rPr>
        <w:t>(c)</w:t>
      </w:r>
      <w:r w:rsidR="00A6334C">
        <w:rPr>
          <w:b/>
        </w:rPr>
        <w:t xml:space="preserve"> </w:t>
      </w:r>
    </w:p>
    <w:p w14:paraId="2A1D4018" w14:textId="0B67E47B" w:rsidR="009C7CF2" w:rsidRDefault="009C7CF2" w:rsidP="009C7CF2">
      <w:pPr>
        <w:pStyle w:val="LI-BodyTextUnnumbered"/>
        <w:spacing w:after="240"/>
      </w:pPr>
      <w:r>
        <w:t xml:space="preserve">Repeal the paragraph, substitute:  </w:t>
      </w:r>
    </w:p>
    <w:p w14:paraId="3F30A12D" w14:textId="77777777" w:rsidR="009C7CF2" w:rsidRPr="00B965BF" w:rsidRDefault="009C7CF2" w:rsidP="000D5C42">
      <w:pPr>
        <w:pStyle w:val="LI-BodyTextSubparai"/>
        <w:numPr>
          <w:ilvl w:val="0"/>
          <w:numId w:val="20"/>
        </w:numPr>
      </w:pPr>
      <w:r w:rsidRPr="00B965BF">
        <w:t>after paragraph (5)(f), insert:</w:t>
      </w:r>
    </w:p>
    <w:p w14:paraId="47A407A0" w14:textId="77777777" w:rsidR="009C7CF2" w:rsidRPr="00B965BF" w:rsidRDefault="009C7CF2" w:rsidP="009C7CF2">
      <w:pPr>
        <w:pStyle w:val="ListC"/>
        <w:ind w:left="2682" w:hanging="567"/>
      </w:pPr>
      <w:r w:rsidRPr="00B965BF">
        <w:t>“(fa)</w:t>
      </w:r>
      <w:r w:rsidRPr="00B965BF">
        <w:tab/>
        <w:t>if the financial product is an interest in a registered scheme or sub-fund whose first financial year ended on or before the end of the reporting period, information about the performance of the scheme or sub-fund relative to the investment objectives of the scheme or sub-fund that the issuer reasonably believes is sufficient for the holder to make an informed assessment of the performance of the scheme or sub-fund for the following periods:</w:t>
      </w:r>
    </w:p>
    <w:p w14:paraId="7AC55B84" w14:textId="77777777" w:rsidR="009C7CF2" w:rsidRPr="00B965BF" w:rsidRDefault="009C7CF2" w:rsidP="009C7CF2">
      <w:pPr>
        <w:pStyle w:val="LI-BodyTextSubparai"/>
        <w:ind w:left="3339" w:hanging="657"/>
      </w:pPr>
      <w:r w:rsidRPr="00B965BF">
        <w:t>(</w:t>
      </w:r>
      <w:proofErr w:type="spellStart"/>
      <w:r w:rsidRPr="00B965BF">
        <w:t>i</w:t>
      </w:r>
      <w:proofErr w:type="spellEnd"/>
      <w:r w:rsidRPr="00B965BF">
        <w:t>)</w:t>
      </w:r>
      <w:r w:rsidRPr="00B965BF">
        <w:tab/>
        <w:t>the period of 1 year ending at the end of the most recent financial year of the scheme or sub-</w:t>
      </w:r>
      <w:proofErr w:type="gramStart"/>
      <w:r w:rsidRPr="00B965BF">
        <w:t>fund;</w:t>
      </w:r>
      <w:proofErr w:type="gramEnd"/>
      <w:r w:rsidRPr="00B965BF">
        <w:t xml:space="preserve"> </w:t>
      </w:r>
    </w:p>
    <w:p w14:paraId="0054C15B" w14:textId="77777777" w:rsidR="009C7CF2" w:rsidRPr="00B965BF" w:rsidRDefault="009C7CF2" w:rsidP="009C7CF2">
      <w:pPr>
        <w:pStyle w:val="LI-BodyTextSubparai"/>
        <w:ind w:left="3339" w:hanging="657"/>
      </w:pPr>
      <w:r w:rsidRPr="00B965BF">
        <w:t>(ii)</w:t>
      </w:r>
      <w:r w:rsidRPr="00B965BF">
        <w:tab/>
        <w:t>if the scheme or sub-fund has been registered for less than 5 years at the end of the most recent financial year of the scheme or sub-fund,</w:t>
      </w:r>
      <w:r w:rsidRPr="009C7CF2">
        <w:t xml:space="preserve"> the period starting on the date of registration of the scheme or sub-fund and ending at the end of that financial </w:t>
      </w:r>
      <w:proofErr w:type="gramStart"/>
      <w:r w:rsidRPr="009C7CF2">
        <w:t>year</w:t>
      </w:r>
      <w:r w:rsidRPr="00B965BF">
        <w:t>;</w:t>
      </w:r>
      <w:proofErr w:type="gramEnd"/>
      <w:r w:rsidRPr="00B965BF">
        <w:t xml:space="preserve"> </w:t>
      </w:r>
    </w:p>
    <w:p w14:paraId="566FC47F" w14:textId="71783CE8" w:rsidR="009C7CF2" w:rsidRPr="00D95856" w:rsidRDefault="009C7CF2" w:rsidP="00D95856">
      <w:pPr>
        <w:pStyle w:val="LI-BodyTextSubparai"/>
        <w:ind w:left="3339" w:hanging="657"/>
      </w:pPr>
      <w:r w:rsidRPr="00B965BF">
        <w:t>(iii)</w:t>
      </w:r>
      <w:r w:rsidRPr="00B965BF">
        <w:tab/>
        <w:t>if the scheme or sub-fund has been registered for at least 5 years at the end of the most recent financial year of the scheme or sub-fund, the period of 5 years ending at the end of that financial year;”; and</w:t>
      </w:r>
    </w:p>
    <w:p w14:paraId="4B87322B" w14:textId="601B6204" w:rsidR="007E2215" w:rsidRDefault="000D5C42" w:rsidP="007E2215">
      <w:pPr>
        <w:pStyle w:val="LI-BodyTextNumbered"/>
        <w:ind w:left="567"/>
        <w:rPr>
          <w:b/>
        </w:rPr>
      </w:pPr>
      <w:r>
        <w:rPr>
          <w:b/>
        </w:rPr>
        <w:t>9</w:t>
      </w:r>
      <w:r w:rsidR="00D95856">
        <w:rPr>
          <w:b/>
        </w:rPr>
        <w:t>5</w:t>
      </w:r>
      <w:r w:rsidR="007E2215">
        <w:rPr>
          <w:b/>
        </w:rPr>
        <w:tab/>
        <w:t>Paragraph 8(d)</w:t>
      </w:r>
      <w:r w:rsidR="000D6DBA">
        <w:rPr>
          <w:b/>
        </w:rPr>
        <w:t xml:space="preserve"> </w:t>
      </w:r>
      <w:r w:rsidR="009C7CF2">
        <w:rPr>
          <w:b/>
        </w:rPr>
        <w:t xml:space="preserve">(notional </w:t>
      </w:r>
      <w:proofErr w:type="spellStart"/>
      <w:r w:rsidR="009C7CF2">
        <w:rPr>
          <w:b/>
        </w:rPr>
        <w:t>subregulations</w:t>
      </w:r>
      <w:proofErr w:type="spellEnd"/>
      <w:r w:rsidR="009C7CF2">
        <w:rPr>
          <w:b/>
        </w:rPr>
        <w:t xml:space="preserve"> 7.9.16O(8A)</w:t>
      </w:r>
      <w:r w:rsidR="00131C79">
        <w:rPr>
          <w:b/>
        </w:rPr>
        <w:t xml:space="preserve"> and </w:t>
      </w:r>
      <w:r w:rsidR="009C7CF2">
        <w:rPr>
          <w:b/>
        </w:rPr>
        <w:t>(8B) of the Regulations)</w:t>
      </w:r>
    </w:p>
    <w:p w14:paraId="5F3E8C0C" w14:textId="3A3CC65F" w:rsidR="002B7379" w:rsidRPr="005869C5" w:rsidRDefault="00D541B7" w:rsidP="005869C5">
      <w:pPr>
        <w:pStyle w:val="LI-BodyTextUnnumbered"/>
      </w:pPr>
      <w:r w:rsidRPr="00D541B7">
        <w:t xml:space="preserve">After </w:t>
      </w:r>
      <w:r>
        <w:t>“scheme” (wherever occurring), insert “or sub-fund”</w:t>
      </w:r>
      <w:r w:rsidR="002B7379">
        <w:t xml:space="preserve">. </w:t>
      </w:r>
    </w:p>
    <w:p w14:paraId="75488100" w14:textId="556B8675" w:rsidR="002B7379" w:rsidRDefault="000D5C42" w:rsidP="00131C79">
      <w:pPr>
        <w:pStyle w:val="LI-BodyTextNumbered"/>
        <w:ind w:left="567"/>
        <w:rPr>
          <w:b/>
        </w:rPr>
      </w:pPr>
      <w:r>
        <w:rPr>
          <w:b/>
        </w:rPr>
        <w:lastRenderedPageBreak/>
        <w:t>9</w:t>
      </w:r>
      <w:r w:rsidR="00D95856">
        <w:rPr>
          <w:b/>
        </w:rPr>
        <w:t>6</w:t>
      </w:r>
      <w:r w:rsidR="002B7379">
        <w:rPr>
          <w:b/>
        </w:rPr>
        <w:tab/>
        <w:t>Paragraph 8(d) (</w:t>
      </w:r>
      <w:r w:rsidR="00131C79">
        <w:rPr>
          <w:b/>
        </w:rPr>
        <w:t xml:space="preserve">notional </w:t>
      </w:r>
      <w:proofErr w:type="spellStart"/>
      <w:r w:rsidR="00131C79">
        <w:rPr>
          <w:b/>
        </w:rPr>
        <w:t>subregulation</w:t>
      </w:r>
      <w:r>
        <w:rPr>
          <w:b/>
        </w:rPr>
        <w:t>s</w:t>
      </w:r>
      <w:proofErr w:type="spellEnd"/>
      <w:r w:rsidR="00131C79">
        <w:rPr>
          <w:b/>
        </w:rPr>
        <w:t xml:space="preserve"> 7.9.16O(8D)</w:t>
      </w:r>
      <w:r>
        <w:rPr>
          <w:b/>
        </w:rPr>
        <w:t xml:space="preserve"> and (8</w:t>
      </w:r>
      <w:r w:rsidR="00E5207A">
        <w:rPr>
          <w:b/>
        </w:rPr>
        <w:t>E</w:t>
      </w:r>
      <w:r>
        <w:rPr>
          <w:b/>
        </w:rPr>
        <w:t>)</w:t>
      </w:r>
      <w:r w:rsidR="00131C79">
        <w:rPr>
          <w:b/>
        </w:rPr>
        <w:t xml:space="preserve"> of the Regulations</w:t>
      </w:r>
      <w:r>
        <w:rPr>
          <w:b/>
        </w:rPr>
        <w:t>)</w:t>
      </w:r>
      <w:r w:rsidR="00131C79">
        <w:rPr>
          <w:b/>
        </w:rPr>
        <w:t xml:space="preserve"> </w:t>
      </w:r>
    </w:p>
    <w:p w14:paraId="221B3929" w14:textId="054D7842" w:rsidR="002B7379" w:rsidRPr="003260E1" w:rsidRDefault="002B7379" w:rsidP="002B7379">
      <w:pPr>
        <w:pStyle w:val="LI-BodyTextUnnumbered"/>
        <w:spacing w:after="240"/>
        <w:rPr>
          <w:szCs w:val="24"/>
        </w:rPr>
      </w:pPr>
      <w:r w:rsidRPr="003260E1">
        <w:rPr>
          <w:szCs w:val="24"/>
        </w:rPr>
        <w:t xml:space="preserve">Repeal the </w:t>
      </w:r>
      <w:r w:rsidR="000D5C42">
        <w:rPr>
          <w:szCs w:val="24"/>
        </w:rPr>
        <w:t xml:space="preserve">notional </w:t>
      </w:r>
      <w:proofErr w:type="spellStart"/>
      <w:r w:rsidR="000D5C42">
        <w:rPr>
          <w:szCs w:val="24"/>
        </w:rPr>
        <w:t>subregulations</w:t>
      </w:r>
      <w:proofErr w:type="spellEnd"/>
      <w:r w:rsidR="000D5C42">
        <w:rPr>
          <w:szCs w:val="24"/>
        </w:rPr>
        <w:t xml:space="preserve">, </w:t>
      </w:r>
      <w:r w:rsidR="00131C79">
        <w:rPr>
          <w:szCs w:val="24"/>
        </w:rPr>
        <w:t>insert</w:t>
      </w:r>
      <w:r w:rsidRPr="003260E1">
        <w:rPr>
          <w:szCs w:val="24"/>
        </w:rPr>
        <w:t xml:space="preserve">: </w:t>
      </w:r>
    </w:p>
    <w:p w14:paraId="144455D4" w14:textId="1F90C1B9" w:rsidR="000D5C42" w:rsidRPr="000D5C42" w:rsidRDefault="000D5C42" w:rsidP="000D5C42">
      <w:pPr>
        <w:pStyle w:val="LI-BodyTextSubparai"/>
        <w:ind w:left="1440" w:firstLine="0"/>
      </w:pPr>
      <w:r>
        <w:t>(8D)</w:t>
      </w:r>
      <w:r>
        <w:tab/>
        <w:t xml:space="preserve">In this section: </w:t>
      </w:r>
    </w:p>
    <w:p w14:paraId="5FB2D6FC" w14:textId="276051D7" w:rsidR="0054484D" w:rsidRPr="0054484D" w:rsidRDefault="0054484D" w:rsidP="000D5C42">
      <w:pPr>
        <w:pStyle w:val="LI-BodyTextSubparai"/>
        <w:ind w:left="2160" w:firstLine="0"/>
        <w:rPr>
          <w:b/>
          <w:i/>
        </w:rPr>
      </w:pPr>
      <w:r w:rsidRPr="00B965BF">
        <w:rPr>
          <w:b/>
          <w:i/>
        </w:rPr>
        <w:t>first financial year</w:t>
      </w:r>
      <w:r w:rsidRPr="0054484D">
        <w:rPr>
          <w:b/>
          <w:i/>
        </w:rPr>
        <w:t xml:space="preserve"> </w:t>
      </w:r>
      <w:r w:rsidRPr="0054484D">
        <w:t>means:</w:t>
      </w:r>
    </w:p>
    <w:p w14:paraId="6AEE6D97" w14:textId="264D0D1C" w:rsidR="0054484D" w:rsidRPr="0054484D" w:rsidRDefault="0054484D" w:rsidP="000D5C42">
      <w:pPr>
        <w:pStyle w:val="LI-BodyTextSubparai"/>
        <w:numPr>
          <w:ilvl w:val="0"/>
          <w:numId w:val="24"/>
        </w:numPr>
        <w:ind w:left="2835"/>
      </w:pPr>
      <w:r w:rsidRPr="00B965BF">
        <w:t>in relation to a registered scheme</w:t>
      </w:r>
      <w:r>
        <w:t xml:space="preserve"> – </w:t>
      </w:r>
      <w:r w:rsidRPr="00B965BF">
        <w:t>the financial year for the scheme referred to in subsection 323D(1</w:t>
      </w:r>
      <w:proofErr w:type="gramStart"/>
      <w:r w:rsidRPr="00B965BF">
        <w:t>);</w:t>
      </w:r>
      <w:proofErr w:type="gramEnd"/>
    </w:p>
    <w:p w14:paraId="6AFB533A" w14:textId="0D5B4BC4" w:rsidR="00C0507D" w:rsidRPr="00C0507D" w:rsidRDefault="0054484D" w:rsidP="00C0507D">
      <w:pPr>
        <w:pStyle w:val="LI-BodyTextSubparai"/>
        <w:numPr>
          <w:ilvl w:val="0"/>
          <w:numId w:val="24"/>
        </w:numPr>
        <w:ind w:left="2835"/>
      </w:pPr>
      <w:r w:rsidRPr="00B965BF">
        <w:t xml:space="preserve">in relation to a sub-fund of a CCIV – the </w:t>
      </w:r>
      <w:r w:rsidR="00B2760E">
        <w:t xml:space="preserve">period </w:t>
      </w:r>
      <w:r w:rsidRPr="00B965BF">
        <w:t>that starts on the day on which</w:t>
      </w:r>
      <w:r w:rsidR="001A6977">
        <w:t xml:space="preserve"> the</w:t>
      </w:r>
      <w:r w:rsidRPr="00B965BF">
        <w:t xml:space="preserve"> sub-fund is registered and lasts for 12 </w:t>
      </w:r>
      <w:proofErr w:type="gramStart"/>
      <w:r w:rsidRPr="00B965BF">
        <w:t>months</w:t>
      </w:r>
      <w:proofErr w:type="gramEnd"/>
      <w:r w:rsidRPr="00B965BF">
        <w:t xml:space="preserve"> or the period (not longer than 18 months) determined by the corporate director of the CCIV.</w:t>
      </w:r>
    </w:p>
    <w:p w14:paraId="30FB705D" w14:textId="77777777" w:rsidR="00B2760E" w:rsidRDefault="00B2760E" w:rsidP="00B2760E">
      <w:pPr>
        <w:pStyle w:val="LI-BodyTextSubparai"/>
        <w:ind w:left="2160" w:firstLine="0"/>
      </w:pPr>
      <w:r>
        <w:rPr>
          <w:b/>
          <w:i/>
        </w:rPr>
        <w:t xml:space="preserve">financial year </w:t>
      </w:r>
      <w:r>
        <w:t>means, in relation to a sub-fund of a CCIV:</w:t>
      </w:r>
    </w:p>
    <w:p w14:paraId="3912738E" w14:textId="77777777" w:rsidR="00B2760E" w:rsidRDefault="00B2760E" w:rsidP="00B2760E">
      <w:pPr>
        <w:pStyle w:val="LI-BodyTextSubparai"/>
        <w:numPr>
          <w:ilvl w:val="0"/>
          <w:numId w:val="25"/>
        </w:numPr>
        <w:ind w:left="2835"/>
      </w:pPr>
      <w:r>
        <w:t xml:space="preserve">the first financial year; or </w:t>
      </w:r>
    </w:p>
    <w:p w14:paraId="6A86CFC8" w14:textId="1D6B28A8" w:rsidR="00B2760E" w:rsidRPr="00B2760E" w:rsidRDefault="00B2760E" w:rsidP="00B2760E">
      <w:pPr>
        <w:pStyle w:val="LI-BodyTextSubparai"/>
        <w:numPr>
          <w:ilvl w:val="0"/>
          <w:numId w:val="25"/>
        </w:numPr>
        <w:ind w:left="2835"/>
      </w:pPr>
      <w:r>
        <w:t xml:space="preserve">for subsequent financial years – the period which starts at the end of the previous financial </w:t>
      </w:r>
      <w:proofErr w:type="gramStart"/>
      <w:r>
        <w:t>year, and</w:t>
      </w:r>
      <w:proofErr w:type="gramEnd"/>
      <w:r>
        <w:t xml:space="preserve"> lasts for 12 months.  </w:t>
      </w:r>
    </w:p>
    <w:p w14:paraId="6B801794" w14:textId="25563611" w:rsidR="00131C79" w:rsidRDefault="00131C79" w:rsidP="000D5C42">
      <w:pPr>
        <w:pStyle w:val="LI-BodyTextSubparai"/>
        <w:ind w:left="2160" w:firstLine="0"/>
        <w:rPr>
          <w:b/>
          <w:i/>
        </w:rPr>
      </w:pPr>
      <w:r w:rsidRPr="00B965BF">
        <w:rPr>
          <w:b/>
          <w:i/>
        </w:rPr>
        <w:t xml:space="preserve">interest </w:t>
      </w:r>
      <w:r w:rsidRPr="005869C5">
        <w:t>in a sub-fund of a CCIV</w:t>
      </w:r>
      <w:r w:rsidR="009947F9">
        <w:t xml:space="preserve"> (</w:t>
      </w:r>
      <w:r w:rsidRPr="005869C5">
        <w:t>including a sub-fund that is an ETF</w:t>
      </w:r>
      <w:r w:rsidR="009947F9">
        <w:t>)</w:t>
      </w:r>
      <w:r w:rsidRPr="005869C5">
        <w:t>, mean</w:t>
      </w:r>
      <w:r w:rsidR="00650ECE">
        <w:t>s</w:t>
      </w:r>
      <w:r w:rsidRPr="005869C5">
        <w:t xml:space="preserve"> </w:t>
      </w:r>
      <w:r>
        <w:t xml:space="preserve">a </w:t>
      </w:r>
      <w:r w:rsidRPr="005869C5">
        <w:t xml:space="preserve">share in the CCIV that </w:t>
      </w:r>
      <w:r>
        <w:t xml:space="preserve">is </w:t>
      </w:r>
      <w:proofErr w:type="spellStart"/>
      <w:r w:rsidRPr="005869C5">
        <w:t>referable</w:t>
      </w:r>
      <w:proofErr w:type="spellEnd"/>
      <w:r w:rsidRPr="005869C5">
        <w:t xml:space="preserve"> to the sub-fund.</w:t>
      </w:r>
      <w:r w:rsidRPr="00B965BF">
        <w:rPr>
          <w:b/>
          <w:i/>
        </w:rPr>
        <w:t xml:space="preserve"> </w:t>
      </w:r>
    </w:p>
    <w:p w14:paraId="0B43F170" w14:textId="7A23EBF1" w:rsidR="00131C79" w:rsidRPr="00131C79" w:rsidRDefault="00131C79" w:rsidP="000D5C42">
      <w:pPr>
        <w:pStyle w:val="LI-BodyTextSubparai"/>
        <w:ind w:left="2160" w:firstLine="0"/>
        <w:rPr>
          <w:b/>
          <w:i/>
        </w:rPr>
      </w:pPr>
      <w:r w:rsidRPr="00B965BF">
        <w:rPr>
          <w:b/>
          <w:i/>
        </w:rPr>
        <w:t>most recent financial year</w:t>
      </w:r>
      <w:r w:rsidRPr="007A7AD1">
        <w:rPr>
          <w:b/>
          <w:i/>
        </w:rPr>
        <w:t xml:space="preserve"> </w:t>
      </w:r>
      <w:r w:rsidRPr="007A7AD1">
        <w:t xml:space="preserve">means, in relation to a registered scheme or sub-fund of a CCIV an interest in which is the subject of a periodic statement, the most recent </w:t>
      </w:r>
      <w:r w:rsidRPr="007440AB">
        <w:t>financial year</w:t>
      </w:r>
      <w:r w:rsidRPr="007A7AD1">
        <w:t xml:space="preserve"> of the scheme or sub-fund that ended on or before the end of the reporting period covered by the periodic statement.</w:t>
      </w:r>
    </w:p>
    <w:p w14:paraId="7DCCB889" w14:textId="40D06D4E" w:rsidR="00131C79" w:rsidRPr="006B0226" w:rsidRDefault="00131C79" w:rsidP="000D5C42">
      <w:pPr>
        <w:pStyle w:val="LI-BodyTextSubparai"/>
        <w:ind w:left="2160" w:firstLine="0"/>
        <w:rPr>
          <w:b/>
          <w:i/>
        </w:rPr>
      </w:pPr>
      <w:r w:rsidRPr="00B965BF">
        <w:rPr>
          <w:b/>
          <w:i/>
        </w:rPr>
        <w:t>stapled security</w:t>
      </w:r>
      <w:r w:rsidRPr="006B0226">
        <w:rPr>
          <w:b/>
          <w:i/>
        </w:rPr>
        <w:t xml:space="preserve"> </w:t>
      </w:r>
      <w:r w:rsidRPr="006B0226">
        <w:t>means two or more financial products (which may include securities)</w:t>
      </w:r>
      <w:r w:rsidR="005D151D">
        <w:t>,</w:t>
      </w:r>
      <w:r w:rsidRPr="006B0226">
        <w:t xml:space="preserve"> including at least one interest in a registered scheme or sub-fund of a CCIV:</w:t>
      </w:r>
      <w:r w:rsidRPr="006B0226">
        <w:rPr>
          <w:b/>
          <w:i/>
        </w:rPr>
        <w:t xml:space="preserve"> </w:t>
      </w:r>
    </w:p>
    <w:p w14:paraId="31D05209" w14:textId="77777777" w:rsidR="00131C79" w:rsidRPr="00B965BF" w:rsidRDefault="00131C79" w:rsidP="00C528E5">
      <w:pPr>
        <w:pStyle w:val="LI-BodyTextSubparai"/>
        <w:numPr>
          <w:ilvl w:val="0"/>
          <w:numId w:val="60"/>
        </w:numPr>
      </w:pPr>
      <w:r w:rsidRPr="00B965BF">
        <w:t>that under the constitution of the registered scheme or CCIV must be transferred together; and</w:t>
      </w:r>
    </w:p>
    <w:p w14:paraId="1FE7FD43" w14:textId="77777777" w:rsidR="00131C79" w:rsidRPr="00B965BF" w:rsidRDefault="00131C79" w:rsidP="00C528E5">
      <w:pPr>
        <w:pStyle w:val="LI-BodyTextSubparai"/>
        <w:numPr>
          <w:ilvl w:val="0"/>
          <w:numId w:val="60"/>
        </w:numPr>
      </w:pPr>
      <w:r w:rsidRPr="00B965BF">
        <w:t xml:space="preserve">where there are no financial products in the same class as those financial products which may be transferred separately; and </w:t>
      </w:r>
    </w:p>
    <w:p w14:paraId="21EBAC96" w14:textId="77777777" w:rsidR="00131C79" w:rsidRPr="00B965BF" w:rsidRDefault="00131C79" w:rsidP="00C528E5">
      <w:pPr>
        <w:pStyle w:val="LI-BodyTextSubparai"/>
        <w:numPr>
          <w:ilvl w:val="0"/>
          <w:numId w:val="60"/>
        </w:numPr>
      </w:pPr>
      <w:r w:rsidRPr="00B965BF">
        <w:t xml:space="preserve">where one or more of the financial products is a share of a body corporate, the body corporate has not issued any share that may be transferred separately; and </w:t>
      </w:r>
    </w:p>
    <w:p w14:paraId="7D84945E" w14:textId="24774733" w:rsidR="00131C79" w:rsidRDefault="00131C79" w:rsidP="00C528E5">
      <w:pPr>
        <w:pStyle w:val="LI-BodyTextSubparai"/>
        <w:numPr>
          <w:ilvl w:val="0"/>
          <w:numId w:val="60"/>
        </w:numPr>
        <w:spacing w:after="240"/>
      </w:pPr>
      <w:r w:rsidRPr="00B965BF">
        <w:lastRenderedPageBreak/>
        <w:t xml:space="preserve">where one or more of the financial products is an interest in a managed investment scheme or sub-fund, no interests in that scheme or sub-fund may be transferred separately. </w:t>
      </w:r>
    </w:p>
    <w:p w14:paraId="5FF73279" w14:textId="0D4D0A9A" w:rsidR="00131C79" w:rsidRDefault="00131C79" w:rsidP="000D5C42">
      <w:pPr>
        <w:pStyle w:val="ListE"/>
        <w:ind w:left="2160" w:firstLine="0"/>
      </w:pPr>
      <w:r w:rsidRPr="00B965BF">
        <w:rPr>
          <w:b/>
          <w:i/>
        </w:rPr>
        <w:t>stapled security entity</w:t>
      </w:r>
      <w:r w:rsidRPr="00B965BF">
        <w:t xml:space="preserve"> means, in relation to a stapled security, the registered scheme or sub-fund and each other scheme or sub-fund or body, an interest in which, or a security of which, is a component of the stapled security.</w:t>
      </w:r>
    </w:p>
    <w:p w14:paraId="619548A9" w14:textId="4ACC5E51" w:rsidR="006E790B" w:rsidRPr="00B965BF" w:rsidRDefault="000D5C42" w:rsidP="000D5C42">
      <w:pPr>
        <w:pStyle w:val="LI-BodyTextSubparai"/>
        <w:ind w:left="1440" w:firstLine="0"/>
      </w:pPr>
      <w:r w:rsidRPr="00B965BF">
        <w:t xml:space="preserve"> </w:t>
      </w:r>
      <w:r w:rsidR="006E790B" w:rsidRPr="00B965BF">
        <w:t>(8E)</w:t>
      </w:r>
      <w:r w:rsidR="006E790B" w:rsidRPr="00B965BF">
        <w:tab/>
        <w:t xml:space="preserve">In this section, the investment objectives of: </w:t>
      </w:r>
    </w:p>
    <w:p w14:paraId="37116EA3" w14:textId="2152F190" w:rsidR="006E790B" w:rsidRPr="00B965BF" w:rsidRDefault="006E790B" w:rsidP="000D5C42">
      <w:pPr>
        <w:pStyle w:val="LI-BodyTextSubparai"/>
        <w:numPr>
          <w:ilvl w:val="0"/>
          <w:numId w:val="26"/>
        </w:numPr>
        <w:ind w:left="2835"/>
      </w:pPr>
      <w:r w:rsidRPr="00B965BF">
        <w:t>a registered scheme or</w:t>
      </w:r>
      <w:r>
        <w:t xml:space="preserve"> </w:t>
      </w:r>
      <w:r w:rsidRPr="00B965BF">
        <w:t>sub-fund for a period are the investment objectives for the scheme or</w:t>
      </w:r>
      <w:r>
        <w:t xml:space="preserve"> </w:t>
      </w:r>
      <w:r w:rsidRPr="00B965BF">
        <w:t xml:space="preserve">sub-fund that were disclosed most recently before the beginning of the period in any of the following: </w:t>
      </w:r>
    </w:p>
    <w:p w14:paraId="32CE24A1" w14:textId="77777777" w:rsidR="006E790B" w:rsidRPr="00B965BF" w:rsidRDefault="006E790B" w:rsidP="000D5C42">
      <w:pPr>
        <w:pStyle w:val="LI-BodyTextSubparai"/>
        <w:ind w:left="3492" w:hanging="657"/>
      </w:pPr>
      <w:r w:rsidRPr="00B965BF">
        <w:t>(</w:t>
      </w:r>
      <w:proofErr w:type="spellStart"/>
      <w:r w:rsidRPr="00B965BF">
        <w:t>i</w:t>
      </w:r>
      <w:proofErr w:type="spellEnd"/>
      <w:r w:rsidRPr="00B965BF">
        <w:t>)</w:t>
      </w:r>
      <w:r w:rsidRPr="00B965BF">
        <w:tab/>
        <w:t xml:space="preserve">a Product Disclosure Statement for an interest in the scheme or sub-fund that was lodged with </w:t>
      </w:r>
      <w:proofErr w:type="gramStart"/>
      <w:r w:rsidRPr="00B965BF">
        <w:t>ASIC;</w:t>
      </w:r>
      <w:proofErr w:type="gramEnd"/>
      <w:r w:rsidRPr="00B965BF">
        <w:t xml:space="preserve"> </w:t>
      </w:r>
    </w:p>
    <w:p w14:paraId="295FFDEB" w14:textId="77777777" w:rsidR="006E790B" w:rsidRPr="00B965BF" w:rsidRDefault="006E790B" w:rsidP="000D5C42">
      <w:pPr>
        <w:pStyle w:val="LI-BodyTextSubparai"/>
        <w:ind w:left="3492" w:hanging="657"/>
      </w:pPr>
      <w:r w:rsidRPr="00B965BF">
        <w:t>(ii)</w:t>
      </w:r>
      <w:r w:rsidRPr="00B965BF">
        <w:tab/>
        <w:t xml:space="preserve">a continuous disclosure notice provided by the responsible entity of the scheme or </w:t>
      </w:r>
      <w:r>
        <w:t>the CCIV (in respect of the sub-fund)</w:t>
      </w:r>
      <w:r w:rsidRPr="00B965BF">
        <w:t>; and</w:t>
      </w:r>
    </w:p>
    <w:p w14:paraId="629CFA82" w14:textId="3345FEBF" w:rsidR="006E790B" w:rsidRPr="00B965BF" w:rsidRDefault="006E790B" w:rsidP="000D5C42">
      <w:pPr>
        <w:pStyle w:val="LI-BodyTextSubparai"/>
        <w:numPr>
          <w:ilvl w:val="0"/>
          <w:numId w:val="26"/>
        </w:numPr>
        <w:ind w:left="2835"/>
      </w:pPr>
      <w:r w:rsidRPr="00B965BF">
        <w:t xml:space="preserve">stapled security entities for a period are the investment objectives for the stapled security entities that were disclosed most recently before the beginning of the period in any of the following: </w:t>
      </w:r>
    </w:p>
    <w:p w14:paraId="3B433AC6" w14:textId="77777777" w:rsidR="006E790B" w:rsidRPr="00B965BF" w:rsidRDefault="006E790B" w:rsidP="000D5C42">
      <w:pPr>
        <w:pStyle w:val="LI-BodyTextSubparai"/>
        <w:ind w:left="3492" w:hanging="657"/>
      </w:pPr>
      <w:r w:rsidRPr="00B965BF">
        <w:t>(</w:t>
      </w:r>
      <w:proofErr w:type="spellStart"/>
      <w:r w:rsidRPr="00B965BF">
        <w:t>i</w:t>
      </w:r>
      <w:proofErr w:type="spellEnd"/>
      <w:r w:rsidRPr="00B965BF">
        <w:t>)</w:t>
      </w:r>
      <w:r w:rsidRPr="00B965BF">
        <w:tab/>
        <w:t xml:space="preserve">a Product Disclosure Statement or disclosure document in relation to a stapled security that was lodged with </w:t>
      </w:r>
      <w:proofErr w:type="gramStart"/>
      <w:r w:rsidRPr="00B965BF">
        <w:t>ASIC;</w:t>
      </w:r>
      <w:proofErr w:type="gramEnd"/>
      <w:r w:rsidRPr="00B965BF">
        <w:t xml:space="preserve"> </w:t>
      </w:r>
    </w:p>
    <w:p w14:paraId="1D3286D6" w14:textId="24DA12B7" w:rsidR="006E790B" w:rsidRDefault="006E790B" w:rsidP="000D5C42">
      <w:pPr>
        <w:pStyle w:val="LI-BodyTextSubparai"/>
        <w:ind w:left="3492" w:hanging="657"/>
      </w:pPr>
      <w:r w:rsidRPr="00B965BF">
        <w:t>(ii)</w:t>
      </w:r>
      <w:r w:rsidRPr="00B965BF">
        <w:tab/>
        <w:t>a continuous disclosure notice provided by the responsible entity of a scheme or the CCIV</w:t>
      </w:r>
      <w:r>
        <w:t xml:space="preserve"> (in respect of the sub-fund)</w:t>
      </w:r>
      <w:r w:rsidRPr="00B965BF">
        <w:t xml:space="preserve"> that is a stapled security entity or by a body that is a stapled security entity.”.</w:t>
      </w:r>
    </w:p>
    <w:p w14:paraId="5D0CC827" w14:textId="709E0A6D" w:rsidR="00C30166" w:rsidRDefault="00DC0E9C" w:rsidP="00F2578A">
      <w:pPr>
        <w:pStyle w:val="LI-BodyTextSubparai"/>
        <w:ind w:left="567"/>
      </w:pPr>
      <w:r>
        <w:rPr>
          <w:b/>
        </w:rPr>
        <w:t>9</w:t>
      </w:r>
      <w:r w:rsidR="001456AC">
        <w:rPr>
          <w:b/>
        </w:rPr>
        <w:t>7</w:t>
      </w:r>
      <w:r w:rsidR="00C30166">
        <w:rPr>
          <w:b/>
        </w:rPr>
        <w:t xml:space="preserve"> </w:t>
      </w:r>
      <w:r w:rsidR="00AA146E">
        <w:rPr>
          <w:b/>
        </w:rPr>
        <w:tab/>
      </w:r>
      <w:r w:rsidR="009639B0">
        <w:rPr>
          <w:b/>
        </w:rPr>
        <w:t xml:space="preserve">Section 9 (definition of </w:t>
      </w:r>
      <w:r w:rsidR="009639B0">
        <w:rPr>
          <w:b/>
          <w:i/>
        </w:rPr>
        <w:t xml:space="preserve">exchange traded fund </w:t>
      </w:r>
      <w:r w:rsidR="009639B0">
        <w:t xml:space="preserve">(or </w:t>
      </w:r>
      <w:r w:rsidR="009639B0" w:rsidRPr="00760B06">
        <w:rPr>
          <w:b/>
          <w:i/>
        </w:rPr>
        <w:t>ETF</w:t>
      </w:r>
      <w:r w:rsidR="009639B0" w:rsidRPr="00896D66">
        <w:t>)</w:t>
      </w:r>
      <w:r w:rsidR="00896D66">
        <w:t>)</w:t>
      </w:r>
    </w:p>
    <w:p w14:paraId="5074C5A0" w14:textId="77777777" w:rsidR="009639B0" w:rsidRDefault="009639B0" w:rsidP="009639B0">
      <w:pPr>
        <w:pStyle w:val="LI-BodyTextUnnumbered"/>
        <w:spacing w:after="240"/>
        <w:rPr>
          <w:szCs w:val="24"/>
        </w:rPr>
      </w:pPr>
      <w:r w:rsidRPr="003260E1">
        <w:rPr>
          <w:szCs w:val="24"/>
        </w:rPr>
        <w:t xml:space="preserve">Repeal the definition, substitute: </w:t>
      </w:r>
    </w:p>
    <w:p w14:paraId="77FF1BD0" w14:textId="77777777" w:rsidR="009639B0" w:rsidRPr="009639B0" w:rsidRDefault="009639B0" w:rsidP="009639B0">
      <w:pPr>
        <w:pStyle w:val="LI-BodyTextSubparai"/>
        <w:ind w:left="1440" w:firstLine="0"/>
        <w:rPr>
          <w:b/>
          <w:i/>
        </w:rPr>
      </w:pPr>
      <w:r w:rsidRPr="00B965BF">
        <w:rPr>
          <w:b/>
          <w:i/>
        </w:rPr>
        <w:t>exchange traded fund</w:t>
      </w:r>
      <w:r w:rsidRPr="009639B0">
        <w:rPr>
          <w:b/>
          <w:i/>
        </w:rPr>
        <w:t xml:space="preserve"> </w:t>
      </w:r>
      <w:r w:rsidRPr="009639B0">
        <w:t xml:space="preserve">(or </w:t>
      </w:r>
      <w:r w:rsidRPr="00E13B61">
        <w:rPr>
          <w:b/>
          <w:i/>
        </w:rPr>
        <w:t>ETF</w:t>
      </w:r>
      <w:r w:rsidRPr="009639B0">
        <w:t>) means a registered scheme or sub-fund of a CCIV in relation to which all of the following are satisfied:</w:t>
      </w:r>
    </w:p>
    <w:p w14:paraId="10DB0316" w14:textId="1AEBEE05" w:rsidR="009639B0" w:rsidRPr="00B965BF" w:rsidRDefault="009639B0" w:rsidP="00155B8F">
      <w:pPr>
        <w:pStyle w:val="LI-BodyTextSubparai"/>
        <w:numPr>
          <w:ilvl w:val="0"/>
          <w:numId w:val="27"/>
        </w:numPr>
      </w:pPr>
      <w:r w:rsidRPr="00B965BF">
        <w:t xml:space="preserve">interests in the scheme or sub-fund are in a class that are able to be traded on a financial market operated by ASX or </w:t>
      </w:r>
      <w:proofErr w:type="spellStart"/>
      <w:proofErr w:type="gramStart"/>
      <w:r w:rsidRPr="00B965BF">
        <w:t>Cboe</w:t>
      </w:r>
      <w:proofErr w:type="spellEnd"/>
      <w:proofErr w:type="gramEnd"/>
      <w:r w:rsidRPr="00B965BF">
        <w:t xml:space="preserve"> but the scheme or sub-fund is not listed on either of those markets;</w:t>
      </w:r>
    </w:p>
    <w:p w14:paraId="3D1214AC" w14:textId="65210EB8" w:rsidR="009639B0" w:rsidRPr="00B965BF" w:rsidRDefault="009639B0" w:rsidP="00155B8F">
      <w:pPr>
        <w:pStyle w:val="LI-BodyTextSubparai"/>
        <w:numPr>
          <w:ilvl w:val="0"/>
          <w:numId w:val="27"/>
        </w:numPr>
      </w:pPr>
      <w:r w:rsidRPr="00B965BF">
        <w:lastRenderedPageBreak/>
        <w:t xml:space="preserve">the responsible entity or CCIV has the power and approval to issue interests in that class on any day that those interests are able to be traded on the relevant financial </w:t>
      </w:r>
      <w:proofErr w:type="gramStart"/>
      <w:r w:rsidRPr="00B965BF">
        <w:t>market;</w:t>
      </w:r>
      <w:proofErr w:type="gramEnd"/>
    </w:p>
    <w:p w14:paraId="79AFCE5E" w14:textId="589BA325" w:rsidR="009639B0" w:rsidRPr="00B965BF" w:rsidRDefault="009639B0" w:rsidP="00155B8F">
      <w:pPr>
        <w:pStyle w:val="LI-BodyTextSubparai"/>
        <w:numPr>
          <w:ilvl w:val="0"/>
          <w:numId w:val="27"/>
        </w:numPr>
      </w:pPr>
      <w:r w:rsidRPr="00B965BF">
        <w:t xml:space="preserve">the responsible entity or CCIV allows applications for and redemptions of interests in that class on any day that those interests are able to be traded on the relevant financial </w:t>
      </w:r>
      <w:proofErr w:type="gramStart"/>
      <w:r w:rsidRPr="00B965BF">
        <w:t>market;</w:t>
      </w:r>
      <w:proofErr w:type="gramEnd"/>
    </w:p>
    <w:p w14:paraId="688CDBB7" w14:textId="66E574BC" w:rsidR="009639B0" w:rsidRPr="00B965BF" w:rsidRDefault="009639B0" w:rsidP="00155B8F">
      <w:pPr>
        <w:pStyle w:val="LI-BodyTextSubparai"/>
        <w:numPr>
          <w:ilvl w:val="0"/>
          <w:numId w:val="27"/>
        </w:numPr>
      </w:pPr>
      <w:r w:rsidRPr="00B965BF">
        <w:t xml:space="preserve">the price or value of the financial product, index, currency, commodity or other thing that the scheme or sub-fund invests </w:t>
      </w:r>
      <w:proofErr w:type="gramStart"/>
      <w:r w:rsidRPr="00B965BF">
        <w:t>in</w:t>
      </w:r>
      <w:proofErr w:type="gramEnd"/>
      <w:r w:rsidRPr="00B965BF">
        <w:t xml:space="preserve"> or tracks is continuously disclosed or can be immediately ascertained</w:t>
      </w:r>
      <w:r w:rsidR="009C7CF2">
        <w:t>;</w:t>
      </w:r>
    </w:p>
    <w:p w14:paraId="7ED5E726" w14:textId="189900A9" w:rsidR="009639B0" w:rsidRPr="00B965BF" w:rsidRDefault="009639B0" w:rsidP="00155B8F">
      <w:pPr>
        <w:pStyle w:val="LI-BodyTextSubparai"/>
        <w:numPr>
          <w:ilvl w:val="0"/>
          <w:numId w:val="27"/>
        </w:numPr>
      </w:pPr>
      <w:r w:rsidRPr="00B965BF">
        <w:t>the name of the scheme or sub-fund does not contain the expression “managed fund” or “hedge fund”.</w:t>
      </w:r>
    </w:p>
    <w:p w14:paraId="25747C97" w14:textId="267B6FE4" w:rsidR="00760B06" w:rsidRDefault="00DC0E9C" w:rsidP="00F2578A">
      <w:pPr>
        <w:pStyle w:val="LI-BodyTextSubparai"/>
        <w:ind w:left="567"/>
        <w:rPr>
          <w:b/>
        </w:rPr>
      </w:pPr>
      <w:r>
        <w:rPr>
          <w:b/>
        </w:rPr>
        <w:t>9</w:t>
      </w:r>
      <w:r w:rsidR="001456AC">
        <w:rPr>
          <w:b/>
        </w:rPr>
        <w:t>8</w:t>
      </w:r>
      <w:r w:rsidR="00AA146E">
        <w:rPr>
          <w:b/>
        </w:rPr>
        <w:tab/>
      </w:r>
      <w:r w:rsidR="00760B06">
        <w:rPr>
          <w:b/>
        </w:rPr>
        <w:t xml:space="preserve">Section 9 </w:t>
      </w:r>
    </w:p>
    <w:p w14:paraId="5F1CC03C" w14:textId="77777777" w:rsidR="00760B06" w:rsidRDefault="00760B06" w:rsidP="00760B06">
      <w:pPr>
        <w:pStyle w:val="LI-BodyTextUnnumbered"/>
      </w:pPr>
      <w:r>
        <w:t xml:space="preserve">Insert: </w:t>
      </w:r>
    </w:p>
    <w:p w14:paraId="2ACB1B39" w14:textId="2F5E73A8" w:rsidR="009C7CF2" w:rsidRPr="007A7AD1" w:rsidRDefault="009C7CF2" w:rsidP="009C7CF2">
      <w:pPr>
        <w:pStyle w:val="LI-BodyTextSubparai"/>
        <w:ind w:left="1440" w:firstLine="0"/>
        <w:rPr>
          <w:b/>
          <w:i/>
        </w:rPr>
      </w:pPr>
      <w:r w:rsidRPr="00B965BF">
        <w:rPr>
          <w:b/>
          <w:i/>
        </w:rPr>
        <w:t xml:space="preserve">interest </w:t>
      </w:r>
      <w:r w:rsidRPr="005869C5">
        <w:t xml:space="preserve">in a sub-fund of a CCIV </w:t>
      </w:r>
      <w:r w:rsidR="009947F9">
        <w:t>(</w:t>
      </w:r>
      <w:r w:rsidRPr="00B5186D">
        <w:t>including a sub-fund that is an ETF</w:t>
      </w:r>
      <w:r w:rsidR="009947F9">
        <w:t>)</w:t>
      </w:r>
      <w:r w:rsidRPr="005869C5">
        <w:t>, mean</w:t>
      </w:r>
      <w:r w:rsidR="00650ECE">
        <w:t>s</w:t>
      </w:r>
      <w:r w:rsidRPr="005869C5">
        <w:t xml:space="preserve"> </w:t>
      </w:r>
      <w:r>
        <w:t xml:space="preserve">a </w:t>
      </w:r>
      <w:r w:rsidRPr="005869C5">
        <w:t xml:space="preserve">share in the CCIV that </w:t>
      </w:r>
      <w:r>
        <w:t xml:space="preserve">is </w:t>
      </w:r>
      <w:proofErr w:type="spellStart"/>
      <w:r w:rsidRPr="005869C5">
        <w:t>referable</w:t>
      </w:r>
      <w:proofErr w:type="spellEnd"/>
      <w:r w:rsidRPr="005869C5">
        <w:t xml:space="preserve"> to the sub-fund.</w:t>
      </w:r>
      <w:r w:rsidRPr="00B965BF">
        <w:rPr>
          <w:b/>
          <w:i/>
        </w:rPr>
        <w:t xml:space="preserve"> </w:t>
      </w:r>
    </w:p>
    <w:p w14:paraId="63F843C7" w14:textId="55783844" w:rsidR="009639B0" w:rsidRPr="001D0AC4" w:rsidRDefault="00DC0E9C" w:rsidP="00F2578A">
      <w:pPr>
        <w:pStyle w:val="LI-BodyTextSubparai"/>
        <w:ind w:left="567"/>
        <w:rPr>
          <w:b/>
        </w:rPr>
      </w:pPr>
      <w:r>
        <w:rPr>
          <w:b/>
        </w:rPr>
        <w:t>9</w:t>
      </w:r>
      <w:r w:rsidR="001456AC">
        <w:rPr>
          <w:b/>
        </w:rPr>
        <w:t>9</w:t>
      </w:r>
      <w:r w:rsidR="00760B06">
        <w:rPr>
          <w:b/>
        </w:rPr>
        <w:t xml:space="preserve"> </w:t>
      </w:r>
      <w:r w:rsidR="00760B06">
        <w:rPr>
          <w:b/>
        </w:rPr>
        <w:tab/>
        <w:t xml:space="preserve">Section 9 (definition of </w:t>
      </w:r>
      <w:r w:rsidR="00E42E75" w:rsidRPr="00293D0F">
        <w:rPr>
          <w:b/>
          <w:i/>
        </w:rPr>
        <w:t>managed fund</w:t>
      </w:r>
      <w:r w:rsidR="00293D0F">
        <w:rPr>
          <w:b/>
        </w:rPr>
        <w:t xml:space="preserve">) </w:t>
      </w:r>
    </w:p>
    <w:p w14:paraId="1A7237CC" w14:textId="6C8739E9" w:rsidR="001D0AC4" w:rsidRPr="005869C5" w:rsidRDefault="001D0AC4" w:rsidP="001D0AC4">
      <w:pPr>
        <w:pStyle w:val="LI-BodyTextUnnumbered"/>
      </w:pPr>
      <w:r w:rsidRPr="00D541B7">
        <w:t xml:space="preserve">After </w:t>
      </w:r>
      <w:r>
        <w:t xml:space="preserve">“scheme”, insert “or sub-fund of a CCIV”. </w:t>
      </w:r>
    </w:p>
    <w:p w14:paraId="3CA7CD39" w14:textId="6D711188" w:rsidR="00CA1112" w:rsidRPr="00BB7585" w:rsidRDefault="001456AC" w:rsidP="00CA1112">
      <w:pPr>
        <w:pStyle w:val="LI-BodyTextNumbered"/>
        <w:ind w:left="567"/>
        <w:rPr>
          <w:b/>
        </w:rPr>
      </w:pPr>
      <w:r>
        <w:rPr>
          <w:b/>
        </w:rPr>
        <w:t>100</w:t>
      </w:r>
      <w:r w:rsidR="00CA1112" w:rsidRPr="00BB7585">
        <w:rPr>
          <w:b/>
        </w:rPr>
        <w:tab/>
        <w:t>The whole of the instrument</w:t>
      </w:r>
    </w:p>
    <w:p w14:paraId="0C78C69F" w14:textId="77777777" w:rsidR="00CA1112" w:rsidRPr="005E70A7" w:rsidRDefault="00CA1112" w:rsidP="00CA1112">
      <w:pPr>
        <w:pStyle w:val="LI-BodyTextUnnumbered"/>
      </w:pPr>
      <w:r w:rsidRPr="00C83F83">
        <w:rPr>
          <w:szCs w:val="24"/>
        </w:rPr>
        <w:t xml:space="preserve">Omit every occurrence </w:t>
      </w:r>
      <w:r>
        <w:rPr>
          <w:szCs w:val="24"/>
        </w:rPr>
        <w:t>of “</w:t>
      </w:r>
      <w:r>
        <w:t>Chi-X”, substitute “</w:t>
      </w:r>
      <w:proofErr w:type="spellStart"/>
      <w:r>
        <w:t>Cboe</w:t>
      </w:r>
      <w:proofErr w:type="spellEnd"/>
      <w:r>
        <w:t xml:space="preserve">”. </w:t>
      </w:r>
    </w:p>
    <w:p w14:paraId="6BAF4779" w14:textId="77777777" w:rsidR="005E70A7" w:rsidRPr="005E70A7" w:rsidRDefault="005E70A7" w:rsidP="006E790B">
      <w:pPr>
        <w:pStyle w:val="LI-BodyTextUnnumbered"/>
        <w:ind w:left="0"/>
        <w:rPr>
          <w:b/>
        </w:rPr>
      </w:pPr>
    </w:p>
    <w:sectPr w:rsidR="005E70A7" w:rsidRPr="005E70A7" w:rsidSect="0040053F">
      <w:headerReference w:type="even" r:id="rId25"/>
      <w:headerReference w:type="default" r:id="rId26"/>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9D33" w14:textId="77777777" w:rsidR="00FE1893" w:rsidRDefault="00FE1893" w:rsidP="00715914">
      <w:pPr>
        <w:spacing w:line="240" w:lineRule="auto"/>
      </w:pPr>
      <w:r>
        <w:separator/>
      </w:r>
    </w:p>
  </w:endnote>
  <w:endnote w:type="continuationSeparator" w:id="0">
    <w:p w14:paraId="368A2083" w14:textId="77777777" w:rsidR="00FE1893" w:rsidRDefault="00FE1893" w:rsidP="00715914">
      <w:pPr>
        <w:spacing w:line="240" w:lineRule="auto"/>
      </w:pPr>
      <w:r>
        <w:continuationSeparator/>
      </w:r>
    </w:p>
  </w:endnote>
  <w:endnote w:type="continuationNotice" w:id="1">
    <w:p w14:paraId="756A0F2E" w14:textId="77777777" w:rsidR="00FE1893" w:rsidRDefault="00FE18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66797" w:rsidRPr="00081794" w14:paraId="50A19719" w14:textId="77777777" w:rsidTr="00081794">
      <w:tc>
        <w:tcPr>
          <w:tcW w:w="8472" w:type="dxa"/>
          <w:shd w:val="clear" w:color="auto" w:fill="auto"/>
        </w:tcPr>
        <w:p w14:paraId="1E5C291A" w14:textId="0D32BBE3" w:rsidR="00166797" w:rsidRPr="00081794" w:rsidRDefault="00166797" w:rsidP="00081794">
          <w:pPr>
            <w:jc w:val="right"/>
            <w:rPr>
              <w:sz w:val="18"/>
            </w:rPr>
          </w:pPr>
          <w:r>
            <w:rPr>
              <w:noProof/>
            </w:rPr>
            <mc:AlternateContent>
              <mc:Choice Requires="wps">
                <w:drawing>
                  <wp:anchor distT="0" distB="0" distL="114300" distR="114300" simplePos="0" relativeHeight="251658243" behindDoc="1" locked="0" layoutInCell="1" allowOverlap="1" wp14:anchorId="79A61F87" wp14:editId="751489A2">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DDA8F2" w14:textId="721B20EA" w:rsidR="00166797" w:rsidRPr="00284719" w:rsidRDefault="00166797"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61F87"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52DDA8F2" w14:textId="721B20EA" w:rsidR="00166797" w:rsidRPr="00284719" w:rsidRDefault="00166797"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622E6CF3" w14:textId="77777777" w:rsidR="00166797" w:rsidRPr="007500C8" w:rsidRDefault="00166797"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5557" w14:textId="56000B53" w:rsidR="00166797" w:rsidRDefault="00166797" w:rsidP="007500C8">
    <w:pPr>
      <w:pStyle w:val="Footer"/>
    </w:pPr>
    <w:r>
      <w:rPr>
        <w:noProof/>
      </w:rPr>
      <mc:AlternateContent>
        <mc:Choice Requires="wps">
          <w:drawing>
            <wp:anchor distT="0" distB="0" distL="114300" distR="114300" simplePos="0" relativeHeight="251658242" behindDoc="1" locked="0" layoutInCell="1" allowOverlap="1" wp14:anchorId="2FF0F4FA" wp14:editId="49F2EEAA">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4FE1C29" w14:textId="77777777" w:rsidR="00166797" w:rsidRPr="00284719" w:rsidRDefault="00166797"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0F4FA"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54FE1C29" w14:textId="77777777" w:rsidR="00166797" w:rsidRPr="00284719" w:rsidRDefault="00166797"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66797" w:rsidRPr="00081794" w14:paraId="23F6A90E" w14:textId="77777777" w:rsidTr="00081794">
      <w:tc>
        <w:tcPr>
          <w:tcW w:w="8472" w:type="dxa"/>
          <w:shd w:val="clear" w:color="auto" w:fill="auto"/>
        </w:tcPr>
        <w:p w14:paraId="7470BC59" w14:textId="77777777" w:rsidR="00166797" w:rsidRPr="00081794" w:rsidRDefault="00166797" w:rsidP="00102CA6">
          <w:pPr>
            <w:rPr>
              <w:sz w:val="18"/>
            </w:rPr>
          </w:pPr>
        </w:p>
      </w:tc>
    </w:tr>
  </w:tbl>
  <w:p w14:paraId="48C04857" w14:textId="77777777" w:rsidR="00166797" w:rsidRPr="007500C8" w:rsidRDefault="00166797"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570" w14:textId="77777777" w:rsidR="00166797" w:rsidRPr="00ED79B6" w:rsidRDefault="00166797"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E6D7" w14:textId="77777777" w:rsidR="00166797" w:rsidRPr="00E2168B" w:rsidRDefault="00166797"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3B19" w14:textId="77777777" w:rsidR="00166797" w:rsidRPr="00E33C1C" w:rsidRDefault="00166797"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5</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BCC6" w14:textId="77777777" w:rsidR="00166797" w:rsidRPr="00243EC0" w:rsidRDefault="00166797"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FD25" w14:textId="77777777" w:rsidR="00166797" w:rsidRPr="00E33C1C" w:rsidRDefault="00166797"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255"/>
      <w:gridCol w:w="700"/>
    </w:tblGrid>
    <w:tr w:rsidR="00166797" w:rsidRPr="00081794" w14:paraId="00A21D9A" w14:textId="77777777" w:rsidTr="00081794">
      <w:tc>
        <w:tcPr>
          <w:tcW w:w="1384" w:type="dxa"/>
          <w:tcBorders>
            <w:top w:val="nil"/>
            <w:left w:val="nil"/>
            <w:bottom w:val="nil"/>
            <w:right w:val="nil"/>
          </w:tcBorders>
          <w:shd w:val="clear" w:color="auto" w:fill="auto"/>
        </w:tcPr>
        <w:p w14:paraId="0B686C1B" w14:textId="77777777" w:rsidR="00166797" w:rsidRPr="00081794" w:rsidRDefault="00166797" w:rsidP="00081794">
          <w:pPr>
            <w:spacing w:line="0" w:lineRule="atLeast"/>
            <w:rPr>
              <w:sz w:val="18"/>
            </w:rPr>
          </w:pPr>
        </w:p>
      </w:tc>
      <w:tc>
        <w:tcPr>
          <w:tcW w:w="6379" w:type="dxa"/>
          <w:tcBorders>
            <w:top w:val="nil"/>
            <w:left w:val="nil"/>
            <w:bottom w:val="nil"/>
            <w:right w:val="nil"/>
          </w:tcBorders>
          <w:shd w:val="clear" w:color="auto" w:fill="auto"/>
        </w:tcPr>
        <w:p w14:paraId="4007FE6F" w14:textId="109A38B6" w:rsidR="00166797" w:rsidRPr="00081794" w:rsidRDefault="00166797"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b/>
              <w:bCs/>
              <w:i/>
              <w:sz w:val="18"/>
              <w:lang w:val="en-US"/>
            </w:rPr>
            <w:t>Error! Unknown document property name.</w:t>
          </w:r>
          <w:r w:rsidRPr="00081794">
            <w:rPr>
              <w:i/>
              <w:sz w:val="18"/>
            </w:rPr>
            <w:fldChar w:fldCharType="end"/>
          </w:r>
        </w:p>
      </w:tc>
      <w:tc>
        <w:tcPr>
          <w:tcW w:w="709" w:type="dxa"/>
          <w:tcBorders>
            <w:top w:val="nil"/>
            <w:left w:val="nil"/>
            <w:bottom w:val="nil"/>
            <w:right w:val="nil"/>
          </w:tcBorders>
          <w:shd w:val="clear" w:color="auto" w:fill="auto"/>
        </w:tcPr>
        <w:p w14:paraId="0DB8ABC3" w14:textId="77777777" w:rsidR="00166797" w:rsidRPr="00081794" w:rsidRDefault="00166797"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166797" w:rsidRPr="00081794" w14:paraId="18F629CC"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656548A" w14:textId="77777777" w:rsidR="00166797" w:rsidRPr="00081794" w:rsidRDefault="00166797"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36AE391F" w14:textId="77777777" w:rsidR="00166797" w:rsidRPr="00ED79B6" w:rsidRDefault="00166797"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F952" w14:textId="77777777" w:rsidR="00FE1893" w:rsidRDefault="00FE1893" w:rsidP="00715914">
      <w:pPr>
        <w:spacing w:line="240" w:lineRule="auto"/>
      </w:pPr>
      <w:r>
        <w:separator/>
      </w:r>
    </w:p>
  </w:footnote>
  <w:footnote w:type="continuationSeparator" w:id="0">
    <w:p w14:paraId="02C278DA" w14:textId="77777777" w:rsidR="00FE1893" w:rsidRDefault="00FE1893" w:rsidP="00715914">
      <w:pPr>
        <w:spacing w:line="240" w:lineRule="auto"/>
      </w:pPr>
      <w:r>
        <w:continuationSeparator/>
      </w:r>
    </w:p>
  </w:footnote>
  <w:footnote w:type="continuationNotice" w:id="1">
    <w:p w14:paraId="7A87E58C" w14:textId="77777777" w:rsidR="00FE1893" w:rsidRDefault="00FE18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B1B1" w14:textId="77777777" w:rsidR="00166797" w:rsidRPr="005F1388" w:rsidRDefault="00166797"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18660CB6" wp14:editId="1E026A47">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7BAD36B" w14:textId="5341A212" w:rsidR="00166797" w:rsidRPr="00284719" w:rsidRDefault="00166797"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60CB6"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07BAD36B" w14:textId="5341A212" w:rsidR="00166797" w:rsidRPr="00284719" w:rsidRDefault="00166797"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00CB" w14:textId="77777777" w:rsidR="00166797" w:rsidRPr="00243EC0" w:rsidRDefault="00166797"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663"/>
      <w:gridCol w:w="1650"/>
    </w:tblGrid>
    <w:tr w:rsidR="00166797" w:rsidRPr="00E40FF8" w14:paraId="37F37CFD" w14:textId="77777777" w:rsidTr="000A1655">
      <w:tc>
        <w:tcPr>
          <w:tcW w:w="6663" w:type="dxa"/>
          <w:shd w:val="clear" w:color="auto" w:fill="auto"/>
        </w:tcPr>
        <w:p w14:paraId="21FAE3E4" w14:textId="476E17E4" w:rsidR="00166797" w:rsidRDefault="00166797" w:rsidP="00E40FF8">
          <w:pPr>
            <w:pStyle w:val="LI-Header"/>
            <w:pBdr>
              <w:bottom w:val="none" w:sz="0" w:space="0" w:color="auto"/>
            </w:pBdr>
            <w:jc w:val="left"/>
          </w:pPr>
          <w:r>
            <w:fldChar w:fldCharType="begin"/>
          </w:r>
          <w:r>
            <w:instrText>STYLEREF  "LI - Title"</w:instrText>
          </w:r>
          <w:r>
            <w:fldChar w:fldCharType="separate"/>
          </w:r>
          <w:r w:rsidR="00E841AA">
            <w:rPr>
              <w:noProof/>
            </w:rPr>
            <w:t>ASIC Corporations (Amendment) Instrument 2022/0940</w:t>
          </w:r>
          <w:r>
            <w:fldChar w:fldCharType="end"/>
          </w:r>
        </w:p>
      </w:tc>
      <w:tc>
        <w:tcPr>
          <w:tcW w:w="1650" w:type="dxa"/>
          <w:shd w:val="clear" w:color="auto" w:fill="auto"/>
        </w:tcPr>
        <w:p w14:paraId="31056B56" w14:textId="7DE45645" w:rsidR="00166797" w:rsidRDefault="00166797" w:rsidP="00E40FF8">
          <w:pPr>
            <w:pStyle w:val="LI-Header"/>
            <w:pBdr>
              <w:bottom w:val="none" w:sz="0" w:space="0" w:color="auto"/>
            </w:pBdr>
          </w:pPr>
          <w:r>
            <w:fldChar w:fldCharType="begin"/>
          </w:r>
          <w:r>
            <w:instrText>STYLEREF  "LI - Heading 1"</w:instrText>
          </w:r>
          <w:r>
            <w:fldChar w:fldCharType="separate"/>
          </w:r>
          <w:r w:rsidR="00E841AA">
            <w:rPr>
              <w:noProof/>
            </w:rPr>
            <w:t>Part 7</w:t>
          </w:r>
          <w:r>
            <w:fldChar w:fldCharType="end"/>
          </w:r>
        </w:p>
      </w:tc>
    </w:tr>
  </w:tbl>
  <w:p w14:paraId="130EB8F9" w14:textId="77777777" w:rsidR="00166797" w:rsidRPr="00F4215A" w:rsidRDefault="00166797"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AD2E" w14:textId="77777777" w:rsidR="00166797" w:rsidRPr="005F1388" w:rsidRDefault="00166797"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DB3D632" wp14:editId="572D230A">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281FAAF" w14:textId="77777777" w:rsidR="00166797" w:rsidRPr="00284719" w:rsidRDefault="00166797"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3D632"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2281FAAF" w14:textId="77777777" w:rsidR="00166797" w:rsidRPr="00284719" w:rsidRDefault="00166797"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85B3" w14:textId="77777777" w:rsidR="00166797" w:rsidRPr="005F1388" w:rsidRDefault="0016679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EE23" w14:textId="77777777" w:rsidR="00166797" w:rsidRDefault="00166797"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166797" w:rsidRPr="00E40FF8" w14:paraId="556343BF" w14:textId="77777777" w:rsidTr="00BF75C9">
      <w:tc>
        <w:tcPr>
          <w:tcW w:w="6804" w:type="dxa"/>
          <w:shd w:val="clear" w:color="auto" w:fill="auto"/>
        </w:tcPr>
        <w:p w14:paraId="7568A2BA" w14:textId="77768B6A" w:rsidR="00166797" w:rsidRDefault="00166797" w:rsidP="00E40FF8">
          <w:pPr>
            <w:pStyle w:val="LI-Header"/>
            <w:pBdr>
              <w:bottom w:val="none" w:sz="0" w:space="0" w:color="auto"/>
            </w:pBdr>
            <w:jc w:val="left"/>
          </w:pPr>
          <w:r>
            <w:fldChar w:fldCharType="begin"/>
          </w:r>
          <w:r>
            <w:instrText>STYLEREF  "LI - Title"</w:instrText>
          </w:r>
          <w:r>
            <w:fldChar w:fldCharType="separate"/>
          </w:r>
          <w:r w:rsidR="00E841AA">
            <w:rPr>
              <w:noProof/>
            </w:rPr>
            <w:t>ASIC Corporations (Amendment) Instrument 2022/0940</w:t>
          </w:r>
          <w:r>
            <w:fldChar w:fldCharType="end"/>
          </w:r>
        </w:p>
      </w:tc>
      <w:tc>
        <w:tcPr>
          <w:tcW w:w="1509" w:type="dxa"/>
          <w:shd w:val="clear" w:color="auto" w:fill="auto"/>
        </w:tcPr>
        <w:p w14:paraId="4A37AFE2" w14:textId="77777777" w:rsidR="00166797" w:rsidRDefault="00166797" w:rsidP="00E40FF8">
          <w:pPr>
            <w:pStyle w:val="LI-Header"/>
            <w:pBdr>
              <w:bottom w:val="none" w:sz="0" w:space="0" w:color="auto"/>
            </w:pBdr>
          </w:pPr>
        </w:p>
      </w:tc>
    </w:tr>
  </w:tbl>
  <w:p w14:paraId="5C2ADDA3" w14:textId="77777777" w:rsidR="00166797" w:rsidRPr="008945E0" w:rsidRDefault="00166797"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D98E" w14:textId="77777777" w:rsidR="00166797" w:rsidRPr="00ED79B6" w:rsidRDefault="0016679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6DB6" w14:textId="77777777" w:rsidR="00166797" w:rsidRPr="00243EC0" w:rsidRDefault="00166797"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166797" w14:paraId="7D17E6D6" w14:textId="77777777" w:rsidTr="00BF75C9">
      <w:tc>
        <w:tcPr>
          <w:tcW w:w="6804" w:type="dxa"/>
          <w:shd w:val="clear" w:color="auto" w:fill="auto"/>
        </w:tcPr>
        <w:p w14:paraId="0DA2103D" w14:textId="28E6771E" w:rsidR="00166797" w:rsidRDefault="00166797" w:rsidP="00E40FF8">
          <w:pPr>
            <w:pStyle w:val="LI-Header"/>
            <w:pBdr>
              <w:bottom w:val="none" w:sz="0" w:space="0" w:color="auto"/>
            </w:pBdr>
            <w:jc w:val="left"/>
          </w:pPr>
          <w:r>
            <w:fldChar w:fldCharType="begin"/>
          </w:r>
          <w:r>
            <w:instrText>STYLEREF  "LI - Title"</w:instrText>
          </w:r>
          <w:r>
            <w:fldChar w:fldCharType="separate"/>
          </w:r>
          <w:r w:rsidR="00E841AA">
            <w:rPr>
              <w:noProof/>
            </w:rPr>
            <w:t>ASIC Corporations (Amendment) Instrument 2022/0940</w:t>
          </w:r>
          <w:r>
            <w:fldChar w:fldCharType="end"/>
          </w:r>
        </w:p>
      </w:tc>
      <w:tc>
        <w:tcPr>
          <w:tcW w:w="1509" w:type="dxa"/>
          <w:shd w:val="clear" w:color="auto" w:fill="auto"/>
        </w:tcPr>
        <w:p w14:paraId="1D55BBF2" w14:textId="0EEFEFDD" w:rsidR="00166797" w:rsidRDefault="00166797" w:rsidP="00E40FF8">
          <w:pPr>
            <w:pStyle w:val="LI-Header"/>
            <w:pBdr>
              <w:bottom w:val="none" w:sz="0" w:space="0" w:color="auto"/>
            </w:pBdr>
          </w:pPr>
          <w:r>
            <w:fldChar w:fldCharType="begin"/>
          </w:r>
          <w:r>
            <w:instrText>STYLEREF  "LI - Heading 1"</w:instrText>
          </w:r>
          <w:r>
            <w:fldChar w:fldCharType="separate"/>
          </w:r>
          <w:r w:rsidR="00E841AA">
            <w:rPr>
              <w:noProof/>
            </w:rPr>
            <w:t>Schedule 1—Amendments</w:t>
          </w:r>
          <w:r>
            <w:fldChar w:fldCharType="end"/>
          </w:r>
        </w:p>
      </w:tc>
    </w:tr>
  </w:tbl>
  <w:p w14:paraId="18FF9B3A" w14:textId="77777777" w:rsidR="00166797" w:rsidRPr="00F4215A" w:rsidRDefault="00166797"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4105" w14:textId="77777777" w:rsidR="00166797" w:rsidRPr="007A1328" w:rsidRDefault="0016679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BE856A2"/>
    <w:lvl w:ilvl="0">
      <w:start w:val="1"/>
      <w:numFmt w:val="decimal"/>
      <w:lvlText w:val="%1."/>
      <w:lvlJc w:val="left"/>
      <w:pPr>
        <w:tabs>
          <w:tab w:val="num" w:pos="360"/>
        </w:tabs>
        <w:ind w:left="360" w:hanging="360"/>
      </w:pPr>
    </w:lvl>
  </w:abstractNum>
  <w:abstractNum w:abstractNumId="1" w15:restartNumberingAfterBreak="0">
    <w:nsid w:val="00306C25"/>
    <w:multiLevelType w:val="hybridMultilevel"/>
    <w:tmpl w:val="087A842E"/>
    <w:lvl w:ilvl="0" w:tplc="C21E9C70">
      <w:start w:val="1"/>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0AE3A6F"/>
    <w:multiLevelType w:val="hybridMultilevel"/>
    <w:tmpl w:val="8264D556"/>
    <w:lvl w:ilvl="0" w:tplc="44FAACF0">
      <w:start w:val="1"/>
      <w:numFmt w:val="lowerLetter"/>
      <w:lvlText w:val="(%1)"/>
      <w:lvlJc w:val="left"/>
      <w:pPr>
        <w:ind w:left="2682" w:hanging="675"/>
      </w:pPr>
      <w:rPr>
        <w:rFonts w:hint="default"/>
      </w:rPr>
    </w:lvl>
    <w:lvl w:ilvl="1" w:tplc="0C090019">
      <w:start w:val="1"/>
      <w:numFmt w:val="lowerLetter"/>
      <w:lvlText w:val="%2."/>
      <w:lvlJc w:val="left"/>
      <w:pPr>
        <w:ind w:left="3087" w:hanging="360"/>
      </w:pPr>
    </w:lvl>
    <w:lvl w:ilvl="2" w:tplc="0C09001B" w:tentative="1">
      <w:start w:val="1"/>
      <w:numFmt w:val="lowerRoman"/>
      <w:lvlText w:val="%3."/>
      <w:lvlJc w:val="right"/>
      <w:pPr>
        <w:ind w:left="3807" w:hanging="180"/>
      </w:pPr>
    </w:lvl>
    <w:lvl w:ilvl="3" w:tplc="0C09000F" w:tentative="1">
      <w:start w:val="1"/>
      <w:numFmt w:val="decimal"/>
      <w:lvlText w:val="%4."/>
      <w:lvlJc w:val="left"/>
      <w:pPr>
        <w:ind w:left="4527" w:hanging="360"/>
      </w:pPr>
    </w:lvl>
    <w:lvl w:ilvl="4" w:tplc="0C090019" w:tentative="1">
      <w:start w:val="1"/>
      <w:numFmt w:val="lowerLetter"/>
      <w:lvlText w:val="%5."/>
      <w:lvlJc w:val="left"/>
      <w:pPr>
        <w:ind w:left="5247" w:hanging="360"/>
      </w:pPr>
    </w:lvl>
    <w:lvl w:ilvl="5" w:tplc="0C09001B" w:tentative="1">
      <w:start w:val="1"/>
      <w:numFmt w:val="lowerRoman"/>
      <w:lvlText w:val="%6."/>
      <w:lvlJc w:val="right"/>
      <w:pPr>
        <w:ind w:left="5967" w:hanging="180"/>
      </w:pPr>
    </w:lvl>
    <w:lvl w:ilvl="6" w:tplc="0C09000F" w:tentative="1">
      <w:start w:val="1"/>
      <w:numFmt w:val="decimal"/>
      <w:lvlText w:val="%7."/>
      <w:lvlJc w:val="left"/>
      <w:pPr>
        <w:ind w:left="6687" w:hanging="360"/>
      </w:pPr>
    </w:lvl>
    <w:lvl w:ilvl="7" w:tplc="0C090019" w:tentative="1">
      <w:start w:val="1"/>
      <w:numFmt w:val="lowerLetter"/>
      <w:lvlText w:val="%8."/>
      <w:lvlJc w:val="left"/>
      <w:pPr>
        <w:ind w:left="7407" w:hanging="360"/>
      </w:pPr>
    </w:lvl>
    <w:lvl w:ilvl="8" w:tplc="0C09001B" w:tentative="1">
      <w:start w:val="1"/>
      <w:numFmt w:val="lowerRoman"/>
      <w:lvlText w:val="%9."/>
      <w:lvlJc w:val="right"/>
      <w:pPr>
        <w:ind w:left="8127" w:hanging="180"/>
      </w:pPr>
    </w:lvl>
  </w:abstractNum>
  <w:abstractNum w:abstractNumId="3" w15:restartNumberingAfterBreak="0">
    <w:nsid w:val="040C7D7C"/>
    <w:multiLevelType w:val="hybridMultilevel"/>
    <w:tmpl w:val="23527B78"/>
    <w:lvl w:ilvl="0" w:tplc="44FAACF0">
      <w:start w:val="1"/>
      <w:numFmt w:val="lowerLetter"/>
      <w:lvlText w:val="(%1)"/>
      <w:lvlJc w:val="left"/>
      <w:pPr>
        <w:ind w:left="2943" w:hanging="675"/>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4" w15:restartNumberingAfterBreak="0">
    <w:nsid w:val="0FD212C9"/>
    <w:multiLevelType w:val="hybridMultilevel"/>
    <w:tmpl w:val="8264D556"/>
    <w:lvl w:ilvl="0" w:tplc="44FAACF0">
      <w:start w:val="1"/>
      <w:numFmt w:val="lowerLetter"/>
      <w:lvlText w:val="(%1)"/>
      <w:lvlJc w:val="left"/>
      <w:pPr>
        <w:ind w:left="2682" w:hanging="675"/>
      </w:pPr>
      <w:rPr>
        <w:rFonts w:hint="default"/>
      </w:rPr>
    </w:lvl>
    <w:lvl w:ilvl="1" w:tplc="0C090019">
      <w:start w:val="1"/>
      <w:numFmt w:val="lowerLetter"/>
      <w:lvlText w:val="%2."/>
      <w:lvlJc w:val="left"/>
      <w:pPr>
        <w:ind w:left="3087" w:hanging="360"/>
      </w:pPr>
    </w:lvl>
    <w:lvl w:ilvl="2" w:tplc="0C09001B" w:tentative="1">
      <w:start w:val="1"/>
      <w:numFmt w:val="lowerRoman"/>
      <w:lvlText w:val="%3."/>
      <w:lvlJc w:val="right"/>
      <w:pPr>
        <w:ind w:left="3807" w:hanging="180"/>
      </w:pPr>
    </w:lvl>
    <w:lvl w:ilvl="3" w:tplc="0C09000F" w:tentative="1">
      <w:start w:val="1"/>
      <w:numFmt w:val="decimal"/>
      <w:lvlText w:val="%4."/>
      <w:lvlJc w:val="left"/>
      <w:pPr>
        <w:ind w:left="4527" w:hanging="360"/>
      </w:pPr>
    </w:lvl>
    <w:lvl w:ilvl="4" w:tplc="0C090019" w:tentative="1">
      <w:start w:val="1"/>
      <w:numFmt w:val="lowerLetter"/>
      <w:lvlText w:val="%5."/>
      <w:lvlJc w:val="left"/>
      <w:pPr>
        <w:ind w:left="5247" w:hanging="360"/>
      </w:pPr>
    </w:lvl>
    <w:lvl w:ilvl="5" w:tplc="0C09001B" w:tentative="1">
      <w:start w:val="1"/>
      <w:numFmt w:val="lowerRoman"/>
      <w:lvlText w:val="%6."/>
      <w:lvlJc w:val="right"/>
      <w:pPr>
        <w:ind w:left="5967" w:hanging="180"/>
      </w:pPr>
    </w:lvl>
    <w:lvl w:ilvl="6" w:tplc="0C09000F" w:tentative="1">
      <w:start w:val="1"/>
      <w:numFmt w:val="decimal"/>
      <w:lvlText w:val="%7."/>
      <w:lvlJc w:val="left"/>
      <w:pPr>
        <w:ind w:left="6687" w:hanging="360"/>
      </w:pPr>
    </w:lvl>
    <w:lvl w:ilvl="7" w:tplc="0C090019" w:tentative="1">
      <w:start w:val="1"/>
      <w:numFmt w:val="lowerLetter"/>
      <w:lvlText w:val="%8."/>
      <w:lvlJc w:val="left"/>
      <w:pPr>
        <w:ind w:left="7407" w:hanging="360"/>
      </w:pPr>
    </w:lvl>
    <w:lvl w:ilvl="8" w:tplc="0C09001B" w:tentative="1">
      <w:start w:val="1"/>
      <w:numFmt w:val="lowerRoman"/>
      <w:lvlText w:val="%9."/>
      <w:lvlJc w:val="right"/>
      <w:pPr>
        <w:ind w:left="8127" w:hanging="180"/>
      </w:pPr>
    </w:lvl>
  </w:abstractNum>
  <w:abstractNum w:abstractNumId="5" w15:restartNumberingAfterBreak="0">
    <w:nsid w:val="161439D1"/>
    <w:multiLevelType w:val="hybridMultilevel"/>
    <w:tmpl w:val="23527B78"/>
    <w:lvl w:ilvl="0" w:tplc="44FAACF0">
      <w:start w:val="1"/>
      <w:numFmt w:val="lowerLetter"/>
      <w:lvlText w:val="(%1)"/>
      <w:lvlJc w:val="left"/>
      <w:pPr>
        <w:ind w:left="2943" w:hanging="675"/>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6" w15:restartNumberingAfterBreak="0">
    <w:nsid w:val="1AC40BD7"/>
    <w:multiLevelType w:val="hybridMultilevel"/>
    <w:tmpl w:val="23527B78"/>
    <w:lvl w:ilvl="0" w:tplc="44FAACF0">
      <w:start w:val="1"/>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C552533"/>
    <w:multiLevelType w:val="hybridMultilevel"/>
    <w:tmpl w:val="23527B78"/>
    <w:lvl w:ilvl="0" w:tplc="44FAACF0">
      <w:start w:val="1"/>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DEF185C"/>
    <w:multiLevelType w:val="hybridMultilevel"/>
    <w:tmpl w:val="23527B78"/>
    <w:lvl w:ilvl="0" w:tplc="44FAACF0">
      <w:start w:val="1"/>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F006DFB"/>
    <w:multiLevelType w:val="hybridMultilevel"/>
    <w:tmpl w:val="23527B78"/>
    <w:lvl w:ilvl="0" w:tplc="44FAACF0">
      <w:start w:val="1"/>
      <w:numFmt w:val="lowerLetter"/>
      <w:lvlText w:val="(%1)"/>
      <w:lvlJc w:val="left"/>
      <w:pPr>
        <w:ind w:left="2943" w:hanging="675"/>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0" w15:restartNumberingAfterBreak="0">
    <w:nsid w:val="23BA401F"/>
    <w:multiLevelType w:val="hybridMultilevel"/>
    <w:tmpl w:val="F1342270"/>
    <w:lvl w:ilvl="0" w:tplc="9CEC84CC">
      <w:start w:val="1"/>
      <w:numFmt w:val="decimal"/>
      <w:lvlText w:val="(%1)"/>
      <w:lvlJc w:val="left"/>
      <w:pPr>
        <w:ind w:left="2577" w:hanging="570"/>
      </w:pPr>
      <w:rPr>
        <w:rFonts w:hint="default"/>
      </w:rPr>
    </w:lvl>
    <w:lvl w:ilvl="1" w:tplc="0C090019" w:tentative="1">
      <w:start w:val="1"/>
      <w:numFmt w:val="lowerLetter"/>
      <w:lvlText w:val="%2."/>
      <w:lvlJc w:val="left"/>
      <w:pPr>
        <w:ind w:left="3087" w:hanging="360"/>
      </w:pPr>
    </w:lvl>
    <w:lvl w:ilvl="2" w:tplc="0C09001B" w:tentative="1">
      <w:start w:val="1"/>
      <w:numFmt w:val="lowerRoman"/>
      <w:lvlText w:val="%3."/>
      <w:lvlJc w:val="right"/>
      <w:pPr>
        <w:ind w:left="3807" w:hanging="180"/>
      </w:pPr>
    </w:lvl>
    <w:lvl w:ilvl="3" w:tplc="0C09000F" w:tentative="1">
      <w:start w:val="1"/>
      <w:numFmt w:val="decimal"/>
      <w:lvlText w:val="%4."/>
      <w:lvlJc w:val="left"/>
      <w:pPr>
        <w:ind w:left="4527" w:hanging="360"/>
      </w:pPr>
    </w:lvl>
    <w:lvl w:ilvl="4" w:tplc="0C090019" w:tentative="1">
      <w:start w:val="1"/>
      <w:numFmt w:val="lowerLetter"/>
      <w:lvlText w:val="%5."/>
      <w:lvlJc w:val="left"/>
      <w:pPr>
        <w:ind w:left="5247" w:hanging="360"/>
      </w:pPr>
    </w:lvl>
    <w:lvl w:ilvl="5" w:tplc="0C09001B" w:tentative="1">
      <w:start w:val="1"/>
      <w:numFmt w:val="lowerRoman"/>
      <w:lvlText w:val="%6."/>
      <w:lvlJc w:val="right"/>
      <w:pPr>
        <w:ind w:left="5967" w:hanging="180"/>
      </w:pPr>
    </w:lvl>
    <w:lvl w:ilvl="6" w:tplc="0C09000F" w:tentative="1">
      <w:start w:val="1"/>
      <w:numFmt w:val="decimal"/>
      <w:lvlText w:val="%7."/>
      <w:lvlJc w:val="left"/>
      <w:pPr>
        <w:ind w:left="6687" w:hanging="360"/>
      </w:pPr>
    </w:lvl>
    <w:lvl w:ilvl="7" w:tplc="0C090019" w:tentative="1">
      <w:start w:val="1"/>
      <w:numFmt w:val="lowerLetter"/>
      <w:lvlText w:val="%8."/>
      <w:lvlJc w:val="left"/>
      <w:pPr>
        <w:ind w:left="7407" w:hanging="360"/>
      </w:pPr>
    </w:lvl>
    <w:lvl w:ilvl="8" w:tplc="0C09001B" w:tentative="1">
      <w:start w:val="1"/>
      <w:numFmt w:val="lowerRoman"/>
      <w:lvlText w:val="%9."/>
      <w:lvlJc w:val="right"/>
      <w:pPr>
        <w:ind w:left="8127" w:hanging="180"/>
      </w:pPr>
    </w:lvl>
  </w:abstractNum>
  <w:abstractNum w:abstractNumId="11" w15:restartNumberingAfterBreak="0">
    <w:nsid w:val="26C91D15"/>
    <w:multiLevelType w:val="hybridMultilevel"/>
    <w:tmpl w:val="23527B78"/>
    <w:lvl w:ilvl="0" w:tplc="44FAACF0">
      <w:start w:val="1"/>
      <w:numFmt w:val="lowerLetter"/>
      <w:lvlText w:val="(%1)"/>
      <w:lvlJc w:val="left"/>
      <w:pPr>
        <w:ind w:left="-3144" w:hanging="675"/>
      </w:pPr>
      <w:rPr>
        <w:rFonts w:hint="default"/>
      </w:rPr>
    </w:lvl>
    <w:lvl w:ilvl="1" w:tplc="0C090019">
      <w:start w:val="1"/>
      <w:numFmt w:val="lowerLetter"/>
      <w:lvlText w:val="%2."/>
      <w:lvlJc w:val="left"/>
      <w:pPr>
        <w:ind w:left="-2739" w:hanging="360"/>
      </w:pPr>
    </w:lvl>
    <w:lvl w:ilvl="2" w:tplc="0C09001B" w:tentative="1">
      <w:start w:val="1"/>
      <w:numFmt w:val="lowerRoman"/>
      <w:lvlText w:val="%3."/>
      <w:lvlJc w:val="right"/>
      <w:pPr>
        <w:ind w:left="-2019" w:hanging="180"/>
      </w:pPr>
    </w:lvl>
    <w:lvl w:ilvl="3" w:tplc="0C09000F" w:tentative="1">
      <w:start w:val="1"/>
      <w:numFmt w:val="decimal"/>
      <w:lvlText w:val="%4."/>
      <w:lvlJc w:val="left"/>
      <w:pPr>
        <w:ind w:left="-1299" w:hanging="360"/>
      </w:pPr>
    </w:lvl>
    <w:lvl w:ilvl="4" w:tplc="0C090019" w:tentative="1">
      <w:start w:val="1"/>
      <w:numFmt w:val="lowerLetter"/>
      <w:lvlText w:val="%5."/>
      <w:lvlJc w:val="left"/>
      <w:pPr>
        <w:ind w:left="-579" w:hanging="360"/>
      </w:pPr>
    </w:lvl>
    <w:lvl w:ilvl="5" w:tplc="0C09001B" w:tentative="1">
      <w:start w:val="1"/>
      <w:numFmt w:val="lowerRoman"/>
      <w:lvlText w:val="%6."/>
      <w:lvlJc w:val="right"/>
      <w:pPr>
        <w:ind w:left="141" w:hanging="180"/>
      </w:pPr>
    </w:lvl>
    <w:lvl w:ilvl="6" w:tplc="0C09000F" w:tentative="1">
      <w:start w:val="1"/>
      <w:numFmt w:val="decimal"/>
      <w:lvlText w:val="%7."/>
      <w:lvlJc w:val="left"/>
      <w:pPr>
        <w:ind w:left="861" w:hanging="360"/>
      </w:pPr>
    </w:lvl>
    <w:lvl w:ilvl="7" w:tplc="0C090019" w:tentative="1">
      <w:start w:val="1"/>
      <w:numFmt w:val="lowerLetter"/>
      <w:lvlText w:val="%8."/>
      <w:lvlJc w:val="left"/>
      <w:pPr>
        <w:ind w:left="1581" w:hanging="360"/>
      </w:pPr>
    </w:lvl>
    <w:lvl w:ilvl="8" w:tplc="0C09001B" w:tentative="1">
      <w:start w:val="1"/>
      <w:numFmt w:val="lowerRoman"/>
      <w:lvlText w:val="%9."/>
      <w:lvlJc w:val="right"/>
      <w:pPr>
        <w:ind w:left="2301" w:hanging="180"/>
      </w:pPr>
    </w:lvl>
  </w:abstractNum>
  <w:abstractNum w:abstractNumId="12" w15:restartNumberingAfterBreak="0">
    <w:nsid w:val="27454C38"/>
    <w:multiLevelType w:val="hybridMultilevel"/>
    <w:tmpl w:val="23527B78"/>
    <w:lvl w:ilvl="0" w:tplc="44FAACF0">
      <w:start w:val="1"/>
      <w:numFmt w:val="lowerLetter"/>
      <w:lvlText w:val="(%1)"/>
      <w:lvlJc w:val="left"/>
      <w:pPr>
        <w:ind w:left="2682" w:hanging="675"/>
      </w:pPr>
      <w:rPr>
        <w:rFonts w:hint="default"/>
      </w:rPr>
    </w:lvl>
    <w:lvl w:ilvl="1" w:tplc="0C090019">
      <w:start w:val="1"/>
      <w:numFmt w:val="lowerLetter"/>
      <w:lvlText w:val="%2."/>
      <w:lvlJc w:val="left"/>
      <w:pPr>
        <w:ind w:left="3087" w:hanging="360"/>
      </w:pPr>
    </w:lvl>
    <w:lvl w:ilvl="2" w:tplc="0C09001B" w:tentative="1">
      <w:start w:val="1"/>
      <w:numFmt w:val="lowerRoman"/>
      <w:lvlText w:val="%3."/>
      <w:lvlJc w:val="right"/>
      <w:pPr>
        <w:ind w:left="3807" w:hanging="180"/>
      </w:pPr>
    </w:lvl>
    <w:lvl w:ilvl="3" w:tplc="0C09000F" w:tentative="1">
      <w:start w:val="1"/>
      <w:numFmt w:val="decimal"/>
      <w:lvlText w:val="%4."/>
      <w:lvlJc w:val="left"/>
      <w:pPr>
        <w:ind w:left="4527" w:hanging="360"/>
      </w:pPr>
    </w:lvl>
    <w:lvl w:ilvl="4" w:tplc="0C090019" w:tentative="1">
      <w:start w:val="1"/>
      <w:numFmt w:val="lowerLetter"/>
      <w:lvlText w:val="%5."/>
      <w:lvlJc w:val="left"/>
      <w:pPr>
        <w:ind w:left="5247" w:hanging="360"/>
      </w:pPr>
    </w:lvl>
    <w:lvl w:ilvl="5" w:tplc="0C09001B" w:tentative="1">
      <w:start w:val="1"/>
      <w:numFmt w:val="lowerRoman"/>
      <w:lvlText w:val="%6."/>
      <w:lvlJc w:val="right"/>
      <w:pPr>
        <w:ind w:left="5967" w:hanging="180"/>
      </w:pPr>
    </w:lvl>
    <w:lvl w:ilvl="6" w:tplc="0C09000F" w:tentative="1">
      <w:start w:val="1"/>
      <w:numFmt w:val="decimal"/>
      <w:lvlText w:val="%7."/>
      <w:lvlJc w:val="left"/>
      <w:pPr>
        <w:ind w:left="6687" w:hanging="360"/>
      </w:pPr>
    </w:lvl>
    <w:lvl w:ilvl="7" w:tplc="0C090019" w:tentative="1">
      <w:start w:val="1"/>
      <w:numFmt w:val="lowerLetter"/>
      <w:lvlText w:val="%8."/>
      <w:lvlJc w:val="left"/>
      <w:pPr>
        <w:ind w:left="7407" w:hanging="360"/>
      </w:pPr>
    </w:lvl>
    <w:lvl w:ilvl="8" w:tplc="0C09001B" w:tentative="1">
      <w:start w:val="1"/>
      <w:numFmt w:val="lowerRoman"/>
      <w:lvlText w:val="%9."/>
      <w:lvlJc w:val="right"/>
      <w:pPr>
        <w:ind w:left="8127" w:hanging="180"/>
      </w:pPr>
    </w:lvl>
  </w:abstractNum>
  <w:abstractNum w:abstractNumId="13" w15:restartNumberingAfterBreak="0">
    <w:nsid w:val="2B354A44"/>
    <w:multiLevelType w:val="hybridMultilevel"/>
    <w:tmpl w:val="23527B78"/>
    <w:lvl w:ilvl="0" w:tplc="44FAACF0">
      <w:start w:val="1"/>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1D859B8"/>
    <w:multiLevelType w:val="hybridMultilevel"/>
    <w:tmpl w:val="53CC2FBA"/>
    <w:lvl w:ilvl="0" w:tplc="5ED0D566">
      <w:start w:val="2"/>
      <w:numFmt w:val="lowerLetter"/>
      <w:lvlText w:val="(%1)"/>
      <w:lvlJc w:val="left"/>
      <w:pPr>
        <w:ind w:left="2376"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A7A16"/>
    <w:multiLevelType w:val="multilevel"/>
    <w:tmpl w:val="FAD42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4AD0B76"/>
    <w:multiLevelType w:val="hybridMultilevel"/>
    <w:tmpl w:val="48FE9614"/>
    <w:lvl w:ilvl="0" w:tplc="28B05E84">
      <w:start w:val="59"/>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C36FF"/>
    <w:multiLevelType w:val="hybridMultilevel"/>
    <w:tmpl w:val="23527B78"/>
    <w:lvl w:ilvl="0" w:tplc="44FAACF0">
      <w:start w:val="1"/>
      <w:numFmt w:val="lowerLetter"/>
      <w:lvlText w:val="(%1)"/>
      <w:lvlJc w:val="left"/>
      <w:pPr>
        <w:ind w:left="2943" w:hanging="675"/>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8" w15:restartNumberingAfterBreak="0">
    <w:nsid w:val="374C14F6"/>
    <w:multiLevelType w:val="hybridMultilevel"/>
    <w:tmpl w:val="23527B78"/>
    <w:lvl w:ilvl="0" w:tplc="44FAACF0">
      <w:start w:val="1"/>
      <w:numFmt w:val="lowerLetter"/>
      <w:lvlText w:val="(%1)"/>
      <w:lvlJc w:val="left"/>
      <w:pPr>
        <w:ind w:left="2943" w:hanging="675"/>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9" w15:restartNumberingAfterBreak="0">
    <w:nsid w:val="3A56451C"/>
    <w:multiLevelType w:val="hybridMultilevel"/>
    <w:tmpl w:val="EA3247EC"/>
    <w:lvl w:ilvl="0" w:tplc="3FFE5E44">
      <w:start w:val="3"/>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A7B47A9"/>
    <w:multiLevelType w:val="hybridMultilevel"/>
    <w:tmpl w:val="23527B78"/>
    <w:lvl w:ilvl="0" w:tplc="44FAACF0">
      <w:start w:val="1"/>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944427"/>
    <w:multiLevelType w:val="hybridMultilevel"/>
    <w:tmpl w:val="EA3247EC"/>
    <w:lvl w:ilvl="0" w:tplc="3FFE5E44">
      <w:start w:val="3"/>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3FFA0C35"/>
    <w:multiLevelType w:val="hybridMultilevel"/>
    <w:tmpl w:val="23527B78"/>
    <w:lvl w:ilvl="0" w:tplc="44FAACF0">
      <w:start w:val="1"/>
      <w:numFmt w:val="lowerLetter"/>
      <w:lvlText w:val="(%1)"/>
      <w:lvlJc w:val="left"/>
      <w:pPr>
        <w:ind w:left="2943" w:hanging="675"/>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4" w15:restartNumberingAfterBreak="0">
    <w:nsid w:val="440D59BD"/>
    <w:multiLevelType w:val="hybridMultilevel"/>
    <w:tmpl w:val="46C8E712"/>
    <w:lvl w:ilvl="0" w:tplc="0A828204">
      <w:start w:val="1"/>
      <w:numFmt w:val="lowerLetter"/>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15:restartNumberingAfterBreak="0">
    <w:nsid w:val="445A7EB3"/>
    <w:multiLevelType w:val="hybridMultilevel"/>
    <w:tmpl w:val="23527B78"/>
    <w:lvl w:ilvl="0" w:tplc="44FAACF0">
      <w:start w:val="1"/>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452B4129"/>
    <w:multiLevelType w:val="hybridMultilevel"/>
    <w:tmpl w:val="CA3CFC50"/>
    <w:lvl w:ilvl="0" w:tplc="DA36F5F8">
      <w:start w:val="1"/>
      <w:numFmt w:val="lowerRoman"/>
      <w:lvlText w:val="(%1)"/>
      <w:lvlJc w:val="left"/>
      <w:pPr>
        <w:ind w:left="2991" w:hanging="720"/>
      </w:pPr>
      <w:rPr>
        <w:rFonts w:hint="default"/>
      </w:rPr>
    </w:lvl>
    <w:lvl w:ilvl="1" w:tplc="0C090019" w:tentative="1">
      <w:start w:val="1"/>
      <w:numFmt w:val="lowerLetter"/>
      <w:lvlText w:val="%2."/>
      <w:lvlJc w:val="left"/>
      <w:pPr>
        <w:ind w:left="3351" w:hanging="360"/>
      </w:pPr>
    </w:lvl>
    <w:lvl w:ilvl="2" w:tplc="0C09001B" w:tentative="1">
      <w:start w:val="1"/>
      <w:numFmt w:val="lowerRoman"/>
      <w:lvlText w:val="%3."/>
      <w:lvlJc w:val="right"/>
      <w:pPr>
        <w:ind w:left="4071" w:hanging="180"/>
      </w:pPr>
    </w:lvl>
    <w:lvl w:ilvl="3" w:tplc="0C09000F" w:tentative="1">
      <w:start w:val="1"/>
      <w:numFmt w:val="decimal"/>
      <w:lvlText w:val="%4."/>
      <w:lvlJc w:val="left"/>
      <w:pPr>
        <w:ind w:left="4791" w:hanging="360"/>
      </w:pPr>
    </w:lvl>
    <w:lvl w:ilvl="4" w:tplc="0C090019" w:tentative="1">
      <w:start w:val="1"/>
      <w:numFmt w:val="lowerLetter"/>
      <w:lvlText w:val="%5."/>
      <w:lvlJc w:val="left"/>
      <w:pPr>
        <w:ind w:left="5511" w:hanging="360"/>
      </w:pPr>
    </w:lvl>
    <w:lvl w:ilvl="5" w:tplc="0C09001B" w:tentative="1">
      <w:start w:val="1"/>
      <w:numFmt w:val="lowerRoman"/>
      <w:lvlText w:val="%6."/>
      <w:lvlJc w:val="right"/>
      <w:pPr>
        <w:ind w:left="6231" w:hanging="180"/>
      </w:pPr>
    </w:lvl>
    <w:lvl w:ilvl="6" w:tplc="0C09000F" w:tentative="1">
      <w:start w:val="1"/>
      <w:numFmt w:val="decimal"/>
      <w:lvlText w:val="%7."/>
      <w:lvlJc w:val="left"/>
      <w:pPr>
        <w:ind w:left="6951" w:hanging="360"/>
      </w:pPr>
    </w:lvl>
    <w:lvl w:ilvl="7" w:tplc="0C090019" w:tentative="1">
      <w:start w:val="1"/>
      <w:numFmt w:val="lowerLetter"/>
      <w:lvlText w:val="%8."/>
      <w:lvlJc w:val="left"/>
      <w:pPr>
        <w:ind w:left="7671" w:hanging="360"/>
      </w:pPr>
    </w:lvl>
    <w:lvl w:ilvl="8" w:tplc="0C09001B" w:tentative="1">
      <w:start w:val="1"/>
      <w:numFmt w:val="lowerRoman"/>
      <w:lvlText w:val="%9."/>
      <w:lvlJc w:val="right"/>
      <w:pPr>
        <w:ind w:left="8391" w:hanging="180"/>
      </w:pPr>
    </w:lvl>
  </w:abstractNum>
  <w:abstractNum w:abstractNumId="27" w15:restartNumberingAfterBreak="0">
    <w:nsid w:val="48B0592C"/>
    <w:multiLevelType w:val="hybridMultilevel"/>
    <w:tmpl w:val="EA3247EC"/>
    <w:lvl w:ilvl="0" w:tplc="3FFE5E44">
      <w:start w:val="3"/>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49980342"/>
    <w:multiLevelType w:val="hybridMultilevel"/>
    <w:tmpl w:val="23527B78"/>
    <w:lvl w:ilvl="0" w:tplc="44FAACF0">
      <w:start w:val="1"/>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4CC266EC"/>
    <w:multiLevelType w:val="hybridMultilevel"/>
    <w:tmpl w:val="23527B78"/>
    <w:lvl w:ilvl="0" w:tplc="44FAACF0">
      <w:start w:val="1"/>
      <w:numFmt w:val="lowerLetter"/>
      <w:lvlText w:val="(%1)"/>
      <w:lvlJc w:val="left"/>
      <w:pPr>
        <w:ind w:left="2943" w:hanging="675"/>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0" w15:restartNumberingAfterBreak="0">
    <w:nsid w:val="57F51029"/>
    <w:multiLevelType w:val="hybridMultilevel"/>
    <w:tmpl w:val="23527B78"/>
    <w:lvl w:ilvl="0" w:tplc="44FAACF0">
      <w:start w:val="1"/>
      <w:numFmt w:val="lowerLetter"/>
      <w:lvlText w:val="(%1)"/>
      <w:lvlJc w:val="left"/>
      <w:pPr>
        <w:ind w:left="2943" w:hanging="675"/>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1" w15:restartNumberingAfterBreak="0">
    <w:nsid w:val="62162B77"/>
    <w:multiLevelType w:val="hybridMultilevel"/>
    <w:tmpl w:val="6EDC66F2"/>
    <w:lvl w:ilvl="0" w:tplc="6DC47D4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2" w15:restartNumberingAfterBreak="0">
    <w:nsid w:val="66756CB0"/>
    <w:multiLevelType w:val="hybridMultilevel"/>
    <w:tmpl w:val="23527B78"/>
    <w:lvl w:ilvl="0" w:tplc="44FAACF0">
      <w:start w:val="1"/>
      <w:numFmt w:val="lowerLetter"/>
      <w:lvlText w:val="(%1)"/>
      <w:lvlJc w:val="left"/>
      <w:pPr>
        <w:ind w:left="2943" w:hanging="675"/>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3" w15:restartNumberingAfterBreak="0">
    <w:nsid w:val="6BBC4B43"/>
    <w:multiLevelType w:val="hybridMultilevel"/>
    <w:tmpl w:val="F94A0E0C"/>
    <w:lvl w:ilvl="0" w:tplc="DB2E1CB6">
      <w:start w:val="1"/>
      <w:numFmt w:val="lowerLetter"/>
      <w:lvlText w:val="(%1)"/>
      <w:lvlJc w:val="left"/>
      <w:pPr>
        <w:ind w:left="2965" w:hanging="675"/>
      </w:pPr>
      <w:rPr>
        <w:rFonts w:hint="default"/>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34" w15:restartNumberingAfterBreak="0">
    <w:nsid w:val="73BF3B49"/>
    <w:multiLevelType w:val="hybridMultilevel"/>
    <w:tmpl w:val="23527B78"/>
    <w:lvl w:ilvl="0" w:tplc="44FAACF0">
      <w:start w:val="1"/>
      <w:numFmt w:val="lowerLetter"/>
      <w:lvlText w:val="(%1)"/>
      <w:lvlJc w:val="left"/>
      <w:pPr>
        <w:ind w:left="2835" w:hanging="675"/>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5" w15:restartNumberingAfterBreak="0">
    <w:nsid w:val="74121E84"/>
    <w:multiLevelType w:val="hybridMultilevel"/>
    <w:tmpl w:val="23527B78"/>
    <w:lvl w:ilvl="0" w:tplc="44FAACF0">
      <w:start w:val="1"/>
      <w:numFmt w:val="lowerLetter"/>
      <w:lvlText w:val="(%1)"/>
      <w:lvlJc w:val="left"/>
      <w:pPr>
        <w:ind w:left="2943" w:hanging="675"/>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6" w15:restartNumberingAfterBreak="0">
    <w:nsid w:val="776B217B"/>
    <w:multiLevelType w:val="hybridMultilevel"/>
    <w:tmpl w:val="31ACFE80"/>
    <w:lvl w:ilvl="0" w:tplc="E26841A6">
      <w:start w:val="3"/>
      <w:numFmt w:val="lowerLetter"/>
      <w:lvlText w:val="(%1)"/>
      <w:lvlJc w:val="left"/>
      <w:pPr>
        <w:ind w:left="2093" w:hanging="675"/>
      </w:pPr>
      <w:rPr>
        <w:rFonts w:hint="default"/>
      </w:rPr>
    </w:lvl>
    <w:lvl w:ilvl="1" w:tplc="0C090019" w:tentative="1">
      <w:start w:val="1"/>
      <w:numFmt w:val="lowerLetter"/>
      <w:lvlText w:val="%2."/>
      <w:lvlJc w:val="left"/>
      <w:pPr>
        <w:ind w:left="1418" w:hanging="360"/>
      </w:pPr>
    </w:lvl>
    <w:lvl w:ilvl="2" w:tplc="0C09001B" w:tentative="1">
      <w:start w:val="1"/>
      <w:numFmt w:val="lowerRoman"/>
      <w:lvlText w:val="%3."/>
      <w:lvlJc w:val="right"/>
      <w:pPr>
        <w:ind w:left="2138" w:hanging="180"/>
      </w:pPr>
    </w:lvl>
    <w:lvl w:ilvl="3" w:tplc="0C09000F" w:tentative="1">
      <w:start w:val="1"/>
      <w:numFmt w:val="decimal"/>
      <w:lvlText w:val="%4."/>
      <w:lvlJc w:val="left"/>
      <w:pPr>
        <w:ind w:left="2858" w:hanging="360"/>
      </w:pPr>
    </w:lvl>
    <w:lvl w:ilvl="4" w:tplc="0C090019" w:tentative="1">
      <w:start w:val="1"/>
      <w:numFmt w:val="lowerLetter"/>
      <w:lvlText w:val="%5."/>
      <w:lvlJc w:val="left"/>
      <w:pPr>
        <w:ind w:left="3578" w:hanging="360"/>
      </w:pPr>
    </w:lvl>
    <w:lvl w:ilvl="5" w:tplc="0C09001B" w:tentative="1">
      <w:start w:val="1"/>
      <w:numFmt w:val="lowerRoman"/>
      <w:lvlText w:val="%6."/>
      <w:lvlJc w:val="right"/>
      <w:pPr>
        <w:ind w:left="4298" w:hanging="180"/>
      </w:pPr>
    </w:lvl>
    <w:lvl w:ilvl="6" w:tplc="0C09000F" w:tentative="1">
      <w:start w:val="1"/>
      <w:numFmt w:val="decimal"/>
      <w:lvlText w:val="%7."/>
      <w:lvlJc w:val="left"/>
      <w:pPr>
        <w:ind w:left="5018" w:hanging="360"/>
      </w:pPr>
    </w:lvl>
    <w:lvl w:ilvl="7" w:tplc="0C090019" w:tentative="1">
      <w:start w:val="1"/>
      <w:numFmt w:val="lowerLetter"/>
      <w:lvlText w:val="%8."/>
      <w:lvlJc w:val="left"/>
      <w:pPr>
        <w:ind w:left="5738" w:hanging="360"/>
      </w:pPr>
    </w:lvl>
    <w:lvl w:ilvl="8" w:tplc="0C09001B" w:tentative="1">
      <w:start w:val="1"/>
      <w:numFmt w:val="lowerRoman"/>
      <w:lvlText w:val="%9."/>
      <w:lvlJc w:val="right"/>
      <w:pPr>
        <w:ind w:left="6458" w:hanging="180"/>
      </w:pPr>
    </w:lvl>
  </w:abstractNum>
  <w:abstractNum w:abstractNumId="37" w15:restartNumberingAfterBreak="0">
    <w:nsid w:val="7A671F79"/>
    <w:multiLevelType w:val="hybridMultilevel"/>
    <w:tmpl w:val="23527B78"/>
    <w:lvl w:ilvl="0" w:tplc="44FAACF0">
      <w:start w:val="1"/>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7D5B5F2A"/>
    <w:multiLevelType w:val="hybridMultilevel"/>
    <w:tmpl w:val="23527B78"/>
    <w:lvl w:ilvl="0" w:tplc="44FAACF0">
      <w:start w:val="1"/>
      <w:numFmt w:val="lowerLetter"/>
      <w:lvlText w:val="(%1)"/>
      <w:lvlJc w:val="left"/>
      <w:pPr>
        <w:ind w:left="2115" w:hanging="6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1"/>
  </w:num>
  <w:num w:numId="2">
    <w:abstractNumId w:val="11"/>
  </w:num>
  <w:num w:numId="3">
    <w:abstractNumId w:val="14"/>
  </w:num>
  <w:num w:numId="4">
    <w:abstractNumId w:val="5"/>
  </w:num>
  <w:num w:numId="5">
    <w:abstractNumId w:val="7"/>
  </w:num>
  <w:num w:numId="6">
    <w:abstractNumId w:val="30"/>
  </w:num>
  <w:num w:numId="7">
    <w:abstractNumId w:val="12"/>
  </w:num>
  <w:num w:numId="8">
    <w:abstractNumId w:val="35"/>
  </w:num>
  <w:num w:numId="9">
    <w:abstractNumId w:val="18"/>
  </w:num>
  <w:num w:numId="10">
    <w:abstractNumId w:val="32"/>
  </w:num>
  <w:num w:numId="11">
    <w:abstractNumId w:val="17"/>
  </w:num>
  <w:num w:numId="12">
    <w:abstractNumId w:val="29"/>
  </w:num>
  <w:num w:numId="13">
    <w:abstractNumId w:val="9"/>
  </w:num>
  <w:num w:numId="14">
    <w:abstractNumId w:val="3"/>
  </w:num>
  <w:num w:numId="15">
    <w:abstractNumId w:val="23"/>
  </w:num>
  <w:num w:numId="16">
    <w:abstractNumId w:val="6"/>
  </w:num>
  <w:num w:numId="17">
    <w:abstractNumId w:val="37"/>
  </w:num>
  <w:num w:numId="18">
    <w:abstractNumId w:val="27"/>
  </w:num>
  <w:num w:numId="19">
    <w:abstractNumId w:val="13"/>
  </w:num>
  <w:num w:numId="20">
    <w:abstractNumId w:val="1"/>
  </w:num>
  <w:num w:numId="21">
    <w:abstractNumId w:val="26"/>
  </w:num>
  <w:num w:numId="22">
    <w:abstractNumId w:val="4"/>
  </w:num>
  <w:num w:numId="23">
    <w:abstractNumId w:val="36"/>
  </w:num>
  <w:num w:numId="24">
    <w:abstractNumId w:val="25"/>
  </w:num>
  <w:num w:numId="25">
    <w:abstractNumId w:val="28"/>
  </w:num>
  <w:num w:numId="26">
    <w:abstractNumId w:val="2"/>
  </w:num>
  <w:num w:numId="27">
    <w:abstractNumId w:val="8"/>
  </w:num>
  <w:num w:numId="28">
    <w:abstractNumId w:val="10"/>
  </w:num>
  <w:num w:numId="29">
    <w:abstractNumId w:val="38"/>
  </w:num>
  <w:num w:numId="30">
    <w:abstractNumId w:val="19"/>
  </w:num>
  <w:num w:numId="31">
    <w:abstractNumId w:val="22"/>
  </w:num>
  <w:num w:numId="32">
    <w:abstractNumId w:val="33"/>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4"/>
  </w:num>
  <w:num w:numId="56">
    <w:abstractNumId w:val="16"/>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 w:numId="59">
    <w:abstractNumId w:val="0"/>
    <w:lvlOverride w:ilvl="0">
      <w:startOverride w:val="6"/>
    </w:lvlOverride>
  </w:num>
  <w:num w:numId="60">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48E"/>
    <w:rsid w:val="00004470"/>
    <w:rsid w:val="00005446"/>
    <w:rsid w:val="0000556B"/>
    <w:rsid w:val="0000724F"/>
    <w:rsid w:val="00007C07"/>
    <w:rsid w:val="00010CFF"/>
    <w:rsid w:val="00012C3A"/>
    <w:rsid w:val="000136AF"/>
    <w:rsid w:val="00013B8D"/>
    <w:rsid w:val="0001475D"/>
    <w:rsid w:val="0001777A"/>
    <w:rsid w:val="00023109"/>
    <w:rsid w:val="000234FB"/>
    <w:rsid w:val="00023D53"/>
    <w:rsid w:val="00024509"/>
    <w:rsid w:val="0002500E"/>
    <w:rsid w:val="000256E8"/>
    <w:rsid w:val="000300DD"/>
    <w:rsid w:val="00035B55"/>
    <w:rsid w:val="00036BBB"/>
    <w:rsid w:val="00036DF5"/>
    <w:rsid w:val="00037BDF"/>
    <w:rsid w:val="00037C84"/>
    <w:rsid w:val="000406DA"/>
    <w:rsid w:val="0004228A"/>
    <w:rsid w:val="00042452"/>
    <w:rsid w:val="00042977"/>
    <w:rsid w:val="000430FF"/>
    <w:rsid w:val="000437C1"/>
    <w:rsid w:val="00046CC8"/>
    <w:rsid w:val="00047174"/>
    <w:rsid w:val="00051B42"/>
    <w:rsid w:val="00052287"/>
    <w:rsid w:val="00052943"/>
    <w:rsid w:val="0005365D"/>
    <w:rsid w:val="00053940"/>
    <w:rsid w:val="000540F4"/>
    <w:rsid w:val="00054B2E"/>
    <w:rsid w:val="00054E93"/>
    <w:rsid w:val="000578AA"/>
    <w:rsid w:val="00060A86"/>
    <w:rsid w:val="000614BF"/>
    <w:rsid w:val="0006250C"/>
    <w:rsid w:val="00062595"/>
    <w:rsid w:val="000656A0"/>
    <w:rsid w:val="00066B18"/>
    <w:rsid w:val="00066D69"/>
    <w:rsid w:val="00073196"/>
    <w:rsid w:val="00074A3B"/>
    <w:rsid w:val="0008013F"/>
    <w:rsid w:val="00081744"/>
    <w:rsid w:val="00081794"/>
    <w:rsid w:val="000843C0"/>
    <w:rsid w:val="0008662D"/>
    <w:rsid w:val="000873B6"/>
    <w:rsid w:val="00087FD5"/>
    <w:rsid w:val="00092722"/>
    <w:rsid w:val="00093659"/>
    <w:rsid w:val="00094134"/>
    <w:rsid w:val="000A0D6F"/>
    <w:rsid w:val="000A142F"/>
    <w:rsid w:val="000A1655"/>
    <w:rsid w:val="000A20DB"/>
    <w:rsid w:val="000A2A09"/>
    <w:rsid w:val="000A2B99"/>
    <w:rsid w:val="000A3CCD"/>
    <w:rsid w:val="000A6C39"/>
    <w:rsid w:val="000B22F7"/>
    <w:rsid w:val="000B2418"/>
    <w:rsid w:val="000B2AEC"/>
    <w:rsid w:val="000B378E"/>
    <w:rsid w:val="000B38C9"/>
    <w:rsid w:val="000B58FA"/>
    <w:rsid w:val="000B62CB"/>
    <w:rsid w:val="000B6B09"/>
    <w:rsid w:val="000B7D52"/>
    <w:rsid w:val="000C05F5"/>
    <w:rsid w:val="000C0CC4"/>
    <w:rsid w:val="000C2229"/>
    <w:rsid w:val="000C2B89"/>
    <w:rsid w:val="000C2C05"/>
    <w:rsid w:val="000C39E8"/>
    <w:rsid w:val="000C3A4E"/>
    <w:rsid w:val="000C48CF"/>
    <w:rsid w:val="000C5502"/>
    <w:rsid w:val="000C55A0"/>
    <w:rsid w:val="000C7C69"/>
    <w:rsid w:val="000C7DD1"/>
    <w:rsid w:val="000C7E42"/>
    <w:rsid w:val="000C7E92"/>
    <w:rsid w:val="000D035A"/>
    <w:rsid w:val="000D05EF"/>
    <w:rsid w:val="000D20B0"/>
    <w:rsid w:val="000D32E4"/>
    <w:rsid w:val="000D4AEC"/>
    <w:rsid w:val="000D50F0"/>
    <w:rsid w:val="000D5C42"/>
    <w:rsid w:val="000D6BD2"/>
    <w:rsid w:val="000D6DBA"/>
    <w:rsid w:val="000D736E"/>
    <w:rsid w:val="000E04A1"/>
    <w:rsid w:val="000E04CE"/>
    <w:rsid w:val="000E188B"/>
    <w:rsid w:val="000E2261"/>
    <w:rsid w:val="000E3C2E"/>
    <w:rsid w:val="000E5CF3"/>
    <w:rsid w:val="000F0C7B"/>
    <w:rsid w:val="000F21C1"/>
    <w:rsid w:val="000F2DDB"/>
    <w:rsid w:val="000F2E3A"/>
    <w:rsid w:val="000F3365"/>
    <w:rsid w:val="000F4334"/>
    <w:rsid w:val="000F5CE9"/>
    <w:rsid w:val="000F620E"/>
    <w:rsid w:val="0010011F"/>
    <w:rsid w:val="001010B3"/>
    <w:rsid w:val="00101ABF"/>
    <w:rsid w:val="00102307"/>
    <w:rsid w:val="00102CA6"/>
    <w:rsid w:val="00103A00"/>
    <w:rsid w:val="0010475D"/>
    <w:rsid w:val="001047C6"/>
    <w:rsid w:val="001054F6"/>
    <w:rsid w:val="00106412"/>
    <w:rsid w:val="00106BB2"/>
    <w:rsid w:val="0010745C"/>
    <w:rsid w:val="00112259"/>
    <w:rsid w:val="00116BAD"/>
    <w:rsid w:val="001178DB"/>
    <w:rsid w:val="00120430"/>
    <w:rsid w:val="00120985"/>
    <w:rsid w:val="00120FE0"/>
    <w:rsid w:val="00121257"/>
    <w:rsid w:val="001235DF"/>
    <w:rsid w:val="0012630E"/>
    <w:rsid w:val="0012678A"/>
    <w:rsid w:val="00126F4E"/>
    <w:rsid w:val="00131C79"/>
    <w:rsid w:val="00132B7B"/>
    <w:rsid w:val="00132CEB"/>
    <w:rsid w:val="00133B34"/>
    <w:rsid w:val="0013561C"/>
    <w:rsid w:val="0013571B"/>
    <w:rsid w:val="00142660"/>
    <w:rsid w:val="00142B00"/>
    <w:rsid w:val="00142B62"/>
    <w:rsid w:val="001435D1"/>
    <w:rsid w:val="00143F30"/>
    <w:rsid w:val="001440D1"/>
    <w:rsid w:val="001456AC"/>
    <w:rsid w:val="001463A0"/>
    <w:rsid w:val="00147DEC"/>
    <w:rsid w:val="001513EF"/>
    <w:rsid w:val="0015567E"/>
    <w:rsid w:val="00155B8F"/>
    <w:rsid w:val="00156ED6"/>
    <w:rsid w:val="00157B8B"/>
    <w:rsid w:val="00161438"/>
    <w:rsid w:val="00163D78"/>
    <w:rsid w:val="00165B18"/>
    <w:rsid w:val="00166797"/>
    <w:rsid w:val="00166C2F"/>
    <w:rsid w:val="00171581"/>
    <w:rsid w:val="00171A6E"/>
    <w:rsid w:val="001807A0"/>
    <w:rsid w:val="001809D7"/>
    <w:rsid w:val="00183912"/>
    <w:rsid w:val="0018453F"/>
    <w:rsid w:val="00184690"/>
    <w:rsid w:val="00184869"/>
    <w:rsid w:val="001850D6"/>
    <w:rsid w:val="001855F6"/>
    <w:rsid w:val="00186128"/>
    <w:rsid w:val="00186DDE"/>
    <w:rsid w:val="0019080A"/>
    <w:rsid w:val="00192859"/>
    <w:rsid w:val="001939E1"/>
    <w:rsid w:val="00193BD5"/>
    <w:rsid w:val="00194351"/>
    <w:rsid w:val="00194C3E"/>
    <w:rsid w:val="00194DAD"/>
    <w:rsid w:val="00194E14"/>
    <w:rsid w:val="00195382"/>
    <w:rsid w:val="00195BD4"/>
    <w:rsid w:val="0019748A"/>
    <w:rsid w:val="001A32FF"/>
    <w:rsid w:val="001A392D"/>
    <w:rsid w:val="001A6977"/>
    <w:rsid w:val="001A790F"/>
    <w:rsid w:val="001B117B"/>
    <w:rsid w:val="001B29A8"/>
    <w:rsid w:val="001B49B0"/>
    <w:rsid w:val="001B63CE"/>
    <w:rsid w:val="001C3005"/>
    <w:rsid w:val="001C3B67"/>
    <w:rsid w:val="001C3C4D"/>
    <w:rsid w:val="001C3E67"/>
    <w:rsid w:val="001C48DF"/>
    <w:rsid w:val="001C5E4F"/>
    <w:rsid w:val="001C61C5"/>
    <w:rsid w:val="001C69C4"/>
    <w:rsid w:val="001C7CD5"/>
    <w:rsid w:val="001D0AC4"/>
    <w:rsid w:val="001D28D1"/>
    <w:rsid w:val="001D37EF"/>
    <w:rsid w:val="001D52D5"/>
    <w:rsid w:val="001D5383"/>
    <w:rsid w:val="001D6143"/>
    <w:rsid w:val="001D69AB"/>
    <w:rsid w:val="001E0BF5"/>
    <w:rsid w:val="001E199F"/>
    <w:rsid w:val="001E3590"/>
    <w:rsid w:val="001E3D6A"/>
    <w:rsid w:val="001E4E86"/>
    <w:rsid w:val="001E52BA"/>
    <w:rsid w:val="001E5655"/>
    <w:rsid w:val="001E7407"/>
    <w:rsid w:val="001F130B"/>
    <w:rsid w:val="001F50DA"/>
    <w:rsid w:val="001F5D5E"/>
    <w:rsid w:val="001F6219"/>
    <w:rsid w:val="001F6CD4"/>
    <w:rsid w:val="001F78B6"/>
    <w:rsid w:val="001F7FF5"/>
    <w:rsid w:val="00202A10"/>
    <w:rsid w:val="00202B98"/>
    <w:rsid w:val="00203535"/>
    <w:rsid w:val="0020681F"/>
    <w:rsid w:val="00206C4D"/>
    <w:rsid w:val="00207B20"/>
    <w:rsid w:val="00207E3A"/>
    <w:rsid w:val="002100E7"/>
    <w:rsid w:val="0021053C"/>
    <w:rsid w:val="0021079C"/>
    <w:rsid w:val="00210C97"/>
    <w:rsid w:val="002138ED"/>
    <w:rsid w:val="00214205"/>
    <w:rsid w:val="00215AF1"/>
    <w:rsid w:val="00217958"/>
    <w:rsid w:val="00217CEF"/>
    <w:rsid w:val="002200BD"/>
    <w:rsid w:val="00220DA8"/>
    <w:rsid w:val="00222990"/>
    <w:rsid w:val="002258C0"/>
    <w:rsid w:val="00225D7C"/>
    <w:rsid w:val="002267F5"/>
    <w:rsid w:val="002278C8"/>
    <w:rsid w:val="00227B59"/>
    <w:rsid w:val="00230512"/>
    <w:rsid w:val="00231CD1"/>
    <w:rsid w:val="002321E8"/>
    <w:rsid w:val="00232CD0"/>
    <w:rsid w:val="00232DB5"/>
    <w:rsid w:val="00236EEC"/>
    <w:rsid w:val="0024010F"/>
    <w:rsid w:val="002402FB"/>
    <w:rsid w:val="00240749"/>
    <w:rsid w:val="00243018"/>
    <w:rsid w:val="00243EC0"/>
    <w:rsid w:val="00244081"/>
    <w:rsid w:val="00244742"/>
    <w:rsid w:val="00244CA3"/>
    <w:rsid w:val="00247C9E"/>
    <w:rsid w:val="00252007"/>
    <w:rsid w:val="002549B4"/>
    <w:rsid w:val="00255007"/>
    <w:rsid w:val="00255906"/>
    <w:rsid w:val="002564A4"/>
    <w:rsid w:val="0025705A"/>
    <w:rsid w:val="002609C4"/>
    <w:rsid w:val="00260AC6"/>
    <w:rsid w:val="0026188C"/>
    <w:rsid w:val="00262964"/>
    <w:rsid w:val="002637AB"/>
    <w:rsid w:val="002646FF"/>
    <w:rsid w:val="0026532E"/>
    <w:rsid w:val="00266191"/>
    <w:rsid w:val="0026736C"/>
    <w:rsid w:val="002732B0"/>
    <w:rsid w:val="00276C64"/>
    <w:rsid w:val="00277C87"/>
    <w:rsid w:val="00277DCC"/>
    <w:rsid w:val="0028047B"/>
    <w:rsid w:val="002810FE"/>
    <w:rsid w:val="00281308"/>
    <w:rsid w:val="00281813"/>
    <w:rsid w:val="00283261"/>
    <w:rsid w:val="00284719"/>
    <w:rsid w:val="00284AFA"/>
    <w:rsid w:val="00287EB5"/>
    <w:rsid w:val="00291060"/>
    <w:rsid w:val="00291266"/>
    <w:rsid w:val="00291447"/>
    <w:rsid w:val="00291633"/>
    <w:rsid w:val="0029197A"/>
    <w:rsid w:val="00293849"/>
    <w:rsid w:val="00293D0F"/>
    <w:rsid w:val="002940B1"/>
    <w:rsid w:val="002958A1"/>
    <w:rsid w:val="00297ECB"/>
    <w:rsid w:val="002A025A"/>
    <w:rsid w:val="002A5D93"/>
    <w:rsid w:val="002A61CE"/>
    <w:rsid w:val="002A7BCF"/>
    <w:rsid w:val="002B0925"/>
    <w:rsid w:val="002B19F3"/>
    <w:rsid w:val="002B2927"/>
    <w:rsid w:val="002B4A0D"/>
    <w:rsid w:val="002B5633"/>
    <w:rsid w:val="002B62FB"/>
    <w:rsid w:val="002B6376"/>
    <w:rsid w:val="002B6409"/>
    <w:rsid w:val="002B6B84"/>
    <w:rsid w:val="002B7379"/>
    <w:rsid w:val="002C0085"/>
    <w:rsid w:val="002C1736"/>
    <w:rsid w:val="002C3A3D"/>
    <w:rsid w:val="002C40C9"/>
    <w:rsid w:val="002D004E"/>
    <w:rsid w:val="002D043A"/>
    <w:rsid w:val="002D04A6"/>
    <w:rsid w:val="002D2CEA"/>
    <w:rsid w:val="002D6224"/>
    <w:rsid w:val="002D7451"/>
    <w:rsid w:val="002D764D"/>
    <w:rsid w:val="002D771D"/>
    <w:rsid w:val="002E142C"/>
    <w:rsid w:val="002E1E49"/>
    <w:rsid w:val="002E3F4B"/>
    <w:rsid w:val="002E4EB8"/>
    <w:rsid w:val="002E513A"/>
    <w:rsid w:val="002E53A9"/>
    <w:rsid w:val="002E6216"/>
    <w:rsid w:val="002E679C"/>
    <w:rsid w:val="002F1E12"/>
    <w:rsid w:val="002F1ECE"/>
    <w:rsid w:val="002F29ED"/>
    <w:rsid w:val="002F4AA4"/>
    <w:rsid w:val="002F5C3B"/>
    <w:rsid w:val="002F6CC5"/>
    <w:rsid w:val="003015C3"/>
    <w:rsid w:val="003017B3"/>
    <w:rsid w:val="00303D94"/>
    <w:rsid w:val="00304F8B"/>
    <w:rsid w:val="00307285"/>
    <w:rsid w:val="00310ABE"/>
    <w:rsid w:val="003148CF"/>
    <w:rsid w:val="003150FF"/>
    <w:rsid w:val="0031653B"/>
    <w:rsid w:val="0031684B"/>
    <w:rsid w:val="003200F8"/>
    <w:rsid w:val="00320922"/>
    <w:rsid w:val="003209E8"/>
    <w:rsid w:val="00321D60"/>
    <w:rsid w:val="003238DE"/>
    <w:rsid w:val="003260E1"/>
    <w:rsid w:val="003276B0"/>
    <w:rsid w:val="00327DDF"/>
    <w:rsid w:val="0033043B"/>
    <w:rsid w:val="00330B59"/>
    <w:rsid w:val="00330BB2"/>
    <w:rsid w:val="003320D1"/>
    <w:rsid w:val="00332AF0"/>
    <w:rsid w:val="00333212"/>
    <w:rsid w:val="00333B04"/>
    <w:rsid w:val="00334E56"/>
    <w:rsid w:val="003354D2"/>
    <w:rsid w:val="00335BC6"/>
    <w:rsid w:val="00337F07"/>
    <w:rsid w:val="00340AAF"/>
    <w:rsid w:val="003415D3"/>
    <w:rsid w:val="003433EF"/>
    <w:rsid w:val="00343C67"/>
    <w:rsid w:val="00344701"/>
    <w:rsid w:val="00344EA9"/>
    <w:rsid w:val="00345D33"/>
    <w:rsid w:val="00346E78"/>
    <w:rsid w:val="0034735D"/>
    <w:rsid w:val="003479CF"/>
    <w:rsid w:val="00351B46"/>
    <w:rsid w:val="003528DA"/>
    <w:rsid w:val="00352B0F"/>
    <w:rsid w:val="00353E90"/>
    <w:rsid w:val="00356690"/>
    <w:rsid w:val="00360236"/>
    <w:rsid w:val="00360459"/>
    <w:rsid w:val="00360A32"/>
    <w:rsid w:val="00361B59"/>
    <w:rsid w:val="00362902"/>
    <w:rsid w:val="003631E2"/>
    <w:rsid w:val="00363C5D"/>
    <w:rsid w:val="00365497"/>
    <w:rsid w:val="003658C1"/>
    <w:rsid w:val="00365A36"/>
    <w:rsid w:val="00367100"/>
    <w:rsid w:val="00370548"/>
    <w:rsid w:val="00370609"/>
    <w:rsid w:val="003708CA"/>
    <w:rsid w:val="003713AC"/>
    <w:rsid w:val="00371666"/>
    <w:rsid w:val="00372A0D"/>
    <w:rsid w:val="00373F92"/>
    <w:rsid w:val="00374480"/>
    <w:rsid w:val="00374DDD"/>
    <w:rsid w:val="00374DEE"/>
    <w:rsid w:val="003757FD"/>
    <w:rsid w:val="0037604B"/>
    <w:rsid w:val="003802A0"/>
    <w:rsid w:val="0038139D"/>
    <w:rsid w:val="0038375B"/>
    <w:rsid w:val="003839B2"/>
    <w:rsid w:val="00386C95"/>
    <w:rsid w:val="0038702B"/>
    <w:rsid w:val="00387A96"/>
    <w:rsid w:val="00390A86"/>
    <w:rsid w:val="00390D9D"/>
    <w:rsid w:val="00391F5E"/>
    <w:rsid w:val="003A0A48"/>
    <w:rsid w:val="003A1382"/>
    <w:rsid w:val="003A2A48"/>
    <w:rsid w:val="003A44AC"/>
    <w:rsid w:val="003A4A3A"/>
    <w:rsid w:val="003A7655"/>
    <w:rsid w:val="003A7A4A"/>
    <w:rsid w:val="003B1855"/>
    <w:rsid w:val="003B5E1A"/>
    <w:rsid w:val="003B732F"/>
    <w:rsid w:val="003C2389"/>
    <w:rsid w:val="003C2FD0"/>
    <w:rsid w:val="003C3D3C"/>
    <w:rsid w:val="003C4870"/>
    <w:rsid w:val="003C5A9A"/>
    <w:rsid w:val="003C5C31"/>
    <w:rsid w:val="003C6231"/>
    <w:rsid w:val="003C7C62"/>
    <w:rsid w:val="003D04DA"/>
    <w:rsid w:val="003D0BFE"/>
    <w:rsid w:val="003D1E2A"/>
    <w:rsid w:val="003D2B65"/>
    <w:rsid w:val="003D339D"/>
    <w:rsid w:val="003D3860"/>
    <w:rsid w:val="003D4AB8"/>
    <w:rsid w:val="003D5700"/>
    <w:rsid w:val="003E0B59"/>
    <w:rsid w:val="003E0F17"/>
    <w:rsid w:val="003E0F99"/>
    <w:rsid w:val="003E2D58"/>
    <w:rsid w:val="003E341B"/>
    <w:rsid w:val="003E4681"/>
    <w:rsid w:val="003E4C3A"/>
    <w:rsid w:val="003E5652"/>
    <w:rsid w:val="003E6F05"/>
    <w:rsid w:val="003E72CC"/>
    <w:rsid w:val="003E7A3D"/>
    <w:rsid w:val="003E7AAF"/>
    <w:rsid w:val="003F0146"/>
    <w:rsid w:val="003F18E1"/>
    <w:rsid w:val="003F78E6"/>
    <w:rsid w:val="0040053F"/>
    <w:rsid w:val="004014CB"/>
    <w:rsid w:val="00401510"/>
    <w:rsid w:val="0040456B"/>
    <w:rsid w:val="00406084"/>
    <w:rsid w:val="0040615C"/>
    <w:rsid w:val="0041010C"/>
    <w:rsid w:val="0041071C"/>
    <w:rsid w:val="004116CD"/>
    <w:rsid w:val="00411AD1"/>
    <w:rsid w:val="00411FBD"/>
    <w:rsid w:val="00413C41"/>
    <w:rsid w:val="00414164"/>
    <w:rsid w:val="004142FC"/>
    <w:rsid w:val="004144EC"/>
    <w:rsid w:val="00416522"/>
    <w:rsid w:val="00417202"/>
    <w:rsid w:val="00417EB9"/>
    <w:rsid w:val="0042116C"/>
    <w:rsid w:val="0042381B"/>
    <w:rsid w:val="00423B2A"/>
    <w:rsid w:val="00424248"/>
    <w:rsid w:val="00424CA9"/>
    <w:rsid w:val="004251DB"/>
    <w:rsid w:val="00425BBF"/>
    <w:rsid w:val="00430FD5"/>
    <w:rsid w:val="0043178E"/>
    <w:rsid w:val="004318C5"/>
    <w:rsid w:val="00431C0A"/>
    <w:rsid w:val="00431C3B"/>
    <w:rsid w:val="00431E9B"/>
    <w:rsid w:val="00432635"/>
    <w:rsid w:val="00433701"/>
    <w:rsid w:val="004379E3"/>
    <w:rsid w:val="0044015E"/>
    <w:rsid w:val="00442195"/>
    <w:rsid w:val="0044291A"/>
    <w:rsid w:val="00444ABD"/>
    <w:rsid w:val="00445BAF"/>
    <w:rsid w:val="004470EC"/>
    <w:rsid w:val="00447B65"/>
    <w:rsid w:val="00447DB4"/>
    <w:rsid w:val="00450BEA"/>
    <w:rsid w:val="0045137E"/>
    <w:rsid w:val="0045184E"/>
    <w:rsid w:val="00451F24"/>
    <w:rsid w:val="0045210B"/>
    <w:rsid w:val="00452484"/>
    <w:rsid w:val="0045383C"/>
    <w:rsid w:val="004539F1"/>
    <w:rsid w:val="004576A1"/>
    <w:rsid w:val="00460F1D"/>
    <w:rsid w:val="00463E2D"/>
    <w:rsid w:val="004645C4"/>
    <w:rsid w:val="004648A7"/>
    <w:rsid w:val="004656AE"/>
    <w:rsid w:val="00466132"/>
    <w:rsid w:val="00467661"/>
    <w:rsid w:val="004705B7"/>
    <w:rsid w:val="004719FA"/>
    <w:rsid w:val="00472018"/>
    <w:rsid w:val="00472DBE"/>
    <w:rsid w:val="0047420F"/>
    <w:rsid w:val="00474A19"/>
    <w:rsid w:val="00475456"/>
    <w:rsid w:val="004777F5"/>
    <w:rsid w:val="004805A5"/>
    <w:rsid w:val="004805B1"/>
    <w:rsid w:val="004823C0"/>
    <w:rsid w:val="0048276B"/>
    <w:rsid w:val="00483133"/>
    <w:rsid w:val="004851B0"/>
    <w:rsid w:val="004855D0"/>
    <w:rsid w:val="004863E0"/>
    <w:rsid w:val="00487E0F"/>
    <w:rsid w:val="00491233"/>
    <w:rsid w:val="00491305"/>
    <w:rsid w:val="00492829"/>
    <w:rsid w:val="00492A11"/>
    <w:rsid w:val="00492AA8"/>
    <w:rsid w:val="00492AE4"/>
    <w:rsid w:val="00495E8C"/>
    <w:rsid w:val="00496B5F"/>
    <w:rsid w:val="00496F97"/>
    <w:rsid w:val="0049762D"/>
    <w:rsid w:val="00497A7B"/>
    <w:rsid w:val="004A21A8"/>
    <w:rsid w:val="004A4304"/>
    <w:rsid w:val="004A44FC"/>
    <w:rsid w:val="004A63A8"/>
    <w:rsid w:val="004A6541"/>
    <w:rsid w:val="004A65B1"/>
    <w:rsid w:val="004A6619"/>
    <w:rsid w:val="004A7575"/>
    <w:rsid w:val="004A7B57"/>
    <w:rsid w:val="004B0524"/>
    <w:rsid w:val="004B279D"/>
    <w:rsid w:val="004B47D0"/>
    <w:rsid w:val="004B57CC"/>
    <w:rsid w:val="004B61B2"/>
    <w:rsid w:val="004B6D09"/>
    <w:rsid w:val="004C0AD2"/>
    <w:rsid w:val="004C11AF"/>
    <w:rsid w:val="004C1BFB"/>
    <w:rsid w:val="004C2528"/>
    <w:rsid w:val="004C5DBF"/>
    <w:rsid w:val="004C65D5"/>
    <w:rsid w:val="004C7B3A"/>
    <w:rsid w:val="004C7E31"/>
    <w:rsid w:val="004D3EE5"/>
    <w:rsid w:val="004D5301"/>
    <w:rsid w:val="004D5DEB"/>
    <w:rsid w:val="004D6B64"/>
    <w:rsid w:val="004D7F67"/>
    <w:rsid w:val="004E063A"/>
    <w:rsid w:val="004E53C9"/>
    <w:rsid w:val="004E5578"/>
    <w:rsid w:val="004E5704"/>
    <w:rsid w:val="004E5B1B"/>
    <w:rsid w:val="004E5C91"/>
    <w:rsid w:val="004E5D3F"/>
    <w:rsid w:val="004E6223"/>
    <w:rsid w:val="004E7BEC"/>
    <w:rsid w:val="004F2C94"/>
    <w:rsid w:val="004F3E6C"/>
    <w:rsid w:val="004F4647"/>
    <w:rsid w:val="004F4EC8"/>
    <w:rsid w:val="004F5C8C"/>
    <w:rsid w:val="004F5FC2"/>
    <w:rsid w:val="004F5FF1"/>
    <w:rsid w:val="004F6E37"/>
    <w:rsid w:val="004F7154"/>
    <w:rsid w:val="004F7254"/>
    <w:rsid w:val="004F7837"/>
    <w:rsid w:val="004F7887"/>
    <w:rsid w:val="004F7ECB"/>
    <w:rsid w:val="0050044F"/>
    <w:rsid w:val="005013B7"/>
    <w:rsid w:val="00501810"/>
    <w:rsid w:val="00502238"/>
    <w:rsid w:val="0050378F"/>
    <w:rsid w:val="00505D3D"/>
    <w:rsid w:val="00506AF6"/>
    <w:rsid w:val="00506C77"/>
    <w:rsid w:val="0050792D"/>
    <w:rsid w:val="00510A3F"/>
    <w:rsid w:val="00511605"/>
    <w:rsid w:val="005119A0"/>
    <w:rsid w:val="00513089"/>
    <w:rsid w:val="00513E83"/>
    <w:rsid w:val="005148C8"/>
    <w:rsid w:val="005163E9"/>
    <w:rsid w:val="00516B8D"/>
    <w:rsid w:val="00517D9F"/>
    <w:rsid w:val="00517E56"/>
    <w:rsid w:val="00520E57"/>
    <w:rsid w:val="00523A6D"/>
    <w:rsid w:val="00523C6B"/>
    <w:rsid w:val="0052443E"/>
    <w:rsid w:val="005244D5"/>
    <w:rsid w:val="005245F4"/>
    <w:rsid w:val="005246D9"/>
    <w:rsid w:val="00525348"/>
    <w:rsid w:val="00525F5C"/>
    <w:rsid w:val="00527EFB"/>
    <w:rsid w:val="00530968"/>
    <w:rsid w:val="00532049"/>
    <w:rsid w:val="005322CA"/>
    <w:rsid w:val="00532D30"/>
    <w:rsid w:val="00533320"/>
    <w:rsid w:val="00534591"/>
    <w:rsid w:val="0053462E"/>
    <w:rsid w:val="005356A7"/>
    <w:rsid w:val="00536050"/>
    <w:rsid w:val="0053697E"/>
    <w:rsid w:val="00537FBC"/>
    <w:rsid w:val="0054040F"/>
    <w:rsid w:val="00542878"/>
    <w:rsid w:val="0054484D"/>
    <w:rsid w:val="00546645"/>
    <w:rsid w:val="005514B1"/>
    <w:rsid w:val="00551BEE"/>
    <w:rsid w:val="00554083"/>
    <w:rsid w:val="005544BF"/>
    <w:rsid w:val="005545A9"/>
    <w:rsid w:val="00554E72"/>
    <w:rsid w:val="00555EFC"/>
    <w:rsid w:val="005574D1"/>
    <w:rsid w:val="00560FF8"/>
    <w:rsid w:val="00563417"/>
    <w:rsid w:val="005657FE"/>
    <w:rsid w:val="00565DF9"/>
    <w:rsid w:val="00566525"/>
    <w:rsid w:val="005665DA"/>
    <w:rsid w:val="00567A0C"/>
    <w:rsid w:val="00570F6B"/>
    <w:rsid w:val="00571D5A"/>
    <w:rsid w:val="00572BB1"/>
    <w:rsid w:val="00573168"/>
    <w:rsid w:val="00573F74"/>
    <w:rsid w:val="0057476C"/>
    <w:rsid w:val="005750E7"/>
    <w:rsid w:val="00576233"/>
    <w:rsid w:val="00576311"/>
    <w:rsid w:val="005800D6"/>
    <w:rsid w:val="00580A6D"/>
    <w:rsid w:val="00582338"/>
    <w:rsid w:val="005824EA"/>
    <w:rsid w:val="0058252A"/>
    <w:rsid w:val="005833A6"/>
    <w:rsid w:val="0058374B"/>
    <w:rsid w:val="00583783"/>
    <w:rsid w:val="00584648"/>
    <w:rsid w:val="00584811"/>
    <w:rsid w:val="00585784"/>
    <w:rsid w:val="005858E9"/>
    <w:rsid w:val="00585F60"/>
    <w:rsid w:val="00585F71"/>
    <w:rsid w:val="00586778"/>
    <w:rsid w:val="005869C5"/>
    <w:rsid w:val="00586B78"/>
    <w:rsid w:val="005910F3"/>
    <w:rsid w:val="00593AA6"/>
    <w:rsid w:val="00594161"/>
    <w:rsid w:val="00594749"/>
    <w:rsid w:val="00594E91"/>
    <w:rsid w:val="00596172"/>
    <w:rsid w:val="005A3C83"/>
    <w:rsid w:val="005A3E04"/>
    <w:rsid w:val="005A3FDF"/>
    <w:rsid w:val="005A4695"/>
    <w:rsid w:val="005A6511"/>
    <w:rsid w:val="005B18A3"/>
    <w:rsid w:val="005B1D21"/>
    <w:rsid w:val="005B34B4"/>
    <w:rsid w:val="005B4067"/>
    <w:rsid w:val="005B4130"/>
    <w:rsid w:val="005B6509"/>
    <w:rsid w:val="005B780C"/>
    <w:rsid w:val="005B7AC4"/>
    <w:rsid w:val="005B7E38"/>
    <w:rsid w:val="005C0FCD"/>
    <w:rsid w:val="005C1C22"/>
    <w:rsid w:val="005C1F38"/>
    <w:rsid w:val="005C24DB"/>
    <w:rsid w:val="005C3F41"/>
    <w:rsid w:val="005C41B2"/>
    <w:rsid w:val="005C4225"/>
    <w:rsid w:val="005C5EF8"/>
    <w:rsid w:val="005C64B9"/>
    <w:rsid w:val="005C7C6C"/>
    <w:rsid w:val="005C7E45"/>
    <w:rsid w:val="005D0489"/>
    <w:rsid w:val="005D13E1"/>
    <w:rsid w:val="005D151D"/>
    <w:rsid w:val="005D2D09"/>
    <w:rsid w:val="005D3D86"/>
    <w:rsid w:val="005E142F"/>
    <w:rsid w:val="005E262F"/>
    <w:rsid w:val="005E268E"/>
    <w:rsid w:val="005E4664"/>
    <w:rsid w:val="005E4810"/>
    <w:rsid w:val="005E4F18"/>
    <w:rsid w:val="005E532D"/>
    <w:rsid w:val="005E68CA"/>
    <w:rsid w:val="005E70A7"/>
    <w:rsid w:val="005F030D"/>
    <w:rsid w:val="005F1F1E"/>
    <w:rsid w:val="005F282E"/>
    <w:rsid w:val="005F57A0"/>
    <w:rsid w:val="005F65CD"/>
    <w:rsid w:val="005F674A"/>
    <w:rsid w:val="005F7619"/>
    <w:rsid w:val="00600219"/>
    <w:rsid w:val="0060030D"/>
    <w:rsid w:val="006004B4"/>
    <w:rsid w:val="00603B11"/>
    <w:rsid w:val="00603B76"/>
    <w:rsid w:val="00603DC4"/>
    <w:rsid w:val="00604565"/>
    <w:rsid w:val="00604E20"/>
    <w:rsid w:val="00604E44"/>
    <w:rsid w:val="006050BD"/>
    <w:rsid w:val="00606293"/>
    <w:rsid w:val="00607A71"/>
    <w:rsid w:val="00611327"/>
    <w:rsid w:val="0061264E"/>
    <w:rsid w:val="00615579"/>
    <w:rsid w:val="00615DF7"/>
    <w:rsid w:val="0061693F"/>
    <w:rsid w:val="00620076"/>
    <w:rsid w:val="00622C65"/>
    <w:rsid w:val="006250FA"/>
    <w:rsid w:val="00625121"/>
    <w:rsid w:val="00626BA7"/>
    <w:rsid w:val="0063209E"/>
    <w:rsid w:val="00635DAC"/>
    <w:rsid w:val="006364C6"/>
    <w:rsid w:val="00637557"/>
    <w:rsid w:val="00640161"/>
    <w:rsid w:val="00640169"/>
    <w:rsid w:val="00641643"/>
    <w:rsid w:val="00642961"/>
    <w:rsid w:val="006429C4"/>
    <w:rsid w:val="00644229"/>
    <w:rsid w:val="0064449B"/>
    <w:rsid w:val="00645CC4"/>
    <w:rsid w:val="0064753F"/>
    <w:rsid w:val="00647598"/>
    <w:rsid w:val="0065086B"/>
    <w:rsid w:val="00650A9D"/>
    <w:rsid w:val="00650ECE"/>
    <w:rsid w:val="0065274D"/>
    <w:rsid w:val="00652769"/>
    <w:rsid w:val="00652CBB"/>
    <w:rsid w:val="0065542F"/>
    <w:rsid w:val="006554FF"/>
    <w:rsid w:val="00655874"/>
    <w:rsid w:val="00655EF9"/>
    <w:rsid w:val="00655FAD"/>
    <w:rsid w:val="00657410"/>
    <w:rsid w:val="006615C5"/>
    <w:rsid w:val="00662FA9"/>
    <w:rsid w:val="006662FE"/>
    <w:rsid w:val="0067066A"/>
    <w:rsid w:val="00670EA1"/>
    <w:rsid w:val="00671696"/>
    <w:rsid w:val="00671979"/>
    <w:rsid w:val="0067470F"/>
    <w:rsid w:val="006760F3"/>
    <w:rsid w:val="00676ACB"/>
    <w:rsid w:val="00677CC2"/>
    <w:rsid w:val="006806CC"/>
    <w:rsid w:val="006829F4"/>
    <w:rsid w:val="006836C2"/>
    <w:rsid w:val="00685F11"/>
    <w:rsid w:val="006863AC"/>
    <w:rsid w:val="00686CFE"/>
    <w:rsid w:val="006905DE"/>
    <w:rsid w:val="0069207B"/>
    <w:rsid w:val="00692771"/>
    <w:rsid w:val="006A1130"/>
    <w:rsid w:val="006A22AC"/>
    <w:rsid w:val="006A2614"/>
    <w:rsid w:val="006A2716"/>
    <w:rsid w:val="006A2DB0"/>
    <w:rsid w:val="006A3139"/>
    <w:rsid w:val="006A41EE"/>
    <w:rsid w:val="006A44EB"/>
    <w:rsid w:val="006A55B1"/>
    <w:rsid w:val="006A6228"/>
    <w:rsid w:val="006A6A17"/>
    <w:rsid w:val="006A6A7A"/>
    <w:rsid w:val="006A768D"/>
    <w:rsid w:val="006A7AD5"/>
    <w:rsid w:val="006B0226"/>
    <w:rsid w:val="006B061D"/>
    <w:rsid w:val="006B2821"/>
    <w:rsid w:val="006B2DE9"/>
    <w:rsid w:val="006B3057"/>
    <w:rsid w:val="006B5266"/>
    <w:rsid w:val="006B5789"/>
    <w:rsid w:val="006B6051"/>
    <w:rsid w:val="006B6ACF"/>
    <w:rsid w:val="006C0945"/>
    <w:rsid w:val="006C1884"/>
    <w:rsid w:val="006C27BA"/>
    <w:rsid w:val="006C2E80"/>
    <w:rsid w:val="006C30C5"/>
    <w:rsid w:val="006C40DC"/>
    <w:rsid w:val="006C454F"/>
    <w:rsid w:val="006C47C5"/>
    <w:rsid w:val="006C48FA"/>
    <w:rsid w:val="006C5A4B"/>
    <w:rsid w:val="006C5F8A"/>
    <w:rsid w:val="006C7716"/>
    <w:rsid w:val="006C78E7"/>
    <w:rsid w:val="006C7F8C"/>
    <w:rsid w:val="006D251B"/>
    <w:rsid w:val="006D2D82"/>
    <w:rsid w:val="006D5F36"/>
    <w:rsid w:val="006E0637"/>
    <w:rsid w:val="006E0CD8"/>
    <w:rsid w:val="006E143A"/>
    <w:rsid w:val="006E298E"/>
    <w:rsid w:val="006E3F9E"/>
    <w:rsid w:val="006E469B"/>
    <w:rsid w:val="006E5320"/>
    <w:rsid w:val="006E57CD"/>
    <w:rsid w:val="006E57E3"/>
    <w:rsid w:val="006E5C42"/>
    <w:rsid w:val="006E6246"/>
    <w:rsid w:val="006E6F2F"/>
    <w:rsid w:val="006E6F7E"/>
    <w:rsid w:val="006E790B"/>
    <w:rsid w:val="006F318F"/>
    <w:rsid w:val="006F4226"/>
    <w:rsid w:val="006F4755"/>
    <w:rsid w:val="006F4A27"/>
    <w:rsid w:val="006F4F8F"/>
    <w:rsid w:val="006F688E"/>
    <w:rsid w:val="006F7B1D"/>
    <w:rsid w:val="0070017E"/>
    <w:rsid w:val="00700B2C"/>
    <w:rsid w:val="007023F4"/>
    <w:rsid w:val="007050A2"/>
    <w:rsid w:val="007064DD"/>
    <w:rsid w:val="007078C2"/>
    <w:rsid w:val="00707BD7"/>
    <w:rsid w:val="00710C0B"/>
    <w:rsid w:val="007129B6"/>
    <w:rsid w:val="00713084"/>
    <w:rsid w:val="007147D2"/>
    <w:rsid w:val="00714819"/>
    <w:rsid w:val="00714F20"/>
    <w:rsid w:val="0071590F"/>
    <w:rsid w:val="00715914"/>
    <w:rsid w:val="00721AB4"/>
    <w:rsid w:val="00721D29"/>
    <w:rsid w:val="00722365"/>
    <w:rsid w:val="00722432"/>
    <w:rsid w:val="00722B95"/>
    <w:rsid w:val="00723088"/>
    <w:rsid w:val="007232FF"/>
    <w:rsid w:val="00723604"/>
    <w:rsid w:val="0072426A"/>
    <w:rsid w:val="00724440"/>
    <w:rsid w:val="00724486"/>
    <w:rsid w:val="00724863"/>
    <w:rsid w:val="00727654"/>
    <w:rsid w:val="00727F2C"/>
    <w:rsid w:val="00730186"/>
    <w:rsid w:val="00730C3D"/>
    <w:rsid w:val="007319B6"/>
    <w:rsid w:val="00731E00"/>
    <w:rsid w:val="00733795"/>
    <w:rsid w:val="007363B7"/>
    <w:rsid w:val="00736ADF"/>
    <w:rsid w:val="00736B82"/>
    <w:rsid w:val="00741D80"/>
    <w:rsid w:val="00741EE8"/>
    <w:rsid w:val="007430D6"/>
    <w:rsid w:val="007440AB"/>
    <w:rsid w:val="007440B7"/>
    <w:rsid w:val="00745BB4"/>
    <w:rsid w:val="0074768D"/>
    <w:rsid w:val="007500C8"/>
    <w:rsid w:val="0075106E"/>
    <w:rsid w:val="00752DF7"/>
    <w:rsid w:val="00753AD6"/>
    <w:rsid w:val="007553DB"/>
    <w:rsid w:val="00756272"/>
    <w:rsid w:val="0075654D"/>
    <w:rsid w:val="007606C2"/>
    <w:rsid w:val="00760B06"/>
    <w:rsid w:val="007611C1"/>
    <w:rsid w:val="00761379"/>
    <w:rsid w:val="00762214"/>
    <w:rsid w:val="0076266A"/>
    <w:rsid w:val="00763CB4"/>
    <w:rsid w:val="007662B5"/>
    <w:rsid w:val="0076681A"/>
    <w:rsid w:val="007708FA"/>
    <w:rsid w:val="00770B07"/>
    <w:rsid w:val="0077132D"/>
    <w:rsid w:val="007715C9"/>
    <w:rsid w:val="007715FB"/>
    <w:rsid w:val="00771613"/>
    <w:rsid w:val="007721A7"/>
    <w:rsid w:val="00772E36"/>
    <w:rsid w:val="0077317C"/>
    <w:rsid w:val="00773D0E"/>
    <w:rsid w:val="007745B9"/>
    <w:rsid w:val="00774EDD"/>
    <w:rsid w:val="007757EC"/>
    <w:rsid w:val="00775CF4"/>
    <w:rsid w:val="00780021"/>
    <w:rsid w:val="007804AD"/>
    <w:rsid w:val="0078284C"/>
    <w:rsid w:val="00783E89"/>
    <w:rsid w:val="00785096"/>
    <w:rsid w:val="00785A9E"/>
    <w:rsid w:val="007904FC"/>
    <w:rsid w:val="00790AB1"/>
    <w:rsid w:val="00792092"/>
    <w:rsid w:val="00792300"/>
    <w:rsid w:val="00792F46"/>
    <w:rsid w:val="00792FF0"/>
    <w:rsid w:val="00793915"/>
    <w:rsid w:val="00794609"/>
    <w:rsid w:val="007969FC"/>
    <w:rsid w:val="00797A09"/>
    <w:rsid w:val="00797CB2"/>
    <w:rsid w:val="007A2D48"/>
    <w:rsid w:val="007A3852"/>
    <w:rsid w:val="007A7AD1"/>
    <w:rsid w:val="007B157D"/>
    <w:rsid w:val="007B247A"/>
    <w:rsid w:val="007B3E69"/>
    <w:rsid w:val="007B487E"/>
    <w:rsid w:val="007B4C4F"/>
    <w:rsid w:val="007B5E87"/>
    <w:rsid w:val="007B7EC0"/>
    <w:rsid w:val="007C1959"/>
    <w:rsid w:val="007C1ADF"/>
    <w:rsid w:val="007C2253"/>
    <w:rsid w:val="007C2F2E"/>
    <w:rsid w:val="007C3317"/>
    <w:rsid w:val="007C41A9"/>
    <w:rsid w:val="007C49E1"/>
    <w:rsid w:val="007C53E7"/>
    <w:rsid w:val="007C545C"/>
    <w:rsid w:val="007C61D2"/>
    <w:rsid w:val="007C6303"/>
    <w:rsid w:val="007C78AD"/>
    <w:rsid w:val="007C7931"/>
    <w:rsid w:val="007D0508"/>
    <w:rsid w:val="007D230B"/>
    <w:rsid w:val="007D29E5"/>
    <w:rsid w:val="007D31C7"/>
    <w:rsid w:val="007D359A"/>
    <w:rsid w:val="007D381B"/>
    <w:rsid w:val="007E163D"/>
    <w:rsid w:val="007E189C"/>
    <w:rsid w:val="007E2215"/>
    <w:rsid w:val="007E3806"/>
    <w:rsid w:val="007E3FC5"/>
    <w:rsid w:val="007E41EF"/>
    <w:rsid w:val="007E51C0"/>
    <w:rsid w:val="007E54BF"/>
    <w:rsid w:val="007E54ED"/>
    <w:rsid w:val="007E667A"/>
    <w:rsid w:val="007E7D58"/>
    <w:rsid w:val="007F0E0E"/>
    <w:rsid w:val="007F1823"/>
    <w:rsid w:val="007F28C9"/>
    <w:rsid w:val="007F3A6F"/>
    <w:rsid w:val="007F500D"/>
    <w:rsid w:val="007F6CB1"/>
    <w:rsid w:val="007F7AE3"/>
    <w:rsid w:val="007F7D3A"/>
    <w:rsid w:val="008005A4"/>
    <w:rsid w:val="0080312D"/>
    <w:rsid w:val="00803587"/>
    <w:rsid w:val="0080458B"/>
    <w:rsid w:val="008054A4"/>
    <w:rsid w:val="00806500"/>
    <w:rsid w:val="00806D11"/>
    <w:rsid w:val="00810A03"/>
    <w:rsid w:val="008111B4"/>
    <w:rsid w:val="008117E9"/>
    <w:rsid w:val="00811929"/>
    <w:rsid w:val="00812CED"/>
    <w:rsid w:val="00812FBA"/>
    <w:rsid w:val="0081407B"/>
    <w:rsid w:val="00815D9F"/>
    <w:rsid w:val="00816888"/>
    <w:rsid w:val="00816FFD"/>
    <w:rsid w:val="00820DB9"/>
    <w:rsid w:val="00822A73"/>
    <w:rsid w:val="00824228"/>
    <w:rsid w:val="00824498"/>
    <w:rsid w:val="008245FD"/>
    <w:rsid w:val="0082759A"/>
    <w:rsid w:val="008302D5"/>
    <w:rsid w:val="008324E9"/>
    <w:rsid w:val="008330CE"/>
    <w:rsid w:val="0083362C"/>
    <w:rsid w:val="00834599"/>
    <w:rsid w:val="008357F5"/>
    <w:rsid w:val="00835FD8"/>
    <w:rsid w:val="00840442"/>
    <w:rsid w:val="00840A44"/>
    <w:rsid w:val="00841AD1"/>
    <w:rsid w:val="00842358"/>
    <w:rsid w:val="00842B9F"/>
    <w:rsid w:val="00843178"/>
    <w:rsid w:val="0084545F"/>
    <w:rsid w:val="00847FE2"/>
    <w:rsid w:val="00850500"/>
    <w:rsid w:val="00850F56"/>
    <w:rsid w:val="008527C0"/>
    <w:rsid w:val="0085392C"/>
    <w:rsid w:val="00854C1F"/>
    <w:rsid w:val="00854E17"/>
    <w:rsid w:val="008556CE"/>
    <w:rsid w:val="00855E08"/>
    <w:rsid w:val="0085620B"/>
    <w:rsid w:val="00856A31"/>
    <w:rsid w:val="00856FE7"/>
    <w:rsid w:val="008608F9"/>
    <w:rsid w:val="00860B58"/>
    <w:rsid w:val="00861603"/>
    <w:rsid w:val="00865148"/>
    <w:rsid w:val="00865215"/>
    <w:rsid w:val="00865E9F"/>
    <w:rsid w:val="00866770"/>
    <w:rsid w:val="00867048"/>
    <w:rsid w:val="00867B37"/>
    <w:rsid w:val="0087043A"/>
    <w:rsid w:val="00871E45"/>
    <w:rsid w:val="008754D0"/>
    <w:rsid w:val="00876677"/>
    <w:rsid w:val="008770C0"/>
    <w:rsid w:val="00880154"/>
    <w:rsid w:val="008809A9"/>
    <w:rsid w:val="00881CC2"/>
    <w:rsid w:val="00883CAC"/>
    <w:rsid w:val="008842F8"/>
    <w:rsid w:val="008855C9"/>
    <w:rsid w:val="00886456"/>
    <w:rsid w:val="0089046A"/>
    <w:rsid w:val="0089092D"/>
    <w:rsid w:val="00890C1E"/>
    <w:rsid w:val="00891D30"/>
    <w:rsid w:val="00891F0C"/>
    <w:rsid w:val="008936D1"/>
    <w:rsid w:val="008945E0"/>
    <w:rsid w:val="0089527F"/>
    <w:rsid w:val="00896134"/>
    <w:rsid w:val="0089620F"/>
    <w:rsid w:val="0089634E"/>
    <w:rsid w:val="008969B8"/>
    <w:rsid w:val="00896AAF"/>
    <w:rsid w:val="00896D66"/>
    <w:rsid w:val="008A0F73"/>
    <w:rsid w:val="008A1820"/>
    <w:rsid w:val="008A362B"/>
    <w:rsid w:val="008A46E1"/>
    <w:rsid w:val="008A4847"/>
    <w:rsid w:val="008A4F43"/>
    <w:rsid w:val="008A5607"/>
    <w:rsid w:val="008A64DD"/>
    <w:rsid w:val="008B004E"/>
    <w:rsid w:val="008B01EE"/>
    <w:rsid w:val="008B0AE4"/>
    <w:rsid w:val="008B24BD"/>
    <w:rsid w:val="008B2706"/>
    <w:rsid w:val="008B4708"/>
    <w:rsid w:val="008B5715"/>
    <w:rsid w:val="008B7311"/>
    <w:rsid w:val="008B76F9"/>
    <w:rsid w:val="008B779D"/>
    <w:rsid w:val="008C0F29"/>
    <w:rsid w:val="008C23AA"/>
    <w:rsid w:val="008C2663"/>
    <w:rsid w:val="008C286E"/>
    <w:rsid w:val="008C2C04"/>
    <w:rsid w:val="008C3CAF"/>
    <w:rsid w:val="008C3EEC"/>
    <w:rsid w:val="008C4AE5"/>
    <w:rsid w:val="008C5862"/>
    <w:rsid w:val="008C5C82"/>
    <w:rsid w:val="008C5E7A"/>
    <w:rsid w:val="008C6141"/>
    <w:rsid w:val="008C6ED3"/>
    <w:rsid w:val="008C7241"/>
    <w:rsid w:val="008C752A"/>
    <w:rsid w:val="008C7F66"/>
    <w:rsid w:val="008D0C3D"/>
    <w:rsid w:val="008D0ECB"/>
    <w:rsid w:val="008D0EE0"/>
    <w:rsid w:val="008D1731"/>
    <w:rsid w:val="008D1EC1"/>
    <w:rsid w:val="008D2D0E"/>
    <w:rsid w:val="008D3422"/>
    <w:rsid w:val="008D372E"/>
    <w:rsid w:val="008D611B"/>
    <w:rsid w:val="008E290E"/>
    <w:rsid w:val="008E2CA0"/>
    <w:rsid w:val="008E4209"/>
    <w:rsid w:val="008E6067"/>
    <w:rsid w:val="008E6763"/>
    <w:rsid w:val="008E6B7C"/>
    <w:rsid w:val="008E7897"/>
    <w:rsid w:val="008E7F8F"/>
    <w:rsid w:val="008F09C8"/>
    <w:rsid w:val="008F38C4"/>
    <w:rsid w:val="008F3AFD"/>
    <w:rsid w:val="008F54E7"/>
    <w:rsid w:val="008F7B95"/>
    <w:rsid w:val="00903422"/>
    <w:rsid w:val="00904DC5"/>
    <w:rsid w:val="00907097"/>
    <w:rsid w:val="00907AD2"/>
    <w:rsid w:val="00913F0B"/>
    <w:rsid w:val="00914071"/>
    <w:rsid w:val="009157B9"/>
    <w:rsid w:val="00915891"/>
    <w:rsid w:val="00915DF9"/>
    <w:rsid w:val="00916DCA"/>
    <w:rsid w:val="0092046D"/>
    <w:rsid w:val="00921949"/>
    <w:rsid w:val="009232C9"/>
    <w:rsid w:val="009235FB"/>
    <w:rsid w:val="0092387C"/>
    <w:rsid w:val="0092458D"/>
    <w:rsid w:val="00924E43"/>
    <w:rsid w:val="009254C3"/>
    <w:rsid w:val="00925CF5"/>
    <w:rsid w:val="0092661C"/>
    <w:rsid w:val="00930348"/>
    <w:rsid w:val="00930415"/>
    <w:rsid w:val="00930A0A"/>
    <w:rsid w:val="00932212"/>
    <w:rsid w:val="00932361"/>
    <w:rsid w:val="00932377"/>
    <w:rsid w:val="00932855"/>
    <w:rsid w:val="009335FD"/>
    <w:rsid w:val="00933C27"/>
    <w:rsid w:val="009345EA"/>
    <w:rsid w:val="009363A1"/>
    <w:rsid w:val="00936464"/>
    <w:rsid w:val="009409A3"/>
    <w:rsid w:val="00942303"/>
    <w:rsid w:val="00945444"/>
    <w:rsid w:val="00945A39"/>
    <w:rsid w:val="00946124"/>
    <w:rsid w:val="00946238"/>
    <w:rsid w:val="009474C0"/>
    <w:rsid w:val="00947B33"/>
    <w:rsid w:val="00947D5A"/>
    <w:rsid w:val="009532A5"/>
    <w:rsid w:val="00953878"/>
    <w:rsid w:val="00954FD6"/>
    <w:rsid w:val="0095528E"/>
    <w:rsid w:val="00956496"/>
    <w:rsid w:val="00957D05"/>
    <w:rsid w:val="0096086E"/>
    <w:rsid w:val="00960FF3"/>
    <w:rsid w:val="00961349"/>
    <w:rsid w:val="00961595"/>
    <w:rsid w:val="00962104"/>
    <w:rsid w:val="00962120"/>
    <w:rsid w:val="00962708"/>
    <w:rsid w:val="0096313C"/>
    <w:rsid w:val="009639B0"/>
    <w:rsid w:val="00965410"/>
    <w:rsid w:val="00965675"/>
    <w:rsid w:val="00966776"/>
    <w:rsid w:val="00966C19"/>
    <w:rsid w:val="00967272"/>
    <w:rsid w:val="0096753E"/>
    <w:rsid w:val="0097152F"/>
    <w:rsid w:val="00971CC3"/>
    <w:rsid w:val="0097526B"/>
    <w:rsid w:val="00975D88"/>
    <w:rsid w:val="0098018D"/>
    <w:rsid w:val="0098029E"/>
    <w:rsid w:val="00982242"/>
    <w:rsid w:val="00983BD3"/>
    <w:rsid w:val="00983FE8"/>
    <w:rsid w:val="00985683"/>
    <w:rsid w:val="009868E9"/>
    <w:rsid w:val="009878F1"/>
    <w:rsid w:val="00990D59"/>
    <w:rsid w:val="00991F10"/>
    <w:rsid w:val="00992B52"/>
    <w:rsid w:val="009938AB"/>
    <w:rsid w:val="0099394E"/>
    <w:rsid w:val="009944E6"/>
    <w:rsid w:val="0099459D"/>
    <w:rsid w:val="009947F9"/>
    <w:rsid w:val="00995CBB"/>
    <w:rsid w:val="00995FFF"/>
    <w:rsid w:val="00996728"/>
    <w:rsid w:val="00996868"/>
    <w:rsid w:val="00996FAB"/>
    <w:rsid w:val="009A03A1"/>
    <w:rsid w:val="009A0622"/>
    <w:rsid w:val="009A1D75"/>
    <w:rsid w:val="009A3AE8"/>
    <w:rsid w:val="009A49C9"/>
    <w:rsid w:val="009A4ADF"/>
    <w:rsid w:val="009A569E"/>
    <w:rsid w:val="009A7338"/>
    <w:rsid w:val="009B1510"/>
    <w:rsid w:val="009B3C04"/>
    <w:rsid w:val="009B669D"/>
    <w:rsid w:val="009B69D4"/>
    <w:rsid w:val="009B7480"/>
    <w:rsid w:val="009C68F5"/>
    <w:rsid w:val="009C7C47"/>
    <w:rsid w:val="009C7CF2"/>
    <w:rsid w:val="009D1818"/>
    <w:rsid w:val="009D2CA1"/>
    <w:rsid w:val="009D2DC3"/>
    <w:rsid w:val="009D4DAC"/>
    <w:rsid w:val="009D68FF"/>
    <w:rsid w:val="009D74A7"/>
    <w:rsid w:val="009D7EB3"/>
    <w:rsid w:val="009E085E"/>
    <w:rsid w:val="009E09D9"/>
    <w:rsid w:val="009E0AE2"/>
    <w:rsid w:val="009E0B05"/>
    <w:rsid w:val="009E1A2B"/>
    <w:rsid w:val="009E2689"/>
    <w:rsid w:val="009E3054"/>
    <w:rsid w:val="009E5CFC"/>
    <w:rsid w:val="009E6785"/>
    <w:rsid w:val="009E7727"/>
    <w:rsid w:val="009F0047"/>
    <w:rsid w:val="009F4470"/>
    <w:rsid w:val="009F5F13"/>
    <w:rsid w:val="009F6828"/>
    <w:rsid w:val="009F7DA5"/>
    <w:rsid w:val="00A00CF8"/>
    <w:rsid w:val="00A03088"/>
    <w:rsid w:val="00A0322C"/>
    <w:rsid w:val="00A03855"/>
    <w:rsid w:val="00A056DD"/>
    <w:rsid w:val="00A079CB"/>
    <w:rsid w:val="00A100E5"/>
    <w:rsid w:val="00A11667"/>
    <w:rsid w:val="00A11D19"/>
    <w:rsid w:val="00A12128"/>
    <w:rsid w:val="00A12F48"/>
    <w:rsid w:val="00A15512"/>
    <w:rsid w:val="00A16875"/>
    <w:rsid w:val="00A1721A"/>
    <w:rsid w:val="00A20FCE"/>
    <w:rsid w:val="00A21268"/>
    <w:rsid w:val="00A22C98"/>
    <w:rsid w:val="00A231E2"/>
    <w:rsid w:val="00A23FE5"/>
    <w:rsid w:val="00A24223"/>
    <w:rsid w:val="00A25A3F"/>
    <w:rsid w:val="00A25F01"/>
    <w:rsid w:val="00A26E1C"/>
    <w:rsid w:val="00A3036F"/>
    <w:rsid w:val="00A32106"/>
    <w:rsid w:val="00A32DE9"/>
    <w:rsid w:val="00A33D55"/>
    <w:rsid w:val="00A35F39"/>
    <w:rsid w:val="00A36811"/>
    <w:rsid w:val="00A37AD7"/>
    <w:rsid w:val="00A40424"/>
    <w:rsid w:val="00A40F41"/>
    <w:rsid w:val="00A446B5"/>
    <w:rsid w:val="00A457B9"/>
    <w:rsid w:val="00A4633E"/>
    <w:rsid w:val="00A46F06"/>
    <w:rsid w:val="00A507E8"/>
    <w:rsid w:val="00A51ECC"/>
    <w:rsid w:val="00A52B0F"/>
    <w:rsid w:val="00A540FF"/>
    <w:rsid w:val="00A55AC8"/>
    <w:rsid w:val="00A5632E"/>
    <w:rsid w:val="00A6081D"/>
    <w:rsid w:val="00A609AA"/>
    <w:rsid w:val="00A6118C"/>
    <w:rsid w:val="00A6169A"/>
    <w:rsid w:val="00A61DC1"/>
    <w:rsid w:val="00A62064"/>
    <w:rsid w:val="00A627A1"/>
    <w:rsid w:val="00A6334C"/>
    <w:rsid w:val="00A64912"/>
    <w:rsid w:val="00A65351"/>
    <w:rsid w:val="00A66E01"/>
    <w:rsid w:val="00A70A74"/>
    <w:rsid w:val="00A70EFB"/>
    <w:rsid w:val="00A734EF"/>
    <w:rsid w:val="00A77511"/>
    <w:rsid w:val="00A77F26"/>
    <w:rsid w:val="00A77FB8"/>
    <w:rsid w:val="00A800A8"/>
    <w:rsid w:val="00A80B0B"/>
    <w:rsid w:val="00A818F0"/>
    <w:rsid w:val="00A822E3"/>
    <w:rsid w:val="00A829F5"/>
    <w:rsid w:val="00A83239"/>
    <w:rsid w:val="00A8630C"/>
    <w:rsid w:val="00A907FB"/>
    <w:rsid w:val="00A90DF9"/>
    <w:rsid w:val="00A91966"/>
    <w:rsid w:val="00A92EA9"/>
    <w:rsid w:val="00A950C5"/>
    <w:rsid w:val="00A97A94"/>
    <w:rsid w:val="00AA145F"/>
    <w:rsid w:val="00AA146E"/>
    <w:rsid w:val="00AA3DDF"/>
    <w:rsid w:val="00AA4CE9"/>
    <w:rsid w:val="00AA66AC"/>
    <w:rsid w:val="00AA671D"/>
    <w:rsid w:val="00AB0218"/>
    <w:rsid w:val="00AB0B93"/>
    <w:rsid w:val="00AB1277"/>
    <w:rsid w:val="00AB1996"/>
    <w:rsid w:val="00AB29DF"/>
    <w:rsid w:val="00AB4F67"/>
    <w:rsid w:val="00AB77D3"/>
    <w:rsid w:val="00AC0886"/>
    <w:rsid w:val="00AC0C28"/>
    <w:rsid w:val="00AC18B1"/>
    <w:rsid w:val="00AC3E7B"/>
    <w:rsid w:val="00AC4EC6"/>
    <w:rsid w:val="00AC5AFD"/>
    <w:rsid w:val="00AD1A75"/>
    <w:rsid w:val="00AD2B18"/>
    <w:rsid w:val="00AD2DF3"/>
    <w:rsid w:val="00AD2F56"/>
    <w:rsid w:val="00AD3054"/>
    <w:rsid w:val="00AD4404"/>
    <w:rsid w:val="00AD4B89"/>
    <w:rsid w:val="00AD5315"/>
    <w:rsid w:val="00AD5641"/>
    <w:rsid w:val="00AD587F"/>
    <w:rsid w:val="00AD74DB"/>
    <w:rsid w:val="00AD7533"/>
    <w:rsid w:val="00AD7889"/>
    <w:rsid w:val="00AD7F47"/>
    <w:rsid w:val="00AE0017"/>
    <w:rsid w:val="00AE2214"/>
    <w:rsid w:val="00AE4A82"/>
    <w:rsid w:val="00AE5E99"/>
    <w:rsid w:val="00AE7708"/>
    <w:rsid w:val="00AE7D81"/>
    <w:rsid w:val="00AF021B"/>
    <w:rsid w:val="00AF06CF"/>
    <w:rsid w:val="00AF07E3"/>
    <w:rsid w:val="00AF0FBA"/>
    <w:rsid w:val="00AF1677"/>
    <w:rsid w:val="00AF372F"/>
    <w:rsid w:val="00AF4203"/>
    <w:rsid w:val="00AF4278"/>
    <w:rsid w:val="00AF42FA"/>
    <w:rsid w:val="00AF50DC"/>
    <w:rsid w:val="00AF5472"/>
    <w:rsid w:val="00AF59E4"/>
    <w:rsid w:val="00AF5A5E"/>
    <w:rsid w:val="00AF7470"/>
    <w:rsid w:val="00B02175"/>
    <w:rsid w:val="00B027FC"/>
    <w:rsid w:val="00B03628"/>
    <w:rsid w:val="00B050CC"/>
    <w:rsid w:val="00B0518E"/>
    <w:rsid w:val="00B066F3"/>
    <w:rsid w:val="00B069A5"/>
    <w:rsid w:val="00B0728A"/>
    <w:rsid w:val="00B07CDB"/>
    <w:rsid w:val="00B11928"/>
    <w:rsid w:val="00B1278A"/>
    <w:rsid w:val="00B152B7"/>
    <w:rsid w:val="00B156BC"/>
    <w:rsid w:val="00B16067"/>
    <w:rsid w:val="00B16A31"/>
    <w:rsid w:val="00B16E3E"/>
    <w:rsid w:val="00B17DFD"/>
    <w:rsid w:val="00B21431"/>
    <w:rsid w:val="00B21653"/>
    <w:rsid w:val="00B243BA"/>
    <w:rsid w:val="00B26E99"/>
    <w:rsid w:val="00B2760E"/>
    <w:rsid w:val="00B2799D"/>
    <w:rsid w:val="00B3010B"/>
    <w:rsid w:val="00B308FE"/>
    <w:rsid w:val="00B331EA"/>
    <w:rsid w:val="00B33709"/>
    <w:rsid w:val="00B33B3C"/>
    <w:rsid w:val="00B43151"/>
    <w:rsid w:val="00B453BF"/>
    <w:rsid w:val="00B46C19"/>
    <w:rsid w:val="00B50747"/>
    <w:rsid w:val="00B50ADC"/>
    <w:rsid w:val="00B50DBB"/>
    <w:rsid w:val="00B51295"/>
    <w:rsid w:val="00B51644"/>
    <w:rsid w:val="00B5186D"/>
    <w:rsid w:val="00B523B9"/>
    <w:rsid w:val="00B551CB"/>
    <w:rsid w:val="00B551E8"/>
    <w:rsid w:val="00B556D3"/>
    <w:rsid w:val="00B566B1"/>
    <w:rsid w:val="00B56DEA"/>
    <w:rsid w:val="00B57317"/>
    <w:rsid w:val="00B5751D"/>
    <w:rsid w:val="00B57B71"/>
    <w:rsid w:val="00B57D94"/>
    <w:rsid w:val="00B60A84"/>
    <w:rsid w:val="00B61B2D"/>
    <w:rsid w:val="00B61DC8"/>
    <w:rsid w:val="00B61EC2"/>
    <w:rsid w:val="00B63679"/>
    <w:rsid w:val="00B637B8"/>
    <w:rsid w:val="00B63834"/>
    <w:rsid w:val="00B63863"/>
    <w:rsid w:val="00B644FF"/>
    <w:rsid w:val="00B64A2F"/>
    <w:rsid w:val="00B6568A"/>
    <w:rsid w:val="00B66D83"/>
    <w:rsid w:val="00B70415"/>
    <w:rsid w:val="00B705E7"/>
    <w:rsid w:val="00B7094C"/>
    <w:rsid w:val="00B722DB"/>
    <w:rsid w:val="00B726F6"/>
    <w:rsid w:val="00B72734"/>
    <w:rsid w:val="00B729CA"/>
    <w:rsid w:val="00B74EA8"/>
    <w:rsid w:val="00B75538"/>
    <w:rsid w:val="00B75B64"/>
    <w:rsid w:val="00B76F12"/>
    <w:rsid w:val="00B776F7"/>
    <w:rsid w:val="00B77907"/>
    <w:rsid w:val="00B80199"/>
    <w:rsid w:val="00B82D81"/>
    <w:rsid w:val="00B83204"/>
    <w:rsid w:val="00B83D64"/>
    <w:rsid w:val="00B85325"/>
    <w:rsid w:val="00B86C07"/>
    <w:rsid w:val="00B9328D"/>
    <w:rsid w:val="00B93797"/>
    <w:rsid w:val="00B93B80"/>
    <w:rsid w:val="00B96B9E"/>
    <w:rsid w:val="00B96D87"/>
    <w:rsid w:val="00BA220B"/>
    <w:rsid w:val="00BA2700"/>
    <w:rsid w:val="00BA2950"/>
    <w:rsid w:val="00BA2AA6"/>
    <w:rsid w:val="00BA3A57"/>
    <w:rsid w:val="00BA52C7"/>
    <w:rsid w:val="00BA7A1A"/>
    <w:rsid w:val="00BB1917"/>
    <w:rsid w:val="00BB1F09"/>
    <w:rsid w:val="00BB208C"/>
    <w:rsid w:val="00BB2203"/>
    <w:rsid w:val="00BB4584"/>
    <w:rsid w:val="00BB4E1A"/>
    <w:rsid w:val="00BB5C17"/>
    <w:rsid w:val="00BB6B59"/>
    <w:rsid w:val="00BB7585"/>
    <w:rsid w:val="00BC015E"/>
    <w:rsid w:val="00BC01DC"/>
    <w:rsid w:val="00BC078F"/>
    <w:rsid w:val="00BC0CF3"/>
    <w:rsid w:val="00BC22C2"/>
    <w:rsid w:val="00BC7183"/>
    <w:rsid w:val="00BC76AC"/>
    <w:rsid w:val="00BD0ECB"/>
    <w:rsid w:val="00BD1204"/>
    <w:rsid w:val="00BD1E2F"/>
    <w:rsid w:val="00BD3AEF"/>
    <w:rsid w:val="00BD3B9E"/>
    <w:rsid w:val="00BD3BB7"/>
    <w:rsid w:val="00BD6190"/>
    <w:rsid w:val="00BD7521"/>
    <w:rsid w:val="00BE0CC1"/>
    <w:rsid w:val="00BE19D3"/>
    <w:rsid w:val="00BE2155"/>
    <w:rsid w:val="00BE2213"/>
    <w:rsid w:val="00BE345C"/>
    <w:rsid w:val="00BE4E6C"/>
    <w:rsid w:val="00BE4EA0"/>
    <w:rsid w:val="00BE5DF7"/>
    <w:rsid w:val="00BE719A"/>
    <w:rsid w:val="00BE720A"/>
    <w:rsid w:val="00BF0056"/>
    <w:rsid w:val="00BF0D73"/>
    <w:rsid w:val="00BF2465"/>
    <w:rsid w:val="00BF411A"/>
    <w:rsid w:val="00BF53AB"/>
    <w:rsid w:val="00BF5BFF"/>
    <w:rsid w:val="00BF61A1"/>
    <w:rsid w:val="00BF62ED"/>
    <w:rsid w:val="00BF75C9"/>
    <w:rsid w:val="00BF7DCA"/>
    <w:rsid w:val="00C00E56"/>
    <w:rsid w:val="00C011ED"/>
    <w:rsid w:val="00C01761"/>
    <w:rsid w:val="00C02405"/>
    <w:rsid w:val="00C02D44"/>
    <w:rsid w:val="00C03470"/>
    <w:rsid w:val="00C0507D"/>
    <w:rsid w:val="00C0544A"/>
    <w:rsid w:val="00C06FDD"/>
    <w:rsid w:val="00C07BD6"/>
    <w:rsid w:val="00C11452"/>
    <w:rsid w:val="00C12968"/>
    <w:rsid w:val="00C12FBC"/>
    <w:rsid w:val="00C12FCB"/>
    <w:rsid w:val="00C142DF"/>
    <w:rsid w:val="00C14423"/>
    <w:rsid w:val="00C15941"/>
    <w:rsid w:val="00C21630"/>
    <w:rsid w:val="00C22264"/>
    <w:rsid w:val="00C2282F"/>
    <w:rsid w:val="00C259A9"/>
    <w:rsid w:val="00C25C80"/>
    <w:rsid w:val="00C25E7F"/>
    <w:rsid w:val="00C266B5"/>
    <w:rsid w:val="00C2746F"/>
    <w:rsid w:val="00C30166"/>
    <w:rsid w:val="00C324A0"/>
    <w:rsid w:val="00C3300F"/>
    <w:rsid w:val="00C33145"/>
    <w:rsid w:val="00C34834"/>
    <w:rsid w:val="00C35875"/>
    <w:rsid w:val="00C36A52"/>
    <w:rsid w:val="00C36D2F"/>
    <w:rsid w:val="00C373F3"/>
    <w:rsid w:val="00C40B93"/>
    <w:rsid w:val="00C42034"/>
    <w:rsid w:val="00C426D8"/>
    <w:rsid w:val="00C42BF8"/>
    <w:rsid w:val="00C42E38"/>
    <w:rsid w:val="00C43D29"/>
    <w:rsid w:val="00C43E6A"/>
    <w:rsid w:val="00C444E4"/>
    <w:rsid w:val="00C45171"/>
    <w:rsid w:val="00C467B2"/>
    <w:rsid w:val="00C50043"/>
    <w:rsid w:val="00C502C8"/>
    <w:rsid w:val="00C50B97"/>
    <w:rsid w:val="00C528E5"/>
    <w:rsid w:val="00C54046"/>
    <w:rsid w:val="00C548F4"/>
    <w:rsid w:val="00C55C15"/>
    <w:rsid w:val="00C56611"/>
    <w:rsid w:val="00C5696D"/>
    <w:rsid w:val="00C56F49"/>
    <w:rsid w:val="00C61869"/>
    <w:rsid w:val="00C62B49"/>
    <w:rsid w:val="00C630B5"/>
    <w:rsid w:val="00C63D20"/>
    <w:rsid w:val="00C63E67"/>
    <w:rsid w:val="00C63F5C"/>
    <w:rsid w:val="00C640AA"/>
    <w:rsid w:val="00C6434E"/>
    <w:rsid w:val="00C643DC"/>
    <w:rsid w:val="00C64916"/>
    <w:rsid w:val="00C654B5"/>
    <w:rsid w:val="00C6640C"/>
    <w:rsid w:val="00C667C3"/>
    <w:rsid w:val="00C70CA8"/>
    <w:rsid w:val="00C710CB"/>
    <w:rsid w:val="00C7218A"/>
    <w:rsid w:val="00C73213"/>
    <w:rsid w:val="00C734B3"/>
    <w:rsid w:val="00C7573B"/>
    <w:rsid w:val="00C76DA0"/>
    <w:rsid w:val="00C80E08"/>
    <w:rsid w:val="00C83831"/>
    <w:rsid w:val="00C83F83"/>
    <w:rsid w:val="00C84231"/>
    <w:rsid w:val="00C8575A"/>
    <w:rsid w:val="00C8619A"/>
    <w:rsid w:val="00C90C45"/>
    <w:rsid w:val="00C910FA"/>
    <w:rsid w:val="00C919F5"/>
    <w:rsid w:val="00C91EB0"/>
    <w:rsid w:val="00C92BAA"/>
    <w:rsid w:val="00C92CFE"/>
    <w:rsid w:val="00C93C03"/>
    <w:rsid w:val="00C95362"/>
    <w:rsid w:val="00C953EE"/>
    <w:rsid w:val="00C96308"/>
    <w:rsid w:val="00CA08E7"/>
    <w:rsid w:val="00CA0F6F"/>
    <w:rsid w:val="00CA1112"/>
    <w:rsid w:val="00CA1699"/>
    <w:rsid w:val="00CA26E1"/>
    <w:rsid w:val="00CA3430"/>
    <w:rsid w:val="00CA3A25"/>
    <w:rsid w:val="00CA66DC"/>
    <w:rsid w:val="00CA707E"/>
    <w:rsid w:val="00CA77C5"/>
    <w:rsid w:val="00CA7F60"/>
    <w:rsid w:val="00CB0B31"/>
    <w:rsid w:val="00CB0F1D"/>
    <w:rsid w:val="00CB2C8E"/>
    <w:rsid w:val="00CB3B7D"/>
    <w:rsid w:val="00CB5049"/>
    <w:rsid w:val="00CB515F"/>
    <w:rsid w:val="00CB602E"/>
    <w:rsid w:val="00CB62D9"/>
    <w:rsid w:val="00CB7512"/>
    <w:rsid w:val="00CC085C"/>
    <w:rsid w:val="00CC1828"/>
    <w:rsid w:val="00CC1DDB"/>
    <w:rsid w:val="00CC3340"/>
    <w:rsid w:val="00CC46C2"/>
    <w:rsid w:val="00CC4EDB"/>
    <w:rsid w:val="00CC5379"/>
    <w:rsid w:val="00CC5D05"/>
    <w:rsid w:val="00CC6B16"/>
    <w:rsid w:val="00CC6EA0"/>
    <w:rsid w:val="00CC7A74"/>
    <w:rsid w:val="00CD225C"/>
    <w:rsid w:val="00CD273C"/>
    <w:rsid w:val="00CD2E90"/>
    <w:rsid w:val="00CD6AF3"/>
    <w:rsid w:val="00CE051D"/>
    <w:rsid w:val="00CE0C8A"/>
    <w:rsid w:val="00CE1097"/>
    <w:rsid w:val="00CE1148"/>
    <w:rsid w:val="00CE1335"/>
    <w:rsid w:val="00CE1EA9"/>
    <w:rsid w:val="00CE2962"/>
    <w:rsid w:val="00CE3D2A"/>
    <w:rsid w:val="00CE4532"/>
    <w:rsid w:val="00CE493D"/>
    <w:rsid w:val="00CE6185"/>
    <w:rsid w:val="00CE6C4B"/>
    <w:rsid w:val="00CE7975"/>
    <w:rsid w:val="00CF07FA"/>
    <w:rsid w:val="00CF0BB2"/>
    <w:rsid w:val="00CF2CAF"/>
    <w:rsid w:val="00CF3A61"/>
    <w:rsid w:val="00CF3B7B"/>
    <w:rsid w:val="00CF3EE8"/>
    <w:rsid w:val="00CF3FD2"/>
    <w:rsid w:val="00CF4EF7"/>
    <w:rsid w:val="00CF6D23"/>
    <w:rsid w:val="00CF70FC"/>
    <w:rsid w:val="00D00541"/>
    <w:rsid w:val="00D0077D"/>
    <w:rsid w:val="00D00B8C"/>
    <w:rsid w:val="00D01266"/>
    <w:rsid w:val="00D02647"/>
    <w:rsid w:val="00D050E6"/>
    <w:rsid w:val="00D12087"/>
    <w:rsid w:val="00D12A82"/>
    <w:rsid w:val="00D133C1"/>
    <w:rsid w:val="00D13441"/>
    <w:rsid w:val="00D150E7"/>
    <w:rsid w:val="00D155E3"/>
    <w:rsid w:val="00D166A4"/>
    <w:rsid w:val="00D20AD4"/>
    <w:rsid w:val="00D23C01"/>
    <w:rsid w:val="00D25315"/>
    <w:rsid w:val="00D2723B"/>
    <w:rsid w:val="00D279B3"/>
    <w:rsid w:val="00D27CD8"/>
    <w:rsid w:val="00D3090E"/>
    <w:rsid w:val="00D30B9F"/>
    <w:rsid w:val="00D31813"/>
    <w:rsid w:val="00D32F65"/>
    <w:rsid w:val="00D33A39"/>
    <w:rsid w:val="00D341C4"/>
    <w:rsid w:val="00D3485A"/>
    <w:rsid w:val="00D371B3"/>
    <w:rsid w:val="00D374AC"/>
    <w:rsid w:val="00D41534"/>
    <w:rsid w:val="00D419C6"/>
    <w:rsid w:val="00D42785"/>
    <w:rsid w:val="00D440B5"/>
    <w:rsid w:val="00D44EEA"/>
    <w:rsid w:val="00D46CB0"/>
    <w:rsid w:val="00D46F2A"/>
    <w:rsid w:val="00D50B96"/>
    <w:rsid w:val="00D51433"/>
    <w:rsid w:val="00D515AC"/>
    <w:rsid w:val="00D52AFB"/>
    <w:rsid w:val="00D52DC2"/>
    <w:rsid w:val="00D53458"/>
    <w:rsid w:val="00D53BCC"/>
    <w:rsid w:val="00D53D5D"/>
    <w:rsid w:val="00D53E86"/>
    <w:rsid w:val="00D541B7"/>
    <w:rsid w:val="00D54C49"/>
    <w:rsid w:val="00D571AC"/>
    <w:rsid w:val="00D572A2"/>
    <w:rsid w:val="00D575F9"/>
    <w:rsid w:val="00D57794"/>
    <w:rsid w:val="00D62A5B"/>
    <w:rsid w:val="00D630E2"/>
    <w:rsid w:val="00D63E6F"/>
    <w:rsid w:val="00D64B6E"/>
    <w:rsid w:val="00D65811"/>
    <w:rsid w:val="00D66303"/>
    <w:rsid w:val="00D67BA9"/>
    <w:rsid w:val="00D702DE"/>
    <w:rsid w:val="00D70DFB"/>
    <w:rsid w:val="00D72064"/>
    <w:rsid w:val="00D72857"/>
    <w:rsid w:val="00D73C22"/>
    <w:rsid w:val="00D74F7C"/>
    <w:rsid w:val="00D7567C"/>
    <w:rsid w:val="00D757C2"/>
    <w:rsid w:val="00D757C3"/>
    <w:rsid w:val="00D766DF"/>
    <w:rsid w:val="00D80964"/>
    <w:rsid w:val="00D81493"/>
    <w:rsid w:val="00D82E1C"/>
    <w:rsid w:val="00D8311B"/>
    <w:rsid w:val="00D8583D"/>
    <w:rsid w:val="00D86081"/>
    <w:rsid w:val="00D8681C"/>
    <w:rsid w:val="00D87310"/>
    <w:rsid w:val="00D87D79"/>
    <w:rsid w:val="00D90543"/>
    <w:rsid w:val="00D93801"/>
    <w:rsid w:val="00D94A4C"/>
    <w:rsid w:val="00D94A80"/>
    <w:rsid w:val="00D94CD0"/>
    <w:rsid w:val="00D95856"/>
    <w:rsid w:val="00DA0652"/>
    <w:rsid w:val="00DA0FF4"/>
    <w:rsid w:val="00DA186E"/>
    <w:rsid w:val="00DA4116"/>
    <w:rsid w:val="00DA41D5"/>
    <w:rsid w:val="00DA4396"/>
    <w:rsid w:val="00DA4A07"/>
    <w:rsid w:val="00DA4C12"/>
    <w:rsid w:val="00DA5678"/>
    <w:rsid w:val="00DA7382"/>
    <w:rsid w:val="00DA7B63"/>
    <w:rsid w:val="00DB1D3B"/>
    <w:rsid w:val="00DB251C"/>
    <w:rsid w:val="00DB2558"/>
    <w:rsid w:val="00DB2958"/>
    <w:rsid w:val="00DB38AD"/>
    <w:rsid w:val="00DB4630"/>
    <w:rsid w:val="00DB5678"/>
    <w:rsid w:val="00DB5DBA"/>
    <w:rsid w:val="00DB6D81"/>
    <w:rsid w:val="00DB7B8C"/>
    <w:rsid w:val="00DB7E90"/>
    <w:rsid w:val="00DC0916"/>
    <w:rsid w:val="00DC0C55"/>
    <w:rsid w:val="00DC0E9C"/>
    <w:rsid w:val="00DC1C94"/>
    <w:rsid w:val="00DC4445"/>
    <w:rsid w:val="00DC4831"/>
    <w:rsid w:val="00DC4F88"/>
    <w:rsid w:val="00DC51D7"/>
    <w:rsid w:val="00DC7554"/>
    <w:rsid w:val="00DD18FC"/>
    <w:rsid w:val="00DD285C"/>
    <w:rsid w:val="00DD3185"/>
    <w:rsid w:val="00DD3595"/>
    <w:rsid w:val="00DD369B"/>
    <w:rsid w:val="00DD5246"/>
    <w:rsid w:val="00DE1298"/>
    <w:rsid w:val="00DE12B3"/>
    <w:rsid w:val="00DE140A"/>
    <w:rsid w:val="00DE3C46"/>
    <w:rsid w:val="00DE469A"/>
    <w:rsid w:val="00DE4CE3"/>
    <w:rsid w:val="00DE623D"/>
    <w:rsid w:val="00DE79F9"/>
    <w:rsid w:val="00DE7B3B"/>
    <w:rsid w:val="00DF04B0"/>
    <w:rsid w:val="00DF1D06"/>
    <w:rsid w:val="00DF67DE"/>
    <w:rsid w:val="00E00119"/>
    <w:rsid w:val="00E0158C"/>
    <w:rsid w:val="00E02BC6"/>
    <w:rsid w:val="00E05704"/>
    <w:rsid w:val="00E05885"/>
    <w:rsid w:val="00E06276"/>
    <w:rsid w:val="00E06584"/>
    <w:rsid w:val="00E06CC3"/>
    <w:rsid w:val="00E0760D"/>
    <w:rsid w:val="00E10065"/>
    <w:rsid w:val="00E11E44"/>
    <w:rsid w:val="00E13AFA"/>
    <w:rsid w:val="00E13B61"/>
    <w:rsid w:val="00E1459C"/>
    <w:rsid w:val="00E14A93"/>
    <w:rsid w:val="00E1513D"/>
    <w:rsid w:val="00E16692"/>
    <w:rsid w:val="00E2168B"/>
    <w:rsid w:val="00E21746"/>
    <w:rsid w:val="00E21CA9"/>
    <w:rsid w:val="00E21F03"/>
    <w:rsid w:val="00E3070F"/>
    <w:rsid w:val="00E30CE1"/>
    <w:rsid w:val="00E31299"/>
    <w:rsid w:val="00E338EF"/>
    <w:rsid w:val="00E40FF8"/>
    <w:rsid w:val="00E42E75"/>
    <w:rsid w:val="00E42EDA"/>
    <w:rsid w:val="00E44619"/>
    <w:rsid w:val="00E44D48"/>
    <w:rsid w:val="00E44E76"/>
    <w:rsid w:val="00E45353"/>
    <w:rsid w:val="00E45774"/>
    <w:rsid w:val="00E45B9A"/>
    <w:rsid w:val="00E460B9"/>
    <w:rsid w:val="00E50FCF"/>
    <w:rsid w:val="00E5207A"/>
    <w:rsid w:val="00E52E00"/>
    <w:rsid w:val="00E544BB"/>
    <w:rsid w:val="00E55BC2"/>
    <w:rsid w:val="00E5619D"/>
    <w:rsid w:val="00E578EC"/>
    <w:rsid w:val="00E60423"/>
    <w:rsid w:val="00E61125"/>
    <w:rsid w:val="00E61465"/>
    <w:rsid w:val="00E62E5E"/>
    <w:rsid w:val="00E6550C"/>
    <w:rsid w:val="00E662CB"/>
    <w:rsid w:val="00E70536"/>
    <w:rsid w:val="00E74DC7"/>
    <w:rsid w:val="00E7529D"/>
    <w:rsid w:val="00E75866"/>
    <w:rsid w:val="00E763DA"/>
    <w:rsid w:val="00E8075A"/>
    <w:rsid w:val="00E818A6"/>
    <w:rsid w:val="00E82E33"/>
    <w:rsid w:val="00E83E14"/>
    <w:rsid w:val="00E841AA"/>
    <w:rsid w:val="00E86920"/>
    <w:rsid w:val="00E87C7C"/>
    <w:rsid w:val="00E912A2"/>
    <w:rsid w:val="00E913D1"/>
    <w:rsid w:val="00E9142C"/>
    <w:rsid w:val="00E9179E"/>
    <w:rsid w:val="00E925E5"/>
    <w:rsid w:val="00E92677"/>
    <w:rsid w:val="00E9449A"/>
    <w:rsid w:val="00E94D5E"/>
    <w:rsid w:val="00E9612D"/>
    <w:rsid w:val="00E96348"/>
    <w:rsid w:val="00E970CF"/>
    <w:rsid w:val="00E97664"/>
    <w:rsid w:val="00EA090D"/>
    <w:rsid w:val="00EA0DA1"/>
    <w:rsid w:val="00EA102A"/>
    <w:rsid w:val="00EA3C29"/>
    <w:rsid w:val="00EA4FB7"/>
    <w:rsid w:val="00EA7100"/>
    <w:rsid w:val="00EA7F9F"/>
    <w:rsid w:val="00EB1274"/>
    <w:rsid w:val="00EB3064"/>
    <w:rsid w:val="00EB366B"/>
    <w:rsid w:val="00EB51AE"/>
    <w:rsid w:val="00EB51F0"/>
    <w:rsid w:val="00EB51F4"/>
    <w:rsid w:val="00EB5E42"/>
    <w:rsid w:val="00EB63CD"/>
    <w:rsid w:val="00EC2004"/>
    <w:rsid w:val="00EC2124"/>
    <w:rsid w:val="00EC2ADD"/>
    <w:rsid w:val="00EC2D64"/>
    <w:rsid w:val="00EC40B7"/>
    <w:rsid w:val="00EC4718"/>
    <w:rsid w:val="00EC4757"/>
    <w:rsid w:val="00EC7EDB"/>
    <w:rsid w:val="00ED16FA"/>
    <w:rsid w:val="00ED29BC"/>
    <w:rsid w:val="00ED2BB6"/>
    <w:rsid w:val="00ED3084"/>
    <w:rsid w:val="00ED34E1"/>
    <w:rsid w:val="00ED3B8D"/>
    <w:rsid w:val="00ED4144"/>
    <w:rsid w:val="00ED6BA0"/>
    <w:rsid w:val="00ED7145"/>
    <w:rsid w:val="00ED778F"/>
    <w:rsid w:val="00EE02A2"/>
    <w:rsid w:val="00EE0BDB"/>
    <w:rsid w:val="00EE2685"/>
    <w:rsid w:val="00EE6EAB"/>
    <w:rsid w:val="00EE76B5"/>
    <w:rsid w:val="00EF176D"/>
    <w:rsid w:val="00EF1A28"/>
    <w:rsid w:val="00EF1EC7"/>
    <w:rsid w:val="00EF2CC2"/>
    <w:rsid w:val="00EF2E3A"/>
    <w:rsid w:val="00EF2FE8"/>
    <w:rsid w:val="00EF3090"/>
    <w:rsid w:val="00EF3E58"/>
    <w:rsid w:val="00EF74E1"/>
    <w:rsid w:val="00F011A0"/>
    <w:rsid w:val="00F01FA8"/>
    <w:rsid w:val="00F02EF9"/>
    <w:rsid w:val="00F03E4F"/>
    <w:rsid w:val="00F04236"/>
    <w:rsid w:val="00F04990"/>
    <w:rsid w:val="00F049CB"/>
    <w:rsid w:val="00F04B47"/>
    <w:rsid w:val="00F05439"/>
    <w:rsid w:val="00F065B8"/>
    <w:rsid w:val="00F072A7"/>
    <w:rsid w:val="00F074D2"/>
    <w:rsid w:val="00F078DC"/>
    <w:rsid w:val="00F07B0E"/>
    <w:rsid w:val="00F14593"/>
    <w:rsid w:val="00F15B76"/>
    <w:rsid w:val="00F163CC"/>
    <w:rsid w:val="00F17173"/>
    <w:rsid w:val="00F171A1"/>
    <w:rsid w:val="00F177DC"/>
    <w:rsid w:val="00F17B41"/>
    <w:rsid w:val="00F2148E"/>
    <w:rsid w:val="00F226ED"/>
    <w:rsid w:val="00F23352"/>
    <w:rsid w:val="00F23B70"/>
    <w:rsid w:val="00F2578A"/>
    <w:rsid w:val="00F26A14"/>
    <w:rsid w:val="00F317DF"/>
    <w:rsid w:val="00F326F1"/>
    <w:rsid w:val="00F3291C"/>
    <w:rsid w:val="00F32BA8"/>
    <w:rsid w:val="00F32D19"/>
    <w:rsid w:val="00F349F1"/>
    <w:rsid w:val="00F34D7D"/>
    <w:rsid w:val="00F35C12"/>
    <w:rsid w:val="00F36492"/>
    <w:rsid w:val="00F373A4"/>
    <w:rsid w:val="00F373B2"/>
    <w:rsid w:val="00F411D7"/>
    <w:rsid w:val="00F41FD6"/>
    <w:rsid w:val="00F4215A"/>
    <w:rsid w:val="00F4350D"/>
    <w:rsid w:val="00F450B6"/>
    <w:rsid w:val="00F45290"/>
    <w:rsid w:val="00F46DD5"/>
    <w:rsid w:val="00F473C7"/>
    <w:rsid w:val="00F4769B"/>
    <w:rsid w:val="00F47FD2"/>
    <w:rsid w:val="00F47FFB"/>
    <w:rsid w:val="00F50532"/>
    <w:rsid w:val="00F51050"/>
    <w:rsid w:val="00F51C90"/>
    <w:rsid w:val="00F53852"/>
    <w:rsid w:val="00F551FF"/>
    <w:rsid w:val="00F55866"/>
    <w:rsid w:val="00F562A4"/>
    <w:rsid w:val="00F567F7"/>
    <w:rsid w:val="00F56EAA"/>
    <w:rsid w:val="00F57144"/>
    <w:rsid w:val="00F57777"/>
    <w:rsid w:val="00F579AC"/>
    <w:rsid w:val="00F6075D"/>
    <w:rsid w:val="00F60F2F"/>
    <w:rsid w:val="00F61212"/>
    <w:rsid w:val="00F61879"/>
    <w:rsid w:val="00F61B09"/>
    <w:rsid w:val="00F62036"/>
    <w:rsid w:val="00F62264"/>
    <w:rsid w:val="00F64503"/>
    <w:rsid w:val="00F65B52"/>
    <w:rsid w:val="00F67BCA"/>
    <w:rsid w:val="00F72BB9"/>
    <w:rsid w:val="00F73799"/>
    <w:rsid w:val="00F73BD6"/>
    <w:rsid w:val="00F740F3"/>
    <w:rsid w:val="00F74905"/>
    <w:rsid w:val="00F760B9"/>
    <w:rsid w:val="00F81199"/>
    <w:rsid w:val="00F83280"/>
    <w:rsid w:val="00F83989"/>
    <w:rsid w:val="00F85099"/>
    <w:rsid w:val="00F861E6"/>
    <w:rsid w:val="00F86377"/>
    <w:rsid w:val="00F8666B"/>
    <w:rsid w:val="00F86B70"/>
    <w:rsid w:val="00F86CAA"/>
    <w:rsid w:val="00F8795A"/>
    <w:rsid w:val="00F91083"/>
    <w:rsid w:val="00F91AB9"/>
    <w:rsid w:val="00F9379C"/>
    <w:rsid w:val="00F93D90"/>
    <w:rsid w:val="00F9469F"/>
    <w:rsid w:val="00F9632C"/>
    <w:rsid w:val="00F96DA5"/>
    <w:rsid w:val="00F97931"/>
    <w:rsid w:val="00F97DDE"/>
    <w:rsid w:val="00FA0C42"/>
    <w:rsid w:val="00FA126C"/>
    <w:rsid w:val="00FA154F"/>
    <w:rsid w:val="00FA1E52"/>
    <w:rsid w:val="00FA2085"/>
    <w:rsid w:val="00FA31DE"/>
    <w:rsid w:val="00FA32A6"/>
    <w:rsid w:val="00FA46B6"/>
    <w:rsid w:val="00FA54E7"/>
    <w:rsid w:val="00FA5C23"/>
    <w:rsid w:val="00FA7D17"/>
    <w:rsid w:val="00FB07A2"/>
    <w:rsid w:val="00FB3573"/>
    <w:rsid w:val="00FB3B86"/>
    <w:rsid w:val="00FB72E9"/>
    <w:rsid w:val="00FB7BA3"/>
    <w:rsid w:val="00FB7C1A"/>
    <w:rsid w:val="00FC154B"/>
    <w:rsid w:val="00FC1844"/>
    <w:rsid w:val="00FC21BF"/>
    <w:rsid w:val="00FC2FD3"/>
    <w:rsid w:val="00FC3690"/>
    <w:rsid w:val="00FC370B"/>
    <w:rsid w:val="00FC379D"/>
    <w:rsid w:val="00FC3EB8"/>
    <w:rsid w:val="00FC59EB"/>
    <w:rsid w:val="00FC6D35"/>
    <w:rsid w:val="00FC792A"/>
    <w:rsid w:val="00FC7D25"/>
    <w:rsid w:val="00FD04E1"/>
    <w:rsid w:val="00FD2305"/>
    <w:rsid w:val="00FD4292"/>
    <w:rsid w:val="00FD4BEF"/>
    <w:rsid w:val="00FD4E52"/>
    <w:rsid w:val="00FD6CA8"/>
    <w:rsid w:val="00FD6F9B"/>
    <w:rsid w:val="00FD7335"/>
    <w:rsid w:val="00FD7F36"/>
    <w:rsid w:val="00FE0C30"/>
    <w:rsid w:val="00FE0E06"/>
    <w:rsid w:val="00FE0FDB"/>
    <w:rsid w:val="00FE1893"/>
    <w:rsid w:val="00FE327D"/>
    <w:rsid w:val="00FE4688"/>
    <w:rsid w:val="00FE6955"/>
    <w:rsid w:val="00FE6D17"/>
    <w:rsid w:val="00FE72D6"/>
    <w:rsid w:val="00FE79D0"/>
    <w:rsid w:val="00FF070C"/>
    <w:rsid w:val="00FF2F59"/>
    <w:rsid w:val="00FF5909"/>
    <w:rsid w:val="00FF59F0"/>
    <w:rsid w:val="00FF677C"/>
    <w:rsid w:val="00FF7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B4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98"/>
    <w:qFormat/>
    <w:rsid w:val="000300DD"/>
    <w:pPr>
      <w:ind w:left="720"/>
      <w:contextualSpacing/>
    </w:pPr>
  </w:style>
  <w:style w:type="paragraph" w:styleId="ListNumber">
    <w:name w:val="List Number"/>
    <w:basedOn w:val="Normal"/>
    <w:uiPriority w:val="98"/>
    <w:semiHidden/>
    <w:rsid w:val="008330CE"/>
    <w:pPr>
      <w:tabs>
        <w:tab w:val="num" w:pos="360"/>
      </w:tabs>
      <w:spacing w:after="160" w:line="259" w:lineRule="auto"/>
      <w:ind w:left="360" w:hanging="360"/>
      <w:contextualSpacing/>
    </w:pPr>
    <w:rPr>
      <w:rFonts w:asciiTheme="minorHAnsi" w:eastAsiaTheme="minorHAnsi" w:hAnsiTheme="minorHAnsi" w:cstheme="minorBidi"/>
      <w:szCs w:val="22"/>
    </w:rPr>
  </w:style>
  <w:style w:type="paragraph" w:customStyle="1" w:styleId="ListB">
    <w:name w:val="ListB"/>
    <w:rsid w:val="00FC154B"/>
    <w:pPr>
      <w:overflowPunct w:val="0"/>
      <w:autoSpaceDE w:val="0"/>
      <w:autoSpaceDN w:val="0"/>
      <w:adjustRightInd w:val="0"/>
      <w:spacing w:before="120" w:after="120"/>
      <w:ind w:left="850" w:hanging="425"/>
      <w:textAlignment w:val="baseline"/>
    </w:pPr>
    <w:rPr>
      <w:rFonts w:eastAsia="Times New Roman"/>
      <w:sz w:val="24"/>
      <w:lang w:eastAsia="en-US"/>
    </w:rPr>
  </w:style>
  <w:style w:type="paragraph" w:customStyle="1" w:styleId="aheade">
    <w:name w:val="aheade"/>
    <w:rsid w:val="00F46DD5"/>
    <w:pPr>
      <w:keepNext/>
      <w:widowControl w:val="0"/>
      <w:overflowPunct w:val="0"/>
      <w:autoSpaceDE w:val="0"/>
      <w:autoSpaceDN w:val="0"/>
      <w:adjustRightInd w:val="0"/>
      <w:spacing w:before="240" w:after="120"/>
      <w:textAlignment w:val="baseline"/>
    </w:pPr>
    <w:rPr>
      <w:rFonts w:ascii="Arial" w:eastAsia="Times New Roman" w:hAnsi="Arial"/>
      <w:b/>
      <w:noProof/>
      <w:sz w:val="24"/>
      <w:lang w:eastAsia="en-US"/>
    </w:rPr>
  </w:style>
  <w:style w:type="paragraph" w:customStyle="1" w:styleId="ListA">
    <w:name w:val="ListA"/>
    <w:rsid w:val="00F46DD5"/>
    <w:pPr>
      <w:overflowPunct w:val="0"/>
      <w:autoSpaceDE w:val="0"/>
      <w:autoSpaceDN w:val="0"/>
      <w:adjustRightInd w:val="0"/>
      <w:spacing w:before="120" w:after="120"/>
      <w:ind w:left="425" w:hanging="425"/>
      <w:textAlignment w:val="baseline"/>
    </w:pPr>
    <w:rPr>
      <w:rFonts w:eastAsia="Times New Roman"/>
      <w:sz w:val="24"/>
      <w:lang w:eastAsia="en-US"/>
    </w:rPr>
  </w:style>
  <w:style w:type="paragraph" w:customStyle="1" w:styleId="ListC">
    <w:name w:val="ListC"/>
    <w:rsid w:val="00F46DD5"/>
    <w:pPr>
      <w:widowControl w:val="0"/>
      <w:autoSpaceDE w:val="0"/>
      <w:autoSpaceDN w:val="0"/>
      <w:adjustRightInd w:val="0"/>
      <w:spacing w:before="120" w:after="120"/>
      <w:ind w:left="1276" w:hanging="425"/>
    </w:pPr>
    <w:rPr>
      <w:rFonts w:eastAsia="Times New Roman"/>
      <w:sz w:val="24"/>
      <w:szCs w:val="24"/>
      <w:lang w:val="en-US" w:eastAsia="en-US"/>
    </w:rPr>
  </w:style>
  <w:style w:type="paragraph" w:customStyle="1" w:styleId="ListD">
    <w:name w:val="ListD"/>
    <w:rsid w:val="00F46DD5"/>
    <w:pPr>
      <w:autoSpaceDE w:val="0"/>
      <w:autoSpaceDN w:val="0"/>
      <w:adjustRightInd w:val="0"/>
      <w:spacing w:before="60" w:after="60"/>
      <w:ind w:left="2880" w:hanging="720"/>
    </w:pPr>
    <w:rPr>
      <w:rFonts w:eastAsia="Times New Roman"/>
      <w:sz w:val="24"/>
      <w:szCs w:val="24"/>
      <w:lang w:val="en-US" w:eastAsia="en-US"/>
    </w:rPr>
  </w:style>
  <w:style w:type="paragraph" w:customStyle="1" w:styleId="ListE">
    <w:name w:val="ListE"/>
    <w:basedOn w:val="ListD"/>
    <w:next w:val="ListD"/>
    <w:rsid w:val="00F46DD5"/>
    <w:pPr>
      <w:ind w:left="3555"/>
    </w:pPr>
  </w:style>
  <w:style w:type="character" w:styleId="UnresolvedMention">
    <w:name w:val="Unresolved Mention"/>
    <w:basedOn w:val="DefaultParagraphFont"/>
    <w:uiPriority w:val="99"/>
    <w:semiHidden/>
    <w:unhideWhenUsed/>
    <w:rsid w:val="005800D6"/>
    <w:rPr>
      <w:color w:val="605E5C"/>
      <w:shd w:val="clear" w:color="auto" w:fill="E1DFDD"/>
    </w:rPr>
  </w:style>
  <w:style w:type="paragraph" w:customStyle="1" w:styleId="lista0">
    <w:name w:val="lista0"/>
    <w:basedOn w:val="Normal"/>
    <w:rsid w:val="00AD4B89"/>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8448">
      <w:bodyDiv w:val="1"/>
      <w:marLeft w:val="0"/>
      <w:marRight w:val="0"/>
      <w:marTop w:val="0"/>
      <w:marBottom w:val="0"/>
      <w:divBdr>
        <w:top w:val="none" w:sz="0" w:space="0" w:color="auto"/>
        <w:left w:val="none" w:sz="0" w:space="0" w:color="auto"/>
        <w:bottom w:val="none" w:sz="0" w:space="0" w:color="auto"/>
        <w:right w:val="none" w:sz="0" w:space="0" w:color="auto"/>
      </w:divBdr>
    </w:div>
    <w:div w:id="6756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legislation.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11747</Words>
  <Characters>66958</Characters>
  <Application>Microsoft Office Word</Application>
  <DocSecurity>0</DocSecurity>
  <PresentationFormat/>
  <Lines>557</Lines>
  <Paragraphs>157</Paragraphs>
  <ScaleCrop>false</ScaleCrop>
  <Company/>
  <LinksUpToDate>false</LinksUpToDate>
  <CharactersWithSpaces>78548</CharactersWithSpaces>
  <SharedDoc>false</SharedDoc>
  <HyperlinkBase/>
  <HLinks>
    <vt:vector size="222" baseType="variant">
      <vt:variant>
        <vt:i4>6160468</vt:i4>
      </vt:variant>
      <vt:variant>
        <vt:i4>216</vt:i4>
      </vt:variant>
      <vt:variant>
        <vt:i4>0</vt:i4>
      </vt:variant>
      <vt:variant>
        <vt:i4>5</vt:i4>
      </vt:variant>
      <vt:variant>
        <vt:lpwstr>http://www.comlaw.gov.au/</vt:lpwstr>
      </vt:variant>
      <vt:variant>
        <vt:lpwstr/>
      </vt:variant>
      <vt:variant>
        <vt:i4>6946865</vt:i4>
      </vt:variant>
      <vt:variant>
        <vt:i4>213</vt:i4>
      </vt:variant>
      <vt:variant>
        <vt:i4>0</vt:i4>
      </vt:variant>
      <vt:variant>
        <vt:i4>5</vt:i4>
      </vt:variant>
      <vt:variant>
        <vt:lpwstr>http://www.legislation.gov.au/</vt:lpwstr>
      </vt:variant>
      <vt:variant>
        <vt:lpwstr/>
      </vt:variant>
      <vt:variant>
        <vt:i4>1245234</vt:i4>
      </vt:variant>
      <vt:variant>
        <vt:i4>206</vt:i4>
      </vt:variant>
      <vt:variant>
        <vt:i4>0</vt:i4>
      </vt:variant>
      <vt:variant>
        <vt:i4>5</vt:i4>
      </vt:variant>
      <vt:variant>
        <vt:lpwstr/>
      </vt:variant>
      <vt:variant>
        <vt:lpwstr>_Toc116562326</vt:lpwstr>
      </vt:variant>
      <vt:variant>
        <vt:i4>1245234</vt:i4>
      </vt:variant>
      <vt:variant>
        <vt:i4>200</vt:i4>
      </vt:variant>
      <vt:variant>
        <vt:i4>0</vt:i4>
      </vt:variant>
      <vt:variant>
        <vt:i4>5</vt:i4>
      </vt:variant>
      <vt:variant>
        <vt:lpwstr/>
      </vt:variant>
      <vt:variant>
        <vt:lpwstr>_Toc116562325</vt:lpwstr>
      </vt:variant>
      <vt:variant>
        <vt:i4>1245234</vt:i4>
      </vt:variant>
      <vt:variant>
        <vt:i4>194</vt:i4>
      </vt:variant>
      <vt:variant>
        <vt:i4>0</vt:i4>
      </vt:variant>
      <vt:variant>
        <vt:i4>5</vt:i4>
      </vt:variant>
      <vt:variant>
        <vt:lpwstr/>
      </vt:variant>
      <vt:variant>
        <vt:lpwstr>_Toc116562324</vt:lpwstr>
      </vt:variant>
      <vt:variant>
        <vt:i4>1245234</vt:i4>
      </vt:variant>
      <vt:variant>
        <vt:i4>188</vt:i4>
      </vt:variant>
      <vt:variant>
        <vt:i4>0</vt:i4>
      </vt:variant>
      <vt:variant>
        <vt:i4>5</vt:i4>
      </vt:variant>
      <vt:variant>
        <vt:lpwstr/>
      </vt:variant>
      <vt:variant>
        <vt:lpwstr>_Toc116562323</vt:lpwstr>
      </vt:variant>
      <vt:variant>
        <vt:i4>1245234</vt:i4>
      </vt:variant>
      <vt:variant>
        <vt:i4>182</vt:i4>
      </vt:variant>
      <vt:variant>
        <vt:i4>0</vt:i4>
      </vt:variant>
      <vt:variant>
        <vt:i4>5</vt:i4>
      </vt:variant>
      <vt:variant>
        <vt:lpwstr/>
      </vt:variant>
      <vt:variant>
        <vt:lpwstr>_Toc116562322</vt:lpwstr>
      </vt:variant>
      <vt:variant>
        <vt:i4>1245234</vt:i4>
      </vt:variant>
      <vt:variant>
        <vt:i4>176</vt:i4>
      </vt:variant>
      <vt:variant>
        <vt:i4>0</vt:i4>
      </vt:variant>
      <vt:variant>
        <vt:i4>5</vt:i4>
      </vt:variant>
      <vt:variant>
        <vt:lpwstr/>
      </vt:variant>
      <vt:variant>
        <vt:lpwstr>_Toc116562321</vt:lpwstr>
      </vt:variant>
      <vt:variant>
        <vt:i4>1245234</vt:i4>
      </vt:variant>
      <vt:variant>
        <vt:i4>170</vt:i4>
      </vt:variant>
      <vt:variant>
        <vt:i4>0</vt:i4>
      </vt:variant>
      <vt:variant>
        <vt:i4>5</vt:i4>
      </vt:variant>
      <vt:variant>
        <vt:lpwstr/>
      </vt:variant>
      <vt:variant>
        <vt:lpwstr>_Toc116562320</vt:lpwstr>
      </vt:variant>
      <vt:variant>
        <vt:i4>1048626</vt:i4>
      </vt:variant>
      <vt:variant>
        <vt:i4>164</vt:i4>
      </vt:variant>
      <vt:variant>
        <vt:i4>0</vt:i4>
      </vt:variant>
      <vt:variant>
        <vt:i4>5</vt:i4>
      </vt:variant>
      <vt:variant>
        <vt:lpwstr/>
      </vt:variant>
      <vt:variant>
        <vt:lpwstr>_Toc116562319</vt:lpwstr>
      </vt:variant>
      <vt:variant>
        <vt:i4>1048626</vt:i4>
      </vt:variant>
      <vt:variant>
        <vt:i4>158</vt:i4>
      </vt:variant>
      <vt:variant>
        <vt:i4>0</vt:i4>
      </vt:variant>
      <vt:variant>
        <vt:i4>5</vt:i4>
      </vt:variant>
      <vt:variant>
        <vt:lpwstr/>
      </vt:variant>
      <vt:variant>
        <vt:lpwstr>_Toc116562318</vt:lpwstr>
      </vt:variant>
      <vt:variant>
        <vt:i4>1048626</vt:i4>
      </vt:variant>
      <vt:variant>
        <vt:i4>152</vt:i4>
      </vt:variant>
      <vt:variant>
        <vt:i4>0</vt:i4>
      </vt:variant>
      <vt:variant>
        <vt:i4>5</vt:i4>
      </vt:variant>
      <vt:variant>
        <vt:lpwstr/>
      </vt:variant>
      <vt:variant>
        <vt:lpwstr>_Toc116562317</vt:lpwstr>
      </vt:variant>
      <vt:variant>
        <vt:i4>1048626</vt:i4>
      </vt:variant>
      <vt:variant>
        <vt:i4>146</vt:i4>
      </vt:variant>
      <vt:variant>
        <vt:i4>0</vt:i4>
      </vt:variant>
      <vt:variant>
        <vt:i4>5</vt:i4>
      </vt:variant>
      <vt:variant>
        <vt:lpwstr/>
      </vt:variant>
      <vt:variant>
        <vt:lpwstr>_Toc116562316</vt:lpwstr>
      </vt:variant>
      <vt:variant>
        <vt:i4>1048626</vt:i4>
      </vt:variant>
      <vt:variant>
        <vt:i4>140</vt:i4>
      </vt:variant>
      <vt:variant>
        <vt:i4>0</vt:i4>
      </vt:variant>
      <vt:variant>
        <vt:i4>5</vt:i4>
      </vt:variant>
      <vt:variant>
        <vt:lpwstr/>
      </vt:variant>
      <vt:variant>
        <vt:lpwstr>_Toc116562315</vt:lpwstr>
      </vt:variant>
      <vt:variant>
        <vt:i4>1048626</vt:i4>
      </vt:variant>
      <vt:variant>
        <vt:i4>134</vt:i4>
      </vt:variant>
      <vt:variant>
        <vt:i4>0</vt:i4>
      </vt:variant>
      <vt:variant>
        <vt:i4>5</vt:i4>
      </vt:variant>
      <vt:variant>
        <vt:lpwstr/>
      </vt:variant>
      <vt:variant>
        <vt:lpwstr>_Toc116562314</vt:lpwstr>
      </vt:variant>
      <vt:variant>
        <vt:i4>1048626</vt:i4>
      </vt:variant>
      <vt:variant>
        <vt:i4>128</vt:i4>
      </vt:variant>
      <vt:variant>
        <vt:i4>0</vt:i4>
      </vt:variant>
      <vt:variant>
        <vt:i4>5</vt:i4>
      </vt:variant>
      <vt:variant>
        <vt:lpwstr/>
      </vt:variant>
      <vt:variant>
        <vt:lpwstr>_Toc116562313</vt:lpwstr>
      </vt:variant>
      <vt:variant>
        <vt:i4>1048626</vt:i4>
      </vt:variant>
      <vt:variant>
        <vt:i4>122</vt:i4>
      </vt:variant>
      <vt:variant>
        <vt:i4>0</vt:i4>
      </vt:variant>
      <vt:variant>
        <vt:i4>5</vt:i4>
      </vt:variant>
      <vt:variant>
        <vt:lpwstr/>
      </vt:variant>
      <vt:variant>
        <vt:lpwstr>_Toc116562312</vt:lpwstr>
      </vt:variant>
      <vt:variant>
        <vt:i4>1048626</vt:i4>
      </vt:variant>
      <vt:variant>
        <vt:i4>116</vt:i4>
      </vt:variant>
      <vt:variant>
        <vt:i4>0</vt:i4>
      </vt:variant>
      <vt:variant>
        <vt:i4>5</vt:i4>
      </vt:variant>
      <vt:variant>
        <vt:lpwstr/>
      </vt:variant>
      <vt:variant>
        <vt:lpwstr>_Toc116562311</vt:lpwstr>
      </vt:variant>
      <vt:variant>
        <vt:i4>1048626</vt:i4>
      </vt:variant>
      <vt:variant>
        <vt:i4>110</vt:i4>
      </vt:variant>
      <vt:variant>
        <vt:i4>0</vt:i4>
      </vt:variant>
      <vt:variant>
        <vt:i4>5</vt:i4>
      </vt:variant>
      <vt:variant>
        <vt:lpwstr/>
      </vt:variant>
      <vt:variant>
        <vt:lpwstr>_Toc116562310</vt:lpwstr>
      </vt:variant>
      <vt:variant>
        <vt:i4>1114162</vt:i4>
      </vt:variant>
      <vt:variant>
        <vt:i4>104</vt:i4>
      </vt:variant>
      <vt:variant>
        <vt:i4>0</vt:i4>
      </vt:variant>
      <vt:variant>
        <vt:i4>5</vt:i4>
      </vt:variant>
      <vt:variant>
        <vt:lpwstr/>
      </vt:variant>
      <vt:variant>
        <vt:lpwstr>_Toc116562309</vt:lpwstr>
      </vt:variant>
      <vt:variant>
        <vt:i4>1114162</vt:i4>
      </vt:variant>
      <vt:variant>
        <vt:i4>98</vt:i4>
      </vt:variant>
      <vt:variant>
        <vt:i4>0</vt:i4>
      </vt:variant>
      <vt:variant>
        <vt:i4>5</vt:i4>
      </vt:variant>
      <vt:variant>
        <vt:lpwstr/>
      </vt:variant>
      <vt:variant>
        <vt:lpwstr>_Toc116562308</vt:lpwstr>
      </vt:variant>
      <vt:variant>
        <vt:i4>1114162</vt:i4>
      </vt:variant>
      <vt:variant>
        <vt:i4>92</vt:i4>
      </vt:variant>
      <vt:variant>
        <vt:i4>0</vt:i4>
      </vt:variant>
      <vt:variant>
        <vt:i4>5</vt:i4>
      </vt:variant>
      <vt:variant>
        <vt:lpwstr/>
      </vt:variant>
      <vt:variant>
        <vt:lpwstr>_Toc116562307</vt:lpwstr>
      </vt:variant>
      <vt:variant>
        <vt:i4>1114162</vt:i4>
      </vt:variant>
      <vt:variant>
        <vt:i4>86</vt:i4>
      </vt:variant>
      <vt:variant>
        <vt:i4>0</vt:i4>
      </vt:variant>
      <vt:variant>
        <vt:i4>5</vt:i4>
      </vt:variant>
      <vt:variant>
        <vt:lpwstr/>
      </vt:variant>
      <vt:variant>
        <vt:lpwstr>_Toc116562306</vt:lpwstr>
      </vt:variant>
      <vt:variant>
        <vt:i4>1114162</vt:i4>
      </vt:variant>
      <vt:variant>
        <vt:i4>80</vt:i4>
      </vt:variant>
      <vt:variant>
        <vt:i4>0</vt:i4>
      </vt:variant>
      <vt:variant>
        <vt:i4>5</vt:i4>
      </vt:variant>
      <vt:variant>
        <vt:lpwstr/>
      </vt:variant>
      <vt:variant>
        <vt:lpwstr>_Toc116562305</vt:lpwstr>
      </vt:variant>
      <vt:variant>
        <vt:i4>1114162</vt:i4>
      </vt:variant>
      <vt:variant>
        <vt:i4>74</vt:i4>
      </vt:variant>
      <vt:variant>
        <vt:i4>0</vt:i4>
      </vt:variant>
      <vt:variant>
        <vt:i4>5</vt:i4>
      </vt:variant>
      <vt:variant>
        <vt:lpwstr/>
      </vt:variant>
      <vt:variant>
        <vt:lpwstr>_Toc116562304</vt:lpwstr>
      </vt:variant>
      <vt:variant>
        <vt:i4>1114162</vt:i4>
      </vt:variant>
      <vt:variant>
        <vt:i4>68</vt:i4>
      </vt:variant>
      <vt:variant>
        <vt:i4>0</vt:i4>
      </vt:variant>
      <vt:variant>
        <vt:i4>5</vt:i4>
      </vt:variant>
      <vt:variant>
        <vt:lpwstr/>
      </vt:variant>
      <vt:variant>
        <vt:lpwstr>_Toc116562303</vt:lpwstr>
      </vt:variant>
      <vt:variant>
        <vt:i4>1114162</vt:i4>
      </vt:variant>
      <vt:variant>
        <vt:i4>62</vt:i4>
      </vt:variant>
      <vt:variant>
        <vt:i4>0</vt:i4>
      </vt:variant>
      <vt:variant>
        <vt:i4>5</vt:i4>
      </vt:variant>
      <vt:variant>
        <vt:lpwstr/>
      </vt:variant>
      <vt:variant>
        <vt:lpwstr>_Toc116562302</vt:lpwstr>
      </vt:variant>
      <vt:variant>
        <vt:i4>1114162</vt:i4>
      </vt:variant>
      <vt:variant>
        <vt:i4>56</vt:i4>
      </vt:variant>
      <vt:variant>
        <vt:i4>0</vt:i4>
      </vt:variant>
      <vt:variant>
        <vt:i4>5</vt:i4>
      </vt:variant>
      <vt:variant>
        <vt:lpwstr/>
      </vt:variant>
      <vt:variant>
        <vt:lpwstr>_Toc116562301</vt:lpwstr>
      </vt:variant>
      <vt:variant>
        <vt:i4>1114162</vt:i4>
      </vt:variant>
      <vt:variant>
        <vt:i4>50</vt:i4>
      </vt:variant>
      <vt:variant>
        <vt:i4>0</vt:i4>
      </vt:variant>
      <vt:variant>
        <vt:i4>5</vt:i4>
      </vt:variant>
      <vt:variant>
        <vt:lpwstr/>
      </vt:variant>
      <vt:variant>
        <vt:lpwstr>_Toc116562300</vt:lpwstr>
      </vt:variant>
      <vt:variant>
        <vt:i4>1572915</vt:i4>
      </vt:variant>
      <vt:variant>
        <vt:i4>44</vt:i4>
      </vt:variant>
      <vt:variant>
        <vt:i4>0</vt:i4>
      </vt:variant>
      <vt:variant>
        <vt:i4>5</vt:i4>
      </vt:variant>
      <vt:variant>
        <vt:lpwstr/>
      </vt:variant>
      <vt:variant>
        <vt:lpwstr>_Toc116562299</vt:lpwstr>
      </vt:variant>
      <vt:variant>
        <vt:i4>1572915</vt:i4>
      </vt:variant>
      <vt:variant>
        <vt:i4>38</vt:i4>
      </vt:variant>
      <vt:variant>
        <vt:i4>0</vt:i4>
      </vt:variant>
      <vt:variant>
        <vt:i4>5</vt:i4>
      </vt:variant>
      <vt:variant>
        <vt:lpwstr/>
      </vt:variant>
      <vt:variant>
        <vt:lpwstr>_Toc116562298</vt:lpwstr>
      </vt:variant>
      <vt:variant>
        <vt:i4>1572915</vt:i4>
      </vt:variant>
      <vt:variant>
        <vt:i4>32</vt:i4>
      </vt:variant>
      <vt:variant>
        <vt:i4>0</vt:i4>
      </vt:variant>
      <vt:variant>
        <vt:i4>5</vt:i4>
      </vt:variant>
      <vt:variant>
        <vt:lpwstr/>
      </vt:variant>
      <vt:variant>
        <vt:lpwstr>_Toc116562297</vt:lpwstr>
      </vt:variant>
      <vt:variant>
        <vt:i4>1572915</vt:i4>
      </vt:variant>
      <vt:variant>
        <vt:i4>26</vt:i4>
      </vt:variant>
      <vt:variant>
        <vt:i4>0</vt:i4>
      </vt:variant>
      <vt:variant>
        <vt:i4>5</vt:i4>
      </vt:variant>
      <vt:variant>
        <vt:lpwstr/>
      </vt:variant>
      <vt:variant>
        <vt:lpwstr>_Toc116562296</vt:lpwstr>
      </vt:variant>
      <vt:variant>
        <vt:i4>1572915</vt:i4>
      </vt:variant>
      <vt:variant>
        <vt:i4>20</vt:i4>
      </vt:variant>
      <vt:variant>
        <vt:i4>0</vt:i4>
      </vt:variant>
      <vt:variant>
        <vt:i4>5</vt:i4>
      </vt:variant>
      <vt:variant>
        <vt:lpwstr/>
      </vt:variant>
      <vt:variant>
        <vt:lpwstr>_Toc116562295</vt:lpwstr>
      </vt:variant>
      <vt:variant>
        <vt:i4>1572915</vt:i4>
      </vt:variant>
      <vt:variant>
        <vt:i4>14</vt:i4>
      </vt:variant>
      <vt:variant>
        <vt:i4>0</vt:i4>
      </vt:variant>
      <vt:variant>
        <vt:i4>5</vt:i4>
      </vt:variant>
      <vt:variant>
        <vt:lpwstr/>
      </vt:variant>
      <vt:variant>
        <vt:lpwstr>_Toc116562294</vt:lpwstr>
      </vt:variant>
      <vt:variant>
        <vt:i4>1572915</vt:i4>
      </vt:variant>
      <vt:variant>
        <vt:i4>8</vt:i4>
      </vt:variant>
      <vt:variant>
        <vt:i4>0</vt:i4>
      </vt:variant>
      <vt:variant>
        <vt:i4>5</vt:i4>
      </vt:variant>
      <vt:variant>
        <vt:lpwstr/>
      </vt:variant>
      <vt:variant>
        <vt:lpwstr>_Toc116562293</vt:lpwstr>
      </vt:variant>
      <vt:variant>
        <vt:i4>1572915</vt:i4>
      </vt:variant>
      <vt:variant>
        <vt:i4>2</vt:i4>
      </vt:variant>
      <vt:variant>
        <vt:i4>0</vt:i4>
      </vt:variant>
      <vt:variant>
        <vt:i4>5</vt:i4>
      </vt:variant>
      <vt:variant>
        <vt:lpwstr/>
      </vt:variant>
      <vt:variant>
        <vt:lpwstr>_Toc116562292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2022-11-13T21:38:00Z</dcterms:created>
  <dcterms:modified xsi:type="dcterms:W3CDTF">2022-11-13T21:39:00Z</dcterms:modified>
  <dc:language/>
  <cp:version/>
</cp:coreProperties>
</file>