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81" w:type="dxa"/>
        <w:tblLook w:val="04A0" w:firstRow="1" w:lastRow="0" w:firstColumn="1" w:lastColumn="0" w:noHBand="0" w:noVBand="1"/>
      </w:tblPr>
      <w:tblGrid>
        <w:gridCol w:w="1700"/>
        <w:gridCol w:w="1300"/>
        <w:gridCol w:w="1460"/>
        <w:gridCol w:w="1160"/>
        <w:gridCol w:w="960"/>
        <w:gridCol w:w="1215"/>
        <w:gridCol w:w="1420"/>
        <w:gridCol w:w="2860"/>
        <w:gridCol w:w="1154"/>
        <w:gridCol w:w="960"/>
        <w:gridCol w:w="1150"/>
      </w:tblGrid>
      <w:tr w:rsidR="00B43D69" w:rsidRPr="00B43D69" w14:paraId="1877694F" w14:textId="77777777" w:rsidTr="00B43D69">
        <w:trPr>
          <w:trHeight w:val="860"/>
        </w:trPr>
        <w:tc>
          <w:tcPr>
            <w:tcW w:w="1700"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14:paraId="7202AA49"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bookmarkStart w:id="0" w:name="_GoBack"/>
            <w:bookmarkStart w:id="1" w:name="RANGE!A1:K2"/>
            <w:bookmarkEnd w:id="0"/>
            <w:r w:rsidRPr="00B43D69">
              <w:rPr>
                <w:rFonts w:ascii="Calibri" w:eastAsia="Times New Roman" w:hAnsi="Calibri" w:cs="Calibri"/>
                <w:b/>
                <w:bCs/>
                <w:color w:val="FEFEFE"/>
                <w:sz w:val="22"/>
                <w:szCs w:val="22"/>
                <w:lang w:eastAsia="en-AU"/>
              </w:rPr>
              <w:t>Product Category</w:t>
            </w:r>
            <w:bookmarkEnd w:id="1"/>
          </w:p>
        </w:tc>
        <w:tc>
          <w:tcPr>
            <w:tcW w:w="1300" w:type="dxa"/>
            <w:tcBorders>
              <w:top w:val="single" w:sz="8" w:space="0" w:color="auto"/>
              <w:left w:val="nil"/>
              <w:bottom w:val="single" w:sz="8" w:space="0" w:color="auto"/>
              <w:right w:val="single" w:sz="8" w:space="0" w:color="auto"/>
            </w:tcBorders>
            <w:shd w:val="clear" w:color="000000" w:fill="4F81BD"/>
            <w:noWrap/>
            <w:vAlign w:val="center"/>
            <w:hideMark/>
          </w:tcPr>
          <w:p w14:paraId="6B4BA994"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proofErr w:type="gramStart"/>
            <w:r w:rsidRPr="00B43D69">
              <w:rPr>
                <w:rFonts w:ascii="Calibri" w:eastAsia="Times New Roman" w:hAnsi="Calibri" w:cs="Calibri"/>
                <w:b/>
                <w:bCs/>
                <w:color w:val="FEFEFE"/>
                <w:sz w:val="22"/>
                <w:szCs w:val="22"/>
                <w:lang w:eastAsia="en-AU"/>
              </w:rPr>
              <w:t>Sub Category</w:t>
            </w:r>
            <w:proofErr w:type="gramEnd"/>
          </w:p>
        </w:tc>
        <w:tc>
          <w:tcPr>
            <w:tcW w:w="1460" w:type="dxa"/>
            <w:tcBorders>
              <w:top w:val="single" w:sz="8" w:space="0" w:color="auto"/>
              <w:left w:val="nil"/>
              <w:bottom w:val="single" w:sz="8" w:space="0" w:color="auto"/>
              <w:right w:val="single" w:sz="8" w:space="0" w:color="auto"/>
            </w:tcBorders>
            <w:shd w:val="clear" w:color="000000" w:fill="4F81BD"/>
            <w:noWrap/>
            <w:vAlign w:val="center"/>
            <w:hideMark/>
          </w:tcPr>
          <w:p w14:paraId="50B584BB"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r w:rsidRPr="00B43D69">
              <w:rPr>
                <w:rFonts w:ascii="Calibri" w:eastAsia="Times New Roman" w:hAnsi="Calibri" w:cs="Calibri"/>
                <w:b/>
                <w:bCs/>
                <w:color w:val="FEFEFE"/>
                <w:sz w:val="22"/>
                <w:szCs w:val="22"/>
                <w:lang w:eastAsia="en-AU"/>
              </w:rPr>
              <w:t>Product Group</w:t>
            </w:r>
          </w:p>
        </w:tc>
        <w:tc>
          <w:tcPr>
            <w:tcW w:w="1160" w:type="dxa"/>
            <w:tcBorders>
              <w:top w:val="single" w:sz="8" w:space="0" w:color="auto"/>
              <w:left w:val="nil"/>
              <w:bottom w:val="single" w:sz="8" w:space="0" w:color="auto"/>
              <w:right w:val="single" w:sz="8" w:space="0" w:color="auto"/>
            </w:tcBorders>
            <w:shd w:val="clear" w:color="000000" w:fill="4F81BD"/>
            <w:noWrap/>
            <w:vAlign w:val="center"/>
            <w:hideMark/>
          </w:tcPr>
          <w:p w14:paraId="5EB1DE69"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r w:rsidRPr="00B43D69">
              <w:rPr>
                <w:rFonts w:ascii="Calibri" w:eastAsia="Times New Roman" w:hAnsi="Calibri" w:cs="Calibri"/>
                <w:b/>
                <w:bCs/>
                <w:color w:val="FEFEFE"/>
                <w:sz w:val="22"/>
                <w:szCs w:val="22"/>
                <w:lang w:eastAsia="en-AU"/>
              </w:rPr>
              <w:t>Billing Code</w:t>
            </w:r>
          </w:p>
        </w:tc>
        <w:tc>
          <w:tcPr>
            <w:tcW w:w="960" w:type="dxa"/>
            <w:tcBorders>
              <w:top w:val="single" w:sz="8" w:space="0" w:color="auto"/>
              <w:left w:val="nil"/>
              <w:bottom w:val="single" w:sz="8" w:space="0" w:color="auto"/>
              <w:right w:val="single" w:sz="8" w:space="0" w:color="auto"/>
            </w:tcBorders>
            <w:shd w:val="clear" w:color="000000" w:fill="4F81BD"/>
            <w:noWrap/>
            <w:vAlign w:val="center"/>
            <w:hideMark/>
          </w:tcPr>
          <w:p w14:paraId="68AE523C"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r w:rsidRPr="00B43D69">
              <w:rPr>
                <w:rFonts w:ascii="Calibri" w:eastAsia="Times New Roman" w:hAnsi="Calibri" w:cs="Calibri"/>
                <w:b/>
                <w:bCs/>
                <w:color w:val="FEFEFE"/>
                <w:sz w:val="22"/>
                <w:szCs w:val="22"/>
                <w:lang w:eastAsia="en-AU"/>
              </w:rPr>
              <w:t>Benefit</w:t>
            </w:r>
          </w:p>
        </w:tc>
        <w:tc>
          <w:tcPr>
            <w:tcW w:w="1029" w:type="dxa"/>
            <w:tcBorders>
              <w:top w:val="single" w:sz="8" w:space="0" w:color="auto"/>
              <w:left w:val="nil"/>
              <w:bottom w:val="single" w:sz="8" w:space="0" w:color="auto"/>
              <w:right w:val="single" w:sz="8" w:space="0" w:color="auto"/>
            </w:tcBorders>
            <w:shd w:val="clear" w:color="000000" w:fill="4F81BD"/>
            <w:noWrap/>
            <w:vAlign w:val="center"/>
            <w:hideMark/>
          </w:tcPr>
          <w:p w14:paraId="0295BDD0"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r w:rsidRPr="00B43D69">
              <w:rPr>
                <w:rFonts w:ascii="Calibri" w:eastAsia="Times New Roman" w:hAnsi="Calibri" w:cs="Calibri"/>
                <w:b/>
                <w:bCs/>
                <w:color w:val="FEFEFE"/>
                <w:sz w:val="22"/>
                <w:szCs w:val="22"/>
                <w:lang w:eastAsia="en-AU"/>
              </w:rPr>
              <w:t>Sponsor</w:t>
            </w:r>
          </w:p>
        </w:tc>
        <w:tc>
          <w:tcPr>
            <w:tcW w:w="1420" w:type="dxa"/>
            <w:tcBorders>
              <w:top w:val="single" w:sz="8" w:space="0" w:color="auto"/>
              <w:left w:val="nil"/>
              <w:bottom w:val="single" w:sz="8" w:space="0" w:color="auto"/>
              <w:right w:val="single" w:sz="8" w:space="0" w:color="auto"/>
            </w:tcBorders>
            <w:shd w:val="clear" w:color="000000" w:fill="4F81BD"/>
            <w:noWrap/>
            <w:vAlign w:val="center"/>
            <w:hideMark/>
          </w:tcPr>
          <w:p w14:paraId="459F8B43"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r w:rsidRPr="00B43D69">
              <w:rPr>
                <w:rFonts w:ascii="Calibri" w:eastAsia="Times New Roman" w:hAnsi="Calibri" w:cs="Calibri"/>
                <w:b/>
                <w:bCs/>
                <w:color w:val="FEFEFE"/>
                <w:sz w:val="22"/>
                <w:szCs w:val="22"/>
                <w:lang w:eastAsia="en-AU"/>
              </w:rPr>
              <w:t>Product Name</w:t>
            </w:r>
          </w:p>
        </w:tc>
        <w:tc>
          <w:tcPr>
            <w:tcW w:w="2860" w:type="dxa"/>
            <w:tcBorders>
              <w:top w:val="single" w:sz="8" w:space="0" w:color="auto"/>
              <w:left w:val="nil"/>
              <w:bottom w:val="single" w:sz="8" w:space="0" w:color="auto"/>
              <w:right w:val="single" w:sz="8" w:space="0" w:color="auto"/>
            </w:tcBorders>
            <w:shd w:val="clear" w:color="000000" w:fill="4F81BD"/>
            <w:noWrap/>
            <w:vAlign w:val="center"/>
            <w:hideMark/>
          </w:tcPr>
          <w:p w14:paraId="14AE53C0"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r w:rsidRPr="00B43D69">
              <w:rPr>
                <w:rFonts w:ascii="Calibri" w:eastAsia="Times New Roman" w:hAnsi="Calibri" w:cs="Calibri"/>
                <w:b/>
                <w:bCs/>
                <w:color w:val="FEFEFE"/>
                <w:sz w:val="22"/>
                <w:szCs w:val="22"/>
                <w:lang w:eastAsia="en-AU"/>
              </w:rPr>
              <w:t>Description</w:t>
            </w:r>
          </w:p>
        </w:tc>
        <w:tc>
          <w:tcPr>
            <w:tcW w:w="968" w:type="dxa"/>
            <w:tcBorders>
              <w:top w:val="single" w:sz="8" w:space="0" w:color="auto"/>
              <w:left w:val="nil"/>
              <w:bottom w:val="single" w:sz="8" w:space="0" w:color="auto"/>
              <w:right w:val="single" w:sz="8" w:space="0" w:color="auto"/>
            </w:tcBorders>
            <w:shd w:val="clear" w:color="000000" w:fill="4F81BD"/>
            <w:noWrap/>
            <w:vAlign w:val="center"/>
            <w:hideMark/>
          </w:tcPr>
          <w:p w14:paraId="7ECF9F06"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r w:rsidRPr="00B43D69">
              <w:rPr>
                <w:rFonts w:ascii="Calibri" w:eastAsia="Times New Roman" w:hAnsi="Calibri" w:cs="Calibri"/>
                <w:b/>
                <w:bCs/>
                <w:color w:val="FEFEFE"/>
                <w:sz w:val="22"/>
                <w:szCs w:val="22"/>
                <w:lang w:eastAsia="en-AU"/>
              </w:rPr>
              <w:t>Size</w:t>
            </w:r>
          </w:p>
        </w:tc>
        <w:tc>
          <w:tcPr>
            <w:tcW w:w="960" w:type="dxa"/>
            <w:tcBorders>
              <w:top w:val="single" w:sz="8" w:space="0" w:color="auto"/>
              <w:left w:val="nil"/>
              <w:bottom w:val="single" w:sz="8" w:space="0" w:color="auto"/>
              <w:right w:val="single" w:sz="8" w:space="0" w:color="auto"/>
            </w:tcBorders>
            <w:shd w:val="clear" w:color="000000" w:fill="4F81BD"/>
            <w:noWrap/>
            <w:vAlign w:val="center"/>
            <w:hideMark/>
          </w:tcPr>
          <w:p w14:paraId="7E14A4CF"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r w:rsidRPr="00B43D69">
              <w:rPr>
                <w:rFonts w:ascii="Calibri" w:eastAsia="Times New Roman" w:hAnsi="Calibri" w:cs="Calibri"/>
                <w:b/>
                <w:bCs/>
                <w:color w:val="FEFEFE"/>
                <w:sz w:val="22"/>
                <w:szCs w:val="22"/>
                <w:lang w:eastAsia="en-AU"/>
              </w:rPr>
              <w:t>ARTG</w:t>
            </w:r>
          </w:p>
        </w:tc>
        <w:tc>
          <w:tcPr>
            <w:tcW w:w="964" w:type="dxa"/>
            <w:tcBorders>
              <w:top w:val="single" w:sz="8" w:space="0" w:color="auto"/>
              <w:left w:val="nil"/>
              <w:bottom w:val="single" w:sz="8" w:space="0" w:color="auto"/>
              <w:right w:val="single" w:sz="8" w:space="0" w:color="auto"/>
            </w:tcBorders>
            <w:shd w:val="clear" w:color="000000" w:fill="4F81BD"/>
            <w:noWrap/>
            <w:vAlign w:val="center"/>
            <w:hideMark/>
          </w:tcPr>
          <w:p w14:paraId="79038E4F" w14:textId="77777777" w:rsidR="00B43D69" w:rsidRPr="00B43D69" w:rsidRDefault="00B43D69" w:rsidP="00B43D69">
            <w:pPr>
              <w:spacing w:after="0" w:line="240" w:lineRule="auto"/>
              <w:jc w:val="center"/>
              <w:rPr>
                <w:rFonts w:ascii="Calibri" w:eastAsia="Times New Roman" w:hAnsi="Calibri" w:cs="Calibri"/>
                <w:b/>
                <w:bCs/>
                <w:color w:val="FEFEFE"/>
                <w:sz w:val="22"/>
                <w:szCs w:val="22"/>
                <w:lang w:eastAsia="en-AU"/>
              </w:rPr>
            </w:pPr>
            <w:r w:rsidRPr="00B43D69">
              <w:rPr>
                <w:rFonts w:ascii="Calibri" w:eastAsia="Times New Roman" w:hAnsi="Calibri" w:cs="Calibri"/>
                <w:b/>
                <w:bCs/>
                <w:color w:val="FEFEFE"/>
                <w:sz w:val="22"/>
                <w:szCs w:val="22"/>
                <w:lang w:eastAsia="en-AU"/>
              </w:rPr>
              <w:t>Condition</w:t>
            </w:r>
          </w:p>
        </w:tc>
      </w:tr>
      <w:tr w:rsidR="00B43D69" w:rsidRPr="00B43D69" w14:paraId="19DFF2A6" w14:textId="77777777" w:rsidTr="00B43D69">
        <w:trPr>
          <w:trHeight w:val="8120"/>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80FB1E0"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03 - General Miscellaneous</w:t>
            </w:r>
          </w:p>
        </w:tc>
        <w:tc>
          <w:tcPr>
            <w:tcW w:w="1300" w:type="dxa"/>
            <w:tcBorders>
              <w:top w:val="single" w:sz="4" w:space="0" w:color="auto"/>
              <w:left w:val="nil"/>
              <w:bottom w:val="single" w:sz="4" w:space="0" w:color="auto"/>
              <w:right w:val="single" w:sz="4" w:space="0" w:color="auto"/>
            </w:tcBorders>
            <w:shd w:val="clear" w:color="auto" w:fill="auto"/>
            <w:hideMark/>
          </w:tcPr>
          <w:p w14:paraId="4D279E5D"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03.10 - Electronic Controlling Devices (Insulin)</w:t>
            </w:r>
          </w:p>
        </w:tc>
        <w:tc>
          <w:tcPr>
            <w:tcW w:w="1460" w:type="dxa"/>
            <w:tcBorders>
              <w:top w:val="single" w:sz="4" w:space="0" w:color="auto"/>
              <w:left w:val="nil"/>
              <w:bottom w:val="single" w:sz="4" w:space="0" w:color="auto"/>
              <w:right w:val="single" w:sz="4" w:space="0" w:color="auto"/>
            </w:tcBorders>
            <w:shd w:val="clear" w:color="auto" w:fill="auto"/>
            <w:hideMark/>
          </w:tcPr>
          <w:p w14:paraId="03F33446"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03.10.01 - Personal Diabetes Manager</w:t>
            </w:r>
          </w:p>
        </w:tc>
        <w:tc>
          <w:tcPr>
            <w:tcW w:w="1160" w:type="dxa"/>
            <w:tcBorders>
              <w:top w:val="single" w:sz="4" w:space="0" w:color="auto"/>
              <w:left w:val="nil"/>
              <w:bottom w:val="single" w:sz="4" w:space="0" w:color="auto"/>
              <w:right w:val="single" w:sz="4" w:space="0" w:color="auto"/>
            </w:tcBorders>
            <w:shd w:val="clear" w:color="auto" w:fill="auto"/>
            <w:hideMark/>
          </w:tcPr>
          <w:p w14:paraId="242916C8"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II001</w:t>
            </w:r>
          </w:p>
        </w:tc>
        <w:tc>
          <w:tcPr>
            <w:tcW w:w="960" w:type="dxa"/>
            <w:tcBorders>
              <w:top w:val="single" w:sz="4" w:space="0" w:color="auto"/>
              <w:left w:val="nil"/>
              <w:bottom w:val="single" w:sz="4" w:space="0" w:color="auto"/>
              <w:right w:val="single" w:sz="4" w:space="0" w:color="auto"/>
            </w:tcBorders>
            <w:shd w:val="clear" w:color="auto" w:fill="auto"/>
            <w:hideMark/>
          </w:tcPr>
          <w:p w14:paraId="575BB6B8" w14:textId="77777777" w:rsidR="00B43D69" w:rsidRPr="00B43D69" w:rsidRDefault="00B43D69" w:rsidP="00B43D69">
            <w:pPr>
              <w:spacing w:after="0" w:line="240" w:lineRule="auto"/>
              <w:jc w:val="right"/>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$8,077</w:t>
            </w:r>
          </w:p>
        </w:tc>
        <w:tc>
          <w:tcPr>
            <w:tcW w:w="1029" w:type="dxa"/>
            <w:tcBorders>
              <w:top w:val="single" w:sz="4" w:space="0" w:color="auto"/>
              <w:left w:val="nil"/>
              <w:bottom w:val="single" w:sz="4" w:space="0" w:color="auto"/>
              <w:right w:val="single" w:sz="4" w:space="0" w:color="auto"/>
            </w:tcBorders>
            <w:shd w:val="clear" w:color="auto" w:fill="auto"/>
            <w:hideMark/>
          </w:tcPr>
          <w:p w14:paraId="747D964B"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INSULET AUSTRALIA PTY LTD</w:t>
            </w:r>
          </w:p>
        </w:tc>
        <w:tc>
          <w:tcPr>
            <w:tcW w:w="1420" w:type="dxa"/>
            <w:tcBorders>
              <w:top w:val="single" w:sz="4" w:space="0" w:color="auto"/>
              <w:left w:val="nil"/>
              <w:bottom w:val="single" w:sz="4" w:space="0" w:color="auto"/>
              <w:right w:val="single" w:sz="4" w:space="0" w:color="auto"/>
            </w:tcBorders>
            <w:shd w:val="clear" w:color="auto" w:fill="auto"/>
            <w:hideMark/>
          </w:tcPr>
          <w:p w14:paraId="10FBB934"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proofErr w:type="spellStart"/>
            <w:r w:rsidRPr="00B43D69">
              <w:rPr>
                <w:rFonts w:ascii="Calibri" w:eastAsia="Times New Roman" w:hAnsi="Calibri" w:cs="Calibri"/>
                <w:color w:val="000000"/>
                <w:sz w:val="22"/>
                <w:szCs w:val="22"/>
                <w:lang w:eastAsia="en-AU"/>
              </w:rPr>
              <w:t>Omnipod</w:t>
            </w:r>
            <w:proofErr w:type="spellEnd"/>
            <w:r w:rsidRPr="00B43D69">
              <w:rPr>
                <w:rFonts w:ascii="Calibri" w:eastAsia="Times New Roman" w:hAnsi="Calibri" w:cs="Calibri"/>
                <w:color w:val="000000"/>
                <w:sz w:val="22"/>
                <w:szCs w:val="22"/>
                <w:lang w:eastAsia="en-AU"/>
              </w:rPr>
              <w:t xml:space="preserve"> DASH® Insulin Management System - Personal Diabetes Manager (PDM) &amp; Software only</w:t>
            </w:r>
          </w:p>
        </w:tc>
        <w:tc>
          <w:tcPr>
            <w:tcW w:w="2860" w:type="dxa"/>
            <w:tcBorders>
              <w:top w:val="single" w:sz="4" w:space="0" w:color="auto"/>
              <w:left w:val="nil"/>
              <w:bottom w:val="single" w:sz="4" w:space="0" w:color="auto"/>
              <w:right w:val="single" w:sz="4" w:space="0" w:color="auto"/>
            </w:tcBorders>
            <w:shd w:val="clear" w:color="auto" w:fill="auto"/>
            <w:hideMark/>
          </w:tcPr>
          <w:p w14:paraId="23FCC068"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 xml:space="preserve">An insulin pump system for the continuous subcutaneous delivery of insulin at set and variable rates that receives and stores external glucose information via a rechargeable Personal Diabetes Manager (PDM). The PDM wirelessly activates/deactivates, controls, </w:t>
            </w:r>
            <w:proofErr w:type="gramStart"/>
            <w:r w:rsidRPr="00B43D69">
              <w:rPr>
                <w:rFonts w:ascii="Calibri" w:eastAsia="Times New Roman" w:hAnsi="Calibri" w:cs="Calibri"/>
                <w:color w:val="000000"/>
                <w:sz w:val="22"/>
                <w:szCs w:val="22"/>
                <w:lang w:eastAsia="en-AU"/>
              </w:rPr>
              <w:t>directs</w:t>
            </w:r>
            <w:proofErr w:type="gramEnd"/>
            <w:r w:rsidRPr="00B43D69">
              <w:rPr>
                <w:rFonts w:ascii="Calibri" w:eastAsia="Times New Roman" w:hAnsi="Calibri" w:cs="Calibri"/>
                <w:color w:val="000000"/>
                <w:sz w:val="22"/>
                <w:szCs w:val="22"/>
                <w:lang w:eastAsia="en-AU"/>
              </w:rPr>
              <w:t xml:space="preserve"> and monitors operation of a tubeless wearable waterproof Pod via secure Bluetooth Low Energy communication, as well as serves as a bolus calculator. The PDM provides audio alarms, alerts and reminders related to insulin delivery and the Pod. The PDM handles all processes for operation of the system and displays up to 90 days of information including basal rates, bolus doses, carbohydrates, </w:t>
            </w:r>
            <w:proofErr w:type="gramStart"/>
            <w:r w:rsidRPr="00B43D69">
              <w:rPr>
                <w:rFonts w:ascii="Calibri" w:eastAsia="Times New Roman" w:hAnsi="Calibri" w:cs="Calibri"/>
                <w:color w:val="000000"/>
                <w:sz w:val="22"/>
                <w:szCs w:val="22"/>
                <w:lang w:eastAsia="en-AU"/>
              </w:rPr>
              <w:t>alarms</w:t>
            </w:r>
            <w:proofErr w:type="gramEnd"/>
            <w:r w:rsidRPr="00B43D69">
              <w:rPr>
                <w:rFonts w:ascii="Calibri" w:eastAsia="Times New Roman" w:hAnsi="Calibri" w:cs="Calibri"/>
                <w:color w:val="000000"/>
                <w:sz w:val="22"/>
                <w:szCs w:val="22"/>
                <w:lang w:eastAsia="en-AU"/>
              </w:rPr>
              <w:t xml:space="preserve"> and blood glucose entries that are entered manually from any BGM meter. </w:t>
            </w:r>
          </w:p>
        </w:tc>
        <w:tc>
          <w:tcPr>
            <w:tcW w:w="968" w:type="dxa"/>
            <w:tcBorders>
              <w:top w:val="single" w:sz="4" w:space="0" w:color="auto"/>
              <w:left w:val="nil"/>
              <w:bottom w:val="single" w:sz="4" w:space="0" w:color="auto"/>
              <w:right w:val="single" w:sz="4" w:space="0" w:color="auto"/>
            </w:tcBorders>
            <w:shd w:val="clear" w:color="auto" w:fill="auto"/>
            <w:hideMark/>
          </w:tcPr>
          <w:p w14:paraId="326E1852"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 xml:space="preserve"> The Personal Diabetes Manager (</w:t>
            </w:r>
            <w:proofErr w:type="gramStart"/>
            <w:r w:rsidRPr="00B43D69">
              <w:rPr>
                <w:rFonts w:ascii="Calibri" w:eastAsia="Times New Roman" w:hAnsi="Calibri" w:cs="Calibri"/>
                <w:color w:val="000000"/>
                <w:sz w:val="22"/>
                <w:szCs w:val="22"/>
                <w:lang w:eastAsia="en-AU"/>
              </w:rPr>
              <w:t>PDM)  is</w:t>
            </w:r>
            <w:proofErr w:type="gramEnd"/>
            <w:r w:rsidRPr="00B43D69">
              <w:rPr>
                <w:rFonts w:ascii="Calibri" w:eastAsia="Times New Roman" w:hAnsi="Calibri" w:cs="Calibri"/>
                <w:color w:val="000000"/>
                <w:sz w:val="22"/>
                <w:szCs w:val="22"/>
                <w:lang w:eastAsia="en-AU"/>
              </w:rPr>
              <w:t xml:space="preserve"> 6.3 cm wide x 13.0 cm long x 1.0 cm high) and weighs 106grams.                                                                                                                                                                                                                                           </w:t>
            </w:r>
          </w:p>
        </w:tc>
        <w:tc>
          <w:tcPr>
            <w:tcW w:w="960" w:type="dxa"/>
            <w:tcBorders>
              <w:top w:val="single" w:sz="4" w:space="0" w:color="auto"/>
              <w:left w:val="nil"/>
              <w:bottom w:val="single" w:sz="4" w:space="0" w:color="auto"/>
              <w:right w:val="single" w:sz="4" w:space="0" w:color="auto"/>
            </w:tcBorders>
            <w:shd w:val="clear" w:color="auto" w:fill="auto"/>
            <w:hideMark/>
          </w:tcPr>
          <w:p w14:paraId="44A7C0A7"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344290</w:t>
            </w:r>
          </w:p>
        </w:tc>
        <w:tc>
          <w:tcPr>
            <w:tcW w:w="964" w:type="dxa"/>
            <w:tcBorders>
              <w:top w:val="single" w:sz="4" w:space="0" w:color="auto"/>
              <w:left w:val="nil"/>
              <w:bottom w:val="single" w:sz="4" w:space="0" w:color="auto"/>
              <w:right w:val="single" w:sz="4" w:space="0" w:color="auto"/>
            </w:tcBorders>
            <w:shd w:val="clear" w:color="auto" w:fill="auto"/>
            <w:hideMark/>
          </w:tcPr>
          <w:p w14:paraId="7296AFB7" w14:textId="77777777" w:rsidR="00B43D69" w:rsidRPr="00B43D69" w:rsidRDefault="00B43D69" w:rsidP="00B43D69">
            <w:pPr>
              <w:spacing w:after="0" w:line="240" w:lineRule="auto"/>
              <w:rPr>
                <w:rFonts w:ascii="Calibri" w:eastAsia="Times New Roman" w:hAnsi="Calibri" w:cs="Calibri"/>
                <w:color w:val="000000"/>
                <w:sz w:val="22"/>
                <w:szCs w:val="22"/>
                <w:lang w:eastAsia="en-AU"/>
              </w:rPr>
            </w:pPr>
            <w:r w:rsidRPr="00B43D69">
              <w:rPr>
                <w:rFonts w:ascii="Calibri" w:eastAsia="Times New Roman" w:hAnsi="Calibri" w:cs="Calibri"/>
                <w:color w:val="000000"/>
                <w:sz w:val="22"/>
                <w:szCs w:val="22"/>
                <w:lang w:eastAsia="en-AU"/>
              </w:rPr>
              <w:t>The benefit for the device is payable no more frequently than once every 4 years.</w:t>
            </w:r>
          </w:p>
        </w:tc>
      </w:tr>
    </w:tbl>
    <w:p w14:paraId="276F73B5" w14:textId="77777777" w:rsidR="00280050" w:rsidRDefault="00280050"/>
    <w:sectPr w:rsidR="00280050" w:rsidSect="00B43D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69"/>
    <w:rsid w:val="00280050"/>
    <w:rsid w:val="00B43D69"/>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4A59"/>
  <w15:chartTrackingRefBased/>
  <w15:docId w15:val="{C265D25D-B26D-4FD6-A6A9-819A3C3A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BOND, Claire</cp:lastModifiedBy>
  <cp:revision>1</cp:revision>
  <dcterms:created xsi:type="dcterms:W3CDTF">2022-11-15T06:01:00Z</dcterms:created>
  <dcterms:modified xsi:type="dcterms:W3CDTF">2022-11-15T06:05:00Z</dcterms:modified>
</cp:coreProperties>
</file>