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BE04" w14:textId="3CBB396C" w:rsidR="00CC1F2D" w:rsidRDefault="25088863" w:rsidP="25088863">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58"/>
        </w:tabs>
        <w:spacing w:line="276" w:lineRule="auto"/>
        <w:rPr>
          <w:b/>
          <w:bCs/>
        </w:rPr>
      </w:pPr>
      <w:bookmarkStart w:id="0" w:name="_GoBack"/>
      <w:bookmarkEnd w:id="0"/>
      <w:r w:rsidRPr="25088863">
        <w:rPr>
          <w:b/>
          <w:bCs/>
          <w:sz w:val="28"/>
          <w:szCs w:val="28"/>
          <w:u w:val="none"/>
        </w:rPr>
        <w:t>EXPLANATORY STATEMENT</w:t>
      </w:r>
      <w:r w:rsidRPr="25088863">
        <w:rPr>
          <w:b/>
          <w:bCs/>
        </w:rPr>
        <w:t xml:space="preserve"> </w:t>
      </w:r>
    </w:p>
    <w:p w14:paraId="69414477" w14:textId="77777777" w:rsidR="00C07FE4" w:rsidRPr="00E44934" w:rsidRDefault="25088863" w:rsidP="25088863">
      <w:pPr>
        <w:spacing w:before="120" w:line="276" w:lineRule="auto"/>
        <w:jc w:val="center"/>
        <w:rPr>
          <w:b/>
          <w:bCs/>
        </w:rPr>
      </w:pPr>
      <w:r w:rsidRPr="25088863">
        <w:rPr>
          <w:b/>
          <w:bCs/>
        </w:rPr>
        <w:t xml:space="preserve">Issued by the authority of the Minister for Finance </w:t>
      </w:r>
    </w:p>
    <w:p w14:paraId="07EC7F19" w14:textId="1F597A9E" w:rsidR="002A0BFE" w:rsidRDefault="25088863" w:rsidP="25088863">
      <w:pPr>
        <w:pStyle w:val="Heading8"/>
        <w:spacing w:before="120" w:after="120" w:line="276" w:lineRule="auto"/>
        <w:ind w:left="-284" w:right="-335"/>
        <w:jc w:val="center"/>
        <w:rPr>
          <w:sz w:val="24"/>
        </w:rPr>
      </w:pPr>
      <w:r w:rsidRPr="25088863">
        <w:rPr>
          <w:sz w:val="24"/>
        </w:rPr>
        <w:t>Public Governance, Performance and Accountability Act 2013</w:t>
      </w:r>
    </w:p>
    <w:p w14:paraId="16D48AD9" w14:textId="012B3E53" w:rsidR="00E44934" w:rsidRDefault="25088863" w:rsidP="25088863">
      <w:pPr>
        <w:spacing w:line="276" w:lineRule="auto"/>
        <w:jc w:val="center"/>
        <w:rPr>
          <w:i/>
          <w:iCs/>
        </w:rPr>
      </w:pPr>
      <w:r w:rsidRPr="25088863">
        <w:rPr>
          <w:i/>
          <w:iCs/>
        </w:rPr>
        <w:t>Public Governance, Performance and Accountability</w:t>
      </w:r>
    </w:p>
    <w:p w14:paraId="72DF531D" w14:textId="40622E99" w:rsidR="00E44934" w:rsidRDefault="25088863" w:rsidP="25088863">
      <w:pPr>
        <w:spacing w:after="200" w:line="276" w:lineRule="auto"/>
        <w:jc w:val="center"/>
        <w:rPr>
          <w:i/>
          <w:iCs/>
        </w:rPr>
      </w:pPr>
      <w:r w:rsidRPr="25088863">
        <w:rPr>
          <w:i/>
          <w:iCs/>
        </w:rPr>
        <w:t>(Financial Reporting) Amendment (202</w:t>
      </w:r>
      <w:r w:rsidR="00F049B0">
        <w:rPr>
          <w:i/>
          <w:iCs/>
        </w:rPr>
        <w:t>2</w:t>
      </w:r>
      <w:r w:rsidRPr="25088863">
        <w:rPr>
          <w:i/>
          <w:iCs/>
        </w:rPr>
        <w:t xml:space="preserve"> Measures No. </w:t>
      </w:r>
      <w:r w:rsidR="00F049B0">
        <w:rPr>
          <w:i/>
          <w:iCs/>
        </w:rPr>
        <w:t>1</w:t>
      </w:r>
      <w:r w:rsidRPr="25088863">
        <w:rPr>
          <w:i/>
          <w:iCs/>
        </w:rPr>
        <w:t>) Rules 202</w:t>
      </w:r>
      <w:r w:rsidR="00F049B0">
        <w:rPr>
          <w:i/>
          <w:iCs/>
        </w:rPr>
        <w:t>2</w:t>
      </w:r>
    </w:p>
    <w:p w14:paraId="799C637E" w14:textId="1563EA99" w:rsidR="00E44934" w:rsidRDefault="25088863" w:rsidP="00EB2C82">
      <w:pPr>
        <w:spacing w:after="200" w:line="276" w:lineRule="auto"/>
        <w:jc w:val="both"/>
      </w:pPr>
      <w:r>
        <w:t xml:space="preserve">Section 101 of the </w:t>
      </w:r>
      <w:r w:rsidRPr="25088863">
        <w:rPr>
          <w:i/>
          <w:iCs/>
        </w:rPr>
        <w:t>Public Governance, Performance and Accountability Act 2013</w:t>
      </w:r>
      <w:r>
        <w:t xml:space="preserve"> (PGPA Act) provides that the Finance Minister may make rules by legislative instrument to prescribe matters giving effect to this Act. </w:t>
      </w:r>
    </w:p>
    <w:p w14:paraId="7FA1C27E" w14:textId="485DD262" w:rsidR="00E44934" w:rsidRDefault="25088863" w:rsidP="00EB2C82">
      <w:pPr>
        <w:spacing w:line="276" w:lineRule="auto"/>
        <w:jc w:val="both"/>
      </w:pPr>
      <w:r>
        <w:t xml:space="preserve">The </w:t>
      </w:r>
      <w:r w:rsidRPr="25088863">
        <w:rPr>
          <w:i/>
          <w:iCs/>
        </w:rPr>
        <w:t>Public Governance, Performance and Accountability (Financial Reporting) Amendment (202</w:t>
      </w:r>
      <w:r w:rsidR="009A7BA1">
        <w:rPr>
          <w:i/>
          <w:iCs/>
        </w:rPr>
        <w:t>2</w:t>
      </w:r>
      <w:r w:rsidRPr="25088863">
        <w:rPr>
          <w:i/>
          <w:iCs/>
        </w:rPr>
        <w:t xml:space="preserve"> Measures No. </w:t>
      </w:r>
      <w:r w:rsidR="009A7BA1">
        <w:rPr>
          <w:i/>
          <w:iCs/>
        </w:rPr>
        <w:t>1</w:t>
      </w:r>
      <w:r w:rsidRPr="25088863">
        <w:rPr>
          <w:i/>
          <w:iCs/>
        </w:rPr>
        <w:t>) Rules 202</w:t>
      </w:r>
      <w:r w:rsidR="009A7BA1">
        <w:rPr>
          <w:i/>
          <w:iCs/>
        </w:rPr>
        <w:t>2</w:t>
      </w:r>
      <w:r w:rsidRPr="25088863">
        <w:rPr>
          <w:i/>
          <w:iCs/>
        </w:rPr>
        <w:t xml:space="preserve"> </w:t>
      </w:r>
      <w:r>
        <w:t xml:space="preserve">(the Amending Rule) amends the </w:t>
      </w:r>
      <w:r w:rsidRPr="25088863">
        <w:rPr>
          <w:i/>
          <w:iCs/>
        </w:rPr>
        <w:t xml:space="preserve">Public Governance, Performance and Accountability (Financial Reporting) Rule 2015 </w:t>
      </w:r>
      <w:r>
        <w:t>(FRR), which prescribes the financial reporting requirements for Commonwealth entities. Both rules are legislative instruments for the purpose of the</w:t>
      </w:r>
      <w:r w:rsidRPr="25088863">
        <w:rPr>
          <w:i/>
          <w:iCs/>
        </w:rPr>
        <w:t xml:space="preserve"> Legislation Act 2003.</w:t>
      </w:r>
    </w:p>
    <w:p w14:paraId="7BAF675D" w14:textId="77777777" w:rsidR="00E44934" w:rsidRPr="006C3BA8" w:rsidRDefault="00E44934" w:rsidP="00EB2C82">
      <w:pPr>
        <w:spacing w:line="276" w:lineRule="auto"/>
        <w:jc w:val="both"/>
        <w:rPr>
          <w:i/>
        </w:rPr>
      </w:pPr>
    </w:p>
    <w:p w14:paraId="131D43EA" w14:textId="77777777" w:rsidR="00E44934" w:rsidRPr="006C3BA8" w:rsidRDefault="25088863" w:rsidP="25088863">
      <w:pPr>
        <w:tabs>
          <w:tab w:val="left" w:pos="4536"/>
        </w:tabs>
        <w:spacing w:after="120" w:line="276" w:lineRule="auto"/>
        <w:jc w:val="both"/>
        <w:rPr>
          <w:i/>
          <w:iCs/>
        </w:rPr>
      </w:pPr>
      <w:r w:rsidRPr="25088863">
        <w:rPr>
          <w:i/>
          <w:iCs/>
        </w:rPr>
        <w:t>Other Legislative Provisions</w:t>
      </w:r>
    </w:p>
    <w:p w14:paraId="64C3157D" w14:textId="4CD076C0" w:rsidR="00E44934" w:rsidRDefault="25088863" w:rsidP="00EB2C82">
      <w:pPr>
        <w:tabs>
          <w:tab w:val="left" w:pos="4536"/>
        </w:tabs>
        <w:spacing w:after="160" w:line="276" w:lineRule="auto"/>
        <w:jc w:val="both"/>
      </w:pPr>
      <w:r>
        <w:t>The FRR sets out the requirements for preparation of financial statements in accordance with the following legislative provisions:</w:t>
      </w:r>
    </w:p>
    <w:p w14:paraId="2B1C4011" w14:textId="58171558" w:rsidR="00C73CEC" w:rsidRDefault="25088863" w:rsidP="00EB2C82">
      <w:pPr>
        <w:pStyle w:val="ListParagraph"/>
        <w:numPr>
          <w:ilvl w:val="0"/>
          <w:numId w:val="9"/>
        </w:numPr>
        <w:spacing w:line="276" w:lineRule="auto"/>
        <w:jc w:val="both"/>
      </w:pPr>
      <w:r>
        <w:t>subsection 42(2) of the PGPA Act prescribes that annual financial statements must:</w:t>
      </w:r>
    </w:p>
    <w:p w14:paraId="75D295FA" w14:textId="5051FC14" w:rsidR="00C73CEC" w:rsidRDefault="25088863" w:rsidP="00EB2C82">
      <w:pPr>
        <w:pStyle w:val="ListParagraph"/>
        <w:numPr>
          <w:ilvl w:val="1"/>
          <w:numId w:val="9"/>
        </w:numPr>
        <w:spacing w:line="276" w:lineRule="auto"/>
        <w:jc w:val="both"/>
      </w:pPr>
      <w:r>
        <w:t>comply with accounting standards</w:t>
      </w:r>
      <w:r w:rsidR="009A7BA1">
        <w:t xml:space="preserve"> issued by the Australian Accounting Standards Board (AASB)</w:t>
      </w:r>
      <w:r>
        <w:t xml:space="preserve"> and any other requirements prescribed by the rules</w:t>
      </w:r>
    </w:p>
    <w:p w14:paraId="2AD094CD" w14:textId="52CEAC65" w:rsidR="00E44934" w:rsidRPr="009C5606" w:rsidRDefault="25088863" w:rsidP="00EB2C82">
      <w:pPr>
        <w:pStyle w:val="ListParagraph"/>
        <w:numPr>
          <w:ilvl w:val="1"/>
          <w:numId w:val="9"/>
        </w:numPr>
        <w:spacing w:line="276" w:lineRule="auto"/>
        <w:jc w:val="both"/>
      </w:pPr>
      <w:r>
        <w:t>present fairly the entity’s financial position, financial performance and cash flows</w:t>
      </w:r>
    </w:p>
    <w:p w14:paraId="1EE9556A" w14:textId="1284691D" w:rsidR="00E44934" w:rsidRPr="009C5606" w:rsidRDefault="25088863" w:rsidP="00EB2C82">
      <w:pPr>
        <w:pStyle w:val="ListParagraph"/>
        <w:numPr>
          <w:ilvl w:val="0"/>
          <w:numId w:val="9"/>
        </w:numPr>
        <w:spacing w:line="276" w:lineRule="auto"/>
        <w:jc w:val="both"/>
      </w:pPr>
      <w:r>
        <w:t xml:space="preserve">subsection 47(1) of the </w:t>
      </w:r>
      <w:r w:rsidRPr="25088863">
        <w:rPr>
          <w:i/>
          <w:iCs/>
        </w:rPr>
        <w:t>High Court of Australia Act 1979</w:t>
      </w:r>
      <w:r>
        <w:t xml:space="preserve"> prescribes the financial statements reporting requirements of the High Court of Australia</w:t>
      </w:r>
    </w:p>
    <w:p w14:paraId="787E8E48" w14:textId="0C47A4CD" w:rsidR="00E44934" w:rsidRPr="009C5606" w:rsidRDefault="25088863" w:rsidP="00EB2C82">
      <w:pPr>
        <w:pStyle w:val="ListParagraph"/>
        <w:numPr>
          <w:ilvl w:val="0"/>
          <w:numId w:val="9"/>
        </w:numPr>
        <w:spacing w:line="276" w:lineRule="auto"/>
        <w:jc w:val="both"/>
      </w:pPr>
      <w:r>
        <w:t xml:space="preserve">subsections 50B(2) and (4) of the </w:t>
      </w:r>
      <w:r w:rsidRPr="25088863">
        <w:rPr>
          <w:i/>
          <w:iCs/>
        </w:rPr>
        <w:t>Defence Service Homes Act 1918</w:t>
      </w:r>
      <w:r>
        <w:t xml:space="preserve"> prescribe the financial statements reporting requirements of the Defence Service Homes Corporation</w:t>
      </w:r>
    </w:p>
    <w:p w14:paraId="2A256B00" w14:textId="338A074B" w:rsidR="001A3B3D" w:rsidRDefault="25088863" w:rsidP="00EB2C82">
      <w:pPr>
        <w:pStyle w:val="ListParagraph"/>
        <w:numPr>
          <w:ilvl w:val="0"/>
          <w:numId w:val="9"/>
        </w:numPr>
        <w:spacing w:line="276" w:lineRule="auto"/>
        <w:jc w:val="both"/>
      </w:pPr>
      <w:r>
        <w:t xml:space="preserve">subsections 43(1) and (3) of the </w:t>
      </w:r>
      <w:r w:rsidRPr="25088863">
        <w:rPr>
          <w:i/>
          <w:iCs/>
        </w:rPr>
        <w:t>Natural Heritage Trust of Australia Act 1997</w:t>
      </w:r>
      <w:r>
        <w:t xml:space="preserve"> prescribe the financial statements reporting requirements of the Natural Heritage Trust of Australia Account</w:t>
      </w:r>
    </w:p>
    <w:p w14:paraId="7886A8CD" w14:textId="0E783467" w:rsidR="00E44934" w:rsidRPr="009C5606" w:rsidRDefault="25088863" w:rsidP="00EB2C82">
      <w:pPr>
        <w:pStyle w:val="ListParagraph"/>
        <w:numPr>
          <w:ilvl w:val="0"/>
          <w:numId w:val="9"/>
        </w:numPr>
        <w:spacing w:after="200" w:line="276" w:lineRule="auto"/>
        <w:ind w:left="714" w:hanging="357"/>
        <w:contextualSpacing w:val="0"/>
        <w:jc w:val="both"/>
      </w:pPr>
      <w:r>
        <w:t xml:space="preserve">Division 4 of Part 2-3 of the </w:t>
      </w:r>
      <w:r w:rsidRPr="25088863">
        <w:rPr>
          <w:i/>
          <w:iCs/>
        </w:rPr>
        <w:t>Public Governance, Performance and Accountability Rule 2014</w:t>
      </w:r>
      <w:r>
        <w:t xml:space="preserve"> (PGPA Rule) prescribes how financial statements must be prepared for Commonwealth entities that have ceased to exist or whose functions have been transferred.</w:t>
      </w:r>
    </w:p>
    <w:p w14:paraId="3CD49266" w14:textId="48F9AA0F" w:rsidR="00454C17" w:rsidRDefault="25088863" w:rsidP="00EB2C82">
      <w:pPr>
        <w:spacing w:line="276" w:lineRule="auto"/>
        <w:jc w:val="both"/>
      </w:pPr>
      <w:r>
        <w:t>A number of FRR provisions are made for the purpose of subsection 102(1)(b) of the PGPA Act, which prescribes that provisions may be made for the Commonwealth and Commonwealth entities to ensure or promote proper accountability for the use and management of public resources.</w:t>
      </w:r>
    </w:p>
    <w:p w14:paraId="2CFDEEC5" w14:textId="77777777" w:rsidR="00A31DDA" w:rsidRDefault="00A31DDA" w:rsidP="00EB2C82">
      <w:pPr>
        <w:spacing w:line="276" w:lineRule="auto"/>
        <w:jc w:val="both"/>
      </w:pPr>
    </w:p>
    <w:p w14:paraId="0E0A8E60" w14:textId="3A0E76EB" w:rsidR="00454C17" w:rsidRDefault="25088863" w:rsidP="25088863">
      <w:pPr>
        <w:spacing w:after="120" w:line="276" w:lineRule="auto"/>
        <w:jc w:val="both"/>
        <w:rPr>
          <w:b/>
          <w:bCs/>
        </w:rPr>
      </w:pPr>
      <w:r w:rsidRPr="25088863">
        <w:rPr>
          <w:b/>
          <w:bCs/>
        </w:rPr>
        <w:t>202</w:t>
      </w:r>
      <w:r w:rsidR="00F049B0">
        <w:rPr>
          <w:b/>
          <w:bCs/>
        </w:rPr>
        <w:t>2</w:t>
      </w:r>
      <w:r w:rsidRPr="25088863">
        <w:rPr>
          <w:b/>
          <w:bCs/>
        </w:rPr>
        <w:t>-2</w:t>
      </w:r>
      <w:r w:rsidR="00A80A29">
        <w:rPr>
          <w:b/>
          <w:bCs/>
        </w:rPr>
        <w:t>3</w:t>
      </w:r>
      <w:r w:rsidRPr="25088863">
        <w:rPr>
          <w:b/>
          <w:bCs/>
        </w:rPr>
        <w:t xml:space="preserve"> Amendments</w:t>
      </w:r>
    </w:p>
    <w:p w14:paraId="215EB090" w14:textId="21A7C78A" w:rsidR="00454C17" w:rsidRDefault="25088863" w:rsidP="00EB2C82">
      <w:pPr>
        <w:spacing w:after="160" w:line="276" w:lineRule="auto"/>
        <w:jc w:val="both"/>
      </w:pPr>
      <w:r>
        <w:t>For the 202</w:t>
      </w:r>
      <w:r w:rsidR="00F049B0">
        <w:t>2</w:t>
      </w:r>
      <w:r>
        <w:t>-2</w:t>
      </w:r>
      <w:r w:rsidR="00F049B0">
        <w:t>3</w:t>
      </w:r>
      <w:r>
        <w:t xml:space="preserve"> financial reporting period, the following changes to the FRR have been made: </w:t>
      </w:r>
    </w:p>
    <w:p w14:paraId="207C0E93" w14:textId="4CCFB8A2" w:rsidR="001D44DD" w:rsidRPr="00E7485D" w:rsidRDefault="009A7BA1" w:rsidP="00DE5B4D">
      <w:pPr>
        <w:pStyle w:val="ListParagraph"/>
        <w:numPr>
          <w:ilvl w:val="0"/>
          <w:numId w:val="13"/>
        </w:numPr>
        <w:spacing w:line="276" w:lineRule="auto"/>
        <w:contextualSpacing w:val="0"/>
        <w:jc w:val="both"/>
      </w:pPr>
      <w:r>
        <w:t xml:space="preserve">updating the </w:t>
      </w:r>
      <w:r w:rsidR="00F049B0">
        <w:t xml:space="preserve">names of three entities </w:t>
      </w:r>
      <w:r w:rsidR="000D15F7">
        <w:t xml:space="preserve">and inclusion of two new entities </w:t>
      </w:r>
      <w:r>
        <w:t>subject to Tier 1 reporting requirements under</w:t>
      </w:r>
      <w:r w:rsidR="00CE508D">
        <w:t xml:space="preserve"> accounting standard</w:t>
      </w:r>
      <w:r>
        <w:t xml:space="preserve"> AASB 1053 </w:t>
      </w:r>
      <w:r w:rsidRPr="009A7BA1">
        <w:rPr>
          <w:i/>
        </w:rPr>
        <w:t>Application of Tiers of Australian Accounting Standards</w:t>
      </w:r>
      <w:r>
        <w:t xml:space="preserve">, as a result of the </w:t>
      </w:r>
      <w:r w:rsidR="004E6817">
        <w:t>machinery of government changes</w:t>
      </w:r>
      <w:r w:rsidR="25088863">
        <w:t xml:space="preserve"> </w:t>
      </w:r>
      <w:r>
        <w:t>announced in June 2022</w:t>
      </w:r>
      <w:r w:rsidR="00CE508D">
        <w:t xml:space="preserve"> (subsection 18(4) of the FRR)</w:t>
      </w:r>
    </w:p>
    <w:p w14:paraId="431E423F" w14:textId="6573ACB1" w:rsidR="00F900E7" w:rsidRPr="00C94673" w:rsidRDefault="009A7BA1" w:rsidP="00DE5B4D">
      <w:pPr>
        <w:pStyle w:val="ListParagraph"/>
        <w:numPr>
          <w:ilvl w:val="0"/>
          <w:numId w:val="13"/>
        </w:numPr>
        <w:spacing w:line="276" w:lineRule="auto"/>
        <w:contextualSpacing w:val="0"/>
        <w:jc w:val="both"/>
      </w:pPr>
      <w:r w:rsidRPr="00C94673">
        <w:t>r</w:t>
      </w:r>
      <w:r w:rsidR="25088863" w:rsidRPr="00C94673">
        <w:t>e</w:t>
      </w:r>
      <w:r w:rsidR="004E6817" w:rsidRPr="00C94673">
        <w:t xml:space="preserve">moval of the reference to the </w:t>
      </w:r>
      <w:r w:rsidR="004E6817" w:rsidRPr="00C94673">
        <w:rPr>
          <w:i/>
        </w:rPr>
        <w:t>Commonwealth Entities Financial Statement</w:t>
      </w:r>
      <w:r w:rsidR="000E38E5" w:rsidRPr="00C94673">
        <w:rPr>
          <w:i/>
        </w:rPr>
        <w:t>s</w:t>
      </w:r>
      <w:r w:rsidR="004E6817" w:rsidRPr="00C94673">
        <w:rPr>
          <w:i/>
        </w:rPr>
        <w:t xml:space="preserve"> Guide</w:t>
      </w:r>
      <w:r w:rsidRPr="00C94673">
        <w:rPr>
          <w:i/>
        </w:rPr>
        <w:t xml:space="preserve"> </w:t>
      </w:r>
      <w:r w:rsidRPr="00C94673">
        <w:t xml:space="preserve">in the context of </w:t>
      </w:r>
      <w:r w:rsidR="00CE508D" w:rsidRPr="00C94673">
        <w:t>Commonwealth entities estimating their long service leave (LSL) liability using the shorthand method (subsection 24</w:t>
      </w:r>
      <w:r w:rsidR="008B36D2">
        <w:t>(1)</w:t>
      </w:r>
      <w:r w:rsidR="00CE508D" w:rsidRPr="00C94673">
        <w:t xml:space="preserve">(b) of the FRR). </w:t>
      </w:r>
    </w:p>
    <w:p w14:paraId="5B82076C" w14:textId="77777777" w:rsidR="005C4F0B" w:rsidRPr="00C94673" w:rsidRDefault="005C4F0B" w:rsidP="005C4F0B">
      <w:pPr>
        <w:spacing w:line="276" w:lineRule="auto"/>
        <w:jc w:val="both"/>
      </w:pPr>
    </w:p>
    <w:p w14:paraId="3EC366FA" w14:textId="4816489E" w:rsidR="00CE508D" w:rsidRPr="00C94673" w:rsidRDefault="00CE508D" w:rsidP="005C4F0B">
      <w:pPr>
        <w:spacing w:line="276" w:lineRule="auto"/>
        <w:jc w:val="both"/>
      </w:pPr>
      <w:r w:rsidRPr="00C94673">
        <w:t>The shorthand method referenced in subsection 24</w:t>
      </w:r>
      <w:r w:rsidR="008B36D2">
        <w:t>(1)</w:t>
      </w:r>
      <w:r w:rsidRPr="00C94673">
        <w:t xml:space="preserve">(b) of the FRR is an actuarial methodology which can be used by Commonwealth entities with 1,000 or less employees to calculate the entity’s LSL liability. This methodology complies with accounting standards AASB 119 </w:t>
      </w:r>
      <w:r w:rsidRPr="00C94673">
        <w:rPr>
          <w:i/>
        </w:rPr>
        <w:t>Employee Benefits</w:t>
      </w:r>
      <w:r w:rsidRPr="00C94673">
        <w:t xml:space="preserve"> and AASB 101 </w:t>
      </w:r>
      <w:r w:rsidRPr="00C94673">
        <w:rPr>
          <w:i/>
        </w:rPr>
        <w:t>Presentation of Financial Statements</w:t>
      </w:r>
      <w:r w:rsidR="000E38E5" w:rsidRPr="00C94673">
        <w:t>, and utilises assumptions in relation to LSL usage, retirement and discount rates that reflect the experience of Commonwealth entities with 1,000 or less employees</w:t>
      </w:r>
      <w:r w:rsidRPr="00C94673">
        <w:t xml:space="preserve">. </w:t>
      </w:r>
    </w:p>
    <w:p w14:paraId="743367FF" w14:textId="77777777" w:rsidR="000E38E5" w:rsidRPr="00C94673" w:rsidRDefault="000E38E5" w:rsidP="005C4F0B">
      <w:pPr>
        <w:spacing w:line="276" w:lineRule="auto"/>
        <w:jc w:val="both"/>
      </w:pPr>
    </w:p>
    <w:p w14:paraId="212B3104" w14:textId="6EFBD28D" w:rsidR="005C4F0B" w:rsidRDefault="005C4F0B" w:rsidP="005C4F0B">
      <w:pPr>
        <w:spacing w:line="276" w:lineRule="auto"/>
        <w:jc w:val="both"/>
      </w:pPr>
      <w:r w:rsidRPr="00C94673">
        <w:t>The Department of Finance engage</w:t>
      </w:r>
      <w:r w:rsidR="000E38E5" w:rsidRPr="00C94673">
        <w:t>s</w:t>
      </w:r>
      <w:r w:rsidRPr="00C94673">
        <w:t xml:space="preserve"> </w:t>
      </w:r>
      <w:r w:rsidR="000E38E5" w:rsidRPr="00C94673">
        <w:t>actuaries</w:t>
      </w:r>
      <w:r w:rsidRPr="00C94673">
        <w:t>, such as the Australian Government Actuary</w:t>
      </w:r>
      <w:r w:rsidR="002247B2" w:rsidRPr="00C94673">
        <w:t>,</w:t>
      </w:r>
      <w:r w:rsidR="000E38E5" w:rsidRPr="00C94673">
        <w:t xml:space="preserve"> to periodically </w:t>
      </w:r>
      <w:r w:rsidRPr="00C94673">
        <w:t>review and update the shorthand method</w:t>
      </w:r>
      <w:r w:rsidR="000E38E5" w:rsidRPr="00C94673">
        <w:t xml:space="preserve">, which is contained in a </w:t>
      </w:r>
      <w:r w:rsidRPr="00C94673">
        <w:t>spreadsheet model.</w:t>
      </w:r>
      <w:r w:rsidR="000E38E5" w:rsidRPr="00C94673">
        <w:t xml:space="preserve"> Information on how to access the spreadsheet model is contained in the Commonwealth Entities Financial Statements Guide, a guidance document published annually by the Department of Finance on its website. The guidance is intended to assist Commonwealth entities with the preparation of their financial statements in accordance with the FRR.</w:t>
      </w:r>
    </w:p>
    <w:p w14:paraId="54F56B30" w14:textId="2FEB7490" w:rsidR="008E775C" w:rsidRDefault="008E775C" w:rsidP="008E775C">
      <w:pPr>
        <w:spacing w:line="276" w:lineRule="auto"/>
        <w:jc w:val="both"/>
      </w:pPr>
    </w:p>
    <w:p w14:paraId="3D18B592" w14:textId="49928B89" w:rsidR="0072275C" w:rsidRPr="00407B73" w:rsidRDefault="25088863" w:rsidP="25088863">
      <w:pPr>
        <w:spacing w:after="120" w:line="276" w:lineRule="auto"/>
        <w:jc w:val="both"/>
        <w:rPr>
          <w:b/>
          <w:bCs/>
        </w:rPr>
      </w:pPr>
      <w:r w:rsidRPr="25088863">
        <w:rPr>
          <w:b/>
          <w:bCs/>
        </w:rPr>
        <w:t>Retrospectivity and Timing</w:t>
      </w:r>
    </w:p>
    <w:p w14:paraId="77FA8551" w14:textId="127F2CBD" w:rsidR="00E6511D" w:rsidRPr="00407B73" w:rsidRDefault="25088863" w:rsidP="25088863">
      <w:pPr>
        <w:pStyle w:val="Paragraph"/>
        <w:spacing w:before="0" w:after="200" w:line="276" w:lineRule="auto"/>
        <w:jc w:val="both"/>
        <w:rPr>
          <w:szCs w:val="24"/>
        </w:rPr>
      </w:pPr>
      <w:r>
        <w:t xml:space="preserve">The retrospective commencement date of the Amending Rule does not adversely affect the rights of persons or otherwise impose liabilities, other than onto the Commonwealth or Commonwealth entities, and as such, does not contravene subsection 12(2) of the </w:t>
      </w:r>
      <w:r w:rsidRPr="25088863">
        <w:rPr>
          <w:i/>
          <w:iCs/>
        </w:rPr>
        <w:t>Legislation Act 2003</w:t>
      </w:r>
      <w:r>
        <w:t>.</w:t>
      </w:r>
      <w:bookmarkStart w:id="1" w:name="OLE_LINK1"/>
      <w:bookmarkStart w:id="2" w:name="OLE_LINK2"/>
      <w:bookmarkEnd w:id="1"/>
      <w:bookmarkEnd w:id="2"/>
    </w:p>
    <w:p w14:paraId="60D9681D" w14:textId="77777777" w:rsidR="003F1486" w:rsidRPr="00805D0D" w:rsidRDefault="25088863" w:rsidP="25088863">
      <w:pPr>
        <w:pStyle w:val="Paragraph"/>
        <w:spacing w:before="0" w:after="200" w:line="276" w:lineRule="auto"/>
        <w:jc w:val="both"/>
        <w:rPr>
          <w:szCs w:val="24"/>
        </w:rPr>
      </w:pPr>
      <w:r>
        <w:t>A retrospective commencement date has historically been used for financial reporting purposes as this ensures that changes are applicable in the same reporting period in which the amendments are made.</w:t>
      </w:r>
    </w:p>
    <w:p w14:paraId="24DBE88C" w14:textId="5855CF6B" w:rsidR="002E02B6" w:rsidRPr="00407B73" w:rsidRDefault="25088863" w:rsidP="25088863">
      <w:pPr>
        <w:pStyle w:val="Paragraph"/>
        <w:spacing w:before="0" w:line="276" w:lineRule="auto"/>
        <w:jc w:val="both"/>
        <w:rPr>
          <w:szCs w:val="24"/>
        </w:rPr>
      </w:pPr>
      <w:r>
        <w:t>For reporting periods commencing before 1 July 202</w:t>
      </w:r>
      <w:r w:rsidR="004E6817">
        <w:t>2</w:t>
      </w:r>
      <w:r>
        <w:t>, these amendments to the FRR are not applicable.</w:t>
      </w:r>
    </w:p>
    <w:p w14:paraId="2374F8E2" w14:textId="77777777" w:rsidR="006B4D64" w:rsidRPr="00407B73" w:rsidRDefault="006B4D64" w:rsidP="00EB2C82">
      <w:pPr>
        <w:pStyle w:val="Paragraph"/>
        <w:spacing w:before="0" w:line="276" w:lineRule="auto"/>
        <w:jc w:val="both"/>
        <w:rPr>
          <w:szCs w:val="24"/>
        </w:rPr>
      </w:pPr>
    </w:p>
    <w:p w14:paraId="597CCE84" w14:textId="77777777" w:rsidR="00C07FE4" w:rsidRPr="00407B73" w:rsidRDefault="25088863" w:rsidP="25088863">
      <w:pPr>
        <w:pStyle w:val="Heading7"/>
        <w:spacing w:after="120" w:line="276" w:lineRule="auto"/>
        <w:ind w:left="0"/>
        <w:jc w:val="both"/>
        <w:rPr>
          <w:i w:val="0"/>
          <w:sz w:val="24"/>
          <w:szCs w:val="24"/>
        </w:rPr>
      </w:pPr>
      <w:r w:rsidRPr="25088863">
        <w:rPr>
          <w:i w:val="0"/>
          <w:sz w:val="24"/>
          <w:szCs w:val="24"/>
        </w:rPr>
        <w:t>Consultation</w:t>
      </w:r>
    </w:p>
    <w:p w14:paraId="0F3E8CF0" w14:textId="545DAFDC" w:rsidR="00FF5CFE" w:rsidRDefault="25088863" w:rsidP="25088863">
      <w:pPr>
        <w:spacing w:after="200" w:line="276" w:lineRule="auto"/>
        <w:jc w:val="both"/>
        <w:rPr>
          <w:lang w:val="en-GB"/>
        </w:rPr>
      </w:pPr>
      <w:r w:rsidRPr="25088863">
        <w:rPr>
          <w:lang w:val="en-GB"/>
        </w:rPr>
        <w:t>The Department of Finance worked with the Office of Parliamentary Counsel in drafting the Amending Rule.</w:t>
      </w:r>
    </w:p>
    <w:p w14:paraId="240B84AF" w14:textId="360573F9" w:rsidR="00E87790" w:rsidRDefault="25088863" w:rsidP="00EB2C82">
      <w:pPr>
        <w:spacing w:line="276" w:lineRule="auto"/>
        <w:jc w:val="both"/>
      </w:pPr>
      <w:r w:rsidRPr="25088863">
        <w:rPr>
          <w:lang w:val="en-GB"/>
        </w:rPr>
        <w:lastRenderedPageBreak/>
        <w:t xml:space="preserve">The Amending Rule was developed in consultation with </w:t>
      </w:r>
      <w:r>
        <w:t>the Australian National Audit Office and all Commonwealth reporting entities.</w:t>
      </w:r>
    </w:p>
    <w:p w14:paraId="1B8D5C85" w14:textId="77777777" w:rsidR="00A31DDA" w:rsidRDefault="00A31DDA" w:rsidP="00EB2C82">
      <w:pPr>
        <w:spacing w:line="276" w:lineRule="auto"/>
        <w:jc w:val="both"/>
        <w:rPr>
          <w:lang w:val="en-GB"/>
        </w:rPr>
      </w:pPr>
    </w:p>
    <w:p w14:paraId="69CA9690" w14:textId="228CD021" w:rsidR="00454C17" w:rsidRPr="00454C17" w:rsidRDefault="25088863" w:rsidP="25088863">
      <w:pPr>
        <w:spacing w:after="120" w:line="276" w:lineRule="auto"/>
        <w:jc w:val="both"/>
        <w:rPr>
          <w:b/>
          <w:bCs/>
        </w:rPr>
      </w:pPr>
      <w:r w:rsidRPr="25088863">
        <w:rPr>
          <w:b/>
          <w:bCs/>
        </w:rPr>
        <w:t>Attachments</w:t>
      </w:r>
    </w:p>
    <w:p w14:paraId="69829B67" w14:textId="7C21F79A" w:rsidR="00454C17" w:rsidRDefault="25088863" w:rsidP="00EB2C82">
      <w:pPr>
        <w:spacing w:after="200" w:line="276" w:lineRule="auto"/>
        <w:jc w:val="both"/>
      </w:pPr>
      <w:r>
        <w:t>Details of the Amending Rule for reporting periods commencing on or after 1 July 202</w:t>
      </w:r>
      <w:r w:rsidR="004E6817">
        <w:t>2</w:t>
      </w:r>
      <w:r>
        <w:t xml:space="preserve"> are set out at </w:t>
      </w:r>
      <w:r w:rsidRPr="25088863">
        <w:rPr>
          <w:u w:val="single"/>
        </w:rPr>
        <w:t>Attachment A</w:t>
      </w:r>
      <w:r>
        <w:t>.</w:t>
      </w:r>
    </w:p>
    <w:p w14:paraId="3E24D345" w14:textId="5452EEC8" w:rsidR="006F6AE8" w:rsidRDefault="006F6AE8" w:rsidP="00EB2C82">
      <w:pPr>
        <w:spacing w:after="200" w:line="276" w:lineRule="auto"/>
        <w:jc w:val="both"/>
      </w:pPr>
      <w:r w:rsidRPr="25088863">
        <w:rPr>
          <w:lang w:val="en-GB"/>
        </w:rPr>
        <w:t xml:space="preserve">The Statement of Compatibility with Human Rights as required by the </w:t>
      </w:r>
      <w:r w:rsidRPr="25088863">
        <w:rPr>
          <w:i/>
          <w:iCs/>
          <w:lang w:val="en-GB"/>
        </w:rPr>
        <w:t>Human Rights (Parliamentary Scrutiny) Act 2011</w:t>
      </w:r>
      <w:r w:rsidRPr="25088863">
        <w:rPr>
          <w:lang w:val="en-GB"/>
        </w:rPr>
        <w:t xml:space="preserve"> is at </w:t>
      </w:r>
      <w:r w:rsidRPr="25088863">
        <w:rPr>
          <w:u w:val="single"/>
          <w:lang w:val="en-GB"/>
        </w:rPr>
        <w:t>Attachment B</w:t>
      </w:r>
      <w:r w:rsidRPr="25088863">
        <w:rPr>
          <w:lang w:val="en-GB"/>
        </w:rPr>
        <w:t>.</w:t>
      </w:r>
    </w:p>
    <w:p w14:paraId="5CF57090" w14:textId="77777777" w:rsidR="00454C17" w:rsidRPr="00407B73" w:rsidRDefault="00454C17" w:rsidP="007329EA">
      <w:pPr>
        <w:sectPr w:rsidR="00454C17" w:rsidRPr="00407B73" w:rsidSect="001F35A6">
          <w:headerReference w:type="default" r:id="rId11"/>
          <w:footerReference w:type="default" r:id="rId12"/>
          <w:footerReference w:type="first" r:id="rId13"/>
          <w:pgSz w:w="11907" w:h="16840" w:code="9"/>
          <w:pgMar w:top="1135" w:right="1797" w:bottom="1440" w:left="1797" w:header="720" w:footer="209" w:gutter="0"/>
          <w:cols w:space="720"/>
          <w:docGrid w:linePitch="326"/>
        </w:sectPr>
      </w:pPr>
    </w:p>
    <w:p w14:paraId="1E273EBA" w14:textId="77777777" w:rsidR="001F35A6" w:rsidRDefault="25088863" w:rsidP="25088863">
      <w:pPr>
        <w:pStyle w:val="Heading1"/>
        <w:spacing w:after="200" w:line="276" w:lineRule="auto"/>
        <w:jc w:val="right"/>
        <w:rPr>
          <w:u w:val="single"/>
          <w:lang w:val="en-AU"/>
        </w:rPr>
      </w:pPr>
      <w:r w:rsidRPr="25088863">
        <w:rPr>
          <w:u w:val="single"/>
          <w:lang w:val="en-AU"/>
        </w:rPr>
        <w:lastRenderedPageBreak/>
        <w:t>Attachment A</w:t>
      </w:r>
    </w:p>
    <w:p w14:paraId="629E1885" w14:textId="344BB74B" w:rsidR="00F53ADE" w:rsidRPr="008D3AA2" w:rsidRDefault="25088863" w:rsidP="25088863">
      <w:pPr>
        <w:pStyle w:val="Heading1"/>
        <w:spacing w:after="200" w:line="276" w:lineRule="auto"/>
        <w:rPr>
          <w:i/>
          <w:iCs/>
          <w:u w:val="single"/>
          <w:lang w:val="en-AU"/>
        </w:rPr>
      </w:pPr>
      <w:r w:rsidRPr="25088863">
        <w:rPr>
          <w:u w:val="single"/>
          <w:lang w:val="en-AU"/>
        </w:rPr>
        <w:t xml:space="preserve">Details of the </w:t>
      </w:r>
      <w:r w:rsidRPr="25088863">
        <w:rPr>
          <w:i/>
          <w:iCs/>
          <w:u w:val="single"/>
          <w:lang w:val="en-AU"/>
        </w:rPr>
        <w:t>Public Governance, Performance and Accountability (Financial Reporting) Amendment (202</w:t>
      </w:r>
      <w:r w:rsidR="00C94673">
        <w:rPr>
          <w:i/>
          <w:iCs/>
          <w:u w:val="single"/>
          <w:lang w:val="en-AU"/>
        </w:rPr>
        <w:t>2</w:t>
      </w:r>
      <w:r w:rsidRPr="25088863">
        <w:rPr>
          <w:i/>
          <w:iCs/>
          <w:u w:val="single"/>
          <w:lang w:val="en-AU"/>
        </w:rPr>
        <w:t xml:space="preserve"> Measures No. </w:t>
      </w:r>
      <w:r w:rsidR="00C94673">
        <w:rPr>
          <w:i/>
          <w:iCs/>
          <w:u w:val="single"/>
          <w:lang w:val="en-AU"/>
        </w:rPr>
        <w:t>1</w:t>
      </w:r>
      <w:r w:rsidRPr="25088863">
        <w:rPr>
          <w:i/>
          <w:iCs/>
          <w:u w:val="single"/>
          <w:lang w:val="en-AU"/>
        </w:rPr>
        <w:t>) Rules 202</w:t>
      </w:r>
      <w:r w:rsidR="00C94673">
        <w:rPr>
          <w:i/>
          <w:iCs/>
          <w:u w:val="single"/>
          <w:lang w:val="en-AU"/>
        </w:rPr>
        <w:t>2</w:t>
      </w:r>
    </w:p>
    <w:p w14:paraId="1369B37D" w14:textId="77777777" w:rsidR="00425F6E" w:rsidRPr="00AC099A" w:rsidRDefault="25088863" w:rsidP="25088863">
      <w:pPr>
        <w:keepNext/>
        <w:spacing w:after="200" w:line="276" w:lineRule="auto"/>
        <w:ind w:right="-340"/>
        <w:jc w:val="both"/>
        <w:rPr>
          <w:b/>
          <w:bCs/>
        </w:rPr>
      </w:pPr>
      <w:r w:rsidRPr="25088863">
        <w:rPr>
          <w:b/>
          <w:bCs/>
        </w:rPr>
        <w:t>Section 1 – Name of rule</w:t>
      </w:r>
    </w:p>
    <w:p w14:paraId="135EE4BB" w14:textId="7A37A648" w:rsidR="00425F6E" w:rsidRDefault="25088863" w:rsidP="00AC099A">
      <w:pPr>
        <w:keepNext/>
        <w:spacing w:after="200" w:line="276" w:lineRule="auto"/>
        <w:ind w:right="-340"/>
        <w:jc w:val="both"/>
      </w:pPr>
      <w:r>
        <w:t xml:space="preserve">This section provides that the title of the instrument is the </w:t>
      </w:r>
      <w:r w:rsidRPr="25088863">
        <w:rPr>
          <w:i/>
          <w:iCs/>
        </w:rPr>
        <w:t>Public Governance, Performance and Accountability (Financial Reporting) Amendment (202</w:t>
      </w:r>
      <w:r w:rsidR="004E6817">
        <w:rPr>
          <w:i/>
          <w:iCs/>
        </w:rPr>
        <w:t>2</w:t>
      </w:r>
      <w:r w:rsidRPr="25088863">
        <w:rPr>
          <w:i/>
          <w:iCs/>
        </w:rPr>
        <w:t xml:space="preserve"> Measures No. </w:t>
      </w:r>
      <w:r w:rsidR="004E6817">
        <w:rPr>
          <w:i/>
          <w:iCs/>
        </w:rPr>
        <w:t>1</w:t>
      </w:r>
      <w:r w:rsidRPr="25088863">
        <w:rPr>
          <w:i/>
          <w:iCs/>
        </w:rPr>
        <w:t>) Rules 202</w:t>
      </w:r>
      <w:r w:rsidR="004E6817">
        <w:rPr>
          <w:i/>
          <w:iCs/>
        </w:rPr>
        <w:t>2</w:t>
      </w:r>
      <w:r w:rsidR="00C94673">
        <w:t xml:space="preserve"> (the </w:t>
      </w:r>
      <w:r>
        <w:t xml:space="preserve">Amending Rule). </w:t>
      </w:r>
    </w:p>
    <w:p w14:paraId="62D06BC4" w14:textId="2E00C2C1" w:rsidR="00425F6E" w:rsidRPr="00AC099A" w:rsidRDefault="25088863" w:rsidP="25088863">
      <w:pPr>
        <w:keepNext/>
        <w:spacing w:after="200" w:line="276" w:lineRule="auto"/>
        <w:ind w:right="-340"/>
        <w:jc w:val="both"/>
        <w:rPr>
          <w:b/>
          <w:bCs/>
        </w:rPr>
      </w:pPr>
      <w:r w:rsidRPr="25088863">
        <w:rPr>
          <w:b/>
          <w:bCs/>
        </w:rPr>
        <w:t>Section 2 – Commencement</w:t>
      </w:r>
    </w:p>
    <w:p w14:paraId="33AA629C" w14:textId="4C6CC419" w:rsidR="00425F6E" w:rsidRDefault="25088863" w:rsidP="00AC099A">
      <w:pPr>
        <w:keepNext/>
        <w:spacing w:after="200" w:line="276" w:lineRule="auto"/>
        <w:ind w:right="-340"/>
        <w:jc w:val="both"/>
      </w:pPr>
      <w:r>
        <w:t xml:space="preserve">This section provides that each provision of the instrument specified in column 1 of the table commences, or is taken to have commenced, in accordance with column 2 of the table. </w:t>
      </w:r>
    </w:p>
    <w:p w14:paraId="03ABC642" w14:textId="010046BE" w:rsidR="00425F6E" w:rsidRDefault="25088863" w:rsidP="00AC099A">
      <w:pPr>
        <w:keepNext/>
        <w:spacing w:after="200" w:line="276" w:lineRule="auto"/>
        <w:ind w:right="-340"/>
        <w:jc w:val="both"/>
      </w:pPr>
      <w:r>
        <w:t>The entire instrument commences on the day after the Amending Rule is registered.</w:t>
      </w:r>
    </w:p>
    <w:p w14:paraId="02A69782" w14:textId="1F2F5E6B" w:rsidR="00425F6E" w:rsidRPr="00AC099A" w:rsidRDefault="25088863" w:rsidP="25088863">
      <w:pPr>
        <w:keepNext/>
        <w:spacing w:after="200" w:line="276" w:lineRule="auto"/>
        <w:ind w:right="-340"/>
        <w:jc w:val="both"/>
        <w:rPr>
          <w:b/>
          <w:bCs/>
        </w:rPr>
      </w:pPr>
      <w:r w:rsidRPr="25088863">
        <w:rPr>
          <w:b/>
          <w:bCs/>
        </w:rPr>
        <w:t>Section 3 – Authority</w:t>
      </w:r>
    </w:p>
    <w:p w14:paraId="237F8C8D" w14:textId="5986E3B7" w:rsidR="00425F6E" w:rsidRDefault="25088863" w:rsidP="00AC099A">
      <w:pPr>
        <w:keepNext/>
        <w:spacing w:after="200" w:line="276" w:lineRule="auto"/>
        <w:ind w:right="-340"/>
        <w:jc w:val="both"/>
      </w:pPr>
      <w:r>
        <w:t xml:space="preserve">This section states that the Amending Rule is made under the </w:t>
      </w:r>
      <w:r w:rsidRPr="25088863">
        <w:rPr>
          <w:i/>
          <w:iCs/>
        </w:rPr>
        <w:t xml:space="preserve">Public Governance, Performance and Accountability Act 2013 </w:t>
      </w:r>
      <w:r>
        <w:t xml:space="preserve">(PGPA Act). </w:t>
      </w:r>
    </w:p>
    <w:p w14:paraId="26DAC5DD" w14:textId="1862C73B" w:rsidR="00425F6E" w:rsidRPr="00AC099A" w:rsidRDefault="25088863" w:rsidP="25088863">
      <w:pPr>
        <w:keepNext/>
        <w:spacing w:after="200" w:line="276" w:lineRule="auto"/>
        <w:ind w:right="-340"/>
        <w:jc w:val="both"/>
        <w:rPr>
          <w:b/>
          <w:bCs/>
        </w:rPr>
      </w:pPr>
      <w:r w:rsidRPr="25088863">
        <w:rPr>
          <w:b/>
          <w:bCs/>
        </w:rPr>
        <w:t>Section 4 – Schedules</w:t>
      </w:r>
    </w:p>
    <w:p w14:paraId="152D1181" w14:textId="7FE3F21B" w:rsidR="00425F6E" w:rsidRDefault="25088863" w:rsidP="00AC099A">
      <w:pPr>
        <w:keepNext/>
        <w:spacing w:after="200" w:line="276" w:lineRule="auto"/>
        <w:ind w:right="-340"/>
        <w:jc w:val="both"/>
      </w:pPr>
      <w:r>
        <w:t>This section provides that each legislative instrument that is specified in a Schedule to the Amending Rule is amended or repealed as set out, and that any item in a Schedule to this instrument operates or is applied as specified in the Schedule.</w:t>
      </w:r>
    </w:p>
    <w:p w14:paraId="66CBE586" w14:textId="39210B85" w:rsidR="00425F6E" w:rsidRPr="00AC099A" w:rsidRDefault="25088863" w:rsidP="25088863">
      <w:pPr>
        <w:keepNext/>
        <w:spacing w:after="200" w:line="276" w:lineRule="auto"/>
        <w:ind w:right="-340"/>
        <w:jc w:val="both"/>
        <w:rPr>
          <w:b/>
          <w:bCs/>
        </w:rPr>
      </w:pPr>
      <w:r w:rsidRPr="25088863">
        <w:rPr>
          <w:b/>
          <w:bCs/>
        </w:rPr>
        <w:t>Schedule 1 – Amendments</w:t>
      </w:r>
    </w:p>
    <w:p w14:paraId="45CAAA5A" w14:textId="1256AADA" w:rsidR="00425F6E" w:rsidRPr="00AC099A" w:rsidRDefault="25088863" w:rsidP="25088863">
      <w:pPr>
        <w:keepNext/>
        <w:spacing w:after="200" w:line="276" w:lineRule="auto"/>
        <w:ind w:right="-340"/>
        <w:jc w:val="both"/>
        <w:rPr>
          <w:b/>
          <w:bCs/>
          <w:i/>
          <w:iCs/>
        </w:rPr>
      </w:pPr>
      <w:r w:rsidRPr="25088863">
        <w:rPr>
          <w:b/>
          <w:bCs/>
          <w:i/>
          <w:iCs/>
        </w:rPr>
        <w:t>Public Governance, Performance and Accountability (Financial Reporting) Rule 2015</w:t>
      </w:r>
    </w:p>
    <w:p w14:paraId="4527B698" w14:textId="5BAD3471" w:rsidR="002D7DA0" w:rsidRPr="00AC099A" w:rsidRDefault="25088863" w:rsidP="25088863">
      <w:pPr>
        <w:keepNext/>
        <w:spacing w:after="200" w:line="276" w:lineRule="auto"/>
        <w:ind w:right="-340"/>
        <w:jc w:val="both"/>
        <w:rPr>
          <w:b/>
          <w:bCs/>
        </w:rPr>
      </w:pPr>
      <w:r w:rsidRPr="25088863">
        <w:rPr>
          <w:b/>
          <w:bCs/>
        </w:rPr>
        <w:t xml:space="preserve">Item 1 – Subsection 3(2) </w:t>
      </w:r>
    </w:p>
    <w:p w14:paraId="044377ED" w14:textId="5BBEC130" w:rsidR="002D7DA0" w:rsidRPr="000F1407" w:rsidRDefault="25088863" w:rsidP="002D7DA0">
      <w:pPr>
        <w:keepNext/>
        <w:spacing w:after="200" w:line="276" w:lineRule="auto"/>
        <w:ind w:left="-6" w:right="-340"/>
        <w:jc w:val="both"/>
      </w:pPr>
      <w:r>
        <w:t>Item 1 amends the reporting period to commence on or after 1 July 202</w:t>
      </w:r>
      <w:r w:rsidR="004E6817">
        <w:t>2</w:t>
      </w:r>
      <w:r>
        <w:t xml:space="preserve">. </w:t>
      </w:r>
    </w:p>
    <w:p w14:paraId="437C6284" w14:textId="338EAE18" w:rsidR="00C87E47" w:rsidRPr="00AC099A" w:rsidRDefault="25088863" w:rsidP="25088863">
      <w:pPr>
        <w:keepNext/>
        <w:spacing w:after="200" w:line="276" w:lineRule="auto"/>
        <w:ind w:right="-340"/>
        <w:jc w:val="both"/>
        <w:rPr>
          <w:b/>
          <w:bCs/>
        </w:rPr>
      </w:pPr>
      <w:r w:rsidRPr="25088863">
        <w:rPr>
          <w:b/>
          <w:bCs/>
        </w:rPr>
        <w:t xml:space="preserve">Item 2 – Subsection </w:t>
      </w:r>
      <w:r w:rsidR="00BD5154">
        <w:rPr>
          <w:b/>
          <w:bCs/>
        </w:rPr>
        <w:t>18(</w:t>
      </w:r>
      <w:r w:rsidR="004E6817">
        <w:rPr>
          <w:b/>
          <w:bCs/>
        </w:rPr>
        <w:t>4</w:t>
      </w:r>
      <w:r w:rsidR="00BD5154">
        <w:rPr>
          <w:b/>
          <w:bCs/>
        </w:rPr>
        <w:t>)</w:t>
      </w:r>
      <w:r w:rsidR="004E6817">
        <w:rPr>
          <w:b/>
          <w:bCs/>
        </w:rPr>
        <w:t xml:space="preserve"> note</w:t>
      </w:r>
      <w:r w:rsidRPr="25088863">
        <w:rPr>
          <w:b/>
          <w:bCs/>
        </w:rPr>
        <w:t xml:space="preserve"> </w:t>
      </w:r>
    </w:p>
    <w:p w14:paraId="107550F8" w14:textId="4AE10C53" w:rsidR="00C87E47" w:rsidRPr="000F1407" w:rsidRDefault="25088863" w:rsidP="00C87E47">
      <w:pPr>
        <w:keepNext/>
        <w:spacing w:after="200" w:line="276" w:lineRule="auto"/>
        <w:ind w:left="-6" w:right="-340"/>
        <w:jc w:val="both"/>
      </w:pPr>
      <w:r>
        <w:t xml:space="preserve">Item 2 </w:t>
      </w:r>
      <w:r w:rsidR="007145C7">
        <w:t xml:space="preserve">amends </w:t>
      </w:r>
      <w:r w:rsidR="004E6817">
        <w:t>the number of the subsection</w:t>
      </w:r>
      <w:r w:rsidR="007145C7">
        <w:t xml:space="preserve"> to reflect the amendments made in 2021</w:t>
      </w:r>
      <w:r>
        <w:t xml:space="preserve">. </w:t>
      </w:r>
    </w:p>
    <w:p w14:paraId="141A3B5C" w14:textId="470C6744" w:rsidR="007B25D0" w:rsidRPr="00AC099A" w:rsidRDefault="25088863" w:rsidP="007B25D0">
      <w:pPr>
        <w:spacing w:after="200" w:line="276" w:lineRule="auto"/>
        <w:jc w:val="both"/>
        <w:rPr>
          <w:b/>
          <w:bCs/>
        </w:rPr>
      </w:pPr>
      <w:r w:rsidRPr="25088863">
        <w:rPr>
          <w:b/>
          <w:bCs/>
        </w:rPr>
        <w:t xml:space="preserve">Item 3 – </w:t>
      </w:r>
      <w:r w:rsidR="007B25D0">
        <w:rPr>
          <w:b/>
          <w:bCs/>
        </w:rPr>
        <w:t>S</w:t>
      </w:r>
      <w:r w:rsidR="007B25D0" w:rsidRPr="25088863">
        <w:rPr>
          <w:b/>
          <w:bCs/>
        </w:rPr>
        <w:t>ubsection 18(4) (</w:t>
      </w:r>
      <w:r w:rsidR="00014D88">
        <w:rPr>
          <w:b/>
          <w:bCs/>
        </w:rPr>
        <w:t>after table</w:t>
      </w:r>
      <w:r w:rsidR="007B25D0" w:rsidRPr="25088863">
        <w:rPr>
          <w:b/>
          <w:bCs/>
        </w:rPr>
        <w:t xml:space="preserve"> item </w:t>
      </w:r>
      <w:r w:rsidR="00014D88">
        <w:rPr>
          <w:b/>
          <w:bCs/>
        </w:rPr>
        <w:t>2</w:t>
      </w:r>
      <w:r w:rsidR="007B25D0" w:rsidRPr="25088863">
        <w:rPr>
          <w:b/>
          <w:bCs/>
        </w:rPr>
        <w:t>)</w:t>
      </w:r>
    </w:p>
    <w:p w14:paraId="5A32774E" w14:textId="4D292D91" w:rsidR="00C87E47" w:rsidRPr="00C87E47" w:rsidRDefault="25088863" w:rsidP="00C87E47">
      <w:pPr>
        <w:keepNext/>
        <w:spacing w:after="200" w:line="276" w:lineRule="auto"/>
        <w:ind w:left="-6" w:right="-340"/>
        <w:jc w:val="both"/>
      </w:pPr>
      <w:r>
        <w:t xml:space="preserve">Item 3 </w:t>
      </w:r>
      <w:r w:rsidR="00014D88">
        <w:t>adds Department of Climate Change, Energy, the Environment and Water</w:t>
      </w:r>
      <w:r w:rsidR="007B25D0">
        <w:t xml:space="preserve"> </w:t>
      </w:r>
      <w:r w:rsidR="007145C7">
        <w:t>in the table</w:t>
      </w:r>
      <w:r w:rsidR="007B25D0">
        <w:t>. Th</w:t>
      </w:r>
      <w:r w:rsidR="00014D88">
        <w:t xml:space="preserve">is is a new </w:t>
      </w:r>
      <w:r w:rsidR="007145C7">
        <w:t xml:space="preserve">Commonwealth </w:t>
      </w:r>
      <w:r w:rsidR="007B25D0">
        <w:t>entit</w:t>
      </w:r>
      <w:r w:rsidR="00014D88">
        <w:t xml:space="preserve">y </w:t>
      </w:r>
      <w:r w:rsidR="007145C7">
        <w:t xml:space="preserve">created </w:t>
      </w:r>
      <w:r w:rsidR="007B25D0">
        <w:t>as a result of machinery of government changes</w:t>
      </w:r>
      <w:r w:rsidR="007145C7">
        <w:t xml:space="preserve"> announced in June 2022</w:t>
      </w:r>
      <w:r>
        <w:t xml:space="preserve">. </w:t>
      </w:r>
    </w:p>
    <w:p w14:paraId="1AB07984" w14:textId="2CBC8647" w:rsidR="00014D88" w:rsidRPr="00AC099A" w:rsidRDefault="00014D88" w:rsidP="00014D88">
      <w:pPr>
        <w:spacing w:after="200" w:line="276" w:lineRule="auto"/>
        <w:jc w:val="both"/>
        <w:rPr>
          <w:b/>
          <w:bCs/>
        </w:rPr>
      </w:pPr>
      <w:r w:rsidRPr="25088863">
        <w:rPr>
          <w:b/>
          <w:bCs/>
        </w:rPr>
        <w:t xml:space="preserve">Item </w:t>
      </w:r>
      <w:r>
        <w:rPr>
          <w:b/>
          <w:bCs/>
        </w:rPr>
        <w:t>4</w:t>
      </w:r>
      <w:r w:rsidRPr="25088863">
        <w:rPr>
          <w:b/>
          <w:bCs/>
        </w:rPr>
        <w:t xml:space="preserve"> – </w:t>
      </w:r>
      <w:r>
        <w:rPr>
          <w:b/>
          <w:bCs/>
        </w:rPr>
        <w:t>S</w:t>
      </w:r>
      <w:r w:rsidRPr="25088863">
        <w:rPr>
          <w:b/>
          <w:bCs/>
        </w:rPr>
        <w:t>ubsection 18(4) (</w:t>
      </w:r>
      <w:r>
        <w:rPr>
          <w:b/>
          <w:bCs/>
        </w:rPr>
        <w:t>table</w:t>
      </w:r>
      <w:r w:rsidRPr="25088863">
        <w:rPr>
          <w:b/>
          <w:bCs/>
        </w:rPr>
        <w:t xml:space="preserve"> item </w:t>
      </w:r>
      <w:r>
        <w:rPr>
          <w:b/>
          <w:bCs/>
        </w:rPr>
        <w:t>4, column headed “Reporting entity”</w:t>
      </w:r>
      <w:r w:rsidRPr="25088863">
        <w:rPr>
          <w:b/>
          <w:bCs/>
        </w:rPr>
        <w:t>)</w:t>
      </w:r>
    </w:p>
    <w:p w14:paraId="13704447" w14:textId="6D4DE0DD" w:rsidR="00014D88" w:rsidRDefault="00014D88" w:rsidP="00014D88">
      <w:pPr>
        <w:keepNext/>
        <w:spacing w:after="200" w:line="276" w:lineRule="auto"/>
        <w:ind w:right="-340"/>
        <w:jc w:val="both"/>
      </w:pPr>
      <w:r>
        <w:t>Item 4 amends the name of the e</w:t>
      </w:r>
      <w:r w:rsidR="007145C7">
        <w:t xml:space="preserve">ntity in the table. This entity’s name was amended as </w:t>
      </w:r>
      <w:r>
        <w:t>a result of machinery of government changes</w:t>
      </w:r>
      <w:r w:rsidR="007145C7">
        <w:t xml:space="preserve"> announced in June 2022</w:t>
      </w:r>
      <w:r>
        <w:t>.</w:t>
      </w:r>
    </w:p>
    <w:p w14:paraId="78AB2F5D" w14:textId="734EB526" w:rsidR="00014D88" w:rsidRPr="00AC099A" w:rsidRDefault="00A76267" w:rsidP="00014D88">
      <w:pPr>
        <w:spacing w:after="200" w:line="276" w:lineRule="auto"/>
        <w:jc w:val="both"/>
        <w:rPr>
          <w:b/>
          <w:bCs/>
        </w:rPr>
      </w:pPr>
      <w:r>
        <w:rPr>
          <w:b/>
          <w:bCs/>
        </w:rPr>
        <w:br/>
      </w:r>
      <w:r>
        <w:rPr>
          <w:b/>
          <w:bCs/>
        </w:rPr>
        <w:br/>
      </w:r>
      <w:r>
        <w:rPr>
          <w:b/>
          <w:bCs/>
        </w:rPr>
        <w:lastRenderedPageBreak/>
        <w:br/>
      </w:r>
      <w:r w:rsidR="00014D88" w:rsidRPr="25088863">
        <w:rPr>
          <w:b/>
          <w:bCs/>
        </w:rPr>
        <w:t xml:space="preserve">Item </w:t>
      </w:r>
      <w:r w:rsidR="00014D88">
        <w:rPr>
          <w:b/>
          <w:bCs/>
        </w:rPr>
        <w:t>5</w:t>
      </w:r>
      <w:r w:rsidR="00014D88" w:rsidRPr="25088863">
        <w:rPr>
          <w:b/>
          <w:bCs/>
        </w:rPr>
        <w:t xml:space="preserve"> – </w:t>
      </w:r>
      <w:r w:rsidR="00014D88">
        <w:rPr>
          <w:b/>
          <w:bCs/>
        </w:rPr>
        <w:t>S</w:t>
      </w:r>
      <w:r w:rsidR="00014D88" w:rsidRPr="25088863">
        <w:rPr>
          <w:b/>
          <w:bCs/>
        </w:rPr>
        <w:t>ubsection 18(4) (</w:t>
      </w:r>
      <w:r w:rsidR="00014D88">
        <w:rPr>
          <w:b/>
          <w:bCs/>
        </w:rPr>
        <w:t>after table</w:t>
      </w:r>
      <w:r w:rsidR="00014D88" w:rsidRPr="25088863">
        <w:rPr>
          <w:b/>
          <w:bCs/>
        </w:rPr>
        <w:t xml:space="preserve"> item </w:t>
      </w:r>
      <w:r w:rsidR="00014D88">
        <w:rPr>
          <w:b/>
          <w:bCs/>
        </w:rPr>
        <w:t>4</w:t>
      </w:r>
      <w:r w:rsidR="00014D88" w:rsidRPr="25088863">
        <w:rPr>
          <w:b/>
          <w:bCs/>
        </w:rPr>
        <w:t>)</w:t>
      </w:r>
    </w:p>
    <w:p w14:paraId="4C67D962" w14:textId="495BE935" w:rsidR="00014D88" w:rsidRDefault="00014D88" w:rsidP="00014D88">
      <w:pPr>
        <w:keepNext/>
        <w:spacing w:after="200" w:line="276" w:lineRule="auto"/>
        <w:ind w:right="-340"/>
        <w:jc w:val="both"/>
      </w:pPr>
      <w:r>
        <w:t xml:space="preserve">Item 5 adds Department of Employment and Workplace Relations in the table. </w:t>
      </w:r>
      <w:r w:rsidR="007145C7">
        <w:t>This is a new Commonwealth entity created as a result of machinery of government changes announced in June 2022.</w:t>
      </w:r>
    </w:p>
    <w:p w14:paraId="20FDE7C5" w14:textId="64FF60C2" w:rsidR="00014D88" w:rsidRPr="00AC099A" w:rsidRDefault="00014D88" w:rsidP="00014D88">
      <w:pPr>
        <w:spacing w:after="200" w:line="276" w:lineRule="auto"/>
        <w:jc w:val="both"/>
        <w:rPr>
          <w:b/>
          <w:bCs/>
        </w:rPr>
      </w:pPr>
      <w:r w:rsidRPr="25088863">
        <w:rPr>
          <w:b/>
          <w:bCs/>
        </w:rPr>
        <w:t xml:space="preserve">Item </w:t>
      </w:r>
      <w:r>
        <w:rPr>
          <w:b/>
          <w:bCs/>
        </w:rPr>
        <w:t>6</w:t>
      </w:r>
      <w:r w:rsidRPr="25088863">
        <w:rPr>
          <w:b/>
          <w:bCs/>
        </w:rPr>
        <w:t xml:space="preserve"> – </w:t>
      </w:r>
      <w:r>
        <w:rPr>
          <w:b/>
          <w:bCs/>
        </w:rPr>
        <w:t>S</w:t>
      </w:r>
      <w:r w:rsidRPr="25088863">
        <w:rPr>
          <w:b/>
          <w:bCs/>
        </w:rPr>
        <w:t>ubsection 18(4) (</w:t>
      </w:r>
      <w:r>
        <w:rPr>
          <w:b/>
          <w:bCs/>
        </w:rPr>
        <w:t>table</w:t>
      </w:r>
      <w:r w:rsidRPr="25088863">
        <w:rPr>
          <w:b/>
          <w:bCs/>
        </w:rPr>
        <w:t xml:space="preserve"> item </w:t>
      </w:r>
      <w:r>
        <w:rPr>
          <w:b/>
          <w:bCs/>
        </w:rPr>
        <w:t>7, column headed “Reporting entity”</w:t>
      </w:r>
      <w:r w:rsidRPr="25088863">
        <w:rPr>
          <w:b/>
          <w:bCs/>
        </w:rPr>
        <w:t>)</w:t>
      </w:r>
    </w:p>
    <w:p w14:paraId="20686386" w14:textId="24A5FC77" w:rsidR="00014D88" w:rsidRDefault="00014D88" w:rsidP="00014D88">
      <w:pPr>
        <w:keepNext/>
        <w:spacing w:after="200" w:line="276" w:lineRule="auto"/>
        <w:ind w:right="-340"/>
        <w:jc w:val="both"/>
      </w:pPr>
      <w:r>
        <w:t xml:space="preserve">Item 6 </w:t>
      </w:r>
      <w:r w:rsidR="005C4F0B">
        <w:t xml:space="preserve">amends the name of the entity in the table. </w:t>
      </w:r>
      <w:r w:rsidR="007145C7">
        <w:t>This entity’s name was amended as a result of machinery of government changes announced in June 2022.</w:t>
      </w:r>
    </w:p>
    <w:p w14:paraId="41B17597" w14:textId="08C61A9B" w:rsidR="00014D88" w:rsidRPr="00AC099A" w:rsidRDefault="00014D88" w:rsidP="00014D88">
      <w:pPr>
        <w:spacing w:after="200" w:line="276" w:lineRule="auto"/>
        <w:jc w:val="both"/>
        <w:rPr>
          <w:b/>
          <w:bCs/>
        </w:rPr>
      </w:pPr>
      <w:r w:rsidRPr="25088863">
        <w:rPr>
          <w:b/>
          <w:bCs/>
        </w:rPr>
        <w:t xml:space="preserve">Item </w:t>
      </w:r>
      <w:r>
        <w:rPr>
          <w:b/>
          <w:bCs/>
        </w:rPr>
        <w:t>7</w:t>
      </w:r>
      <w:r w:rsidRPr="25088863">
        <w:rPr>
          <w:b/>
          <w:bCs/>
        </w:rPr>
        <w:t xml:space="preserve"> – </w:t>
      </w:r>
      <w:r>
        <w:rPr>
          <w:b/>
          <w:bCs/>
        </w:rPr>
        <w:t>S</w:t>
      </w:r>
      <w:r w:rsidRPr="25088863">
        <w:rPr>
          <w:b/>
          <w:bCs/>
        </w:rPr>
        <w:t>ubsection 18(4) (</w:t>
      </w:r>
      <w:r w:rsidR="005C4F0B">
        <w:rPr>
          <w:b/>
          <w:bCs/>
        </w:rPr>
        <w:t>table</w:t>
      </w:r>
      <w:r w:rsidR="005C4F0B" w:rsidRPr="25088863">
        <w:rPr>
          <w:b/>
          <w:bCs/>
        </w:rPr>
        <w:t xml:space="preserve"> item </w:t>
      </w:r>
      <w:r w:rsidR="005C4F0B">
        <w:rPr>
          <w:b/>
          <w:bCs/>
        </w:rPr>
        <w:t>7A, column headed “Reporting entity”</w:t>
      </w:r>
      <w:r w:rsidRPr="25088863">
        <w:rPr>
          <w:b/>
          <w:bCs/>
        </w:rPr>
        <w:t>)</w:t>
      </w:r>
    </w:p>
    <w:p w14:paraId="68D46732" w14:textId="0B0CC324" w:rsidR="00014D88" w:rsidRDefault="00014D88" w:rsidP="00014D88">
      <w:pPr>
        <w:keepNext/>
        <w:spacing w:after="200" w:line="276" w:lineRule="auto"/>
        <w:ind w:right="-340"/>
        <w:jc w:val="both"/>
        <w:rPr>
          <w:b/>
          <w:bCs/>
        </w:rPr>
      </w:pPr>
      <w:r>
        <w:t xml:space="preserve">Item 7 </w:t>
      </w:r>
      <w:r w:rsidR="005C4F0B">
        <w:t>amends the na</w:t>
      </w:r>
      <w:r w:rsidR="007145C7">
        <w:t>me of the entity in the table. This entity’s name was amended as a result of machinery of government changes announced in June 2022.</w:t>
      </w:r>
    </w:p>
    <w:p w14:paraId="647B2E0F" w14:textId="5CB47EC5" w:rsidR="00EA32C8" w:rsidRPr="00AC099A" w:rsidRDefault="25088863" w:rsidP="25088863">
      <w:pPr>
        <w:keepNext/>
        <w:spacing w:after="200" w:line="276" w:lineRule="auto"/>
        <w:ind w:right="-340"/>
        <w:jc w:val="both"/>
        <w:rPr>
          <w:b/>
          <w:bCs/>
        </w:rPr>
      </w:pPr>
      <w:r w:rsidRPr="25088863">
        <w:rPr>
          <w:b/>
          <w:bCs/>
        </w:rPr>
        <w:t xml:space="preserve">Item </w:t>
      </w:r>
      <w:r w:rsidR="00014D88">
        <w:rPr>
          <w:b/>
          <w:bCs/>
        </w:rPr>
        <w:t>8</w:t>
      </w:r>
      <w:r w:rsidRPr="25088863">
        <w:rPr>
          <w:b/>
          <w:bCs/>
        </w:rPr>
        <w:t xml:space="preserve"> – </w:t>
      </w:r>
      <w:r w:rsidR="007B25D0">
        <w:rPr>
          <w:b/>
          <w:bCs/>
        </w:rPr>
        <w:t>Paragraph 24(1)(b)</w:t>
      </w:r>
      <w:r w:rsidRPr="25088863">
        <w:rPr>
          <w:b/>
          <w:bCs/>
        </w:rPr>
        <w:t xml:space="preserve"> </w:t>
      </w:r>
    </w:p>
    <w:p w14:paraId="64A2E76A" w14:textId="5C7D5856" w:rsidR="003B4CA2" w:rsidRPr="00A8312C" w:rsidRDefault="25088863" w:rsidP="00C611D4">
      <w:pPr>
        <w:spacing w:after="200" w:line="276" w:lineRule="auto"/>
        <w:jc w:val="both"/>
      </w:pPr>
      <w:r>
        <w:t xml:space="preserve">Item </w:t>
      </w:r>
      <w:r w:rsidR="00014D88">
        <w:t>8</w:t>
      </w:r>
      <w:r>
        <w:t xml:space="preserve"> </w:t>
      </w:r>
      <w:r w:rsidR="007B25D0">
        <w:t>amends this paragraph to remove the reference to the Commonwealth Entities Financial Statement Guide</w:t>
      </w:r>
      <w:r w:rsidR="007145C7">
        <w:t xml:space="preserve"> in relation to the shorthand method for calculating long service leave liabilities</w:t>
      </w:r>
      <w:r w:rsidR="007B25D0">
        <w:t>.</w:t>
      </w:r>
      <w:r w:rsidR="007145C7">
        <w:t xml:space="preserve"> The Commonwealth Entities Financial Statements Guide is a guidance document published by the Department of Finance to assist Commonwealth entities in the preparation of their financial statements in accordance with the FRR. </w:t>
      </w:r>
    </w:p>
    <w:p w14:paraId="31E1A1E4" w14:textId="77777777" w:rsidR="00D9091D" w:rsidRPr="001F35A6" w:rsidRDefault="005948A9" w:rsidP="25088863">
      <w:pPr>
        <w:pStyle w:val="ListParagraph"/>
        <w:spacing w:after="200" w:line="276" w:lineRule="auto"/>
        <w:ind w:left="0"/>
        <w:contextualSpacing w:val="0"/>
        <w:jc w:val="right"/>
        <w:rPr>
          <w:b/>
          <w:bCs/>
          <w:u w:val="single"/>
        </w:rPr>
      </w:pPr>
      <w:r w:rsidRPr="25088863">
        <w:rPr>
          <w:u w:val="single"/>
        </w:rPr>
        <w:br w:type="page"/>
      </w:r>
      <w:r w:rsidR="25088863" w:rsidRPr="25088863">
        <w:rPr>
          <w:b/>
          <w:bCs/>
          <w:u w:val="single"/>
        </w:rPr>
        <w:lastRenderedPageBreak/>
        <w:t>Attachment B</w:t>
      </w:r>
    </w:p>
    <w:p w14:paraId="380C6A4A" w14:textId="77777777" w:rsidR="00D9091D" w:rsidRDefault="00D9091D" w:rsidP="001F35A6">
      <w:pPr>
        <w:spacing w:line="276" w:lineRule="auto"/>
        <w:ind w:right="91"/>
        <w:jc w:val="right"/>
        <w:rPr>
          <w:b/>
        </w:rPr>
      </w:pPr>
    </w:p>
    <w:p w14:paraId="4F567724" w14:textId="77777777" w:rsidR="00BA129C" w:rsidRPr="001F35A6" w:rsidRDefault="25088863" w:rsidP="25088863">
      <w:pPr>
        <w:spacing w:line="276" w:lineRule="auto"/>
        <w:ind w:right="-1"/>
        <w:jc w:val="center"/>
        <w:rPr>
          <w:b/>
          <w:bCs/>
        </w:rPr>
      </w:pPr>
      <w:r w:rsidRPr="25088863">
        <w:rPr>
          <w:b/>
          <w:bCs/>
        </w:rPr>
        <w:t>Statement of Compatibility with Human Rights</w:t>
      </w:r>
    </w:p>
    <w:p w14:paraId="43258D40" w14:textId="77777777" w:rsidR="00D9091D" w:rsidRDefault="00D9091D" w:rsidP="00EB2C82">
      <w:pPr>
        <w:spacing w:line="276" w:lineRule="auto"/>
        <w:ind w:right="-1"/>
        <w:jc w:val="center"/>
      </w:pPr>
    </w:p>
    <w:p w14:paraId="12A89CAE" w14:textId="5004E1C8" w:rsidR="00BA129C" w:rsidRPr="001D6819" w:rsidRDefault="25088863" w:rsidP="25088863">
      <w:pPr>
        <w:spacing w:line="276" w:lineRule="auto"/>
        <w:ind w:right="-1"/>
        <w:jc w:val="center"/>
        <w:rPr>
          <w:i/>
          <w:iCs/>
        </w:rPr>
      </w:pPr>
      <w:r>
        <w:t>Prepared in accordance with</w:t>
      </w:r>
      <w:r w:rsidRPr="25088863">
        <w:rPr>
          <w:i/>
          <w:iCs/>
        </w:rPr>
        <w:t xml:space="preserve"> </w:t>
      </w:r>
      <w:r>
        <w:t>Part 3 of the</w:t>
      </w:r>
      <w:r w:rsidRPr="25088863">
        <w:rPr>
          <w:i/>
          <w:iCs/>
        </w:rPr>
        <w:t xml:space="preserve"> Human Rights (Parliamentary Scrutiny) Act 2011</w:t>
      </w:r>
      <w:r>
        <w:t>.</w:t>
      </w:r>
    </w:p>
    <w:p w14:paraId="698F7D2D" w14:textId="77777777" w:rsidR="00BA129C" w:rsidRDefault="00BA129C" w:rsidP="00EB2C82">
      <w:pPr>
        <w:spacing w:line="276" w:lineRule="auto"/>
        <w:ind w:right="-1"/>
        <w:jc w:val="center"/>
        <w:rPr>
          <w:i/>
        </w:rPr>
      </w:pPr>
    </w:p>
    <w:p w14:paraId="40C20981" w14:textId="2BBAD3CC" w:rsidR="00BA129C" w:rsidRPr="001F35A6" w:rsidRDefault="25088863" w:rsidP="25088863">
      <w:pPr>
        <w:spacing w:line="276" w:lineRule="auto"/>
        <w:ind w:right="-1"/>
        <w:jc w:val="center"/>
        <w:rPr>
          <w:b/>
          <w:bCs/>
        </w:rPr>
      </w:pPr>
      <w:r w:rsidRPr="25088863">
        <w:rPr>
          <w:b/>
          <w:bCs/>
          <w:i/>
          <w:iCs/>
        </w:rPr>
        <w:t>Public Governance, Performance and Accountability (Financial Reporting) Amendment (202</w:t>
      </w:r>
      <w:r w:rsidR="007B25D0">
        <w:rPr>
          <w:b/>
          <w:bCs/>
          <w:i/>
          <w:iCs/>
        </w:rPr>
        <w:t>2</w:t>
      </w:r>
      <w:r w:rsidRPr="25088863">
        <w:rPr>
          <w:b/>
          <w:bCs/>
          <w:i/>
          <w:iCs/>
        </w:rPr>
        <w:t xml:space="preserve"> Measures No. </w:t>
      </w:r>
      <w:r w:rsidR="007B25D0">
        <w:rPr>
          <w:b/>
          <w:bCs/>
          <w:i/>
          <w:iCs/>
        </w:rPr>
        <w:t>1</w:t>
      </w:r>
      <w:r w:rsidRPr="25088863">
        <w:rPr>
          <w:b/>
          <w:bCs/>
          <w:i/>
          <w:iCs/>
        </w:rPr>
        <w:t>) Rules 202</w:t>
      </w:r>
      <w:r w:rsidR="007B25D0">
        <w:rPr>
          <w:b/>
          <w:bCs/>
          <w:i/>
          <w:iCs/>
        </w:rPr>
        <w:t>2</w:t>
      </w:r>
    </w:p>
    <w:p w14:paraId="6EF371C0" w14:textId="77777777" w:rsidR="004430C7" w:rsidRDefault="004430C7" w:rsidP="00EB2C82">
      <w:pPr>
        <w:spacing w:line="276" w:lineRule="auto"/>
        <w:ind w:right="-1"/>
        <w:jc w:val="center"/>
      </w:pPr>
    </w:p>
    <w:p w14:paraId="0C5FD56E" w14:textId="77777777" w:rsidR="00DC2995" w:rsidRPr="00DC2995" w:rsidRDefault="25088863" w:rsidP="00EB2C82">
      <w:pPr>
        <w:spacing w:line="276" w:lineRule="auto"/>
        <w:ind w:right="-1"/>
        <w:jc w:val="center"/>
      </w:pPr>
      <w:r>
        <w:t xml:space="preserve">This Disallowable Legislative Instrument is compatible with the human rights and freedoms recognised or declared in the international instruments listed in section 3 of the </w:t>
      </w:r>
      <w:r w:rsidRPr="25088863">
        <w:rPr>
          <w:i/>
          <w:iCs/>
        </w:rPr>
        <w:t>Human Rights (Parliamentary Scrutiny) Act 2011</w:t>
      </w:r>
      <w:r>
        <w:t>.</w:t>
      </w:r>
    </w:p>
    <w:p w14:paraId="538B880B" w14:textId="77777777" w:rsidR="00DC2995" w:rsidRDefault="00DC2995" w:rsidP="00EB2C82">
      <w:pPr>
        <w:spacing w:line="276" w:lineRule="auto"/>
        <w:ind w:right="-1"/>
      </w:pPr>
    </w:p>
    <w:p w14:paraId="2AEEF8D8" w14:textId="77777777" w:rsidR="00D9091D" w:rsidRPr="00DC2995" w:rsidRDefault="25088863" w:rsidP="25088863">
      <w:pPr>
        <w:spacing w:after="120" w:line="276" w:lineRule="auto"/>
        <w:ind w:right="-1"/>
        <w:jc w:val="both"/>
        <w:rPr>
          <w:b/>
          <w:bCs/>
        </w:rPr>
      </w:pPr>
      <w:r w:rsidRPr="25088863">
        <w:rPr>
          <w:b/>
          <w:bCs/>
        </w:rPr>
        <w:t>Overview of the Disallowable Legislative Instrument</w:t>
      </w:r>
    </w:p>
    <w:p w14:paraId="2CCD510F" w14:textId="08AC180D" w:rsidR="004430C7" w:rsidRDefault="25088863" w:rsidP="00EB2C82">
      <w:pPr>
        <w:spacing w:after="200" w:line="276" w:lineRule="auto"/>
        <w:ind w:right="-1"/>
        <w:jc w:val="both"/>
      </w:pPr>
      <w:r>
        <w:t xml:space="preserve">Section 101 of the </w:t>
      </w:r>
      <w:r w:rsidRPr="25088863">
        <w:rPr>
          <w:i/>
          <w:iCs/>
        </w:rPr>
        <w:t>Public Governance, Performance and Accountability Act 2013</w:t>
      </w:r>
      <w:r>
        <w:t xml:space="preserve"> (PGPA Act) provides that the Finance Minister may make rules by legislative instrument to prescribe matters giving effect to this Act. </w:t>
      </w:r>
    </w:p>
    <w:p w14:paraId="5C0410CE" w14:textId="590CDB9B" w:rsidR="004430C7" w:rsidRDefault="25088863" w:rsidP="00EB2C82">
      <w:pPr>
        <w:spacing w:line="276" w:lineRule="auto"/>
        <w:ind w:right="-1"/>
        <w:jc w:val="both"/>
      </w:pPr>
      <w:r>
        <w:t xml:space="preserve">The </w:t>
      </w:r>
      <w:r w:rsidRPr="25088863">
        <w:rPr>
          <w:i/>
          <w:iCs/>
        </w:rPr>
        <w:t>Public Governance, Performance and Accountability (Financial Reporting) Amendment (202</w:t>
      </w:r>
      <w:r w:rsidR="007B25D0">
        <w:rPr>
          <w:i/>
          <w:iCs/>
        </w:rPr>
        <w:t>2</w:t>
      </w:r>
      <w:r w:rsidRPr="25088863">
        <w:rPr>
          <w:i/>
          <w:iCs/>
        </w:rPr>
        <w:t xml:space="preserve"> Measures No. </w:t>
      </w:r>
      <w:r w:rsidR="007B25D0">
        <w:rPr>
          <w:i/>
          <w:iCs/>
        </w:rPr>
        <w:t>1</w:t>
      </w:r>
      <w:r w:rsidRPr="25088863">
        <w:rPr>
          <w:i/>
          <w:iCs/>
        </w:rPr>
        <w:t>) Rules 202</w:t>
      </w:r>
      <w:r w:rsidR="007B25D0">
        <w:rPr>
          <w:i/>
          <w:iCs/>
        </w:rPr>
        <w:t>2</w:t>
      </w:r>
      <w:r w:rsidRPr="25088863">
        <w:rPr>
          <w:i/>
          <w:iCs/>
        </w:rPr>
        <w:t xml:space="preserve"> </w:t>
      </w:r>
      <w:r>
        <w:t xml:space="preserve">amends the </w:t>
      </w:r>
      <w:r w:rsidRPr="25088863">
        <w:rPr>
          <w:i/>
          <w:iCs/>
        </w:rPr>
        <w:t xml:space="preserve">Public Governance, Performance and Accountability (Financial Reporting) Rule 2015 </w:t>
      </w:r>
      <w:r>
        <w:t>(FRR). Both rules are legislative instruments for the purpose of the</w:t>
      </w:r>
      <w:r w:rsidRPr="25088863">
        <w:rPr>
          <w:i/>
          <w:iCs/>
        </w:rPr>
        <w:t xml:space="preserve"> Legislation Act 2003.</w:t>
      </w:r>
    </w:p>
    <w:p w14:paraId="2305A72C" w14:textId="77777777" w:rsidR="0043071F" w:rsidRPr="001F35A6" w:rsidRDefault="0043071F" w:rsidP="00EB2C82">
      <w:pPr>
        <w:spacing w:line="276" w:lineRule="auto"/>
        <w:ind w:right="-1"/>
        <w:jc w:val="both"/>
        <w:rPr>
          <w:b/>
        </w:rPr>
      </w:pPr>
    </w:p>
    <w:p w14:paraId="2AEB11E3" w14:textId="77777777" w:rsidR="004430C7" w:rsidRPr="001F35A6" w:rsidRDefault="25088863" w:rsidP="25088863">
      <w:pPr>
        <w:tabs>
          <w:tab w:val="left" w:pos="4536"/>
        </w:tabs>
        <w:spacing w:after="120" w:line="276" w:lineRule="auto"/>
        <w:ind w:right="-1"/>
        <w:jc w:val="both"/>
        <w:rPr>
          <w:i/>
          <w:iCs/>
        </w:rPr>
      </w:pPr>
      <w:r w:rsidRPr="25088863">
        <w:rPr>
          <w:i/>
          <w:iCs/>
        </w:rPr>
        <w:t>Other legislative provisions</w:t>
      </w:r>
    </w:p>
    <w:p w14:paraId="1719EF35" w14:textId="77777777" w:rsidR="004430C7" w:rsidRPr="0048385F" w:rsidRDefault="25088863" w:rsidP="00EB2C82">
      <w:pPr>
        <w:tabs>
          <w:tab w:val="left" w:pos="4536"/>
        </w:tabs>
        <w:spacing w:after="160" w:line="276" w:lineRule="auto"/>
        <w:ind w:right="-1"/>
        <w:jc w:val="both"/>
      </w:pPr>
      <w:r>
        <w:t>The FRR sets out the requirements for preparation of financial statements under the following legislative provisions:</w:t>
      </w:r>
    </w:p>
    <w:p w14:paraId="58FA9181" w14:textId="248BDB61" w:rsidR="006741D7" w:rsidRPr="0048385F" w:rsidRDefault="25088863" w:rsidP="00416545">
      <w:pPr>
        <w:pStyle w:val="ListParagraph"/>
        <w:numPr>
          <w:ilvl w:val="0"/>
          <w:numId w:val="9"/>
        </w:numPr>
        <w:spacing w:line="276" w:lineRule="auto"/>
        <w:ind w:left="851" w:right="-1" w:hanging="294"/>
        <w:jc w:val="both"/>
      </w:pPr>
      <w:r>
        <w:t>subsection 42(2) of the PGPA Act prescribes that annual financial statements must:</w:t>
      </w:r>
    </w:p>
    <w:p w14:paraId="1FACE61F" w14:textId="099A6463" w:rsidR="006741D7" w:rsidRPr="0048385F" w:rsidRDefault="25088863" w:rsidP="00416545">
      <w:pPr>
        <w:pStyle w:val="ListParagraph"/>
        <w:numPr>
          <w:ilvl w:val="1"/>
          <w:numId w:val="9"/>
        </w:numPr>
        <w:spacing w:line="276" w:lineRule="auto"/>
        <w:ind w:left="1843" w:right="-1" w:hanging="425"/>
        <w:jc w:val="both"/>
      </w:pPr>
      <w:r>
        <w:t>comply with accounting standards and any other requirements prescribed by the rules</w:t>
      </w:r>
    </w:p>
    <w:p w14:paraId="4704E816" w14:textId="0309F20D" w:rsidR="006741D7" w:rsidRPr="0048385F" w:rsidRDefault="25088863" w:rsidP="00416545">
      <w:pPr>
        <w:pStyle w:val="ListParagraph"/>
        <w:numPr>
          <w:ilvl w:val="1"/>
          <w:numId w:val="9"/>
        </w:numPr>
        <w:spacing w:line="276" w:lineRule="auto"/>
        <w:ind w:left="1843" w:right="-1" w:hanging="425"/>
        <w:jc w:val="both"/>
      </w:pPr>
      <w:r>
        <w:t>present fairly the entity’s financial position, financial performance and cash flows</w:t>
      </w:r>
    </w:p>
    <w:p w14:paraId="22487002" w14:textId="2F978629" w:rsidR="006741D7" w:rsidRPr="0048385F" w:rsidRDefault="25088863" w:rsidP="00416545">
      <w:pPr>
        <w:pStyle w:val="ListParagraph"/>
        <w:numPr>
          <w:ilvl w:val="0"/>
          <w:numId w:val="9"/>
        </w:numPr>
        <w:spacing w:line="276" w:lineRule="auto"/>
        <w:ind w:left="993" w:right="-1" w:hanging="426"/>
        <w:jc w:val="both"/>
      </w:pPr>
      <w:r>
        <w:t xml:space="preserve">subsection 47(1) of the </w:t>
      </w:r>
      <w:r w:rsidRPr="25088863">
        <w:rPr>
          <w:i/>
          <w:iCs/>
        </w:rPr>
        <w:t>High Court of Australia Act 1979</w:t>
      </w:r>
      <w:r>
        <w:t xml:space="preserve">  prescribes the financial statements reporting requirements of the High Court of Australia</w:t>
      </w:r>
    </w:p>
    <w:p w14:paraId="4FFDB24D" w14:textId="63029788" w:rsidR="006741D7" w:rsidRPr="0048385F" w:rsidRDefault="25088863" w:rsidP="00416545">
      <w:pPr>
        <w:pStyle w:val="ListParagraph"/>
        <w:numPr>
          <w:ilvl w:val="0"/>
          <w:numId w:val="9"/>
        </w:numPr>
        <w:spacing w:line="276" w:lineRule="auto"/>
        <w:ind w:left="993" w:right="-1" w:hanging="426"/>
        <w:jc w:val="both"/>
      </w:pPr>
      <w:r>
        <w:t xml:space="preserve">subsections 50B(2) and (4) of the </w:t>
      </w:r>
      <w:r w:rsidRPr="25088863">
        <w:rPr>
          <w:i/>
          <w:iCs/>
        </w:rPr>
        <w:t>Defence Service Homes Act 1918</w:t>
      </w:r>
      <w:r>
        <w:t xml:space="preserve"> prescribe the financial statements reporting requirements of the Defence Service Homes Corporation</w:t>
      </w:r>
    </w:p>
    <w:p w14:paraId="52AE08F1" w14:textId="757C1591" w:rsidR="006741D7" w:rsidRPr="0048385F" w:rsidRDefault="25088863" w:rsidP="00416545">
      <w:pPr>
        <w:pStyle w:val="ListParagraph"/>
        <w:numPr>
          <w:ilvl w:val="0"/>
          <w:numId w:val="9"/>
        </w:numPr>
        <w:spacing w:line="276" w:lineRule="auto"/>
        <w:ind w:left="993" w:right="-1" w:hanging="426"/>
        <w:jc w:val="both"/>
      </w:pPr>
      <w:r>
        <w:t xml:space="preserve">subsections 43(1) and (3) of the </w:t>
      </w:r>
      <w:r w:rsidRPr="25088863">
        <w:rPr>
          <w:i/>
          <w:iCs/>
        </w:rPr>
        <w:t>Natural Heritage Trust of Australia Act 1997</w:t>
      </w:r>
      <w:r>
        <w:t xml:space="preserve"> prescribe the financial statements reporting requirements of the Natural Heritage Trust of Australia Account</w:t>
      </w:r>
    </w:p>
    <w:p w14:paraId="7999DEA3" w14:textId="20FD73DC" w:rsidR="0048385F" w:rsidRPr="0048385F" w:rsidRDefault="25088863" w:rsidP="00416545">
      <w:pPr>
        <w:pStyle w:val="ListParagraph"/>
        <w:numPr>
          <w:ilvl w:val="0"/>
          <w:numId w:val="9"/>
        </w:numPr>
        <w:spacing w:after="200" w:line="276" w:lineRule="auto"/>
        <w:ind w:left="993" w:right="-1" w:hanging="426"/>
        <w:contextualSpacing w:val="0"/>
        <w:jc w:val="both"/>
      </w:pPr>
      <w:r>
        <w:t>Division 4 of Part 2-3 of the PGPA Rule prescribes how financial statements must be prepared for Commonwealth entities that have ceased to exist or whose functions have been transferred.</w:t>
      </w:r>
    </w:p>
    <w:p w14:paraId="0DC0EEAF" w14:textId="0729684B" w:rsidR="00A65BEA" w:rsidRDefault="25088863" w:rsidP="00EB2C82">
      <w:pPr>
        <w:spacing w:line="276" w:lineRule="auto"/>
        <w:ind w:right="-1"/>
        <w:jc w:val="both"/>
      </w:pPr>
      <w:r>
        <w:lastRenderedPageBreak/>
        <w:t>Some provisions of the FRR are made for the purpose of subsection 102(1)(b) of the PGPA Act, which prescribes that provisions may be made for the Commonwealth and Commonwealth entities to ensure or promote proper accountability for the use and management of public resources.</w:t>
      </w:r>
    </w:p>
    <w:p w14:paraId="1B259687" w14:textId="77777777" w:rsidR="004430C7" w:rsidRPr="001F35A6" w:rsidRDefault="004430C7" w:rsidP="00EB2C82">
      <w:pPr>
        <w:spacing w:line="276" w:lineRule="auto"/>
        <w:ind w:right="-1"/>
        <w:jc w:val="both"/>
        <w:rPr>
          <w:b/>
        </w:rPr>
      </w:pPr>
    </w:p>
    <w:p w14:paraId="0C0C81A7" w14:textId="77777777" w:rsidR="00B92E35" w:rsidRPr="00DC2995" w:rsidRDefault="25088863" w:rsidP="25088863">
      <w:pPr>
        <w:spacing w:after="120" w:line="276" w:lineRule="auto"/>
        <w:ind w:right="-1"/>
        <w:jc w:val="both"/>
        <w:rPr>
          <w:b/>
          <w:bCs/>
        </w:rPr>
      </w:pPr>
      <w:r w:rsidRPr="25088863">
        <w:rPr>
          <w:b/>
          <w:bCs/>
        </w:rPr>
        <w:t>Human rights implications</w:t>
      </w:r>
    </w:p>
    <w:p w14:paraId="56D69784" w14:textId="77777777" w:rsidR="00E835FF" w:rsidRPr="00662BFB" w:rsidRDefault="25088863" w:rsidP="25088863">
      <w:pPr>
        <w:pStyle w:val="ListParagraph"/>
        <w:numPr>
          <w:ilvl w:val="0"/>
          <w:numId w:val="6"/>
        </w:numPr>
        <w:spacing w:before="120" w:after="120" w:line="276" w:lineRule="auto"/>
        <w:ind w:left="993" w:right="-1" w:hanging="426"/>
        <w:jc w:val="both"/>
        <w:rPr>
          <w:rFonts w:ascii="Calibri" w:eastAsiaTheme="minorEastAsia" w:hAnsi="Calibri"/>
        </w:rPr>
      </w:pPr>
      <w:r>
        <w:t xml:space="preserve">The amendments do not engage any of the applicable rights or freedoms outlined in the </w:t>
      </w:r>
      <w:r w:rsidRPr="25088863">
        <w:rPr>
          <w:i/>
          <w:iCs/>
        </w:rPr>
        <w:t>Human Rights (Parliamentary Scrutiny) Act 2011</w:t>
      </w:r>
      <w:r>
        <w:t xml:space="preserve">, such as encompassed in the </w:t>
      </w:r>
      <w:r w:rsidRPr="25088863">
        <w:rPr>
          <w:i/>
          <w:iCs/>
        </w:rPr>
        <w:t>International Covenant on Civil and Political Rights</w:t>
      </w:r>
      <w:r>
        <w:t>.</w:t>
      </w:r>
    </w:p>
    <w:p w14:paraId="017F9779" w14:textId="77777777" w:rsidR="00E835FF" w:rsidRPr="00662BFB" w:rsidRDefault="25088863" w:rsidP="25088863">
      <w:pPr>
        <w:pStyle w:val="ListParagraph"/>
        <w:numPr>
          <w:ilvl w:val="0"/>
          <w:numId w:val="6"/>
        </w:numPr>
        <w:spacing w:before="120" w:after="120" w:line="276" w:lineRule="auto"/>
        <w:ind w:left="993" w:right="-1" w:hanging="426"/>
        <w:jc w:val="both"/>
        <w:rPr>
          <w:rFonts w:ascii="Calibri" w:eastAsiaTheme="minorEastAsia" w:hAnsi="Calibri"/>
        </w:rPr>
      </w:pPr>
      <w:r>
        <w:t xml:space="preserve">The proposed amendments do not limit any human rights, nor propose any offences or penalties.  </w:t>
      </w:r>
    </w:p>
    <w:p w14:paraId="16E29B61" w14:textId="2CAFC6FF" w:rsidR="00DC2995" w:rsidRPr="00DC2995" w:rsidRDefault="25088863" w:rsidP="25088863">
      <w:pPr>
        <w:pStyle w:val="ListParagraph"/>
        <w:numPr>
          <w:ilvl w:val="0"/>
          <w:numId w:val="6"/>
        </w:numPr>
        <w:spacing w:after="200" w:line="276" w:lineRule="auto"/>
        <w:ind w:left="993" w:right="-1" w:hanging="426"/>
        <w:contextualSpacing w:val="0"/>
        <w:jc w:val="both"/>
        <w:rPr>
          <w:rFonts w:ascii="Calibri" w:eastAsiaTheme="minorEastAsia" w:hAnsi="Calibri"/>
        </w:rPr>
      </w:pPr>
      <w:r>
        <w:t xml:space="preserve">This disallowable legislative instrument is therefore compatible with the human rights and freedoms recognised or declared in the international instruments listed in subsection 3(1) of the </w:t>
      </w:r>
      <w:r w:rsidRPr="25088863">
        <w:rPr>
          <w:i/>
          <w:iCs/>
        </w:rPr>
        <w:t>Human Rights (Parliamentary Scrutiny) Act 2011</w:t>
      </w:r>
      <w:r>
        <w:t>.</w:t>
      </w:r>
    </w:p>
    <w:p w14:paraId="0E6FA857" w14:textId="77777777" w:rsidR="00DC2995" w:rsidRPr="00DC2995" w:rsidRDefault="25088863" w:rsidP="25088863">
      <w:pPr>
        <w:spacing w:after="120" w:line="276" w:lineRule="auto"/>
        <w:ind w:right="-1"/>
        <w:jc w:val="both"/>
        <w:rPr>
          <w:rFonts w:ascii="Calibri" w:eastAsiaTheme="minorEastAsia" w:hAnsi="Calibri"/>
        </w:rPr>
      </w:pPr>
      <w:r w:rsidRPr="25088863">
        <w:rPr>
          <w:b/>
          <w:bCs/>
        </w:rPr>
        <w:t>Conclusion</w:t>
      </w:r>
    </w:p>
    <w:p w14:paraId="6C99D740" w14:textId="77777777" w:rsidR="00B3043B" w:rsidRDefault="25088863" w:rsidP="00EB2C82">
      <w:pPr>
        <w:spacing w:after="100" w:line="276" w:lineRule="auto"/>
        <w:ind w:right="-1"/>
        <w:jc w:val="both"/>
      </w:pPr>
      <w:r>
        <w:t xml:space="preserve">This Disallowable Legislative Instrument is compatible with human rights as it does not raise any human rights issues. </w:t>
      </w:r>
    </w:p>
    <w:p w14:paraId="64E398F0" w14:textId="77777777" w:rsidR="00DC2995" w:rsidRDefault="00DC2995" w:rsidP="00EB2C82">
      <w:pPr>
        <w:spacing w:line="276" w:lineRule="auto"/>
        <w:ind w:right="-1"/>
        <w:jc w:val="both"/>
        <w:rPr>
          <w:b/>
        </w:rPr>
      </w:pPr>
    </w:p>
    <w:p w14:paraId="0A6F19F7" w14:textId="77777777" w:rsidR="00DC2995" w:rsidRDefault="00DC2995" w:rsidP="00EB2C82">
      <w:pPr>
        <w:spacing w:line="276" w:lineRule="auto"/>
        <w:ind w:right="-1"/>
        <w:jc w:val="both"/>
        <w:rPr>
          <w:b/>
        </w:rPr>
      </w:pPr>
    </w:p>
    <w:p w14:paraId="6343C5FC" w14:textId="25399D44" w:rsidR="00D9091D" w:rsidRDefault="25088863" w:rsidP="25088863">
      <w:pPr>
        <w:spacing w:line="276" w:lineRule="auto"/>
        <w:ind w:right="-1"/>
        <w:jc w:val="center"/>
        <w:rPr>
          <w:b/>
          <w:bCs/>
        </w:rPr>
      </w:pPr>
      <w:r w:rsidRPr="25088863">
        <w:rPr>
          <w:b/>
          <w:bCs/>
        </w:rPr>
        <w:t xml:space="preserve">Senator the Honourable </w:t>
      </w:r>
      <w:r w:rsidR="005C027F">
        <w:rPr>
          <w:b/>
          <w:bCs/>
        </w:rPr>
        <w:t>Katy Gallagher</w:t>
      </w:r>
    </w:p>
    <w:p w14:paraId="3A0F49A9" w14:textId="77777777" w:rsidR="002A4F19" w:rsidRPr="00552752" w:rsidRDefault="25088863" w:rsidP="25088863">
      <w:pPr>
        <w:spacing w:line="276" w:lineRule="auto"/>
        <w:ind w:right="-1"/>
        <w:jc w:val="center"/>
        <w:rPr>
          <w:sz w:val="22"/>
          <w:szCs w:val="22"/>
          <w:highlight w:val="yellow"/>
        </w:rPr>
      </w:pPr>
      <w:r w:rsidRPr="25088863">
        <w:rPr>
          <w:b/>
          <w:bCs/>
        </w:rPr>
        <w:t xml:space="preserve">Minister for Finance </w:t>
      </w:r>
    </w:p>
    <w:sectPr w:rsidR="002A4F19" w:rsidRPr="00552752" w:rsidSect="005C283D">
      <w:pgSz w:w="11907" w:h="16840" w:code="9"/>
      <w:pgMar w:top="1245" w:right="1701" w:bottom="567" w:left="15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1EE9" w14:textId="77777777" w:rsidR="00D32F77" w:rsidRDefault="00D32F77">
      <w:r>
        <w:separator/>
      </w:r>
    </w:p>
  </w:endnote>
  <w:endnote w:type="continuationSeparator" w:id="0">
    <w:p w14:paraId="04F6EFB5" w14:textId="77777777" w:rsidR="00D32F77" w:rsidRDefault="00D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47" w:type="dxa"/>
      <w:tblInd w:w="-426" w:type="dxa"/>
      <w:tblLook w:val="04A0" w:firstRow="1" w:lastRow="0" w:firstColumn="1" w:lastColumn="0" w:noHBand="0" w:noVBand="1"/>
    </w:tblPr>
    <w:tblGrid>
      <w:gridCol w:w="284"/>
      <w:gridCol w:w="7655"/>
      <w:gridCol w:w="708"/>
    </w:tblGrid>
    <w:tr w:rsidR="00A67793" w14:paraId="29E78232" w14:textId="77777777" w:rsidTr="25088863">
      <w:tc>
        <w:tcPr>
          <w:tcW w:w="284" w:type="dxa"/>
          <w:tcBorders>
            <w:left w:val="nil"/>
            <w:bottom w:val="nil"/>
            <w:right w:val="nil"/>
          </w:tcBorders>
        </w:tcPr>
        <w:p w14:paraId="4235DE9B" w14:textId="77777777" w:rsidR="00A67793" w:rsidRPr="006B1927" w:rsidRDefault="00A67793" w:rsidP="00557BB0">
          <w:pPr>
            <w:pStyle w:val="Footer"/>
            <w:rPr>
              <w:rFonts w:ascii="Arial" w:hAnsi="Arial" w:cs="Arial"/>
              <w:sz w:val="18"/>
            </w:rPr>
          </w:pPr>
        </w:p>
      </w:tc>
      <w:tc>
        <w:tcPr>
          <w:tcW w:w="7655" w:type="dxa"/>
          <w:tcBorders>
            <w:left w:val="nil"/>
            <w:bottom w:val="nil"/>
            <w:right w:val="nil"/>
          </w:tcBorders>
        </w:tcPr>
        <w:p w14:paraId="27A9BB93" w14:textId="3FF6E5F9" w:rsidR="00A67793" w:rsidRPr="00E219C7" w:rsidRDefault="25088863" w:rsidP="008F774A">
          <w:pPr>
            <w:pStyle w:val="Footer"/>
            <w:jc w:val="center"/>
          </w:pPr>
          <w:r w:rsidRPr="25088863">
            <w:rPr>
              <w:i/>
              <w:iCs/>
              <w:sz w:val="18"/>
              <w:szCs w:val="18"/>
            </w:rPr>
            <w:t>Explanatory Statement to the Public Governance, Performance and Accountability (Financial Reporting) Amendment (202</w:t>
          </w:r>
          <w:r w:rsidR="005C027F">
            <w:rPr>
              <w:i/>
              <w:iCs/>
              <w:sz w:val="18"/>
              <w:szCs w:val="18"/>
            </w:rPr>
            <w:t>2</w:t>
          </w:r>
          <w:r w:rsidRPr="25088863">
            <w:rPr>
              <w:i/>
              <w:iCs/>
              <w:sz w:val="18"/>
              <w:szCs w:val="18"/>
            </w:rPr>
            <w:t xml:space="preserve"> Measures No.</w:t>
          </w:r>
          <w:r w:rsidR="005C027F">
            <w:rPr>
              <w:i/>
              <w:iCs/>
              <w:sz w:val="18"/>
              <w:szCs w:val="18"/>
            </w:rPr>
            <w:t>1</w:t>
          </w:r>
          <w:r w:rsidRPr="25088863">
            <w:rPr>
              <w:i/>
              <w:iCs/>
              <w:sz w:val="18"/>
              <w:szCs w:val="18"/>
            </w:rPr>
            <w:t>) Rules 202</w:t>
          </w:r>
          <w:r w:rsidR="005C027F">
            <w:rPr>
              <w:i/>
              <w:iCs/>
              <w:sz w:val="18"/>
              <w:szCs w:val="18"/>
            </w:rPr>
            <w:t>2</w:t>
          </w:r>
        </w:p>
        <w:p w14:paraId="358DB305" w14:textId="77777777" w:rsidR="00A67793" w:rsidRDefault="00A67793" w:rsidP="008E1EF8">
          <w:pPr>
            <w:pStyle w:val="Footer"/>
          </w:pPr>
        </w:p>
      </w:tc>
      <w:tc>
        <w:tcPr>
          <w:tcW w:w="708" w:type="dxa"/>
          <w:tcBorders>
            <w:left w:val="nil"/>
            <w:bottom w:val="nil"/>
            <w:right w:val="nil"/>
          </w:tcBorders>
        </w:tcPr>
        <w:p w14:paraId="18199EA3" w14:textId="01745753" w:rsidR="00A67793" w:rsidRPr="001F35A6" w:rsidRDefault="00A67793" w:rsidP="008E1EF8">
          <w:pPr>
            <w:pStyle w:val="Foo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71752C">
            <w:rPr>
              <w:rStyle w:val="PageNumber"/>
              <w:noProof/>
              <w:sz w:val="18"/>
              <w:szCs w:val="18"/>
            </w:rPr>
            <w:t>5</w:t>
          </w:r>
          <w:r w:rsidRPr="001F35A6">
            <w:rPr>
              <w:rStyle w:val="PageNumber"/>
              <w:sz w:val="18"/>
              <w:szCs w:val="18"/>
            </w:rPr>
            <w:fldChar w:fldCharType="end"/>
          </w:r>
        </w:p>
      </w:tc>
    </w:tr>
  </w:tbl>
  <w:p w14:paraId="317A8DBC" w14:textId="77777777" w:rsidR="00A67793" w:rsidRDefault="00A6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84"/>
      <w:gridCol w:w="6838"/>
      <w:gridCol w:w="851"/>
    </w:tblGrid>
    <w:tr w:rsidR="00A67793" w:rsidRPr="001F35A6" w14:paraId="0DF6F644" w14:textId="77777777" w:rsidTr="25088863">
      <w:tc>
        <w:tcPr>
          <w:tcW w:w="284" w:type="dxa"/>
          <w:tcBorders>
            <w:left w:val="nil"/>
            <w:bottom w:val="nil"/>
            <w:right w:val="nil"/>
          </w:tcBorders>
        </w:tcPr>
        <w:p w14:paraId="12ED58E5" w14:textId="77777777" w:rsidR="00A67793" w:rsidRPr="001F35A6" w:rsidRDefault="00A67793" w:rsidP="001F35A6">
          <w:pPr>
            <w:pStyle w:val="Footer"/>
            <w:jc w:val="center"/>
            <w:rPr>
              <w:sz w:val="18"/>
              <w:szCs w:val="18"/>
            </w:rPr>
          </w:pPr>
        </w:p>
      </w:tc>
      <w:tc>
        <w:tcPr>
          <w:tcW w:w="6838" w:type="dxa"/>
          <w:tcBorders>
            <w:left w:val="nil"/>
            <w:bottom w:val="nil"/>
            <w:right w:val="nil"/>
          </w:tcBorders>
        </w:tcPr>
        <w:p w14:paraId="36780210" w14:textId="63B643DE" w:rsidR="00A67793" w:rsidRPr="001F35A6" w:rsidRDefault="25088863" w:rsidP="25088863">
          <w:pPr>
            <w:pStyle w:val="Footer"/>
            <w:jc w:val="center"/>
            <w:rPr>
              <w:sz w:val="18"/>
              <w:szCs w:val="18"/>
            </w:rPr>
          </w:pPr>
          <w:r w:rsidRPr="25088863">
            <w:rPr>
              <w:i/>
              <w:iCs/>
              <w:sz w:val="18"/>
              <w:szCs w:val="18"/>
            </w:rPr>
            <w:t>Explanatory Statement to the Public Governance, Performance and Accountability (Financial Reporting) Amendment (2021 Measures No.2) Rules 2021</w:t>
          </w:r>
        </w:p>
      </w:tc>
      <w:tc>
        <w:tcPr>
          <w:tcW w:w="851" w:type="dxa"/>
          <w:tcBorders>
            <w:left w:val="nil"/>
            <w:bottom w:val="nil"/>
            <w:right w:val="nil"/>
          </w:tcBorders>
        </w:tcPr>
        <w:p w14:paraId="34F3F47C" w14:textId="1EA4BE93" w:rsidR="00A67793" w:rsidRPr="001F35A6" w:rsidRDefault="00A67793" w:rsidP="00261312">
          <w:pPr>
            <w:pStyle w:val="Footer"/>
            <w:ind w:left="-110" w:firstLine="110"/>
            <w:jc w:val="center"/>
            <w:rPr>
              <w:sz w:val="18"/>
              <w:szCs w:val="18"/>
            </w:rPr>
          </w:pPr>
          <w:r w:rsidRPr="001F35A6">
            <w:rPr>
              <w:rStyle w:val="PageNumber"/>
              <w:sz w:val="18"/>
              <w:szCs w:val="18"/>
            </w:rPr>
            <w:fldChar w:fldCharType="begin"/>
          </w:r>
          <w:r w:rsidRPr="001F35A6">
            <w:rPr>
              <w:rStyle w:val="PageNumber"/>
              <w:sz w:val="18"/>
              <w:szCs w:val="18"/>
            </w:rPr>
            <w:instrText xml:space="preserve"> PAGE </w:instrText>
          </w:r>
          <w:r w:rsidRPr="001F35A6">
            <w:rPr>
              <w:rStyle w:val="PageNumber"/>
              <w:sz w:val="18"/>
              <w:szCs w:val="18"/>
            </w:rPr>
            <w:fldChar w:fldCharType="separate"/>
          </w:r>
          <w:r w:rsidR="0071752C">
            <w:rPr>
              <w:rStyle w:val="PageNumber"/>
              <w:noProof/>
              <w:sz w:val="18"/>
              <w:szCs w:val="18"/>
            </w:rPr>
            <w:t>4</w:t>
          </w:r>
          <w:r w:rsidRPr="001F35A6">
            <w:rPr>
              <w:rStyle w:val="PageNumber"/>
              <w:sz w:val="18"/>
              <w:szCs w:val="18"/>
            </w:rPr>
            <w:fldChar w:fldCharType="end"/>
          </w:r>
        </w:p>
      </w:tc>
    </w:tr>
  </w:tbl>
  <w:p w14:paraId="5652518A" w14:textId="77777777" w:rsidR="00A67793" w:rsidRPr="001F35A6" w:rsidRDefault="00A67793" w:rsidP="001F35A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499C" w14:textId="77777777" w:rsidR="00D32F77" w:rsidRDefault="00D32F77">
      <w:r>
        <w:separator/>
      </w:r>
    </w:p>
  </w:footnote>
  <w:footnote w:type="continuationSeparator" w:id="0">
    <w:p w14:paraId="3EBC21E7" w14:textId="77777777" w:rsidR="00D32F77" w:rsidRDefault="00D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2BC0" w14:textId="39C863EE" w:rsidR="00A67793" w:rsidRPr="00450366" w:rsidRDefault="00A67793" w:rsidP="00450366">
    <w:pPr>
      <w:pStyle w:val="Header"/>
      <w:pBdr>
        <w:between w:val="single" w:sz="12" w:space="1" w:color="auto"/>
      </w:pBd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81"/>
    <w:multiLevelType w:val="hybridMultilevel"/>
    <w:tmpl w:val="AC84F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D420AB"/>
    <w:multiLevelType w:val="hybridMultilevel"/>
    <w:tmpl w:val="D1228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249D7"/>
    <w:multiLevelType w:val="multilevel"/>
    <w:tmpl w:val="1DD006AA"/>
    <w:lvl w:ilvl="0">
      <w:start w:val="1"/>
      <w:numFmt w:val="bullet"/>
      <w:pStyle w:val="Bullet"/>
      <w:lvlText w:val=""/>
      <w:lvlJc w:val="left"/>
      <w:pPr>
        <w:tabs>
          <w:tab w:val="num" w:pos="680"/>
        </w:tabs>
        <w:ind w:left="680" w:hanging="680"/>
      </w:pPr>
      <w:rPr>
        <w:rFonts w:ascii="Symbol" w:hAnsi="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2268"/>
        </w:tabs>
        <w:ind w:left="2268" w:hanging="567"/>
      </w:pPr>
      <w:rPr>
        <w:rFonts w:ascii="Symbol" w:hAnsi="Symbol" w:cs="Symbol" w:hint="default"/>
      </w:rPr>
    </w:lvl>
    <w:lvl w:ilvl="7">
      <w:start w:val="1"/>
      <w:numFmt w:val="bullet"/>
      <w:lvlText w:val=""/>
      <w:lvlJc w:val="left"/>
      <w:pPr>
        <w:tabs>
          <w:tab w:val="num" w:pos="2835"/>
        </w:tabs>
        <w:ind w:left="2835" w:hanging="567"/>
      </w:pPr>
      <w:rPr>
        <w:rFonts w:ascii="Symbol" w:hAnsi="Symbol" w:cs="Symbol" w:hint="default"/>
      </w:rPr>
    </w:lvl>
    <w:lvl w:ilvl="8">
      <w:start w:val="1"/>
      <w:numFmt w:val="bullet"/>
      <w:lvlText w:val=""/>
      <w:lvlJc w:val="left"/>
      <w:pPr>
        <w:tabs>
          <w:tab w:val="num" w:pos="3402"/>
        </w:tabs>
        <w:ind w:left="3402" w:hanging="567"/>
      </w:pPr>
      <w:rPr>
        <w:rFonts w:ascii="Symbol" w:hAnsi="Symbol" w:cs="Symbol" w:hint="default"/>
      </w:rPr>
    </w:lvl>
  </w:abstractNum>
  <w:abstractNum w:abstractNumId="3" w15:restartNumberingAfterBreak="0">
    <w:nsid w:val="22ED0DF7"/>
    <w:multiLevelType w:val="hybridMultilevel"/>
    <w:tmpl w:val="99524468"/>
    <w:lvl w:ilvl="0" w:tplc="D48451A8">
      <w:start w:val="1"/>
      <w:numFmt w:val="bullet"/>
      <w:pStyle w:val="StyleNew"/>
      <w:lvlText w:val=""/>
      <w:lvlJc w:val="left"/>
      <w:pPr>
        <w:tabs>
          <w:tab w:val="num" w:pos="720"/>
        </w:tabs>
        <w:ind w:left="340" w:hanging="340"/>
      </w:pPr>
      <w:rPr>
        <w:rFonts w:ascii="Symbol" w:hAnsi="Symbol" w:hint="default"/>
      </w:rPr>
    </w:lvl>
    <w:lvl w:ilvl="1" w:tplc="F294D27C">
      <w:start w:val="1"/>
      <w:numFmt w:val="bullet"/>
      <w:lvlText w:val="o"/>
      <w:lvlJc w:val="left"/>
      <w:pPr>
        <w:tabs>
          <w:tab w:val="num" w:pos="927"/>
        </w:tabs>
        <w:ind w:left="907" w:hanging="34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85736"/>
    <w:multiLevelType w:val="hybridMultilevel"/>
    <w:tmpl w:val="E4BA5306"/>
    <w:lvl w:ilvl="0" w:tplc="C0E23C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53F9B"/>
    <w:multiLevelType w:val="hybridMultilevel"/>
    <w:tmpl w:val="0BD65B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E1601"/>
    <w:multiLevelType w:val="hybridMultilevel"/>
    <w:tmpl w:val="83E2F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3A951A0B"/>
    <w:multiLevelType w:val="hybridMultilevel"/>
    <w:tmpl w:val="F11AFA8E"/>
    <w:lvl w:ilvl="0" w:tplc="B442E3F0">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2453FF"/>
    <w:multiLevelType w:val="hybridMultilevel"/>
    <w:tmpl w:val="3D72ADDC"/>
    <w:lvl w:ilvl="0" w:tplc="518600FA">
      <w:start w:val="1"/>
      <w:numFmt w:val="lowerLetter"/>
      <w:lvlText w:val="(%1)"/>
      <w:lvlJc w:val="left"/>
      <w:pPr>
        <w:tabs>
          <w:tab w:val="num" w:pos="1080"/>
        </w:tabs>
        <w:ind w:left="1080" w:hanging="360"/>
      </w:pPr>
      <w:rPr>
        <w:rFonts w:hint="default"/>
      </w:rPr>
    </w:lvl>
    <w:lvl w:ilvl="1" w:tplc="BCCA3CF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4AAE8450">
      <w:start w:val="1"/>
      <w:numFmt w:val="lowerLetter"/>
      <w:pStyle w:val="AmendmentHeading"/>
      <w:lvlText w:val="(%4)"/>
      <w:lvlJc w:val="left"/>
      <w:pPr>
        <w:tabs>
          <w:tab w:val="num" w:pos="3240"/>
        </w:tabs>
        <w:ind w:left="3240" w:hanging="360"/>
      </w:pPr>
      <w:rPr>
        <w:rFonts w:hint="default"/>
      </w:rPr>
    </w:lvl>
    <w:lvl w:ilvl="4" w:tplc="93CA2846">
      <w:start w:val="1"/>
      <w:numFmt w:val="bullet"/>
      <w:lvlText w:val=""/>
      <w:lvlJc w:val="left"/>
      <w:pPr>
        <w:tabs>
          <w:tab w:val="num" w:pos="3960"/>
        </w:tabs>
        <w:ind w:left="3960" w:hanging="360"/>
      </w:pPr>
      <w:rPr>
        <w:rFonts w:ascii="Symbol" w:hAnsi="Symbol" w:hint="default"/>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1" w15:restartNumberingAfterBreak="0">
    <w:nsid w:val="5E815138"/>
    <w:multiLevelType w:val="multilevel"/>
    <w:tmpl w:val="1578179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96C116A"/>
    <w:multiLevelType w:val="hybridMultilevel"/>
    <w:tmpl w:val="9EC6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8338E"/>
    <w:multiLevelType w:val="singleLevel"/>
    <w:tmpl w:val="2922866A"/>
    <w:lvl w:ilvl="0">
      <w:start w:val="1"/>
      <w:numFmt w:val="bullet"/>
      <w:pStyle w:val="Colon"/>
      <w:lvlText w:val=""/>
      <w:lvlJc w:val="left"/>
      <w:pPr>
        <w:tabs>
          <w:tab w:val="num" w:pos="360"/>
        </w:tabs>
        <w:ind w:left="360" w:hanging="360"/>
      </w:pPr>
      <w:rPr>
        <w:rFonts w:ascii="Symbol" w:hAnsi="Symbol" w:cs="Times New Roman" w:hint="default"/>
      </w:rPr>
    </w:lvl>
  </w:abstractNum>
  <w:abstractNum w:abstractNumId="14" w15:restartNumberingAfterBreak="0">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3B47F6"/>
    <w:multiLevelType w:val="hybridMultilevel"/>
    <w:tmpl w:val="E55A30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3"/>
  </w:num>
  <w:num w:numId="5">
    <w:abstractNumId w:val="7"/>
  </w:num>
  <w:num w:numId="6">
    <w:abstractNumId w:val="8"/>
  </w:num>
  <w:num w:numId="7">
    <w:abstractNumId w:val="11"/>
  </w:num>
  <w:num w:numId="8">
    <w:abstractNumId w:val="10"/>
  </w:num>
  <w:num w:numId="9">
    <w:abstractNumId w:val="1"/>
  </w:num>
  <w:num w:numId="10">
    <w:abstractNumId w:val="14"/>
  </w:num>
  <w:num w:numId="11">
    <w:abstractNumId w:val="5"/>
  </w:num>
  <w:num w:numId="12">
    <w:abstractNumId w:val="15"/>
  </w:num>
  <w:num w:numId="13">
    <w:abstractNumId w:val="0"/>
  </w:num>
  <w:num w:numId="14">
    <w:abstractNumId w:val="12"/>
  </w:num>
  <w:num w:numId="15">
    <w:abstractNumId w:val="6"/>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71"/>
    <w:rsid w:val="000006AD"/>
    <w:rsid w:val="00000DBF"/>
    <w:rsid w:val="00002A76"/>
    <w:rsid w:val="00005B1F"/>
    <w:rsid w:val="0000674E"/>
    <w:rsid w:val="00014D88"/>
    <w:rsid w:val="000225FF"/>
    <w:rsid w:val="00025465"/>
    <w:rsid w:val="00025A18"/>
    <w:rsid w:val="00026225"/>
    <w:rsid w:val="00027A4F"/>
    <w:rsid w:val="00027EA5"/>
    <w:rsid w:val="000359A8"/>
    <w:rsid w:val="00037F5D"/>
    <w:rsid w:val="00037F9E"/>
    <w:rsid w:val="0004012C"/>
    <w:rsid w:val="00040819"/>
    <w:rsid w:val="0004314F"/>
    <w:rsid w:val="000431C7"/>
    <w:rsid w:val="000466D2"/>
    <w:rsid w:val="00046DF4"/>
    <w:rsid w:val="00047DE0"/>
    <w:rsid w:val="00047EC3"/>
    <w:rsid w:val="00051243"/>
    <w:rsid w:val="00052605"/>
    <w:rsid w:val="00052DDD"/>
    <w:rsid w:val="00061CFC"/>
    <w:rsid w:val="0006692F"/>
    <w:rsid w:val="00067854"/>
    <w:rsid w:val="0007348C"/>
    <w:rsid w:val="00074BE8"/>
    <w:rsid w:val="00080103"/>
    <w:rsid w:val="00080BD7"/>
    <w:rsid w:val="00080F3C"/>
    <w:rsid w:val="000828E6"/>
    <w:rsid w:val="00082AF0"/>
    <w:rsid w:val="0008325B"/>
    <w:rsid w:val="00084263"/>
    <w:rsid w:val="000849FA"/>
    <w:rsid w:val="0008573C"/>
    <w:rsid w:val="00086BCA"/>
    <w:rsid w:val="000877BA"/>
    <w:rsid w:val="00087D74"/>
    <w:rsid w:val="00091CF8"/>
    <w:rsid w:val="000922BC"/>
    <w:rsid w:val="00092773"/>
    <w:rsid w:val="000929A9"/>
    <w:rsid w:val="000936D4"/>
    <w:rsid w:val="000937D9"/>
    <w:rsid w:val="000A154D"/>
    <w:rsid w:val="000A2D37"/>
    <w:rsid w:val="000A5D30"/>
    <w:rsid w:val="000B0097"/>
    <w:rsid w:val="000B1BBF"/>
    <w:rsid w:val="000B5C59"/>
    <w:rsid w:val="000C0939"/>
    <w:rsid w:val="000C0C22"/>
    <w:rsid w:val="000C52E1"/>
    <w:rsid w:val="000D15F7"/>
    <w:rsid w:val="000D51FC"/>
    <w:rsid w:val="000D5BC6"/>
    <w:rsid w:val="000D6AA8"/>
    <w:rsid w:val="000E0752"/>
    <w:rsid w:val="000E1F9A"/>
    <w:rsid w:val="000E38E5"/>
    <w:rsid w:val="000E4D75"/>
    <w:rsid w:val="000F0D7E"/>
    <w:rsid w:val="000F1407"/>
    <w:rsid w:val="000F2391"/>
    <w:rsid w:val="000F357C"/>
    <w:rsid w:val="000F39BE"/>
    <w:rsid w:val="000F54DA"/>
    <w:rsid w:val="000F611B"/>
    <w:rsid w:val="000F61FD"/>
    <w:rsid w:val="00100533"/>
    <w:rsid w:val="00100D03"/>
    <w:rsid w:val="001025A9"/>
    <w:rsid w:val="00107D09"/>
    <w:rsid w:val="001153CB"/>
    <w:rsid w:val="00116981"/>
    <w:rsid w:val="00116B9F"/>
    <w:rsid w:val="001203F5"/>
    <w:rsid w:val="00120B88"/>
    <w:rsid w:val="0012282C"/>
    <w:rsid w:val="00131A52"/>
    <w:rsid w:val="001342BC"/>
    <w:rsid w:val="00136DC3"/>
    <w:rsid w:val="00146EE8"/>
    <w:rsid w:val="00147057"/>
    <w:rsid w:val="00150320"/>
    <w:rsid w:val="00152759"/>
    <w:rsid w:val="00152F75"/>
    <w:rsid w:val="00153574"/>
    <w:rsid w:val="00154A28"/>
    <w:rsid w:val="0015715F"/>
    <w:rsid w:val="00157755"/>
    <w:rsid w:val="00157C20"/>
    <w:rsid w:val="00162D25"/>
    <w:rsid w:val="001647E7"/>
    <w:rsid w:val="00165423"/>
    <w:rsid w:val="00166809"/>
    <w:rsid w:val="00171AE6"/>
    <w:rsid w:val="00172AAE"/>
    <w:rsid w:val="001808BC"/>
    <w:rsid w:val="001853CE"/>
    <w:rsid w:val="00186884"/>
    <w:rsid w:val="00187921"/>
    <w:rsid w:val="00191A88"/>
    <w:rsid w:val="00192834"/>
    <w:rsid w:val="00192B28"/>
    <w:rsid w:val="0019390A"/>
    <w:rsid w:val="00194265"/>
    <w:rsid w:val="001975F4"/>
    <w:rsid w:val="001A1BDE"/>
    <w:rsid w:val="001A3B3D"/>
    <w:rsid w:val="001A5228"/>
    <w:rsid w:val="001A5CE0"/>
    <w:rsid w:val="001B0D2B"/>
    <w:rsid w:val="001B3EE8"/>
    <w:rsid w:val="001B47DB"/>
    <w:rsid w:val="001C0B34"/>
    <w:rsid w:val="001C41D7"/>
    <w:rsid w:val="001C6A89"/>
    <w:rsid w:val="001C73A9"/>
    <w:rsid w:val="001D03C3"/>
    <w:rsid w:val="001D2D11"/>
    <w:rsid w:val="001D2E78"/>
    <w:rsid w:val="001D3594"/>
    <w:rsid w:val="001D44DD"/>
    <w:rsid w:val="001D6154"/>
    <w:rsid w:val="001D6819"/>
    <w:rsid w:val="001E0E7C"/>
    <w:rsid w:val="001E1FD9"/>
    <w:rsid w:val="001E451E"/>
    <w:rsid w:val="001F1DC8"/>
    <w:rsid w:val="001F3301"/>
    <w:rsid w:val="001F35A6"/>
    <w:rsid w:val="001F4437"/>
    <w:rsid w:val="001F63DC"/>
    <w:rsid w:val="0020394A"/>
    <w:rsid w:val="00205988"/>
    <w:rsid w:val="00205DBF"/>
    <w:rsid w:val="0020795E"/>
    <w:rsid w:val="00211941"/>
    <w:rsid w:val="00214EBB"/>
    <w:rsid w:val="00216EBA"/>
    <w:rsid w:val="002247B2"/>
    <w:rsid w:val="00224B3D"/>
    <w:rsid w:val="002256D1"/>
    <w:rsid w:val="00244804"/>
    <w:rsid w:val="00246B5F"/>
    <w:rsid w:val="0025231B"/>
    <w:rsid w:val="0025262A"/>
    <w:rsid w:val="002559F4"/>
    <w:rsid w:val="00260A1E"/>
    <w:rsid w:val="00260C0B"/>
    <w:rsid w:val="00261312"/>
    <w:rsid w:val="002619D9"/>
    <w:rsid w:val="00264775"/>
    <w:rsid w:val="00264B34"/>
    <w:rsid w:val="002650E9"/>
    <w:rsid w:val="00265A2D"/>
    <w:rsid w:val="00272419"/>
    <w:rsid w:val="00275989"/>
    <w:rsid w:val="00277E14"/>
    <w:rsid w:val="00280BE8"/>
    <w:rsid w:val="0028188A"/>
    <w:rsid w:val="00282A93"/>
    <w:rsid w:val="00283A8B"/>
    <w:rsid w:val="00283EB3"/>
    <w:rsid w:val="00284CE9"/>
    <w:rsid w:val="002873F3"/>
    <w:rsid w:val="0028789F"/>
    <w:rsid w:val="002914C7"/>
    <w:rsid w:val="00291940"/>
    <w:rsid w:val="00291AF2"/>
    <w:rsid w:val="0029530D"/>
    <w:rsid w:val="002975FE"/>
    <w:rsid w:val="002A0BFE"/>
    <w:rsid w:val="002A1AC4"/>
    <w:rsid w:val="002A2256"/>
    <w:rsid w:val="002A4F19"/>
    <w:rsid w:val="002A71CE"/>
    <w:rsid w:val="002B0ECE"/>
    <w:rsid w:val="002B2910"/>
    <w:rsid w:val="002B2A8F"/>
    <w:rsid w:val="002B519F"/>
    <w:rsid w:val="002B5761"/>
    <w:rsid w:val="002B76E9"/>
    <w:rsid w:val="002C0407"/>
    <w:rsid w:val="002C2376"/>
    <w:rsid w:val="002C2F8A"/>
    <w:rsid w:val="002C61CF"/>
    <w:rsid w:val="002D2CF8"/>
    <w:rsid w:val="002D46B0"/>
    <w:rsid w:val="002D57CA"/>
    <w:rsid w:val="002D5FBC"/>
    <w:rsid w:val="002D7154"/>
    <w:rsid w:val="002D7DA0"/>
    <w:rsid w:val="002E02B6"/>
    <w:rsid w:val="002E5296"/>
    <w:rsid w:val="002E56A4"/>
    <w:rsid w:val="002E6107"/>
    <w:rsid w:val="002E643B"/>
    <w:rsid w:val="002E6FC0"/>
    <w:rsid w:val="002F07C0"/>
    <w:rsid w:val="002F13B2"/>
    <w:rsid w:val="002F3782"/>
    <w:rsid w:val="002F413D"/>
    <w:rsid w:val="002F5E89"/>
    <w:rsid w:val="002F74F3"/>
    <w:rsid w:val="003016FA"/>
    <w:rsid w:val="00312B00"/>
    <w:rsid w:val="00313323"/>
    <w:rsid w:val="0031543F"/>
    <w:rsid w:val="00316808"/>
    <w:rsid w:val="00316FEA"/>
    <w:rsid w:val="003172F3"/>
    <w:rsid w:val="00317818"/>
    <w:rsid w:val="00317CFC"/>
    <w:rsid w:val="003278E3"/>
    <w:rsid w:val="00334843"/>
    <w:rsid w:val="00340E3E"/>
    <w:rsid w:val="0034240F"/>
    <w:rsid w:val="00342FE2"/>
    <w:rsid w:val="0034402D"/>
    <w:rsid w:val="003442C2"/>
    <w:rsid w:val="0035006A"/>
    <w:rsid w:val="003660BF"/>
    <w:rsid w:val="00373A8C"/>
    <w:rsid w:val="00374567"/>
    <w:rsid w:val="003747CF"/>
    <w:rsid w:val="00377742"/>
    <w:rsid w:val="00377E45"/>
    <w:rsid w:val="00380F37"/>
    <w:rsid w:val="00383562"/>
    <w:rsid w:val="0038364B"/>
    <w:rsid w:val="003846EF"/>
    <w:rsid w:val="00385C62"/>
    <w:rsid w:val="00386C78"/>
    <w:rsid w:val="0039160A"/>
    <w:rsid w:val="00393A73"/>
    <w:rsid w:val="00397D8B"/>
    <w:rsid w:val="003A158A"/>
    <w:rsid w:val="003A71E4"/>
    <w:rsid w:val="003A7F2B"/>
    <w:rsid w:val="003B0BCD"/>
    <w:rsid w:val="003B3137"/>
    <w:rsid w:val="003B4CA2"/>
    <w:rsid w:val="003B4FC4"/>
    <w:rsid w:val="003B5074"/>
    <w:rsid w:val="003B56C2"/>
    <w:rsid w:val="003B6541"/>
    <w:rsid w:val="003B7D2E"/>
    <w:rsid w:val="003C0B4E"/>
    <w:rsid w:val="003C2B98"/>
    <w:rsid w:val="003C2BD1"/>
    <w:rsid w:val="003C3115"/>
    <w:rsid w:val="003C52C7"/>
    <w:rsid w:val="003C52D4"/>
    <w:rsid w:val="003D3B28"/>
    <w:rsid w:val="003D5520"/>
    <w:rsid w:val="003D7534"/>
    <w:rsid w:val="003D7860"/>
    <w:rsid w:val="003D7C22"/>
    <w:rsid w:val="003E1B8D"/>
    <w:rsid w:val="003E2256"/>
    <w:rsid w:val="003E4D0F"/>
    <w:rsid w:val="003E590E"/>
    <w:rsid w:val="003E6864"/>
    <w:rsid w:val="003E7A7B"/>
    <w:rsid w:val="003E7DE2"/>
    <w:rsid w:val="003F1486"/>
    <w:rsid w:val="003F4C4C"/>
    <w:rsid w:val="00401667"/>
    <w:rsid w:val="00402FEF"/>
    <w:rsid w:val="004063CE"/>
    <w:rsid w:val="004079A5"/>
    <w:rsid w:val="00407B73"/>
    <w:rsid w:val="00414B72"/>
    <w:rsid w:val="00415CC5"/>
    <w:rsid w:val="00416545"/>
    <w:rsid w:val="00417C64"/>
    <w:rsid w:val="00420E32"/>
    <w:rsid w:val="00421053"/>
    <w:rsid w:val="004215AF"/>
    <w:rsid w:val="00421949"/>
    <w:rsid w:val="00422BF3"/>
    <w:rsid w:val="00425F6E"/>
    <w:rsid w:val="0043008C"/>
    <w:rsid w:val="0043071F"/>
    <w:rsid w:val="00433E04"/>
    <w:rsid w:val="004350D7"/>
    <w:rsid w:val="00436E66"/>
    <w:rsid w:val="004373D6"/>
    <w:rsid w:val="00440188"/>
    <w:rsid w:val="004430C7"/>
    <w:rsid w:val="004437CA"/>
    <w:rsid w:val="004450C3"/>
    <w:rsid w:val="0044515B"/>
    <w:rsid w:val="00447B1D"/>
    <w:rsid w:val="00450366"/>
    <w:rsid w:val="00451B64"/>
    <w:rsid w:val="00454C17"/>
    <w:rsid w:val="00455ED0"/>
    <w:rsid w:val="00456DA2"/>
    <w:rsid w:val="00456F23"/>
    <w:rsid w:val="00460056"/>
    <w:rsid w:val="004636B2"/>
    <w:rsid w:val="00463A94"/>
    <w:rsid w:val="00471C6A"/>
    <w:rsid w:val="0047360F"/>
    <w:rsid w:val="00474C3F"/>
    <w:rsid w:val="00474D61"/>
    <w:rsid w:val="00474E4F"/>
    <w:rsid w:val="004806DF"/>
    <w:rsid w:val="004810EA"/>
    <w:rsid w:val="004821DA"/>
    <w:rsid w:val="00483742"/>
    <w:rsid w:val="0048385F"/>
    <w:rsid w:val="00485048"/>
    <w:rsid w:val="00490663"/>
    <w:rsid w:val="0049189D"/>
    <w:rsid w:val="00491A26"/>
    <w:rsid w:val="00492354"/>
    <w:rsid w:val="00492C1F"/>
    <w:rsid w:val="00493A05"/>
    <w:rsid w:val="004968B4"/>
    <w:rsid w:val="00497A1E"/>
    <w:rsid w:val="004A0C36"/>
    <w:rsid w:val="004A0F8A"/>
    <w:rsid w:val="004A355D"/>
    <w:rsid w:val="004A6B99"/>
    <w:rsid w:val="004A7FBD"/>
    <w:rsid w:val="004B385F"/>
    <w:rsid w:val="004B3C3B"/>
    <w:rsid w:val="004B6DC8"/>
    <w:rsid w:val="004C27A6"/>
    <w:rsid w:val="004C2E3F"/>
    <w:rsid w:val="004D0284"/>
    <w:rsid w:val="004D0C5F"/>
    <w:rsid w:val="004D32CD"/>
    <w:rsid w:val="004D44EF"/>
    <w:rsid w:val="004D50FB"/>
    <w:rsid w:val="004D6E83"/>
    <w:rsid w:val="004D783B"/>
    <w:rsid w:val="004E2414"/>
    <w:rsid w:val="004E43F1"/>
    <w:rsid w:val="004E4B77"/>
    <w:rsid w:val="004E5045"/>
    <w:rsid w:val="004E6817"/>
    <w:rsid w:val="004E6863"/>
    <w:rsid w:val="004F37C4"/>
    <w:rsid w:val="004F5A0F"/>
    <w:rsid w:val="0050039A"/>
    <w:rsid w:val="00500498"/>
    <w:rsid w:val="005006C2"/>
    <w:rsid w:val="00503295"/>
    <w:rsid w:val="00504407"/>
    <w:rsid w:val="00504894"/>
    <w:rsid w:val="00506090"/>
    <w:rsid w:val="005106EC"/>
    <w:rsid w:val="00511345"/>
    <w:rsid w:val="0051188E"/>
    <w:rsid w:val="0051354A"/>
    <w:rsid w:val="00513C8F"/>
    <w:rsid w:val="005142BC"/>
    <w:rsid w:val="005158CA"/>
    <w:rsid w:val="0051630A"/>
    <w:rsid w:val="00517ECC"/>
    <w:rsid w:val="00521E95"/>
    <w:rsid w:val="00524B43"/>
    <w:rsid w:val="00526615"/>
    <w:rsid w:val="00527733"/>
    <w:rsid w:val="00531DF0"/>
    <w:rsid w:val="00532337"/>
    <w:rsid w:val="005344EA"/>
    <w:rsid w:val="00535098"/>
    <w:rsid w:val="0053606E"/>
    <w:rsid w:val="00536DB4"/>
    <w:rsid w:val="0054303D"/>
    <w:rsid w:val="00544DC1"/>
    <w:rsid w:val="00545438"/>
    <w:rsid w:val="005470F7"/>
    <w:rsid w:val="00551C43"/>
    <w:rsid w:val="00552752"/>
    <w:rsid w:val="00557BB0"/>
    <w:rsid w:val="00560BB8"/>
    <w:rsid w:val="0056163E"/>
    <w:rsid w:val="0056220C"/>
    <w:rsid w:val="0056441E"/>
    <w:rsid w:val="00565BEB"/>
    <w:rsid w:val="00567AF8"/>
    <w:rsid w:val="00567B3D"/>
    <w:rsid w:val="00571147"/>
    <w:rsid w:val="00574A5F"/>
    <w:rsid w:val="00576107"/>
    <w:rsid w:val="0057752C"/>
    <w:rsid w:val="005775C2"/>
    <w:rsid w:val="00580AA7"/>
    <w:rsid w:val="0058371C"/>
    <w:rsid w:val="00592ED3"/>
    <w:rsid w:val="00593B68"/>
    <w:rsid w:val="005948A9"/>
    <w:rsid w:val="00595DB7"/>
    <w:rsid w:val="00595EE8"/>
    <w:rsid w:val="00596521"/>
    <w:rsid w:val="005A24B2"/>
    <w:rsid w:val="005A32F6"/>
    <w:rsid w:val="005A428A"/>
    <w:rsid w:val="005A65AF"/>
    <w:rsid w:val="005B171F"/>
    <w:rsid w:val="005C027F"/>
    <w:rsid w:val="005C283D"/>
    <w:rsid w:val="005C4F0B"/>
    <w:rsid w:val="005D0626"/>
    <w:rsid w:val="005D07D3"/>
    <w:rsid w:val="005D0E5E"/>
    <w:rsid w:val="005D1255"/>
    <w:rsid w:val="005D3108"/>
    <w:rsid w:val="005D54B7"/>
    <w:rsid w:val="005D561B"/>
    <w:rsid w:val="005E014D"/>
    <w:rsid w:val="005E06B6"/>
    <w:rsid w:val="005E34F3"/>
    <w:rsid w:val="005E55DD"/>
    <w:rsid w:val="005E597D"/>
    <w:rsid w:val="005E6DE6"/>
    <w:rsid w:val="005E6FAE"/>
    <w:rsid w:val="005E7724"/>
    <w:rsid w:val="005F0A83"/>
    <w:rsid w:val="005F421E"/>
    <w:rsid w:val="006008BF"/>
    <w:rsid w:val="00601329"/>
    <w:rsid w:val="00602012"/>
    <w:rsid w:val="006023D2"/>
    <w:rsid w:val="00603FF5"/>
    <w:rsid w:val="0060489C"/>
    <w:rsid w:val="00607DE9"/>
    <w:rsid w:val="00612E1E"/>
    <w:rsid w:val="00613979"/>
    <w:rsid w:val="00617C1B"/>
    <w:rsid w:val="006200EB"/>
    <w:rsid w:val="00621C44"/>
    <w:rsid w:val="00622F4E"/>
    <w:rsid w:val="00634A51"/>
    <w:rsid w:val="0063500A"/>
    <w:rsid w:val="006353FC"/>
    <w:rsid w:val="00637578"/>
    <w:rsid w:val="006379B4"/>
    <w:rsid w:val="00637C60"/>
    <w:rsid w:val="00637DC3"/>
    <w:rsid w:val="00643CC6"/>
    <w:rsid w:val="0064404D"/>
    <w:rsid w:val="00645069"/>
    <w:rsid w:val="00646862"/>
    <w:rsid w:val="00647838"/>
    <w:rsid w:val="00653198"/>
    <w:rsid w:val="00655A0A"/>
    <w:rsid w:val="00655AEE"/>
    <w:rsid w:val="00656569"/>
    <w:rsid w:val="0065659E"/>
    <w:rsid w:val="0066001B"/>
    <w:rsid w:val="00660391"/>
    <w:rsid w:val="00661849"/>
    <w:rsid w:val="0066197A"/>
    <w:rsid w:val="00662BFB"/>
    <w:rsid w:val="006633A0"/>
    <w:rsid w:val="00663FC9"/>
    <w:rsid w:val="00664200"/>
    <w:rsid w:val="00664B4F"/>
    <w:rsid w:val="00666856"/>
    <w:rsid w:val="006726F2"/>
    <w:rsid w:val="00673FA9"/>
    <w:rsid w:val="006741D7"/>
    <w:rsid w:val="006743F7"/>
    <w:rsid w:val="00676D14"/>
    <w:rsid w:val="00676E5B"/>
    <w:rsid w:val="00685A4B"/>
    <w:rsid w:val="00686983"/>
    <w:rsid w:val="00691088"/>
    <w:rsid w:val="006938EF"/>
    <w:rsid w:val="00693D80"/>
    <w:rsid w:val="006A025B"/>
    <w:rsid w:val="006A1292"/>
    <w:rsid w:val="006A4F61"/>
    <w:rsid w:val="006A7E5D"/>
    <w:rsid w:val="006B0350"/>
    <w:rsid w:val="006B075B"/>
    <w:rsid w:val="006B07DA"/>
    <w:rsid w:val="006B16ED"/>
    <w:rsid w:val="006B3BED"/>
    <w:rsid w:val="006B3DB7"/>
    <w:rsid w:val="006B49EA"/>
    <w:rsid w:val="006B4D64"/>
    <w:rsid w:val="006B4FBC"/>
    <w:rsid w:val="006B5BD8"/>
    <w:rsid w:val="006C0D5B"/>
    <w:rsid w:val="006C1849"/>
    <w:rsid w:val="006C2972"/>
    <w:rsid w:val="006C3B1E"/>
    <w:rsid w:val="006C3BA8"/>
    <w:rsid w:val="006D0AE0"/>
    <w:rsid w:val="006D6AEE"/>
    <w:rsid w:val="006E1B49"/>
    <w:rsid w:val="006E2ABE"/>
    <w:rsid w:val="006E2FC3"/>
    <w:rsid w:val="006E4996"/>
    <w:rsid w:val="006F06EC"/>
    <w:rsid w:val="006F3CFA"/>
    <w:rsid w:val="006F6AE8"/>
    <w:rsid w:val="006F7449"/>
    <w:rsid w:val="007011A9"/>
    <w:rsid w:val="007013C1"/>
    <w:rsid w:val="00702D81"/>
    <w:rsid w:val="00704BCD"/>
    <w:rsid w:val="00706138"/>
    <w:rsid w:val="007107BA"/>
    <w:rsid w:val="0071140C"/>
    <w:rsid w:val="00711FFB"/>
    <w:rsid w:val="007142DC"/>
    <w:rsid w:val="00714300"/>
    <w:rsid w:val="007145C7"/>
    <w:rsid w:val="0071752C"/>
    <w:rsid w:val="0072275C"/>
    <w:rsid w:val="00722F61"/>
    <w:rsid w:val="0072401B"/>
    <w:rsid w:val="0072503F"/>
    <w:rsid w:val="00726491"/>
    <w:rsid w:val="00726697"/>
    <w:rsid w:val="00732580"/>
    <w:rsid w:val="007329EA"/>
    <w:rsid w:val="007334F8"/>
    <w:rsid w:val="007356CC"/>
    <w:rsid w:val="007357E3"/>
    <w:rsid w:val="00735D74"/>
    <w:rsid w:val="00735F58"/>
    <w:rsid w:val="00737756"/>
    <w:rsid w:val="007415A3"/>
    <w:rsid w:val="0074667E"/>
    <w:rsid w:val="00750253"/>
    <w:rsid w:val="007510B4"/>
    <w:rsid w:val="00753CD8"/>
    <w:rsid w:val="00755320"/>
    <w:rsid w:val="00760C5E"/>
    <w:rsid w:val="007620A3"/>
    <w:rsid w:val="0076489E"/>
    <w:rsid w:val="00770FCA"/>
    <w:rsid w:val="00774787"/>
    <w:rsid w:val="00781368"/>
    <w:rsid w:val="007816D7"/>
    <w:rsid w:val="00781CF3"/>
    <w:rsid w:val="00782EF0"/>
    <w:rsid w:val="00783638"/>
    <w:rsid w:val="00784361"/>
    <w:rsid w:val="0078564E"/>
    <w:rsid w:val="00786BCD"/>
    <w:rsid w:val="00792494"/>
    <w:rsid w:val="00792E4C"/>
    <w:rsid w:val="00794E29"/>
    <w:rsid w:val="007A5E36"/>
    <w:rsid w:val="007A7616"/>
    <w:rsid w:val="007B1898"/>
    <w:rsid w:val="007B19C1"/>
    <w:rsid w:val="007B2238"/>
    <w:rsid w:val="007B25D0"/>
    <w:rsid w:val="007C186E"/>
    <w:rsid w:val="007C424A"/>
    <w:rsid w:val="007C43FC"/>
    <w:rsid w:val="007C559A"/>
    <w:rsid w:val="007D036E"/>
    <w:rsid w:val="007D649F"/>
    <w:rsid w:val="007D7DAA"/>
    <w:rsid w:val="007E0CD0"/>
    <w:rsid w:val="007E4038"/>
    <w:rsid w:val="007E6787"/>
    <w:rsid w:val="007E6D43"/>
    <w:rsid w:val="007E704C"/>
    <w:rsid w:val="007E7DC5"/>
    <w:rsid w:val="007F01FA"/>
    <w:rsid w:val="007F1E8F"/>
    <w:rsid w:val="007F3014"/>
    <w:rsid w:val="007F4300"/>
    <w:rsid w:val="007F4873"/>
    <w:rsid w:val="00800BFF"/>
    <w:rsid w:val="00801B54"/>
    <w:rsid w:val="00802A29"/>
    <w:rsid w:val="00803FE7"/>
    <w:rsid w:val="00804FB8"/>
    <w:rsid w:val="00805D0D"/>
    <w:rsid w:val="008063B7"/>
    <w:rsid w:val="008068CF"/>
    <w:rsid w:val="0080745A"/>
    <w:rsid w:val="00810AEC"/>
    <w:rsid w:val="0081126F"/>
    <w:rsid w:val="0081179F"/>
    <w:rsid w:val="00820235"/>
    <w:rsid w:val="00822284"/>
    <w:rsid w:val="008228F4"/>
    <w:rsid w:val="00826F2F"/>
    <w:rsid w:val="008303F2"/>
    <w:rsid w:val="0083136D"/>
    <w:rsid w:val="0083205F"/>
    <w:rsid w:val="008325BE"/>
    <w:rsid w:val="00833243"/>
    <w:rsid w:val="00833D5B"/>
    <w:rsid w:val="00833ECD"/>
    <w:rsid w:val="008356AC"/>
    <w:rsid w:val="00836FC0"/>
    <w:rsid w:val="00840895"/>
    <w:rsid w:val="00846FCB"/>
    <w:rsid w:val="00850535"/>
    <w:rsid w:val="00851C50"/>
    <w:rsid w:val="00852AF7"/>
    <w:rsid w:val="00855C7F"/>
    <w:rsid w:val="00856212"/>
    <w:rsid w:val="00863415"/>
    <w:rsid w:val="008658C0"/>
    <w:rsid w:val="008669DE"/>
    <w:rsid w:val="00867E15"/>
    <w:rsid w:val="0087114F"/>
    <w:rsid w:val="00877539"/>
    <w:rsid w:val="008812C4"/>
    <w:rsid w:val="00883EF9"/>
    <w:rsid w:val="00885099"/>
    <w:rsid w:val="008921CA"/>
    <w:rsid w:val="0089329B"/>
    <w:rsid w:val="00894B98"/>
    <w:rsid w:val="008968B4"/>
    <w:rsid w:val="008A00E5"/>
    <w:rsid w:val="008A1BDA"/>
    <w:rsid w:val="008A6315"/>
    <w:rsid w:val="008A7621"/>
    <w:rsid w:val="008A7AAF"/>
    <w:rsid w:val="008B1166"/>
    <w:rsid w:val="008B1C9F"/>
    <w:rsid w:val="008B23D0"/>
    <w:rsid w:val="008B36D2"/>
    <w:rsid w:val="008B37A1"/>
    <w:rsid w:val="008B386D"/>
    <w:rsid w:val="008B4064"/>
    <w:rsid w:val="008B6BFB"/>
    <w:rsid w:val="008C0198"/>
    <w:rsid w:val="008C15F5"/>
    <w:rsid w:val="008C1F78"/>
    <w:rsid w:val="008D0219"/>
    <w:rsid w:val="008D1087"/>
    <w:rsid w:val="008D36B9"/>
    <w:rsid w:val="008D3A47"/>
    <w:rsid w:val="008D3AA2"/>
    <w:rsid w:val="008D4E91"/>
    <w:rsid w:val="008D5ED9"/>
    <w:rsid w:val="008E144D"/>
    <w:rsid w:val="008E1EF8"/>
    <w:rsid w:val="008E64A4"/>
    <w:rsid w:val="008E775C"/>
    <w:rsid w:val="008F0FE1"/>
    <w:rsid w:val="008F48A3"/>
    <w:rsid w:val="008F631D"/>
    <w:rsid w:val="008F774A"/>
    <w:rsid w:val="009004C4"/>
    <w:rsid w:val="009014E6"/>
    <w:rsid w:val="00902064"/>
    <w:rsid w:val="00903BC5"/>
    <w:rsid w:val="00906C88"/>
    <w:rsid w:val="009077B0"/>
    <w:rsid w:val="00911A65"/>
    <w:rsid w:val="00920E7B"/>
    <w:rsid w:val="009212D5"/>
    <w:rsid w:val="00921A52"/>
    <w:rsid w:val="00921AAE"/>
    <w:rsid w:val="00924B9F"/>
    <w:rsid w:val="009301EC"/>
    <w:rsid w:val="0093066E"/>
    <w:rsid w:val="00932D06"/>
    <w:rsid w:val="00933FDE"/>
    <w:rsid w:val="00935A56"/>
    <w:rsid w:val="0093607D"/>
    <w:rsid w:val="00946A32"/>
    <w:rsid w:val="00947296"/>
    <w:rsid w:val="009565DD"/>
    <w:rsid w:val="00957770"/>
    <w:rsid w:val="00957B20"/>
    <w:rsid w:val="00961B58"/>
    <w:rsid w:val="00962C2B"/>
    <w:rsid w:val="009646B1"/>
    <w:rsid w:val="00966042"/>
    <w:rsid w:val="00966BE4"/>
    <w:rsid w:val="00966C4F"/>
    <w:rsid w:val="009700BF"/>
    <w:rsid w:val="00970DBB"/>
    <w:rsid w:val="00973D8F"/>
    <w:rsid w:val="009743A6"/>
    <w:rsid w:val="009766BD"/>
    <w:rsid w:val="009873C4"/>
    <w:rsid w:val="00987829"/>
    <w:rsid w:val="009900EE"/>
    <w:rsid w:val="009914BA"/>
    <w:rsid w:val="00995525"/>
    <w:rsid w:val="009A03BF"/>
    <w:rsid w:val="009A158E"/>
    <w:rsid w:val="009A322F"/>
    <w:rsid w:val="009A3690"/>
    <w:rsid w:val="009A3B31"/>
    <w:rsid w:val="009A40AB"/>
    <w:rsid w:val="009A43A3"/>
    <w:rsid w:val="009A51A2"/>
    <w:rsid w:val="009A5C41"/>
    <w:rsid w:val="009A6ACB"/>
    <w:rsid w:val="009A6B5C"/>
    <w:rsid w:val="009A7188"/>
    <w:rsid w:val="009A7BA1"/>
    <w:rsid w:val="009B2181"/>
    <w:rsid w:val="009B3E6D"/>
    <w:rsid w:val="009B49BA"/>
    <w:rsid w:val="009B558C"/>
    <w:rsid w:val="009B5ABE"/>
    <w:rsid w:val="009C436A"/>
    <w:rsid w:val="009C6DA8"/>
    <w:rsid w:val="009D0F0F"/>
    <w:rsid w:val="009D1D18"/>
    <w:rsid w:val="009D1DB6"/>
    <w:rsid w:val="009D2058"/>
    <w:rsid w:val="009D2CB0"/>
    <w:rsid w:val="009D3BA7"/>
    <w:rsid w:val="009D42C3"/>
    <w:rsid w:val="009D50F8"/>
    <w:rsid w:val="009E2A6F"/>
    <w:rsid w:val="009E3AC5"/>
    <w:rsid w:val="009E4155"/>
    <w:rsid w:val="009E48E7"/>
    <w:rsid w:val="009E5297"/>
    <w:rsid w:val="009F06AA"/>
    <w:rsid w:val="009F2BFC"/>
    <w:rsid w:val="009F4285"/>
    <w:rsid w:val="009F6FCF"/>
    <w:rsid w:val="00A02879"/>
    <w:rsid w:val="00A03E9B"/>
    <w:rsid w:val="00A04381"/>
    <w:rsid w:val="00A04C8D"/>
    <w:rsid w:val="00A06501"/>
    <w:rsid w:val="00A13A6F"/>
    <w:rsid w:val="00A13C0C"/>
    <w:rsid w:val="00A14A22"/>
    <w:rsid w:val="00A15936"/>
    <w:rsid w:val="00A175A1"/>
    <w:rsid w:val="00A17839"/>
    <w:rsid w:val="00A17E7E"/>
    <w:rsid w:val="00A22631"/>
    <w:rsid w:val="00A242F8"/>
    <w:rsid w:val="00A25B03"/>
    <w:rsid w:val="00A26C80"/>
    <w:rsid w:val="00A31DDA"/>
    <w:rsid w:val="00A32723"/>
    <w:rsid w:val="00A34B42"/>
    <w:rsid w:val="00A365D1"/>
    <w:rsid w:val="00A36BEF"/>
    <w:rsid w:val="00A36EDF"/>
    <w:rsid w:val="00A37F70"/>
    <w:rsid w:val="00A40D51"/>
    <w:rsid w:val="00A4166F"/>
    <w:rsid w:val="00A444FC"/>
    <w:rsid w:val="00A453BF"/>
    <w:rsid w:val="00A4668E"/>
    <w:rsid w:val="00A502CB"/>
    <w:rsid w:val="00A5058B"/>
    <w:rsid w:val="00A515D7"/>
    <w:rsid w:val="00A54AC3"/>
    <w:rsid w:val="00A5730B"/>
    <w:rsid w:val="00A6517B"/>
    <w:rsid w:val="00A65BEA"/>
    <w:rsid w:val="00A66004"/>
    <w:rsid w:val="00A67793"/>
    <w:rsid w:val="00A72962"/>
    <w:rsid w:val="00A74176"/>
    <w:rsid w:val="00A74B02"/>
    <w:rsid w:val="00A75307"/>
    <w:rsid w:val="00A76267"/>
    <w:rsid w:val="00A80A29"/>
    <w:rsid w:val="00A813A7"/>
    <w:rsid w:val="00A82581"/>
    <w:rsid w:val="00A8312C"/>
    <w:rsid w:val="00A83BD6"/>
    <w:rsid w:val="00A87691"/>
    <w:rsid w:val="00A91039"/>
    <w:rsid w:val="00A9217D"/>
    <w:rsid w:val="00A92C78"/>
    <w:rsid w:val="00A9454B"/>
    <w:rsid w:val="00A9466C"/>
    <w:rsid w:val="00A956FA"/>
    <w:rsid w:val="00AA3B70"/>
    <w:rsid w:val="00AA5B23"/>
    <w:rsid w:val="00AB1289"/>
    <w:rsid w:val="00AB283A"/>
    <w:rsid w:val="00AB3168"/>
    <w:rsid w:val="00AB3E8B"/>
    <w:rsid w:val="00AB49DF"/>
    <w:rsid w:val="00AB510A"/>
    <w:rsid w:val="00AB56E1"/>
    <w:rsid w:val="00AC099A"/>
    <w:rsid w:val="00AC0D6D"/>
    <w:rsid w:val="00AC3C71"/>
    <w:rsid w:val="00AC43BF"/>
    <w:rsid w:val="00AC4724"/>
    <w:rsid w:val="00AC496E"/>
    <w:rsid w:val="00AC6E54"/>
    <w:rsid w:val="00AC7E87"/>
    <w:rsid w:val="00AD1F88"/>
    <w:rsid w:val="00AD23B9"/>
    <w:rsid w:val="00AD7668"/>
    <w:rsid w:val="00AD782F"/>
    <w:rsid w:val="00AE000F"/>
    <w:rsid w:val="00AE0023"/>
    <w:rsid w:val="00AE316C"/>
    <w:rsid w:val="00AE414F"/>
    <w:rsid w:val="00AE52D8"/>
    <w:rsid w:val="00AF00A4"/>
    <w:rsid w:val="00AF07A0"/>
    <w:rsid w:val="00AF1341"/>
    <w:rsid w:val="00AF493A"/>
    <w:rsid w:val="00AF4F1F"/>
    <w:rsid w:val="00AF5175"/>
    <w:rsid w:val="00AF6CC3"/>
    <w:rsid w:val="00B001C2"/>
    <w:rsid w:val="00B00F76"/>
    <w:rsid w:val="00B03931"/>
    <w:rsid w:val="00B04180"/>
    <w:rsid w:val="00B04D05"/>
    <w:rsid w:val="00B05B69"/>
    <w:rsid w:val="00B0703A"/>
    <w:rsid w:val="00B12D7B"/>
    <w:rsid w:val="00B1303F"/>
    <w:rsid w:val="00B14E83"/>
    <w:rsid w:val="00B163FC"/>
    <w:rsid w:val="00B2178C"/>
    <w:rsid w:val="00B23E29"/>
    <w:rsid w:val="00B3043B"/>
    <w:rsid w:val="00B307AB"/>
    <w:rsid w:val="00B31D91"/>
    <w:rsid w:val="00B329E4"/>
    <w:rsid w:val="00B33711"/>
    <w:rsid w:val="00B3474A"/>
    <w:rsid w:val="00B361B6"/>
    <w:rsid w:val="00B400D9"/>
    <w:rsid w:val="00B403FC"/>
    <w:rsid w:val="00B40BF9"/>
    <w:rsid w:val="00B447BA"/>
    <w:rsid w:val="00B474C2"/>
    <w:rsid w:val="00B52FCB"/>
    <w:rsid w:val="00B546C3"/>
    <w:rsid w:val="00B57F74"/>
    <w:rsid w:val="00B60189"/>
    <w:rsid w:val="00B60A92"/>
    <w:rsid w:val="00B6108D"/>
    <w:rsid w:val="00B65A77"/>
    <w:rsid w:val="00B6687F"/>
    <w:rsid w:val="00B66C72"/>
    <w:rsid w:val="00B77B86"/>
    <w:rsid w:val="00B8228D"/>
    <w:rsid w:val="00B83BCD"/>
    <w:rsid w:val="00B8691D"/>
    <w:rsid w:val="00B92945"/>
    <w:rsid w:val="00B92E35"/>
    <w:rsid w:val="00B94647"/>
    <w:rsid w:val="00BA0F45"/>
    <w:rsid w:val="00BA10FA"/>
    <w:rsid w:val="00BA129C"/>
    <w:rsid w:val="00BA3775"/>
    <w:rsid w:val="00BA4BD5"/>
    <w:rsid w:val="00BB1181"/>
    <w:rsid w:val="00BB2BFB"/>
    <w:rsid w:val="00BC3AA2"/>
    <w:rsid w:val="00BC46CF"/>
    <w:rsid w:val="00BC79C3"/>
    <w:rsid w:val="00BD5154"/>
    <w:rsid w:val="00BE10C4"/>
    <w:rsid w:val="00BE1461"/>
    <w:rsid w:val="00BE2929"/>
    <w:rsid w:val="00BE3954"/>
    <w:rsid w:val="00BE7BFB"/>
    <w:rsid w:val="00BF1257"/>
    <w:rsid w:val="00BF642F"/>
    <w:rsid w:val="00C04EDA"/>
    <w:rsid w:val="00C07FE4"/>
    <w:rsid w:val="00C1173D"/>
    <w:rsid w:val="00C1317F"/>
    <w:rsid w:val="00C1372C"/>
    <w:rsid w:val="00C16078"/>
    <w:rsid w:val="00C20B32"/>
    <w:rsid w:val="00C21AFD"/>
    <w:rsid w:val="00C23646"/>
    <w:rsid w:val="00C26185"/>
    <w:rsid w:val="00C27D77"/>
    <w:rsid w:val="00C32155"/>
    <w:rsid w:val="00C364B0"/>
    <w:rsid w:val="00C41E70"/>
    <w:rsid w:val="00C42242"/>
    <w:rsid w:val="00C435EA"/>
    <w:rsid w:val="00C458F6"/>
    <w:rsid w:val="00C45A5C"/>
    <w:rsid w:val="00C50973"/>
    <w:rsid w:val="00C5251E"/>
    <w:rsid w:val="00C5393C"/>
    <w:rsid w:val="00C54B34"/>
    <w:rsid w:val="00C57046"/>
    <w:rsid w:val="00C611D4"/>
    <w:rsid w:val="00C616E6"/>
    <w:rsid w:val="00C61AB9"/>
    <w:rsid w:val="00C61CF4"/>
    <w:rsid w:val="00C62D1C"/>
    <w:rsid w:val="00C65E72"/>
    <w:rsid w:val="00C7024B"/>
    <w:rsid w:val="00C73CEC"/>
    <w:rsid w:val="00C748B2"/>
    <w:rsid w:val="00C74DEE"/>
    <w:rsid w:val="00C759C5"/>
    <w:rsid w:val="00C759D1"/>
    <w:rsid w:val="00C80021"/>
    <w:rsid w:val="00C8629C"/>
    <w:rsid w:val="00C87E47"/>
    <w:rsid w:val="00C904A3"/>
    <w:rsid w:val="00C91FB4"/>
    <w:rsid w:val="00C94673"/>
    <w:rsid w:val="00C94F6C"/>
    <w:rsid w:val="00C95FFD"/>
    <w:rsid w:val="00C97A75"/>
    <w:rsid w:val="00C97DDA"/>
    <w:rsid w:val="00CA1AB8"/>
    <w:rsid w:val="00CA4E0E"/>
    <w:rsid w:val="00CA6BB3"/>
    <w:rsid w:val="00CB0429"/>
    <w:rsid w:val="00CB165A"/>
    <w:rsid w:val="00CB2978"/>
    <w:rsid w:val="00CB2A31"/>
    <w:rsid w:val="00CB4C48"/>
    <w:rsid w:val="00CB521A"/>
    <w:rsid w:val="00CC12B3"/>
    <w:rsid w:val="00CC1F2D"/>
    <w:rsid w:val="00CC4F3F"/>
    <w:rsid w:val="00CC6493"/>
    <w:rsid w:val="00CD1C73"/>
    <w:rsid w:val="00CD41A9"/>
    <w:rsid w:val="00CD5987"/>
    <w:rsid w:val="00CD727B"/>
    <w:rsid w:val="00CE0AA1"/>
    <w:rsid w:val="00CE37D8"/>
    <w:rsid w:val="00CE508D"/>
    <w:rsid w:val="00CE5717"/>
    <w:rsid w:val="00CE6527"/>
    <w:rsid w:val="00CE67B8"/>
    <w:rsid w:val="00CF1AE9"/>
    <w:rsid w:val="00CF2286"/>
    <w:rsid w:val="00CF2EE6"/>
    <w:rsid w:val="00CF60E2"/>
    <w:rsid w:val="00CF6BBF"/>
    <w:rsid w:val="00CF7BE8"/>
    <w:rsid w:val="00D0245E"/>
    <w:rsid w:val="00D07826"/>
    <w:rsid w:val="00D100FA"/>
    <w:rsid w:val="00D104A4"/>
    <w:rsid w:val="00D14CE4"/>
    <w:rsid w:val="00D15AD5"/>
    <w:rsid w:val="00D17F28"/>
    <w:rsid w:val="00D17F6C"/>
    <w:rsid w:val="00D26B28"/>
    <w:rsid w:val="00D30195"/>
    <w:rsid w:val="00D32F77"/>
    <w:rsid w:val="00D344F8"/>
    <w:rsid w:val="00D37ED2"/>
    <w:rsid w:val="00D4022D"/>
    <w:rsid w:val="00D4090C"/>
    <w:rsid w:val="00D4305E"/>
    <w:rsid w:val="00D4338D"/>
    <w:rsid w:val="00D4433E"/>
    <w:rsid w:val="00D46A63"/>
    <w:rsid w:val="00D5036C"/>
    <w:rsid w:val="00D515B1"/>
    <w:rsid w:val="00D52C34"/>
    <w:rsid w:val="00D56281"/>
    <w:rsid w:val="00D572AF"/>
    <w:rsid w:val="00D579BB"/>
    <w:rsid w:val="00D65880"/>
    <w:rsid w:val="00D65941"/>
    <w:rsid w:val="00D704A9"/>
    <w:rsid w:val="00D72A20"/>
    <w:rsid w:val="00D75DC3"/>
    <w:rsid w:val="00D76FA2"/>
    <w:rsid w:val="00D8231E"/>
    <w:rsid w:val="00D82A3C"/>
    <w:rsid w:val="00D84F5A"/>
    <w:rsid w:val="00D8500D"/>
    <w:rsid w:val="00D90200"/>
    <w:rsid w:val="00D9091D"/>
    <w:rsid w:val="00D923C1"/>
    <w:rsid w:val="00D9445E"/>
    <w:rsid w:val="00D95A58"/>
    <w:rsid w:val="00DA003F"/>
    <w:rsid w:val="00DA0B28"/>
    <w:rsid w:val="00DA3305"/>
    <w:rsid w:val="00DA47EA"/>
    <w:rsid w:val="00DA74CD"/>
    <w:rsid w:val="00DB1F1C"/>
    <w:rsid w:val="00DB29DB"/>
    <w:rsid w:val="00DC2995"/>
    <w:rsid w:val="00DC49F9"/>
    <w:rsid w:val="00DC52F8"/>
    <w:rsid w:val="00DC63E5"/>
    <w:rsid w:val="00DC6916"/>
    <w:rsid w:val="00DC6B86"/>
    <w:rsid w:val="00DD08BB"/>
    <w:rsid w:val="00DD1D67"/>
    <w:rsid w:val="00DD31DF"/>
    <w:rsid w:val="00DD465C"/>
    <w:rsid w:val="00DE0F68"/>
    <w:rsid w:val="00DE288F"/>
    <w:rsid w:val="00DE5B4D"/>
    <w:rsid w:val="00DF6107"/>
    <w:rsid w:val="00DF632B"/>
    <w:rsid w:val="00E02A89"/>
    <w:rsid w:val="00E061F0"/>
    <w:rsid w:val="00E07CC9"/>
    <w:rsid w:val="00E13AED"/>
    <w:rsid w:val="00E14925"/>
    <w:rsid w:val="00E15E81"/>
    <w:rsid w:val="00E17A0A"/>
    <w:rsid w:val="00E17CC5"/>
    <w:rsid w:val="00E216DC"/>
    <w:rsid w:val="00E219C7"/>
    <w:rsid w:val="00E21A41"/>
    <w:rsid w:val="00E21BFF"/>
    <w:rsid w:val="00E22740"/>
    <w:rsid w:val="00E23480"/>
    <w:rsid w:val="00E23B97"/>
    <w:rsid w:val="00E24B5E"/>
    <w:rsid w:val="00E259A1"/>
    <w:rsid w:val="00E328F4"/>
    <w:rsid w:val="00E33B33"/>
    <w:rsid w:val="00E35E59"/>
    <w:rsid w:val="00E40D4A"/>
    <w:rsid w:val="00E44659"/>
    <w:rsid w:val="00E44934"/>
    <w:rsid w:val="00E46F82"/>
    <w:rsid w:val="00E50935"/>
    <w:rsid w:val="00E5242E"/>
    <w:rsid w:val="00E539A3"/>
    <w:rsid w:val="00E53E2D"/>
    <w:rsid w:val="00E542ED"/>
    <w:rsid w:val="00E549CD"/>
    <w:rsid w:val="00E5549F"/>
    <w:rsid w:val="00E62438"/>
    <w:rsid w:val="00E62FE3"/>
    <w:rsid w:val="00E6511D"/>
    <w:rsid w:val="00E65551"/>
    <w:rsid w:val="00E70629"/>
    <w:rsid w:val="00E717FC"/>
    <w:rsid w:val="00E725EC"/>
    <w:rsid w:val="00E7485D"/>
    <w:rsid w:val="00E76533"/>
    <w:rsid w:val="00E8269A"/>
    <w:rsid w:val="00E835FF"/>
    <w:rsid w:val="00E8376F"/>
    <w:rsid w:val="00E8558E"/>
    <w:rsid w:val="00E87790"/>
    <w:rsid w:val="00E91E0D"/>
    <w:rsid w:val="00E959B7"/>
    <w:rsid w:val="00E9733F"/>
    <w:rsid w:val="00EA32C8"/>
    <w:rsid w:val="00EA5B26"/>
    <w:rsid w:val="00EA73FD"/>
    <w:rsid w:val="00EB0CA7"/>
    <w:rsid w:val="00EB1833"/>
    <w:rsid w:val="00EB2C82"/>
    <w:rsid w:val="00EB4978"/>
    <w:rsid w:val="00EB6217"/>
    <w:rsid w:val="00EB68DA"/>
    <w:rsid w:val="00EC07FE"/>
    <w:rsid w:val="00EC1E9C"/>
    <w:rsid w:val="00EC5207"/>
    <w:rsid w:val="00EC6984"/>
    <w:rsid w:val="00ED0BE6"/>
    <w:rsid w:val="00ED4078"/>
    <w:rsid w:val="00EE1D9C"/>
    <w:rsid w:val="00EE2330"/>
    <w:rsid w:val="00EE4401"/>
    <w:rsid w:val="00EE52B0"/>
    <w:rsid w:val="00EF3971"/>
    <w:rsid w:val="00EF3F76"/>
    <w:rsid w:val="00EF678F"/>
    <w:rsid w:val="00EF773E"/>
    <w:rsid w:val="00F011CD"/>
    <w:rsid w:val="00F03DE8"/>
    <w:rsid w:val="00F03FCD"/>
    <w:rsid w:val="00F049B0"/>
    <w:rsid w:val="00F04C95"/>
    <w:rsid w:val="00F04CC3"/>
    <w:rsid w:val="00F05198"/>
    <w:rsid w:val="00F054B3"/>
    <w:rsid w:val="00F056B8"/>
    <w:rsid w:val="00F06C33"/>
    <w:rsid w:val="00F07E6C"/>
    <w:rsid w:val="00F12FAB"/>
    <w:rsid w:val="00F20000"/>
    <w:rsid w:val="00F20065"/>
    <w:rsid w:val="00F20DD3"/>
    <w:rsid w:val="00F2202A"/>
    <w:rsid w:val="00F24D3A"/>
    <w:rsid w:val="00F275C6"/>
    <w:rsid w:val="00F27848"/>
    <w:rsid w:val="00F33A42"/>
    <w:rsid w:val="00F3635A"/>
    <w:rsid w:val="00F36BBD"/>
    <w:rsid w:val="00F42690"/>
    <w:rsid w:val="00F43C9F"/>
    <w:rsid w:val="00F458E0"/>
    <w:rsid w:val="00F46D6E"/>
    <w:rsid w:val="00F473CA"/>
    <w:rsid w:val="00F478BD"/>
    <w:rsid w:val="00F478C5"/>
    <w:rsid w:val="00F47D0D"/>
    <w:rsid w:val="00F52747"/>
    <w:rsid w:val="00F52BB0"/>
    <w:rsid w:val="00F53ADE"/>
    <w:rsid w:val="00F56A9A"/>
    <w:rsid w:val="00F607F1"/>
    <w:rsid w:val="00F608B0"/>
    <w:rsid w:val="00F6419F"/>
    <w:rsid w:val="00F64A5F"/>
    <w:rsid w:val="00F64AD5"/>
    <w:rsid w:val="00F658F6"/>
    <w:rsid w:val="00F67AD6"/>
    <w:rsid w:val="00F7060C"/>
    <w:rsid w:val="00F74DBB"/>
    <w:rsid w:val="00F7561A"/>
    <w:rsid w:val="00F816BD"/>
    <w:rsid w:val="00F81B25"/>
    <w:rsid w:val="00F826F6"/>
    <w:rsid w:val="00F900E7"/>
    <w:rsid w:val="00F91163"/>
    <w:rsid w:val="00F95328"/>
    <w:rsid w:val="00FA154D"/>
    <w:rsid w:val="00FA1C5B"/>
    <w:rsid w:val="00FA5D6D"/>
    <w:rsid w:val="00FA713F"/>
    <w:rsid w:val="00FB03C1"/>
    <w:rsid w:val="00FB1304"/>
    <w:rsid w:val="00FB34CC"/>
    <w:rsid w:val="00FB77AF"/>
    <w:rsid w:val="00FC13D9"/>
    <w:rsid w:val="00FC2768"/>
    <w:rsid w:val="00FD2119"/>
    <w:rsid w:val="00FD22CD"/>
    <w:rsid w:val="00FD286F"/>
    <w:rsid w:val="00FE0EF2"/>
    <w:rsid w:val="00FE1447"/>
    <w:rsid w:val="00FE25F2"/>
    <w:rsid w:val="00FE3F5B"/>
    <w:rsid w:val="00FE3FB9"/>
    <w:rsid w:val="00FF063C"/>
    <w:rsid w:val="00FF1E80"/>
    <w:rsid w:val="00FF2F93"/>
    <w:rsid w:val="00FF544E"/>
    <w:rsid w:val="00FF56D2"/>
    <w:rsid w:val="00FF5CFE"/>
    <w:rsid w:val="00FF5E12"/>
    <w:rsid w:val="250888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DA94EF9"/>
  <w15:docId w15:val="{77528ED5-1D6D-493C-8D1C-7493D8D0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6D2"/>
    <w:rPr>
      <w:sz w:val="24"/>
      <w:szCs w:val="24"/>
      <w:lang w:eastAsia="en-US"/>
    </w:rPr>
  </w:style>
  <w:style w:type="paragraph" w:styleId="Heading1">
    <w:name w:val="heading 1"/>
    <w:aliases w:val="Attribute Heading 1,h1,Attribute Heading 11,Attribute Heading 12,Attribute Heading 13,Attribute Heading 14,Attribute Heading 15,Attribute Heading 16,Attribute Heading 17,Attribute Heading 18,Attribute Heading 111,Attribute Heading 121"/>
    <w:basedOn w:val="Normal"/>
    <w:next w:val="Normal"/>
    <w:qFormat/>
    <w:rsid w:val="00FF56D2"/>
    <w:pPr>
      <w:keepNext/>
      <w:outlineLvl w:val="0"/>
    </w:pPr>
    <w:rPr>
      <w:b/>
      <w:bCs/>
      <w:lang w:val="en-US"/>
    </w:rPr>
  </w:style>
  <w:style w:type="paragraph" w:styleId="Heading2">
    <w:name w:val="heading 2"/>
    <w:basedOn w:val="Normal"/>
    <w:next w:val="Normal"/>
    <w:qFormat/>
    <w:rsid w:val="00FF56D2"/>
    <w:pPr>
      <w:keepNext/>
      <w:spacing w:before="240" w:after="60"/>
      <w:outlineLvl w:val="1"/>
    </w:pPr>
    <w:rPr>
      <w:rFonts w:ascii="Arial" w:hAnsi="Arial" w:cs="Arial"/>
      <w:b/>
      <w:bCs/>
      <w:i/>
      <w:iCs/>
      <w:sz w:val="28"/>
      <w:szCs w:val="28"/>
    </w:rPr>
  </w:style>
  <w:style w:type="paragraph" w:styleId="Heading3">
    <w:name w:val="heading 3"/>
    <w:aliases w:val="h3,3,l3,Level 3 Head,HeadSmall,h31,31,l31,Level 3 Head1,H31,HeadSmall1,h32,32,l32,Level 3 Head2,H32,HeadSmall2,h33,33,l33,Level 3 Head3,H33,HeadSmall3,heading 31,Level 1 - 1,C Sub-Sub/Italic,h34,34,l34,Level 3 Head4,H34,heading 3,HeadSmall4"/>
    <w:basedOn w:val="Normal"/>
    <w:next w:val="Normal"/>
    <w:qFormat/>
    <w:rsid w:val="00FF56D2"/>
    <w:pPr>
      <w:keepNext/>
      <w:spacing w:before="240" w:after="60"/>
      <w:outlineLvl w:val="2"/>
    </w:pPr>
  </w:style>
  <w:style w:type="paragraph" w:styleId="Heading4">
    <w:name w:val="heading 4"/>
    <w:aliases w:val="Map Title"/>
    <w:basedOn w:val="Normal"/>
    <w:next w:val="Normal"/>
    <w:qFormat/>
    <w:rsid w:val="00FF56D2"/>
    <w:pPr>
      <w:keepNext/>
      <w:spacing w:before="240" w:after="60"/>
      <w:outlineLvl w:val="3"/>
    </w:pPr>
    <w:rPr>
      <w:b/>
      <w:bCs/>
      <w:sz w:val="28"/>
      <w:szCs w:val="28"/>
    </w:rPr>
  </w:style>
  <w:style w:type="paragraph" w:styleId="Heading5">
    <w:name w:val="heading 5"/>
    <w:basedOn w:val="Normal"/>
    <w:next w:val="Normal"/>
    <w:qFormat/>
    <w:rsid w:val="00FF56D2"/>
    <w:pPr>
      <w:keepLines/>
      <w:spacing w:before="120"/>
      <w:ind w:left="1985"/>
      <w:outlineLvl w:val="4"/>
    </w:pPr>
    <w:rPr>
      <w:b/>
      <w:bCs/>
      <w:i/>
      <w:iCs/>
      <w:sz w:val="22"/>
      <w:szCs w:val="22"/>
      <w:lang w:val="en-GB"/>
    </w:rPr>
  </w:style>
  <w:style w:type="paragraph" w:styleId="Heading6">
    <w:name w:val="heading 6"/>
    <w:basedOn w:val="Normal"/>
    <w:next w:val="Normal"/>
    <w:qFormat/>
    <w:rsid w:val="00FF56D2"/>
    <w:pPr>
      <w:spacing w:before="240" w:after="60"/>
      <w:outlineLvl w:val="5"/>
    </w:pPr>
    <w:rPr>
      <w:b/>
      <w:bCs/>
      <w:sz w:val="22"/>
      <w:szCs w:val="22"/>
    </w:rPr>
  </w:style>
  <w:style w:type="paragraph" w:styleId="Heading7">
    <w:name w:val="heading 7"/>
    <w:basedOn w:val="Normal"/>
    <w:next w:val="Normal"/>
    <w:qFormat/>
    <w:rsid w:val="00FF56D2"/>
    <w:pPr>
      <w:keepNext/>
      <w:ind w:left="851"/>
      <w:outlineLvl w:val="6"/>
    </w:pPr>
    <w:rPr>
      <w:b/>
      <w:i/>
      <w:sz w:val="22"/>
      <w:szCs w:val="20"/>
      <w:lang w:val="en-GB"/>
    </w:rPr>
  </w:style>
  <w:style w:type="paragraph" w:styleId="Heading8">
    <w:name w:val="heading 8"/>
    <w:basedOn w:val="Normal"/>
    <w:next w:val="Normal"/>
    <w:qFormat/>
    <w:rsid w:val="00FF56D2"/>
    <w:pPr>
      <w:keepNext/>
      <w:outlineLvl w:val="7"/>
    </w:pPr>
    <w:rPr>
      <w:i/>
      <w:sz w:val="18"/>
    </w:rPr>
  </w:style>
  <w:style w:type="paragraph" w:styleId="Heading9">
    <w:name w:val="heading 9"/>
    <w:basedOn w:val="Normal"/>
    <w:next w:val="Normal"/>
    <w:qFormat/>
    <w:rsid w:val="00F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5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pPr>
    <w:rPr>
      <w:snapToGrid w:val="0"/>
      <w:color w:val="000000"/>
      <w:szCs w:val="20"/>
      <w:u w:val="single"/>
    </w:rPr>
  </w:style>
  <w:style w:type="paragraph" w:styleId="BodyText2">
    <w:name w:val="Body Text 2"/>
    <w:basedOn w:val="Normal"/>
    <w:rsid w:val="00FF56D2"/>
    <w:pPr>
      <w:spacing w:before="120" w:after="120"/>
      <w:jc w:val="center"/>
    </w:pPr>
    <w:rPr>
      <w:sz w:val="22"/>
      <w:lang w:val="en-US"/>
    </w:rPr>
  </w:style>
  <w:style w:type="paragraph" w:customStyle="1" w:styleId="ParaNumbering">
    <w:name w:val="Para Numbering"/>
    <w:basedOn w:val="Normal"/>
    <w:rsid w:val="00FF56D2"/>
    <w:pPr>
      <w:tabs>
        <w:tab w:val="left" w:pos="567"/>
      </w:tabs>
      <w:spacing w:after="200"/>
    </w:pPr>
    <w:rPr>
      <w:szCs w:val="20"/>
    </w:rPr>
  </w:style>
  <w:style w:type="paragraph" w:customStyle="1" w:styleId="ExplanatoryGuidance">
    <w:name w:val="Explanatory Guidance"/>
    <w:basedOn w:val="Normal"/>
    <w:rsid w:val="00FF56D2"/>
    <w:pPr>
      <w:keepNext/>
      <w:spacing w:before="200"/>
    </w:pPr>
    <w:rPr>
      <w:rFonts w:ascii="Arial" w:hAnsi="Arial"/>
      <w:szCs w:val="20"/>
      <w:lang w:val="en-GB"/>
    </w:rPr>
  </w:style>
  <w:style w:type="paragraph" w:customStyle="1" w:styleId="AmendmentHeading">
    <w:name w:val="Amendment Heading"/>
    <w:basedOn w:val="Normal"/>
    <w:rsid w:val="00FF56D2"/>
    <w:pPr>
      <w:numPr>
        <w:ilvl w:val="3"/>
        <w:numId w:val="1"/>
      </w:numPr>
      <w:tabs>
        <w:tab w:val="clear" w:pos="3240"/>
        <w:tab w:val="num" w:pos="800"/>
      </w:tabs>
      <w:spacing w:before="120"/>
      <w:ind w:left="499" w:hanging="357"/>
    </w:pPr>
    <w:rPr>
      <w:b/>
      <w:bCs/>
    </w:rPr>
  </w:style>
  <w:style w:type="paragraph" w:customStyle="1" w:styleId="Year">
    <w:name w:val="Year"/>
    <w:basedOn w:val="Normal"/>
    <w:rsid w:val="00FF56D2"/>
    <w:pPr>
      <w:keepNext/>
      <w:keepLines/>
      <w:pBdr>
        <w:bottom w:val="single" w:sz="6" w:space="3" w:color="auto"/>
      </w:pBdr>
      <w:tabs>
        <w:tab w:val="left" w:pos="454"/>
        <w:tab w:val="left" w:pos="907"/>
        <w:tab w:val="left" w:pos="1361"/>
        <w:tab w:val="left" w:pos="1814"/>
        <w:tab w:val="left" w:pos="2268"/>
        <w:tab w:val="right" w:leader="dot" w:pos="7938"/>
      </w:tabs>
      <w:spacing w:before="240"/>
    </w:pPr>
    <w:rPr>
      <w:i/>
      <w:iCs/>
      <w:sz w:val="22"/>
      <w:szCs w:val="22"/>
      <w:lang w:val="en-GB"/>
    </w:rPr>
  </w:style>
  <w:style w:type="paragraph" w:customStyle="1" w:styleId="BlackLetterText">
    <w:name w:val="Black Letter Text"/>
    <w:basedOn w:val="Heading2"/>
    <w:rsid w:val="00FF56D2"/>
    <w:pPr>
      <w:numPr>
        <w:ilvl w:val="1"/>
      </w:numPr>
      <w:spacing w:before="120" w:after="120"/>
      <w:ind w:left="720" w:hanging="720"/>
      <w:jc w:val="both"/>
    </w:pPr>
    <w:rPr>
      <w:rFonts w:ascii="Times New Roman" w:hAnsi="Times New Roman" w:cs="Times New Roman"/>
      <w:i w:val="0"/>
      <w:iCs w:val="0"/>
      <w:kern w:val="28"/>
      <w:sz w:val="22"/>
      <w:szCs w:val="22"/>
      <w:lang w:val="en-GB"/>
    </w:rPr>
  </w:style>
  <w:style w:type="paragraph" w:customStyle="1" w:styleId="Policy">
    <w:name w:val="Policy"/>
    <w:basedOn w:val="Heading9"/>
    <w:rsid w:val="00FF56D2"/>
    <w:pPr>
      <w:keepNext/>
      <w:spacing w:before="200" w:after="0"/>
    </w:pPr>
    <w:rPr>
      <w:b/>
      <w:bCs/>
      <w:sz w:val="24"/>
      <w:szCs w:val="24"/>
      <w:lang w:val="en-GB"/>
    </w:rPr>
  </w:style>
  <w:style w:type="paragraph" w:customStyle="1" w:styleId="BlackLetterBP">
    <w:name w:val="Black Letter BP"/>
    <w:basedOn w:val="Heading4"/>
    <w:rsid w:val="00FF56D2"/>
    <w:pPr>
      <w:keepNext w:val="0"/>
      <w:keepLines/>
      <w:tabs>
        <w:tab w:val="num" w:pos="1440"/>
      </w:tabs>
      <w:spacing w:before="120" w:after="0"/>
      <w:ind w:left="1440" w:hanging="720"/>
      <w:jc w:val="both"/>
    </w:pPr>
    <w:rPr>
      <w:sz w:val="22"/>
      <w:szCs w:val="22"/>
    </w:rPr>
  </w:style>
  <w:style w:type="paragraph" w:customStyle="1" w:styleId="41">
    <w:name w:val="4.1"/>
    <w:basedOn w:val="Normal"/>
    <w:rsid w:val="00FF56D2"/>
    <w:rPr>
      <w:b/>
      <w:bCs/>
    </w:rPr>
  </w:style>
  <w:style w:type="paragraph" w:customStyle="1" w:styleId="SC1">
    <w:name w:val="SC1"/>
    <w:basedOn w:val="Normal"/>
    <w:rsid w:val="00FF56D2"/>
    <w:pPr>
      <w:keepNext/>
      <w:tabs>
        <w:tab w:val="left" w:pos="454"/>
      </w:tabs>
      <w:spacing w:after="60"/>
      <w:outlineLvl w:val="5"/>
    </w:pPr>
    <w:rPr>
      <w:rFonts w:ascii="Arial" w:hAnsi="Arial" w:cs="Arial"/>
      <w:b/>
      <w:bCs/>
      <w:caps/>
      <w:kern w:val="28"/>
      <w:sz w:val="28"/>
      <w:szCs w:val="28"/>
    </w:rPr>
  </w:style>
  <w:style w:type="paragraph" w:styleId="FootnoteText">
    <w:name w:val="footnote text"/>
    <w:basedOn w:val="Normal"/>
    <w:semiHidden/>
    <w:rsid w:val="00FF56D2"/>
    <w:rPr>
      <w:sz w:val="20"/>
      <w:szCs w:val="20"/>
    </w:rPr>
  </w:style>
  <w:style w:type="character" w:styleId="FootnoteReference">
    <w:name w:val="footnote reference"/>
    <w:basedOn w:val="DefaultParagraphFont"/>
    <w:semiHidden/>
    <w:rsid w:val="00FF56D2"/>
    <w:rPr>
      <w:vertAlign w:val="superscript"/>
    </w:rPr>
  </w:style>
  <w:style w:type="paragraph" w:customStyle="1" w:styleId="Colon">
    <w:name w:val="Colon"/>
    <w:basedOn w:val="Normal"/>
    <w:rsid w:val="00FF56D2"/>
    <w:pPr>
      <w:numPr>
        <w:numId w:val="2"/>
      </w:numPr>
      <w:spacing w:line="240" w:lineRule="atLeast"/>
      <w:ind w:left="0" w:firstLine="0"/>
    </w:pPr>
  </w:style>
  <w:style w:type="paragraph" w:customStyle="1" w:styleId="Tabletext">
    <w:name w:val="Table text"/>
    <w:basedOn w:val="Normal"/>
    <w:rsid w:val="00FF56D2"/>
    <w:pPr>
      <w:spacing w:before="60" w:after="60"/>
    </w:pPr>
    <w:rPr>
      <w:sz w:val="18"/>
      <w:szCs w:val="18"/>
      <w:lang w:val="en-GB"/>
    </w:rPr>
  </w:style>
  <w:style w:type="paragraph" w:customStyle="1" w:styleId="H6">
    <w:name w:val="H6"/>
    <w:basedOn w:val="Heading6"/>
    <w:rsid w:val="00FF56D2"/>
    <w:pPr>
      <w:keepNext/>
      <w:tabs>
        <w:tab w:val="left" w:pos="454"/>
      </w:tabs>
      <w:spacing w:before="0"/>
    </w:pPr>
    <w:rPr>
      <w:i/>
      <w:iCs/>
      <w:sz w:val="20"/>
      <w:szCs w:val="20"/>
    </w:rPr>
  </w:style>
  <w:style w:type="paragraph" w:customStyle="1" w:styleId="BlackLetterSubBullet">
    <w:name w:val="Black Letter Sub Bullet"/>
    <w:basedOn w:val="Heading2"/>
    <w:rsid w:val="00FF56D2"/>
    <w:pPr>
      <w:numPr>
        <w:ilvl w:val="1"/>
      </w:numPr>
      <w:tabs>
        <w:tab w:val="left" w:pos="3570"/>
      </w:tabs>
      <w:spacing w:before="120" w:after="120"/>
      <w:ind w:left="2160" w:hanging="720"/>
      <w:jc w:val="both"/>
    </w:pPr>
    <w:rPr>
      <w:rFonts w:ascii="Times New Roman" w:hAnsi="Times New Roman" w:cs="Times New Roman"/>
      <w:i w:val="0"/>
      <w:iCs w:val="0"/>
      <w:kern w:val="28"/>
      <w:sz w:val="22"/>
      <w:szCs w:val="22"/>
      <w:lang w:val="en-GB"/>
    </w:rPr>
  </w:style>
  <w:style w:type="paragraph" w:styleId="Header">
    <w:name w:val="header"/>
    <w:basedOn w:val="Normal"/>
    <w:rsid w:val="00FF56D2"/>
    <w:pPr>
      <w:tabs>
        <w:tab w:val="center" w:pos="4153"/>
        <w:tab w:val="right" w:pos="8306"/>
      </w:tabs>
    </w:pPr>
  </w:style>
  <w:style w:type="paragraph" w:styleId="BodyText">
    <w:name w:val="Body Text"/>
    <w:basedOn w:val="Normal"/>
    <w:rsid w:val="00FF56D2"/>
    <w:pPr>
      <w:spacing w:before="120" w:after="120"/>
      <w:jc w:val="center"/>
    </w:pPr>
    <w:rPr>
      <w:i/>
      <w:iCs/>
      <w:sz w:val="22"/>
    </w:rPr>
  </w:style>
  <w:style w:type="paragraph" w:styleId="BodyText3">
    <w:name w:val="Body Text 3"/>
    <w:basedOn w:val="Normal"/>
    <w:rsid w:val="00FF56D2"/>
    <w:pPr>
      <w:spacing w:before="120" w:after="120"/>
    </w:pPr>
    <w:rPr>
      <w:sz w:val="22"/>
    </w:rPr>
  </w:style>
  <w:style w:type="paragraph" w:customStyle="1" w:styleId="H3">
    <w:name w:val="H3"/>
    <w:basedOn w:val="Normal"/>
    <w:next w:val="Normal"/>
    <w:rsid w:val="00FF56D2"/>
    <w:pPr>
      <w:keepNext/>
      <w:spacing w:before="100" w:after="100"/>
      <w:outlineLvl w:val="3"/>
    </w:pPr>
    <w:rPr>
      <w:b/>
      <w:bCs/>
      <w:sz w:val="28"/>
      <w:szCs w:val="28"/>
    </w:rPr>
  </w:style>
  <w:style w:type="paragraph" w:styleId="BodyTextIndent2">
    <w:name w:val="Body Text Indent 2"/>
    <w:basedOn w:val="Normal"/>
    <w:rsid w:val="00FF56D2"/>
    <w:pPr>
      <w:ind w:left="720" w:hanging="720"/>
      <w:jc w:val="both"/>
    </w:pPr>
    <w:rPr>
      <w:b/>
      <w:bCs/>
    </w:rPr>
  </w:style>
  <w:style w:type="paragraph" w:customStyle="1" w:styleId="TextboxDot">
    <w:name w:val="Text box Dot"/>
    <w:basedOn w:val="Textbox"/>
    <w:rsid w:val="00FF56D2"/>
    <w:pPr>
      <w:tabs>
        <w:tab w:val="num" w:pos="814"/>
      </w:tabs>
      <w:ind w:left="737" w:hanging="283"/>
    </w:pPr>
  </w:style>
  <w:style w:type="paragraph" w:customStyle="1" w:styleId="Textbox">
    <w:name w:val="Text box"/>
    <w:basedOn w:val="Normal"/>
    <w:rsid w:val="00FF56D2"/>
    <w:pPr>
      <w:spacing w:before="60"/>
      <w:jc w:val="center"/>
    </w:pPr>
    <w:rPr>
      <w:sz w:val="20"/>
      <w:szCs w:val="20"/>
      <w:lang w:val="en-GB"/>
    </w:rPr>
  </w:style>
  <w:style w:type="paragraph" w:customStyle="1" w:styleId="Style2">
    <w:name w:val="Style2"/>
    <w:basedOn w:val="Normal"/>
    <w:rsid w:val="00FF56D2"/>
    <w:pPr>
      <w:tabs>
        <w:tab w:val="num" w:pos="1701"/>
      </w:tabs>
      <w:spacing w:before="240"/>
      <w:ind w:left="1701" w:hanging="283"/>
    </w:pPr>
    <w:rPr>
      <w:b/>
      <w:bCs/>
      <w:sz w:val="22"/>
      <w:szCs w:val="22"/>
      <w:lang w:val="en-GB"/>
    </w:rPr>
  </w:style>
  <w:style w:type="paragraph" w:customStyle="1" w:styleId="Group">
    <w:name w:val="Group"/>
    <w:basedOn w:val="Normal"/>
    <w:rsid w:val="00FF56D2"/>
    <w:pPr>
      <w:keepNext/>
      <w:tabs>
        <w:tab w:val="num" w:pos="720"/>
      </w:tabs>
      <w:ind w:left="567" w:hanging="567"/>
      <w:outlineLvl w:val="0"/>
    </w:pPr>
    <w:rPr>
      <w:rFonts w:ascii="Arial" w:hAnsi="Arial" w:cs="Arial"/>
      <w:b/>
      <w:bCs/>
      <w:sz w:val="32"/>
      <w:szCs w:val="32"/>
    </w:rPr>
  </w:style>
  <w:style w:type="paragraph" w:customStyle="1" w:styleId="ABRM2">
    <w:name w:val="ABRM 2"/>
    <w:basedOn w:val="Normal"/>
    <w:rsid w:val="00FF56D2"/>
    <w:pPr>
      <w:tabs>
        <w:tab w:val="num" w:pos="720"/>
        <w:tab w:val="left" w:pos="851"/>
      </w:tabs>
      <w:spacing w:before="120" w:after="120"/>
      <w:ind w:left="851" w:hanging="851"/>
    </w:pPr>
    <w:rPr>
      <w:b/>
      <w:bCs/>
      <w:lang w:val="en-GB"/>
    </w:rPr>
  </w:style>
  <w:style w:type="paragraph" w:customStyle="1" w:styleId="Year1">
    <w:name w:val="Year1"/>
    <w:basedOn w:val="Year"/>
    <w:rsid w:val="00FF56D2"/>
    <w:pPr>
      <w:spacing w:before="60" w:after="60"/>
    </w:pPr>
    <w:rPr>
      <w:sz w:val="20"/>
      <w:szCs w:val="20"/>
    </w:rPr>
  </w:style>
  <w:style w:type="paragraph" w:customStyle="1" w:styleId="Tot">
    <w:name w:val="Tot"/>
    <w:basedOn w:val="Total"/>
    <w:rsid w:val="00FF56D2"/>
    <w:pPr>
      <w:tabs>
        <w:tab w:val="clear" w:pos="454"/>
        <w:tab w:val="clear" w:pos="907"/>
        <w:tab w:val="clear" w:pos="1361"/>
        <w:tab w:val="clear" w:pos="1814"/>
        <w:tab w:val="clear" w:pos="2268"/>
        <w:tab w:val="right" w:pos="6521"/>
        <w:tab w:val="right" w:pos="7938"/>
      </w:tabs>
    </w:pPr>
  </w:style>
  <w:style w:type="paragraph" w:customStyle="1" w:styleId="Total">
    <w:name w:val="Total"/>
    <w:basedOn w:val="Normal"/>
    <w:rsid w:val="00FF56D2"/>
    <w:pPr>
      <w:keepNext/>
      <w:keepLines/>
      <w:tabs>
        <w:tab w:val="left" w:pos="454"/>
        <w:tab w:val="left" w:pos="907"/>
        <w:tab w:val="left" w:pos="1361"/>
        <w:tab w:val="left" w:pos="1814"/>
        <w:tab w:val="left" w:pos="2268"/>
        <w:tab w:val="right" w:leader="dot" w:pos="7938"/>
      </w:tabs>
      <w:spacing w:before="60"/>
      <w:jc w:val="both"/>
    </w:pPr>
    <w:rPr>
      <w:b/>
      <w:bCs/>
      <w:sz w:val="18"/>
      <w:szCs w:val="18"/>
      <w:lang w:val="en-GB"/>
    </w:rPr>
  </w:style>
  <w:style w:type="paragraph" w:customStyle="1" w:styleId="GreyLetterText">
    <w:name w:val="Grey Letter Text"/>
    <w:basedOn w:val="Heading4"/>
    <w:rsid w:val="00FF56D2"/>
    <w:pPr>
      <w:keepNext w:val="0"/>
      <w:keepLines/>
      <w:numPr>
        <w:ilvl w:val="2"/>
      </w:numPr>
      <w:spacing w:before="120" w:after="0"/>
      <w:ind w:left="720" w:hanging="720"/>
      <w:jc w:val="both"/>
    </w:pPr>
    <w:rPr>
      <w:b w:val="0"/>
      <w:bCs w:val="0"/>
      <w:sz w:val="22"/>
      <w:szCs w:val="22"/>
    </w:rPr>
  </w:style>
  <w:style w:type="paragraph" w:customStyle="1" w:styleId="H5">
    <w:name w:val="H5"/>
    <w:basedOn w:val="Normal"/>
    <w:next w:val="Normal"/>
    <w:rsid w:val="00FF56D2"/>
    <w:pPr>
      <w:keepNext/>
      <w:spacing w:before="100" w:after="100"/>
      <w:outlineLvl w:val="5"/>
    </w:pPr>
    <w:rPr>
      <w:b/>
      <w:bCs/>
      <w:sz w:val="20"/>
      <w:szCs w:val="20"/>
    </w:rPr>
  </w:style>
  <w:style w:type="paragraph" w:customStyle="1" w:styleId="Classy">
    <w:name w:val="Classy"/>
    <w:basedOn w:val="Class"/>
    <w:rsid w:val="00FF56D2"/>
    <w:pPr>
      <w:spacing w:before="0"/>
      <w:jc w:val="left"/>
    </w:pPr>
  </w:style>
  <w:style w:type="paragraph" w:customStyle="1" w:styleId="Class">
    <w:name w:val="Class"/>
    <w:basedOn w:val="Normal"/>
    <w:rsid w:val="00FF56D2"/>
    <w:pPr>
      <w:keepLines/>
      <w:tabs>
        <w:tab w:val="left" w:pos="454"/>
        <w:tab w:val="left" w:pos="907"/>
        <w:tab w:val="left" w:pos="1361"/>
        <w:tab w:val="left" w:pos="1814"/>
        <w:tab w:val="left" w:pos="2268"/>
        <w:tab w:val="right" w:leader="dot" w:pos="7938"/>
      </w:tabs>
      <w:spacing w:before="240"/>
      <w:ind w:left="454"/>
      <w:jc w:val="both"/>
    </w:pPr>
    <w:rPr>
      <w:sz w:val="18"/>
      <w:szCs w:val="18"/>
      <w:lang w:val="en-GB"/>
    </w:rPr>
  </w:style>
  <w:style w:type="paragraph" w:customStyle="1" w:styleId="BlackLetterSubheadings">
    <w:name w:val="Black Letter Subheadings"/>
    <w:basedOn w:val="BlackLetterText"/>
    <w:rsid w:val="00FF56D2"/>
    <w:rPr>
      <w:i/>
      <w:iCs/>
    </w:rPr>
  </w:style>
  <w:style w:type="paragraph" w:customStyle="1" w:styleId="GreyLetterBP">
    <w:name w:val="Grey Letter BP"/>
    <w:basedOn w:val="Normal"/>
    <w:rsid w:val="00FF56D2"/>
    <w:pPr>
      <w:tabs>
        <w:tab w:val="left" w:pos="1442"/>
      </w:tabs>
      <w:spacing w:before="120"/>
      <w:ind w:left="1440" w:hanging="712"/>
      <w:jc w:val="both"/>
    </w:pPr>
    <w:rPr>
      <w:sz w:val="22"/>
      <w:szCs w:val="22"/>
      <w:lang w:val="en-GB"/>
    </w:rPr>
  </w:style>
  <w:style w:type="paragraph" w:styleId="Footer">
    <w:name w:val="footer"/>
    <w:basedOn w:val="Normal"/>
    <w:link w:val="FooterChar"/>
    <w:uiPriority w:val="99"/>
    <w:rsid w:val="00FF56D2"/>
    <w:pPr>
      <w:tabs>
        <w:tab w:val="center" w:pos="4153"/>
        <w:tab w:val="right" w:pos="8306"/>
      </w:tabs>
    </w:pPr>
  </w:style>
  <w:style w:type="character" w:styleId="PageNumber">
    <w:name w:val="page number"/>
    <w:basedOn w:val="DefaultParagraphFont"/>
    <w:rsid w:val="00FF56D2"/>
  </w:style>
  <w:style w:type="paragraph" w:styleId="BodyTextIndent">
    <w:name w:val="Body Text Indent"/>
    <w:basedOn w:val="Normal"/>
    <w:rsid w:val="00FF56D2"/>
    <w:pPr>
      <w:ind w:left="720" w:hanging="720"/>
    </w:pPr>
    <w:rPr>
      <w:sz w:val="22"/>
    </w:rPr>
  </w:style>
  <w:style w:type="paragraph" w:customStyle="1" w:styleId="Item">
    <w:name w:val="Item"/>
    <w:aliases w:val="i"/>
    <w:basedOn w:val="Class"/>
    <w:rsid w:val="00FF56D2"/>
    <w:pPr>
      <w:spacing w:before="60"/>
      <w:jc w:val="left"/>
    </w:pPr>
    <w:rPr>
      <w:b/>
      <w:bCs/>
    </w:rPr>
  </w:style>
  <w:style w:type="paragraph" w:customStyle="1" w:styleId="Class2">
    <w:name w:val="Class 2"/>
    <w:basedOn w:val="Class"/>
    <w:rsid w:val="00FF56D2"/>
    <w:pPr>
      <w:spacing w:before="0"/>
      <w:ind w:left="907"/>
      <w:jc w:val="left"/>
    </w:pPr>
  </w:style>
  <w:style w:type="paragraph" w:customStyle="1" w:styleId="ABRMHEAD1">
    <w:name w:val="ABRM HEAD1"/>
    <w:basedOn w:val="Heading1"/>
    <w:rsid w:val="00FF56D2"/>
    <w:pPr>
      <w:tabs>
        <w:tab w:val="num" w:pos="720"/>
      </w:tabs>
      <w:spacing w:after="240"/>
      <w:ind w:left="720" w:hanging="720"/>
    </w:pPr>
    <w:rPr>
      <w:b w:val="0"/>
      <w:bCs w:val="0"/>
      <w:sz w:val="28"/>
      <w:szCs w:val="28"/>
    </w:rPr>
  </w:style>
  <w:style w:type="paragraph" w:customStyle="1" w:styleId="ABRMHEAD2">
    <w:name w:val="ABRM HEAD2"/>
    <w:basedOn w:val="Normal"/>
    <w:rsid w:val="00FF56D2"/>
    <w:pPr>
      <w:tabs>
        <w:tab w:val="num" w:pos="360"/>
      </w:tabs>
      <w:spacing w:before="120" w:after="240"/>
    </w:pPr>
    <w:rPr>
      <w:b/>
      <w:bCs/>
    </w:rPr>
  </w:style>
  <w:style w:type="paragraph" w:customStyle="1" w:styleId="ABRMHEAD3">
    <w:name w:val="ABRM HEAD 3"/>
    <w:basedOn w:val="Normal"/>
    <w:rsid w:val="00FF56D2"/>
    <w:pPr>
      <w:tabs>
        <w:tab w:val="num" w:pos="720"/>
      </w:tabs>
      <w:spacing w:before="120" w:after="240"/>
      <w:ind w:left="720" w:hanging="720"/>
    </w:pPr>
  </w:style>
  <w:style w:type="paragraph" w:customStyle="1" w:styleId="Heading">
    <w:name w:val="Heading"/>
    <w:basedOn w:val="Normal"/>
    <w:autoRedefine/>
    <w:rsid w:val="00FF56D2"/>
    <w:pPr>
      <w:spacing w:before="120"/>
      <w:ind w:right="45"/>
    </w:pPr>
    <w:rPr>
      <w:b/>
      <w:bCs/>
      <w:caps/>
      <w:sz w:val="28"/>
      <w:szCs w:val="22"/>
    </w:rPr>
  </w:style>
  <w:style w:type="paragraph" w:customStyle="1" w:styleId="ChapterTitles">
    <w:name w:val="Chapter Titles"/>
    <w:basedOn w:val="Heading1"/>
    <w:rsid w:val="00FF56D2"/>
    <w:pPr>
      <w:spacing w:before="200" w:after="40"/>
      <w:ind w:left="2200" w:hanging="600"/>
    </w:pPr>
    <w:rPr>
      <w:kern w:val="28"/>
      <w:sz w:val="28"/>
      <w:szCs w:val="28"/>
      <w:lang w:val="en-GB"/>
    </w:rPr>
  </w:style>
  <w:style w:type="paragraph" w:customStyle="1" w:styleId="CHead1">
    <w:name w:val="C Head 1"/>
    <w:basedOn w:val="Normal"/>
    <w:rsid w:val="00FF56D2"/>
    <w:rPr>
      <w:b/>
      <w:bCs/>
      <w:sz w:val="22"/>
    </w:rPr>
  </w:style>
  <w:style w:type="paragraph" w:customStyle="1" w:styleId="H1">
    <w:name w:val="H1"/>
    <w:basedOn w:val="Normal"/>
    <w:next w:val="Normal"/>
    <w:rsid w:val="00FF56D2"/>
    <w:pPr>
      <w:keepNext/>
      <w:spacing w:before="100" w:after="100"/>
      <w:outlineLvl w:val="1"/>
    </w:pPr>
    <w:rPr>
      <w:b/>
      <w:bCs/>
      <w:kern w:val="36"/>
      <w:sz w:val="48"/>
      <w:szCs w:val="48"/>
    </w:rPr>
  </w:style>
  <w:style w:type="paragraph" w:customStyle="1" w:styleId="H2">
    <w:name w:val="H2"/>
    <w:basedOn w:val="Normal"/>
    <w:next w:val="Normal"/>
    <w:rsid w:val="00FF56D2"/>
    <w:pPr>
      <w:keepNext/>
      <w:spacing w:before="100" w:after="100"/>
      <w:outlineLvl w:val="2"/>
    </w:pPr>
    <w:rPr>
      <w:b/>
      <w:bCs/>
      <w:sz w:val="36"/>
      <w:szCs w:val="36"/>
    </w:rPr>
  </w:style>
  <w:style w:type="paragraph" w:customStyle="1" w:styleId="Ross1">
    <w:name w:val="Ross1"/>
    <w:basedOn w:val="Heading3"/>
    <w:rsid w:val="00FF56D2"/>
    <w:pPr>
      <w:keepNext w:val="0"/>
      <w:keepLines/>
      <w:spacing w:before="200" w:after="0"/>
      <w:ind w:left="851"/>
    </w:pPr>
    <w:rPr>
      <w:b/>
      <w:bCs/>
      <w:sz w:val="22"/>
      <w:szCs w:val="22"/>
    </w:rPr>
  </w:style>
  <w:style w:type="paragraph" w:customStyle="1" w:styleId="Heading20">
    <w:name w:val="Heading2"/>
    <w:basedOn w:val="Normal"/>
    <w:rsid w:val="00FF56D2"/>
    <w:pPr>
      <w:spacing w:before="240"/>
    </w:pPr>
    <w:rPr>
      <w:b/>
      <w:bCs/>
      <w:sz w:val="22"/>
      <w:szCs w:val="22"/>
      <w:lang w:val="en-GB"/>
    </w:rPr>
  </w:style>
  <w:style w:type="paragraph" w:customStyle="1" w:styleId="Class3">
    <w:name w:val="Class 3"/>
    <w:basedOn w:val="Class2"/>
    <w:rsid w:val="00FF56D2"/>
    <w:pPr>
      <w:ind w:left="1361"/>
    </w:pPr>
  </w:style>
  <w:style w:type="paragraph" w:customStyle="1" w:styleId="Heading1A">
    <w:name w:val="Heading 1A"/>
    <w:basedOn w:val="Heading1"/>
    <w:rsid w:val="00FF56D2"/>
    <w:pPr>
      <w:spacing w:after="40"/>
      <w:ind w:left="567"/>
    </w:pPr>
    <w:rPr>
      <w:kern w:val="28"/>
      <w:sz w:val="26"/>
      <w:szCs w:val="26"/>
      <w:lang w:val="en-GB"/>
    </w:rPr>
  </w:style>
  <w:style w:type="paragraph" w:customStyle="1" w:styleId="H7">
    <w:name w:val="H7"/>
    <w:basedOn w:val="H6"/>
    <w:rsid w:val="00FF56D2"/>
    <w:pPr>
      <w:keepNext w:val="0"/>
      <w:keepLines/>
      <w:spacing w:before="300" w:after="40"/>
      <w:outlineLvl w:val="0"/>
    </w:pPr>
  </w:style>
  <w:style w:type="paragraph" w:customStyle="1" w:styleId="H4">
    <w:name w:val="H4"/>
    <w:basedOn w:val="H3"/>
    <w:rsid w:val="00FF56D2"/>
    <w:rPr>
      <w:sz w:val="20"/>
      <w:szCs w:val="20"/>
    </w:rPr>
  </w:style>
  <w:style w:type="paragraph" w:customStyle="1" w:styleId="ForwardBullet">
    <w:name w:val="ForwardBullet"/>
    <w:basedOn w:val="Normal"/>
    <w:rsid w:val="00FF56D2"/>
    <w:pPr>
      <w:tabs>
        <w:tab w:val="num" w:pos="720"/>
        <w:tab w:val="num" w:pos="1134"/>
      </w:tabs>
      <w:spacing w:before="120"/>
      <w:ind w:left="1134" w:hanging="567"/>
    </w:pPr>
    <w:rPr>
      <w:sz w:val="22"/>
      <w:szCs w:val="20"/>
      <w:lang w:val="en-GB"/>
    </w:rPr>
  </w:style>
  <w:style w:type="character" w:customStyle="1" w:styleId="EmailStyle71">
    <w:name w:val="EmailStyle71"/>
    <w:basedOn w:val="DefaultParagraphFont"/>
    <w:rsid w:val="00FF56D2"/>
    <w:rPr>
      <w:rFonts w:ascii="Arial" w:hAnsi="Arial" w:cs="Arial"/>
      <w:color w:val="000000"/>
      <w:sz w:val="20"/>
      <w:szCs w:val="20"/>
    </w:rPr>
  </w:style>
  <w:style w:type="paragraph" w:customStyle="1" w:styleId="FMO">
    <w:name w:val="FMO"/>
    <w:basedOn w:val="Normal"/>
    <w:rsid w:val="00FF56D2"/>
    <w:pPr>
      <w:ind w:left="700" w:hanging="700"/>
    </w:pPr>
    <w:rPr>
      <w:sz w:val="22"/>
      <w:szCs w:val="22"/>
    </w:rPr>
  </w:style>
  <w:style w:type="paragraph" w:customStyle="1" w:styleId="DefnSubpoint1">
    <w:name w:val="Defn Subpoint1"/>
    <w:basedOn w:val="Normal"/>
    <w:rsid w:val="00FF56D2"/>
    <w:pPr>
      <w:spacing w:after="200" w:line="200" w:lineRule="exact"/>
      <w:ind w:left="1587" w:hanging="510"/>
    </w:pPr>
    <w:rPr>
      <w:b/>
      <w:sz w:val="20"/>
      <w:szCs w:val="20"/>
    </w:rPr>
  </w:style>
  <w:style w:type="paragraph" w:customStyle="1" w:styleId="DefnSubpoint2">
    <w:name w:val="Defn Subpoint2"/>
    <w:basedOn w:val="DefnSubpoint1"/>
    <w:rsid w:val="00FF56D2"/>
    <w:pPr>
      <w:ind w:left="2098"/>
    </w:pPr>
  </w:style>
  <w:style w:type="paragraph" w:styleId="BodyTextIndent3">
    <w:name w:val="Body Text Indent 3"/>
    <w:basedOn w:val="Normal"/>
    <w:rsid w:val="00FF56D2"/>
    <w:pPr>
      <w:ind w:left="360"/>
    </w:pPr>
    <w:rPr>
      <w:b/>
      <w:bCs/>
    </w:rPr>
  </w:style>
  <w:style w:type="paragraph" w:styleId="BalloonText">
    <w:name w:val="Balloon Text"/>
    <w:basedOn w:val="Normal"/>
    <w:semiHidden/>
    <w:rsid w:val="00C97DDA"/>
    <w:rPr>
      <w:rFonts w:ascii="Tahoma" w:hAnsi="Tahoma" w:cs="Tahoma"/>
      <w:sz w:val="16"/>
      <w:szCs w:val="16"/>
    </w:rPr>
  </w:style>
  <w:style w:type="table" w:styleId="TableGrid">
    <w:name w:val="Table Grid"/>
    <w:basedOn w:val="TableNormal"/>
    <w:rsid w:val="0068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79F"/>
    <w:rPr>
      <w:color w:val="0000FF"/>
      <w:u w:val="single"/>
    </w:rPr>
  </w:style>
  <w:style w:type="paragraph" w:styleId="NormalWeb">
    <w:name w:val="Normal (Web)"/>
    <w:basedOn w:val="Normal"/>
    <w:rsid w:val="00C95FFD"/>
    <w:pPr>
      <w:spacing w:before="100" w:beforeAutospacing="1" w:after="100" w:afterAutospacing="1"/>
    </w:pPr>
    <w:rPr>
      <w:lang w:eastAsia="en-AU"/>
    </w:rPr>
  </w:style>
  <w:style w:type="paragraph" w:styleId="DocumentMap">
    <w:name w:val="Document Map"/>
    <w:basedOn w:val="Normal"/>
    <w:semiHidden/>
    <w:rsid w:val="005E597D"/>
    <w:pPr>
      <w:shd w:val="clear" w:color="auto" w:fill="000080"/>
    </w:pPr>
    <w:rPr>
      <w:rFonts w:ascii="Tahoma" w:hAnsi="Tahoma" w:cs="Tahoma"/>
      <w:sz w:val="20"/>
      <w:szCs w:val="20"/>
    </w:rPr>
  </w:style>
  <w:style w:type="paragraph" w:customStyle="1" w:styleId="CharCharCharCharChar">
    <w:name w:val="Char Char Char Char Char"/>
    <w:basedOn w:val="Normal"/>
    <w:rsid w:val="00E23480"/>
    <w:rPr>
      <w:rFonts w:ascii="Arial" w:hAnsi="Arial" w:cs="Arial"/>
      <w:sz w:val="22"/>
      <w:szCs w:val="22"/>
    </w:rPr>
  </w:style>
  <w:style w:type="character" w:customStyle="1" w:styleId="HelpText">
    <w:name w:val="Help Text"/>
    <w:basedOn w:val="DefaultParagraphFont"/>
    <w:rsid w:val="00885099"/>
    <w:rPr>
      <w:color w:val="808080"/>
    </w:rPr>
  </w:style>
  <w:style w:type="paragraph" w:customStyle="1" w:styleId="Bullet">
    <w:name w:val="Bullet"/>
    <w:basedOn w:val="Normal"/>
    <w:rsid w:val="00885099"/>
    <w:pPr>
      <w:numPr>
        <w:numId w:val="3"/>
      </w:numPr>
      <w:spacing w:after="240" w:line="240" w:lineRule="atLeast"/>
    </w:pPr>
  </w:style>
  <w:style w:type="paragraph" w:customStyle="1" w:styleId="Bulletsinglespaced">
    <w:name w:val="Bullet (single spaced)"/>
    <w:basedOn w:val="Bullet"/>
    <w:rsid w:val="00885099"/>
    <w:pPr>
      <w:spacing w:after="0"/>
    </w:pPr>
  </w:style>
  <w:style w:type="character" w:styleId="CommentReference">
    <w:name w:val="annotation reference"/>
    <w:basedOn w:val="DefaultParagraphFont"/>
    <w:rsid w:val="00F458E0"/>
    <w:rPr>
      <w:sz w:val="16"/>
      <w:szCs w:val="16"/>
    </w:rPr>
  </w:style>
  <w:style w:type="paragraph" w:styleId="CommentText">
    <w:name w:val="annotation text"/>
    <w:basedOn w:val="Normal"/>
    <w:link w:val="CommentTextChar"/>
    <w:uiPriority w:val="99"/>
    <w:rsid w:val="00F458E0"/>
    <w:rPr>
      <w:sz w:val="20"/>
      <w:szCs w:val="20"/>
    </w:rPr>
  </w:style>
  <w:style w:type="character" w:customStyle="1" w:styleId="CommentTextChar">
    <w:name w:val="Comment Text Char"/>
    <w:basedOn w:val="DefaultParagraphFont"/>
    <w:link w:val="CommentText"/>
    <w:uiPriority w:val="99"/>
    <w:rsid w:val="00F458E0"/>
    <w:rPr>
      <w:lang w:eastAsia="en-US"/>
    </w:rPr>
  </w:style>
  <w:style w:type="paragraph" w:styleId="CommentSubject">
    <w:name w:val="annotation subject"/>
    <w:basedOn w:val="CommentText"/>
    <w:next w:val="CommentText"/>
    <w:link w:val="CommentSubjectChar"/>
    <w:rsid w:val="00F458E0"/>
    <w:rPr>
      <w:b/>
      <w:bCs/>
    </w:rPr>
  </w:style>
  <w:style w:type="character" w:customStyle="1" w:styleId="CommentSubjectChar">
    <w:name w:val="Comment Subject Char"/>
    <w:basedOn w:val="CommentTextChar"/>
    <w:link w:val="CommentSubject"/>
    <w:rsid w:val="00F458E0"/>
    <w:rPr>
      <w:b/>
      <w:bCs/>
      <w:lang w:eastAsia="en-US"/>
    </w:rPr>
  </w:style>
  <w:style w:type="paragraph" w:customStyle="1" w:styleId="Paragraph">
    <w:name w:val="Paragraph"/>
    <w:basedOn w:val="Normal"/>
    <w:rsid w:val="0072275C"/>
    <w:pPr>
      <w:numPr>
        <w:ilvl w:val="12"/>
      </w:numPr>
      <w:spacing w:before="240"/>
    </w:pPr>
    <w:rPr>
      <w:szCs w:val="20"/>
      <w:lang w:eastAsia="en-AU"/>
    </w:rPr>
  </w:style>
  <w:style w:type="paragraph" w:styleId="ListParagraph">
    <w:name w:val="List Paragraph"/>
    <w:aliases w:val="NFP GP Bulleted List,List Paragraph1,Recommendation,List Paragraph11"/>
    <w:basedOn w:val="Normal"/>
    <w:link w:val="ListParagraphChar"/>
    <w:uiPriority w:val="34"/>
    <w:qFormat/>
    <w:rsid w:val="00753CD8"/>
    <w:pPr>
      <w:ind w:left="720"/>
      <w:contextualSpacing/>
    </w:pPr>
  </w:style>
  <w:style w:type="paragraph" w:customStyle="1" w:styleId="StyleNew">
    <w:name w:val="Style_New"/>
    <w:basedOn w:val="Normal"/>
    <w:qFormat/>
    <w:rsid w:val="00377E45"/>
    <w:pPr>
      <w:numPr>
        <w:numId w:val="4"/>
      </w:numPr>
    </w:pPr>
    <w:rPr>
      <w:color w:val="76923C" w:themeColor="accent3" w:themeShade="BF"/>
      <w:sz w:val="22"/>
      <w:szCs w:val="22"/>
    </w:rPr>
  </w:style>
  <w:style w:type="paragraph" w:customStyle="1" w:styleId="NumberedParagraph">
    <w:name w:val="Numbered Paragraph"/>
    <w:basedOn w:val="Normal"/>
    <w:rsid w:val="00DA47EA"/>
    <w:pPr>
      <w:numPr>
        <w:numId w:val="5"/>
      </w:numPr>
      <w:spacing w:after="240" w:line="240" w:lineRule="atLeast"/>
    </w:pPr>
  </w:style>
  <w:style w:type="paragraph" w:customStyle="1" w:styleId="NumberList">
    <w:name w:val="Number List"/>
    <w:basedOn w:val="Normal"/>
    <w:rsid w:val="00407B73"/>
    <w:pPr>
      <w:numPr>
        <w:numId w:val="8"/>
      </w:numPr>
      <w:tabs>
        <w:tab w:val="left" w:pos="1985"/>
      </w:tabs>
      <w:spacing w:before="240" w:line="240" w:lineRule="atLeast"/>
    </w:pPr>
  </w:style>
  <w:style w:type="paragraph" w:customStyle="1" w:styleId="NumberListSub">
    <w:name w:val="Number List Sub"/>
    <w:basedOn w:val="NumberList"/>
    <w:rsid w:val="00407B73"/>
    <w:pPr>
      <w:numPr>
        <w:ilvl w:val="1"/>
      </w:numPr>
      <w:tabs>
        <w:tab w:val="left" w:pos="2552"/>
      </w:tabs>
    </w:pPr>
  </w:style>
  <w:style w:type="character" w:customStyle="1" w:styleId="FooterChar">
    <w:name w:val="Footer Char"/>
    <w:basedOn w:val="DefaultParagraphFont"/>
    <w:link w:val="Footer"/>
    <w:uiPriority w:val="99"/>
    <w:rsid w:val="0029530D"/>
    <w:rPr>
      <w:sz w:val="24"/>
      <w:szCs w:val="24"/>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E44934"/>
    <w:rPr>
      <w:sz w:val="24"/>
      <w:szCs w:val="24"/>
      <w:lang w:eastAsia="en-US"/>
    </w:rPr>
  </w:style>
  <w:style w:type="paragraph" w:styleId="Index2">
    <w:name w:val="index 2"/>
    <w:basedOn w:val="Normal"/>
    <w:next w:val="Normal"/>
    <w:autoRedefine/>
    <w:uiPriority w:val="99"/>
    <w:semiHidden/>
    <w:unhideWhenUsed/>
    <w:rsid w:val="00551C43"/>
    <w:pPr>
      <w:ind w:left="440" w:hanging="220"/>
    </w:pPr>
    <w:rPr>
      <w:rFonts w:asciiTheme="minorHAnsi" w:eastAsiaTheme="minorEastAsia" w:hAnsiTheme="minorHAnsi" w:cstheme="minorBidi"/>
      <w:sz w:val="22"/>
      <w:szCs w:val="22"/>
      <w:lang w:eastAsia="en-AU"/>
    </w:rPr>
  </w:style>
  <w:style w:type="character" w:customStyle="1" w:styleId="CharPartText">
    <w:name w:val="CharPartText"/>
    <w:basedOn w:val="DefaultParagraphFont"/>
    <w:uiPriority w:val="1"/>
    <w:qFormat/>
    <w:rsid w:val="00AB3E8B"/>
  </w:style>
  <w:style w:type="paragraph" w:styleId="Revision">
    <w:name w:val="Revision"/>
    <w:hidden/>
    <w:uiPriority w:val="99"/>
    <w:semiHidden/>
    <w:rsid w:val="00C32155"/>
    <w:rPr>
      <w:sz w:val="24"/>
      <w:szCs w:val="24"/>
      <w:lang w:eastAsia="en-US"/>
    </w:rPr>
  </w:style>
  <w:style w:type="character" w:styleId="FollowedHyperlink">
    <w:name w:val="FollowedHyperlink"/>
    <w:basedOn w:val="DefaultParagraphFont"/>
    <w:semiHidden/>
    <w:unhideWhenUsed/>
    <w:rsid w:val="008E7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3320">
      <w:bodyDiv w:val="1"/>
      <w:marLeft w:val="0"/>
      <w:marRight w:val="0"/>
      <w:marTop w:val="0"/>
      <w:marBottom w:val="0"/>
      <w:divBdr>
        <w:top w:val="none" w:sz="0" w:space="0" w:color="auto"/>
        <w:left w:val="none" w:sz="0" w:space="0" w:color="auto"/>
        <w:bottom w:val="none" w:sz="0" w:space="0" w:color="auto"/>
        <w:right w:val="none" w:sz="0" w:space="0" w:color="auto"/>
      </w:divBdr>
    </w:div>
    <w:div w:id="1121269638">
      <w:bodyDiv w:val="1"/>
      <w:marLeft w:val="0"/>
      <w:marRight w:val="0"/>
      <w:marTop w:val="0"/>
      <w:marBottom w:val="0"/>
      <w:divBdr>
        <w:top w:val="none" w:sz="0" w:space="0" w:color="auto"/>
        <w:left w:val="none" w:sz="0" w:space="0" w:color="auto"/>
        <w:bottom w:val="none" w:sz="0" w:space="0" w:color="auto"/>
        <w:right w:val="none" w:sz="0" w:space="0" w:color="auto"/>
      </w:divBdr>
    </w:div>
    <w:div w:id="1619532866">
      <w:bodyDiv w:val="1"/>
      <w:marLeft w:val="0"/>
      <w:marRight w:val="0"/>
      <w:marTop w:val="0"/>
      <w:marBottom w:val="0"/>
      <w:divBdr>
        <w:top w:val="none" w:sz="0" w:space="0" w:color="auto"/>
        <w:left w:val="none" w:sz="0" w:space="0" w:color="auto"/>
        <w:bottom w:val="none" w:sz="0" w:space="0" w:color="auto"/>
        <w:right w:val="none" w:sz="0" w:space="0" w:color="auto"/>
      </w:divBdr>
    </w:div>
    <w:div w:id="1666012585">
      <w:bodyDiv w:val="1"/>
      <w:marLeft w:val="0"/>
      <w:marRight w:val="0"/>
      <w:marTop w:val="0"/>
      <w:marBottom w:val="0"/>
      <w:divBdr>
        <w:top w:val="none" w:sz="0" w:space="0" w:color="auto"/>
        <w:left w:val="none" w:sz="0" w:space="0" w:color="auto"/>
        <w:bottom w:val="none" w:sz="0" w:space="0" w:color="auto"/>
        <w:right w:val="none" w:sz="0" w:space="0" w:color="auto"/>
      </w:divBdr>
    </w:div>
    <w:div w:id="1758593990">
      <w:bodyDiv w:val="1"/>
      <w:marLeft w:val="0"/>
      <w:marRight w:val="0"/>
      <w:marTop w:val="0"/>
      <w:marBottom w:val="0"/>
      <w:divBdr>
        <w:top w:val="none" w:sz="0" w:space="0" w:color="auto"/>
        <w:left w:val="none" w:sz="0" w:space="0" w:color="auto"/>
        <w:bottom w:val="none" w:sz="0" w:space="0" w:color="auto"/>
        <w:right w:val="none" w:sz="0" w:space="0" w:color="auto"/>
      </w:divBdr>
    </w:div>
    <w:div w:id="21219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51</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9e5d1b8-31fe-4abb-b9ad-c81c29576083">FIN34055-2137779915-12679</_dlc_DocId>
    <_dlc_DocIdUrl xmlns="79e5d1b8-31fe-4abb-b9ad-c81c29576083">
      <Url>https://f1.prdmgd.finance.gov.au/sites/50034055/_layouts/15/DocIdRedir.aspx?ID=FIN34055-2137779915-12679</Url>
      <Description>FIN34055-2137779915-12679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B1CDF7F8A02BD548902878128DCB56B0" ma:contentTypeVersion="17" ma:contentTypeDescription="" ma:contentTypeScope="" ma:versionID="126dddfd7ba68ec6e509e0559c018a22">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9e5d1b8-31fe-4abb-b9ad-c81c29576083" targetNamespace="http://schemas.microsoft.com/office/2006/metadata/properties" ma:root="true" ma:fieldsID="5ac79a7421336f215c3ba0d115469f73" ns1:_="" ns2:_="" ns3:_="" ns4:_="">
    <xsd:import namespace="http://schemas.microsoft.com/sharepoint/v3"/>
    <xsd:import namespace="http://schemas.microsoft.com/sharepoint/v3/fields"/>
    <xsd:import namespace="82ff9d9b-d3fc-4aad-bc42-9949ee83b815"/>
    <xsd:import namespace="79e5d1b8-31fe-4abb-b9ad-c81c29576083"/>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182DF6-A255-4F60-96DC-A230B66CBCAF}">
  <ds:schemaRefs>
    <ds:schemaRef ds:uri="http://schemas.microsoft.com/sharepoint/v3/contenttype/forms"/>
  </ds:schemaRefs>
</ds:datastoreItem>
</file>

<file path=customXml/itemProps2.xml><?xml version="1.0" encoding="utf-8"?>
<ds:datastoreItem xmlns:ds="http://schemas.openxmlformats.org/officeDocument/2006/customXml" ds:itemID="{A5A471B4-A55B-4F88-A053-BB5FC77A3D0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B67B2F1-62C1-4216-A0DF-708CD337E372"/>
    <ds:schemaRef ds:uri="http://www.w3.org/XML/1998/namespace"/>
  </ds:schemaRefs>
</ds:datastoreItem>
</file>

<file path=customXml/itemProps3.xml><?xml version="1.0" encoding="utf-8"?>
<ds:datastoreItem xmlns:ds="http://schemas.openxmlformats.org/officeDocument/2006/customXml" ds:itemID="{6AF3E636-1C93-4238-BB76-0EFE2B5BFFFF}"/>
</file>

<file path=customXml/itemProps4.xml><?xml version="1.0" encoding="utf-8"?>
<ds:datastoreItem xmlns:ds="http://schemas.openxmlformats.org/officeDocument/2006/customXml" ds:itemID="{4BDC6FAB-29BE-4478-982C-0C9B476E6BC0}">
  <ds:schemaRefs>
    <ds:schemaRef ds:uri="http://schemas.openxmlformats.org/officeDocument/2006/bibliography"/>
  </ds:schemaRefs>
</ds:datastoreItem>
</file>

<file path=customXml/itemProps5.xml><?xml version="1.0" encoding="utf-8"?>
<ds:datastoreItem xmlns:ds="http://schemas.openxmlformats.org/officeDocument/2006/customXml" ds:itemID="{AD64492E-0616-4A16-8493-D5B0BA36839D}"/>
</file>

<file path=customXml/itemProps6.xml><?xml version="1.0" encoding="utf-8"?>
<ds:datastoreItem xmlns:ds="http://schemas.openxmlformats.org/officeDocument/2006/customXml" ds:itemID="{FD0F8DFE-94C3-41EB-8E8E-4C3032871A47}"/>
</file>

<file path=docProps/app.xml><?xml version="1.0" encoding="utf-8"?>
<Properties xmlns="http://schemas.openxmlformats.org/officeDocument/2006/extended-properties" xmlns:vt="http://schemas.openxmlformats.org/officeDocument/2006/docPropsVTypes">
  <Template>Normal</Template>
  <TotalTime>100</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Leslie Macdonald</Manager>
  <Company>Finance</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Tony Rose</dc:creator>
  <cp:keywords/>
  <cp:lastModifiedBy>Fox, Amy</cp:lastModifiedBy>
  <cp:revision>20</cp:revision>
  <cp:lastPrinted>2022-11-10T22:36:00Z</cp:lastPrinted>
  <dcterms:created xsi:type="dcterms:W3CDTF">2021-11-11T00:29:00Z</dcterms:created>
  <dcterms:modified xsi:type="dcterms:W3CDTF">2022-11-16T03:23:00Z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1;#Department of Finance|fd660e8f-8f31-49bd-92a3-d31d4da31afe</vt:lpwstr>
  </property>
  <property fmtid="{D5CDD505-2E9C-101B-9397-08002B2CF9AE}" pid="4" name="InitiatingEntity">
    <vt:lpwstr>1;#Department of Finance|fd660e8f-8f31-49bd-92a3-d31d4da31afe</vt:lpwstr>
  </property>
  <property fmtid="{D5CDD505-2E9C-101B-9397-08002B2CF9AE}" pid="5" name="ContentTypeId">
    <vt:lpwstr>0x0101002EFF4F6709F446E5AD064DC20BBE6855008F70CE3E60DE154B8B99D468DE12E03200B1CDF7F8A02BD548902878128DCB56B0</vt:lpwstr>
  </property>
  <property fmtid="{D5CDD505-2E9C-101B-9397-08002B2CF9AE}" pid="6" name="Function and Activity">
    <vt:lpwstr/>
  </property>
  <property fmtid="{D5CDD505-2E9C-101B-9397-08002B2CF9AE}" pid="7" name="OrgUnit">
    <vt:lpwstr>51;#Accounting FW and Capability Support|17de058c-12f7-44f2-8e7d-03ff49305e52</vt:lpwstr>
  </property>
  <property fmtid="{D5CDD505-2E9C-101B-9397-08002B2CF9AE}" pid="8" name="_dlc_DocIdItemGuid">
    <vt:lpwstr>ced04dcc-eaea-4821-bf65-86c1f8bff1ae</vt:lpwstr>
  </property>
  <property fmtid="{D5CDD505-2E9C-101B-9397-08002B2CF9AE}" pid="9" name="SharedWithUsers">
    <vt:lpwstr>429;#Hansen, Ellen</vt:lpwstr>
  </property>
  <property fmtid="{D5CDD505-2E9C-101B-9397-08002B2CF9AE}" pid="10" name="gf53def832c84e7cae27ba43c0ddcfb1">
    <vt:lpwstr/>
  </property>
  <property fmtid="{D5CDD505-2E9C-101B-9397-08002B2CF9AE}" pid="11" name="Document">
    <vt:lpwstr/>
  </property>
</Properties>
</file>