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02D7A" w14:textId="77777777" w:rsidR="003B16FF" w:rsidRPr="00C52125" w:rsidRDefault="003B16FF" w:rsidP="003B16FF">
      <w:pPr>
        <w:jc w:val="center"/>
        <w:rPr>
          <w:rFonts w:ascii="Times New Roman" w:hAnsi="Times New Roman" w:cs="Times New Roman"/>
          <w:b/>
          <w:sz w:val="24"/>
          <w:szCs w:val="24"/>
        </w:rPr>
      </w:pPr>
      <w:r w:rsidRPr="00C52125">
        <w:rPr>
          <w:rFonts w:ascii="Times New Roman" w:hAnsi="Times New Roman" w:cs="Times New Roman"/>
          <w:b/>
          <w:sz w:val="24"/>
          <w:szCs w:val="24"/>
        </w:rPr>
        <w:t>Explanatory Statement</w:t>
      </w:r>
    </w:p>
    <w:p w14:paraId="2CED8D71" w14:textId="77777777" w:rsidR="003B16FF" w:rsidRPr="00C52125" w:rsidRDefault="003B16FF" w:rsidP="003B16FF">
      <w:pPr>
        <w:jc w:val="center"/>
        <w:rPr>
          <w:rFonts w:ascii="Times New Roman" w:hAnsi="Times New Roman" w:cs="Times New Roman"/>
          <w:sz w:val="24"/>
          <w:szCs w:val="24"/>
        </w:rPr>
      </w:pPr>
      <w:r w:rsidRPr="00C52125">
        <w:rPr>
          <w:rFonts w:ascii="Times New Roman" w:hAnsi="Times New Roman" w:cs="Times New Roman"/>
          <w:sz w:val="24"/>
          <w:szCs w:val="24"/>
        </w:rPr>
        <w:t xml:space="preserve">Issued by the Authority of </w:t>
      </w:r>
      <w:r>
        <w:rPr>
          <w:rFonts w:ascii="Times New Roman" w:hAnsi="Times New Roman" w:cs="Times New Roman"/>
          <w:sz w:val="24"/>
          <w:szCs w:val="24"/>
        </w:rPr>
        <w:t>the Minister for Communications</w:t>
      </w:r>
      <w:r w:rsidRPr="00C52125">
        <w:rPr>
          <w:rFonts w:ascii="Times New Roman" w:hAnsi="Times New Roman" w:cs="Times New Roman"/>
          <w:sz w:val="24"/>
          <w:szCs w:val="24"/>
        </w:rPr>
        <w:t>.</w:t>
      </w:r>
    </w:p>
    <w:p w14:paraId="30580603" w14:textId="77777777" w:rsidR="003B16FF" w:rsidRPr="00C52125" w:rsidRDefault="003B16FF" w:rsidP="003B16FF">
      <w:pPr>
        <w:jc w:val="center"/>
        <w:rPr>
          <w:rFonts w:ascii="Times New Roman" w:hAnsi="Times New Roman" w:cs="Times New Roman"/>
          <w:i/>
          <w:sz w:val="24"/>
          <w:szCs w:val="24"/>
        </w:rPr>
      </w:pPr>
      <w:r w:rsidRPr="00C52125">
        <w:rPr>
          <w:rFonts w:ascii="Times New Roman" w:hAnsi="Times New Roman" w:cs="Times New Roman"/>
          <w:i/>
          <w:sz w:val="24"/>
          <w:szCs w:val="24"/>
        </w:rPr>
        <w:t>Telecommunications Act 1997</w:t>
      </w:r>
    </w:p>
    <w:p w14:paraId="3BEB7263" w14:textId="3BEA5E53" w:rsidR="003B16FF" w:rsidRDefault="003B16FF" w:rsidP="003B16FF">
      <w:pPr>
        <w:rPr>
          <w:rFonts w:ascii="Times New Roman" w:hAnsi="Times New Roman" w:cs="Times New Roman"/>
          <w:b/>
          <w:sz w:val="24"/>
          <w:szCs w:val="24"/>
        </w:rPr>
      </w:pPr>
      <w:r w:rsidRPr="002D2F32">
        <w:rPr>
          <w:rFonts w:ascii="Times New Roman" w:hAnsi="Times New Roman" w:cs="Times New Roman"/>
          <w:b/>
          <w:sz w:val="24"/>
          <w:szCs w:val="24"/>
        </w:rPr>
        <w:t>Telecommunications (Designated Service Area and Statutory Infrastructure Provider) Amendment Declaration (No.</w:t>
      </w:r>
      <w:r>
        <w:rPr>
          <w:rFonts w:ascii="Times New Roman" w:hAnsi="Times New Roman" w:cs="Times New Roman"/>
          <w:b/>
          <w:sz w:val="24"/>
          <w:szCs w:val="24"/>
        </w:rPr>
        <w:t xml:space="preserve"> </w:t>
      </w:r>
      <w:r w:rsidR="00672336">
        <w:rPr>
          <w:rFonts w:ascii="Times New Roman" w:hAnsi="Times New Roman" w:cs="Times New Roman"/>
          <w:b/>
          <w:sz w:val="24"/>
          <w:szCs w:val="24"/>
        </w:rPr>
        <w:t>5</w:t>
      </w:r>
      <w:r w:rsidRPr="002D2F32">
        <w:rPr>
          <w:rFonts w:ascii="Times New Roman" w:hAnsi="Times New Roman" w:cs="Times New Roman"/>
          <w:b/>
          <w:sz w:val="24"/>
          <w:szCs w:val="24"/>
        </w:rPr>
        <w:t>) 2022</w:t>
      </w:r>
    </w:p>
    <w:p w14:paraId="52901CE0" w14:textId="77777777" w:rsidR="003B16FF" w:rsidRDefault="003B16FF" w:rsidP="003B16FF">
      <w:pPr>
        <w:rPr>
          <w:rFonts w:ascii="Times New Roman" w:hAnsi="Times New Roman" w:cs="Times New Roman"/>
          <w:b/>
          <w:sz w:val="24"/>
          <w:szCs w:val="24"/>
        </w:rPr>
      </w:pPr>
      <w:r>
        <w:rPr>
          <w:rFonts w:ascii="Times New Roman" w:hAnsi="Times New Roman" w:cs="Times New Roman"/>
          <w:b/>
          <w:sz w:val="24"/>
          <w:szCs w:val="24"/>
        </w:rPr>
        <w:t>Authority</w:t>
      </w:r>
    </w:p>
    <w:p w14:paraId="7DB0A034" w14:textId="293174CA" w:rsidR="003B16FF" w:rsidRDefault="003B16FF" w:rsidP="003B16FF">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 xml:space="preserve">Telecommunications (Designated Service Area and Statutory Infrastructure Provider) Amendment Declaration (No. </w:t>
      </w:r>
      <w:r w:rsidR="00672336">
        <w:rPr>
          <w:rFonts w:ascii="Times New Roman" w:hAnsi="Times New Roman" w:cs="Times New Roman"/>
          <w:i/>
          <w:sz w:val="24"/>
          <w:szCs w:val="24"/>
        </w:rPr>
        <w:t>5</w:t>
      </w:r>
      <w:r>
        <w:rPr>
          <w:rFonts w:ascii="Times New Roman" w:hAnsi="Times New Roman" w:cs="Times New Roman"/>
          <w:i/>
          <w:sz w:val="24"/>
          <w:szCs w:val="24"/>
        </w:rPr>
        <w:t xml:space="preserve">) 2022 </w:t>
      </w:r>
      <w:r>
        <w:rPr>
          <w:rFonts w:ascii="Times New Roman" w:hAnsi="Times New Roman" w:cs="Times New Roman"/>
          <w:sz w:val="24"/>
          <w:szCs w:val="24"/>
        </w:rPr>
        <w:t>(the Amending Declaration)</w:t>
      </w:r>
      <w:r>
        <w:rPr>
          <w:rFonts w:ascii="Times New Roman" w:hAnsi="Times New Roman" w:cs="Times New Roman"/>
          <w:i/>
          <w:sz w:val="24"/>
          <w:szCs w:val="24"/>
        </w:rPr>
        <w:t xml:space="preserve"> </w:t>
      </w:r>
      <w:r>
        <w:rPr>
          <w:rFonts w:ascii="Times New Roman" w:hAnsi="Times New Roman" w:cs="Times New Roman"/>
          <w:sz w:val="24"/>
          <w:szCs w:val="24"/>
        </w:rPr>
        <w:t>is made under s</w:t>
      </w:r>
      <w:r w:rsidRPr="001E6991">
        <w:rPr>
          <w:rFonts w:ascii="Times New Roman" w:hAnsi="Times New Roman" w:cs="Times New Roman"/>
          <w:sz w:val="24"/>
          <w:szCs w:val="24"/>
        </w:rPr>
        <w:t>ection 360L of the </w:t>
      </w:r>
      <w:r w:rsidRPr="001E6991">
        <w:rPr>
          <w:rFonts w:ascii="Times New Roman" w:hAnsi="Times New Roman" w:cs="Times New Roman"/>
          <w:i/>
          <w:iCs/>
          <w:sz w:val="24"/>
          <w:szCs w:val="24"/>
        </w:rPr>
        <w:t>Telecommunications Act 1997</w:t>
      </w:r>
      <w:r w:rsidRPr="001E6991">
        <w:rPr>
          <w:rFonts w:ascii="Times New Roman" w:hAnsi="Times New Roman" w:cs="Times New Roman"/>
          <w:sz w:val="24"/>
          <w:szCs w:val="24"/>
        </w:rPr>
        <w:t xml:space="preserve"> (the Act) </w:t>
      </w:r>
      <w:r>
        <w:rPr>
          <w:rFonts w:ascii="Times New Roman" w:hAnsi="Times New Roman" w:cs="Times New Roman"/>
          <w:sz w:val="24"/>
          <w:szCs w:val="24"/>
        </w:rPr>
        <w:t>and</w:t>
      </w:r>
      <w:r w:rsidRPr="001E6991">
        <w:rPr>
          <w:rFonts w:ascii="Times New Roman" w:hAnsi="Times New Roman" w:cs="Times New Roman"/>
          <w:sz w:val="24"/>
          <w:szCs w:val="24"/>
        </w:rPr>
        <w:t xml:space="preserve"> subsection 33(3) of the </w:t>
      </w:r>
      <w:r w:rsidRPr="001E6991">
        <w:rPr>
          <w:rFonts w:ascii="Times New Roman" w:hAnsi="Times New Roman" w:cs="Times New Roman"/>
          <w:i/>
          <w:iCs/>
          <w:sz w:val="24"/>
          <w:szCs w:val="24"/>
        </w:rPr>
        <w:t>Acts Interpretation Act 1901</w:t>
      </w:r>
      <w:r w:rsidRPr="001E6991">
        <w:rPr>
          <w:rFonts w:ascii="Times New Roman" w:hAnsi="Times New Roman" w:cs="Times New Roman"/>
          <w:sz w:val="24"/>
          <w:szCs w:val="24"/>
        </w:rPr>
        <w:t>.</w:t>
      </w:r>
    </w:p>
    <w:p w14:paraId="7BFEDB21" w14:textId="77777777" w:rsidR="003B16FF" w:rsidRDefault="003B16FF" w:rsidP="003B16FF">
      <w:pPr>
        <w:rPr>
          <w:rFonts w:ascii="Times New Roman" w:hAnsi="Times New Roman" w:cs="Times New Roman"/>
          <w:b/>
          <w:sz w:val="24"/>
          <w:szCs w:val="24"/>
        </w:rPr>
      </w:pPr>
      <w:r>
        <w:rPr>
          <w:rFonts w:ascii="Times New Roman" w:hAnsi="Times New Roman" w:cs="Times New Roman"/>
          <w:b/>
          <w:sz w:val="24"/>
          <w:szCs w:val="24"/>
        </w:rPr>
        <w:t>Purpose</w:t>
      </w:r>
    </w:p>
    <w:p w14:paraId="17B2A82C" w14:textId="1450ABF6" w:rsidR="005F5C83" w:rsidRDefault="003B16FF" w:rsidP="003B16FF">
      <w:pPr>
        <w:rPr>
          <w:rFonts w:ascii="Times New Roman" w:hAnsi="Times New Roman" w:cs="Times New Roman"/>
          <w:sz w:val="24"/>
          <w:szCs w:val="24"/>
        </w:rPr>
      </w:pPr>
      <w:r>
        <w:rPr>
          <w:rFonts w:ascii="Times New Roman" w:hAnsi="Times New Roman" w:cs="Times New Roman"/>
          <w:sz w:val="24"/>
          <w:szCs w:val="24"/>
        </w:rPr>
        <w:t xml:space="preserve">The purpose of the Amending Declaration is to amend the </w:t>
      </w:r>
      <w:r w:rsidRPr="00C52125">
        <w:rPr>
          <w:rFonts w:ascii="Times New Roman" w:hAnsi="Times New Roman" w:cs="Times New Roman"/>
          <w:i/>
          <w:sz w:val="24"/>
          <w:szCs w:val="24"/>
        </w:rPr>
        <w:t>Telecommunications (Designated Service Area and Statutory Infrastructure Provider)</w:t>
      </w:r>
      <w:r>
        <w:rPr>
          <w:rFonts w:ascii="Times New Roman" w:hAnsi="Times New Roman" w:cs="Times New Roman"/>
          <w:i/>
          <w:sz w:val="24"/>
          <w:szCs w:val="24"/>
        </w:rPr>
        <w:t xml:space="preserve"> </w:t>
      </w:r>
      <w:r w:rsidRPr="00C52125">
        <w:rPr>
          <w:rFonts w:ascii="Times New Roman" w:hAnsi="Times New Roman" w:cs="Times New Roman"/>
          <w:i/>
          <w:sz w:val="24"/>
          <w:szCs w:val="24"/>
        </w:rPr>
        <w:t xml:space="preserve">Declaration </w:t>
      </w:r>
      <w:r>
        <w:rPr>
          <w:rFonts w:ascii="Times New Roman" w:hAnsi="Times New Roman" w:cs="Times New Roman"/>
          <w:i/>
          <w:sz w:val="24"/>
          <w:szCs w:val="24"/>
        </w:rPr>
        <w:t xml:space="preserve">(No. 1) </w:t>
      </w:r>
      <w:r w:rsidRPr="00C52125">
        <w:rPr>
          <w:rFonts w:ascii="Times New Roman" w:hAnsi="Times New Roman" w:cs="Times New Roman"/>
          <w:i/>
          <w:sz w:val="24"/>
          <w:szCs w:val="24"/>
        </w:rPr>
        <w:t>202</w:t>
      </w:r>
      <w:r>
        <w:rPr>
          <w:rFonts w:ascii="Times New Roman" w:hAnsi="Times New Roman" w:cs="Times New Roman"/>
          <w:i/>
          <w:sz w:val="24"/>
          <w:szCs w:val="24"/>
        </w:rPr>
        <w:t>0</w:t>
      </w:r>
      <w:r w:rsidRPr="00C52125">
        <w:rPr>
          <w:rFonts w:ascii="Times New Roman" w:hAnsi="Times New Roman" w:cs="Times New Roman"/>
          <w:i/>
          <w:sz w:val="24"/>
          <w:szCs w:val="24"/>
        </w:rPr>
        <w:t xml:space="preserve"> </w:t>
      </w:r>
      <w:r w:rsidRPr="00C52125">
        <w:rPr>
          <w:rFonts w:ascii="Times New Roman" w:hAnsi="Times New Roman" w:cs="Times New Roman"/>
          <w:sz w:val="24"/>
          <w:szCs w:val="24"/>
        </w:rPr>
        <w:t>(the Principal Declaration)</w:t>
      </w:r>
      <w:r>
        <w:rPr>
          <w:rFonts w:ascii="Times New Roman" w:hAnsi="Times New Roman" w:cs="Times New Roman"/>
          <w:sz w:val="24"/>
          <w:szCs w:val="24"/>
        </w:rPr>
        <w:t xml:space="preserve"> to</w:t>
      </w:r>
      <w:r w:rsidR="005F5C83">
        <w:rPr>
          <w:rFonts w:ascii="Times New Roman" w:hAnsi="Times New Roman" w:cs="Times New Roman"/>
          <w:sz w:val="24"/>
          <w:szCs w:val="24"/>
        </w:rPr>
        <w:t xml:space="preserve"> provide a framework for the phased transfer of statutory infrastructure provider (SIP) responsibilities from Telstra to Opticomm in relation to </w:t>
      </w:r>
      <w:r w:rsidR="007D58CC">
        <w:rPr>
          <w:rFonts w:ascii="Times New Roman" w:hAnsi="Times New Roman" w:cs="Times New Roman"/>
          <w:sz w:val="24"/>
          <w:szCs w:val="24"/>
        </w:rPr>
        <w:t>Telstra’s</w:t>
      </w:r>
      <w:r w:rsidR="005F5C83">
        <w:rPr>
          <w:rFonts w:ascii="Times New Roman" w:hAnsi="Times New Roman" w:cs="Times New Roman"/>
          <w:sz w:val="24"/>
          <w:szCs w:val="24"/>
        </w:rPr>
        <w:t xml:space="preserve"> service areas.</w:t>
      </w:r>
      <w:r w:rsidR="005F128E">
        <w:rPr>
          <w:rFonts w:ascii="Times New Roman" w:hAnsi="Times New Roman" w:cs="Times New Roman"/>
          <w:sz w:val="24"/>
          <w:szCs w:val="24"/>
        </w:rPr>
        <w:t xml:space="preserve"> </w:t>
      </w:r>
      <w:r w:rsidR="005F128E">
        <w:rPr>
          <w:rFonts w:ascii="Times New Roman" w:hAnsi="Times New Roman"/>
          <w:sz w:val="24"/>
          <w:szCs w:val="24"/>
        </w:rPr>
        <w:t xml:space="preserve">It does this together with another instrument being made at the same time, the </w:t>
      </w:r>
      <w:r w:rsidR="005F128E">
        <w:rPr>
          <w:rFonts w:ascii="Times New Roman" w:hAnsi="Times New Roman"/>
          <w:i/>
          <w:sz w:val="24"/>
          <w:szCs w:val="24"/>
        </w:rPr>
        <w:t>Telecommunications (Exceptions to Statutory Infrastructure Provider Obligations – Telstra and Opticomm Pty Ltd) Determination 2022</w:t>
      </w:r>
      <w:r w:rsidR="005F128E">
        <w:rPr>
          <w:rFonts w:ascii="Times New Roman" w:hAnsi="Times New Roman"/>
          <w:sz w:val="24"/>
          <w:szCs w:val="24"/>
        </w:rPr>
        <w:t xml:space="preserve"> (the Exceptions Determination).</w:t>
      </w:r>
    </w:p>
    <w:p w14:paraId="02E37FD4" w14:textId="77777777" w:rsidR="003B16FF" w:rsidRDefault="003B16FF" w:rsidP="003B16FF">
      <w:pPr>
        <w:pStyle w:val="ListParagraph"/>
        <w:shd w:val="clear" w:color="auto" w:fill="FFFFFF"/>
        <w:spacing w:before="100" w:beforeAutospacing="1" w:after="100" w:afterAutospacing="1"/>
        <w:ind w:left="0"/>
        <w:rPr>
          <w:rFonts w:ascii="Times New Roman" w:hAnsi="Times New Roman"/>
          <w:sz w:val="24"/>
          <w:szCs w:val="24"/>
        </w:rPr>
      </w:pPr>
      <w:r>
        <w:rPr>
          <w:rFonts w:ascii="Times New Roman" w:hAnsi="Times New Roman"/>
          <w:b/>
          <w:sz w:val="24"/>
          <w:szCs w:val="24"/>
        </w:rPr>
        <w:t>Background</w:t>
      </w:r>
    </w:p>
    <w:p w14:paraId="6CAB8B9B" w14:textId="594B4542" w:rsidR="003B16FF" w:rsidRPr="005168E5" w:rsidRDefault="003B16FF" w:rsidP="003B16FF">
      <w:pPr>
        <w:shd w:val="clear" w:color="auto" w:fill="FFFFFF"/>
        <w:spacing w:before="100" w:beforeAutospacing="1" w:after="100" w:afterAutospacing="1"/>
        <w:rPr>
          <w:rFonts w:ascii="Times New Roman" w:hAnsi="Times New Roman"/>
          <w:sz w:val="24"/>
          <w:szCs w:val="24"/>
        </w:rPr>
      </w:pPr>
      <w:r w:rsidRPr="005168E5">
        <w:rPr>
          <w:rFonts w:ascii="Times New Roman" w:hAnsi="Times New Roman"/>
          <w:sz w:val="24"/>
          <w:szCs w:val="24"/>
        </w:rPr>
        <w:t xml:space="preserve">The SIP regime is set out in Part 19 of the Act and commenced on 1 July 2020. It </w:t>
      </w:r>
      <w:r>
        <w:rPr>
          <w:rFonts w:ascii="Times New Roman" w:hAnsi="Times New Roman"/>
          <w:sz w:val="24"/>
          <w:szCs w:val="24"/>
        </w:rPr>
        <w:t xml:space="preserve">aims to ensure that all people in Australia can access high speed broadband services. Under the Act, NBN Co is the default SIP for Australia, reflecting its role in the market. However, the SIP regime </w:t>
      </w:r>
      <w:r w:rsidRPr="005168E5">
        <w:rPr>
          <w:rFonts w:ascii="Times New Roman" w:hAnsi="Times New Roman"/>
          <w:sz w:val="24"/>
          <w:szCs w:val="24"/>
        </w:rPr>
        <w:t>provides for alternative carriers to be the SIPs for the geographic areas where they deploy telecommunications networks.</w:t>
      </w:r>
      <w:r>
        <w:rPr>
          <w:rFonts w:ascii="Times New Roman" w:hAnsi="Times New Roman"/>
          <w:sz w:val="24"/>
          <w:szCs w:val="24"/>
        </w:rPr>
        <w:t xml:space="preserve"> This recognises</w:t>
      </w:r>
      <w:r w:rsidRPr="005168E5">
        <w:rPr>
          <w:rFonts w:ascii="Times New Roman" w:hAnsi="Times New Roman"/>
          <w:sz w:val="24"/>
          <w:szCs w:val="24"/>
        </w:rPr>
        <w:t xml:space="preserve"> that there is a competitive market in Australia for the provision of telecommunications networks. </w:t>
      </w:r>
    </w:p>
    <w:p w14:paraId="0C179DDE" w14:textId="33E7721F" w:rsidR="003B16FF" w:rsidRDefault="003B16FF" w:rsidP="003B16FF">
      <w:pPr>
        <w:shd w:val="clear" w:color="auto" w:fill="FFFFFF"/>
        <w:spacing w:before="100" w:beforeAutospacing="1" w:after="100" w:afterAutospacing="1"/>
        <w:rPr>
          <w:rFonts w:ascii="Times New Roman" w:hAnsi="Times New Roman"/>
          <w:sz w:val="24"/>
          <w:szCs w:val="24"/>
        </w:rPr>
      </w:pPr>
      <w:r w:rsidRPr="005168E5">
        <w:rPr>
          <w:rFonts w:ascii="Times New Roman" w:hAnsi="Times New Roman"/>
          <w:sz w:val="24"/>
          <w:szCs w:val="24"/>
        </w:rPr>
        <w:t>There are t</w:t>
      </w:r>
      <w:r>
        <w:rPr>
          <w:rFonts w:ascii="Times New Roman" w:hAnsi="Times New Roman"/>
          <w:sz w:val="24"/>
          <w:szCs w:val="24"/>
        </w:rPr>
        <w:t>hree</w:t>
      </w:r>
      <w:r w:rsidRPr="005168E5">
        <w:rPr>
          <w:rFonts w:ascii="Times New Roman" w:hAnsi="Times New Roman"/>
          <w:sz w:val="24"/>
          <w:szCs w:val="24"/>
        </w:rPr>
        <w:t xml:space="preserve"> main routes by which alternative carriers become the SIPs for service areas</w:t>
      </w:r>
      <w:r>
        <w:rPr>
          <w:rFonts w:ascii="Times New Roman" w:hAnsi="Times New Roman"/>
          <w:sz w:val="24"/>
          <w:szCs w:val="24"/>
        </w:rPr>
        <w:t>:</w:t>
      </w:r>
      <w:r w:rsidR="004F5942">
        <w:rPr>
          <w:rFonts w:ascii="Times New Roman" w:hAnsi="Times New Roman"/>
          <w:sz w:val="24"/>
          <w:szCs w:val="24"/>
        </w:rPr>
        <w:t xml:space="preserve"> through deeming provisions in the statute; through carrier nomination; or by Ministerial designation.</w:t>
      </w:r>
    </w:p>
    <w:p w14:paraId="756D60AB" w14:textId="3C602B1F" w:rsidR="003B16FF" w:rsidRDefault="003B16FF" w:rsidP="003B16FF">
      <w:pPr>
        <w:shd w:val="clear" w:color="auto" w:fill="FFFFFF"/>
        <w:rPr>
          <w:rFonts w:ascii="Times New Roman" w:hAnsi="Times New Roman"/>
          <w:sz w:val="24"/>
          <w:szCs w:val="24"/>
        </w:rPr>
      </w:pPr>
      <w:r w:rsidRPr="005168E5">
        <w:rPr>
          <w:rFonts w:ascii="Times New Roman" w:hAnsi="Times New Roman"/>
          <w:sz w:val="24"/>
          <w:szCs w:val="24"/>
        </w:rPr>
        <w:t xml:space="preserve">The key obligations of SIPs are to connect premises in their service areas to their telecommunications networks, and supply wholesale services, on reasonable request from a carriage service provider </w:t>
      </w:r>
      <w:r w:rsidR="00891ECB">
        <w:rPr>
          <w:rFonts w:ascii="Times New Roman" w:hAnsi="Times New Roman"/>
          <w:sz w:val="24"/>
          <w:szCs w:val="24"/>
        </w:rPr>
        <w:t xml:space="preserve">(CSP) </w:t>
      </w:r>
      <w:r w:rsidRPr="005168E5">
        <w:rPr>
          <w:rFonts w:ascii="Times New Roman" w:hAnsi="Times New Roman"/>
          <w:sz w:val="24"/>
          <w:szCs w:val="24"/>
        </w:rPr>
        <w:t>acting on behalf of an end-user within the designated SIP area. The wholesale services must allow the retail provider to supply ‘qualifying carriage services’, which are broadband services with peak download and upload speeds of at least 25/5 Mbps. On fixed-line or fixed</w:t>
      </w:r>
      <w:r>
        <w:rPr>
          <w:rFonts w:ascii="Times New Roman" w:hAnsi="Times New Roman"/>
          <w:sz w:val="24"/>
          <w:szCs w:val="24"/>
        </w:rPr>
        <w:t xml:space="preserve"> </w:t>
      </w:r>
      <w:r w:rsidRPr="005168E5">
        <w:rPr>
          <w:rFonts w:ascii="Times New Roman" w:hAnsi="Times New Roman"/>
          <w:sz w:val="24"/>
          <w:szCs w:val="24"/>
        </w:rPr>
        <w:t xml:space="preserve">wireless networks, the wholesale services SIPs supply must also enable </w:t>
      </w:r>
      <w:r w:rsidR="00891ECB">
        <w:rPr>
          <w:rFonts w:ascii="Times New Roman" w:hAnsi="Times New Roman"/>
          <w:sz w:val="24"/>
          <w:szCs w:val="24"/>
        </w:rPr>
        <w:t>CSPs</w:t>
      </w:r>
      <w:r w:rsidRPr="005168E5">
        <w:rPr>
          <w:rFonts w:ascii="Times New Roman" w:hAnsi="Times New Roman"/>
          <w:sz w:val="24"/>
          <w:szCs w:val="24"/>
        </w:rPr>
        <w:t xml:space="preserve"> to supply voice services. SIPs must also publish the terms and conditions on which they offer to connect premises and supply eligible services to </w:t>
      </w:r>
      <w:r w:rsidR="00891ECB">
        <w:rPr>
          <w:rFonts w:ascii="Times New Roman" w:hAnsi="Times New Roman"/>
          <w:sz w:val="24"/>
          <w:szCs w:val="24"/>
        </w:rPr>
        <w:t>CSPs</w:t>
      </w:r>
      <w:r w:rsidRPr="005168E5">
        <w:rPr>
          <w:rFonts w:ascii="Times New Roman" w:hAnsi="Times New Roman"/>
          <w:sz w:val="24"/>
          <w:szCs w:val="24"/>
        </w:rPr>
        <w:t xml:space="preserve">. </w:t>
      </w:r>
    </w:p>
    <w:p w14:paraId="54F8D6B7" w14:textId="45C5BF82" w:rsidR="00BA12D5" w:rsidRDefault="00BA12D5" w:rsidP="007D5884">
      <w:pPr>
        <w:shd w:val="clear" w:color="auto" w:fill="FFFFFF"/>
        <w:rPr>
          <w:rFonts w:ascii="Times New Roman" w:hAnsi="Times New Roman"/>
          <w:sz w:val="24"/>
          <w:szCs w:val="24"/>
        </w:rPr>
      </w:pPr>
      <w:r w:rsidRPr="000B6ED6">
        <w:rPr>
          <w:rFonts w:ascii="Times New Roman" w:hAnsi="Times New Roman"/>
          <w:sz w:val="24"/>
          <w:szCs w:val="24"/>
        </w:rPr>
        <w:t>Under section</w:t>
      </w:r>
      <w:r w:rsidRPr="000B6ED6">
        <w:rPr>
          <w:sz w:val="24"/>
          <w:szCs w:val="24"/>
        </w:rPr>
        <w:t xml:space="preserve"> </w:t>
      </w:r>
      <w:r w:rsidRPr="000B6ED6">
        <w:rPr>
          <w:rFonts w:ascii="Times New Roman" w:hAnsi="Times New Roman"/>
          <w:sz w:val="24"/>
          <w:szCs w:val="24"/>
        </w:rPr>
        <w:t xml:space="preserve">360Z of the Act, </w:t>
      </w:r>
      <w:r>
        <w:rPr>
          <w:rFonts w:ascii="Times New Roman" w:hAnsi="Times New Roman"/>
          <w:sz w:val="24"/>
          <w:szCs w:val="24"/>
        </w:rPr>
        <w:t xml:space="preserve">the </w:t>
      </w:r>
      <w:r w:rsidR="004F5942">
        <w:rPr>
          <w:rFonts w:ascii="Times New Roman" w:hAnsi="Times New Roman"/>
          <w:sz w:val="24"/>
          <w:szCs w:val="24"/>
        </w:rPr>
        <w:t>Australian Communications and Media Authority (</w:t>
      </w:r>
      <w:r w:rsidRPr="000B6ED6">
        <w:rPr>
          <w:rFonts w:ascii="Times New Roman" w:hAnsi="Times New Roman"/>
          <w:sz w:val="24"/>
          <w:szCs w:val="24"/>
        </w:rPr>
        <w:t>ACMA</w:t>
      </w:r>
      <w:r w:rsidR="004F5942">
        <w:rPr>
          <w:rFonts w:ascii="Times New Roman" w:hAnsi="Times New Roman"/>
          <w:sz w:val="24"/>
          <w:szCs w:val="24"/>
        </w:rPr>
        <w:t>)</w:t>
      </w:r>
      <w:r w:rsidRPr="000B6ED6">
        <w:rPr>
          <w:rFonts w:ascii="Times New Roman" w:hAnsi="Times New Roman"/>
          <w:sz w:val="24"/>
          <w:szCs w:val="24"/>
        </w:rPr>
        <w:t xml:space="preserve"> is required to maintain a register which, amongst other things, must contain the </w:t>
      </w:r>
      <w:r w:rsidRPr="000B6ED6">
        <w:rPr>
          <w:rFonts w:ascii="Times New Roman" w:hAnsi="Times New Roman"/>
          <w:sz w:val="24"/>
          <w:szCs w:val="24"/>
        </w:rPr>
        <w:lastRenderedPageBreak/>
        <w:t xml:space="preserve">name of each SIP and, for each of those SIPs, the relevant service area or areas. </w:t>
      </w:r>
      <w:bookmarkStart w:id="0" w:name="_Hlk117070077"/>
      <w:r w:rsidRPr="000B6ED6">
        <w:rPr>
          <w:rFonts w:ascii="Times New Roman" w:hAnsi="Times New Roman"/>
          <w:sz w:val="24"/>
          <w:szCs w:val="24"/>
        </w:rPr>
        <w:t xml:space="preserve">The ACMA </w:t>
      </w:r>
      <w:r w:rsidR="007D5884">
        <w:rPr>
          <w:rFonts w:ascii="Times New Roman" w:hAnsi="Times New Roman"/>
          <w:sz w:val="24"/>
          <w:szCs w:val="24"/>
        </w:rPr>
        <w:t>will update</w:t>
      </w:r>
      <w:r w:rsidR="007D5884" w:rsidRPr="000B6ED6">
        <w:rPr>
          <w:rFonts w:ascii="Times New Roman" w:hAnsi="Times New Roman"/>
          <w:sz w:val="24"/>
          <w:szCs w:val="24"/>
        </w:rPr>
        <w:t xml:space="preserve"> </w:t>
      </w:r>
      <w:r w:rsidRPr="000B6ED6">
        <w:rPr>
          <w:rFonts w:ascii="Times New Roman" w:hAnsi="Times New Roman"/>
          <w:sz w:val="24"/>
          <w:szCs w:val="24"/>
        </w:rPr>
        <w:t>its register</w:t>
      </w:r>
      <w:r w:rsidR="007D5884">
        <w:rPr>
          <w:rFonts w:ascii="Times New Roman" w:hAnsi="Times New Roman"/>
          <w:sz w:val="24"/>
          <w:szCs w:val="24"/>
        </w:rPr>
        <w:t xml:space="preserve"> to reflect that both Opticomm and Telstra are being designated as the SIPs for the </w:t>
      </w:r>
      <w:r w:rsidR="00D1141A">
        <w:rPr>
          <w:rFonts w:ascii="Times New Roman" w:hAnsi="Times New Roman"/>
          <w:sz w:val="24"/>
          <w:szCs w:val="24"/>
        </w:rPr>
        <w:t>Velocity estates</w:t>
      </w:r>
      <w:r w:rsidRPr="000B6ED6">
        <w:rPr>
          <w:rFonts w:ascii="Times New Roman" w:hAnsi="Times New Roman"/>
          <w:sz w:val="24"/>
          <w:szCs w:val="24"/>
        </w:rPr>
        <w:t xml:space="preserve">. </w:t>
      </w:r>
      <w:bookmarkEnd w:id="0"/>
      <w:r w:rsidRPr="000B6ED6">
        <w:rPr>
          <w:rFonts w:ascii="Times New Roman" w:hAnsi="Times New Roman"/>
          <w:sz w:val="24"/>
          <w:szCs w:val="24"/>
        </w:rPr>
        <w:t>The data will also be available for display on the National Map.</w:t>
      </w:r>
    </w:p>
    <w:p w14:paraId="0D4DCBCA" w14:textId="06D33AD6" w:rsidR="007E65D9" w:rsidRPr="007D5884" w:rsidRDefault="007E65D9" w:rsidP="003B16FF">
      <w:pPr>
        <w:shd w:val="clear" w:color="auto" w:fill="FFFFFF"/>
        <w:rPr>
          <w:rFonts w:ascii="Times New Roman" w:hAnsi="Times New Roman"/>
          <w:i/>
          <w:sz w:val="24"/>
          <w:szCs w:val="24"/>
        </w:rPr>
      </w:pPr>
      <w:bookmarkStart w:id="1" w:name="_Hlk117070112"/>
      <w:r w:rsidRPr="007D5884">
        <w:rPr>
          <w:rFonts w:ascii="Times New Roman" w:hAnsi="Times New Roman"/>
          <w:b/>
          <w:i/>
          <w:sz w:val="24"/>
          <w:szCs w:val="24"/>
        </w:rPr>
        <w:t>Telstra – Opticomm network transfer</w:t>
      </w:r>
    </w:p>
    <w:p w14:paraId="1D302950" w14:textId="19D97215" w:rsidR="007D5884" w:rsidRDefault="007D5884" w:rsidP="007D5884">
      <w:pPr>
        <w:shd w:val="clear" w:color="auto" w:fill="FFFFFF"/>
        <w:rPr>
          <w:rFonts w:ascii="Times New Roman" w:hAnsi="Times New Roman"/>
          <w:sz w:val="24"/>
          <w:szCs w:val="24"/>
        </w:rPr>
      </w:pPr>
      <w:r>
        <w:rPr>
          <w:rFonts w:ascii="Times New Roman" w:hAnsi="Times New Roman"/>
          <w:sz w:val="24"/>
          <w:szCs w:val="24"/>
        </w:rPr>
        <w:t xml:space="preserve">On 18 December 2020, the </w:t>
      </w:r>
      <w:r w:rsidR="00C54611">
        <w:rPr>
          <w:rFonts w:ascii="Times New Roman" w:hAnsi="Times New Roman"/>
          <w:sz w:val="24"/>
          <w:szCs w:val="24"/>
        </w:rPr>
        <w:t>then Communications</w:t>
      </w:r>
      <w:r>
        <w:rPr>
          <w:rFonts w:ascii="Times New Roman" w:hAnsi="Times New Roman"/>
          <w:sz w:val="24"/>
          <w:szCs w:val="24"/>
        </w:rPr>
        <w:t xml:space="preserve"> Minister declared </w:t>
      </w:r>
      <w:r w:rsidR="007E65D9">
        <w:rPr>
          <w:rFonts w:ascii="Times New Roman" w:hAnsi="Times New Roman"/>
          <w:sz w:val="24"/>
          <w:szCs w:val="24"/>
        </w:rPr>
        <w:t xml:space="preserve">Telstra </w:t>
      </w:r>
      <w:r>
        <w:rPr>
          <w:rFonts w:ascii="Times New Roman" w:hAnsi="Times New Roman"/>
          <w:sz w:val="24"/>
          <w:szCs w:val="24"/>
        </w:rPr>
        <w:t>as the</w:t>
      </w:r>
      <w:r w:rsidR="007E65D9">
        <w:rPr>
          <w:rFonts w:ascii="Times New Roman" w:hAnsi="Times New Roman"/>
          <w:sz w:val="24"/>
          <w:szCs w:val="24"/>
        </w:rPr>
        <w:t xml:space="preserve"> SIP for 12</w:t>
      </w:r>
      <w:r w:rsidR="00B02D3F">
        <w:rPr>
          <w:rFonts w:ascii="Times New Roman" w:hAnsi="Times New Roman"/>
          <w:sz w:val="24"/>
          <w:szCs w:val="24"/>
        </w:rPr>
        <w:t>7</w:t>
      </w:r>
      <w:r w:rsidR="007E65D9">
        <w:rPr>
          <w:rFonts w:ascii="Times New Roman" w:hAnsi="Times New Roman"/>
          <w:sz w:val="24"/>
          <w:szCs w:val="24"/>
        </w:rPr>
        <w:t xml:space="preserve"> </w:t>
      </w:r>
      <w:r>
        <w:rPr>
          <w:rFonts w:ascii="Times New Roman" w:hAnsi="Times New Roman"/>
          <w:sz w:val="24"/>
          <w:szCs w:val="24"/>
        </w:rPr>
        <w:t xml:space="preserve">designated service areas in which it had deployed </w:t>
      </w:r>
      <w:r w:rsidR="007E65D9">
        <w:rPr>
          <w:rFonts w:ascii="Times New Roman" w:hAnsi="Times New Roman"/>
          <w:sz w:val="24"/>
          <w:szCs w:val="24"/>
        </w:rPr>
        <w:t xml:space="preserve">fibre-to-the-premises </w:t>
      </w:r>
      <w:r>
        <w:rPr>
          <w:rFonts w:ascii="Times New Roman" w:hAnsi="Times New Roman"/>
          <w:sz w:val="24"/>
          <w:szCs w:val="24"/>
        </w:rPr>
        <w:t xml:space="preserve">(FTTP) </w:t>
      </w:r>
      <w:r w:rsidR="007E65D9">
        <w:rPr>
          <w:rFonts w:ascii="Times New Roman" w:hAnsi="Times New Roman"/>
          <w:sz w:val="24"/>
          <w:szCs w:val="24"/>
        </w:rPr>
        <w:t>network</w:t>
      </w:r>
      <w:r>
        <w:rPr>
          <w:rFonts w:ascii="Times New Roman" w:hAnsi="Times New Roman"/>
          <w:sz w:val="24"/>
          <w:szCs w:val="24"/>
        </w:rPr>
        <w:t>s. These service areas are collectively known as ‘Velocity’ estates and include Telstra’s FTTP network</w:t>
      </w:r>
      <w:r w:rsidR="007E65D9">
        <w:rPr>
          <w:rFonts w:ascii="Times New Roman" w:hAnsi="Times New Roman"/>
          <w:sz w:val="24"/>
          <w:szCs w:val="24"/>
        </w:rPr>
        <w:t xml:space="preserve"> in South Brisbane.</w:t>
      </w:r>
      <w:r w:rsidR="00E13C36" w:rsidRPr="00E13C36">
        <w:rPr>
          <w:rFonts w:ascii="Times New Roman" w:hAnsi="Times New Roman"/>
          <w:sz w:val="24"/>
          <w:szCs w:val="24"/>
        </w:rPr>
        <w:t xml:space="preserve"> </w:t>
      </w:r>
      <w:r w:rsidR="00E13C36">
        <w:rPr>
          <w:rFonts w:ascii="Times New Roman" w:hAnsi="Times New Roman"/>
          <w:sz w:val="24"/>
          <w:szCs w:val="24"/>
        </w:rPr>
        <w:t xml:space="preserve">Telstra has also declared a number of provisional nominated service areas under the SIP regime, for new stages of developments in the estates. Three of these areas are outside the existing designated service areas and are being incorporated into Telstra’s designated service areas by the Amending Declaration. This means </w:t>
      </w:r>
      <w:r w:rsidR="002F5E99">
        <w:rPr>
          <w:rFonts w:ascii="Times New Roman" w:hAnsi="Times New Roman"/>
          <w:sz w:val="24"/>
          <w:szCs w:val="24"/>
        </w:rPr>
        <w:t>the Amending Declaration</w:t>
      </w:r>
      <w:r w:rsidR="00E13C36">
        <w:rPr>
          <w:rFonts w:ascii="Times New Roman" w:hAnsi="Times New Roman"/>
          <w:sz w:val="24"/>
          <w:szCs w:val="24"/>
        </w:rPr>
        <w:t xml:space="preserve"> deals with 130 Telstra Velocity estate areas in total.</w:t>
      </w:r>
    </w:p>
    <w:p w14:paraId="150448FB" w14:textId="7FACA9A6" w:rsidR="009C7722" w:rsidRDefault="007D5884" w:rsidP="007D5884">
      <w:pPr>
        <w:shd w:val="clear" w:color="auto" w:fill="FFFFFF"/>
        <w:rPr>
          <w:rFonts w:ascii="Times New Roman" w:hAnsi="Times New Roman"/>
          <w:sz w:val="24"/>
          <w:szCs w:val="24"/>
        </w:rPr>
      </w:pPr>
      <w:r>
        <w:rPr>
          <w:rFonts w:ascii="Times New Roman" w:hAnsi="Times New Roman"/>
          <w:sz w:val="24"/>
          <w:szCs w:val="24"/>
        </w:rPr>
        <w:t xml:space="preserve">On 24 December 2020, Telstra and </w:t>
      </w:r>
      <w:r w:rsidR="00250C47">
        <w:rPr>
          <w:rFonts w:ascii="Times New Roman" w:hAnsi="Times New Roman"/>
          <w:sz w:val="24"/>
          <w:szCs w:val="24"/>
        </w:rPr>
        <w:t>Uniti</w:t>
      </w:r>
      <w:r>
        <w:rPr>
          <w:rFonts w:ascii="Times New Roman" w:hAnsi="Times New Roman"/>
          <w:sz w:val="24"/>
          <w:szCs w:val="24"/>
        </w:rPr>
        <w:t xml:space="preserve"> announced that they had entered into a </w:t>
      </w:r>
      <w:r w:rsidR="007E65D9">
        <w:rPr>
          <w:rFonts w:ascii="Times New Roman" w:hAnsi="Times New Roman"/>
          <w:sz w:val="24"/>
          <w:szCs w:val="24"/>
        </w:rPr>
        <w:t>commercial agreement</w:t>
      </w:r>
      <w:r>
        <w:rPr>
          <w:rFonts w:ascii="Times New Roman" w:hAnsi="Times New Roman"/>
          <w:sz w:val="24"/>
          <w:szCs w:val="24"/>
        </w:rPr>
        <w:t xml:space="preserve"> relating to the Velocity estates. The ownership of the </w:t>
      </w:r>
      <w:r w:rsidR="007D57AE">
        <w:rPr>
          <w:rFonts w:ascii="Times New Roman" w:hAnsi="Times New Roman"/>
          <w:sz w:val="24"/>
          <w:szCs w:val="24"/>
        </w:rPr>
        <w:t xml:space="preserve">Telstra FTTP networks in the </w:t>
      </w:r>
      <w:r>
        <w:rPr>
          <w:rFonts w:ascii="Times New Roman" w:hAnsi="Times New Roman"/>
          <w:sz w:val="24"/>
          <w:szCs w:val="24"/>
        </w:rPr>
        <w:t xml:space="preserve">estates passed to </w:t>
      </w:r>
      <w:r w:rsidR="00250C47">
        <w:rPr>
          <w:rFonts w:ascii="Times New Roman" w:hAnsi="Times New Roman"/>
          <w:sz w:val="24"/>
          <w:szCs w:val="24"/>
        </w:rPr>
        <w:t>Uniti</w:t>
      </w:r>
      <w:r>
        <w:rPr>
          <w:rFonts w:ascii="Times New Roman" w:hAnsi="Times New Roman"/>
          <w:sz w:val="24"/>
          <w:szCs w:val="24"/>
        </w:rPr>
        <w:t xml:space="preserve"> at that date, but Telstra retained operational control of the networks pending a transition process. </w:t>
      </w:r>
      <w:r w:rsidR="009C7722">
        <w:rPr>
          <w:rFonts w:ascii="Times New Roman" w:hAnsi="Times New Roman"/>
          <w:sz w:val="24"/>
          <w:szCs w:val="24"/>
        </w:rPr>
        <w:t>As such it has continued to be responsible for connecting premises to the networks, and for providing wholesale services under the SIP regime. It has therefore remained the SIP for the estates until now.</w:t>
      </w:r>
    </w:p>
    <w:p w14:paraId="6A87643A" w14:textId="1D925B46" w:rsidR="009C7722" w:rsidRDefault="009C7722" w:rsidP="009C7722">
      <w:pPr>
        <w:shd w:val="clear" w:color="auto" w:fill="FFFFFF"/>
        <w:rPr>
          <w:rFonts w:ascii="Times New Roman" w:hAnsi="Times New Roman"/>
          <w:sz w:val="24"/>
          <w:szCs w:val="24"/>
        </w:rPr>
      </w:pPr>
      <w:r>
        <w:rPr>
          <w:rFonts w:ascii="Times New Roman" w:hAnsi="Times New Roman"/>
          <w:sz w:val="24"/>
          <w:szCs w:val="24"/>
        </w:rPr>
        <w:t xml:space="preserve">The transition process </w:t>
      </w:r>
      <w:r w:rsidR="00E13C36">
        <w:rPr>
          <w:rFonts w:ascii="Times New Roman" w:hAnsi="Times New Roman"/>
          <w:sz w:val="24"/>
          <w:szCs w:val="24"/>
        </w:rPr>
        <w:t>will commence soon</w:t>
      </w:r>
      <w:r>
        <w:rPr>
          <w:rFonts w:ascii="Times New Roman" w:hAnsi="Times New Roman"/>
          <w:sz w:val="24"/>
          <w:szCs w:val="24"/>
        </w:rPr>
        <w:t>.</w:t>
      </w:r>
      <w:r w:rsidR="00E13C36">
        <w:rPr>
          <w:rFonts w:ascii="Times New Roman" w:hAnsi="Times New Roman"/>
          <w:sz w:val="24"/>
          <w:szCs w:val="24"/>
        </w:rPr>
        <w:t xml:space="preserve"> While it is anticipated to be completed in about one year, </w:t>
      </w:r>
      <w:r w:rsidR="004E6B78">
        <w:rPr>
          <w:rFonts w:ascii="Times New Roman" w:hAnsi="Times New Roman"/>
          <w:sz w:val="24"/>
          <w:szCs w:val="24"/>
        </w:rPr>
        <w:t>there is</w:t>
      </w:r>
      <w:r w:rsidR="00E13C36">
        <w:rPr>
          <w:rFonts w:ascii="Times New Roman" w:hAnsi="Times New Roman"/>
          <w:sz w:val="24"/>
          <w:szCs w:val="24"/>
        </w:rPr>
        <w:t xml:space="preserve"> the potential for delay</w:t>
      </w:r>
      <w:r w:rsidR="004E6B78">
        <w:rPr>
          <w:rFonts w:ascii="Times New Roman" w:hAnsi="Times New Roman"/>
          <w:sz w:val="24"/>
          <w:szCs w:val="24"/>
        </w:rPr>
        <w:t xml:space="preserve"> and so</w:t>
      </w:r>
      <w:r w:rsidR="00E13C36">
        <w:rPr>
          <w:rFonts w:ascii="Times New Roman" w:hAnsi="Times New Roman"/>
          <w:sz w:val="24"/>
          <w:szCs w:val="24"/>
        </w:rPr>
        <w:t xml:space="preserve"> the Amending Declaration and the Exemptions Determination allow for a transition period that ends by 1 July 2025.</w:t>
      </w:r>
    </w:p>
    <w:p w14:paraId="15B6D41C" w14:textId="62CD48EE" w:rsidR="009C7722" w:rsidRPr="007E65D9" w:rsidRDefault="009C7722" w:rsidP="009C7722">
      <w:pPr>
        <w:shd w:val="clear" w:color="auto" w:fill="FFFFFF"/>
        <w:rPr>
          <w:rFonts w:ascii="Times New Roman" w:hAnsi="Times New Roman"/>
          <w:sz w:val="24"/>
          <w:szCs w:val="24"/>
        </w:rPr>
      </w:pPr>
      <w:r>
        <w:rPr>
          <w:rFonts w:ascii="Times New Roman" w:hAnsi="Times New Roman"/>
          <w:sz w:val="24"/>
          <w:szCs w:val="24"/>
        </w:rPr>
        <w:t>Under the transition process, Telstra’s 1</w:t>
      </w:r>
      <w:r w:rsidR="00462E0A">
        <w:rPr>
          <w:rFonts w:ascii="Times New Roman" w:hAnsi="Times New Roman"/>
          <w:sz w:val="24"/>
          <w:szCs w:val="24"/>
        </w:rPr>
        <w:t>30</w:t>
      </w:r>
      <w:r>
        <w:rPr>
          <w:rFonts w:ascii="Times New Roman" w:hAnsi="Times New Roman"/>
          <w:sz w:val="24"/>
          <w:szCs w:val="24"/>
        </w:rPr>
        <w:t xml:space="preserve"> SIP service areas in the Velocity estates are divided into 533 smaller areas, known as ‘Fibre Distribution Hub areas’ or FDHAs. For each of those 533 FDHAs, there is a scheduled date during the transition period for premises in the FDHA to be disconnected from the Telstra network, and then connected to the Opticomm network. Opticomm and Telstra have jointly published a Transition Roadmap and Schedule which includes transition commencement and end dates for each FDHA. This is available at </w:t>
      </w:r>
      <w:hyperlink r:id="rId10" w:history="1">
        <w:r w:rsidRPr="00A96F02">
          <w:rPr>
            <w:rStyle w:val="Hyperlink"/>
            <w:rFonts w:ascii="Times New Roman" w:hAnsi="Times New Roman"/>
            <w:sz w:val="24"/>
            <w:szCs w:val="24"/>
          </w:rPr>
          <w:t>https://www.telstrawholesale.com.au/products/product-exits-and-solutions/fibre-access-broadband.html</w:t>
        </w:r>
      </w:hyperlink>
      <w:r>
        <w:rPr>
          <w:rFonts w:ascii="Times New Roman" w:hAnsi="Times New Roman"/>
          <w:sz w:val="24"/>
          <w:szCs w:val="24"/>
        </w:rPr>
        <w:t xml:space="preserve"> and at </w:t>
      </w:r>
      <w:hyperlink r:id="rId11" w:history="1">
        <w:r w:rsidRPr="00ED0386">
          <w:rPr>
            <w:rStyle w:val="Hyperlink"/>
            <w:rFonts w:ascii="Times New Roman" w:hAnsi="Times New Roman"/>
            <w:sz w:val="24"/>
            <w:szCs w:val="24"/>
          </w:rPr>
          <w:t>https://www.opticomm.com.au/velocity/</w:t>
        </w:r>
      </w:hyperlink>
      <w:r>
        <w:rPr>
          <w:rFonts w:ascii="Times New Roman" w:hAnsi="Times New Roman"/>
          <w:sz w:val="24"/>
          <w:szCs w:val="24"/>
        </w:rPr>
        <w:t>.</w:t>
      </w:r>
    </w:p>
    <w:p w14:paraId="315FE21B" w14:textId="0E1A2F93" w:rsidR="001D6913" w:rsidRDefault="001D6913" w:rsidP="007D5884">
      <w:pPr>
        <w:shd w:val="clear" w:color="auto" w:fill="FFFFFF"/>
        <w:rPr>
          <w:rFonts w:ascii="Times New Roman" w:hAnsi="Times New Roman"/>
          <w:sz w:val="24"/>
          <w:szCs w:val="24"/>
        </w:rPr>
      </w:pPr>
      <w:r>
        <w:rPr>
          <w:rFonts w:ascii="Times New Roman" w:hAnsi="Times New Roman"/>
          <w:sz w:val="24"/>
          <w:szCs w:val="24"/>
        </w:rPr>
        <w:t>Th</w:t>
      </w:r>
      <w:r w:rsidR="00C825DD">
        <w:rPr>
          <w:rFonts w:ascii="Times New Roman" w:hAnsi="Times New Roman"/>
          <w:sz w:val="24"/>
          <w:szCs w:val="24"/>
        </w:rPr>
        <w:t>e transition</w:t>
      </w:r>
      <w:r>
        <w:rPr>
          <w:rFonts w:ascii="Times New Roman" w:hAnsi="Times New Roman"/>
          <w:sz w:val="24"/>
          <w:szCs w:val="24"/>
        </w:rPr>
        <w:t xml:space="preserve"> process will involve the disconnection of Telstra’s equipment and the installation of new equipment owned by Uniti’s subsidiary, Opticomm. </w:t>
      </w:r>
      <w:r w:rsidR="004E6B78">
        <w:rPr>
          <w:rFonts w:ascii="Times New Roman" w:hAnsi="Times New Roman"/>
          <w:sz w:val="24"/>
          <w:szCs w:val="24"/>
        </w:rPr>
        <w:t xml:space="preserve">Both Telstra and Opticomm have stated that the process at any individual premises will be completed in a single day, meaning disruptions to service for end-users should be limited. </w:t>
      </w:r>
      <w:r>
        <w:rPr>
          <w:rFonts w:ascii="Times New Roman" w:hAnsi="Times New Roman"/>
          <w:sz w:val="24"/>
          <w:szCs w:val="24"/>
        </w:rPr>
        <w:t xml:space="preserve">Once the Opticomm equipment has been installed, Opticomm will </w:t>
      </w:r>
      <w:r w:rsidR="00DA56C5">
        <w:rPr>
          <w:rFonts w:ascii="Times New Roman" w:hAnsi="Times New Roman"/>
          <w:sz w:val="24"/>
          <w:szCs w:val="24"/>
        </w:rPr>
        <w:t xml:space="preserve">fully </w:t>
      </w:r>
      <w:r>
        <w:rPr>
          <w:rFonts w:ascii="Times New Roman" w:hAnsi="Times New Roman"/>
          <w:sz w:val="24"/>
          <w:szCs w:val="24"/>
        </w:rPr>
        <w:t>control the network</w:t>
      </w:r>
      <w:r w:rsidR="00DA56C5">
        <w:rPr>
          <w:rFonts w:ascii="Times New Roman" w:hAnsi="Times New Roman"/>
          <w:sz w:val="24"/>
          <w:szCs w:val="24"/>
        </w:rPr>
        <w:t>s</w:t>
      </w:r>
      <w:r>
        <w:rPr>
          <w:rFonts w:ascii="Times New Roman" w:hAnsi="Times New Roman"/>
          <w:sz w:val="24"/>
          <w:szCs w:val="24"/>
        </w:rPr>
        <w:t xml:space="preserve"> and take over the role of providing network connectivity and wholesale services in the Velocity estates.</w:t>
      </w:r>
      <w:r w:rsidR="00C825DD">
        <w:rPr>
          <w:rFonts w:ascii="Times New Roman" w:hAnsi="Times New Roman"/>
          <w:sz w:val="24"/>
          <w:szCs w:val="24"/>
        </w:rPr>
        <w:t xml:space="preserve"> As such, it should also be the SIP for the estates.</w:t>
      </w:r>
    </w:p>
    <w:p w14:paraId="37216052" w14:textId="67BFC1B1" w:rsidR="006F30D6" w:rsidRDefault="00C35251" w:rsidP="00855D5F">
      <w:pPr>
        <w:shd w:val="clear" w:color="auto" w:fill="FFFFFF"/>
        <w:rPr>
          <w:rFonts w:ascii="Times New Roman" w:hAnsi="Times New Roman"/>
          <w:b/>
          <w:sz w:val="24"/>
          <w:szCs w:val="24"/>
        </w:rPr>
      </w:pPr>
      <w:r>
        <w:rPr>
          <w:rFonts w:ascii="Times New Roman" w:hAnsi="Times New Roman"/>
          <w:b/>
          <w:sz w:val="24"/>
          <w:szCs w:val="24"/>
        </w:rPr>
        <w:t>The role of the</w:t>
      </w:r>
      <w:r w:rsidR="006F30D6">
        <w:rPr>
          <w:rFonts w:ascii="Times New Roman" w:hAnsi="Times New Roman"/>
          <w:b/>
          <w:sz w:val="24"/>
          <w:szCs w:val="24"/>
        </w:rPr>
        <w:t xml:space="preserve"> Amending Decl</w:t>
      </w:r>
      <w:r>
        <w:rPr>
          <w:rFonts w:ascii="Times New Roman" w:hAnsi="Times New Roman"/>
          <w:b/>
          <w:sz w:val="24"/>
          <w:szCs w:val="24"/>
        </w:rPr>
        <w:t>aration in the transition</w:t>
      </w:r>
    </w:p>
    <w:p w14:paraId="67311A4D" w14:textId="3FEB7D82" w:rsidR="00855D5F" w:rsidRDefault="00855D5F" w:rsidP="00B00C78">
      <w:pPr>
        <w:shd w:val="clear" w:color="auto" w:fill="FFFFFF"/>
        <w:rPr>
          <w:rFonts w:ascii="Times New Roman" w:hAnsi="Times New Roman"/>
          <w:sz w:val="24"/>
          <w:szCs w:val="24"/>
        </w:rPr>
      </w:pPr>
      <w:r>
        <w:rPr>
          <w:rFonts w:ascii="Times New Roman" w:hAnsi="Times New Roman"/>
          <w:sz w:val="24"/>
          <w:szCs w:val="24"/>
        </w:rPr>
        <w:t xml:space="preserve">The Amending Declaration </w:t>
      </w:r>
      <w:r w:rsidR="0027636E">
        <w:rPr>
          <w:rFonts w:ascii="Times New Roman" w:hAnsi="Times New Roman"/>
          <w:sz w:val="24"/>
          <w:szCs w:val="24"/>
        </w:rPr>
        <w:t xml:space="preserve">and </w:t>
      </w:r>
      <w:r>
        <w:rPr>
          <w:rFonts w:ascii="Times New Roman" w:hAnsi="Times New Roman"/>
          <w:sz w:val="24"/>
          <w:szCs w:val="24"/>
        </w:rPr>
        <w:t xml:space="preserve">the Exceptions Determination establish a framework for SIP obligations </w:t>
      </w:r>
      <w:r w:rsidR="002D7562">
        <w:rPr>
          <w:rFonts w:ascii="Times New Roman" w:hAnsi="Times New Roman"/>
          <w:sz w:val="24"/>
          <w:szCs w:val="24"/>
        </w:rPr>
        <w:t xml:space="preserve">in the Velocity estates </w:t>
      </w:r>
      <w:r>
        <w:rPr>
          <w:rFonts w:ascii="Times New Roman" w:hAnsi="Times New Roman"/>
          <w:sz w:val="24"/>
          <w:szCs w:val="24"/>
        </w:rPr>
        <w:t xml:space="preserve">to transfer from Telstra to Opticomm on a phased basis </w:t>
      </w:r>
      <w:r w:rsidR="0027636E">
        <w:rPr>
          <w:rFonts w:ascii="Times New Roman" w:hAnsi="Times New Roman"/>
          <w:sz w:val="24"/>
          <w:szCs w:val="24"/>
        </w:rPr>
        <w:t xml:space="preserve">during the transition period, </w:t>
      </w:r>
      <w:r>
        <w:rPr>
          <w:rFonts w:ascii="Times New Roman" w:hAnsi="Times New Roman"/>
          <w:sz w:val="24"/>
          <w:szCs w:val="24"/>
        </w:rPr>
        <w:t>consistent with the Transition Roadmap and Schedule.</w:t>
      </w:r>
      <w:r w:rsidR="004E6B78">
        <w:rPr>
          <w:rFonts w:ascii="Times New Roman" w:hAnsi="Times New Roman"/>
          <w:sz w:val="24"/>
          <w:szCs w:val="24"/>
        </w:rPr>
        <w:t xml:space="preserve"> The objective is to deliver a smooth and streamlined switchover for end-users and maintain continuity of service.</w:t>
      </w:r>
    </w:p>
    <w:p w14:paraId="67E8B02C" w14:textId="068F8DF5" w:rsidR="004E6B78" w:rsidRDefault="00855D5F" w:rsidP="00855D5F">
      <w:pPr>
        <w:shd w:val="clear" w:color="auto" w:fill="FFFFFF"/>
        <w:rPr>
          <w:rFonts w:ascii="Times New Roman" w:hAnsi="Times New Roman"/>
          <w:sz w:val="24"/>
          <w:szCs w:val="24"/>
        </w:rPr>
      </w:pPr>
      <w:r>
        <w:rPr>
          <w:rFonts w:ascii="Times New Roman" w:hAnsi="Times New Roman"/>
          <w:sz w:val="24"/>
          <w:szCs w:val="24"/>
        </w:rPr>
        <w:lastRenderedPageBreak/>
        <w:t xml:space="preserve">The Amending Declaration inserts key definitions and interpretive clauses into the Principal Declaration that are required to establish the framework for the transition. It makes </w:t>
      </w:r>
      <w:r w:rsidR="008C6D0D">
        <w:rPr>
          <w:rFonts w:ascii="Times New Roman" w:hAnsi="Times New Roman"/>
          <w:sz w:val="24"/>
          <w:szCs w:val="24"/>
        </w:rPr>
        <w:t xml:space="preserve">both </w:t>
      </w:r>
      <w:r>
        <w:rPr>
          <w:rFonts w:ascii="Times New Roman" w:hAnsi="Times New Roman"/>
          <w:sz w:val="24"/>
          <w:szCs w:val="24"/>
        </w:rPr>
        <w:t xml:space="preserve">Telstra and Opticomm SIPs for the Velocity estates during </w:t>
      </w:r>
      <w:r w:rsidR="00B00C78">
        <w:rPr>
          <w:rFonts w:ascii="Times New Roman" w:hAnsi="Times New Roman"/>
          <w:sz w:val="24"/>
          <w:szCs w:val="24"/>
        </w:rPr>
        <w:t>the</w:t>
      </w:r>
      <w:r>
        <w:rPr>
          <w:rFonts w:ascii="Times New Roman" w:hAnsi="Times New Roman"/>
          <w:sz w:val="24"/>
          <w:szCs w:val="24"/>
        </w:rPr>
        <w:t xml:space="preserve"> transition period, </w:t>
      </w:r>
      <w:r w:rsidR="006143FD">
        <w:rPr>
          <w:rFonts w:ascii="Times New Roman" w:hAnsi="Times New Roman"/>
          <w:sz w:val="24"/>
          <w:szCs w:val="24"/>
        </w:rPr>
        <w:t>with Opticomm becoming the sole SIP for the estates after the transition period ends.</w:t>
      </w:r>
      <w:r w:rsidR="004E6B78">
        <w:rPr>
          <w:rFonts w:ascii="Times New Roman" w:hAnsi="Times New Roman"/>
          <w:sz w:val="24"/>
          <w:szCs w:val="24"/>
        </w:rPr>
        <w:t xml:space="preserve"> This approach reflects the structure of the statute and the difficult</w:t>
      </w:r>
      <w:r w:rsidR="004326AF">
        <w:rPr>
          <w:rFonts w:ascii="Times New Roman" w:hAnsi="Times New Roman"/>
          <w:sz w:val="24"/>
          <w:szCs w:val="24"/>
        </w:rPr>
        <w:t>y</w:t>
      </w:r>
      <w:r w:rsidR="004E6B78">
        <w:rPr>
          <w:rFonts w:ascii="Times New Roman" w:hAnsi="Times New Roman"/>
          <w:sz w:val="24"/>
          <w:szCs w:val="24"/>
        </w:rPr>
        <w:t xml:space="preserve"> </w:t>
      </w:r>
      <w:r w:rsidR="004326AF">
        <w:rPr>
          <w:rFonts w:ascii="Times New Roman" w:hAnsi="Times New Roman"/>
          <w:sz w:val="24"/>
          <w:szCs w:val="24"/>
        </w:rPr>
        <w:t>in</w:t>
      </w:r>
      <w:r w:rsidR="004E6B78">
        <w:rPr>
          <w:rFonts w:ascii="Times New Roman" w:hAnsi="Times New Roman"/>
          <w:sz w:val="24"/>
          <w:szCs w:val="24"/>
        </w:rPr>
        <w:t xml:space="preserve"> establishing in advance the point in time at which operational control will pass from Telstra to Opticomm at any individual premises</w:t>
      </w:r>
      <w:r w:rsidR="0098555A">
        <w:rPr>
          <w:rFonts w:ascii="Times New Roman" w:hAnsi="Times New Roman"/>
          <w:sz w:val="24"/>
          <w:szCs w:val="24"/>
        </w:rPr>
        <w:t xml:space="preserve">. </w:t>
      </w:r>
    </w:p>
    <w:p w14:paraId="0F2532E2" w14:textId="3B317C1E" w:rsidR="004E6B78" w:rsidRDefault="006143FD" w:rsidP="00855D5F">
      <w:pPr>
        <w:shd w:val="clear" w:color="auto" w:fill="FFFFFF"/>
        <w:rPr>
          <w:rFonts w:ascii="Times New Roman" w:hAnsi="Times New Roman"/>
          <w:sz w:val="24"/>
          <w:szCs w:val="24"/>
        </w:rPr>
      </w:pPr>
      <w:r>
        <w:rPr>
          <w:rFonts w:ascii="Times New Roman" w:hAnsi="Times New Roman"/>
          <w:sz w:val="24"/>
          <w:szCs w:val="24"/>
        </w:rPr>
        <w:t xml:space="preserve">The Amending Declaration </w:t>
      </w:r>
      <w:r w:rsidR="00855D5F">
        <w:rPr>
          <w:rFonts w:ascii="Times New Roman" w:hAnsi="Times New Roman"/>
          <w:sz w:val="24"/>
          <w:szCs w:val="24"/>
        </w:rPr>
        <w:t xml:space="preserve">also adds </w:t>
      </w:r>
      <w:r w:rsidR="00462E0A">
        <w:rPr>
          <w:rFonts w:ascii="Times New Roman" w:hAnsi="Times New Roman"/>
          <w:sz w:val="24"/>
          <w:szCs w:val="24"/>
        </w:rPr>
        <w:t>three</w:t>
      </w:r>
      <w:r w:rsidR="00855D5F">
        <w:rPr>
          <w:rFonts w:ascii="Times New Roman" w:hAnsi="Times New Roman"/>
          <w:sz w:val="24"/>
          <w:szCs w:val="24"/>
        </w:rPr>
        <w:t xml:space="preserve"> nominated service areas that Telstra has declared to the Schedule of Telstra’s designated service areas. This allows the </w:t>
      </w:r>
      <w:r w:rsidR="008C6D0D">
        <w:rPr>
          <w:rFonts w:ascii="Times New Roman" w:hAnsi="Times New Roman"/>
          <w:sz w:val="24"/>
          <w:szCs w:val="24"/>
        </w:rPr>
        <w:t xml:space="preserve">nominated service areas as well as the </w:t>
      </w:r>
      <w:r w:rsidR="00855D5F">
        <w:rPr>
          <w:rFonts w:ascii="Times New Roman" w:hAnsi="Times New Roman"/>
          <w:sz w:val="24"/>
          <w:szCs w:val="24"/>
        </w:rPr>
        <w:t xml:space="preserve">designated </w:t>
      </w:r>
      <w:r w:rsidR="008C6D0D" w:rsidRPr="008C6D0D">
        <w:rPr>
          <w:rFonts w:ascii="Times New Roman" w:hAnsi="Times New Roman"/>
          <w:sz w:val="24"/>
          <w:szCs w:val="24"/>
        </w:rPr>
        <w:t xml:space="preserve">service areas </w:t>
      </w:r>
      <w:r w:rsidR="00855D5F">
        <w:rPr>
          <w:rFonts w:ascii="Times New Roman" w:hAnsi="Times New Roman"/>
          <w:sz w:val="24"/>
          <w:szCs w:val="24"/>
        </w:rPr>
        <w:t>to be subject to the transition framework.</w:t>
      </w:r>
    </w:p>
    <w:p w14:paraId="0AA2607A" w14:textId="1291F38C" w:rsidR="0098555A" w:rsidRDefault="00855D5F" w:rsidP="00B00C78">
      <w:pPr>
        <w:shd w:val="clear" w:color="auto" w:fill="FFFFFF"/>
        <w:rPr>
          <w:rFonts w:ascii="Times New Roman" w:hAnsi="Times New Roman"/>
          <w:sz w:val="24"/>
          <w:szCs w:val="24"/>
        </w:rPr>
      </w:pPr>
      <w:bookmarkStart w:id="2" w:name="_Hlk117688273"/>
      <w:r>
        <w:rPr>
          <w:rFonts w:ascii="Times New Roman" w:hAnsi="Times New Roman"/>
          <w:sz w:val="24"/>
          <w:szCs w:val="24"/>
        </w:rPr>
        <w:t>The Exceptions Determination performs t</w:t>
      </w:r>
      <w:r w:rsidR="004326AF">
        <w:rPr>
          <w:rFonts w:ascii="Times New Roman" w:hAnsi="Times New Roman"/>
          <w:sz w:val="24"/>
          <w:szCs w:val="24"/>
        </w:rPr>
        <w:t>hree</w:t>
      </w:r>
      <w:r>
        <w:rPr>
          <w:rFonts w:ascii="Times New Roman" w:hAnsi="Times New Roman"/>
          <w:sz w:val="24"/>
          <w:szCs w:val="24"/>
        </w:rPr>
        <w:t xml:space="preserve"> key functions.</w:t>
      </w:r>
    </w:p>
    <w:p w14:paraId="69D25B65" w14:textId="3773E7D3" w:rsidR="00855D5F" w:rsidRDefault="00855D5F" w:rsidP="00B00C78">
      <w:pPr>
        <w:shd w:val="clear" w:color="auto" w:fill="FFFFFF"/>
        <w:rPr>
          <w:rFonts w:ascii="Times New Roman" w:hAnsi="Times New Roman"/>
          <w:sz w:val="24"/>
          <w:szCs w:val="24"/>
        </w:rPr>
      </w:pPr>
      <w:bookmarkStart w:id="3" w:name="_Hlk118275721"/>
      <w:r>
        <w:rPr>
          <w:rFonts w:ascii="Times New Roman" w:hAnsi="Times New Roman"/>
          <w:sz w:val="24"/>
          <w:szCs w:val="24"/>
        </w:rPr>
        <w:t xml:space="preserve">First, it defines a </w:t>
      </w:r>
      <w:r>
        <w:rPr>
          <w:rFonts w:ascii="Times New Roman" w:hAnsi="Times New Roman"/>
          <w:b/>
          <w:i/>
          <w:sz w:val="24"/>
          <w:szCs w:val="24"/>
        </w:rPr>
        <w:t>Premises Transition Date</w:t>
      </w:r>
      <w:r>
        <w:rPr>
          <w:rFonts w:ascii="Times New Roman" w:hAnsi="Times New Roman"/>
          <w:sz w:val="24"/>
          <w:szCs w:val="24"/>
        </w:rPr>
        <w:t>, which establishes a time when individual premises are transferred from Telstra’s operational control to Opticomm</w:t>
      </w:r>
      <w:r w:rsidR="004E7668">
        <w:rPr>
          <w:rFonts w:ascii="Times New Roman" w:hAnsi="Times New Roman"/>
          <w:sz w:val="24"/>
          <w:szCs w:val="24"/>
        </w:rPr>
        <w:t>’s</w:t>
      </w:r>
      <w:r>
        <w:rPr>
          <w:rFonts w:ascii="Times New Roman" w:hAnsi="Times New Roman"/>
          <w:sz w:val="24"/>
          <w:szCs w:val="24"/>
        </w:rPr>
        <w:t xml:space="preserve">. </w:t>
      </w:r>
    </w:p>
    <w:bookmarkEnd w:id="2"/>
    <w:p w14:paraId="255A5B4E" w14:textId="7A9F8F78" w:rsidR="004326AF" w:rsidRDefault="006143FD" w:rsidP="00B00C78">
      <w:pPr>
        <w:shd w:val="clear" w:color="auto" w:fill="FFFFFF"/>
        <w:rPr>
          <w:rFonts w:ascii="Times New Roman" w:hAnsi="Times New Roman"/>
          <w:sz w:val="24"/>
          <w:szCs w:val="24"/>
        </w:rPr>
      </w:pPr>
      <w:r>
        <w:rPr>
          <w:rFonts w:ascii="Times New Roman" w:hAnsi="Times New Roman"/>
          <w:sz w:val="24"/>
          <w:szCs w:val="24"/>
        </w:rPr>
        <w:t xml:space="preserve">Second, the Exceptions Determination </w:t>
      </w:r>
      <w:r w:rsidR="004326AF">
        <w:rPr>
          <w:rFonts w:ascii="Times New Roman" w:hAnsi="Times New Roman"/>
          <w:sz w:val="24"/>
          <w:szCs w:val="24"/>
        </w:rPr>
        <w:t>specifies</w:t>
      </w:r>
      <w:r>
        <w:rPr>
          <w:rFonts w:ascii="Times New Roman" w:hAnsi="Times New Roman"/>
          <w:sz w:val="24"/>
          <w:szCs w:val="24"/>
        </w:rPr>
        <w:t xml:space="preserve"> </w:t>
      </w:r>
      <w:r w:rsidR="004326AF">
        <w:rPr>
          <w:rFonts w:ascii="Times New Roman" w:hAnsi="Times New Roman"/>
          <w:sz w:val="24"/>
          <w:szCs w:val="24"/>
        </w:rPr>
        <w:t>exceptions from Telstra’s and Opticomm’s SIP obligations as follows:</w:t>
      </w:r>
    </w:p>
    <w:p w14:paraId="13E62EA5" w14:textId="77777777" w:rsidR="004326AF" w:rsidRDefault="006143FD" w:rsidP="00E52430">
      <w:pPr>
        <w:pStyle w:val="ListParagraph"/>
        <w:numPr>
          <w:ilvl w:val="0"/>
          <w:numId w:val="14"/>
        </w:numPr>
        <w:shd w:val="clear" w:color="auto" w:fill="FFFFFF"/>
        <w:rPr>
          <w:rFonts w:ascii="Times New Roman" w:hAnsi="Times New Roman"/>
          <w:sz w:val="24"/>
          <w:szCs w:val="24"/>
        </w:rPr>
      </w:pPr>
      <w:r w:rsidRPr="004326AF">
        <w:rPr>
          <w:rFonts w:ascii="Times New Roman" w:hAnsi="Times New Roman"/>
          <w:sz w:val="24"/>
          <w:szCs w:val="24"/>
        </w:rPr>
        <w:t xml:space="preserve">Opticomm does not have to fulfil SIP obligations at individual premises </w:t>
      </w:r>
      <w:r w:rsidRPr="004326AF">
        <w:rPr>
          <w:rFonts w:ascii="Times New Roman" w:hAnsi="Times New Roman"/>
          <w:i/>
          <w:sz w:val="24"/>
          <w:szCs w:val="24"/>
        </w:rPr>
        <w:t>prior</w:t>
      </w:r>
      <w:r w:rsidRPr="004326AF">
        <w:rPr>
          <w:rFonts w:ascii="Times New Roman" w:hAnsi="Times New Roman"/>
          <w:sz w:val="24"/>
          <w:szCs w:val="24"/>
        </w:rPr>
        <w:t xml:space="preserve"> to the Premises Transition Date for those premises.</w:t>
      </w:r>
    </w:p>
    <w:p w14:paraId="7A90F0B0" w14:textId="208DFA58" w:rsidR="004326AF" w:rsidRDefault="006143FD" w:rsidP="00E52430">
      <w:pPr>
        <w:pStyle w:val="ListParagraph"/>
        <w:numPr>
          <w:ilvl w:val="0"/>
          <w:numId w:val="14"/>
        </w:numPr>
        <w:shd w:val="clear" w:color="auto" w:fill="FFFFFF"/>
        <w:rPr>
          <w:rFonts w:ascii="Times New Roman" w:hAnsi="Times New Roman"/>
          <w:sz w:val="24"/>
          <w:szCs w:val="24"/>
        </w:rPr>
      </w:pPr>
      <w:r w:rsidRPr="004326AF">
        <w:rPr>
          <w:rFonts w:ascii="Times New Roman" w:hAnsi="Times New Roman"/>
          <w:sz w:val="24"/>
          <w:szCs w:val="24"/>
        </w:rPr>
        <w:t xml:space="preserve">Telstra does not have to fulfil SIP obligations at individual premises </w:t>
      </w:r>
      <w:r w:rsidRPr="004326AF">
        <w:rPr>
          <w:rFonts w:ascii="Times New Roman" w:hAnsi="Times New Roman"/>
          <w:i/>
          <w:sz w:val="24"/>
          <w:szCs w:val="24"/>
        </w:rPr>
        <w:t>after</w:t>
      </w:r>
      <w:r w:rsidRPr="004326AF">
        <w:rPr>
          <w:rFonts w:ascii="Times New Roman" w:hAnsi="Times New Roman"/>
          <w:sz w:val="24"/>
          <w:szCs w:val="24"/>
        </w:rPr>
        <w:t xml:space="preserve"> the Premises Transition Date for those premises.</w:t>
      </w:r>
    </w:p>
    <w:p w14:paraId="01C9B347" w14:textId="351A3A38" w:rsidR="004326AF" w:rsidRPr="004326AF" w:rsidRDefault="004326AF" w:rsidP="004326AF">
      <w:pPr>
        <w:shd w:val="clear" w:color="auto" w:fill="FFFFFF"/>
        <w:rPr>
          <w:rFonts w:ascii="Times New Roman" w:hAnsi="Times New Roman"/>
          <w:sz w:val="24"/>
          <w:szCs w:val="24"/>
        </w:rPr>
      </w:pPr>
      <w:r>
        <w:rPr>
          <w:rFonts w:ascii="Times New Roman" w:hAnsi="Times New Roman"/>
          <w:sz w:val="24"/>
          <w:szCs w:val="24"/>
        </w:rPr>
        <w:t>Third, the Exceptions Determination specifies conditions in relation to the exceptions. The exceptions only apply if the conditions are met. The conditions are:</w:t>
      </w:r>
    </w:p>
    <w:p w14:paraId="2645175F" w14:textId="071B127E" w:rsidR="004326AF" w:rsidRDefault="00C35251" w:rsidP="00E52430">
      <w:pPr>
        <w:pStyle w:val="ListParagraph"/>
        <w:numPr>
          <w:ilvl w:val="0"/>
          <w:numId w:val="15"/>
        </w:numPr>
        <w:shd w:val="clear" w:color="auto" w:fill="FFFFFF"/>
        <w:rPr>
          <w:rFonts w:ascii="Times New Roman" w:hAnsi="Times New Roman"/>
          <w:sz w:val="24"/>
          <w:szCs w:val="24"/>
        </w:rPr>
      </w:pPr>
      <w:r w:rsidRPr="004326AF">
        <w:rPr>
          <w:rFonts w:ascii="Times New Roman" w:hAnsi="Times New Roman"/>
          <w:sz w:val="24"/>
          <w:szCs w:val="24"/>
        </w:rPr>
        <w:t>Telstra and Opticomm have executed an agreement on the operational measures required to comply with a request to fulfil SIP obligations</w:t>
      </w:r>
      <w:r w:rsidR="004326AF">
        <w:rPr>
          <w:rFonts w:ascii="Times New Roman" w:hAnsi="Times New Roman"/>
          <w:sz w:val="24"/>
          <w:szCs w:val="24"/>
        </w:rPr>
        <w:t>.</w:t>
      </w:r>
    </w:p>
    <w:p w14:paraId="05A07904" w14:textId="1AC96ECA" w:rsidR="004326AF" w:rsidRDefault="004326AF" w:rsidP="00E52430">
      <w:pPr>
        <w:pStyle w:val="ListParagraph"/>
        <w:numPr>
          <w:ilvl w:val="0"/>
          <w:numId w:val="15"/>
        </w:numPr>
        <w:shd w:val="clear" w:color="auto" w:fill="FFFFFF"/>
        <w:ind w:right="-188"/>
        <w:rPr>
          <w:rFonts w:ascii="Times New Roman" w:hAnsi="Times New Roman"/>
          <w:sz w:val="24"/>
          <w:szCs w:val="24"/>
        </w:rPr>
      </w:pPr>
      <w:r>
        <w:rPr>
          <w:rFonts w:ascii="Times New Roman" w:hAnsi="Times New Roman"/>
          <w:sz w:val="24"/>
          <w:szCs w:val="24"/>
        </w:rPr>
        <w:t>D</w:t>
      </w:r>
      <w:r w:rsidR="00C35251" w:rsidRPr="004326AF">
        <w:rPr>
          <w:rFonts w:ascii="Times New Roman" w:hAnsi="Times New Roman"/>
          <w:sz w:val="24"/>
          <w:szCs w:val="24"/>
        </w:rPr>
        <w:t>etails of those measures are made available</w:t>
      </w:r>
      <w:r w:rsidR="00E52430">
        <w:rPr>
          <w:rFonts w:ascii="Times New Roman" w:hAnsi="Times New Roman"/>
          <w:sz w:val="24"/>
          <w:szCs w:val="24"/>
        </w:rPr>
        <w:t xml:space="preserve"> </w:t>
      </w:r>
      <w:r w:rsidR="00C35251" w:rsidRPr="004326AF">
        <w:rPr>
          <w:rFonts w:ascii="Times New Roman" w:hAnsi="Times New Roman"/>
          <w:sz w:val="24"/>
          <w:szCs w:val="24"/>
        </w:rPr>
        <w:t>on their respective websites</w:t>
      </w:r>
      <w:r>
        <w:rPr>
          <w:rFonts w:ascii="Times New Roman" w:hAnsi="Times New Roman"/>
          <w:sz w:val="24"/>
          <w:szCs w:val="24"/>
        </w:rPr>
        <w:t>.</w:t>
      </w:r>
    </w:p>
    <w:p w14:paraId="36312DEA" w14:textId="77777777" w:rsidR="007A3E3C" w:rsidRDefault="007A3E3C" w:rsidP="007A3E3C">
      <w:pPr>
        <w:pStyle w:val="ListParagraph"/>
        <w:numPr>
          <w:ilvl w:val="0"/>
          <w:numId w:val="15"/>
        </w:numPr>
        <w:shd w:val="clear" w:color="auto" w:fill="FFFFFF"/>
        <w:rPr>
          <w:rFonts w:ascii="Times New Roman" w:hAnsi="Times New Roman"/>
          <w:sz w:val="24"/>
          <w:szCs w:val="24"/>
        </w:rPr>
      </w:pPr>
      <w:r>
        <w:rPr>
          <w:rFonts w:ascii="Times New Roman" w:hAnsi="Times New Roman"/>
          <w:sz w:val="24"/>
          <w:szCs w:val="24"/>
        </w:rPr>
        <w:t>The details remain on the websites during the transition period.</w:t>
      </w:r>
    </w:p>
    <w:p w14:paraId="1AFFDEE6" w14:textId="58AE6309" w:rsidR="006143FD" w:rsidRPr="004326AF" w:rsidRDefault="004326AF" w:rsidP="00E52430">
      <w:pPr>
        <w:pStyle w:val="ListParagraph"/>
        <w:numPr>
          <w:ilvl w:val="0"/>
          <w:numId w:val="15"/>
        </w:numPr>
        <w:shd w:val="clear" w:color="auto" w:fill="FFFFFF"/>
        <w:rPr>
          <w:rFonts w:ascii="Times New Roman" w:hAnsi="Times New Roman"/>
          <w:sz w:val="24"/>
          <w:szCs w:val="24"/>
        </w:rPr>
      </w:pPr>
      <w:r>
        <w:rPr>
          <w:rFonts w:ascii="Times New Roman" w:hAnsi="Times New Roman"/>
          <w:sz w:val="24"/>
          <w:szCs w:val="24"/>
        </w:rPr>
        <w:t>T</w:t>
      </w:r>
      <w:r w:rsidR="00C35251" w:rsidRPr="004326AF">
        <w:rPr>
          <w:rFonts w:ascii="Times New Roman" w:hAnsi="Times New Roman"/>
          <w:sz w:val="24"/>
          <w:szCs w:val="24"/>
        </w:rPr>
        <w:t xml:space="preserve">he agreement remains in force during the </w:t>
      </w:r>
      <w:r w:rsidR="00462E0A" w:rsidRPr="004326AF">
        <w:rPr>
          <w:rFonts w:ascii="Times New Roman" w:hAnsi="Times New Roman"/>
          <w:sz w:val="24"/>
          <w:szCs w:val="24"/>
        </w:rPr>
        <w:t>t</w:t>
      </w:r>
      <w:r w:rsidR="00C35251" w:rsidRPr="004326AF">
        <w:rPr>
          <w:rFonts w:ascii="Times New Roman" w:hAnsi="Times New Roman"/>
          <w:sz w:val="24"/>
          <w:szCs w:val="24"/>
        </w:rPr>
        <w:t xml:space="preserve">ransition </w:t>
      </w:r>
      <w:r w:rsidR="00462E0A" w:rsidRPr="004326AF">
        <w:rPr>
          <w:rFonts w:ascii="Times New Roman" w:hAnsi="Times New Roman"/>
          <w:sz w:val="24"/>
          <w:szCs w:val="24"/>
        </w:rPr>
        <w:t>p</w:t>
      </w:r>
      <w:r w:rsidR="00C35251" w:rsidRPr="004326AF">
        <w:rPr>
          <w:rFonts w:ascii="Times New Roman" w:hAnsi="Times New Roman"/>
          <w:sz w:val="24"/>
          <w:szCs w:val="24"/>
        </w:rPr>
        <w:t>eriod.</w:t>
      </w:r>
    </w:p>
    <w:bookmarkEnd w:id="3"/>
    <w:p w14:paraId="1CAFCF62" w14:textId="429DB479" w:rsidR="00880E92" w:rsidRDefault="00880E92" w:rsidP="00C35251">
      <w:pPr>
        <w:shd w:val="clear" w:color="auto" w:fill="FFFFFF"/>
        <w:rPr>
          <w:rFonts w:ascii="Times New Roman" w:hAnsi="Times New Roman"/>
          <w:sz w:val="24"/>
          <w:szCs w:val="24"/>
        </w:rPr>
      </w:pPr>
      <w:r>
        <w:rPr>
          <w:rFonts w:ascii="Times New Roman" w:hAnsi="Times New Roman"/>
          <w:b/>
          <w:sz w:val="24"/>
          <w:szCs w:val="24"/>
        </w:rPr>
        <w:t>Consultation</w:t>
      </w:r>
    </w:p>
    <w:p w14:paraId="187137FB" w14:textId="3E5A8C82" w:rsidR="00880E92" w:rsidRPr="000B6ED6" w:rsidRDefault="00880E92" w:rsidP="00B00C78">
      <w:pPr>
        <w:shd w:val="clear" w:color="auto" w:fill="FFFFFF"/>
        <w:rPr>
          <w:rFonts w:ascii="Times New Roman" w:hAnsi="Times New Roman" w:cs="Times New Roman"/>
          <w:sz w:val="24"/>
          <w:szCs w:val="24"/>
        </w:rPr>
      </w:pPr>
      <w:r>
        <w:rPr>
          <w:rFonts w:ascii="Times New Roman" w:hAnsi="Times New Roman"/>
          <w:sz w:val="24"/>
          <w:szCs w:val="24"/>
        </w:rPr>
        <w:t>The</w:t>
      </w:r>
      <w:r w:rsidRPr="000B6ED6">
        <w:rPr>
          <w:rFonts w:ascii="Times New Roman" w:hAnsi="Times New Roman"/>
          <w:sz w:val="24"/>
          <w:szCs w:val="24"/>
        </w:rPr>
        <w:t xml:space="preserve"> Department of Infrastructure, Transport, Regional Development</w:t>
      </w:r>
      <w:r>
        <w:rPr>
          <w:rFonts w:ascii="Times New Roman" w:hAnsi="Times New Roman"/>
          <w:sz w:val="24"/>
          <w:szCs w:val="24"/>
        </w:rPr>
        <w:t xml:space="preserve">, Communications and the Arts consulted Opticomm and Telstra on the </w:t>
      </w:r>
      <w:r w:rsidR="00C825DD">
        <w:rPr>
          <w:rFonts w:ascii="Times New Roman" w:hAnsi="Times New Roman"/>
          <w:sz w:val="24"/>
          <w:szCs w:val="24"/>
        </w:rPr>
        <w:t>two instruments</w:t>
      </w:r>
      <w:r>
        <w:rPr>
          <w:rFonts w:ascii="Times New Roman" w:hAnsi="Times New Roman"/>
          <w:sz w:val="24"/>
          <w:szCs w:val="24"/>
        </w:rPr>
        <w:t xml:space="preserve">, and also consulted NBN Co Limited, as the default SIP for Australia, </w:t>
      </w:r>
      <w:r>
        <w:rPr>
          <w:rFonts w:ascii="Times New Roman" w:hAnsi="Times New Roman" w:cs="Times New Roman"/>
          <w:sz w:val="24"/>
          <w:szCs w:val="24"/>
        </w:rPr>
        <w:t>consumer and industry representatives and the ACMA</w:t>
      </w:r>
      <w:r w:rsidR="003B7467">
        <w:rPr>
          <w:rFonts w:ascii="Times New Roman" w:hAnsi="Times New Roman" w:cs="Times New Roman"/>
          <w:sz w:val="24"/>
          <w:szCs w:val="24"/>
        </w:rPr>
        <w:t>,</w:t>
      </w:r>
      <w:r>
        <w:rPr>
          <w:rFonts w:ascii="Times New Roman" w:hAnsi="Times New Roman" w:cs="Times New Roman"/>
          <w:sz w:val="24"/>
          <w:szCs w:val="24"/>
        </w:rPr>
        <w:t xml:space="preserve"> as the regulator for the SIP regime. These organisations did not raise any concerns with the </w:t>
      </w:r>
      <w:r w:rsidR="00C825DD">
        <w:rPr>
          <w:rFonts w:ascii="Times New Roman" w:hAnsi="Times New Roman" w:cs="Times New Roman"/>
          <w:sz w:val="24"/>
          <w:szCs w:val="24"/>
        </w:rPr>
        <w:t>instruments</w:t>
      </w:r>
      <w:r>
        <w:rPr>
          <w:rFonts w:ascii="Times New Roman" w:hAnsi="Times New Roman" w:cs="Times New Roman"/>
          <w:sz w:val="24"/>
          <w:szCs w:val="24"/>
        </w:rPr>
        <w:t>.</w:t>
      </w:r>
    </w:p>
    <w:p w14:paraId="4E07985C" w14:textId="0CB336E6" w:rsidR="00B00C78" w:rsidRPr="00B00C78" w:rsidRDefault="00B00C78" w:rsidP="00B00C78">
      <w:pPr>
        <w:shd w:val="clear" w:color="auto" w:fill="FFFFFF"/>
        <w:rPr>
          <w:rFonts w:ascii="Times New Roman" w:hAnsi="Times New Roman"/>
          <w:b/>
          <w:sz w:val="24"/>
          <w:szCs w:val="24"/>
        </w:rPr>
      </w:pPr>
      <w:r>
        <w:rPr>
          <w:rFonts w:ascii="Times New Roman" w:hAnsi="Times New Roman"/>
          <w:b/>
          <w:sz w:val="24"/>
          <w:szCs w:val="24"/>
        </w:rPr>
        <w:t>Legislative requirements</w:t>
      </w:r>
    </w:p>
    <w:p w14:paraId="72A8C5BE" w14:textId="5523808E" w:rsidR="003B16FF" w:rsidRPr="005168E5" w:rsidRDefault="003B16FF" w:rsidP="00E52430">
      <w:pPr>
        <w:shd w:val="clear" w:color="auto" w:fill="FFFFFF"/>
        <w:ind w:right="-330"/>
        <w:rPr>
          <w:rFonts w:ascii="Times New Roman" w:hAnsi="Times New Roman"/>
          <w:sz w:val="24"/>
          <w:szCs w:val="24"/>
        </w:rPr>
      </w:pPr>
      <w:r w:rsidRPr="005168E5">
        <w:rPr>
          <w:rFonts w:ascii="Times New Roman" w:hAnsi="Times New Roman"/>
          <w:sz w:val="24"/>
          <w:szCs w:val="24"/>
        </w:rPr>
        <w:t xml:space="preserve">The Amending Declaration is a legislative instrument for the purposes of the </w:t>
      </w:r>
      <w:r w:rsidRPr="005168E5">
        <w:rPr>
          <w:rFonts w:ascii="Times New Roman" w:hAnsi="Times New Roman"/>
          <w:i/>
          <w:iCs/>
          <w:sz w:val="24"/>
          <w:szCs w:val="24"/>
        </w:rPr>
        <w:t>Legislation Act 2003</w:t>
      </w:r>
      <w:r w:rsidR="00880E92">
        <w:rPr>
          <w:rFonts w:ascii="Times New Roman" w:hAnsi="Times New Roman"/>
          <w:iCs/>
          <w:sz w:val="24"/>
          <w:szCs w:val="24"/>
        </w:rPr>
        <w:t xml:space="preserve"> and therefore subject to the default consultation, sunsetting and disallowance requirements under that Act</w:t>
      </w:r>
      <w:r w:rsidRPr="005168E5">
        <w:rPr>
          <w:rFonts w:ascii="Times New Roman" w:hAnsi="Times New Roman"/>
          <w:i/>
          <w:iCs/>
          <w:sz w:val="24"/>
          <w:szCs w:val="24"/>
        </w:rPr>
        <w:t>.</w:t>
      </w:r>
      <w:r w:rsidRPr="005168E5">
        <w:rPr>
          <w:rFonts w:ascii="Times New Roman" w:hAnsi="Times New Roman"/>
          <w:sz w:val="24"/>
          <w:szCs w:val="24"/>
        </w:rPr>
        <w:t xml:space="preserve"> The Amending Declaration commences the day after it is registered.</w:t>
      </w:r>
      <w:r w:rsidR="00880E92">
        <w:rPr>
          <w:rFonts w:ascii="Times New Roman" w:hAnsi="Times New Roman"/>
          <w:sz w:val="24"/>
          <w:szCs w:val="24"/>
        </w:rPr>
        <w:t xml:space="preserve"> </w:t>
      </w:r>
    </w:p>
    <w:p w14:paraId="5BCE647A" w14:textId="77777777" w:rsidR="00880E92" w:rsidRPr="00574C00" w:rsidRDefault="00880E92" w:rsidP="00E52430">
      <w:pPr>
        <w:shd w:val="clear" w:color="auto" w:fill="FFFFFF"/>
        <w:ind w:right="-46"/>
        <w:rPr>
          <w:rFonts w:ascii="Times New Roman" w:hAnsi="Times New Roman"/>
          <w:sz w:val="24"/>
          <w:szCs w:val="24"/>
        </w:rPr>
      </w:pPr>
      <w:r w:rsidRPr="00B4093B">
        <w:rPr>
          <w:rFonts w:ascii="Times New Roman" w:hAnsi="Times New Roman"/>
          <w:sz w:val="24"/>
          <w:szCs w:val="24"/>
        </w:rPr>
        <w:t xml:space="preserve">The Amending Declaration is covered by a standing Regulatory Impact Statement (RIS) exemption issued by the Office of Best Practice Regulation (OBPR), as the regulatory impacts of the Amending Declaration are minor and/or machinery in nature, and were considered and costed as part of the implementation of the wider SIP regime (OBPR ID: </w:t>
      </w:r>
      <w:r w:rsidRPr="00620C67">
        <w:rPr>
          <w:rFonts w:ascii="Times New Roman" w:hAnsi="Times New Roman"/>
          <w:sz w:val="24"/>
          <w:szCs w:val="24"/>
        </w:rPr>
        <w:t>44338).</w:t>
      </w:r>
    </w:p>
    <w:p w14:paraId="4FB6FFF6" w14:textId="77777777" w:rsidR="003B16FF" w:rsidRPr="005168E5" w:rsidRDefault="003B16FF" w:rsidP="00B00C78">
      <w:pPr>
        <w:shd w:val="clear" w:color="auto" w:fill="FFFFFF"/>
        <w:rPr>
          <w:rFonts w:ascii="Times New Roman" w:hAnsi="Times New Roman"/>
          <w:sz w:val="24"/>
          <w:szCs w:val="24"/>
          <w:u w:val="single"/>
        </w:rPr>
      </w:pPr>
      <w:r w:rsidRPr="005168E5">
        <w:rPr>
          <w:rFonts w:ascii="Times New Roman" w:hAnsi="Times New Roman"/>
          <w:sz w:val="24"/>
          <w:szCs w:val="24"/>
        </w:rPr>
        <w:lastRenderedPageBreak/>
        <w:t xml:space="preserve">Details of the Amending Declaration are set out in </w:t>
      </w:r>
      <w:r w:rsidRPr="005168E5">
        <w:rPr>
          <w:rFonts w:ascii="Times New Roman" w:hAnsi="Times New Roman"/>
          <w:sz w:val="24"/>
          <w:szCs w:val="24"/>
          <w:u w:val="single"/>
        </w:rPr>
        <w:t>Attachment A</w:t>
      </w:r>
      <w:r w:rsidRPr="005168E5">
        <w:rPr>
          <w:rFonts w:ascii="Times New Roman" w:hAnsi="Times New Roman"/>
          <w:sz w:val="24"/>
          <w:szCs w:val="24"/>
        </w:rPr>
        <w:t>.</w:t>
      </w:r>
    </w:p>
    <w:p w14:paraId="67D5D88F" w14:textId="77777777" w:rsidR="003B16FF" w:rsidRDefault="003B16FF" w:rsidP="003B16FF">
      <w:pPr>
        <w:shd w:val="clear" w:color="auto" w:fill="FFFFFF"/>
        <w:spacing w:before="100" w:beforeAutospacing="1" w:after="100" w:afterAutospacing="1"/>
        <w:rPr>
          <w:rFonts w:ascii="Times New Roman" w:hAnsi="Times New Roman"/>
          <w:b/>
          <w:sz w:val="24"/>
          <w:szCs w:val="24"/>
        </w:rPr>
      </w:pPr>
      <w:r>
        <w:rPr>
          <w:rFonts w:ascii="Times New Roman" w:hAnsi="Times New Roman"/>
          <w:b/>
          <w:sz w:val="24"/>
          <w:szCs w:val="24"/>
        </w:rPr>
        <w:t>Statement of Compatibility with Human Rights</w:t>
      </w:r>
    </w:p>
    <w:p w14:paraId="215B8272" w14:textId="7C88D9A4" w:rsidR="003B16FF" w:rsidRDefault="003B16FF" w:rsidP="00891ECB">
      <w:pPr>
        <w:spacing w:before="100" w:beforeAutospacing="1" w:after="100" w:afterAutospacing="1"/>
        <w:rPr>
          <w:rFonts w:ascii="Times New Roman" w:hAnsi="Times New Roman" w:cs="Times New Roman"/>
          <w:b/>
          <w:sz w:val="24"/>
          <w:szCs w:val="24"/>
        </w:rPr>
      </w:pPr>
      <w:r w:rsidRPr="00A54CEA">
        <w:rPr>
          <w:rFonts w:ascii="Times New Roman" w:hAnsi="Times New Roman"/>
          <w:color w:val="000000"/>
          <w:sz w:val="24"/>
          <w:szCs w:val="24"/>
        </w:rPr>
        <w:t xml:space="preserve">A statement of compatibility with human rights for the purposes of Part 3 of the </w:t>
      </w:r>
      <w:r w:rsidRPr="00A54CEA">
        <w:rPr>
          <w:rFonts w:ascii="Times New Roman" w:hAnsi="Times New Roman"/>
          <w:i/>
          <w:color w:val="000000"/>
          <w:sz w:val="24"/>
          <w:szCs w:val="24"/>
        </w:rPr>
        <w:t xml:space="preserve">Human Rights (Parliamentary Scrutiny) Act 2011 </w:t>
      </w:r>
      <w:r w:rsidRPr="00A54CEA">
        <w:rPr>
          <w:rFonts w:ascii="Times New Roman" w:hAnsi="Times New Roman"/>
          <w:color w:val="000000"/>
          <w:sz w:val="24"/>
          <w:szCs w:val="24"/>
        </w:rPr>
        <w:t xml:space="preserve">is set out at </w:t>
      </w:r>
      <w:r w:rsidRPr="00A54CEA">
        <w:rPr>
          <w:rFonts w:ascii="Times New Roman" w:hAnsi="Times New Roman"/>
          <w:color w:val="000000"/>
          <w:sz w:val="24"/>
          <w:szCs w:val="24"/>
          <w:u w:val="single"/>
        </w:rPr>
        <w:t>Attachment B</w:t>
      </w:r>
      <w:r w:rsidRPr="00A54CEA">
        <w:rPr>
          <w:rFonts w:ascii="Times New Roman" w:hAnsi="Times New Roman"/>
          <w:color w:val="000000"/>
          <w:sz w:val="24"/>
          <w:szCs w:val="24"/>
        </w:rPr>
        <w:t>.</w:t>
      </w:r>
      <w:bookmarkEnd w:id="1"/>
      <w:r>
        <w:rPr>
          <w:rFonts w:ascii="Times New Roman" w:hAnsi="Times New Roman" w:cs="Times New Roman"/>
          <w:b/>
          <w:sz w:val="24"/>
          <w:szCs w:val="24"/>
        </w:rPr>
        <w:br w:type="page"/>
      </w:r>
    </w:p>
    <w:p w14:paraId="4EA82176" w14:textId="77777777" w:rsidR="003B16FF" w:rsidRDefault="003B16FF" w:rsidP="003B16FF">
      <w:pPr>
        <w:jc w:val="right"/>
        <w:rPr>
          <w:rFonts w:ascii="Times New Roman" w:hAnsi="Times New Roman" w:cs="Times New Roman"/>
          <w:b/>
          <w:sz w:val="24"/>
          <w:szCs w:val="24"/>
        </w:rPr>
      </w:pPr>
      <w:r>
        <w:rPr>
          <w:rFonts w:ascii="Times New Roman" w:hAnsi="Times New Roman" w:cs="Times New Roman"/>
          <w:b/>
          <w:sz w:val="24"/>
          <w:szCs w:val="24"/>
        </w:rPr>
        <w:lastRenderedPageBreak/>
        <w:t>Attachment A</w:t>
      </w:r>
    </w:p>
    <w:p w14:paraId="231881BD" w14:textId="1DC0A8CB" w:rsidR="003B16FF" w:rsidRPr="00A54CEA" w:rsidRDefault="003B16FF" w:rsidP="003B16FF">
      <w:pPr>
        <w:rPr>
          <w:rFonts w:ascii="Times New Roman" w:hAnsi="Times New Roman" w:cs="Times New Roman"/>
          <w:b/>
          <w:i/>
          <w:sz w:val="24"/>
          <w:szCs w:val="24"/>
        </w:rPr>
      </w:pPr>
      <w:r w:rsidRPr="00A54CEA">
        <w:rPr>
          <w:rFonts w:ascii="Times New Roman" w:hAnsi="Times New Roman" w:cs="Times New Roman"/>
          <w:b/>
          <w:sz w:val="24"/>
          <w:szCs w:val="24"/>
        </w:rPr>
        <w:t xml:space="preserve">Details of the </w:t>
      </w:r>
      <w:r w:rsidRPr="00A54CEA">
        <w:rPr>
          <w:rFonts w:ascii="Times New Roman" w:hAnsi="Times New Roman" w:cs="Times New Roman"/>
          <w:b/>
          <w:i/>
          <w:sz w:val="24"/>
          <w:szCs w:val="24"/>
        </w:rPr>
        <w:t>Telecommunications (Designated Service Area and Statutory Infrastructure Provider) Amendment Declaration (No.</w:t>
      </w:r>
      <w:r>
        <w:rPr>
          <w:rFonts w:ascii="Times New Roman" w:hAnsi="Times New Roman" w:cs="Times New Roman"/>
          <w:b/>
          <w:i/>
          <w:sz w:val="24"/>
          <w:szCs w:val="24"/>
        </w:rPr>
        <w:t xml:space="preserve"> </w:t>
      </w:r>
      <w:r w:rsidR="00515930">
        <w:rPr>
          <w:rFonts w:ascii="Times New Roman" w:hAnsi="Times New Roman" w:cs="Times New Roman"/>
          <w:b/>
          <w:i/>
          <w:sz w:val="24"/>
          <w:szCs w:val="24"/>
        </w:rPr>
        <w:t>5</w:t>
      </w:r>
      <w:r w:rsidRPr="00A54CEA">
        <w:rPr>
          <w:rFonts w:ascii="Times New Roman" w:hAnsi="Times New Roman" w:cs="Times New Roman"/>
          <w:b/>
          <w:i/>
          <w:sz w:val="24"/>
          <w:szCs w:val="24"/>
        </w:rPr>
        <w:t>) 2022</w:t>
      </w:r>
    </w:p>
    <w:p w14:paraId="7E35E947" w14:textId="5E55D28E" w:rsidR="003B16FF" w:rsidRPr="00621275" w:rsidRDefault="003B16FF" w:rsidP="003B16FF">
      <w:pPr>
        <w:ind w:right="91"/>
        <w:rPr>
          <w:rFonts w:ascii="Times New Roman" w:hAnsi="Times New Roman" w:cs="Times New Roman"/>
          <w:b/>
          <w:i/>
          <w:sz w:val="24"/>
          <w:szCs w:val="24"/>
        </w:rPr>
      </w:pPr>
      <w:r w:rsidRPr="00621275">
        <w:rPr>
          <w:rFonts w:ascii="Times New Roman" w:hAnsi="Times New Roman" w:cs="Times New Roman"/>
          <w:b/>
          <w:kern w:val="24"/>
          <w:sz w:val="24"/>
          <w:szCs w:val="24"/>
        </w:rPr>
        <w:t xml:space="preserve">Section 1 – </w:t>
      </w:r>
      <w:r w:rsidR="00880E92" w:rsidRPr="00621275">
        <w:rPr>
          <w:rFonts w:ascii="Times New Roman" w:hAnsi="Times New Roman" w:cs="Times New Roman"/>
          <w:b/>
          <w:sz w:val="24"/>
          <w:szCs w:val="24"/>
        </w:rPr>
        <w:t>Name</w:t>
      </w:r>
    </w:p>
    <w:p w14:paraId="75433CC7" w14:textId="552ED321" w:rsidR="003B16FF" w:rsidRPr="00A54CEA" w:rsidRDefault="003B16FF" w:rsidP="003B16FF">
      <w:pPr>
        <w:ind w:right="91"/>
        <w:rPr>
          <w:rFonts w:ascii="Times New Roman" w:hAnsi="Times New Roman" w:cs="Times New Roman"/>
          <w:kern w:val="24"/>
          <w:sz w:val="24"/>
          <w:szCs w:val="24"/>
        </w:rPr>
      </w:pPr>
      <w:r w:rsidRPr="00A54CEA">
        <w:rPr>
          <w:rFonts w:ascii="Times New Roman" w:hAnsi="Times New Roman" w:cs="Times New Roman"/>
          <w:kern w:val="24"/>
          <w:sz w:val="24"/>
          <w:szCs w:val="24"/>
        </w:rPr>
        <w:t xml:space="preserve">This section provides that the name of the instrument is the </w:t>
      </w:r>
      <w:r w:rsidRPr="00A54CEA">
        <w:rPr>
          <w:rFonts w:ascii="Times New Roman" w:hAnsi="Times New Roman" w:cs="Times New Roman"/>
          <w:i/>
          <w:sz w:val="24"/>
          <w:szCs w:val="24"/>
        </w:rPr>
        <w:t xml:space="preserve">Telecommunications (Designated Service Area and Statutory Infrastructure Provider) </w:t>
      </w:r>
      <w:r>
        <w:rPr>
          <w:rFonts w:ascii="Times New Roman" w:hAnsi="Times New Roman" w:cs="Times New Roman"/>
          <w:i/>
          <w:sz w:val="24"/>
          <w:szCs w:val="24"/>
        </w:rPr>
        <w:t xml:space="preserve">Amendment </w:t>
      </w:r>
      <w:r w:rsidRPr="00A54CEA">
        <w:rPr>
          <w:rFonts w:ascii="Times New Roman" w:hAnsi="Times New Roman" w:cs="Times New Roman"/>
          <w:i/>
          <w:sz w:val="24"/>
          <w:szCs w:val="24"/>
        </w:rPr>
        <w:t xml:space="preserve">Declaration (No. </w:t>
      </w:r>
      <w:r w:rsidR="00515930">
        <w:rPr>
          <w:rFonts w:ascii="Times New Roman" w:hAnsi="Times New Roman" w:cs="Times New Roman"/>
          <w:i/>
          <w:sz w:val="24"/>
          <w:szCs w:val="24"/>
        </w:rPr>
        <w:t>5</w:t>
      </w:r>
      <w:r w:rsidRPr="00A54CEA">
        <w:rPr>
          <w:rFonts w:ascii="Times New Roman" w:hAnsi="Times New Roman" w:cs="Times New Roman"/>
          <w:i/>
          <w:sz w:val="24"/>
          <w:szCs w:val="24"/>
        </w:rPr>
        <w:t xml:space="preserve">) 2022 </w:t>
      </w:r>
      <w:r w:rsidRPr="00A54CEA">
        <w:rPr>
          <w:rFonts w:ascii="Times New Roman" w:hAnsi="Times New Roman" w:cs="Times New Roman"/>
          <w:kern w:val="24"/>
          <w:sz w:val="24"/>
          <w:szCs w:val="24"/>
        </w:rPr>
        <w:t>(the Amending Declaration).</w:t>
      </w:r>
    </w:p>
    <w:p w14:paraId="2F7FA564" w14:textId="77777777" w:rsidR="003B16FF" w:rsidRPr="00621275" w:rsidRDefault="003B16FF" w:rsidP="003B16FF">
      <w:pPr>
        <w:widowControl w:val="0"/>
        <w:ind w:right="91"/>
        <w:rPr>
          <w:rFonts w:ascii="Times New Roman" w:hAnsi="Times New Roman" w:cs="Times New Roman"/>
          <w:b/>
          <w:kern w:val="24"/>
          <w:sz w:val="24"/>
          <w:szCs w:val="24"/>
        </w:rPr>
      </w:pPr>
      <w:r w:rsidRPr="00621275">
        <w:rPr>
          <w:rFonts w:ascii="Times New Roman" w:hAnsi="Times New Roman" w:cs="Times New Roman"/>
          <w:b/>
          <w:kern w:val="24"/>
          <w:sz w:val="24"/>
          <w:szCs w:val="24"/>
        </w:rPr>
        <w:t>Section 2 – Commencement</w:t>
      </w:r>
    </w:p>
    <w:p w14:paraId="4EF8B3FC" w14:textId="77777777" w:rsidR="003B16FF" w:rsidRPr="00A54CEA" w:rsidRDefault="003B16FF" w:rsidP="003B16FF">
      <w:pPr>
        <w:widowControl w:val="0"/>
        <w:ind w:right="91"/>
        <w:rPr>
          <w:rFonts w:ascii="Times New Roman" w:hAnsi="Times New Roman" w:cs="Times New Roman"/>
          <w:kern w:val="24"/>
          <w:sz w:val="24"/>
          <w:szCs w:val="24"/>
        </w:rPr>
      </w:pPr>
      <w:r w:rsidRPr="00A54CEA">
        <w:rPr>
          <w:rFonts w:ascii="Times New Roman" w:hAnsi="Times New Roman" w:cs="Times New Roman"/>
          <w:kern w:val="24"/>
          <w:sz w:val="24"/>
          <w:szCs w:val="24"/>
        </w:rPr>
        <w:t>This section provides for the Amending Declaration to commence on the day after it is registered on the Federal Register of Legislation.</w:t>
      </w:r>
    </w:p>
    <w:p w14:paraId="361DAF67" w14:textId="77777777" w:rsidR="003B16FF" w:rsidRPr="00621275" w:rsidRDefault="003B16FF" w:rsidP="003B16FF">
      <w:pPr>
        <w:widowControl w:val="0"/>
        <w:ind w:right="91"/>
        <w:rPr>
          <w:rFonts w:ascii="Times New Roman" w:hAnsi="Times New Roman" w:cs="Times New Roman"/>
          <w:b/>
          <w:kern w:val="24"/>
          <w:sz w:val="24"/>
          <w:szCs w:val="24"/>
        </w:rPr>
      </w:pPr>
      <w:r w:rsidRPr="00621275">
        <w:rPr>
          <w:rFonts w:ascii="Times New Roman" w:hAnsi="Times New Roman" w:cs="Times New Roman"/>
          <w:b/>
          <w:kern w:val="24"/>
          <w:sz w:val="24"/>
          <w:szCs w:val="24"/>
        </w:rPr>
        <w:t xml:space="preserve">Section 3 – Authority </w:t>
      </w:r>
    </w:p>
    <w:p w14:paraId="2BDEC8A1" w14:textId="77777777" w:rsidR="003B16FF" w:rsidRPr="00A54CEA" w:rsidRDefault="003B16FF" w:rsidP="00E52430">
      <w:pPr>
        <w:spacing w:before="100" w:beforeAutospacing="1" w:after="100" w:afterAutospacing="1" w:line="300" w:lineRule="atLeast"/>
        <w:ind w:right="-472"/>
        <w:rPr>
          <w:rFonts w:ascii="Times New Roman" w:hAnsi="Times New Roman" w:cs="Times New Roman"/>
          <w:sz w:val="24"/>
          <w:szCs w:val="24"/>
        </w:rPr>
      </w:pPr>
      <w:r w:rsidRPr="00A54CEA">
        <w:rPr>
          <w:rFonts w:ascii="Times New Roman" w:hAnsi="Times New Roman" w:cs="Times New Roman"/>
          <w:kern w:val="24"/>
          <w:sz w:val="24"/>
          <w:szCs w:val="24"/>
        </w:rPr>
        <w:t xml:space="preserve">This section provides that the Amending Declaration is made under section 360L of the </w:t>
      </w:r>
      <w:r w:rsidRPr="00A54CEA">
        <w:rPr>
          <w:rFonts w:ascii="Times New Roman" w:hAnsi="Times New Roman" w:cs="Times New Roman"/>
          <w:i/>
          <w:kern w:val="24"/>
          <w:sz w:val="24"/>
          <w:szCs w:val="24"/>
        </w:rPr>
        <w:t xml:space="preserve">Telecommunications Act 1997 </w:t>
      </w:r>
      <w:r w:rsidRPr="00A54CEA">
        <w:rPr>
          <w:rFonts w:ascii="Times New Roman" w:hAnsi="Times New Roman" w:cs="Times New Roman"/>
          <w:kern w:val="24"/>
          <w:sz w:val="24"/>
          <w:szCs w:val="24"/>
        </w:rPr>
        <w:t>(the Act)</w:t>
      </w:r>
      <w:r>
        <w:rPr>
          <w:rFonts w:ascii="Times New Roman" w:hAnsi="Times New Roman" w:cs="Times New Roman"/>
          <w:kern w:val="24"/>
          <w:sz w:val="24"/>
          <w:szCs w:val="24"/>
        </w:rPr>
        <w:t xml:space="preserve"> and subsection 33(3) of the </w:t>
      </w:r>
      <w:r>
        <w:rPr>
          <w:rFonts w:ascii="Times New Roman" w:hAnsi="Times New Roman" w:cs="Times New Roman"/>
          <w:i/>
          <w:kern w:val="24"/>
          <w:sz w:val="24"/>
          <w:szCs w:val="24"/>
        </w:rPr>
        <w:t>Acts Interpretation Act 1901</w:t>
      </w:r>
      <w:r w:rsidRPr="00A54CEA">
        <w:rPr>
          <w:rFonts w:ascii="Times New Roman" w:hAnsi="Times New Roman" w:cs="Times New Roman"/>
          <w:kern w:val="24"/>
          <w:sz w:val="24"/>
          <w:szCs w:val="24"/>
        </w:rPr>
        <w:t xml:space="preserve">. </w:t>
      </w:r>
    </w:p>
    <w:p w14:paraId="1CC38389" w14:textId="77777777" w:rsidR="003B16FF" w:rsidRPr="00621275" w:rsidRDefault="003B16FF" w:rsidP="003B16FF">
      <w:pPr>
        <w:ind w:right="91"/>
        <w:rPr>
          <w:rFonts w:ascii="Times New Roman" w:hAnsi="Times New Roman" w:cs="Times New Roman"/>
          <w:b/>
          <w:sz w:val="24"/>
          <w:szCs w:val="24"/>
        </w:rPr>
      </w:pPr>
      <w:r w:rsidRPr="00621275">
        <w:rPr>
          <w:rFonts w:ascii="Times New Roman" w:hAnsi="Times New Roman" w:cs="Times New Roman"/>
          <w:b/>
          <w:kern w:val="24"/>
          <w:sz w:val="24"/>
          <w:szCs w:val="24"/>
        </w:rPr>
        <w:t>Section 4 – Schedule</w:t>
      </w:r>
    </w:p>
    <w:p w14:paraId="1399D758" w14:textId="71ABFF84" w:rsidR="003B16FF" w:rsidRPr="00A54CEA" w:rsidRDefault="003B16FF" w:rsidP="00C469F2">
      <w:pPr>
        <w:rPr>
          <w:rFonts w:ascii="Times New Roman" w:hAnsi="Times New Roman" w:cs="Times New Roman"/>
          <w:sz w:val="24"/>
          <w:szCs w:val="24"/>
        </w:rPr>
      </w:pPr>
      <w:r w:rsidRPr="00A54CEA">
        <w:rPr>
          <w:rFonts w:ascii="Times New Roman" w:hAnsi="Times New Roman" w:cs="Times New Roman"/>
          <w:color w:val="000000"/>
          <w:sz w:val="24"/>
          <w:szCs w:val="24"/>
          <w:shd w:val="clear" w:color="auto" w:fill="FFFFFF"/>
        </w:rPr>
        <w:t xml:space="preserve">This section provides that each instrument </w:t>
      </w:r>
      <w:r w:rsidRPr="00C469F2">
        <w:rPr>
          <w:rFonts w:ascii="Times New Roman" w:hAnsi="Times New Roman" w:cs="Times New Roman"/>
          <w:sz w:val="24"/>
          <w:szCs w:val="24"/>
        </w:rPr>
        <w:t>specified</w:t>
      </w:r>
      <w:r w:rsidRPr="00A54CEA">
        <w:rPr>
          <w:rFonts w:ascii="Times New Roman" w:hAnsi="Times New Roman" w:cs="Times New Roman"/>
          <w:color w:val="000000"/>
          <w:sz w:val="24"/>
          <w:szCs w:val="24"/>
          <w:shd w:val="clear" w:color="auto" w:fill="FFFFFF"/>
        </w:rPr>
        <w:t xml:space="preserve"> in the Schedule to the Amending Declaration is amended or repealed as set out in the applicable item in the Schedule concerned, and that any other item in a Schedule to </w:t>
      </w:r>
      <w:r w:rsidR="00880E92">
        <w:rPr>
          <w:rFonts w:ascii="Times New Roman" w:hAnsi="Times New Roman" w:cs="Times New Roman"/>
          <w:color w:val="000000"/>
          <w:sz w:val="24"/>
          <w:szCs w:val="24"/>
          <w:shd w:val="clear" w:color="auto" w:fill="FFFFFF"/>
        </w:rPr>
        <w:t>the Amending Declaration</w:t>
      </w:r>
      <w:r w:rsidRPr="00A54CEA">
        <w:rPr>
          <w:rFonts w:ascii="Times New Roman" w:hAnsi="Times New Roman" w:cs="Times New Roman"/>
          <w:color w:val="000000"/>
          <w:sz w:val="24"/>
          <w:szCs w:val="24"/>
          <w:shd w:val="clear" w:color="auto" w:fill="FFFFFF"/>
        </w:rPr>
        <w:t xml:space="preserve"> has effect according to its terms.</w:t>
      </w:r>
      <w:r w:rsidR="00680728">
        <w:rPr>
          <w:rFonts w:ascii="Times New Roman" w:hAnsi="Times New Roman" w:cs="Times New Roman"/>
          <w:color w:val="000000"/>
          <w:sz w:val="24"/>
          <w:szCs w:val="24"/>
          <w:shd w:val="clear" w:color="auto" w:fill="FFFFFF"/>
        </w:rPr>
        <w:t xml:space="preserve"> The Schedule </w:t>
      </w:r>
      <w:r w:rsidR="004263AF">
        <w:rPr>
          <w:rFonts w:ascii="Times New Roman" w:hAnsi="Times New Roman" w:cs="Times New Roman"/>
          <w:color w:val="000000"/>
          <w:sz w:val="24"/>
          <w:szCs w:val="24"/>
          <w:shd w:val="clear" w:color="auto" w:fill="FFFFFF"/>
        </w:rPr>
        <w:t>specifies amendments to the Pr</w:t>
      </w:r>
      <w:r w:rsidR="00DC139F">
        <w:rPr>
          <w:rFonts w:ascii="Times New Roman" w:hAnsi="Times New Roman" w:cs="Times New Roman"/>
          <w:color w:val="000000"/>
          <w:sz w:val="24"/>
          <w:szCs w:val="24"/>
          <w:shd w:val="clear" w:color="auto" w:fill="FFFFFF"/>
        </w:rPr>
        <w:t>i</w:t>
      </w:r>
      <w:r w:rsidR="004263AF">
        <w:rPr>
          <w:rFonts w:ascii="Times New Roman" w:hAnsi="Times New Roman" w:cs="Times New Roman"/>
          <w:color w:val="000000"/>
          <w:sz w:val="24"/>
          <w:szCs w:val="24"/>
          <w:shd w:val="clear" w:color="auto" w:fill="FFFFFF"/>
        </w:rPr>
        <w:t>ncipal Declaration.</w:t>
      </w:r>
    </w:p>
    <w:p w14:paraId="0FE703C5" w14:textId="77777777" w:rsidR="003B16FF" w:rsidRDefault="003B16FF" w:rsidP="003B16FF">
      <w:pPr>
        <w:rPr>
          <w:rFonts w:ascii="Times New Roman" w:hAnsi="Times New Roman" w:cs="Times New Roman"/>
          <w:b/>
          <w:sz w:val="24"/>
          <w:szCs w:val="24"/>
        </w:rPr>
      </w:pPr>
      <w:r>
        <w:rPr>
          <w:rFonts w:ascii="Times New Roman" w:hAnsi="Times New Roman" w:cs="Times New Roman"/>
          <w:b/>
          <w:sz w:val="24"/>
          <w:szCs w:val="24"/>
        </w:rPr>
        <w:t>Schedule 1 – Amendments</w:t>
      </w:r>
    </w:p>
    <w:p w14:paraId="2C8843E8" w14:textId="1BEE239A" w:rsidR="003B16FF" w:rsidRDefault="003B16FF" w:rsidP="003B16FF">
      <w:pPr>
        <w:rPr>
          <w:rFonts w:ascii="Times New Roman" w:hAnsi="Times New Roman" w:cs="Times New Roman"/>
          <w:sz w:val="24"/>
          <w:szCs w:val="24"/>
        </w:rPr>
      </w:pPr>
      <w:r w:rsidRPr="00880E92">
        <w:rPr>
          <w:rFonts w:ascii="Times New Roman" w:hAnsi="Times New Roman" w:cs="Times New Roman"/>
          <w:sz w:val="24"/>
          <w:szCs w:val="24"/>
        </w:rPr>
        <w:t xml:space="preserve">Schedule 1 to the Amending Declaration sets out amendments to the </w:t>
      </w:r>
      <w:r w:rsidRPr="00880E92">
        <w:rPr>
          <w:rFonts w:ascii="Times New Roman" w:hAnsi="Times New Roman" w:cs="Times New Roman"/>
          <w:i/>
          <w:sz w:val="24"/>
          <w:szCs w:val="24"/>
        </w:rPr>
        <w:t xml:space="preserve">Telecommunications (Designated Service Area and Statutory Infrastructure Provider) Declaration (No. 1) 2020 </w:t>
      </w:r>
      <w:r w:rsidRPr="00880E92">
        <w:rPr>
          <w:rFonts w:ascii="Times New Roman" w:hAnsi="Times New Roman" w:cs="Times New Roman"/>
          <w:sz w:val="24"/>
          <w:szCs w:val="24"/>
        </w:rPr>
        <w:t>(the Principal Declaration).</w:t>
      </w:r>
    </w:p>
    <w:p w14:paraId="20CA4EAB" w14:textId="4C670DEA" w:rsidR="009F0F30" w:rsidRPr="00106414" w:rsidRDefault="009F0F30" w:rsidP="00106414">
      <w:pPr>
        <w:rPr>
          <w:rFonts w:ascii="Times New Roman" w:hAnsi="Times New Roman"/>
          <w:b/>
          <w:sz w:val="24"/>
          <w:szCs w:val="24"/>
        </w:rPr>
      </w:pPr>
      <w:bookmarkStart w:id="4" w:name="_Hlk110863250"/>
      <w:r w:rsidRPr="00106414">
        <w:rPr>
          <w:rFonts w:ascii="Times New Roman" w:hAnsi="Times New Roman"/>
          <w:b/>
          <w:sz w:val="24"/>
          <w:szCs w:val="24"/>
        </w:rPr>
        <w:t>Item 1</w:t>
      </w:r>
      <w:r w:rsidR="0084193B">
        <w:rPr>
          <w:rFonts w:ascii="Times New Roman" w:hAnsi="Times New Roman"/>
          <w:b/>
          <w:sz w:val="24"/>
          <w:szCs w:val="24"/>
        </w:rPr>
        <w:t xml:space="preserve"> </w:t>
      </w:r>
      <w:r w:rsidR="0084193B">
        <w:rPr>
          <w:rFonts w:ascii="Times New Roman" w:hAnsi="Times New Roman" w:cs="Times New Roman"/>
          <w:b/>
          <w:sz w:val="24"/>
          <w:szCs w:val="24"/>
        </w:rPr>
        <w:t xml:space="preserve">– </w:t>
      </w:r>
      <w:r w:rsidR="0084193B">
        <w:rPr>
          <w:rFonts w:ascii="Times New Roman" w:hAnsi="Times New Roman"/>
          <w:b/>
          <w:sz w:val="24"/>
          <w:szCs w:val="24"/>
        </w:rPr>
        <w:t>S</w:t>
      </w:r>
      <w:r w:rsidRPr="00106414">
        <w:rPr>
          <w:rFonts w:ascii="Times New Roman" w:hAnsi="Times New Roman"/>
          <w:b/>
          <w:sz w:val="24"/>
          <w:szCs w:val="24"/>
        </w:rPr>
        <w:t>ection 4 (Heading)</w:t>
      </w:r>
    </w:p>
    <w:p w14:paraId="0C38BA3C" w14:textId="659A9F3C" w:rsidR="009F0F30" w:rsidRPr="00106414" w:rsidRDefault="00106414" w:rsidP="00106414">
      <w:pPr>
        <w:rPr>
          <w:rFonts w:ascii="Times New Roman" w:hAnsi="Times New Roman" w:cs="Times New Roman"/>
          <w:sz w:val="24"/>
          <w:szCs w:val="24"/>
        </w:rPr>
      </w:pPr>
      <w:r>
        <w:rPr>
          <w:rFonts w:ascii="Times New Roman" w:hAnsi="Times New Roman" w:cs="Times New Roman"/>
          <w:sz w:val="24"/>
          <w:szCs w:val="24"/>
        </w:rPr>
        <w:t>Item 1 amends section 4 of the Principal Declaration by changing the heading of the section. Currently, section 4 is titled ‘Definitions’. Item 1 will retitle the section ‘Interpretation’. The change in title is consequential to the insertion of subsection 4(2) by item 7 of the Amending Declaration, which is an interpretive clause rather than a strict definition.</w:t>
      </w:r>
    </w:p>
    <w:p w14:paraId="6ABE7EBA" w14:textId="506109AC" w:rsidR="009F0F30" w:rsidRPr="00106414" w:rsidRDefault="009F0F30" w:rsidP="00106414">
      <w:pPr>
        <w:rPr>
          <w:rFonts w:ascii="Times New Roman" w:hAnsi="Times New Roman"/>
          <w:b/>
          <w:sz w:val="24"/>
          <w:szCs w:val="24"/>
        </w:rPr>
      </w:pPr>
      <w:r w:rsidRPr="00106414">
        <w:rPr>
          <w:rFonts w:ascii="Times New Roman" w:hAnsi="Times New Roman"/>
          <w:b/>
          <w:sz w:val="24"/>
          <w:szCs w:val="24"/>
        </w:rPr>
        <w:t>Item 2</w:t>
      </w:r>
      <w:r w:rsidR="0084193B">
        <w:rPr>
          <w:rFonts w:ascii="Times New Roman" w:hAnsi="Times New Roman"/>
          <w:b/>
          <w:sz w:val="24"/>
          <w:szCs w:val="24"/>
        </w:rPr>
        <w:t xml:space="preserve"> – Section 4</w:t>
      </w:r>
    </w:p>
    <w:p w14:paraId="1738D211" w14:textId="555CDD80" w:rsidR="00106414" w:rsidRDefault="00106414" w:rsidP="00E52430">
      <w:pPr>
        <w:ind w:right="-188"/>
        <w:rPr>
          <w:sz w:val="24"/>
          <w:szCs w:val="24"/>
        </w:rPr>
      </w:pPr>
      <w:r>
        <w:rPr>
          <w:rFonts w:ascii="Times New Roman" w:hAnsi="Times New Roman" w:cs="Times New Roman"/>
          <w:sz w:val="24"/>
          <w:szCs w:val="24"/>
        </w:rPr>
        <w:t xml:space="preserve">Item 2 amends section 4 of the Principal Declaration by repealing the note at the start of the section and replacing it with an expanded note. The note provides that a number of expressions used in the Principal Declaration are defined in the Act, including </w:t>
      </w:r>
      <w:r w:rsidRPr="00E52430">
        <w:rPr>
          <w:rFonts w:ascii="Times New Roman" w:hAnsi="Times New Roman" w:cs="Times New Roman"/>
          <w:i/>
          <w:sz w:val="24"/>
          <w:szCs w:val="24"/>
        </w:rPr>
        <w:t>designated service area</w:t>
      </w:r>
      <w:r>
        <w:rPr>
          <w:rFonts w:ascii="Times New Roman" w:hAnsi="Times New Roman" w:cs="Times New Roman"/>
          <w:sz w:val="24"/>
          <w:szCs w:val="24"/>
        </w:rPr>
        <w:t xml:space="preserve"> (section 360A), </w:t>
      </w:r>
      <w:r w:rsidRPr="00E52430">
        <w:rPr>
          <w:rFonts w:ascii="Times New Roman" w:hAnsi="Times New Roman" w:cs="Times New Roman"/>
          <w:i/>
          <w:sz w:val="24"/>
          <w:szCs w:val="24"/>
        </w:rPr>
        <w:t>carriage service provider</w:t>
      </w:r>
      <w:r>
        <w:rPr>
          <w:rFonts w:ascii="Times New Roman" w:hAnsi="Times New Roman" w:cs="Times New Roman"/>
          <w:sz w:val="24"/>
          <w:szCs w:val="24"/>
        </w:rPr>
        <w:t xml:space="preserve"> (section 7), </w:t>
      </w:r>
      <w:r w:rsidRPr="00E52430">
        <w:rPr>
          <w:rFonts w:ascii="Times New Roman" w:hAnsi="Times New Roman" w:cs="Times New Roman"/>
          <w:i/>
          <w:sz w:val="24"/>
          <w:szCs w:val="24"/>
        </w:rPr>
        <w:t>eligible service</w:t>
      </w:r>
      <w:r>
        <w:rPr>
          <w:rFonts w:ascii="Times New Roman" w:hAnsi="Times New Roman" w:cs="Times New Roman"/>
          <w:sz w:val="24"/>
          <w:szCs w:val="24"/>
        </w:rPr>
        <w:t xml:space="preserve"> (section 142A), </w:t>
      </w:r>
      <w:r w:rsidRPr="00E52430">
        <w:rPr>
          <w:rFonts w:ascii="Times New Roman" w:hAnsi="Times New Roman" w:cs="Times New Roman"/>
          <w:i/>
          <w:sz w:val="24"/>
          <w:szCs w:val="24"/>
        </w:rPr>
        <w:t>GDA94</w:t>
      </w:r>
      <w:r>
        <w:rPr>
          <w:rFonts w:ascii="Times New Roman" w:hAnsi="Times New Roman" w:cs="Times New Roman"/>
          <w:sz w:val="24"/>
          <w:szCs w:val="24"/>
        </w:rPr>
        <w:t xml:space="preserve"> (section 360A), </w:t>
      </w:r>
      <w:r w:rsidRPr="00E52430">
        <w:rPr>
          <w:rFonts w:ascii="Times New Roman" w:hAnsi="Times New Roman" w:cs="Times New Roman"/>
          <w:i/>
          <w:sz w:val="24"/>
          <w:szCs w:val="24"/>
        </w:rPr>
        <w:t>qualifying fixed-line carriage service</w:t>
      </w:r>
      <w:r>
        <w:rPr>
          <w:rFonts w:ascii="Times New Roman" w:hAnsi="Times New Roman" w:cs="Times New Roman"/>
          <w:sz w:val="24"/>
          <w:szCs w:val="24"/>
        </w:rPr>
        <w:t xml:space="preserve"> (section 360A), </w:t>
      </w:r>
      <w:r w:rsidRPr="00E52430">
        <w:rPr>
          <w:rFonts w:ascii="Times New Roman" w:hAnsi="Times New Roman" w:cs="Times New Roman"/>
          <w:i/>
          <w:sz w:val="24"/>
          <w:szCs w:val="24"/>
        </w:rPr>
        <w:t>statutory infrastructure provider</w:t>
      </w:r>
      <w:r>
        <w:rPr>
          <w:rFonts w:ascii="Times New Roman" w:hAnsi="Times New Roman" w:cs="Times New Roman"/>
          <w:sz w:val="24"/>
          <w:szCs w:val="24"/>
        </w:rPr>
        <w:t xml:space="preserve"> (section 360A) and </w:t>
      </w:r>
      <w:r w:rsidRPr="00E52430">
        <w:rPr>
          <w:rFonts w:ascii="Times New Roman" w:hAnsi="Times New Roman" w:cs="Times New Roman"/>
          <w:i/>
          <w:sz w:val="24"/>
          <w:szCs w:val="24"/>
        </w:rPr>
        <w:t>TAB vector format</w:t>
      </w:r>
      <w:r>
        <w:rPr>
          <w:rFonts w:ascii="Times New Roman" w:hAnsi="Times New Roman" w:cs="Times New Roman"/>
          <w:sz w:val="24"/>
          <w:szCs w:val="24"/>
        </w:rPr>
        <w:t xml:space="preserve"> (section 360A). The new cross-references inserted by the Amending Declaration are those to </w:t>
      </w:r>
      <w:r w:rsidRPr="00E52430">
        <w:rPr>
          <w:rFonts w:ascii="Times New Roman" w:hAnsi="Times New Roman" w:cs="Times New Roman"/>
          <w:i/>
          <w:sz w:val="24"/>
          <w:szCs w:val="24"/>
        </w:rPr>
        <w:t>carriage service provider</w:t>
      </w:r>
      <w:r>
        <w:rPr>
          <w:rFonts w:ascii="Times New Roman" w:hAnsi="Times New Roman" w:cs="Times New Roman"/>
          <w:sz w:val="24"/>
          <w:szCs w:val="24"/>
        </w:rPr>
        <w:t xml:space="preserve">, </w:t>
      </w:r>
      <w:r w:rsidRPr="00E52430">
        <w:rPr>
          <w:rFonts w:ascii="Times New Roman" w:hAnsi="Times New Roman" w:cs="Times New Roman"/>
          <w:i/>
          <w:sz w:val="24"/>
          <w:szCs w:val="24"/>
        </w:rPr>
        <w:t>eligible service</w:t>
      </w:r>
      <w:r>
        <w:rPr>
          <w:rFonts w:ascii="Times New Roman" w:hAnsi="Times New Roman" w:cs="Times New Roman"/>
          <w:sz w:val="24"/>
          <w:szCs w:val="24"/>
        </w:rPr>
        <w:t xml:space="preserve"> and </w:t>
      </w:r>
      <w:r w:rsidRPr="00E52430">
        <w:rPr>
          <w:rFonts w:ascii="Times New Roman" w:hAnsi="Times New Roman" w:cs="Times New Roman"/>
          <w:i/>
          <w:sz w:val="24"/>
          <w:szCs w:val="24"/>
        </w:rPr>
        <w:t xml:space="preserve">qualifying </w:t>
      </w:r>
      <w:r w:rsidR="0084193B" w:rsidRPr="00E52430">
        <w:rPr>
          <w:rFonts w:ascii="Times New Roman" w:hAnsi="Times New Roman" w:cs="Times New Roman"/>
          <w:i/>
          <w:sz w:val="24"/>
          <w:szCs w:val="24"/>
        </w:rPr>
        <w:t>fixed-line carriage service</w:t>
      </w:r>
      <w:r w:rsidR="0084193B">
        <w:rPr>
          <w:rFonts w:ascii="Times New Roman" w:hAnsi="Times New Roman" w:cs="Times New Roman"/>
          <w:sz w:val="24"/>
          <w:szCs w:val="24"/>
        </w:rPr>
        <w:t>. They are included because they are used in the definitions and interpretive clauses being inserted by the Amending Declaration.</w:t>
      </w:r>
      <w:r>
        <w:rPr>
          <w:rFonts w:ascii="Times New Roman" w:hAnsi="Times New Roman" w:cs="Times New Roman"/>
          <w:sz w:val="24"/>
          <w:szCs w:val="24"/>
        </w:rPr>
        <w:t xml:space="preserve"> </w:t>
      </w:r>
    </w:p>
    <w:p w14:paraId="38F14EAD" w14:textId="7485BFA3" w:rsidR="009F0F30" w:rsidRPr="0084193B" w:rsidRDefault="009F0F30" w:rsidP="0084193B">
      <w:pPr>
        <w:rPr>
          <w:rFonts w:ascii="Times New Roman" w:hAnsi="Times New Roman"/>
          <w:b/>
          <w:sz w:val="24"/>
          <w:szCs w:val="24"/>
        </w:rPr>
      </w:pPr>
      <w:r w:rsidRPr="0084193B">
        <w:rPr>
          <w:rFonts w:ascii="Times New Roman" w:hAnsi="Times New Roman"/>
          <w:b/>
          <w:sz w:val="24"/>
          <w:szCs w:val="24"/>
        </w:rPr>
        <w:lastRenderedPageBreak/>
        <w:t>Item 3</w:t>
      </w:r>
      <w:r w:rsidR="0084193B">
        <w:rPr>
          <w:rFonts w:ascii="Times New Roman" w:hAnsi="Times New Roman" w:cs="Times New Roman"/>
          <w:b/>
          <w:sz w:val="24"/>
          <w:szCs w:val="24"/>
        </w:rPr>
        <w:t xml:space="preserve"> – </w:t>
      </w:r>
      <w:r w:rsidRPr="0084193B">
        <w:rPr>
          <w:rFonts w:ascii="Times New Roman" w:hAnsi="Times New Roman"/>
          <w:b/>
          <w:sz w:val="24"/>
          <w:szCs w:val="24"/>
        </w:rPr>
        <w:t>Section 4</w:t>
      </w:r>
    </w:p>
    <w:p w14:paraId="4910993D" w14:textId="78785CFD" w:rsidR="0084193B" w:rsidRDefault="0084193B" w:rsidP="0084193B">
      <w:pPr>
        <w:rPr>
          <w:szCs w:val="24"/>
        </w:rPr>
      </w:pPr>
      <w:r>
        <w:rPr>
          <w:rFonts w:ascii="Times New Roman" w:hAnsi="Times New Roman" w:cs="Times New Roman"/>
          <w:sz w:val="24"/>
          <w:szCs w:val="24"/>
        </w:rPr>
        <w:t xml:space="preserve">Item 3 amends </w:t>
      </w:r>
      <w:r w:rsidR="00C469F2">
        <w:rPr>
          <w:rFonts w:ascii="Times New Roman" w:hAnsi="Times New Roman" w:cs="Times New Roman"/>
          <w:sz w:val="24"/>
          <w:szCs w:val="24"/>
        </w:rPr>
        <w:t xml:space="preserve">the beginning of </w:t>
      </w:r>
      <w:r>
        <w:rPr>
          <w:rFonts w:ascii="Times New Roman" w:hAnsi="Times New Roman" w:cs="Times New Roman"/>
          <w:sz w:val="24"/>
          <w:szCs w:val="24"/>
        </w:rPr>
        <w:t xml:space="preserve">section 4 of the Principal Declaration by inserting a new subsection </w:t>
      </w:r>
      <w:r w:rsidR="00C469F2">
        <w:rPr>
          <w:rFonts w:ascii="Times New Roman" w:hAnsi="Times New Roman" w:cs="Times New Roman"/>
          <w:sz w:val="24"/>
          <w:szCs w:val="24"/>
        </w:rPr>
        <w:t xml:space="preserve">number </w:t>
      </w:r>
      <w:r>
        <w:rPr>
          <w:rFonts w:ascii="Times New Roman" w:hAnsi="Times New Roman" w:cs="Times New Roman"/>
          <w:sz w:val="24"/>
          <w:szCs w:val="24"/>
        </w:rPr>
        <w:t>(1) before the words ‘In this instrument’. This amendment is consequential to the insertion of new subsection 4(2) by item 7.</w:t>
      </w:r>
    </w:p>
    <w:p w14:paraId="7246E030" w14:textId="41DB0B57" w:rsidR="0084193B" w:rsidRDefault="0084193B" w:rsidP="0084193B">
      <w:pPr>
        <w:rPr>
          <w:rFonts w:ascii="Times New Roman" w:hAnsi="Times New Roman"/>
          <w:b/>
          <w:sz w:val="24"/>
          <w:szCs w:val="24"/>
        </w:rPr>
      </w:pPr>
      <w:r>
        <w:rPr>
          <w:rFonts w:ascii="Times New Roman" w:hAnsi="Times New Roman"/>
          <w:b/>
          <w:sz w:val="24"/>
          <w:szCs w:val="24"/>
        </w:rPr>
        <w:t>Item 4</w:t>
      </w:r>
      <w:r>
        <w:rPr>
          <w:rFonts w:ascii="Times New Roman" w:hAnsi="Times New Roman" w:cs="Times New Roman"/>
          <w:b/>
          <w:sz w:val="24"/>
          <w:szCs w:val="24"/>
        </w:rPr>
        <w:t xml:space="preserve"> – </w:t>
      </w:r>
      <w:r>
        <w:rPr>
          <w:rFonts w:ascii="Times New Roman" w:hAnsi="Times New Roman"/>
          <w:b/>
          <w:sz w:val="24"/>
          <w:szCs w:val="24"/>
        </w:rPr>
        <w:t xml:space="preserve">Section 4 (definition of “Opticomm Ltd”) </w:t>
      </w:r>
    </w:p>
    <w:p w14:paraId="4914AD72" w14:textId="261E3367" w:rsidR="009F0F30" w:rsidRPr="00D4286E" w:rsidRDefault="0084193B" w:rsidP="0084193B">
      <w:pPr>
        <w:rPr>
          <w:rFonts w:ascii="Times New Roman" w:hAnsi="Times New Roman" w:cs="Times New Roman"/>
          <w:sz w:val="24"/>
          <w:szCs w:val="24"/>
        </w:rPr>
      </w:pPr>
      <w:r w:rsidRPr="00D4286E">
        <w:rPr>
          <w:rFonts w:ascii="Times New Roman" w:hAnsi="Times New Roman" w:cs="Times New Roman"/>
          <w:sz w:val="24"/>
          <w:szCs w:val="24"/>
        </w:rPr>
        <w:t xml:space="preserve">Item 4 amends section 4 of the Principal Declaration by repealing the definition of </w:t>
      </w:r>
      <w:r w:rsidRPr="009E043D">
        <w:rPr>
          <w:rFonts w:ascii="Times New Roman" w:hAnsi="Times New Roman" w:cs="Times New Roman"/>
          <w:b/>
          <w:i/>
          <w:sz w:val="24"/>
          <w:szCs w:val="24"/>
        </w:rPr>
        <w:t>Opticomm Ltd</w:t>
      </w:r>
      <w:r w:rsidRPr="00D4286E">
        <w:rPr>
          <w:rFonts w:ascii="Times New Roman" w:hAnsi="Times New Roman" w:cs="Times New Roman"/>
          <w:sz w:val="24"/>
          <w:szCs w:val="24"/>
        </w:rPr>
        <w:t xml:space="preserve"> and replacing it with a definition of </w:t>
      </w:r>
      <w:r w:rsidRPr="009E043D">
        <w:rPr>
          <w:rFonts w:ascii="Times New Roman" w:hAnsi="Times New Roman" w:cs="Times New Roman"/>
          <w:b/>
          <w:i/>
          <w:sz w:val="24"/>
          <w:szCs w:val="24"/>
        </w:rPr>
        <w:t>Opticomm Pty Ltd</w:t>
      </w:r>
      <w:r w:rsidRPr="00D4286E">
        <w:rPr>
          <w:rFonts w:ascii="Times New Roman" w:hAnsi="Times New Roman" w:cs="Times New Roman"/>
          <w:sz w:val="24"/>
          <w:szCs w:val="24"/>
        </w:rPr>
        <w:t>. This reflects organisational changes in that company. The definition, including the Australian Company Number, is otherwise the same as in the Principal Declaration, with Opticomm Pty Ltd defined to mean Opticomm Pty Ltd</w:t>
      </w:r>
      <w:r w:rsidRPr="00D4286E" w:rsidDel="006E29EE">
        <w:rPr>
          <w:rFonts w:ascii="Times New Roman" w:hAnsi="Times New Roman" w:cs="Times New Roman"/>
          <w:sz w:val="24"/>
          <w:szCs w:val="24"/>
        </w:rPr>
        <w:t xml:space="preserve"> </w:t>
      </w:r>
      <w:r w:rsidRPr="00D4286E">
        <w:rPr>
          <w:rFonts w:ascii="Times New Roman" w:hAnsi="Times New Roman" w:cs="Times New Roman"/>
          <w:sz w:val="24"/>
          <w:szCs w:val="24"/>
        </w:rPr>
        <w:t>(ACN 117 414 776), as the company exists from time to time (even if its name is later changed).</w:t>
      </w:r>
    </w:p>
    <w:p w14:paraId="2A2F877B" w14:textId="1ED2B2F1" w:rsidR="0084193B" w:rsidRPr="00D4286E" w:rsidRDefault="0084193B" w:rsidP="0084193B">
      <w:pPr>
        <w:rPr>
          <w:rFonts w:ascii="Times New Roman" w:hAnsi="Times New Roman" w:cs="Times New Roman"/>
          <w:b/>
          <w:sz w:val="24"/>
          <w:szCs w:val="24"/>
        </w:rPr>
      </w:pPr>
      <w:r w:rsidRPr="00D4286E">
        <w:rPr>
          <w:rFonts w:ascii="Times New Roman" w:hAnsi="Times New Roman" w:cs="Times New Roman"/>
          <w:b/>
          <w:sz w:val="24"/>
          <w:szCs w:val="24"/>
        </w:rPr>
        <w:t>Item 5 – Section 4 (after definition of “Taipan Networx Pty Ltd”)</w:t>
      </w:r>
    </w:p>
    <w:p w14:paraId="4F8E3567" w14:textId="4C9F7F5B" w:rsidR="000231AE" w:rsidRDefault="0084193B" w:rsidP="0084193B">
      <w:pPr>
        <w:rPr>
          <w:rFonts w:ascii="Times New Roman" w:hAnsi="Times New Roman" w:cs="Times New Roman"/>
          <w:sz w:val="24"/>
          <w:szCs w:val="24"/>
        </w:rPr>
      </w:pPr>
      <w:r w:rsidRPr="00D4286E">
        <w:rPr>
          <w:rFonts w:ascii="Times New Roman" w:hAnsi="Times New Roman" w:cs="Times New Roman"/>
          <w:sz w:val="24"/>
          <w:szCs w:val="24"/>
        </w:rPr>
        <w:t xml:space="preserve">Item 5 inserts a new definition of </w:t>
      </w:r>
      <w:r w:rsidRPr="009E043D">
        <w:rPr>
          <w:rFonts w:ascii="Times New Roman" w:hAnsi="Times New Roman" w:cs="Times New Roman"/>
          <w:b/>
          <w:i/>
          <w:sz w:val="24"/>
          <w:szCs w:val="24"/>
        </w:rPr>
        <w:t>Telstra</w:t>
      </w:r>
      <w:r w:rsidRPr="00D4286E">
        <w:rPr>
          <w:rFonts w:ascii="Times New Roman" w:hAnsi="Times New Roman" w:cs="Times New Roman"/>
          <w:sz w:val="24"/>
          <w:szCs w:val="24"/>
        </w:rPr>
        <w:t xml:space="preserve"> into the Principal Declaration, with Telstra defined to mean either of Telstra Corporation Limited or Telstra Limited. </w:t>
      </w:r>
      <w:r w:rsidR="007A57E3" w:rsidRPr="00D4286E">
        <w:rPr>
          <w:rFonts w:ascii="Times New Roman" w:hAnsi="Times New Roman" w:cs="Times New Roman"/>
          <w:sz w:val="24"/>
          <w:szCs w:val="24"/>
        </w:rPr>
        <w:t>Th</w:t>
      </w:r>
      <w:r w:rsidR="006F4479">
        <w:rPr>
          <w:rFonts w:ascii="Times New Roman" w:hAnsi="Times New Roman" w:cs="Times New Roman"/>
          <w:sz w:val="24"/>
          <w:szCs w:val="24"/>
        </w:rPr>
        <w:t>e</w:t>
      </w:r>
      <w:r w:rsidR="007A57E3" w:rsidRPr="00D4286E">
        <w:rPr>
          <w:rFonts w:ascii="Times New Roman" w:hAnsi="Times New Roman" w:cs="Times New Roman"/>
          <w:sz w:val="24"/>
          <w:szCs w:val="24"/>
        </w:rPr>
        <w:t xml:space="preserve"> amendment i</w:t>
      </w:r>
      <w:r w:rsidR="000231AE">
        <w:rPr>
          <w:rFonts w:ascii="Times New Roman" w:hAnsi="Times New Roman" w:cs="Times New Roman"/>
          <w:sz w:val="24"/>
          <w:szCs w:val="24"/>
        </w:rPr>
        <w:t xml:space="preserve">s one of a number of </w:t>
      </w:r>
      <w:r w:rsidR="009A1B9B">
        <w:rPr>
          <w:rFonts w:ascii="Times New Roman" w:hAnsi="Times New Roman" w:cs="Times New Roman"/>
          <w:sz w:val="24"/>
          <w:szCs w:val="24"/>
        </w:rPr>
        <w:t>provisions</w:t>
      </w:r>
      <w:r w:rsidR="000231AE">
        <w:rPr>
          <w:rFonts w:ascii="Times New Roman" w:hAnsi="Times New Roman" w:cs="Times New Roman"/>
          <w:sz w:val="24"/>
          <w:szCs w:val="24"/>
        </w:rPr>
        <w:t xml:space="preserve"> dealing with the impact of Telstra’s corporate restructure on its SIP obligations, along with items 6, 7, 12 and 13 </w:t>
      </w:r>
      <w:r w:rsidR="009A1B9B">
        <w:rPr>
          <w:rFonts w:ascii="Times New Roman" w:hAnsi="Times New Roman" w:cs="Times New Roman"/>
          <w:sz w:val="24"/>
          <w:szCs w:val="24"/>
        </w:rPr>
        <w:t xml:space="preserve">of Schedule 1 </w:t>
      </w:r>
      <w:r w:rsidR="000231AE">
        <w:rPr>
          <w:rFonts w:ascii="Times New Roman" w:hAnsi="Times New Roman" w:cs="Times New Roman"/>
          <w:sz w:val="24"/>
          <w:szCs w:val="24"/>
        </w:rPr>
        <w:t>and Schedule 2.</w:t>
      </w:r>
    </w:p>
    <w:p w14:paraId="2801405F" w14:textId="11476A78" w:rsidR="000231AE" w:rsidRDefault="000231AE" w:rsidP="0084193B">
      <w:pPr>
        <w:rPr>
          <w:rFonts w:ascii="Times New Roman" w:hAnsi="Times New Roman" w:cs="Times New Roman"/>
          <w:sz w:val="24"/>
          <w:szCs w:val="24"/>
        </w:rPr>
      </w:pPr>
      <w:r>
        <w:rPr>
          <w:rFonts w:ascii="Times New Roman" w:hAnsi="Times New Roman" w:cs="Times New Roman"/>
          <w:sz w:val="24"/>
          <w:szCs w:val="24"/>
        </w:rPr>
        <w:t>Together these amendments:</w:t>
      </w:r>
    </w:p>
    <w:p w14:paraId="7BCC37CF" w14:textId="56E76980" w:rsidR="000231AE" w:rsidRDefault="000231AE" w:rsidP="000231A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repeal an instrument made earlier in 2022, the </w:t>
      </w:r>
      <w:r w:rsidRPr="00D4286E">
        <w:rPr>
          <w:rFonts w:ascii="Times New Roman" w:hAnsi="Times New Roman" w:cs="Times New Roman"/>
          <w:i/>
          <w:sz w:val="24"/>
          <w:szCs w:val="24"/>
        </w:rPr>
        <w:t>Telecommunications (Designated Service Area and Statutory Infrastructure Provider) Amendment Declaration (No. 1) 2022</w:t>
      </w:r>
      <w:r>
        <w:rPr>
          <w:rFonts w:ascii="Times New Roman" w:hAnsi="Times New Roman" w:cs="Times New Roman"/>
          <w:i/>
          <w:sz w:val="24"/>
          <w:szCs w:val="24"/>
        </w:rPr>
        <w:t xml:space="preserve"> </w:t>
      </w:r>
      <w:r>
        <w:rPr>
          <w:rFonts w:ascii="Times New Roman" w:hAnsi="Times New Roman" w:cs="Times New Roman"/>
          <w:sz w:val="24"/>
          <w:szCs w:val="24"/>
        </w:rPr>
        <w:t>(the First Amending Declaration);</w:t>
      </w:r>
    </w:p>
    <w:p w14:paraId="06C74219" w14:textId="05434059" w:rsidR="000231AE" w:rsidRDefault="000231AE" w:rsidP="000231A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define Telstra, Telstra Corporation Limited and Telstra Limited</w:t>
      </w:r>
      <w:r w:rsidR="00C10369">
        <w:rPr>
          <w:rFonts w:ascii="Times New Roman" w:hAnsi="Times New Roman" w:cs="Times New Roman"/>
          <w:sz w:val="24"/>
          <w:szCs w:val="24"/>
        </w:rPr>
        <w:t>; and</w:t>
      </w:r>
    </w:p>
    <w:p w14:paraId="59746F7C" w14:textId="466E91AF" w:rsidR="000231AE" w:rsidRPr="000231AE" w:rsidRDefault="000231AE" w:rsidP="00C10369">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specify when Telstra Corporation Limited and </w:t>
      </w:r>
      <w:r w:rsidR="004326AF">
        <w:rPr>
          <w:rFonts w:ascii="Times New Roman" w:hAnsi="Times New Roman" w:cs="Times New Roman"/>
          <w:sz w:val="24"/>
          <w:szCs w:val="24"/>
        </w:rPr>
        <w:t xml:space="preserve">then </w:t>
      </w:r>
      <w:r>
        <w:rPr>
          <w:rFonts w:ascii="Times New Roman" w:hAnsi="Times New Roman" w:cs="Times New Roman"/>
          <w:sz w:val="24"/>
          <w:szCs w:val="24"/>
        </w:rPr>
        <w:t xml:space="preserve">Telstra Limited respectively </w:t>
      </w:r>
      <w:r w:rsidR="00C10369">
        <w:rPr>
          <w:rFonts w:ascii="Times New Roman" w:hAnsi="Times New Roman" w:cs="Times New Roman"/>
          <w:sz w:val="24"/>
          <w:szCs w:val="24"/>
        </w:rPr>
        <w:t>must fulfil</w:t>
      </w:r>
      <w:r>
        <w:rPr>
          <w:rFonts w:ascii="Times New Roman" w:hAnsi="Times New Roman" w:cs="Times New Roman"/>
          <w:sz w:val="24"/>
          <w:szCs w:val="24"/>
        </w:rPr>
        <w:t xml:space="preserve"> SIP obligations</w:t>
      </w:r>
      <w:r w:rsidR="00C10369">
        <w:rPr>
          <w:rFonts w:ascii="Times New Roman" w:hAnsi="Times New Roman" w:cs="Times New Roman"/>
          <w:sz w:val="24"/>
          <w:szCs w:val="24"/>
        </w:rPr>
        <w:t>.</w:t>
      </w:r>
      <w:r>
        <w:rPr>
          <w:rFonts w:ascii="Times New Roman" w:hAnsi="Times New Roman" w:cs="Times New Roman"/>
          <w:sz w:val="24"/>
          <w:szCs w:val="24"/>
        </w:rPr>
        <w:t xml:space="preserve"> </w:t>
      </w:r>
    </w:p>
    <w:p w14:paraId="0C70E364" w14:textId="0EE8F893" w:rsidR="000231AE" w:rsidRDefault="00C10369" w:rsidP="0084193B">
      <w:pPr>
        <w:rPr>
          <w:rFonts w:ascii="Times New Roman" w:hAnsi="Times New Roman" w:cs="Times New Roman"/>
          <w:sz w:val="24"/>
          <w:szCs w:val="24"/>
        </w:rPr>
      </w:pPr>
      <w:r>
        <w:rPr>
          <w:rFonts w:ascii="Times New Roman" w:hAnsi="Times New Roman" w:cs="Times New Roman"/>
          <w:sz w:val="24"/>
          <w:szCs w:val="24"/>
        </w:rPr>
        <w:t>The First Amending Declaration anticipated Telstra’s restructure into different corporate entities</w:t>
      </w:r>
      <w:r w:rsidR="000C1DAC">
        <w:rPr>
          <w:rFonts w:ascii="Times New Roman" w:hAnsi="Times New Roman" w:cs="Times New Roman"/>
          <w:sz w:val="24"/>
          <w:szCs w:val="24"/>
        </w:rPr>
        <w:t xml:space="preserve">. Telstra has developed </w:t>
      </w:r>
      <w:r w:rsidR="000358C1">
        <w:rPr>
          <w:rFonts w:ascii="Times New Roman" w:hAnsi="Times New Roman" w:cs="Times New Roman"/>
          <w:sz w:val="24"/>
          <w:szCs w:val="24"/>
        </w:rPr>
        <w:t>a Scheme of Arrangement</w:t>
      </w:r>
      <w:r w:rsidR="00FB0A2D">
        <w:rPr>
          <w:rFonts w:ascii="Times New Roman" w:hAnsi="Times New Roman" w:cs="Times New Roman"/>
          <w:sz w:val="24"/>
          <w:szCs w:val="24"/>
        </w:rPr>
        <w:t xml:space="preserve"> that</w:t>
      </w:r>
      <w:r w:rsidR="000C1DAC">
        <w:rPr>
          <w:rFonts w:ascii="Times New Roman" w:hAnsi="Times New Roman" w:cs="Times New Roman"/>
          <w:sz w:val="24"/>
          <w:szCs w:val="24"/>
        </w:rPr>
        <w:t xml:space="preserve"> provides that </w:t>
      </w:r>
      <w:r>
        <w:rPr>
          <w:rFonts w:ascii="Times New Roman" w:hAnsi="Times New Roman" w:cs="Times New Roman"/>
          <w:sz w:val="24"/>
          <w:szCs w:val="24"/>
        </w:rPr>
        <w:t xml:space="preserve">Telstra assets and business lines </w:t>
      </w:r>
      <w:r w:rsidR="000C1DAC">
        <w:rPr>
          <w:rFonts w:ascii="Times New Roman" w:hAnsi="Times New Roman" w:cs="Times New Roman"/>
          <w:sz w:val="24"/>
          <w:szCs w:val="24"/>
        </w:rPr>
        <w:t>will be</w:t>
      </w:r>
      <w:r w:rsidR="000358C1">
        <w:rPr>
          <w:rFonts w:ascii="Times New Roman" w:hAnsi="Times New Roman" w:cs="Times New Roman"/>
          <w:sz w:val="24"/>
          <w:szCs w:val="24"/>
        </w:rPr>
        <w:t xml:space="preserve"> </w:t>
      </w:r>
      <w:r w:rsidR="000C1DAC">
        <w:rPr>
          <w:rFonts w:ascii="Times New Roman" w:hAnsi="Times New Roman" w:cs="Times New Roman"/>
          <w:sz w:val="24"/>
          <w:szCs w:val="24"/>
        </w:rPr>
        <w:t>allocated</w:t>
      </w:r>
      <w:r w:rsidR="000358C1">
        <w:rPr>
          <w:rFonts w:ascii="Times New Roman" w:hAnsi="Times New Roman" w:cs="Times New Roman"/>
          <w:sz w:val="24"/>
          <w:szCs w:val="24"/>
        </w:rPr>
        <w:t xml:space="preserve"> to </w:t>
      </w:r>
      <w:r>
        <w:rPr>
          <w:rFonts w:ascii="Times New Roman" w:hAnsi="Times New Roman" w:cs="Times New Roman"/>
          <w:sz w:val="24"/>
          <w:szCs w:val="24"/>
        </w:rPr>
        <w:t xml:space="preserve">different </w:t>
      </w:r>
      <w:r w:rsidR="000C1DAC">
        <w:rPr>
          <w:rFonts w:ascii="Times New Roman" w:hAnsi="Times New Roman" w:cs="Times New Roman"/>
          <w:sz w:val="24"/>
          <w:szCs w:val="24"/>
        </w:rPr>
        <w:t>companies within Telstra’s overall corporate group</w:t>
      </w:r>
      <w:r w:rsidR="000C1DAC" w:rsidRPr="000C1DAC">
        <w:rPr>
          <w:rFonts w:ascii="Times New Roman" w:hAnsi="Times New Roman" w:cs="Times New Roman"/>
          <w:sz w:val="24"/>
          <w:szCs w:val="24"/>
        </w:rPr>
        <w:t xml:space="preserve"> </w:t>
      </w:r>
      <w:r w:rsidR="000C1DAC">
        <w:rPr>
          <w:rFonts w:ascii="Times New Roman" w:hAnsi="Times New Roman" w:cs="Times New Roman"/>
          <w:sz w:val="24"/>
          <w:szCs w:val="24"/>
        </w:rPr>
        <w:t>on 1 January 2023</w:t>
      </w:r>
      <w:r>
        <w:rPr>
          <w:rFonts w:ascii="Times New Roman" w:hAnsi="Times New Roman" w:cs="Times New Roman"/>
          <w:sz w:val="24"/>
          <w:szCs w:val="24"/>
        </w:rPr>
        <w:t xml:space="preserve">. </w:t>
      </w:r>
      <w:r w:rsidR="000C1DAC">
        <w:rPr>
          <w:rFonts w:ascii="Times New Roman" w:hAnsi="Times New Roman" w:cs="Times New Roman"/>
          <w:sz w:val="24"/>
          <w:szCs w:val="24"/>
        </w:rPr>
        <w:t>O</w:t>
      </w:r>
      <w:r>
        <w:rPr>
          <w:rFonts w:ascii="Times New Roman" w:hAnsi="Times New Roman" w:cs="Times New Roman"/>
          <w:sz w:val="24"/>
          <w:szCs w:val="24"/>
        </w:rPr>
        <w:t xml:space="preserve">perational control of the FTTP networks in the Velocity estates will be </w:t>
      </w:r>
      <w:r w:rsidR="000358C1">
        <w:rPr>
          <w:rFonts w:ascii="Times New Roman" w:hAnsi="Times New Roman" w:cs="Times New Roman"/>
          <w:sz w:val="24"/>
          <w:szCs w:val="24"/>
        </w:rPr>
        <w:t>transferr</w:t>
      </w:r>
      <w:r>
        <w:rPr>
          <w:rFonts w:ascii="Times New Roman" w:hAnsi="Times New Roman" w:cs="Times New Roman"/>
          <w:sz w:val="24"/>
          <w:szCs w:val="24"/>
        </w:rPr>
        <w:t xml:space="preserve">ed from Telstra Corporation Limited to Telstra Limited. </w:t>
      </w:r>
      <w:r w:rsidR="000358C1">
        <w:rPr>
          <w:rFonts w:ascii="Times New Roman" w:hAnsi="Times New Roman" w:cs="Times New Roman"/>
          <w:sz w:val="24"/>
          <w:szCs w:val="24"/>
        </w:rPr>
        <w:t>Given that, t</w:t>
      </w:r>
      <w:r>
        <w:rPr>
          <w:rFonts w:ascii="Times New Roman" w:hAnsi="Times New Roman" w:cs="Times New Roman"/>
          <w:sz w:val="24"/>
          <w:szCs w:val="24"/>
        </w:rPr>
        <w:t xml:space="preserve">he First Amending Declaration </w:t>
      </w:r>
      <w:r w:rsidR="000358C1">
        <w:rPr>
          <w:rFonts w:ascii="Times New Roman" w:hAnsi="Times New Roman" w:cs="Times New Roman"/>
          <w:sz w:val="24"/>
          <w:szCs w:val="24"/>
        </w:rPr>
        <w:t xml:space="preserve">also provided for SIP responsibilities to be </w:t>
      </w:r>
      <w:r w:rsidR="000C1DAC">
        <w:rPr>
          <w:rFonts w:ascii="Times New Roman" w:hAnsi="Times New Roman" w:cs="Times New Roman"/>
          <w:sz w:val="24"/>
          <w:szCs w:val="24"/>
        </w:rPr>
        <w:t>transferred</w:t>
      </w:r>
      <w:r w:rsidR="000358C1">
        <w:rPr>
          <w:rFonts w:ascii="Times New Roman" w:hAnsi="Times New Roman" w:cs="Times New Roman"/>
          <w:sz w:val="24"/>
          <w:szCs w:val="24"/>
        </w:rPr>
        <w:t xml:space="preserve"> to Telstra Limited</w:t>
      </w:r>
      <w:r w:rsidR="009A1B9B">
        <w:rPr>
          <w:rFonts w:ascii="Times New Roman" w:hAnsi="Times New Roman" w:cs="Times New Roman"/>
          <w:sz w:val="24"/>
          <w:szCs w:val="24"/>
        </w:rPr>
        <w:t>, as it would be the entity best placed to fulfil th</w:t>
      </w:r>
      <w:r w:rsidR="000C1DAC">
        <w:rPr>
          <w:rFonts w:ascii="Times New Roman" w:hAnsi="Times New Roman" w:cs="Times New Roman"/>
          <w:sz w:val="24"/>
          <w:szCs w:val="24"/>
        </w:rPr>
        <w:t>ose obligations</w:t>
      </w:r>
      <w:r>
        <w:rPr>
          <w:rFonts w:ascii="Times New Roman" w:hAnsi="Times New Roman" w:cs="Times New Roman"/>
          <w:sz w:val="24"/>
          <w:szCs w:val="24"/>
        </w:rPr>
        <w:t>.</w:t>
      </w:r>
    </w:p>
    <w:p w14:paraId="5E8306A1" w14:textId="08806EAD" w:rsidR="00915FC7" w:rsidRDefault="000358C1" w:rsidP="0084193B">
      <w:pPr>
        <w:rPr>
          <w:rFonts w:ascii="Times New Roman" w:hAnsi="Times New Roman" w:cs="Times New Roman"/>
          <w:sz w:val="24"/>
          <w:szCs w:val="24"/>
        </w:rPr>
      </w:pPr>
      <w:r>
        <w:rPr>
          <w:rFonts w:ascii="Times New Roman" w:hAnsi="Times New Roman" w:cs="Times New Roman"/>
          <w:sz w:val="24"/>
          <w:szCs w:val="24"/>
        </w:rPr>
        <w:t xml:space="preserve">The First Amending Declaration </w:t>
      </w:r>
      <w:r w:rsidR="004326AF">
        <w:rPr>
          <w:rFonts w:ascii="Times New Roman" w:hAnsi="Times New Roman" w:cs="Times New Roman"/>
          <w:sz w:val="24"/>
          <w:szCs w:val="24"/>
        </w:rPr>
        <w:t>is expected</w:t>
      </w:r>
      <w:r w:rsidR="00915FC7">
        <w:rPr>
          <w:rFonts w:ascii="Times New Roman" w:hAnsi="Times New Roman" w:cs="Times New Roman"/>
          <w:sz w:val="24"/>
          <w:szCs w:val="24"/>
        </w:rPr>
        <w:t xml:space="preserve"> to</w:t>
      </w:r>
      <w:r>
        <w:rPr>
          <w:rFonts w:ascii="Times New Roman" w:hAnsi="Times New Roman" w:cs="Times New Roman"/>
          <w:sz w:val="24"/>
          <w:szCs w:val="24"/>
        </w:rPr>
        <w:t xml:space="preserve"> commence after 1 January 2023</w:t>
      </w:r>
      <w:r w:rsidR="009A1B9B">
        <w:rPr>
          <w:rFonts w:ascii="Times New Roman" w:hAnsi="Times New Roman" w:cs="Times New Roman"/>
          <w:sz w:val="24"/>
          <w:szCs w:val="24"/>
        </w:rPr>
        <w:t xml:space="preserve">, when the transfer of property under Telstra’s Scheme of Arrangement </w:t>
      </w:r>
      <w:r w:rsidR="00915FC7">
        <w:rPr>
          <w:rFonts w:ascii="Times New Roman" w:hAnsi="Times New Roman" w:cs="Times New Roman"/>
          <w:sz w:val="24"/>
          <w:szCs w:val="24"/>
        </w:rPr>
        <w:t>becomes effective</w:t>
      </w:r>
      <w:r>
        <w:rPr>
          <w:rFonts w:ascii="Times New Roman" w:hAnsi="Times New Roman" w:cs="Times New Roman"/>
          <w:sz w:val="24"/>
          <w:szCs w:val="24"/>
        </w:rPr>
        <w:t>.</w:t>
      </w:r>
    </w:p>
    <w:p w14:paraId="0A0E7745" w14:textId="1A94C5D8" w:rsidR="000231AE" w:rsidRDefault="009A1B9B" w:rsidP="0084193B">
      <w:pPr>
        <w:rPr>
          <w:rFonts w:ascii="Times New Roman" w:hAnsi="Times New Roman" w:cs="Times New Roman"/>
          <w:sz w:val="24"/>
          <w:szCs w:val="24"/>
        </w:rPr>
      </w:pPr>
      <w:r>
        <w:rPr>
          <w:rFonts w:ascii="Times New Roman" w:hAnsi="Times New Roman" w:cs="Times New Roman"/>
          <w:sz w:val="24"/>
          <w:szCs w:val="24"/>
        </w:rPr>
        <w:t>The First Amending Declaration would</w:t>
      </w:r>
      <w:r w:rsidR="000358C1">
        <w:rPr>
          <w:rFonts w:ascii="Times New Roman" w:hAnsi="Times New Roman" w:cs="Times New Roman"/>
          <w:sz w:val="24"/>
          <w:szCs w:val="24"/>
        </w:rPr>
        <w:t xml:space="preserve"> amend Schedule 16</w:t>
      </w:r>
      <w:r>
        <w:rPr>
          <w:rFonts w:ascii="Times New Roman" w:hAnsi="Times New Roman" w:cs="Times New Roman"/>
          <w:sz w:val="24"/>
          <w:szCs w:val="24"/>
        </w:rPr>
        <w:t xml:space="preserve">A of the Principal Declaration to insert new table headings. These amendments would not be able to be reconciled with </w:t>
      </w:r>
      <w:r w:rsidR="000358C1">
        <w:rPr>
          <w:rFonts w:ascii="Times New Roman" w:hAnsi="Times New Roman" w:cs="Times New Roman"/>
          <w:sz w:val="24"/>
          <w:szCs w:val="24"/>
        </w:rPr>
        <w:t xml:space="preserve">the </w:t>
      </w:r>
      <w:r>
        <w:rPr>
          <w:rFonts w:ascii="Times New Roman" w:hAnsi="Times New Roman" w:cs="Times New Roman"/>
          <w:sz w:val="24"/>
          <w:szCs w:val="24"/>
        </w:rPr>
        <w:t>amendment</w:t>
      </w:r>
      <w:r w:rsidR="000358C1">
        <w:rPr>
          <w:rFonts w:ascii="Times New Roman" w:hAnsi="Times New Roman" w:cs="Times New Roman"/>
          <w:sz w:val="24"/>
          <w:szCs w:val="24"/>
        </w:rPr>
        <w:t>s proposed by the Amending Declaration</w:t>
      </w:r>
      <w:r>
        <w:rPr>
          <w:rFonts w:ascii="Times New Roman" w:hAnsi="Times New Roman" w:cs="Times New Roman"/>
          <w:sz w:val="24"/>
          <w:szCs w:val="24"/>
        </w:rPr>
        <w:t>. The Amending Declaration will insert new table headings into</w:t>
      </w:r>
      <w:r w:rsidR="000358C1">
        <w:rPr>
          <w:rFonts w:ascii="Times New Roman" w:hAnsi="Times New Roman" w:cs="Times New Roman"/>
          <w:sz w:val="24"/>
          <w:szCs w:val="24"/>
        </w:rPr>
        <w:t xml:space="preserve"> Schedule 16A to provide that </w:t>
      </w:r>
      <w:r>
        <w:rPr>
          <w:rFonts w:ascii="Times New Roman" w:hAnsi="Times New Roman" w:cs="Times New Roman"/>
          <w:sz w:val="24"/>
          <w:szCs w:val="24"/>
        </w:rPr>
        <w:t>both Telstra and Opticomm are the SIPs for the Velocity estates (see items 12-13 below)</w:t>
      </w:r>
      <w:r w:rsidR="00C411AF">
        <w:rPr>
          <w:rFonts w:ascii="Times New Roman" w:hAnsi="Times New Roman" w:cs="Times New Roman"/>
          <w:sz w:val="24"/>
          <w:szCs w:val="24"/>
        </w:rPr>
        <w:t>.</w:t>
      </w:r>
      <w:r w:rsidR="000358C1">
        <w:rPr>
          <w:rFonts w:ascii="Times New Roman" w:hAnsi="Times New Roman" w:cs="Times New Roman"/>
          <w:sz w:val="24"/>
          <w:szCs w:val="24"/>
        </w:rPr>
        <w:t xml:space="preserve"> </w:t>
      </w:r>
      <w:r>
        <w:rPr>
          <w:rFonts w:ascii="Times New Roman" w:hAnsi="Times New Roman" w:cs="Times New Roman"/>
          <w:sz w:val="24"/>
          <w:szCs w:val="24"/>
        </w:rPr>
        <w:t>As a result, Schedule 2 will repeal the First Amending Declaration.</w:t>
      </w:r>
    </w:p>
    <w:p w14:paraId="40D11596" w14:textId="6C908598" w:rsidR="009A1B9B" w:rsidRDefault="009A1B9B" w:rsidP="0084193B">
      <w:pPr>
        <w:rPr>
          <w:rFonts w:ascii="Times New Roman" w:hAnsi="Times New Roman" w:cs="Times New Roman"/>
          <w:sz w:val="24"/>
          <w:szCs w:val="24"/>
        </w:rPr>
      </w:pPr>
      <w:r>
        <w:rPr>
          <w:rFonts w:ascii="Times New Roman" w:hAnsi="Times New Roman" w:cs="Times New Roman"/>
          <w:sz w:val="24"/>
          <w:szCs w:val="24"/>
        </w:rPr>
        <w:t xml:space="preserve">The repeal of the First Amending Declaration </w:t>
      </w:r>
      <w:r w:rsidR="00E77D6F">
        <w:rPr>
          <w:rFonts w:ascii="Times New Roman" w:hAnsi="Times New Roman" w:cs="Times New Roman"/>
          <w:sz w:val="24"/>
          <w:szCs w:val="24"/>
        </w:rPr>
        <w:t>then</w:t>
      </w:r>
      <w:r>
        <w:rPr>
          <w:rFonts w:ascii="Times New Roman" w:hAnsi="Times New Roman" w:cs="Times New Roman"/>
          <w:sz w:val="24"/>
          <w:szCs w:val="24"/>
        </w:rPr>
        <w:t xml:space="preserve"> need</w:t>
      </w:r>
      <w:r w:rsidR="00A56DDC">
        <w:rPr>
          <w:rFonts w:ascii="Times New Roman" w:hAnsi="Times New Roman" w:cs="Times New Roman"/>
          <w:sz w:val="24"/>
          <w:szCs w:val="24"/>
        </w:rPr>
        <w:t>s</w:t>
      </w:r>
      <w:r>
        <w:rPr>
          <w:rFonts w:ascii="Times New Roman" w:hAnsi="Times New Roman" w:cs="Times New Roman"/>
          <w:sz w:val="24"/>
          <w:szCs w:val="24"/>
        </w:rPr>
        <w:t xml:space="preserve"> to be supplemented with new drafting to reflect Telstra’s restructure and transfer SIP responsibilities, after 1 January 2023, </w:t>
      </w:r>
      <w:r>
        <w:rPr>
          <w:rFonts w:ascii="Times New Roman" w:hAnsi="Times New Roman" w:cs="Times New Roman"/>
          <w:sz w:val="24"/>
          <w:szCs w:val="24"/>
        </w:rPr>
        <w:lastRenderedPageBreak/>
        <w:t>from Telstra Corporation Limited to Telstra Limited. This is achieved by item</w:t>
      </w:r>
      <w:r w:rsidR="00915FC7">
        <w:rPr>
          <w:rFonts w:ascii="Times New Roman" w:hAnsi="Times New Roman" w:cs="Times New Roman"/>
          <w:sz w:val="24"/>
          <w:szCs w:val="24"/>
        </w:rPr>
        <w:t>s 6 and</w:t>
      </w:r>
      <w:r>
        <w:rPr>
          <w:rFonts w:ascii="Times New Roman" w:hAnsi="Times New Roman" w:cs="Times New Roman"/>
          <w:sz w:val="24"/>
          <w:szCs w:val="24"/>
        </w:rPr>
        <w:t xml:space="preserve"> 7 of Schedule 1 (below).</w:t>
      </w:r>
    </w:p>
    <w:p w14:paraId="097AA8BE" w14:textId="46F5FC0A" w:rsidR="009F0F30" w:rsidRDefault="009F0F30" w:rsidP="00D4286E">
      <w:pPr>
        <w:rPr>
          <w:rFonts w:ascii="Times New Roman" w:hAnsi="Times New Roman"/>
          <w:b/>
          <w:sz w:val="24"/>
          <w:szCs w:val="24"/>
        </w:rPr>
      </w:pPr>
      <w:r w:rsidRPr="00D4286E">
        <w:rPr>
          <w:rFonts w:ascii="Times New Roman" w:hAnsi="Times New Roman"/>
          <w:b/>
          <w:sz w:val="24"/>
          <w:szCs w:val="24"/>
        </w:rPr>
        <w:t xml:space="preserve">Item </w:t>
      </w:r>
      <w:r w:rsidR="00D4286E">
        <w:rPr>
          <w:rFonts w:ascii="Times New Roman" w:hAnsi="Times New Roman"/>
          <w:b/>
          <w:sz w:val="24"/>
          <w:szCs w:val="24"/>
        </w:rPr>
        <w:t xml:space="preserve">6 – Section 4 </w:t>
      </w:r>
      <w:r w:rsidRPr="00D4286E">
        <w:rPr>
          <w:rFonts w:ascii="Times New Roman" w:hAnsi="Times New Roman"/>
          <w:b/>
          <w:sz w:val="24"/>
          <w:szCs w:val="24"/>
        </w:rPr>
        <w:t xml:space="preserve">(after definition of “Telstra Corporation Limited”) </w:t>
      </w:r>
    </w:p>
    <w:p w14:paraId="65D2EE50" w14:textId="76373D0E" w:rsidR="00D4286E" w:rsidRDefault="00D4286E" w:rsidP="00D4286E">
      <w:pPr>
        <w:rPr>
          <w:rFonts w:ascii="Times New Roman" w:hAnsi="Times New Roman"/>
          <w:sz w:val="24"/>
          <w:szCs w:val="24"/>
        </w:rPr>
      </w:pPr>
      <w:r>
        <w:rPr>
          <w:rFonts w:ascii="Times New Roman" w:hAnsi="Times New Roman"/>
          <w:sz w:val="24"/>
          <w:szCs w:val="24"/>
        </w:rPr>
        <w:t xml:space="preserve">Item 6 inserts two new definitions into section 4 of the Principal Declaration. </w:t>
      </w:r>
    </w:p>
    <w:p w14:paraId="402E3A1F" w14:textId="24E3E1F8" w:rsidR="00D4286E" w:rsidRDefault="00D4286E" w:rsidP="00D4286E">
      <w:pPr>
        <w:rPr>
          <w:rFonts w:ascii="Times New Roman" w:hAnsi="Times New Roman"/>
          <w:sz w:val="24"/>
          <w:szCs w:val="24"/>
        </w:rPr>
      </w:pPr>
      <w:r>
        <w:rPr>
          <w:rFonts w:ascii="Times New Roman" w:hAnsi="Times New Roman"/>
          <w:sz w:val="24"/>
          <w:szCs w:val="24"/>
        </w:rPr>
        <w:t xml:space="preserve">First, it inserts a definition of </w:t>
      </w:r>
      <w:r w:rsidRPr="006F30D6">
        <w:rPr>
          <w:rFonts w:ascii="Times New Roman" w:hAnsi="Times New Roman"/>
          <w:b/>
          <w:i/>
          <w:sz w:val="24"/>
          <w:szCs w:val="24"/>
        </w:rPr>
        <w:t>Telstra Limited</w:t>
      </w:r>
      <w:r>
        <w:rPr>
          <w:rFonts w:ascii="Times New Roman" w:hAnsi="Times New Roman"/>
          <w:sz w:val="24"/>
          <w:szCs w:val="24"/>
        </w:rPr>
        <w:t xml:space="preserve">. This is defined to mean </w:t>
      </w:r>
      <w:r w:rsidRPr="00D4286E">
        <w:rPr>
          <w:rFonts w:ascii="Times New Roman" w:hAnsi="Times New Roman"/>
          <w:sz w:val="24"/>
          <w:szCs w:val="24"/>
        </w:rPr>
        <w:t>Telstra Limited (ACN 086 174 781) as the company exists from time to time (even if its name is later changed).</w:t>
      </w:r>
      <w:r>
        <w:rPr>
          <w:rFonts w:ascii="Times New Roman" w:hAnsi="Times New Roman"/>
          <w:sz w:val="24"/>
          <w:szCs w:val="24"/>
        </w:rPr>
        <w:t xml:space="preserve"> </w:t>
      </w:r>
      <w:r w:rsidR="009E043D">
        <w:rPr>
          <w:rFonts w:ascii="Times New Roman" w:hAnsi="Times New Roman"/>
          <w:sz w:val="24"/>
          <w:szCs w:val="24"/>
        </w:rPr>
        <w:t>The definition is consequential to item 5.</w:t>
      </w:r>
      <w:r w:rsidR="006F4479">
        <w:rPr>
          <w:rFonts w:ascii="Times New Roman" w:hAnsi="Times New Roman"/>
          <w:sz w:val="24"/>
          <w:szCs w:val="24"/>
        </w:rPr>
        <w:t xml:space="preserve"> Telstra Limited will assume operational control of the FTTP networks in the Velocity estates once Telstra’s restructure has taken effect</w:t>
      </w:r>
      <w:r w:rsidR="00A56DDC">
        <w:rPr>
          <w:rFonts w:ascii="Times New Roman" w:hAnsi="Times New Roman"/>
          <w:sz w:val="24"/>
          <w:szCs w:val="24"/>
        </w:rPr>
        <w:t xml:space="preserve"> on 1 January 2023</w:t>
      </w:r>
      <w:r w:rsidR="00621275">
        <w:rPr>
          <w:rFonts w:ascii="Times New Roman" w:hAnsi="Times New Roman"/>
          <w:sz w:val="24"/>
          <w:szCs w:val="24"/>
        </w:rPr>
        <w:t>.</w:t>
      </w:r>
    </w:p>
    <w:p w14:paraId="2472E84F" w14:textId="7DA20A87" w:rsidR="00621275" w:rsidRPr="00D4286E" w:rsidRDefault="00621275" w:rsidP="00D4286E">
      <w:pPr>
        <w:rPr>
          <w:rFonts w:ascii="Times New Roman" w:hAnsi="Times New Roman"/>
          <w:sz w:val="24"/>
          <w:szCs w:val="24"/>
        </w:rPr>
      </w:pPr>
      <w:r>
        <w:rPr>
          <w:rFonts w:ascii="Times New Roman" w:hAnsi="Times New Roman"/>
          <w:sz w:val="24"/>
          <w:szCs w:val="24"/>
        </w:rPr>
        <w:t xml:space="preserve">Second, item 6 inserts a definition of </w:t>
      </w:r>
      <w:r w:rsidRPr="006F30D6">
        <w:rPr>
          <w:rFonts w:ascii="Times New Roman" w:hAnsi="Times New Roman"/>
          <w:b/>
          <w:i/>
          <w:sz w:val="24"/>
          <w:szCs w:val="24"/>
        </w:rPr>
        <w:t>Telstra-</w:t>
      </w:r>
      <w:r w:rsidR="006F30D6" w:rsidRPr="006F30D6">
        <w:rPr>
          <w:rFonts w:ascii="Times New Roman" w:hAnsi="Times New Roman"/>
          <w:b/>
          <w:i/>
          <w:sz w:val="24"/>
          <w:szCs w:val="24"/>
        </w:rPr>
        <w:t>Equipped Services</w:t>
      </w:r>
      <w:r w:rsidR="006F30D6">
        <w:rPr>
          <w:rFonts w:ascii="Times New Roman" w:hAnsi="Times New Roman"/>
          <w:sz w:val="24"/>
          <w:szCs w:val="24"/>
        </w:rPr>
        <w:t>.</w:t>
      </w:r>
      <w:r w:rsidR="003B7467">
        <w:rPr>
          <w:rFonts w:ascii="Times New Roman" w:hAnsi="Times New Roman"/>
          <w:sz w:val="24"/>
          <w:szCs w:val="24"/>
        </w:rPr>
        <w:t xml:space="preserve"> This is a key definition for both the Amending Declaration and the Exceptions Determination</w:t>
      </w:r>
      <w:r w:rsidR="00625280">
        <w:rPr>
          <w:rFonts w:ascii="Times New Roman" w:hAnsi="Times New Roman"/>
          <w:sz w:val="24"/>
          <w:szCs w:val="24"/>
        </w:rPr>
        <w:t xml:space="preserve"> and is used to </w:t>
      </w:r>
      <w:r w:rsidR="0093795B">
        <w:rPr>
          <w:rFonts w:ascii="Times New Roman" w:hAnsi="Times New Roman"/>
          <w:sz w:val="24"/>
          <w:szCs w:val="24"/>
        </w:rPr>
        <w:t>identify</w:t>
      </w:r>
      <w:r w:rsidR="00625280">
        <w:rPr>
          <w:rFonts w:ascii="Times New Roman" w:hAnsi="Times New Roman"/>
          <w:sz w:val="24"/>
          <w:szCs w:val="24"/>
        </w:rPr>
        <w:t xml:space="preserve"> services that can only be supplied at premises in the Velocity estates before Telstra</w:t>
      </w:r>
      <w:r w:rsidR="0093795B">
        <w:rPr>
          <w:rFonts w:ascii="Times New Roman" w:hAnsi="Times New Roman"/>
          <w:sz w:val="24"/>
          <w:szCs w:val="24"/>
        </w:rPr>
        <w:t xml:space="preserve"> disconnects its equipment</w:t>
      </w:r>
      <w:r w:rsidR="00625280">
        <w:rPr>
          <w:rFonts w:ascii="Times New Roman" w:hAnsi="Times New Roman"/>
          <w:sz w:val="24"/>
          <w:szCs w:val="24"/>
        </w:rPr>
        <w:t>.</w:t>
      </w:r>
    </w:p>
    <w:p w14:paraId="6A3A556C" w14:textId="4EA10D43" w:rsidR="0093795B" w:rsidRDefault="009F0F30" w:rsidP="00E40A50">
      <w:pPr>
        <w:rPr>
          <w:rFonts w:ascii="Times New Roman" w:hAnsi="Times New Roman" w:cs="Times New Roman"/>
          <w:sz w:val="24"/>
          <w:szCs w:val="24"/>
        </w:rPr>
      </w:pPr>
      <w:r w:rsidRPr="00E97CC8">
        <w:rPr>
          <w:rFonts w:ascii="Times New Roman" w:hAnsi="Times New Roman" w:cs="Times New Roman"/>
          <w:sz w:val="24"/>
          <w:szCs w:val="24"/>
        </w:rPr>
        <w:t>Telstra-</w:t>
      </w:r>
      <w:r w:rsidRPr="00E97CC8">
        <w:rPr>
          <w:rFonts w:ascii="Times New Roman" w:hAnsi="Times New Roman"/>
          <w:sz w:val="24"/>
          <w:szCs w:val="24"/>
        </w:rPr>
        <w:t>Equipped</w:t>
      </w:r>
      <w:r w:rsidRPr="00E97CC8">
        <w:rPr>
          <w:rFonts w:ascii="Times New Roman" w:hAnsi="Times New Roman" w:cs="Times New Roman"/>
          <w:sz w:val="24"/>
          <w:szCs w:val="24"/>
        </w:rPr>
        <w:t xml:space="preserve"> Services</w:t>
      </w:r>
      <w:r w:rsidRPr="00E40A50">
        <w:rPr>
          <w:rFonts w:ascii="Times New Roman" w:hAnsi="Times New Roman" w:cs="Times New Roman"/>
          <w:sz w:val="24"/>
          <w:szCs w:val="24"/>
        </w:rPr>
        <w:t xml:space="preserve"> </w:t>
      </w:r>
      <w:r w:rsidR="00E97CC8">
        <w:rPr>
          <w:rFonts w:ascii="Times New Roman" w:hAnsi="Times New Roman" w:cs="Times New Roman"/>
          <w:sz w:val="24"/>
          <w:szCs w:val="24"/>
        </w:rPr>
        <w:t xml:space="preserve">are defined </w:t>
      </w:r>
      <w:r w:rsidR="00915FC7">
        <w:rPr>
          <w:rFonts w:ascii="Times New Roman" w:hAnsi="Times New Roman" w:cs="Times New Roman"/>
          <w:sz w:val="24"/>
          <w:szCs w:val="24"/>
        </w:rPr>
        <w:t>by reference to two characteristics</w:t>
      </w:r>
      <w:r w:rsidR="00E40A50">
        <w:rPr>
          <w:rFonts w:ascii="Times New Roman" w:hAnsi="Times New Roman" w:cs="Times New Roman"/>
          <w:sz w:val="24"/>
          <w:szCs w:val="24"/>
        </w:rPr>
        <w:t>.</w:t>
      </w:r>
    </w:p>
    <w:p w14:paraId="30DBDD65" w14:textId="2277D530" w:rsidR="009F0F30" w:rsidRPr="00E40A50" w:rsidRDefault="00E40A50" w:rsidP="00E40A50">
      <w:pPr>
        <w:rPr>
          <w:rFonts w:ascii="Times New Roman" w:hAnsi="Times New Roman" w:cs="Times New Roman"/>
          <w:sz w:val="24"/>
          <w:szCs w:val="24"/>
        </w:rPr>
      </w:pPr>
      <w:r>
        <w:rPr>
          <w:rFonts w:ascii="Times New Roman" w:hAnsi="Times New Roman" w:cs="Times New Roman"/>
          <w:sz w:val="24"/>
          <w:szCs w:val="24"/>
        </w:rPr>
        <w:t xml:space="preserve">First, the service must be one </w:t>
      </w:r>
      <w:r w:rsidR="009F0F30" w:rsidRPr="00E40A50">
        <w:rPr>
          <w:rFonts w:ascii="Times New Roman" w:hAnsi="Times New Roman" w:cs="Times New Roman"/>
          <w:sz w:val="24"/>
          <w:szCs w:val="24"/>
        </w:rPr>
        <w:t xml:space="preserve">in relation to which Telstra is in a position to exercise operational control of: </w:t>
      </w:r>
    </w:p>
    <w:p w14:paraId="7DC92FDF" w14:textId="77777777" w:rsidR="009F0F30" w:rsidRPr="00E40A50" w:rsidRDefault="009F0F30" w:rsidP="00E40A50">
      <w:pPr>
        <w:pStyle w:val="ListParagraph"/>
        <w:numPr>
          <w:ilvl w:val="0"/>
          <w:numId w:val="9"/>
        </w:numPr>
        <w:rPr>
          <w:rFonts w:ascii="Times New Roman" w:hAnsi="Times New Roman" w:cs="Times New Roman"/>
          <w:sz w:val="24"/>
          <w:szCs w:val="24"/>
        </w:rPr>
      </w:pPr>
      <w:r w:rsidRPr="00E40A50">
        <w:rPr>
          <w:rFonts w:ascii="Times New Roman" w:hAnsi="Times New Roman" w:cs="Times New Roman"/>
          <w:sz w:val="24"/>
          <w:szCs w:val="24"/>
        </w:rPr>
        <w:t xml:space="preserve">all or part of the telecommunications network in the designated service area; or </w:t>
      </w:r>
    </w:p>
    <w:p w14:paraId="2A3E8974" w14:textId="1E78C1C3" w:rsidR="009F0F30" w:rsidRPr="00E40A50" w:rsidRDefault="009F0F30" w:rsidP="00E40A50">
      <w:pPr>
        <w:pStyle w:val="ListParagraph"/>
        <w:numPr>
          <w:ilvl w:val="0"/>
          <w:numId w:val="9"/>
        </w:numPr>
        <w:rPr>
          <w:rFonts w:ascii="Times New Roman" w:hAnsi="Times New Roman" w:cs="Times New Roman"/>
          <w:sz w:val="24"/>
          <w:szCs w:val="24"/>
        </w:rPr>
      </w:pPr>
      <w:r w:rsidRPr="00E40A50">
        <w:rPr>
          <w:rFonts w:ascii="Times New Roman" w:hAnsi="Times New Roman" w:cs="Times New Roman"/>
          <w:sz w:val="24"/>
          <w:szCs w:val="24"/>
        </w:rPr>
        <w:t>the kinds of services that are supplied using the telecommunications network in the designated service area</w:t>
      </w:r>
      <w:r w:rsidR="00E40A50">
        <w:rPr>
          <w:rFonts w:ascii="Times New Roman" w:hAnsi="Times New Roman" w:cs="Times New Roman"/>
          <w:sz w:val="24"/>
          <w:szCs w:val="24"/>
        </w:rPr>
        <w:t>.</w:t>
      </w:r>
    </w:p>
    <w:p w14:paraId="3C2C0254" w14:textId="23605FA4" w:rsidR="009F0F30" w:rsidRPr="00E40A50" w:rsidRDefault="00E40A50" w:rsidP="00E40A50">
      <w:pPr>
        <w:rPr>
          <w:rFonts w:ascii="Times New Roman" w:hAnsi="Times New Roman" w:cs="Times New Roman"/>
          <w:sz w:val="24"/>
          <w:szCs w:val="24"/>
        </w:rPr>
      </w:pPr>
      <w:r>
        <w:rPr>
          <w:rFonts w:ascii="Times New Roman" w:hAnsi="Times New Roman" w:cs="Times New Roman"/>
          <w:sz w:val="24"/>
          <w:szCs w:val="24"/>
        </w:rPr>
        <w:t xml:space="preserve">Second, </w:t>
      </w:r>
      <w:r w:rsidR="009F0F30" w:rsidRPr="00E40A50">
        <w:rPr>
          <w:rFonts w:ascii="Times New Roman" w:hAnsi="Times New Roman" w:cs="Times New Roman"/>
          <w:sz w:val="24"/>
          <w:szCs w:val="24"/>
        </w:rPr>
        <w:t xml:space="preserve">the service </w:t>
      </w:r>
      <w:r>
        <w:rPr>
          <w:rFonts w:ascii="Times New Roman" w:hAnsi="Times New Roman" w:cs="Times New Roman"/>
          <w:sz w:val="24"/>
          <w:szCs w:val="24"/>
        </w:rPr>
        <w:t>must be</w:t>
      </w:r>
      <w:r w:rsidR="009F0F30" w:rsidRPr="00E40A50">
        <w:rPr>
          <w:rFonts w:ascii="Times New Roman" w:hAnsi="Times New Roman" w:cs="Times New Roman"/>
          <w:sz w:val="24"/>
          <w:szCs w:val="24"/>
        </w:rPr>
        <w:t xml:space="preserve"> either:</w:t>
      </w:r>
    </w:p>
    <w:p w14:paraId="7F622C86" w14:textId="1D93A8B2" w:rsidR="009F0F30" w:rsidRPr="00E40A50" w:rsidRDefault="009F0F30" w:rsidP="00E40A50">
      <w:pPr>
        <w:pStyle w:val="ListParagraph"/>
        <w:numPr>
          <w:ilvl w:val="0"/>
          <w:numId w:val="10"/>
        </w:numPr>
        <w:rPr>
          <w:rFonts w:ascii="Times New Roman" w:hAnsi="Times New Roman" w:cs="Times New Roman"/>
          <w:sz w:val="24"/>
          <w:szCs w:val="24"/>
        </w:rPr>
      </w:pPr>
      <w:r w:rsidRPr="00E40A50">
        <w:rPr>
          <w:rFonts w:ascii="Times New Roman" w:hAnsi="Times New Roman" w:cs="Times New Roman"/>
          <w:sz w:val="24"/>
          <w:szCs w:val="24"/>
        </w:rPr>
        <w:t xml:space="preserve">a </w:t>
      </w:r>
      <w:r w:rsidR="00E40A50">
        <w:rPr>
          <w:rFonts w:ascii="Times New Roman" w:hAnsi="Times New Roman" w:cs="Times New Roman"/>
          <w:sz w:val="24"/>
          <w:szCs w:val="24"/>
        </w:rPr>
        <w:t xml:space="preserve">qualifying fixed-line </w:t>
      </w:r>
      <w:r w:rsidRPr="00E40A50">
        <w:rPr>
          <w:rFonts w:ascii="Times New Roman" w:hAnsi="Times New Roman" w:cs="Times New Roman"/>
          <w:sz w:val="24"/>
          <w:szCs w:val="24"/>
        </w:rPr>
        <w:t>carriage service which Telstra supplies to end-users at the premises in a designated service area; or</w:t>
      </w:r>
    </w:p>
    <w:p w14:paraId="745312FA" w14:textId="56218520" w:rsidR="009F0F30" w:rsidRDefault="009F0F30" w:rsidP="00E40A50">
      <w:pPr>
        <w:pStyle w:val="ListParagraph"/>
        <w:numPr>
          <w:ilvl w:val="0"/>
          <w:numId w:val="10"/>
        </w:numPr>
        <w:rPr>
          <w:rFonts w:ascii="Times New Roman" w:hAnsi="Times New Roman" w:cs="Times New Roman"/>
          <w:sz w:val="24"/>
          <w:szCs w:val="24"/>
        </w:rPr>
      </w:pPr>
      <w:r w:rsidRPr="00E40A50">
        <w:rPr>
          <w:rFonts w:ascii="Times New Roman" w:hAnsi="Times New Roman" w:cs="Times New Roman"/>
          <w:sz w:val="24"/>
          <w:szCs w:val="24"/>
        </w:rPr>
        <w:t xml:space="preserve">an eligible service which Telstra supplies to another </w:t>
      </w:r>
      <w:r w:rsidR="00E40A50">
        <w:rPr>
          <w:rFonts w:ascii="Times New Roman" w:hAnsi="Times New Roman" w:cs="Times New Roman"/>
          <w:sz w:val="24"/>
          <w:szCs w:val="24"/>
        </w:rPr>
        <w:t>CSP</w:t>
      </w:r>
      <w:r w:rsidRPr="00E40A50">
        <w:rPr>
          <w:rFonts w:ascii="Times New Roman" w:hAnsi="Times New Roman" w:cs="Times New Roman"/>
          <w:sz w:val="24"/>
          <w:szCs w:val="24"/>
        </w:rPr>
        <w:t xml:space="preserve"> in order that the other </w:t>
      </w:r>
      <w:r w:rsidR="00E40A50">
        <w:rPr>
          <w:rFonts w:ascii="Times New Roman" w:hAnsi="Times New Roman" w:cs="Times New Roman"/>
          <w:sz w:val="24"/>
          <w:szCs w:val="24"/>
        </w:rPr>
        <w:t>CSP</w:t>
      </w:r>
      <w:r w:rsidRPr="00E40A50">
        <w:rPr>
          <w:rFonts w:ascii="Times New Roman" w:hAnsi="Times New Roman" w:cs="Times New Roman"/>
          <w:sz w:val="24"/>
          <w:szCs w:val="24"/>
        </w:rPr>
        <w:t xml:space="preserve"> can provide qualifying </w:t>
      </w:r>
      <w:r w:rsidR="00E40A50">
        <w:rPr>
          <w:rFonts w:ascii="Times New Roman" w:hAnsi="Times New Roman" w:cs="Times New Roman"/>
          <w:sz w:val="24"/>
          <w:szCs w:val="24"/>
        </w:rPr>
        <w:t xml:space="preserve">fixed-line </w:t>
      </w:r>
      <w:r w:rsidRPr="00E40A50">
        <w:rPr>
          <w:rFonts w:ascii="Times New Roman" w:hAnsi="Times New Roman" w:cs="Times New Roman"/>
          <w:sz w:val="24"/>
          <w:szCs w:val="24"/>
        </w:rPr>
        <w:t>carriage services to end-users at premises in a designated service area.</w:t>
      </w:r>
    </w:p>
    <w:p w14:paraId="5EFD01C7" w14:textId="739CB007" w:rsidR="00E40A50" w:rsidRDefault="005A541C" w:rsidP="00E40A50">
      <w:pPr>
        <w:rPr>
          <w:rFonts w:ascii="Times New Roman" w:hAnsi="Times New Roman" w:cs="Times New Roman"/>
          <w:sz w:val="24"/>
          <w:szCs w:val="24"/>
        </w:rPr>
      </w:pPr>
      <w:r>
        <w:rPr>
          <w:rFonts w:ascii="Times New Roman" w:hAnsi="Times New Roman" w:cs="Times New Roman"/>
          <w:sz w:val="24"/>
          <w:szCs w:val="24"/>
        </w:rPr>
        <w:t xml:space="preserve">‘Operational control’ is </w:t>
      </w:r>
      <w:r w:rsidR="00A56DDC">
        <w:rPr>
          <w:rFonts w:ascii="Times New Roman" w:hAnsi="Times New Roman" w:cs="Times New Roman"/>
          <w:sz w:val="24"/>
          <w:szCs w:val="24"/>
        </w:rPr>
        <w:t>not defined and is therefore to be understood in relation to ordinary usage</w:t>
      </w:r>
      <w:r>
        <w:rPr>
          <w:rFonts w:ascii="Times New Roman" w:hAnsi="Times New Roman" w:cs="Times New Roman"/>
          <w:sz w:val="24"/>
          <w:szCs w:val="24"/>
        </w:rPr>
        <w:t>. The intention is that it would refer to an ability to control the day-to-day management and operation of the FTTP networks in the Velocity estates, including control of the kinds of services that are supplied. Once Telstra has disconnected Telstra-Equipped Services at premises, and Opticomm has connected the premises to its networks, Telstra would no longer be able to control such things as the day-to-day management and operation, or the kinds of services that are supplied. These would instead be determined by Opticomm.</w:t>
      </w:r>
    </w:p>
    <w:p w14:paraId="322BEE76" w14:textId="273CF1A1" w:rsidR="005A541C" w:rsidRDefault="005A541C" w:rsidP="00E40A50">
      <w:pPr>
        <w:rPr>
          <w:rFonts w:ascii="Times New Roman" w:hAnsi="Times New Roman" w:cs="Times New Roman"/>
          <w:sz w:val="24"/>
          <w:szCs w:val="24"/>
        </w:rPr>
      </w:pPr>
      <w:r>
        <w:rPr>
          <w:rFonts w:ascii="Times New Roman" w:hAnsi="Times New Roman" w:cs="Times New Roman"/>
          <w:sz w:val="24"/>
          <w:szCs w:val="24"/>
        </w:rPr>
        <w:t>‘Qualifying fixed-line carriage service’ is defined in section 360A of the Act, and means a carriage service where:</w:t>
      </w:r>
    </w:p>
    <w:p w14:paraId="680E6BE7" w14:textId="453668D8" w:rsidR="005A541C" w:rsidRDefault="00557134" w:rsidP="00E40A50">
      <w:pPr>
        <w:rPr>
          <w:rFonts w:ascii="Times New Roman" w:hAnsi="Times New Roman" w:cs="Times New Roman"/>
          <w:sz w:val="24"/>
          <w:szCs w:val="24"/>
        </w:rPr>
      </w:pPr>
      <w:r>
        <w:rPr>
          <w:rFonts w:ascii="Times New Roman" w:hAnsi="Times New Roman" w:cs="Times New Roman"/>
          <w:sz w:val="24"/>
          <w:szCs w:val="24"/>
        </w:rPr>
        <w:t>a)</w:t>
      </w:r>
      <w:r w:rsidR="00A56DDC">
        <w:rPr>
          <w:rFonts w:ascii="Times New Roman" w:hAnsi="Times New Roman" w:cs="Times New Roman"/>
          <w:sz w:val="24"/>
          <w:szCs w:val="24"/>
        </w:rPr>
        <w:tab/>
      </w:r>
      <w:r>
        <w:rPr>
          <w:rFonts w:ascii="Times New Roman" w:hAnsi="Times New Roman" w:cs="Times New Roman"/>
          <w:sz w:val="24"/>
          <w:szCs w:val="24"/>
        </w:rPr>
        <w:t>the carriage service enables end-users to download communications; and</w:t>
      </w:r>
    </w:p>
    <w:p w14:paraId="7489CA4B" w14:textId="0C920884" w:rsidR="00557134" w:rsidRDefault="00557134" w:rsidP="00E52430">
      <w:pPr>
        <w:ind w:left="709" w:hanging="709"/>
        <w:rPr>
          <w:rFonts w:ascii="Times New Roman" w:hAnsi="Times New Roman" w:cs="Times New Roman"/>
          <w:sz w:val="24"/>
          <w:szCs w:val="24"/>
        </w:rPr>
      </w:pPr>
      <w:r>
        <w:rPr>
          <w:rFonts w:ascii="Times New Roman" w:hAnsi="Times New Roman" w:cs="Times New Roman"/>
          <w:sz w:val="24"/>
          <w:szCs w:val="24"/>
        </w:rPr>
        <w:t>b)</w:t>
      </w:r>
      <w:r w:rsidR="00A56652">
        <w:rPr>
          <w:rFonts w:ascii="Times New Roman" w:hAnsi="Times New Roman" w:cs="Times New Roman"/>
          <w:sz w:val="24"/>
          <w:szCs w:val="24"/>
        </w:rPr>
        <w:tab/>
      </w:r>
      <w:r w:rsidR="00A56DDC">
        <w:rPr>
          <w:rFonts w:ascii="Times New Roman" w:hAnsi="Times New Roman" w:cs="Times New Roman"/>
          <w:sz w:val="24"/>
          <w:szCs w:val="24"/>
        </w:rPr>
        <w:tab/>
      </w:r>
      <w:r>
        <w:rPr>
          <w:rFonts w:ascii="Times New Roman" w:hAnsi="Times New Roman" w:cs="Times New Roman"/>
          <w:sz w:val="24"/>
          <w:szCs w:val="24"/>
        </w:rPr>
        <w:t xml:space="preserve">the carriage service is supplied using a line to premises occupied or used by an </w:t>
      </w:r>
      <w:r w:rsidR="00FB0A2D">
        <w:rPr>
          <w:rFonts w:ascii="Times New Roman" w:hAnsi="Times New Roman" w:cs="Times New Roman"/>
          <w:sz w:val="24"/>
          <w:szCs w:val="24"/>
        </w:rPr>
        <w:br/>
      </w:r>
      <w:r>
        <w:rPr>
          <w:rFonts w:ascii="Times New Roman" w:hAnsi="Times New Roman" w:cs="Times New Roman"/>
          <w:sz w:val="24"/>
          <w:szCs w:val="24"/>
        </w:rPr>
        <w:t>end-user; and</w:t>
      </w:r>
    </w:p>
    <w:p w14:paraId="30B1FAC5" w14:textId="5C75B6D2" w:rsidR="00557134" w:rsidRDefault="00557134" w:rsidP="00E52430">
      <w:pPr>
        <w:ind w:left="709" w:hanging="709"/>
        <w:rPr>
          <w:rFonts w:ascii="Times New Roman" w:hAnsi="Times New Roman" w:cs="Times New Roman"/>
          <w:sz w:val="24"/>
          <w:szCs w:val="24"/>
        </w:rPr>
      </w:pPr>
      <w:r>
        <w:rPr>
          <w:rFonts w:ascii="Times New Roman" w:hAnsi="Times New Roman" w:cs="Times New Roman"/>
          <w:sz w:val="24"/>
          <w:szCs w:val="24"/>
        </w:rPr>
        <w:t>c)</w:t>
      </w:r>
      <w:r w:rsidR="00A56DDC">
        <w:rPr>
          <w:rFonts w:ascii="Times New Roman" w:hAnsi="Times New Roman" w:cs="Times New Roman"/>
          <w:sz w:val="24"/>
          <w:szCs w:val="24"/>
        </w:rPr>
        <w:tab/>
      </w:r>
      <w:r>
        <w:rPr>
          <w:rFonts w:ascii="Times New Roman" w:hAnsi="Times New Roman" w:cs="Times New Roman"/>
          <w:sz w:val="24"/>
          <w:szCs w:val="24"/>
        </w:rPr>
        <w:t>the peak download transmission speed of the carriage service is at least 25 megabits per second</w:t>
      </w:r>
      <w:r w:rsidR="00E47391">
        <w:rPr>
          <w:rFonts w:ascii="Times New Roman" w:hAnsi="Times New Roman" w:cs="Times New Roman"/>
          <w:sz w:val="24"/>
          <w:szCs w:val="24"/>
        </w:rPr>
        <w:t xml:space="preserve"> (Mbps)</w:t>
      </w:r>
      <w:r>
        <w:rPr>
          <w:rFonts w:ascii="Times New Roman" w:hAnsi="Times New Roman" w:cs="Times New Roman"/>
          <w:sz w:val="24"/>
          <w:szCs w:val="24"/>
        </w:rPr>
        <w:t>; and</w:t>
      </w:r>
    </w:p>
    <w:p w14:paraId="0C63ED3A" w14:textId="58F34A38" w:rsidR="00557134" w:rsidRDefault="00557134" w:rsidP="00E40A50">
      <w:pPr>
        <w:rPr>
          <w:rFonts w:ascii="Times New Roman" w:hAnsi="Times New Roman" w:cs="Times New Roman"/>
          <w:sz w:val="24"/>
          <w:szCs w:val="24"/>
        </w:rPr>
      </w:pPr>
      <w:r>
        <w:rPr>
          <w:rFonts w:ascii="Times New Roman" w:hAnsi="Times New Roman" w:cs="Times New Roman"/>
          <w:sz w:val="24"/>
          <w:szCs w:val="24"/>
        </w:rPr>
        <w:lastRenderedPageBreak/>
        <w:t>d)</w:t>
      </w:r>
      <w:r w:rsidR="00A56DDC">
        <w:rPr>
          <w:rFonts w:ascii="Times New Roman" w:hAnsi="Times New Roman" w:cs="Times New Roman"/>
          <w:sz w:val="24"/>
          <w:szCs w:val="24"/>
        </w:rPr>
        <w:tab/>
      </w:r>
      <w:r>
        <w:rPr>
          <w:rFonts w:ascii="Times New Roman" w:hAnsi="Times New Roman" w:cs="Times New Roman"/>
          <w:sz w:val="24"/>
          <w:szCs w:val="24"/>
        </w:rPr>
        <w:t xml:space="preserve">the peak upload transmission speed of the carriage service is at least 5 </w:t>
      </w:r>
      <w:r w:rsidR="00E47391">
        <w:rPr>
          <w:rFonts w:ascii="Times New Roman" w:hAnsi="Times New Roman" w:cs="Times New Roman"/>
          <w:sz w:val="24"/>
          <w:szCs w:val="24"/>
        </w:rPr>
        <w:t>Mbps</w:t>
      </w:r>
      <w:r>
        <w:rPr>
          <w:rFonts w:ascii="Times New Roman" w:hAnsi="Times New Roman" w:cs="Times New Roman"/>
          <w:sz w:val="24"/>
          <w:szCs w:val="24"/>
        </w:rPr>
        <w:t>.</w:t>
      </w:r>
    </w:p>
    <w:p w14:paraId="0179E43C" w14:textId="32824325" w:rsidR="003D6C0C" w:rsidRDefault="003D6C0C" w:rsidP="003D6C0C">
      <w:pPr>
        <w:rPr>
          <w:rFonts w:ascii="Times New Roman" w:hAnsi="Times New Roman"/>
          <w:b/>
          <w:sz w:val="24"/>
          <w:szCs w:val="24"/>
        </w:rPr>
      </w:pPr>
      <w:r w:rsidRPr="00D4286E">
        <w:rPr>
          <w:rFonts w:ascii="Times New Roman" w:hAnsi="Times New Roman"/>
          <w:b/>
          <w:sz w:val="24"/>
          <w:szCs w:val="24"/>
        </w:rPr>
        <w:t xml:space="preserve">Item </w:t>
      </w:r>
      <w:r>
        <w:rPr>
          <w:rFonts w:ascii="Times New Roman" w:hAnsi="Times New Roman"/>
          <w:b/>
          <w:sz w:val="24"/>
          <w:szCs w:val="24"/>
        </w:rPr>
        <w:t xml:space="preserve">7 – Section 4 </w:t>
      </w:r>
      <w:r w:rsidRPr="00D4286E">
        <w:rPr>
          <w:rFonts w:ascii="Times New Roman" w:hAnsi="Times New Roman"/>
          <w:b/>
          <w:sz w:val="24"/>
          <w:szCs w:val="24"/>
        </w:rPr>
        <w:t>(after definition of “</w:t>
      </w:r>
      <w:r>
        <w:rPr>
          <w:rFonts w:ascii="Times New Roman" w:hAnsi="Times New Roman"/>
          <w:b/>
          <w:sz w:val="24"/>
          <w:szCs w:val="24"/>
        </w:rPr>
        <w:t>Transact Capital Communications Pty Ltd</w:t>
      </w:r>
      <w:r w:rsidRPr="00D4286E">
        <w:rPr>
          <w:rFonts w:ascii="Times New Roman" w:hAnsi="Times New Roman"/>
          <w:b/>
          <w:sz w:val="24"/>
          <w:szCs w:val="24"/>
        </w:rPr>
        <w:t xml:space="preserve">”) </w:t>
      </w:r>
    </w:p>
    <w:p w14:paraId="3C3588A5" w14:textId="289B7399" w:rsidR="003D6C0C" w:rsidRDefault="003D6C0C" w:rsidP="003D6C0C">
      <w:pPr>
        <w:rPr>
          <w:rFonts w:ascii="Times New Roman" w:hAnsi="Times New Roman"/>
          <w:sz w:val="24"/>
          <w:szCs w:val="24"/>
        </w:rPr>
      </w:pPr>
      <w:r>
        <w:rPr>
          <w:rFonts w:ascii="Times New Roman" w:hAnsi="Times New Roman"/>
          <w:sz w:val="24"/>
          <w:szCs w:val="24"/>
        </w:rPr>
        <w:t>Item 7 inserts two new definitions into section 4 of the Principal Declaration</w:t>
      </w:r>
      <w:r w:rsidR="007F610A">
        <w:rPr>
          <w:rFonts w:ascii="Times New Roman" w:hAnsi="Times New Roman"/>
          <w:sz w:val="24"/>
          <w:szCs w:val="24"/>
        </w:rPr>
        <w:t>, and adds a new subsection 4(2)</w:t>
      </w:r>
      <w:r>
        <w:rPr>
          <w:rFonts w:ascii="Times New Roman" w:hAnsi="Times New Roman"/>
          <w:sz w:val="24"/>
          <w:szCs w:val="24"/>
        </w:rPr>
        <w:t>.</w:t>
      </w:r>
    </w:p>
    <w:p w14:paraId="5C96DC4A" w14:textId="708D651D" w:rsidR="003D6C0C" w:rsidRPr="003D6C0C" w:rsidRDefault="003D6C0C" w:rsidP="003D6C0C">
      <w:pPr>
        <w:rPr>
          <w:rFonts w:ascii="Times New Roman" w:hAnsi="Times New Roman"/>
          <w:sz w:val="24"/>
          <w:szCs w:val="24"/>
        </w:rPr>
      </w:pPr>
      <w:r>
        <w:rPr>
          <w:rFonts w:ascii="Times New Roman" w:hAnsi="Times New Roman"/>
          <w:sz w:val="24"/>
          <w:szCs w:val="24"/>
        </w:rPr>
        <w:t xml:space="preserve">First, item 7 inserts a definition of </w:t>
      </w:r>
      <w:r>
        <w:rPr>
          <w:rFonts w:ascii="Times New Roman" w:hAnsi="Times New Roman"/>
          <w:b/>
          <w:i/>
          <w:sz w:val="24"/>
          <w:szCs w:val="24"/>
        </w:rPr>
        <w:t>Transition Period</w:t>
      </w:r>
      <w:r>
        <w:rPr>
          <w:rFonts w:ascii="Times New Roman" w:hAnsi="Times New Roman"/>
          <w:sz w:val="24"/>
          <w:szCs w:val="24"/>
        </w:rPr>
        <w:t xml:space="preserve">. </w:t>
      </w:r>
      <w:r w:rsidR="00137DCE">
        <w:rPr>
          <w:rFonts w:ascii="Times New Roman" w:hAnsi="Times New Roman"/>
          <w:sz w:val="24"/>
          <w:szCs w:val="24"/>
        </w:rPr>
        <w:t>This means the period of time during which both Telstra and Opticomm are the SIPs for the designated service areas specified in Schedule 16A of the Principal Direction</w:t>
      </w:r>
      <w:r w:rsidR="007F610A">
        <w:rPr>
          <w:rFonts w:ascii="Times New Roman" w:hAnsi="Times New Roman"/>
          <w:sz w:val="24"/>
          <w:szCs w:val="24"/>
        </w:rPr>
        <w:t>, and continues until the day before the Transition End Date.</w:t>
      </w:r>
    </w:p>
    <w:p w14:paraId="3F042B2E" w14:textId="3D699EB7" w:rsidR="00AE4370" w:rsidRDefault="00AE4370" w:rsidP="00E40A50">
      <w:pPr>
        <w:rPr>
          <w:rFonts w:ascii="Times New Roman" w:hAnsi="Times New Roman" w:cs="Times New Roman"/>
          <w:sz w:val="24"/>
          <w:szCs w:val="24"/>
        </w:rPr>
      </w:pPr>
      <w:r w:rsidRPr="00F15E79">
        <w:rPr>
          <w:rFonts w:ascii="Times New Roman" w:hAnsi="Times New Roman" w:cs="Times New Roman"/>
          <w:sz w:val="24"/>
          <w:szCs w:val="24"/>
        </w:rPr>
        <w:t xml:space="preserve">The </w:t>
      </w:r>
      <w:r w:rsidRPr="00F15E79">
        <w:rPr>
          <w:rFonts w:ascii="Times New Roman" w:hAnsi="Times New Roman" w:cs="Times New Roman"/>
          <w:b/>
          <w:i/>
          <w:sz w:val="24"/>
          <w:szCs w:val="24"/>
        </w:rPr>
        <w:t>Transition End Date</w:t>
      </w:r>
      <w:r w:rsidRPr="00F15E79">
        <w:rPr>
          <w:rFonts w:ascii="Times New Roman" w:hAnsi="Times New Roman" w:cs="Times New Roman"/>
          <w:sz w:val="24"/>
          <w:szCs w:val="24"/>
        </w:rPr>
        <w:t xml:space="preserve"> will occur on one of two days, whichever comes earlier. </w:t>
      </w:r>
      <w:r>
        <w:rPr>
          <w:rFonts w:ascii="Times New Roman" w:hAnsi="Times New Roman" w:cs="Times New Roman"/>
          <w:sz w:val="24"/>
          <w:szCs w:val="24"/>
        </w:rPr>
        <w:t xml:space="preserve">It will either be </w:t>
      </w:r>
      <w:r w:rsidRPr="00F15E79">
        <w:rPr>
          <w:rFonts w:ascii="Times New Roman" w:hAnsi="Times New Roman" w:cs="Times New Roman"/>
          <w:sz w:val="24"/>
          <w:szCs w:val="24"/>
        </w:rPr>
        <w:t xml:space="preserve">the day on which Telstra has </w:t>
      </w:r>
      <w:r>
        <w:rPr>
          <w:rFonts w:ascii="Times New Roman" w:hAnsi="Times New Roman" w:cs="Times New Roman"/>
          <w:sz w:val="24"/>
          <w:szCs w:val="24"/>
        </w:rPr>
        <w:t xml:space="preserve">disconnected </w:t>
      </w:r>
      <w:r w:rsidRPr="00F15E79">
        <w:rPr>
          <w:rFonts w:ascii="Times New Roman" w:hAnsi="Times New Roman" w:cs="Times New Roman"/>
          <w:sz w:val="24"/>
          <w:szCs w:val="24"/>
        </w:rPr>
        <w:t xml:space="preserve">all Telstra-Equipped Services supplied in all the designated service areas, </w:t>
      </w:r>
      <w:r>
        <w:rPr>
          <w:rFonts w:ascii="Times New Roman" w:hAnsi="Times New Roman" w:cs="Times New Roman"/>
          <w:sz w:val="24"/>
          <w:szCs w:val="24"/>
        </w:rPr>
        <w:t>or</w:t>
      </w:r>
      <w:r w:rsidRPr="00F15E79">
        <w:rPr>
          <w:rFonts w:ascii="Times New Roman" w:hAnsi="Times New Roman" w:cs="Times New Roman"/>
          <w:sz w:val="24"/>
          <w:szCs w:val="24"/>
        </w:rPr>
        <w:t xml:space="preserve"> 1 July 2025. </w:t>
      </w:r>
      <w:r w:rsidR="0093795B">
        <w:rPr>
          <w:rFonts w:ascii="Times New Roman" w:hAnsi="Times New Roman" w:cs="Times New Roman"/>
          <w:sz w:val="24"/>
          <w:szCs w:val="24"/>
        </w:rPr>
        <w:t>Although Telstra</w:t>
      </w:r>
      <w:r w:rsidR="00915FC7">
        <w:rPr>
          <w:rFonts w:ascii="Times New Roman" w:hAnsi="Times New Roman" w:cs="Times New Roman"/>
          <w:sz w:val="24"/>
          <w:szCs w:val="24"/>
        </w:rPr>
        <w:t xml:space="preserve"> and Opticomm</w:t>
      </w:r>
      <w:r w:rsidR="0093795B">
        <w:rPr>
          <w:rFonts w:ascii="Times New Roman" w:hAnsi="Times New Roman" w:cs="Times New Roman"/>
          <w:sz w:val="24"/>
          <w:szCs w:val="24"/>
        </w:rPr>
        <w:t xml:space="preserve"> expect to complete disconnections before </w:t>
      </w:r>
      <w:r w:rsidR="00915FC7">
        <w:rPr>
          <w:rFonts w:ascii="Times New Roman" w:hAnsi="Times New Roman" w:cs="Times New Roman"/>
          <w:sz w:val="24"/>
          <w:szCs w:val="24"/>
        </w:rPr>
        <w:t>1 July 2025</w:t>
      </w:r>
      <w:r w:rsidR="0093795B">
        <w:rPr>
          <w:rFonts w:ascii="Times New Roman" w:hAnsi="Times New Roman" w:cs="Times New Roman"/>
          <w:sz w:val="24"/>
          <w:szCs w:val="24"/>
        </w:rPr>
        <w:t>, the Amending Declaration provides a buffer in case of delays</w:t>
      </w:r>
      <w:r w:rsidRPr="00F15E79">
        <w:rPr>
          <w:rFonts w:ascii="Times New Roman" w:hAnsi="Times New Roman" w:cs="Times New Roman"/>
          <w:sz w:val="24"/>
          <w:szCs w:val="24"/>
        </w:rPr>
        <w:t xml:space="preserve">, for example </w:t>
      </w:r>
      <w:r w:rsidR="00FB0A2D">
        <w:rPr>
          <w:rFonts w:ascii="Times New Roman" w:hAnsi="Times New Roman" w:cs="Times New Roman"/>
          <w:sz w:val="24"/>
          <w:szCs w:val="24"/>
        </w:rPr>
        <w:t>due to</w:t>
      </w:r>
      <w:r w:rsidR="00FB0A2D" w:rsidRPr="00F15E79">
        <w:rPr>
          <w:rFonts w:ascii="Times New Roman" w:hAnsi="Times New Roman" w:cs="Times New Roman"/>
          <w:sz w:val="24"/>
          <w:szCs w:val="24"/>
        </w:rPr>
        <w:t xml:space="preserve"> </w:t>
      </w:r>
      <w:r w:rsidRPr="00F15E79">
        <w:rPr>
          <w:rFonts w:ascii="Times New Roman" w:hAnsi="Times New Roman" w:cs="Times New Roman"/>
          <w:sz w:val="24"/>
          <w:szCs w:val="24"/>
        </w:rPr>
        <w:t>complex disconnections or the impacts of natural disasters or other force majeure events.</w:t>
      </w:r>
    </w:p>
    <w:p w14:paraId="2EA48D89" w14:textId="3FFE0399" w:rsidR="007F610A" w:rsidRDefault="007F610A" w:rsidP="00E40A50">
      <w:pPr>
        <w:rPr>
          <w:rFonts w:ascii="Times New Roman" w:hAnsi="Times New Roman" w:cs="Times New Roman"/>
          <w:sz w:val="24"/>
          <w:szCs w:val="24"/>
        </w:rPr>
      </w:pPr>
      <w:r>
        <w:rPr>
          <w:rFonts w:ascii="Times New Roman" w:hAnsi="Times New Roman" w:cs="Times New Roman"/>
          <w:sz w:val="24"/>
          <w:szCs w:val="24"/>
        </w:rPr>
        <w:t>Together, these two definitions de</w:t>
      </w:r>
      <w:r w:rsidR="00A56DDC">
        <w:rPr>
          <w:rFonts w:ascii="Times New Roman" w:hAnsi="Times New Roman" w:cs="Times New Roman"/>
          <w:sz w:val="24"/>
          <w:szCs w:val="24"/>
        </w:rPr>
        <w:t>termine</w:t>
      </w:r>
      <w:r>
        <w:rPr>
          <w:rFonts w:ascii="Times New Roman" w:hAnsi="Times New Roman" w:cs="Times New Roman"/>
          <w:sz w:val="24"/>
          <w:szCs w:val="24"/>
        </w:rPr>
        <w:t xml:space="preserve"> the period of time during which both Telstra and Opticomm will be the SIPs for the Velocity estates, and during which the transfer of the premises from Telstra’s networks to Opticomm’s networks will occur.</w:t>
      </w:r>
    </w:p>
    <w:p w14:paraId="5D723576" w14:textId="42DBC204" w:rsidR="003D6C0C" w:rsidRDefault="007F610A" w:rsidP="00E40A50">
      <w:pPr>
        <w:rPr>
          <w:rFonts w:ascii="Times New Roman" w:hAnsi="Times New Roman" w:cs="Times New Roman"/>
          <w:sz w:val="24"/>
          <w:szCs w:val="24"/>
        </w:rPr>
      </w:pPr>
      <w:r>
        <w:rPr>
          <w:rFonts w:ascii="Times New Roman" w:hAnsi="Times New Roman" w:cs="Times New Roman"/>
          <w:sz w:val="24"/>
          <w:szCs w:val="24"/>
        </w:rPr>
        <w:t xml:space="preserve">Item 7 then inserts new subsection 4(2), which is an interpretive provision linked to the definition of </w:t>
      </w:r>
      <w:r>
        <w:rPr>
          <w:rFonts w:ascii="Times New Roman" w:hAnsi="Times New Roman" w:cs="Times New Roman"/>
          <w:b/>
          <w:i/>
          <w:sz w:val="24"/>
          <w:szCs w:val="24"/>
        </w:rPr>
        <w:t>Telstra</w:t>
      </w:r>
      <w:r w:rsidR="006225EA">
        <w:rPr>
          <w:rFonts w:ascii="Times New Roman" w:hAnsi="Times New Roman" w:cs="Times New Roman"/>
          <w:sz w:val="24"/>
          <w:szCs w:val="24"/>
        </w:rPr>
        <w:t xml:space="preserve"> and provides clarity about which Telstra entity</w:t>
      </w:r>
      <w:r w:rsidR="00215982">
        <w:rPr>
          <w:rFonts w:ascii="Times New Roman" w:hAnsi="Times New Roman" w:cs="Times New Roman"/>
          <w:sz w:val="24"/>
          <w:szCs w:val="24"/>
        </w:rPr>
        <w:t xml:space="preserve"> </w:t>
      </w:r>
      <w:r w:rsidR="006225EA">
        <w:rPr>
          <w:rFonts w:ascii="Times New Roman" w:hAnsi="Times New Roman" w:cs="Times New Roman"/>
          <w:sz w:val="24"/>
          <w:szCs w:val="24"/>
        </w:rPr>
        <w:t>will be the SIP for the Velocity estates during and after Telstra’s restructure</w:t>
      </w:r>
      <w:r>
        <w:rPr>
          <w:rFonts w:ascii="Times New Roman" w:hAnsi="Times New Roman" w:cs="Times New Roman"/>
          <w:sz w:val="24"/>
          <w:szCs w:val="24"/>
        </w:rPr>
        <w:t xml:space="preserve">. It provides that </w:t>
      </w:r>
      <w:r>
        <w:rPr>
          <w:rFonts w:ascii="Times New Roman" w:hAnsi="Times New Roman" w:cs="Times New Roman"/>
          <w:b/>
          <w:i/>
          <w:sz w:val="24"/>
          <w:szCs w:val="24"/>
        </w:rPr>
        <w:t>Telstra</w:t>
      </w:r>
      <w:r>
        <w:rPr>
          <w:rFonts w:ascii="Times New Roman" w:hAnsi="Times New Roman" w:cs="Times New Roman"/>
          <w:sz w:val="24"/>
          <w:szCs w:val="24"/>
        </w:rPr>
        <w:t xml:space="preserve"> will only mean Telstra Limited if Schedules 2 and 3 of the </w:t>
      </w:r>
      <w:r>
        <w:rPr>
          <w:rFonts w:ascii="Times New Roman" w:hAnsi="Times New Roman" w:cs="Times New Roman"/>
          <w:i/>
          <w:sz w:val="24"/>
          <w:szCs w:val="24"/>
        </w:rPr>
        <w:t>Telstra Corporation and Other Legislation Amendment Act 2021</w:t>
      </w:r>
      <w:r>
        <w:rPr>
          <w:rFonts w:ascii="Times New Roman" w:hAnsi="Times New Roman" w:cs="Times New Roman"/>
          <w:sz w:val="24"/>
          <w:szCs w:val="24"/>
        </w:rPr>
        <w:t xml:space="preserve"> </w:t>
      </w:r>
      <w:r w:rsidR="00215982">
        <w:rPr>
          <w:rFonts w:ascii="Times New Roman" w:hAnsi="Times New Roman" w:cs="Times New Roman"/>
          <w:sz w:val="24"/>
          <w:szCs w:val="24"/>
        </w:rPr>
        <w:t xml:space="preserve">(the Telstra Amendment Act) </w:t>
      </w:r>
      <w:r>
        <w:rPr>
          <w:rFonts w:ascii="Times New Roman" w:hAnsi="Times New Roman" w:cs="Times New Roman"/>
          <w:sz w:val="24"/>
          <w:szCs w:val="24"/>
        </w:rPr>
        <w:t>commence. I</w:t>
      </w:r>
      <w:r w:rsidR="006225EA">
        <w:rPr>
          <w:rFonts w:ascii="Times New Roman" w:hAnsi="Times New Roman" w:cs="Times New Roman"/>
          <w:sz w:val="24"/>
          <w:szCs w:val="24"/>
        </w:rPr>
        <w:t>n</w:t>
      </w:r>
      <w:r>
        <w:rPr>
          <w:rFonts w:ascii="Times New Roman" w:hAnsi="Times New Roman" w:cs="Times New Roman"/>
          <w:sz w:val="24"/>
          <w:szCs w:val="24"/>
        </w:rPr>
        <w:t xml:space="preserve"> all other circumstances, Telstra means Telstra Corporation Limited.</w:t>
      </w:r>
    </w:p>
    <w:p w14:paraId="62C936E9" w14:textId="3E55DAE3" w:rsidR="007F610A" w:rsidRDefault="007F610A" w:rsidP="00E40A50">
      <w:pPr>
        <w:rPr>
          <w:rFonts w:ascii="Times New Roman" w:hAnsi="Times New Roman" w:cs="Times New Roman"/>
          <w:sz w:val="24"/>
          <w:szCs w:val="24"/>
        </w:rPr>
      </w:pPr>
      <w:bookmarkStart w:id="5" w:name="_Hlk117690076"/>
      <w:r w:rsidRPr="007F610A">
        <w:rPr>
          <w:rFonts w:ascii="Times New Roman" w:hAnsi="Times New Roman" w:cs="Times New Roman"/>
          <w:sz w:val="24"/>
          <w:szCs w:val="24"/>
        </w:rPr>
        <w:t>Schedules 2 and 3 of the Telstra Amendment Act commence when any of the property of Telstra Corporation Limited is transferred to, and vested in, Telstra Limited</w:t>
      </w:r>
      <w:r w:rsidR="005B4288" w:rsidRPr="005B4288">
        <w:rPr>
          <w:rFonts w:ascii="Times New Roman" w:hAnsi="Times New Roman" w:cs="Times New Roman"/>
          <w:sz w:val="24"/>
          <w:szCs w:val="24"/>
        </w:rPr>
        <w:t xml:space="preserve"> </w:t>
      </w:r>
      <w:r w:rsidR="005B4288">
        <w:rPr>
          <w:rFonts w:ascii="Times New Roman" w:hAnsi="Times New Roman" w:cs="Times New Roman"/>
          <w:sz w:val="24"/>
          <w:szCs w:val="24"/>
        </w:rPr>
        <w:t>by virtue of a court order. A court order was made on 19 October 2022</w:t>
      </w:r>
      <w:r w:rsidRPr="007F610A">
        <w:rPr>
          <w:rFonts w:ascii="Times New Roman" w:hAnsi="Times New Roman" w:cs="Times New Roman"/>
          <w:sz w:val="24"/>
          <w:szCs w:val="24"/>
        </w:rPr>
        <w:t xml:space="preserve">. </w:t>
      </w:r>
      <w:r w:rsidR="00E52430">
        <w:rPr>
          <w:rFonts w:ascii="Times New Roman" w:hAnsi="Times New Roman" w:cs="Times New Roman"/>
          <w:sz w:val="24"/>
          <w:szCs w:val="24"/>
        </w:rPr>
        <w:t>As noted above</w:t>
      </w:r>
      <w:r w:rsidR="00915FC7">
        <w:rPr>
          <w:rFonts w:ascii="Times New Roman" w:hAnsi="Times New Roman" w:cs="Times New Roman"/>
          <w:sz w:val="24"/>
          <w:szCs w:val="24"/>
        </w:rPr>
        <w:t xml:space="preserve">, property, including control of </w:t>
      </w:r>
      <w:r w:rsidRPr="007F610A">
        <w:rPr>
          <w:rFonts w:ascii="Times New Roman" w:hAnsi="Times New Roman" w:cs="Times New Roman"/>
          <w:sz w:val="24"/>
          <w:szCs w:val="24"/>
        </w:rPr>
        <w:t xml:space="preserve">the </w:t>
      </w:r>
      <w:r w:rsidR="004B0D71">
        <w:rPr>
          <w:rFonts w:ascii="Times New Roman" w:hAnsi="Times New Roman" w:cs="Times New Roman"/>
          <w:sz w:val="24"/>
          <w:szCs w:val="24"/>
        </w:rPr>
        <w:t>FTTP networks in the Velocity estates</w:t>
      </w:r>
      <w:r w:rsidR="00915FC7">
        <w:rPr>
          <w:rFonts w:ascii="Times New Roman" w:hAnsi="Times New Roman" w:cs="Times New Roman"/>
          <w:sz w:val="24"/>
          <w:szCs w:val="24"/>
        </w:rPr>
        <w:t>, will be</w:t>
      </w:r>
      <w:r w:rsidRPr="007F610A">
        <w:rPr>
          <w:rFonts w:ascii="Times New Roman" w:hAnsi="Times New Roman" w:cs="Times New Roman"/>
          <w:sz w:val="24"/>
          <w:szCs w:val="24"/>
        </w:rPr>
        <w:t xml:space="preserve"> transferred from Telstra Corporation Limited </w:t>
      </w:r>
      <w:r w:rsidR="00E52430" w:rsidRPr="007F610A">
        <w:rPr>
          <w:rFonts w:ascii="Times New Roman" w:hAnsi="Times New Roman" w:cs="Times New Roman"/>
          <w:sz w:val="24"/>
          <w:szCs w:val="24"/>
        </w:rPr>
        <w:t>to</w:t>
      </w:r>
      <w:r w:rsidR="00E52430">
        <w:rPr>
          <w:rFonts w:ascii="Times New Roman" w:hAnsi="Times New Roman" w:cs="Times New Roman"/>
          <w:sz w:val="24"/>
          <w:szCs w:val="24"/>
        </w:rPr>
        <w:t xml:space="preserve">, </w:t>
      </w:r>
      <w:r w:rsidR="00A56DDC">
        <w:rPr>
          <w:rFonts w:ascii="Times New Roman" w:hAnsi="Times New Roman" w:cs="Times New Roman"/>
          <w:sz w:val="24"/>
          <w:szCs w:val="24"/>
        </w:rPr>
        <w:t>and vested in,</w:t>
      </w:r>
      <w:r w:rsidRPr="007F610A">
        <w:rPr>
          <w:rFonts w:ascii="Times New Roman" w:hAnsi="Times New Roman" w:cs="Times New Roman"/>
          <w:sz w:val="24"/>
          <w:szCs w:val="24"/>
        </w:rPr>
        <w:t xml:space="preserve"> Telstra Limited</w:t>
      </w:r>
      <w:r w:rsidR="00915FC7">
        <w:rPr>
          <w:rFonts w:ascii="Times New Roman" w:hAnsi="Times New Roman" w:cs="Times New Roman"/>
          <w:sz w:val="24"/>
          <w:szCs w:val="24"/>
        </w:rPr>
        <w:t xml:space="preserve"> on 1 January 2023</w:t>
      </w:r>
      <w:r w:rsidR="0005328D">
        <w:rPr>
          <w:rFonts w:ascii="Times New Roman" w:hAnsi="Times New Roman" w:cs="Times New Roman"/>
          <w:sz w:val="24"/>
          <w:szCs w:val="24"/>
        </w:rPr>
        <w:t>.</w:t>
      </w:r>
    </w:p>
    <w:bookmarkEnd w:id="5"/>
    <w:p w14:paraId="7766BDFF" w14:textId="245AEAEC" w:rsidR="006225EA" w:rsidRDefault="004439D0" w:rsidP="00E40A50">
      <w:pPr>
        <w:rPr>
          <w:rFonts w:ascii="Times New Roman" w:hAnsi="Times New Roman" w:cs="Times New Roman"/>
          <w:sz w:val="24"/>
          <w:szCs w:val="24"/>
        </w:rPr>
      </w:pPr>
      <w:r>
        <w:rPr>
          <w:rFonts w:ascii="Times New Roman" w:hAnsi="Times New Roman" w:cs="Times New Roman"/>
          <w:b/>
          <w:sz w:val="24"/>
          <w:szCs w:val="24"/>
        </w:rPr>
        <w:t>Item 8 – Section 5 (Designated service areas and statutory infrastructure provider)</w:t>
      </w:r>
    </w:p>
    <w:p w14:paraId="4EF32544" w14:textId="562A46DC" w:rsidR="004439D0" w:rsidRDefault="004439D0" w:rsidP="00E40A50">
      <w:pPr>
        <w:rPr>
          <w:rFonts w:ascii="Times New Roman" w:hAnsi="Times New Roman" w:cs="Times New Roman"/>
          <w:sz w:val="24"/>
          <w:szCs w:val="24"/>
        </w:rPr>
      </w:pPr>
      <w:r>
        <w:rPr>
          <w:rFonts w:ascii="Times New Roman" w:hAnsi="Times New Roman" w:cs="Times New Roman"/>
          <w:sz w:val="24"/>
          <w:szCs w:val="24"/>
        </w:rPr>
        <w:t>Item 8 repeals paragraph 5(1)(b) of the Principal Determination and substitutes a new paragraph.</w:t>
      </w:r>
    </w:p>
    <w:p w14:paraId="2EED40F6" w14:textId="0895DBD3" w:rsidR="004439D0" w:rsidRDefault="004439D0" w:rsidP="00E40A50">
      <w:pPr>
        <w:rPr>
          <w:rFonts w:ascii="Times New Roman" w:hAnsi="Times New Roman" w:cs="Times New Roman"/>
          <w:sz w:val="24"/>
          <w:szCs w:val="24"/>
        </w:rPr>
      </w:pPr>
      <w:r>
        <w:rPr>
          <w:rFonts w:ascii="Times New Roman" w:hAnsi="Times New Roman" w:cs="Times New Roman"/>
          <w:sz w:val="24"/>
          <w:szCs w:val="24"/>
        </w:rPr>
        <w:t xml:space="preserve">Currently paragraph 5(1)(b) provides that each carrier specified in the heading of a Schedule to the Principal Determination is the SIP for each designated service area specified in the Schedule. </w:t>
      </w:r>
      <w:r w:rsidR="00FD0261">
        <w:rPr>
          <w:rFonts w:ascii="Times New Roman" w:hAnsi="Times New Roman" w:cs="Times New Roman"/>
          <w:sz w:val="24"/>
          <w:szCs w:val="24"/>
        </w:rPr>
        <w:t>Item 8 adds that this is subject to a new subsection 5(3), being inserted by item 9.</w:t>
      </w:r>
    </w:p>
    <w:p w14:paraId="781EE6AB" w14:textId="6F6F778C" w:rsidR="00FD0261" w:rsidRDefault="00FD0261" w:rsidP="00E40A50">
      <w:pPr>
        <w:rPr>
          <w:rFonts w:ascii="Times New Roman" w:hAnsi="Times New Roman" w:cs="Times New Roman"/>
          <w:b/>
          <w:sz w:val="24"/>
          <w:szCs w:val="24"/>
        </w:rPr>
      </w:pPr>
      <w:r>
        <w:rPr>
          <w:rFonts w:ascii="Times New Roman" w:hAnsi="Times New Roman" w:cs="Times New Roman"/>
          <w:b/>
          <w:sz w:val="24"/>
          <w:szCs w:val="24"/>
        </w:rPr>
        <w:t>Item 9 – Section 5 (Designated service areas and statutory infrastructure provider)</w:t>
      </w:r>
    </w:p>
    <w:p w14:paraId="5234735D" w14:textId="0AEFF506" w:rsidR="00FD0261" w:rsidRDefault="00FD0261" w:rsidP="00E40A50">
      <w:pPr>
        <w:rPr>
          <w:rFonts w:ascii="Times New Roman" w:hAnsi="Times New Roman" w:cs="Times New Roman"/>
          <w:sz w:val="24"/>
          <w:szCs w:val="24"/>
        </w:rPr>
      </w:pPr>
      <w:r>
        <w:rPr>
          <w:rFonts w:ascii="Times New Roman" w:hAnsi="Times New Roman" w:cs="Times New Roman"/>
          <w:sz w:val="24"/>
          <w:szCs w:val="24"/>
        </w:rPr>
        <w:t>Item 9 inserts new subsection 5(3) into the Principal Determination. This provides that, for the purposes of Schedule 16A to the Principal Determination, Telstra and Opticomm Pty Ltd are the SIPs in respect of each designated service area specified in the Schedule</w:t>
      </w:r>
      <w:r w:rsidR="0086508F">
        <w:rPr>
          <w:rFonts w:ascii="Times New Roman" w:hAnsi="Times New Roman" w:cs="Times New Roman"/>
          <w:sz w:val="24"/>
          <w:szCs w:val="24"/>
        </w:rPr>
        <w:t xml:space="preserve"> during the Transition Period</w:t>
      </w:r>
      <w:r>
        <w:rPr>
          <w:rFonts w:ascii="Times New Roman" w:hAnsi="Times New Roman" w:cs="Times New Roman"/>
          <w:sz w:val="24"/>
          <w:szCs w:val="24"/>
        </w:rPr>
        <w:t xml:space="preserve">. Telstra ceases to be the SIP for each designated service area on the </w:t>
      </w:r>
      <w:r>
        <w:rPr>
          <w:rFonts w:ascii="Times New Roman" w:hAnsi="Times New Roman" w:cs="Times New Roman"/>
          <w:sz w:val="24"/>
          <w:szCs w:val="24"/>
        </w:rPr>
        <w:lastRenderedPageBreak/>
        <w:t xml:space="preserve">Transition End Date, and Opticomm Pty Ltd </w:t>
      </w:r>
      <w:r w:rsidR="0086508F">
        <w:rPr>
          <w:rFonts w:ascii="Times New Roman" w:hAnsi="Times New Roman" w:cs="Times New Roman"/>
          <w:sz w:val="24"/>
          <w:szCs w:val="24"/>
        </w:rPr>
        <w:t>will be the sole</w:t>
      </w:r>
      <w:r>
        <w:rPr>
          <w:rFonts w:ascii="Times New Roman" w:hAnsi="Times New Roman" w:cs="Times New Roman"/>
          <w:sz w:val="24"/>
          <w:szCs w:val="24"/>
        </w:rPr>
        <w:t xml:space="preserve"> SIP for each designated service area in the Schedule on and from the Transition End Date.</w:t>
      </w:r>
      <w:r w:rsidR="0086508F">
        <w:rPr>
          <w:rFonts w:ascii="Times New Roman" w:hAnsi="Times New Roman" w:cs="Times New Roman"/>
          <w:sz w:val="24"/>
          <w:szCs w:val="24"/>
        </w:rPr>
        <w:t xml:space="preserve"> </w:t>
      </w:r>
    </w:p>
    <w:p w14:paraId="4CAADC30" w14:textId="665115D4" w:rsidR="00705732" w:rsidRDefault="00705732" w:rsidP="00E40A50">
      <w:pPr>
        <w:rPr>
          <w:rFonts w:ascii="Times New Roman" w:hAnsi="Times New Roman" w:cs="Times New Roman"/>
          <w:sz w:val="24"/>
          <w:szCs w:val="24"/>
        </w:rPr>
      </w:pPr>
      <w:r>
        <w:rPr>
          <w:rFonts w:ascii="Times New Roman" w:hAnsi="Times New Roman" w:cs="Times New Roman"/>
          <w:sz w:val="24"/>
          <w:szCs w:val="24"/>
        </w:rPr>
        <w:t>The Minister</w:t>
      </w:r>
      <w:r w:rsidR="001E5667">
        <w:rPr>
          <w:rFonts w:ascii="Times New Roman" w:hAnsi="Times New Roman" w:cs="Times New Roman"/>
          <w:sz w:val="24"/>
          <w:szCs w:val="24"/>
        </w:rPr>
        <w:t xml:space="preserve"> has a</w:t>
      </w:r>
      <w:r>
        <w:rPr>
          <w:rFonts w:ascii="Times New Roman" w:hAnsi="Times New Roman" w:cs="Times New Roman"/>
          <w:sz w:val="24"/>
          <w:szCs w:val="24"/>
        </w:rPr>
        <w:t xml:space="preserve"> general power, </w:t>
      </w:r>
      <w:r w:rsidR="001E5667">
        <w:rPr>
          <w:rFonts w:ascii="Times New Roman" w:hAnsi="Times New Roman" w:cs="Times New Roman"/>
          <w:sz w:val="24"/>
          <w:szCs w:val="24"/>
        </w:rPr>
        <w:t>under</w:t>
      </w:r>
      <w:r>
        <w:rPr>
          <w:rFonts w:ascii="Times New Roman" w:hAnsi="Times New Roman" w:cs="Times New Roman"/>
          <w:sz w:val="24"/>
          <w:szCs w:val="24"/>
        </w:rPr>
        <w:t xml:space="preserve"> section 360L of the Act, to designate service areas and carriers as SIPs for those service areas. The power allow</w:t>
      </w:r>
      <w:r w:rsidR="005B4288">
        <w:rPr>
          <w:rFonts w:ascii="Times New Roman" w:hAnsi="Times New Roman" w:cs="Times New Roman"/>
          <w:sz w:val="24"/>
          <w:szCs w:val="24"/>
        </w:rPr>
        <w:t>s</w:t>
      </w:r>
      <w:r>
        <w:rPr>
          <w:rFonts w:ascii="Times New Roman" w:hAnsi="Times New Roman" w:cs="Times New Roman"/>
          <w:sz w:val="24"/>
          <w:szCs w:val="24"/>
        </w:rPr>
        <w:t xml:space="preserve"> the Minister to declare a single SIP for a service area, or multiple SIPs for a service area.</w:t>
      </w:r>
    </w:p>
    <w:p w14:paraId="64B8E237" w14:textId="7CDEF66E" w:rsidR="00FD0261" w:rsidRDefault="00FD0261" w:rsidP="00E40A50">
      <w:pPr>
        <w:rPr>
          <w:rFonts w:ascii="Times New Roman" w:hAnsi="Times New Roman" w:cs="Times New Roman"/>
          <w:sz w:val="24"/>
          <w:szCs w:val="24"/>
        </w:rPr>
      </w:pPr>
      <w:r>
        <w:rPr>
          <w:rFonts w:ascii="Times New Roman" w:hAnsi="Times New Roman" w:cs="Times New Roman"/>
          <w:b/>
          <w:sz w:val="24"/>
          <w:szCs w:val="24"/>
        </w:rPr>
        <w:t>Item 10 – Schedule 12 – (heading)</w:t>
      </w:r>
    </w:p>
    <w:p w14:paraId="10A0E255" w14:textId="52D8CA1E" w:rsidR="00FD0261" w:rsidRDefault="00FD0261" w:rsidP="00E40A50">
      <w:pPr>
        <w:rPr>
          <w:rFonts w:ascii="Times New Roman" w:hAnsi="Times New Roman" w:cs="Times New Roman"/>
          <w:sz w:val="24"/>
          <w:szCs w:val="24"/>
        </w:rPr>
      </w:pPr>
      <w:r>
        <w:rPr>
          <w:rFonts w:ascii="Times New Roman" w:hAnsi="Times New Roman" w:cs="Times New Roman"/>
          <w:sz w:val="24"/>
          <w:szCs w:val="24"/>
        </w:rPr>
        <w:t>Item 10 repeals the current heading of Schedule 12 to the Principal Determination and substitutes a new heading so that, instead of referring to Opticomm Ltd, the heading now refers to Opticomm Pty Ltd. This is consequential to item 4.</w:t>
      </w:r>
    </w:p>
    <w:p w14:paraId="61CEB591" w14:textId="156EC264" w:rsidR="00FD0261" w:rsidRDefault="00FD0261" w:rsidP="00E40A50">
      <w:pPr>
        <w:rPr>
          <w:rFonts w:ascii="Times New Roman" w:hAnsi="Times New Roman" w:cs="Times New Roman"/>
          <w:b/>
          <w:sz w:val="24"/>
          <w:szCs w:val="24"/>
        </w:rPr>
      </w:pPr>
      <w:r>
        <w:rPr>
          <w:rFonts w:ascii="Times New Roman" w:hAnsi="Times New Roman" w:cs="Times New Roman"/>
          <w:b/>
          <w:sz w:val="24"/>
          <w:szCs w:val="24"/>
        </w:rPr>
        <w:t>Item 11 – Schedule 12 – (table heading)</w:t>
      </w:r>
    </w:p>
    <w:p w14:paraId="5524430E" w14:textId="5EBA39A6" w:rsidR="00FD0261" w:rsidRDefault="00FD0261" w:rsidP="00E40A50">
      <w:pPr>
        <w:rPr>
          <w:rFonts w:ascii="Times New Roman" w:hAnsi="Times New Roman" w:cs="Times New Roman"/>
          <w:sz w:val="24"/>
          <w:szCs w:val="24"/>
        </w:rPr>
      </w:pPr>
      <w:r>
        <w:rPr>
          <w:rFonts w:ascii="Times New Roman" w:hAnsi="Times New Roman" w:cs="Times New Roman"/>
          <w:sz w:val="24"/>
          <w:szCs w:val="24"/>
        </w:rPr>
        <w:t>Item 11 repeals the heading in the table in Schedule 12, and substitutes a new heading that refers to Opticomm Pty Ltd rather than Opticomm Ltd. This is consequential to item 4.</w:t>
      </w:r>
    </w:p>
    <w:p w14:paraId="29426FE5" w14:textId="64CCB0E6" w:rsidR="00FD0261" w:rsidRDefault="00CA4908" w:rsidP="00E40A50">
      <w:pPr>
        <w:rPr>
          <w:rFonts w:ascii="Times New Roman" w:hAnsi="Times New Roman" w:cs="Times New Roman"/>
          <w:b/>
          <w:sz w:val="24"/>
          <w:szCs w:val="24"/>
        </w:rPr>
      </w:pPr>
      <w:r>
        <w:rPr>
          <w:rFonts w:ascii="Times New Roman" w:hAnsi="Times New Roman" w:cs="Times New Roman"/>
          <w:b/>
          <w:sz w:val="24"/>
          <w:szCs w:val="24"/>
        </w:rPr>
        <w:t>Item 12 – Schedule 16A – (heading)</w:t>
      </w:r>
    </w:p>
    <w:p w14:paraId="1BAB5F4B" w14:textId="30FDFDC6" w:rsidR="00CA4908" w:rsidRPr="00CA4908" w:rsidRDefault="00CA4908" w:rsidP="00E40A50">
      <w:pPr>
        <w:rPr>
          <w:rFonts w:ascii="Times New Roman" w:hAnsi="Times New Roman" w:cs="Times New Roman"/>
          <w:sz w:val="24"/>
          <w:szCs w:val="24"/>
        </w:rPr>
      </w:pPr>
      <w:r>
        <w:rPr>
          <w:rFonts w:ascii="Times New Roman" w:hAnsi="Times New Roman" w:cs="Times New Roman"/>
          <w:sz w:val="24"/>
          <w:szCs w:val="24"/>
        </w:rPr>
        <w:t>Item 12 repeals the current heading of Schedule 16A, which refers to Telstra Corporation Limited, and substitutes a new heading that refers to both Telstra and Opticomm Pty Ltd, subject to the Transition Period. The item</w:t>
      </w:r>
      <w:r w:rsidR="00A432A0">
        <w:rPr>
          <w:rFonts w:ascii="Times New Roman" w:hAnsi="Times New Roman" w:cs="Times New Roman"/>
          <w:sz w:val="24"/>
          <w:szCs w:val="24"/>
        </w:rPr>
        <w:t>, together with item 9, establishes</w:t>
      </w:r>
      <w:r>
        <w:rPr>
          <w:rFonts w:ascii="Times New Roman" w:hAnsi="Times New Roman" w:cs="Times New Roman"/>
          <w:sz w:val="24"/>
          <w:szCs w:val="24"/>
        </w:rPr>
        <w:t xml:space="preserve"> that both carriers are the SIPs for the designated service areas in Schedule 16A. The reference to this being subject to the Transition Period clarifies that they are both the SIPs </w:t>
      </w:r>
      <w:r w:rsidR="0086508F">
        <w:rPr>
          <w:rFonts w:ascii="Times New Roman" w:hAnsi="Times New Roman" w:cs="Times New Roman"/>
          <w:sz w:val="24"/>
          <w:szCs w:val="24"/>
        </w:rPr>
        <w:t xml:space="preserve">only </w:t>
      </w:r>
      <w:r>
        <w:rPr>
          <w:rFonts w:ascii="Times New Roman" w:hAnsi="Times New Roman" w:cs="Times New Roman"/>
          <w:sz w:val="24"/>
          <w:szCs w:val="24"/>
        </w:rPr>
        <w:t>during the Transition Period, and, in accordance with proposed new subsection 5(3), Opticomm will be the sole SIP for the designated service areas on and from the Transition End Date.</w:t>
      </w:r>
    </w:p>
    <w:bookmarkEnd w:id="4"/>
    <w:p w14:paraId="19D879EE" w14:textId="24884D86" w:rsidR="009F0F30" w:rsidRDefault="00CA4908" w:rsidP="003B16FF">
      <w:pPr>
        <w:rPr>
          <w:rFonts w:ascii="Times New Roman" w:hAnsi="Times New Roman" w:cs="Times New Roman"/>
          <w:b/>
          <w:sz w:val="24"/>
          <w:szCs w:val="24"/>
        </w:rPr>
      </w:pPr>
      <w:r>
        <w:rPr>
          <w:rFonts w:ascii="Times New Roman" w:hAnsi="Times New Roman" w:cs="Times New Roman"/>
          <w:b/>
          <w:sz w:val="24"/>
          <w:szCs w:val="24"/>
        </w:rPr>
        <w:t>Item 13 – Schedule 16A – (table heading)</w:t>
      </w:r>
    </w:p>
    <w:p w14:paraId="1C12CBDF" w14:textId="1748C825" w:rsidR="00CA4908" w:rsidRDefault="00CA4908" w:rsidP="003B16FF">
      <w:pPr>
        <w:rPr>
          <w:rFonts w:ascii="Times New Roman" w:hAnsi="Times New Roman" w:cs="Times New Roman"/>
          <w:sz w:val="24"/>
          <w:szCs w:val="24"/>
        </w:rPr>
      </w:pPr>
      <w:r>
        <w:rPr>
          <w:rFonts w:ascii="Times New Roman" w:hAnsi="Times New Roman" w:cs="Times New Roman"/>
          <w:sz w:val="24"/>
          <w:szCs w:val="24"/>
        </w:rPr>
        <w:t xml:space="preserve">Item 13 repeals the table heading in Schedule 16A, which currently refers to Telstra alone, and substitutes a new table heading that refers to both Telstra and Opticomm Pty Ltd. This is consequential to item </w:t>
      </w:r>
      <w:r w:rsidR="00A432A0">
        <w:rPr>
          <w:rFonts w:ascii="Times New Roman" w:hAnsi="Times New Roman" w:cs="Times New Roman"/>
          <w:sz w:val="24"/>
          <w:szCs w:val="24"/>
        </w:rPr>
        <w:t>12</w:t>
      </w:r>
      <w:r>
        <w:rPr>
          <w:rFonts w:ascii="Times New Roman" w:hAnsi="Times New Roman" w:cs="Times New Roman"/>
          <w:sz w:val="24"/>
          <w:szCs w:val="24"/>
        </w:rPr>
        <w:t>.</w:t>
      </w:r>
    </w:p>
    <w:p w14:paraId="4D4162B0" w14:textId="58A378CC" w:rsidR="00CA4908" w:rsidRDefault="00CA4908" w:rsidP="003B16FF">
      <w:pPr>
        <w:rPr>
          <w:rFonts w:ascii="Times New Roman" w:hAnsi="Times New Roman" w:cs="Times New Roman"/>
          <w:sz w:val="24"/>
          <w:szCs w:val="24"/>
        </w:rPr>
      </w:pPr>
      <w:r>
        <w:rPr>
          <w:rFonts w:ascii="Times New Roman" w:hAnsi="Times New Roman" w:cs="Times New Roman"/>
          <w:b/>
          <w:sz w:val="24"/>
          <w:szCs w:val="24"/>
        </w:rPr>
        <w:t>Item 14 – Schedule 16A (after table item 48)</w:t>
      </w:r>
    </w:p>
    <w:p w14:paraId="12FCF25B" w14:textId="4DE05025" w:rsidR="0056552C" w:rsidRDefault="00CA4908" w:rsidP="003B16FF">
      <w:pPr>
        <w:rPr>
          <w:rFonts w:ascii="Times New Roman" w:hAnsi="Times New Roman" w:cs="Times New Roman"/>
          <w:sz w:val="24"/>
          <w:szCs w:val="24"/>
        </w:rPr>
      </w:pPr>
      <w:r>
        <w:rPr>
          <w:rFonts w:ascii="Times New Roman" w:hAnsi="Times New Roman" w:cs="Times New Roman"/>
          <w:sz w:val="24"/>
          <w:szCs w:val="24"/>
        </w:rPr>
        <w:t xml:space="preserve">Item 14 inserts two new designated service areas in Schedule 16A, as items 48A and 48B. These are two stages of a development at Freeman’s Ridge, Carnes Hill, New South Wales. </w:t>
      </w:r>
      <w:r w:rsidR="0056552C">
        <w:rPr>
          <w:rFonts w:ascii="Times New Roman" w:hAnsi="Times New Roman" w:cs="Times New Roman"/>
          <w:sz w:val="24"/>
          <w:szCs w:val="24"/>
        </w:rPr>
        <w:t>Earlier sta</w:t>
      </w:r>
      <w:r w:rsidR="00CF7C93">
        <w:rPr>
          <w:rFonts w:ascii="Times New Roman" w:hAnsi="Times New Roman" w:cs="Times New Roman"/>
          <w:sz w:val="24"/>
          <w:szCs w:val="24"/>
        </w:rPr>
        <w:t>g</w:t>
      </w:r>
      <w:r w:rsidR="0056552C">
        <w:rPr>
          <w:rFonts w:ascii="Times New Roman" w:hAnsi="Times New Roman" w:cs="Times New Roman"/>
          <w:sz w:val="24"/>
          <w:szCs w:val="24"/>
        </w:rPr>
        <w:t xml:space="preserve">es of the development were designated in 2020, as item 48 of Schedule 16A. </w:t>
      </w:r>
    </w:p>
    <w:p w14:paraId="125DFE8F" w14:textId="49D01EF3" w:rsidR="00CA4908" w:rsidRDefault="00CA4908" w:rsidP="003B16FF">
      <w:pPr>
        <w:rPr>
          <w:rFonts w:ascii="Times New Roman" w:hAnsi="Times New Roman" w:cs="Times New Roman"/>
          <w:sz w:val="24"/>
          <w:szCs w:val="24"/>
        </w:rPr>
      </w:pPr>
      <w:r>
        <w:rPr>
          <w:rFonts w:ascii="Times New Roman" w:hAnsi="Times New Roman" w:cs="Times New Roman"/>
          <w:sz w:val="24"/>
          <w:szCs w:val="24"/>
        </w:rPr>
        <w:t xml:space="preserve">The two areas were the subject of provisional nominated service area declarations made by Telstra in 2021 and therefore are already SIP service areas. </w:t>
      </w:r>
      <w:r w:rsidR="0056552C">
        <w:rPr>
          <w:rFonts w:ascii="Times New Roman" w:hAnsi="Times New Roman" w:cs="Times New Roman"/>
          <w:sz w:val="24"/>
          <w:szCs w:val="24"/>
        </w:rPr>
        <w:t>These areas are being designated so that they can be incorporated into the framework for the transfer of SIP obligations</w:t>
      </w:r>
      <w:r w:rsidR="00061A82">
        <w:rPr>
          <w:rFonts w:ascii="Times New Roman" w:hAnsi="Times New Roman" w:cs="Times New Roman"/>
          <w:sz w:val="24"/>
          <w:szCs w:val="24"/>
        </w:rPr>
        <w:t>. Otherwise, the areas would need to be dealt with separately by a Ministerial instrument under subsection 360K(2) of the Act, which allows the Minister to change the SIP for a nominated service area. Such an instrument would need to specify similar matters to those in the Amending Declaration and the Exceptions Determination, so to reduce regulatory complexity the areas are being designated and included in the Amending Declaration.</w:t>
      </w:r>
    </w:p>
    <w:p w14:paraId="50402399" w14:textId="02A5B410" w:rsidR="0056552C" w:rsidRPr="00CA4908" w:rsidRDefault="0056552C" w:rsidP="003B16FF">
      <w:pPr>
        <w:rPr>
          <w:rFonts w:ascii="Times New Roman" w:hAnsi="Times New Roman" w:cs="Times New Roman"/>
          <w:sz w:val="24"/>
          <w:szCs w:val="24"/>
        </w:rPr>
      </w:pPr>
      <w:r>
        <w:rPr>
          <w:rFonts w:ascii="Times New Roman" w:hAnsi="Times New Roman" w:cs="Times New Roman"/>
          <w:sz w:val="24"/>
          <w:szCs w:val="24"/>
        </w:rPr>
        <w:t xml:space="preserve">There is no need to revoke the provisional nominated service area declarations made by Telstra as the designation of the areas will automatically invalidate those declarations. This is a consequence of subsection 360H(1) of the Act, which provides that </w:t>
      </w:r>
      <w:r w:rsidR="008413E3">
        <w:rPr>
          <w:rFonts w:ascii="Times New Roman" w:hAnsi="Times New Roman" w:cs="Times New Roman"/>
          <w:sz w:val="24"/>
          <w:szCs w:val="24"/>
        </w:rPr>
        <w:t>the whole or a</w:t>
      </w:r>
      <w:r>
        <w:rPr>
          <w:rFonts w:ascii="Times New Roman" w:hAnsi="Times New Roman" w:cs="Times New Roman"/>
          <w:sz w:val="24"/>
          <w:szCs w:val="24"/>
        </w:rPr>
        <w:t xml:space="preserve"> part of a </w:t>
      </w:r>
      <w:r>
        <w:rPr>
          <w:rFonts w:ascii="Times New Roman" w:hAnsi="Times New Roman" w:cs="Times New Roman"/>
          <w:sz w:val="24"/>
          <w:szCs w:val="24"/>
        </w:rPr>
        <w:lastRenderedPageBreak/>
        <w:t>provisional nominated service area that is also a designated service area cannot be a nominated service area.</w:t>
      </w:r>
    </w:p>
    <w:p w14:paraId="21B916AA" w14:textId="4776AAFE" w:rsidR="003B16FF" w:rsidRDefault="00061A82" w:rsidP="007D58CC">
      <w:pPr>
        <w:spacing w:after="0"/>
        <w:rPr>
          <w:rFonts w:ascii="Times New Roman" w:hAnsi="Times New Roman" w:cs="Times New Roman"/>
          <w:b/>
          <w:sz w:val="24"/>
          <w:szCs w:val="24"/>
        </w:rPr>
      </w:pPr>
      <w:r>
        <w:rPr>
          <w:rFonts w:ascii="Times New Roman" w:hAnsi="Times New Roman" w:cs="Times New Roman"/>
          <w:b/>
          <w:sz w:val="24"/>
          <w:szCs w:val="24"/>
        </w:rPr>
        <w:t>Item 15 – Schedule 16A (item 1)</w:t>
      </w:r>
    </w:p>
    <w:p w14:paraId="2E8A9EC7" w14:textId="3997F612" w:rsidR="007D58CC" w:rsidRDefault="007D58CC" w:rsidP="007D58CC">
      <w:pPr>
        <w:rPr>
          <w:rFonts w:ascii="Times New Roman" w:hAnsi="Times New Roman" w:cs="Times New Roman"/>
          <w:b/>
          <w:sz w:val="24"/>
          <w:szCs w:val="24"/>
        </w:rPr>
      </w:pPr>
      <w:r>
        <w:rPr>
          <w:rFonts w:ascii="Times New Roman" w:hAnsi="Times New Roman" w:cs="Times New Roman"/>
          <w:b/>
          <w:sz w:val="24"/>
          <w:szCs w:val="24"/>
        </w:rPr>
        <w:t>Item 16 – Schedule 16A (after item 1)</w:t>
      </w:r>
    </w:p>
    <w:p w14:paraId="35302051" w14:textId="767CC873" w:rsidR="00061A82" w:rsidRDefault="00061A82" w:rsidP="003B16FF">
      <w:pPr>
        <w:rPr>
          <w:rFonts w:ascii="Times New Roman" w:hAnsi="Times New Roman" w:cs="Times New Roman"/>
          <w:sz w:val="24"/>
          <w:szCs w:val="24"/>
        </w:rPr>
      </w:pPr>
      <w:r>
        <w:rPr>
          <w:rFonts w:ascii="Times New Roman" w:hAnsi="Times New Roman" w:cs="Times New Roman"/>
          <w:sz w:val="24"/>
          <w:szCs w:val="24"/>
        </w:rPr>
        <w:t>Item 1</w:t>
      </w:r>
      <w:r w:rsidR="007D58CC">
        <w:rPr>
          <w:rFonts w:ascii="Times New Roman" w:hAnsi="Times New Roman" w:cs="Times New Roman"/>
          <w:sz w:val="24"/>
          <w:szCs w:val="24"/>
        </w:rPr>
        <w:t>5</w:t>
      </w:r>
      <w:r>
        <w:rPr>
          <w:rFonts w:ascii="Times New Roman" w:hAnsi="Times New Roman" w:cs="Times New Roman"/>
          <w:sz w:val="24"/>
          <w:szCs w:val="24"/>
        </w:rPr>
        <w:t xml:space="preserve"> repeals the existing item 1 in Schedule 16A and replaces it with a new designated service area at 24 Halesworth Parade in Butler, Western Australia. Like the areas being designated under item 14, this area has been specified in a provisional nominated service area by Telstra and is being incorporated into Schedule 16A to make it subject to the transfer process and reduce </w:t>
      </w:r>
      <w:r w:rsidR="007D58CC">
        <w:rPr>
          <w:rFonts w:ascii="Times New Roman" w:hAnsi="Times New Roman" w:cs="Times New Roman"/>
          <w:sz w:val="24"/>
          <w:szCs w:val="24"/>
        </w:rPr>
        <w:t>regulatory</w:t>
      </w:r>
      <w:r>
        <w:rPr>
          <w:rFonts w:ascii="Times New Roman" w:hAnsi="Times New Roman" w:cs="Times New Roman"/>
          <w:sz w:val="24"/>
          <w:szCs w:val="24"/>
        </w:rPr>
        <w:t xml:space="preserve"> complexity.</w:t>
      </w:r>
      <w:r w:rsidR="003F769C">
        <w:rPr>
          <w:rFonts w:ascii="Times New Roman" w:hAnsi="Times New Roman" w:cs="Times New Roman"/>
          <w:sz w:val="24"/>
          <w:szCs w:val="24"/>
        </w:rPr>
        <w:t xml:space="preserve"> </w:t>
      </w:r>
      <w:r w:rsidR="007D58CC">
        <w:rPr>
          <w:rFonts w:ascii="Times New Roman" w:hAnsi="Times New Roman" w:cs="Times New Roman"/>
          <w:sz w:val="24"/>
          <w:szCs w:val="24"/>
        </w:rPr>
        <w:t xml:space="preserve">Item 16 then reinserts the previous item 1 (150 Clarendon Street in East Melbourne, Victoria) in Schedule 16A as a new item 1A. It is included as item 1A because designated service areas are listed in numerical </w:t>
      </w:r>
      <w:r w:rsidR="009A06B1">
        <w:rPr>
          <w:rFonts w:ascii="Times New Roman" w:hAnsi="Times New Roman" w:cs="Times New Roman"/>
          <w:sz w:val="24"/>
          <w:szCs w:val="24"/>
        </w:rPr>
        <w:t xml:space="preserve">order first, </w:t>
      </w:r>
      <w:r w:rsidR="007D58CC">
        <w:rPr>
          <w:rFonts w:ascii="Times New Roman" w:hAnsi="Times New Roman" w:cs="Times New Roman"/>
          <w:sz w:val="24"/>
          <w:szCs w:val="24"/>
        </w:rPr>
        <w:t>and so 24 Halesworth Parade must precede 150 Clarendon Street.</w:t>
      </w:r>
    </w:p>
    <w:p w14:paraId="0F3546EF" w14:textId="091031AD" w:rsidR="007D58CC" w:rsidRPr="007D58CC" w:rsidRDefault="007D58CC" w:rsidP="003B16FF">
      <w:pPr>
        <w:rPr>
          <w:rFonts w:ascii="Times New Roman" w:hAnsi="Times New Roman" w:cs="Times New Roman"/>
          <w:b/>
          <w:sz w:val="24"/>
          <w:szCs w:val="24"/>
        </w:rPr>
      </w:pPr>
      <w:r w:rsidRPr="007D58CC">
        <w:rPr>
          <w:rFonts w:ascii="Times New Roman" w:hAnsi="Times New Roman" w:cs="Times New Roman"/>
          <w:b/>
          <w:sz w:val="24"/>
          <w:szCs w:val="24"/>
        </w:rPr>
        <w:t>Schedule 2 – Repeals</w:t>
      </w:r>
    </w:p>
    <w:p w14:paraId="77B87B09" w14:textId="101C010D" w:rsidR="007D58CC" w:rsidRDefault="007D58CC" w:rsidP="003B16FF">
      <w:pPr>
        <w:rPr>
          <w:rFonts w:ascii="Times New Roman" w:hAnsi="Times New Roman" w:cs="Times New Roman"/>
          <w:sz w:val="24"/>
          <w:szCs w:val="24"/>
        </w:rPr>
      </w:pPr>
      <w:r>
        <w:rPr>
          <w:rFonts w:ascii="Times New Roman" w:hAnsi="Times New Roman" w:cs="Times New Roman"/>
          <w:sz w:val="24"/>
          <w:szCs w:val="24"/>
        </w:rPr>
        <w:t xml:space="preserve">Item 1 of Schedule 2 repeals the whole of the </w:t>
      </w:r>
      <w:r>
        <w:rPr>
          <w:rFonts w:ascii="Times New Roman" w:hAnsi="Times New Roman" w:cs="Times New Roman"/>
          <w:i/>
          <w:sz w:val="24"/>
          <w:szCs w:val="24"/>
        </w:rPr>
        <w:t>Telecommunications (Designated Service Area and Statutory Infrastructure Provider) Amendment Declaration (No. 1) 2022</w:t>
      </w:r>
      <w:r>
        <w:rPr>
          <w:rFonts w:ascii="Times New Roman" w:hAnsi="Times New Roman" w:cs="Times New Roman"/>
          <w:sz w:val="24"/>
          <w:szCs w:val="24"/>
        </w:rPr>
        <w:t xml:space="preserve">. As discussed in relation to item 5 of Schedule 1, this instrument is being repealed because it has not yet taken effect and there could be </w:t>
      </w:r>
      <w:r w:rsidR="00963ABD">
        <w:rPr>
          <w:rFonts w:ascii="Times New Roman" w:hAnsi="Times New Roman" w:cs="Times New Roman"/>
          <w:sz w:val="24"/>
          <w:szCs w:val="24"/>
        </w:rPr>
        <w:t>inconsistencies between the amendments to</w:t>
      </w:r>
      <w:r>
        <w:rPr>
          <w:rFonts w:ascii="Times New Roman" w:hAnsi="Times New Roman" w:cs="Times New Roman"/>
          <w:sz w:val="24"/>
          <w:szCs w:val="24"/>
        </w:rPr>
        <w:t xml:space="preserve"> Schedule 16A to the Principal Declaration </w:t>
      </w:r>
      <w:r w:rsidR="00963ABD">
        <w:rPr>
          <w:rFonts w:ascii="Times New Roman" w:hAnsi="Times New Roman" w:cs="Times New Roman"/>
          <w:sz w:val="24"/>
          <w:szCs w:val="24"/>
        </w:rPr>
        <w:t>contained in</w:t>
      </w:r>
      <w:r>
        <w:rPr>
          <w:rFonts w:ascii="Times New Roman" w:hAnsi="Times New Roman" w:cs="Times New Roman"/>
          <w:sz w:val="24"/>
          <w:szCs w:val="24"/>
        </w:rPr>
        <w:t xml:space="preserve"> the Amending Declaration</w:t>
      </w:r>
      <w:r w:rsidR="005B4288">
        <w:rPr>
          <w:rFonts w:ascii="Times New Roman" w:hAnsi="Times New Roman" w:cs="Times New Roman"/>
          <w:sz w:val="24"/>
          <w:szCs w:val="24"/>
        </w:rPr>
        <w:t xml:space="preserve"> and the First Amending Declaration</w:t>
      </w:r>
      <w:bookmarkStart w:id="6" w:name="_GoBack"/>
      <w:bookmarkEnd w:id="6"/>
      <w:r>
        <w:rPr>
          <w:rFonts w:ascii="Times New Roman" w:hAnsi="Times New Roman" w:cs="Times New Roman"/>
          <w:sz w:val="24"/>
          <w:szCs w:val="24"/>
        </w:rPr>
        <w:t>.</w:t>
      </w:r>
    </w:p>
    <w:p w14:paraId="418F3F80" w14:textId="2F83F528" w:rsidR="007D58CC" w:rsidRDefault="007D58CC">
      <w:pPr>
        <w:rPr>
          <w:rFonts w:ascii="Times New Roman" w:hAnsi="Times New Roman" w:cs="Times New Roman"/>
          <w:sz w:val="24"/>
          <w:szCs w:val="24"/>
        </w:rPr>
      </w:pPr>
      <w:r>
        <w:rPr>
          <w:rFonts w:ascii="Times New Roman" w:hAnsi="Times New Roman" w:cs="Times New Roman"/>
          <w:sz w:val="24"/>
          <w:szCs w:val="24"/>
        </w:rPr>
        <w:br w:type="page"/>
      </w:r>
    </w:p>
    <w:p w14:paraId="54A74023" w14:textId="77777777" w:rsidR="003B16FF" w:rsidRPr="00B72D3E" w:rsidRDefault="003B16FF" w:rsidP="003B16FF">
      <w:pPr>
        <w:jc w:val="right"/>
        <w:rPr>
          <w:rFonts w:ascii="Times New Roman" w:hAnsi="Times New Roman" w:cs="Times New Roman"/>
          <w:b/>
          <w:sz w:val="24"/>
          <w:szCs w:val="24"/>
        </w:rPr>
      </w:pPr>
      <w:r w:rsidRPr="00B72D3E">
        <w:rPr>
          <w:rFonts w:ascii="Times New Roman" w:hAnsi="Times New Roman" w:cs="Times New Roman"/>
          <w:b/>
          <w:sz w:val="24"/>
          <w:szCs w:val="24"/>
        </w:rPr>
        <w:lastRenderedPageBreak/>
        <w:t>Attachment B</w:t>
      </w:r>
    </w:p>
    <w:p w14:paraId="2F546A63" w14:textId="77777777" w:rsidR="003B16FF" w:rsidRPr="00B72D3E" w:rsidRDefault="003B16FF" w:rsidP="003B16FF">
      <w:pPr>
        <w:pStyle w:val="Heading2"/>
        <w:spacing w:after="0"/>
        <w:rPr>
          <w:rFonts w:eastAsiaTheme="minorHAnsi"/>
          <w:sz w:val="24"/>
          <w:szCs w:val="24"/>
        </w:rPr>
      </w:pPr>
      <w:r w:rsidRPr="00B72D3E">
        <w:rPr>
          <w:rFonts w:eastAsiaTheme="minorHAnsi"/>
          <w:sz w:val="24"/>
          <w:szCs w:val="24"/>
        </w:rPr>
        <w:t>Statement of Compatibility with Human Rights</w:t>
      </w:r>
    </w:p>
    <w:p w14:paraId="5482327A" w14:textId="77777777" w:rsidR="003B16FF" w:rsidRPr="00B72D3E" w:rsidRDefault="003B16FF" w:rsidP="003B16FF">
      <w:pPr>
        <w:spacing w:before="120" w:after="0"/>
        <w:jc w:val="center"/>
        <w:rPr>
          <w:rFonts w:ascii="Times New Roman" w:hAnsi="Times New Roman"/>
          <w:sz w:val="24"/>
          <w:szCs w:val="24"/>
        </w:rPr>
      </w:pPr>
      <w:r w:rsidRPr="00B72D3E">
        <w:rPr>
          <w:rFonts w:ascii="Times New Roman" w:hAnsi="Times New Roman"/>
          <w:i/>
          <w:sz w:val="24"/>
          <w:szCs w:val="24"/>
        </w:rPr>
        <w:t>Prepared in accordance with Part 3 of the Human Rights (Parliamentary Scrutiny) Act 2011</w:t>
      </w:r>
    </w:p>
    <w:p w14:paraId="21D75C59" w14:textId="77777777" w:rsidR="003B16FF" w:rsidRPr="00B72D3E" w:rsidRDefault="003B16FF" w:rsidP="003B16FF">
      <w:pPr>
        <w:spacing w:after="0"/>
        <w:jc w:val="center"/>
        <w:rPr>
          <w:rFonts w:ascii="Times New Roman" w:hAnsi="Times New Roman"/>
          <w:sz w:val="24"/>
          <w:szCs w:val="24"/>
        </w:rPr>
      </w:pPr>
    </w:p>
    <w:p w14:paraId="5DFE76A1" w14:textId="325C74CC" w:rsidR="003B16FF" w:rsidRPr="00B72D3E" w:rsidRDefault="003B16FF" w:rsidP="003B16FF">
      <w:pPr>
        <w:jc w:val="center"/>
        <w:rPr>
          <w:rFonts w:ascii="Times New Roman" w:hAnsi="Times New Roman"/>
          <w:b/>
          <w:sz w:val="24"/>
          <w:szCs w:val="24"/>
        </w:rPr>
      </w:pPr>
      <w:r w:rsidRPr="00B72D3E">
        <w:rPr>
          <w:rFonts w:ascii="Times New Roman" w:hAnsi="Times New Roman"/>
          <w:b/>
          <w:sz w:val="24"/>
          <w:szCs w:val="24"/>
        </w:rPr>
        <w:t xml:space="preserve">Telecommunications (Designated Service Area and Statutory Infrastructure Provider) Amendment Declaration </w:t>
      </w:r>
      <w:r>
        <w:rPr>
          <w:rFonts w:ascii="Times New Roman" w:hAnsi="Times New Roman"/>
          <w:b/>
          <w:sz w:val="24"/>
          <w:szCs w:val="24"/>
        </w:rPr>
        <w:t xml:space="preserve">(No. </w:t>
      </w:r>
      <w:r w:rsidR="00515930">
        <w:rPr>
          <w:rFonts w:ascii="Times New Roman" w:hAnsi="Times New Roman"/>
          <w:b/>
          <w:sz w:val="24"/>
          <w:szCs w:val="24"/>
        </w:rPr>
        <w:t>5</w:t>
      </w:r>
      <w:r>
        <w:rPr>
          <w:rFonts w:ascii="Times New Roman" w:hAnsi="Times New Roman"/>
          <w:b/>
          <w:sz w:val="24"/>
          <w:szCs w:val="24"/>
        </w:rPr>
        <w:t xml:space="preserve">) </w:t>
      </w:r>
      <w:r w:rsidRPr="00B72D3E">
        <w:rPr>
          <w:rFonts w:ascii="Times New Roman" w:hAnsi="Times New Roman"/>
          <w:b/>
          <w:sz w:val="24"/>
          <w:szCs w:val="24"/>
        </w:rPr>
        <w:t>202</w:t>
      </w:r>
      <w:r>
        <w:rPr>
          <w:rFonts w:ascii="Times New Roman" w:hAnsi="Times New Roman"/>
          <w:b/>
          <w:sz w:val="24"/>
          <w:szCs w:val="24"/>
        </w:rPr>
        <w:t>2</w:t>
      </w:r>
    </w:p>
    <w:p w14:paraId="0619F674" w14:textId="77777777" w:rsidR="003B16FF" w:rsidRPr="00B72D3E" w:rsidRDefault="003B16FF" w:rsidP="00DE4DC6">
      <w:pPr>
        <w:shd w:val="clear" w:color="auto" w:fill="FFFFFF"/>
        <w:spacing w:before="120"/>
        <w:rPr>
          <w:rFonts w:ascii="Times New Roman" w:hAnsi="Times New Roman"/>
          <w:b/>
          <w:i/>
          <w:sz w:val="24"/>
          <w:szCs w:val="24"/>
        </w:rPr>
      </w:pPr>
      <w:r w:rsidRPr="00B72D3E">
        <w:rPr>
          <w:rFonts w:ascii="Times New Roman" w:hAnsi="Times New Roman"/>
          <w:b/>
          <w:i/>
          <w:sz w:val="24"/>
          <w:szCs w:val="24"/>
        </w:rPr>
        <w:t xml:space="preserve">Overview </w:t>
      </w:r>
    </w:p>
    <w:p w14:paraId="4C967778" w14:textId="7545504B" w:rsidR="007D58CC" w:rsidRDefault="007D58CC" w:rsidP="007D58CC">
      <w:pPr>
        <w:rPr>
          <w:rFonts w:ascii="Times New Roman" w:hAnsi="Times New Roman" w:cs="Times New Roman"/>
          <w:sz w:val="24"/>
          <w:szCs w:val="24"/>
        </w:rPr>
      </w:pPr>
      <w:r>
        <w:rPr>
          <w:rFonts w:ascii="Times New Roman" w:hAnsi="Times New Roman" w:cs="Times New Roman"/>
          <w:sz w:val="24"/>
          <w:szCs w:val="24"/>
        </w:rPr>
        <w:t xml:space="preserve">The purpose of the </w:t>
      </w:r>
      <w:r w:rsidR="00541667" w:rsidRPr="00A54CEA">
        <w:rPr>
          <w:rFonts w:ascii="Times New Roman" w:hAnsi="Times New Roman" w:cs="Times New Roman"/>
          <w:i/>
          <w:sz w:val="24"/>
          <w:szCs w:val="24"/>
        </w:rPr>
        <w:t xml:space="preserve">Telecommunications (Designated Service Area and Statutory Infrastructure Provider) </w:t>
      </w:r>
      <w:r w:rsidR="00541667">
        <w:rPr>
          <w:rFonts w:ascii="Times New Roman" w:hAnsi="Times New Roman" w:cs="Times New Roman"/>
          <w:i/>
          <w:sz w:val="24"/>
          <w:szCs w:val="24"/>
        </w:rPr>
        <w:t xml:space="preserve">Amendment </w:t>
      </w:r>
      <w:r w:rsidR="00541667" w:rsidRPr="00A54CEA">
        <w:rPr>
          <w:rFonts w:ascii="Times New Roman" w:hAnsi="Times New Roman" w:cs="Times New Roman"/>
          <w:i/>
          <w:sz w:val="24"/>
          <w:szCs w:val="24"/>
        </w:rPr>
        <w:t xml:space="preserve">Declaration (No. </w:t>
      </w:r>
      <w:r w:rsidR="00541667">
        <w:rPr>
          <w:rFonts w:ascii="Times New Roman" w:hAnsi="Times New Roman" w:cs="Times New Roman"/>
          <w:i/>
          <w:sz w:val="24"/>
          <w:szCs w:val="24"/>
        </w:rPr>
        <w:t>5</w:t>
      </w:r>
      <w:r w:rsidR="00541667" w:rsidRPr="00A54CEA">
        <w:rPr>
          <w:rFonts w:ascii="Times New Roman" w:hAnsi="Times New Roman" w:cs="Times New Roman"/>
          <w:i/>
          <w:sz w:val="24"/>
          <w:szCs w:val="24"/>
        </w:rPr>
        <w:t xml:space="preserve">) 2022 </w:t>
      </w:r>
      <w:r w:rsidR="00541667" w:rsidRPr="00A54CEA">
        <w:rPr>
          <w:rFonts w:ascii="Times New Roman" w:hAnsi="Times New Roman" w:cs="Times New Roman"/>
          <w:kern w:val="24"/>
          <w:sz w:val="24"/>
          <w:szCs w:val="24"/>
        </w:rPr>
        <w:t>(the Amending Declaration)</w:t>
      </w:r>
      <w:r w:rsidR="00541667">
        <w:rPr>
          <w:rFonts w:ascii="Times New Roman" w:hAnsi="Times New Roman" w:cs="Times New Roman"/>
          <w:kern w:val="24"/>
          <w:sz w:val="24"/>
          <w:szCs w:val="24"/>
        </w:rPr>
        <w:t xml:space="preserve"> </w:t>
      </w:r>
      <w:r>
        <w:rPr>
          <w:rFonts w:ascii="Times New Roman" w:hAnsi="Times New Roman" w:cs="Times New Roman"/>
          <w:sz w:val="24"/>
          <w:szCs w:val="24"/>
        </w:rPr>
        <w:t xml:space="preserve">is to amend the </w:t>
      </w:r>
      <w:r w:rsidRPr="00C52125">
        <w:rPr>
          <w:rFonts w:ascii="Times New Roman" w:hAnsi="Times New Roman" w:cs="Times New Roman"/>
          <w:i/>
          <w:sz w:val="24"/>
          <w:szCs w:val="24"/>
        </w:rPr>
        <w:t>Telecommunications (Designated Service Area and Statutory Infrastructure Provider)</w:t>
      </w:r>
      <w:r>
        <w:rPr>
          <w:rFonts w:ascii="Times New Roman" w:hAnsi="Times New Roman" w:cs="Times New Roman"/>
          <w:i/>
          <w:sz w:val="24"/>
          <w:szCs w:val="24"/>
        </w:rPr>
        <w:t xml:space="preserve"> </w:t>
      </w:r>
      <w:r w:rsidRPr="00C52125">
        <w:rPr>
          <w:rFonts w:ascii="Times New Roman" w:hAnsi="Times New Roman" w:cs="Times New Roman"/>
          <w:i/>
          <w:sz w:val="24"/>
          <w:szCs w:val="24"/>
        </w:rPr>
        <w:t xml:space="preserve">Declaration </w:t>
      </w:r>
      <w:r>
        <w:rPr>
          <w:rFonts w:ascii="Times New Roman" w:hAnsi="Times New Roman" w:cs="Times New Roman"/>
          <w:i/>
          <w:sz w:val="24"/>
          <w:szCs w:val="24"/>
        </w:rPr>
        <w:t xml:space="preserve">(No. 1) </w:t>
      </w:r>
      <w:r w:rsidRPr="00C52125">
        <w:rPr>
          <w:rFonts w:ascii="Times New Roman" w:hAnsi="Times New Roman" w:cs="Times New Roman"/>
          <w:i/>
          <w:sz w:val="24"/>
          <w:szCs w:val="24"/>
        </w:rPr>
        <w:t>202</w:t>
      </w:r>
      <w:r>
        <w:rPr>
          <w:rFonts w:ascii="Times New Roman" w:hAnsi="Times New Roman" w:cs="Times New Roman"/>
          <w:i/>
          <w:sz w:val="24"/>
          <w:szCs w:val="24"/>
        </w:rPr>
        <w:t>0</w:t>
      </w:r>
      <w:r>
        <w:rPr>
          <w:rFonts w:ascii="Times New Roman" w:hAnsi="Times New Roman" w:cs="Times New Roman"/>
          <w:sz w:val="24"/>
          <w:szCs w:val="24"/>
        </w:rPr>
        <w:t xml:space="preserve"> to provide a framework for the phased transfer of statutory infrastructure provider (SIP) responsibilities from Telstra to Opticomm in relation to Telstra’s service areas.</w:t>
      </w:r>
      <w:r w:rsidR="00FE5D89" w:rsidRPr="00FE5D89">
        <w:rPr>
          <w:rFonts w:ascii="Times New Roman" w:hAnsi="Times New Roman"/>
          <w:sz w:val="24"/>
          <w:szCs w:val="24"/>
        </w:rPr>
        <w:t xml:space="preserve"> </w:t>
      </w:r>
      <w:r w:rsidR="00FE5D89">
        <w:rPr>
          <w:rFonts w:ascii="Times New Roman" w:hAnsi="Times New Roman"/>
          <w:sz w:val="24"/>
          <w:szCs w:val="24"/>
        </w:rPr>
        <w:t xml:space="preserve">It does this together with another instrument being made at the same time, the </w:t>
      </w:r>
      <w:r w:rsidR="00FE5D89">
        <w:rPr>
          <w:rFonts w:ascii="Times New Roman" w:hAnsi="Times New Roman"/>
          <w:i/>
          <w:sz w:val="24"/>
          <w:szCs w:val="24"/>
        </w:rPr>
        <w:t>Telecommunications (Exceptions to Statutory Infrastructure Provider Obligations – Telstra and Opticomm Pty Ltd) Determination 2022</w:t>
      </w:r>
      <w:r w:rsidR="00FE5D89">
        <w:rPr>
          <w:rFonts w:ascii="Times New Roman" w:hAnsi="Times New Roman"/>
          <w:sz w:val="24"/>
          <w:szCs w:val="24"/>
        </w:rPr>
        <w:t xml:space="preserve"> (the Exceptions Determination).</w:t>
      </w:r>
    </w:p>
    <w:p w14:paraId="738D9689" w14:textId="10055E55" w:rsidR="009A06B1" w:rsidRDefault="007D58CC" w:rsidP="003B16FF">
      <w:pPr>
        <w:shd w:val="clear" w:color="auto" w:fill="FFFFFF"/>
        <w:spacing w:before="100" w:beforeAutospacing="1" w:after="100" w:afterAutospacing="1"/>
        <w:rPr>
          <w:rFonts w:ascii="Times New Roman" w:hAnsi="Times New Roman"/>
          <w:sz w:val="24"/>
          <w:szCs w:val="24"/>
        </w:rPr>
      </w:pPr>
      <w:r>
        <w:rPr>
          <w:rFonts w:ascii="Times New Roman" w:hAnsi="Times New Roman"/>
          <w:sz w:val="24"/>
          <w:szCs w:val="24"/>
        </w:rPr>
        <w:t xml:space="preserve">Telstra </w:t>
      </w:r>
      <w:r w:rsidR="009A06B1">
        <w:rPr>
          <w:rFonts w:ascii="Times New Roman" w:hAnsi="Times New Roman"/>
          <w:sz w:val="24"/>
          <w:szCs w:val="24"/>
        </w:rPr>
        <w:t>is</w:t>
      </w:r>
      <w:r w:rsidR="00216D50">
        <w:rPr>
          <w:rFonts w:ascii="Times New Roman" w:hAnsi="Times New Roman"/>
          <w:sz w:val="24"/>
          <w:szCs w:val="24"/>
        </w:rPr>
        <w:t xml:space="preserve"> </w:t>
      </w:r>
      <w:r>
        <w:rPr>
          <w:rFonts w:ascii="Times New Roman" w:hAnsi="Times New Roman"/>
          <w:sz w:val="24"/>
          <w:szCs w:val="24"/>
        </w:rPr>
        <w:t>the SIP for 1</w:t>
      </w:r>
      <w:r w:rsidR="009A06B1">
        <w:rPr>
          <w:rFonts w:ascii="Times New Roman" w:hAnsi="Times New Roman"/>
          <w:sz w:val="24"/>
          <w:szCs w:val="24"/>
        </w:rPr>
        <w:t>30</w:t>
      </w:r>
      <w:r>
        <w:rPr>
          <w:rFonts w:ascii="Times New Roman" w:hAnsi="Times New Roman"/>
          <w:sz w:val="24"/>
          <w:szCs w:val="24"/>
        </w:rPr>
        <w:t xml:space="preserve"> service areas, known as the Velocity estates</w:t>
      </w:r>
      <w:r w:rsidR="0086508F">
        <w:rPr>
          <w:rFonts w:ascii="Times New Roman" w:hAnsi="Times New Roman"/>
          <w:sz w:val="24"/>
          <w:szCs w:val="24"/>
        </w:rPr>
        <w:t>,</w:t>
      </w:r>
      <w:r>
        <w:rPr>
          <w:rFonts w:ascii="Times New Roman" w:hAnsi="Times New Roman"/>
          <w:sz w:val="24"/>
          <w:szCs w:val="24"/>
        </w:rPr>
        <w:t xml:space="preserve"> including Telstra’s fibre-to-the-premises </w:t>
      </w:r>
      <w:r w:rsidR="00FE5D89">
        <w:rPr>
          <w:rFonts w:ascii="Times New Roman" w:hAnsi="Times New Roman"/>
          <w:sz w:val="24"/>
          <w:szCs w:val="24"/>
        </w:rPr>
        <w:t xml:space="preserve">(FTTP) </w:t>
      </w:r>
      <w:r>
        <w:rPr>
          <w:rFonts w:ascii="Times New Roman" w:hAnsi="Times New Roman"/>
          <w:sz w:val="24"/>
          <w:szCs w:val="24"/>
        </w:rPr>
        <w:t xml:space="preserve">network in South Brisbane. </w:t>
      </w:r>
      <w:r w:rsidR="009A06B1">
        <w:rPr>
          <w:rFonts w:ascii="Times New Roman" w:hAnsi="Times New Roman"/>
          <w:sz w:val="24"/>
          <w:szCs w:val="24"/>
        </w:rPr>
        <w:t>On 24 December 2020</w:t>
      </w:r>
      <w:r>
        <w:rPr>
          <w:rFonts w:ascii="Times New Roman" w:hAnsi="Times New Roman"/>
          <w:sz w:val="24"/>
          <w:szCs w:val="24"/>
        </w:rPr>
        <w:t xml:space="preserve">, Telstra </w:t>
      </w:r>
      <w:r w:rsidR="009A06B1">
        <w:rPr>
          <w:rFonts w:ascii="Times New Roman" w:hAnsi="Times New Roman"/>
          <w:sz w:val="24"/>
          <w:szCs w:val="24"/>
        </w:rPr>
        <w:t xml:space="preserve">announced that it had </w:t>
      </w:r>
      <w:r>
        <w:rPr>
          <w:rFonts w:ascii="Times New Roman" w:hAnsi="Times New Roman"/>
          <w:sz w:val="24"/>
          <w:szCs w:val="24"/>
        </w:rPr>
        <w:t xml:space="preserve">sold the networks in the Velocity estates to Uniti. Uniti’s subsidiary, Opticomm, has entered into a commercial arrangement with Telstra </w:t>
      </w:r>
      <w:r w:rsidR="00FE5D89">
        <w:rPr>
          <w:rFonts w:ascii="Times New Roman" w:hAnsi="Times New Roman"/>
          <w:sz w:val="24"/>
          <w:szCs w:val="24"/>
        </w:rPr>
        <w:t xml:space="preserve">which will see </w:t>
      </w:r>
      <w:r w:rsidR="00216D50">
        <w:rPr>
          <w:rFonts w:ascii="Times New Roman" w:hAnsi="Times New Roman"/>
          <w:sz w:val="24"/>
          <w:szCs w:val="24"/>
        </w:rPr>
        <w:t xml:space="preserve">a phased </w:t>
      </w:r>
      <w:r w:rsidR="009A06B1">
        <w:rPr>
          <w:rFonts w:ascii="Times New Roman" w:hAnsi="Times New Roman"/>
          <w:sz w:val="24"/>
          <w:szCs w:val="24"/>
        </w:rPr>
        <w:t xml:space="preserve">transfer </w:t>
      </w:r>
      <w:r w:rsidR="00547A1B">
        <w:rPr>
          <w:rFonts w:ascii="Times New Roman" w:hAnsi="Times New Roman"/>
          <w:sz w:val="24"/>
          <w:szCs w:val="24"/>
        </w:rPr>
        <w:t xml:space="preserve">of </w:t>
      </w:r>
      <w:r w:rsidR="009A06B1">
        <w:rPr>
          <w:rFonts w:ascii="Times New Roman" w:hAnsi="Times New Roman"/>
          <w:sz w:val="24"/>
          <w:szCs w:val="24"/>
        </w:rPr>
        <w:t>the networks. Telstra will disconnect its equipment at premises and Opticomm will then connect its equipment. This process will commence shortly.</w:t>
      </w:r>
    </w:p>
    <w:p w14:paraId="771C74AE" w14:textId="73828B44" w:rsidR="009A06B1" w:rsidRDefault="0033419D" w:rsidP="003B16FF">
      <w:pPr>
        <w:shd w:val="clear" w:color="auto" w:fill="FFFFFF"/>
        <w:spacing w:before="100" w:beforeAutospacing="1" w:after="100" w:afterAutospacing="1"/>
        <w:rPr>
          <w:rFonts w:ascii="Times New Roman" w:hAnsi="Times New Roman"/>
          <w:sz w:val="24"/>
          <w:szCs w:val="24"/>
        </w:rPr>
      </w:pPr>
      <w:r>
        <w:rPr>
          <w:rFonts w:ascii="Times New Roman" w:hAnsi="Times New Roman"/>
          <w:sz w:val="24"/>
          <w:szCs w:val="24"/>
        </w:rPr>
        <w:t xml:space="preserve">The Amending Declaration provides that Telstra and Opticomm will </w:t>
      </w:r>
      <w:r w:rsidR="0086508F">
        <w:rPr>
          <w:rFonts w:ascii="Times New Roman" w:hAnsi="Times New Roman"/>
          <w:sz w:val="24"/>
          <w:szCs w:val="24"/>
        </w:rPr>
        <w:t xml:space="preserve">both </w:t>
      </w:r>
      <w:r>
        <w:rPr>
          <w:rFonts w:ascii="Times New Roman" w:hAnsi="Times New Roman"/>
          <w:sz w:val="24"/>
          <w:szCs w:val="24"/>
        </w:rPr>
        <w:t xml:space="preserve">be SIPs for the Velocity estates, </w:t>
      </w:r>
      <w:r w:rsidR="009A06B1">
        <w:rPr>
          <w:rFonts w:ascii="Times New Roman" w:hAnsi="Times New Roman"/>
          <w:sz w:val="24"/>
          <w:szCs w:val="24"/>
        </w:rPr>
        <w:t>until such time as all Telstra equipment has been disconnected, or 1 July 2025 (whichever is the earlier)</w:t>
      </w:r>
      <w:r>
        <w:rPr>
          <w:rFonts w:ascii="Times New Roman" w:hAnsi="Times New Roman"/>
          <w:sz w:val="24"/>
          <w:szCs w:val="24"/>
        </w:rPr>
        <w:t>.</w:t>
      </w:r>
      <w:r w:rsidR="009A06B1">
        <w:rPr>
          <w:rFonts w:ascii="Times New Roman" w:hAnsi="Times New Roman"/>
          <w:sz w:val="24"/>
          <w:szCs w:val="24"/>
        </w:rPr>
        <w:t xml:space="preserve"> After that time, Opticomm alone will be the SIP.</w:t>
      </w:r>
      <w:r w:rsidR="00547A1B">
        <w:rPr>
          <w:rFonts w:ascii="Times New Roman" w:hAnsi="Times New Roman"/>
          <w:sz w:val="24"/>
          <w:szCs w:val="24"/>
        </w:rPr>
        <w:t xml:space="preserve"> </w:t>
      </w:r>
      <w:r w:rsidR="00FE5D89">
        <w:rPr>
          <w:rFonts w:ascii="Times New Roman" w:hAnsi="Times New Roman"/>
          <w:sz w:val="24"/>
          <w:szCs w:val="24"/>
        </w:rPr>
        <w:t xml:space="preserve">The Exceptions Determination </w:t>
      </w:r>
      <w:r w:rsidR="00DE4DC6">
        <w:rPr>
          <w:rFonts w:ascii="Times New Roman" w:hAnsi="Times New Roman"/>
          <w:sz w:val="24"/>
          <w:szCs w:val="24"/>
        </w:rPr>
        <w:t>sets out</w:t>
      </w:r>
      <w:r w:rsidR="009A06B1">
        <w:rPr>
          <w:rFonts w:ascii="Times New Roman" w:hAnsi="Times New Roman"/>
          <w:sz w:val="24"/>
          <w:szCs w:val="24"/>
        </w:rPr>
        <w:t xml:space="preserve"> when Telstra </w:t>
      </w:r>
      <w:r w:rsidR="00547A1B">
        <w:rPr>
          <w:rFonts w:ascii="Times New Roman" w:hAnsi="Times New Roman"/>
          <w:sz w:val="24"/>
          <w:szCs w:val="24"/>
        </w:rPr>
        <w:t>and Opticomm respectively are</w:t>
      </w:r>
      <w:r w:rsidR="009A06B1">
        <w:rPr>
          <w:rFonts w:ascii="Times New Roman" w:hAnsi="Times New Roman"/>
          <w:sz w:val="24"/>
          <w:szCs w:val="24"/>
        </w:rPr>
        <w:t xml:space="preserve"> required </w:t>
      </w:r>
      <w:r w:rsidR="00241E8B">
        <w:rPr>
          <w:rFonts w:ascii="Times New Roman" w:hAnsi="Times New Roman"/>
          <w:sz w:val="24"/>
          <w:szCs w:val="24"/>
        </w:rPr>
        <w:t xml:space="preserve">(or not required) </w:t>
      </w:r>
      <w:r w:rsidR="009A06B1">
        <w:rPr>
          <w:rFonts w:ascii="Times New Roman" w:hAnsi="Times New Roman"/>
          <w:sz w:val="24"/>
          <w:szCs w:val="24"/>
        </w:rPr>
        <w:t xml:space="preserve">to fulfil </w:t>
      </w:r>
      <w:r w:rsidR="00547A1B">
        <w:rPr>
          <w:rFonts w:ascii="Times New Roman" w:hAnsi="Times New Roman"/>
          <w:sz w:val="24"/>
          <w:szCs w:val="24"/>
        </w:rPr>
        <w:t>their</w:t>
      </w:r>
      <w:r w:rsidR="009A06B1">
        <w:rPr>
          <w:rFonts w:ascii="Times New Roman" w:hAnsi="Times New Roman"/>
          <w:sz w:val="24"/>
          <w:szCs w:val="24"/>
        </w:rPr>
        <w:t xml:space="preserve"> SIP obligations in the Velocity estates</w:t>
      </w:r>
      <w:r w:rsidR="00DE4DC6">
        <w:rPr>
          <w:rFonts w:ascii="Times New Roman" w:hAnsi="Times New Roman"/>
          <w:sz w:val="24"/>
          <w:szCs w:val="24"/>
        </w:rPr>
        <w:t xml:space="preserve"> during the transition period</w:t>
      </w:r>
      <w:r w:rsidR="009A06B1">
        <w:rPr>
          <w:rFonts w:ascii="Times New Roman" w:hAnsi="Times New Roman"/>
          <w:sz w:val="24"/>
          <w:szCs w:val="24"/>
        </w:rPr>
        <w:t>.</w:t>
      </w:r>
    </w:p>
    <w:p w14:paraId="7DBAB6C9" w14:textId="26D72EB0" w:rsidR="00FE5D89" w:rsidRPr="00DF5BD4" w:rsidRDefault="00216D50" w:rsidP="003B16FF">
      <w:pPr>
        <w:shd w:val="clear" w:color="auto" w:fill="FFFFFF"/>
        <w:spacing w:before="100" w:beforeAutospacing="1" w:after="100" w:afterAutospacing="1"/>
        <w:rPr>
          <w:rFonts w:ascii="Times New Roman" w:hAnsi="Times New Roman"/>
          <w:sz w:val="24"/>
          <w:szCs w:val="24"/>
        </w:rPr>
      </w:pPr>
      <w:bookmarkStart w:id="7" w:name="_Hlk118276867"/>
      <w:r w:rsidRPr="00DF5BD4">
        <w:rPr>
          <w:rFonts w:ascii="Times New Roman" w:hAnsi="Times New Roman"/>
          <w:sz w:val="24"/>
          <w:szCs w:val="24"/>
        </w:rPr>
        <w:t xml:space="preserve">Together, the instruments </w:t>
      </w:r>
      <w:r w:rsidR="00DE4DC6">
        <w:rPr>
          <w:rFonts w:ascii="Times New Roman" w:hAnsi="Times New Roman"/>
          <w:sz w:val="24"/>
          <w:szCs w:val="24"/>
        </w:rPr>
        <w:t xml:space="preserve">provide for a smooth and streamlined transfer of SIP responsibilities while </w:t>
      </w:r>
      <w:r w:rsidRPr="00DF5BD4">
        <w:rPr>
          <w:rFonts w:ascii="Times New Roman" w:hAnsi="Times New Roman"/>
          <w:sz w:val="24"/>
          <w:szCs w:val="24"/>
        </w:rPr>
        <w:t>preserv</w:t>
      </w:r>
      <w:r w:rsidR="00DE4DC6">
        <w:rPr>
          <w:rFonts w:ascii="Times New Roman" w:hAnsi="Times New Roman"/>
          <w:sz w:val="24"/>
          <w:szCs w:val="24"/>
        </w:rPr>
        <w:t>ing</w:t>
      </w:r>
      <w:r w:rsidRPr="00DF5BD4">
        <w:rPr>
          <w:rFonts w:ascii="Times New Roman" w:hAnsi="Times New Roman"/>
          <w:sz w:val="24"/>
          <w:szCs w:val="24"/>
        </w:rPr>
        <w:t xml:space="preserve"> continuity of service for people at premises in the </w:t>
      </w:r>
      <w:r w:rsidR="00547A1B">
        <w:rPr>
          <w:rFonts w:ascii="Times New Roman" w:hAnsi="Times New Roman"/>
          <w:sz w:val="24"/>
          <w:szCs w:val="24"/>
        </w:rPr>
        <w:t xml:space="preserve">Velocity </w:t>
      </w:r>
      <w:r w:rsidR="00C77863">
        <w:rPr>
          <w:rFonts w:ascii="Times New Roman" w:hAnsi="Times New Roman"/>
          <w:sz w:val="24"/>
          <w:szCs w:val="24"/>
        </w:rPr>
        <w:t xml:space="preserve"> </w:t>
      </w:r>
      <w:r w:rsidRPr="00DF5BD4">
        <w:rPr>
          <w:rFonts w:ascii="Times New Roman" w:hAnsi="Times New Roman"/>
          <w:sz w:val="24"/>
          <w:szCs w:val="24"/>
        </w:rPr>
        <w:t xml:space="preserve">estates. </w:t>
      </w:r>
      <w:r w:rsidR="00AB2E3A">
        <w:rPr>
          <w:rFonts w:ascii="Times New Roman" w:hAnsi="Times New Roman"/>
          <w:sz w:val="24"/>
          <w:szCs w:val="24"/>
        </w:rPr>
        <w:t xml:space="preserve">This will support ongoing access to telecommunications, which is important for social, economic, cultural and political </w:t>
      </w:r>
      <w:r w:rsidR="0035788B">
        <w:rPr>
          <w:rFonts w:ascii="Times New Roman" w:hAnsi="Times New Roman"/>
          <w:sz w:val="24"/>
          <w:szCs w:val="24"/>
        </w:rPr>
        <w:t>participation</w:t>
      </w:r>
      <w:r w:rsidRPr="00DF5BD4">
        <w:rPr>
          <w:rFonts w:ascii="Times New Roman" w:hAnsi="Times New Roman"/>
          <w:sz w:val="24"/>
          <w:szCs w:val="24"/>
        </w:rPr>
        <w:t>.</w:t>
      </w:r>
    </w:p>
    <w:bookmarkEnd w:id="7"/>
    <w:p w14:paraId="5E57268A" w14:textId="77777777" w:rsidR="003B16FF" w:rsidRPr="00B72D3E" w:rsidRDefault="003B16FF" w:rsidP="003B16FF">
      <w:pPr>
        <w:spacing w:before="240"/>
        <w:rPr>
          <w:rFonts w:ascii="Times New Roman" w:hAnsi="Times New Roman"/>
          <w:b/>
          <w:i/>
          <w:sz w:val="24"/>
          <w:szCs w:val="24"/>
        </w:rPr>
      </w:pPr>
      <w:r w:rsidRPr="00B72D3E">
        <w:rPr>
          <w:rFonts w:ascii="Times New Roman" w:hAnsi="Times New Roman"/>
          <w:b/>
          <w:i/>
          <w:sz w:val="24"/>
          <w:szCs w:val="24"/>
        </w:rPr>
        <w:t xml:space="preserve">Human rights implications </w:t>
      </w:r>
    </w:p>
    <w:p w14:paraId="35E78BFB" w14:textId="55D21835" w:rsidR="003B16FF" w:rsidRPr="00B72D3E" w:rsidRDefault="003B16FF" w:rsidP="003B16FF">
      <w:pPr>
        <w:shd w:val="clear" w:color="auto" w:fill="FFFFFF"/>
        <w:spacing w:before="240"/>
        <w:rPr>
          <w:rFonts w:ascii="Times New Roman" w:hAnsi="Times New Roman"/>
          <w:sz w:val="24"/>
          <w:szCs w:val="24"/>
        </w:rPr>
      </w:pPr>
      <w:r w:rsidRPr="00B72D3E">
        <w:rPr>
          <w:rFonts w:ascii="Times New Roman" w:hAnsi="Times New Roman"/>
          <w:sz w:val="24"/>
          <w:szCs w:val="24"/>
        </w:rPr>
        <w:t xml:space="preserve">The Amending Declaration is compatible with the rights and freedoms recognised or declared by the international instruments listed in subsection 3(1) of the </w:t>
      </w:r>
      <w:r w:rsidRPr="00B72D3E">
        <w:rPr>
          <w:rFonts w:ascii="Times New Roman" w:hAnsi="Times New Roman"/>
          <w:i/>
          <w:iCs/>
          <w:sz w:val="24"/>
          <w:szCs w:val="24"/>
        </w:rPr>
        <w:t>Human Rights (Parliamentary Scrutiny) Act 2011</w:t>
      </w:r>
      <w:r w:rsidRPr="00B72D3E">
        <w:rPr>
          <w:rFonts w:ascii="Times New Roman" w:hAnsi="Times New Roman"/>
          <w:sz w:val="24"/>
          <w:szCs w:val="24"/>
        </w:rPr>
        <w:t xml:space="preserve"> as they apply to Australia. The Amending Declaration does not engage any of the applicable rights or freedoms.</w:t>
      </w:r>
    </w:p>
    <w:p w14:paraId="0EF1ECCF" w14:textId="77777777" w:rsidR="003B16FF" w:rsidRPr="00B72D3E" w:rsidRDefault="003B16FF" w:rsidP="003B16FF">
      <w:pPr>
        <w:shd w:val="clear" w:color="auto" w:fill="FFFFFF"/>
        <w:spacing w:before="240"/>
        <w:rPr>
          <w:rFonts w:ascii="Times New Roman" w:hAnsi="Times New Roman"/>
          <w:b/>
          <w:i/>
          <w:sz w:val="24"/>
          <w:szCs w:val="24"/>
          <w:lang w:val="en-US"/>
        </w:rPr>
      </w:pPr>
      <w:r w:rsidRPr="00B72D3E">
        <w:rPr>
          <w:rFonts w:ascii="Times New Roman" w:hAnsi="Times New Roman"/>
          <w:b/>
          <w:bCs/>
          <w:i/>
          <w:iCs/>
          <w:sz w:val="24"/>
          <w:szCs w:val="24"/>
        </w:rPr>
        <w:t>Conclusion</w:t>
      </w:r>
    </w:p>
    <w:p w14:paraId="226330EE" w14:textId="4A3D8E61" w:rsidR="001C63D3" w:rsidRDefault="003B16FF" w:rsidP="00AB2E3A">
      <w:pPr>
        <w:shd w:val="clear" w:color="auto" w:fill="FFFFFF"/>
        <w:spacing w:before="240"/>
      </w:pPr>
      <w:r w:rsidRPr="00B72D3E">
        <w:rPr>
          <w:rFonts w:ascii="Times New Roman" w:hAnsi="Times New Roman"/>
          <w:sz w:val="24"/>
          <w:szCs w:val="24"/>
        </w:rPr>
        <w:t>The Amending Declaration is compatible with human rights as it does not raise any human rights issues</w:t>
      </w:r>
      <w:r w:rsidR="0035788B">
        <w:rPr>
          <w:rFonts w:ascii="Times New Roman" w:hAnsi="Times New Roman"/>
          <w:sz w:val="24"/>
          <w:szCs w:val="24"/>
        </w:rPr>
        <w:t>.</w:t>
      </w:r>
    </w:p>
    <w:sectPr w:rsidR="001C63D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26BAB" w14:textId="77777777" w:rsidR="003F769C" w:rsidRDefault="003F769C">
      <w:pPr>
        <w:spacing w:after="0" w:line="240" w:lineRule="auto"/>
      </w:pPr>
      <w:r>
        <w:separator/>
      </w:r>
    </w:p>
  </w:endnote>
  <w:endnote w:type="continuationSeparator" w:id="0">
    <w:p w14:paraId="3E15E92E" w14:textId="77777777" w:rsidR="003F769C" w:rsidRDefault="003F7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2680370"/>
      <w:docPartObj>
        <w:docPartGallery w:val="Page Numbers (Bottom of Page)"/>
        <w:docPartUnique/>
      </w:docPartObj>
    </w:sdtPr>
    <w:sdtEndPr>
      <w:rPr>
        <w:rFonts w:ascii="Times New Roman" w:hAnsi="Times New Roman" w:cs="Times New Roman"/>
        <w:noProof/>
      </w:rPr>
    </w:sdtEndPr>
    <w:sdtContent>
      <w:p w14:paraId="6C26F057" w14:textId="77777777" w:rsidR="003F769C" w:rsidRPr="00E52430" w:rsidRDefault="003F769C">
        <w:pPr>
          <w:pStyle w:val="Footer"/>
          <w:jc w:val="right"/>
          <w:rPr>
            <w:rFonts w:ascii="Times New Roman" w:hAnsi="Times New Roman" w:cs="Times New Roman"/>
          </w:rPr>
        </w:pPr>
        <w:r w:rsidRPr="00E52430">
          <w:rPr>
            <w:rFonts w:ascii="Times New Roman" w:hAnsi="Times New Roman" w:cs="Times New Roman"/>
          </w:rPr>
          <w:fldChar w:fldCharType="begin"/>
        </w:r>
        <w:r w:rsidRPr="00E52430">
          <w:rPr>
            <w:rFonts w:ascii="Times New Roman" w:hAnsi="Times New Roman" w:cs="Times New Roman"/>
          </w:rPr>
          <w:instrText xml:space="preserve"> PAGE   \* MERGEFORMAT </w:instrText>
        </w:r>
        <w:r w:rsidRPr="00E52430">
          <w:rPr>
            <w:rFonts w:ascii="Times New Roman" w:hAnsi="Times New Roman" w:cs="Times New Roman"/>
          </w:rPr>
          <w:fldChar w:fldCharType="separate"/>
        </w:r>
        <w:r w:rsidRPr="00E52430">
          <w:rPr>
            <w:rFonts w:ascii="Times New Roman" w:hAnsi="Times New Roman" w:cs="Times New Roman"/>
            <w:noProof/>
          </w:rPr>
          <w:t>5</w:t>
        </w:r>
        <w:r w:rsidRPr="00E52430">
          <w:rPr>
            <w:rFonts w:ascii="Times New Roman" w:hAnsi="Times New Roman" w:cs="Times New Roman"/>
            <w:noProof/>
          </w:rPr>
          <w:fldChar w:fldCharType="end"/>
        </w:r>
      </w:p>
    </w:sdtContent>
  </w:sdt>
  <w:p w14:paraId="2CDF33E4" w14:textId="77777777" w:rsidR="003F769C" w:rsidRDefault="003F7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8A82D" w14:textId="77777777" w:rsidR="003F769C" w:rsidRDefault="003F769C">
      <w:pPr>
        <w:spacing w:after="0" w:line="240" w:lineRule="auto"/>
      </w:pPr>
      <w:r>
        <w:separator/>
      </w:r>
    </w:p>
  </w:footnote>
  <w:footnote w:type="continuationSeparator" w:id="0">
    <w:p w14:paraId="2592296D" w14:textId="77777777" w:rsidR="003F769C" w:rsidRDefault="003F7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24D9D"/>
    <w:multiLevelType w:val="hybridMultilevel"/>
    <w:tmpl w:val="937681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6D00F1"/>
    <w:multiLevelType w:val="hybridMultilevel"/>
    <w:tmpl w:val="82C8D2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CA5441"/>
    <w:multiLevelType w:val="hybridMultilevel"/>
    <w:tmpl w:val="BC941800"/>
    <w:lvl w:ilvl="0" w:tplc="BC384C12">
      <w:start w:val="1"/>
      <w:numFmt w:val="lowerRoman"/>
      <w:lvlText w:val="(%1)"/>
      <w:lvlJc w:val="left"/>
      <w:pPr>
        <w:ind w:left="2203" w:hanging="720"/>
      </w:pPr>
      <w:rPr>
        <w:rFonts w:hint="default"/>
      </w:rPr>
    </w:lvl>
    <w:lvl w:ilvl="1" w:tplc="0C090019" w:tentative="1">
      <w:start w:val="1"/>
      <w:numFmt w:val="lowerLetter"/>
      <w:lvlText w:val="%2."/>
      <w:lvlJc w:val="left"/>
      <w:pPr>
        <w:ind w:left="2563" w:hanging="360"/>
      </w:pPr>
    </w:lvl>
    <w:lvl w:ilvl="2" w:tplc="0C09001B" w:tentative="1">
      <w:start w:val="1"/>
      <w:numFmt w:val="lowerRoman"/>
      <w:lvlText w:val="%3."/>
      <w:lvlJc w:val="right"/>
      <w:pPr>
        <w:ind w:left="3283" w:hanging="180"/>
      </w:pPr>
    </w:lvl>
    <w:lvl w:ilvl="3" w:tplc="0C09000F" w:tentative="1">
      <w:start w:val="1"/>
      <w:numFmt w:val="decimal"/>
      <w:lvlText w:val="%4."/>
      <w:lvlJc w:val="left"/>
      <w:pPr>
        <w:ind w:left="4003" w:hanging="360"/>
      </w:pPr>
    </w:lvl>
    <w:lvl w:ilvl="4" w:tplc="0C090019" w:tentative="1">
      <w:start w:val="1"/>
      <w:numFmt w:val="lowerLetter"/>
      <w:lvlText w:val="%5."/>
      <w:lvlJc w:val="left"/>
      <w:pPr>
        <w:ind w:left="4723" w:hanging="360"/>
      </w:pPr>
    </w:lvl>
    <w:lvl w:ilvl="5" w:tplc="0C09001B" w:tentative="1">
      <w:start w:val="1"/>
      <w:numFmt w:val="lowerRoman"/>
      <w:lvlText w:val="%6."/>
      <w:lvlJc w:val="right"/>
      <w:pPr>
        <w:ind w:left="5443" w:hanging="180"/>
      </w:pPr>
    </w:lvl>
    <w:lvl w:ilvl="6" w:tplc="0C09000F" w:tentative="1">
      <w:start w:val="1"/>
      <w:numFmt w:val="decimal"/>
      <w:lvlText w:val="%7."/>
      <w:lvlJc w:val="left"/>
      <w:pPr>
        <w:ind w:left="6163" w:hanging="360"/>
      </w:pPr>
    </w:lvl>
    <w:lvl w:ilvl="7" w:tplc="0C090019" w:tentative="1">
      <w:start w:val="1"/>
      <w:numFmt w:val="lowerLetter"/>
      <w:lvlText w:val="%8."/>
      <w:lvlJc w:val="left"/>
      <w:pPr>
        <w:ind w:left="6883" w:hanging="360"/>
      </w:pPr>
    </w:lvl>
    <w:lvl w:ilvl="8" w:tplc="0C09001B" w:tentative="1">
      <w:start w:val="1"/>
      <w:numFmt w:val="lowerRoman"/>
      <w:lvlText w:val="%9."/>
      <w:lvlJc w:val="right"/>
      <w:pPr>
        <w:ind w:left="7603" w:hanging="180"/>
      </w:pPr>
    </w:lvl>
  </w:abstractNum>
  <w:abstractNum w:abstractNumId="3" w15:restartNumberingAfterBreak="0">
    <w:nsid w:val="1FB75710"/>
    <w:multiLevelType w:val="hybridMultilevel"/>
    <w:tmpl w:val="78304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F52044"/>
    <w:multiLevelType w:val="hybridMultilevel"/>
    <w:tmpl w:val="061E061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276D71"/>
    <w:multiLevelType w:val="hybridMultilevel"/>
    <w:tmpl w:val="BC2A211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34152EC"/>
    <w:multiLevelType w:val="hybridMultilevel"/>
    <w:tmpl w:val="FE72E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8D3CBF"/>
    <w:multiLevelType w:val="hybridMultilevel"/>
    <w:tmpl w:val="F66C2ABE"/>
    <w:lvl w:ilvl="0" w:tplc="FB5A507C">
      <w:start w:val="2"/>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4D352A7C"/>
    <w:multiLevelType w:val="hybridMultilevel"/>
    <w:tmpl w:val="10CCE680"/>
    <w:lvl w:ilvl="0" w:tplc="8B70CEEE">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9" w15:restartNumberingAfterBreak="0">
    <w:nsid w:val="503255E8"/>
    <w:multiLevelType w:val="hybridMultilevel"/>
    <w:tmpl w:val="189C676A"/>
    <w:lvl w:ilvl="0" w:tplc="279C1872">
      <w:start w:val="1"/>
      <w:numFmt w:val="lowerRoman"/>
      <w:lvlText w:val="(%1)"/>
      <w:lvlJc w:val="left"/>
      <w:pPr>
        <w:ind w:left="2214" w:hanging="72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0" w15:restartNumberingAfterBreak="0">
    <w:nsid w:val="543129C0"/>
    <w:multiLevelType w:val="hybridMultilevel"/>
    <w:tmpl w:val="CB725C08"/>
    <w:lvl w:ilvl="0" w:tplc="9D680CB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5A5A73A3"/>
    <w:multiLevelType w:val="hybridMultilevel"/>
    <w:tmpl w:val="18084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82671B"/>
    <w:multiLevelType w:val="hybridMultilevel"/>
    <w:tmpl w:val="2182DB56"/>
    <w:lvl w:ilvl="0" w:tplc="3DF08830">
      <w:start w:val="1"/>
      <w:numFmt w:val="lowerLetter"/>
      <w:lvlText w:val="(%1)"/>
      <w:lvlJc w:val="left"/>
      <w:pPr>
        <w:ind w:left="1483" w:hanging="360"/>
      </w:pPr>
      <w:rPr>
        <w:rFonts w:hint="default"/>
      </w:rPr>
    </w:lvl>
    <w:lvl w:ilvl="1" w:tplc="0C090019" w:tentative="1">
      <w:start w:val="1"/>
      <w:numFmt w:val="lowerLetter"/>
      <w:lvlText w:val="%2."/>
      <w:lvlJc w:val="left"/>
      <w:pPr>
        <w:ind w:left="2203" w:hanging="360"/>
      </w:pPr>
    </w:lvl>
    <w:lvl w:ilvl="2" w:tplc="0C09001B" w:tentative="1">
      <w:start w:val="1"/>
      <w:numFmt w:val="lowerRoman"/>
      <w:lvlText w:val="%3."/>
      <w:lvlJc w:val="right"/>
      <w:pPr>
        <w:ind w:left="2923" w:hanging="180"/>
      </w:pPr>
    </w:lvl>
    <w:lvl w:ilvl="3" w:tplc="0C09000F" w:tentative="1">
      <w:start w:val="1"/>
      <w:numFmt w:val="decimal"/>
      <w:lvlText w:val="%4."/>
      <w:lvlJc w:val="left"/>
      <w:pPr>
        <w:ind w:left="3643" w:hanging="360"/>
      </w:pPr>
    </w:lvl>
    <w:lvl w:ilvl="4" w:tplc="0C090019" w:tentative="1">
      <w:start w:val="1"/>
      <w:numFmt w:val="lowerLetter"/>
      <w:lvlText w:val="%5."/>
      <w:lvlJc w:val="left"/>
      <w:pPr>
        <w:ind w:left="4363" w:hanging="360"/>
      </w:pPr>
    </w:lvl>
    <w:lvl w:ilvl="5" w:tplc="0C09001B" w:tentative="1">
      <w:start w:val="1"/>
      <w:numFmt w:val="lowerRoman"/>
      <w:lvlText w:val="%6."/>
      <w:lvlJc w:val="right"/>
      <w:pPr>
        <w:ind w:left="5083" w:hanging="180"/>
      </w:pPr>
    </w:lvl>
    <w:lvl w:ilvl="6" w:tplc="0C09000F" w:tentative="1">
      <w:start w:val="1"/>
      <w:numFmt w:val="decimal"/>
      <w:lvlText w:val="%7."/>
      <w:lvlJc w:val="left"/>
      <w:pPr>
        <w:ind w:left="5803" w:hanging="360"/>
      </w:pPr>
    </w:lvl>
    <w:lvl w:ilvl="7" w:tplc="0C090019" w:tentative="1">
      <w:start w:val="1"/>
      <w:numFmt w:val="lowerLetter"/>
      <w:lvlText w:val="%8."/>
      <w:lvlJc w:val="left"/>
      <w:pPr>
        <w:ind w:left="6523" w:hanging="360"/>
      </w:pPr>
    </w:lvl>
    <w:lvl w:ilvl="8" w:tplc="0C09001B" w:tentative="1">
      <w:start w:val="1"/>
      <w:numFmt w:val="lowerRoman"/>
      <w:lvlText w:val="%9."/>
      <w:lvlJc w:val="right"/>
      <w:pPr>
        <w:ind w:left="7243" w:hanging="180"/>
      </w:pPr>
    </w:lvl>
  </w:abstractNum>
  <w:abstractNum w:abstractNumId="13" w15:restartNumberingAfterBreak="0">
    <w:nsid w:val="77D44503"/>
    <w:multiLevelType w:val="hybridMultilevel"/>
    <w:tmpl w:val="7EAC0E80"/>
    <w:lvl w:ilvl="0" w:tplc="01683F7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CE47A74"/>
    <w:multiLevelType w:val="hybridMultilevel"/>
    <w:tmpl w:val="2182DB56"/>
    <w:lvl w:ilvl="0" w:tplc="3DF08830">
      <w:start w:val="1"/>
      <w:numFmt w:val="lowerLetter"/>
      <w:lvlText w:val="(%1)"/>
      <w:lvlJc w:val="left"/>
      <w:pPr>
        <w:ind w:left="1483" w:hanging="360"/>
      </w:pPr>
      <w:rPr>
        <w:rFonts w:hint="default"/>
      </w:rPr>
    </w:lvl>
    <w:lvl w:ilvl="1" w:tplc="0C090019" w:tentative="1">
      <w:start w:val="1"/>
      <w:numFmt w:val="lowerLetter"/>
      <w:lvlText w:val="%2."/>
      <w:lvlJc w:val="left"/>
      <w:pPr>
        <w:ind w:left="2203" w:hanging="360"/>
      </w:pPr>
    </w:lvl>
    <w:lvl w:ilvl="2" w:tplc="0C09001B" w:tentative="1">
      <w:start w:val="1"/>
      <w:numFmt w:val="lowerRoman"/>
      <w:lvlText w:val="%3."/>
      <w:lvlJc w:val="right"/>
      <w:pPr>
        <w:ind w:left="2923" w:hanging="180"/>
      </w:pPr>
    </w:lvl>
    <w:lvl w:ilvl="3" w:tplc="0C09000F" w:tentative="1">
      <w:start w:val="1"/>
      <w:numFmt w:val="decimal"/>
      <w:lvlText w:val="%4."/>
      <w:lvlJc w:val="left"/>
      <w:pPr>
        <w:ind w:left="3643" w:hanging="360"/>
      </w:pPr>
    </w:lvl>
    <w:lvl w:ilvl="4" w:tplc="0C090019" w:tentative="1">
      <w:start w:val="1"/>
      <w:numFmt w:val="lowerLetter"/>
      <w:lvlText w:val="%5."/>
      <w:lvlJc w:val="left"/>
      <w:pPr>
        <w:ind w:left="4363" w:hanging="360"/>
      </w:pPr>
    </w:lvl>
    <w:lvl w:ilvl="5" w:tplc="0C09001B" w:tentative="1">
      <w:start w:val="1"/>
      <w:numFmt w:val="lowerRoman"/>
      <w:lvlText w:val="%6."/>
      <w:lvlJc w:val="right"/>
      <w:pPr>
        <w:ind w:left="5083" w:hanging="180"/>
      </w:pPr>
    </w:lvl>
    <w:lvl w:ilvl="6" w:tplc="0C09000F" w:tentative="1">
      <w:start w:val="1"/>
      <w:numFmt w:val="decimal"/>
      <w:lvlText w:val="%7."/>
      <w:lvlJc w:val="left"/>
      <w:pPr>
        <w:ind w:left="5803" w:hanging="360"/>
      </w:pPr>
    </w:lvl>
    <w:lvl w:ilvl="7" w:tplc="0C090019" w:tentative="1">
      <w:start w:val="1"/>
      <w:numFmt w:val="lowerLetter"/>
      <w:lvlText w:val="%8."/>
      <w:lvlJc w:val="left"/>
      <w:pPr>
        <w:ind w:left="6523" w:hanging="360"/>
      </w:pPr>
    </w:lvl>
    <w:lvl w:ilvl="8" w:tplc="0C09001B" w:tentative="1">
      <w:start w:val="1"/>
      <w:numFmt w:val="lowerRoman"/>
      <w:lvlText w:val="%9."/>
      <w:lvlJc w:val="right"/>
      <w:pPr>
        <w:ind w:left="7243" w:hanging="180"/>
      </w:pPr>
    </w:lvl>
  </w:abstractNum>
  <w:num w:numId="1">
    <w:abstractNumId w:val="11"/>
  </w:num>
  <w:num w:numId="2">
    <w:abstractNumId w:val="10"/>
  </w:num>
  <w:num w:numId="3">
    <w:abstractNumId w:val="9"/>
  </w:num>
  <w:num w:numId="4">
    <w:abstractNumId w:val="8"/>
  </w:num>
  <w:num w:numId="5">
    <w:abstractNumId w:val="7"/>
  </w:num>
  <w:num w:numId="6">
    <w:abstractNumId w:val="2"/>
  </w:num>
  <w:num w:numId="7">
    <w:abstractNumId w:val="14"/>
  </w:num>
  <w:num w:numId="8">
    <w:abstractNumId w:val="12"/>
  </w:num>
  <w:num w:numId="9">
    <w:abstractNumId w:val="3"/>
  </w:num>
  <w:num w:numId="10">
    <w:abstractNumId w:val="6"/>
  </w:num>
  <w:num w:numId="11">
    <w:abstractNumId w:val="0"/>
  </w:num>
  <w:num w:numId="12">
    <w:abstractNumId w:val="1"/>
  </w:num>
  <w:num w:numId="13">
    <w:abstractNumId w:val="13"/>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FF"/>
    <w:rsid w:val="000064E9"/>
    <w:rsid w:val="000231AE"/>
    <w:rsid w:val="000358C1"/>
    <w:rsid w:val="0004103F"/>
    <w:rsid w:val="0005328D"/>
    <w:rsid w:val="00061A82"/>
    <w:rsid w:val="000A2B4B"/>
    <w:rsid w:val="000B5F24"/>
    <w:rsid w:val="000C1DAC"/>
    <w:rsid w:val="00106414"/>
    <w:rsid w:val="00137DCE"/>
    <w:rsid w:val="001C63D3"/>
    <w:rsid w:val="001D5521"/>
    <w:rsid w:val="001D6913"/>
    <w:rsid w:val="001E5667"/>
    <w:rsid w:val="00215982"/>
    <w:rsid w:val="00216D50"/>
    <w:rsid w:val="00241E8B"/>
    <w:rsid w:val="00250C47"/>
    <w:rsid w:val="0027636E"/>
    <w:rsid w:val="002A78DF"/>
    <w:rsid w:val="002D7562"/>
    <w:rsid w:val="002F5E99"/>
    <w:rsid w:val="00312736"/>
    <w:rsid w:val="0033419D"/>
    <w:rsid w:val="00353895"/>
    <w:rsid w:val="0035788B"/>
    <w:rsid w:val="003B16FF"/>
    <w:rsid w:val="003B7467"/>
    <w:rsid w:val="003D6C0C"/>
    <w:rsid w:val="003F769C"/>
    <w:rsid w:val="004263AF"/>
    <w:rsid w:val="004326AF"/>
    <w:rsid w:val="004439D0"/>
    <w:rsid w:val="00462E0A"/>
    <w:rsid w:val="004639CC"/>
    <w:rsid w:val="00463B84"/>
    <w:rsid w:val="0048665D"/>
    <w:rsid w:val="004A33EB"/>
    <w:rsid w:val="004B0D71"/>
    <w:rsid w:val="004E6B78"/>
    <w:rsid w:val="004E7668"/>
    <w:rsid w:val="004F4687"/>
    <w:rsid w:val="004F5942"/>
    <w:rsid w:val="00515930"/>
    <w:rsid w:val="00541667"/>
    <w:rsid w:val="00547A1B"/>
    <w:rsid w:val="00557134"/>
    <w:rsid w:val="005628CF"/>
    <w:rsid w:val="0056552C"/>
    <w:rsid w:val="005A541C"/>
    <w:rsid w:val="005B4288"/>
    <w:rsid w:val="005E2583"/>
    <w:rsid w:val="005F128E"/>
    <w:rsid w:val="005F5C83"/>
    <w:rsid w:val="00611F78"/>
    <w:rsid w:val="006143FD"/>
    <w:rsid w:val="00615475"/>
    <w:rsid w:val="00621275"/>
    <w:rsid w:val="006225EA"/>
    <w:rsid w:val="00625280"/>
    <w:rsid w:val="00672336"/>
    <w:rsid w:val="00672DB1"/>
    <w:rsid w:val="00680728"/>
    <w:rsid w:val="00684A51"/>
    <w:rsid w:val="00685A47"/>
    <w:rsid w:val="006A177C"/>
    <w:rsid w:val="006E01D2"/>
    <w:rsid w:val="006E49F6"/>
    <w:rsid w:val="006F30D6"/>
    <w:rsid w:val="006F4479"/>
    <w:rsid w:val="00705732"/>
    <w:rsid w:val="00721A99"/>
    <w:rsid w:val="007741D6"/>
    <w:rsid w:val="00785085"/>
    <w:rsid w:val="00796593"/>
    <w:rsid w:val="007A3E3C"/>
    <w:rsid w:val="007A57E3"/>
    <w:rsid w:val="007B6A0A"/>
    <w:rsid w:val="007C7D5E"/>
    <w:rsid w:val="007D57AE"/>
    <w:rsid w:val="007D5884"/>
    <w:rsid w:val="007D58CC"/>
    <w:rsid w:val="007E3C51"/>
    <w:rsid w:val="007E65D9"/>
    <w:rsid w:val="007F56B8"/>
    <w:rsid w:val="007F610A"/>
    <w:rsid w:val="008037F5"/>
    <w:rsid w:val="008413E3"/>
    <w:rsid w:val="0084193B"/>
    <w:rsid w:val="00855D5F"/>
    <w:rsid w:val="00860F71"/>
    <w:rsid w:val="00864F12"/>
    <w:rsid w:val="0086508F"/>
    <w:rsid w:val="00880E92"/>
    <w:rsid w:val="00891ECB"/>
    <w:rsid w:val="008C6D0D"/>
    <w:rsid w:val="008C7D81"/>
    <w:rsid w:val="00915FC7"/>
    <w:rsid w:val="0093795B"/>
    <w:rsid w:val="009405DB"/>
    <w:rsid w:val="0096360D"/>
    <w:rsid w:val="00963ABD"/>
    <w:rsid w:val="00964534"/>
    <w:rsid w:val="0098555A"/>
    <w:rsid w:val="009A06B1"/>
    <w:rsid w:val="009A1B9B"/>
    <w:rsid w:val="009C7722"/>
    <w:rsid w:val="009E043D"/>
    <w:rsid w:val="009F0F30"/>
    <w:rsid w:val="00A432A0"/>
    <w:rsid w:val="00A46CEA"/>
    <w:rsid w:val="00A56652"/>
    <w:rsid w:val="00A56DDC"/>
    <w:rsid w:val="00AB2E3A"/>
    <w:rsid w:val="00AE4370"/>
    <w:rsid w:val="00B00C78"/>
    <w:rsid w:val="00B02D3F"/>
    <w:rsid w:val="00B21480"/>
    <w:rsid w:val="00B24B64"/>
    <w:rsid w:val="00B30FD2"/>
    <w:rsid w:val="00B32204"/>
    <w:rsid w:val="00B32993"/>
    <w:rsid w:val="00B41112"/>
    <w:rsid w:val="00B80ED7"/>
    <w:rsid w:val="00B938D8"/>
    <w:rsid w:val="00BA12D5"/>
    <w:rsid w:val="00BF2480"/>
    <w:rsid w:val="00C10369"/>
    <w:rsid w:val="00C35251"/>
    <w:rsid w:val="00C411AF"/>
    <w:rsid w:val="00C43A16"/>
    <w:rsid w:val="00C469F2"/>
    <w:rsid w:val="00C54611"/>
    <w:rsid w:val="00C54D7D"/>
    <w:rsid w:val="00C77863"/>
    <w:rsid w:val="00C8228B"/>
    <w:rsid w:val="00C825DD"/>
    <w:rsid w:val="00C96BB7"/>
    <w:rsid w:val="00CA4908"/>
    <w:rsid w:val="00CF7C93"/>
    <w:rsid w:val="00D1141A"/>
    <w:rsid w:val="00D4286E"/>
    <w:rsid w:val="00D56F74"/>
    <w:rsid w:val="00DA1AAA"/>
    <w:rsid w:val="00DA56C5"/>
    <w:rsid w:val="00DC139F"/>
    <w:rsid w:val="00DE4DC6"/>
    <w:rsid w:val="00DF16E1"/>
    <w:rsid w:val="00DF5BD4"/>
    <w:rsid w:val="00E13C36"/>
    <w:rsid w:val="00E40A50"/>
    <w:rsid w:val="00E47391"/>
    <w:rsid w:val="00E52430"/>
    <w:rsid w:val="00E65D16"/>
    <w:rsid w:val="00E72BE5"/>
    <w:rsid w:val="00E77D6F"/>
    <w:rsid w:val="00E94750"/>
    <w:rsid w:val="00E97CC8"/>
    <w:rsid w:val="00EC5E92"/>
    <w:rsid w:val="00F24B2C"/>
    <w:rsid w:val="00F50616"/>
    <w:rsid w:val="00F63F91"/>
    <w:rsid w:val="00F6732C"/>
    <w:rsid w:val="00F7200C"/>
    <w:rsid w:val="00FB0A2D"/>
    <w:rsid w:val="00FD0261"/>
    <w:rsid w:val="00FD54E1"/>
    <w:rsid w:val="00FE5D89"/>
    <w:rsid w:val="00FF4E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2538C"/>
  <w15:chartTrackingRefBased/>
  <w15:docId w15:val="{A445F723-AB4A-4164-ACDC-2838B423D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16FF"/>
  </w:style>
  <w:style w:type="paragraph" w:styleId="Heading2">
    <w:name w:val="heading 2"/>
    <w:basedOn w:val="Normal"/>
    <w:next w:val="Normal"/>
    <w:link w:val="Heading2Char"/>
    <w:uiPriority w:val="9"/>
    <w:unhideWhenUsed/>
    <w:qFormat/>
    <w:rsid w:val="003B16FF"/>
    <w:pPr>
      <w:spacing w:before="360" w:after="120" w:line="240" w:lineRule="auto"/>
      <w:jc w:val="center"/>
      <w:outlineLvl w:val="1"/>
    </w:pPr>
    <w:rPr>
      <w:rFonts w:ascii="Times New Roman" w:eastAsia="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16FF"/>
    <w:rPr>
      <w:rFonts w:ascii="Times New Roman" w:eastAsia="Times New Roman" w:hAnsi="Times New Roman"/>
      <w:b/>
      <w:sz w:val="28"/>
      <w:szCs w:val="28"/>
    </w:rPr>
  </w:style>
  <w:style w:type="paragraph" w:styleId="Footer">
    <w:name w:val="footer"/>
    <w:basedOn w:val="Normal"/>
    <w:link w:val="FooterChar"/>
    <w:uiPriority w:val="99"/>
    <w:unhideWhenUsed/>
    <w:rsid w:val="003B16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6FF"/>
  </w:style>
  <w:style w:type="paragraph" w:styleId="ListParagraph">
    <w:name w:val="List Paragraph"/>
    <w:basedOn w:val="Normal"/>
    <w:link w:val="ListParagraphChar"/>
    <w:uiPriority w:val="34"/>
    <w:qFormat/>
    <w:rsid w:val="003B16FF"/>
    <w:pPr>
      <w:ind w:left="720"/>
      <w:contextualSpacing/>
    </w:pPr>
  </w:style>
  <w:style w:type="character" w:customStyle="1" w:styleId="ListParagraphChar">
    <w:name w:val="List Paragraph Char"/>
    <w:link w:val="ListParagraph"/>
    <w:uiPriority w:val="34"/>
    <w:rsid w:val="003B16FF"/>
  </w:style>
  <w:style w:type="character" w:styleId="CommentReference">
    <w:name w:val="annotation reference"/>
    <w:basedOn w:val="DefaultParagraphFont"/>
    <w:uiPriority w:val="99"/>
    <w:semiHidden/>
    <w:unhideWhenUsed/>
    <w:rsid w:val="00B80ED7"/>
    <w:rPr>
      <w:sz w:val="16"/>
      <w:szCs w:val="16"/>
    </w:rPr>
  </w:style>
  <w:style w:type="paragraph" w:styleId="CommentText">
    <w:name w:val="annotation text"/>
    <w:basedOn w:val="Normal"/>
    <w:link w:val="CommentTextChar"/>
    <w:uiPriority w:val="99"/>
    <w:semiHidden/>
    <w:unhideWhenUsed/>
    <w:rsid w:val="00B80ED7"/>
    <w:pPr>
      <w:spacing w:line="240" w:lineRule="auto"/>
    </w:pPr>
    <w:rPr>
      <w:sz w:val="20"/>
      <w:szCs w:val="20"/>
    </w:rPr>
  </w:style>
  <w:style w:type="character" w:customStyle="1" w:styleId="CommentTextChar">
    <w:name w:val="Comment Text Char"/>
    <w:basedOn w:val="DefaultParagraphFont"/>
    <w:link w:val="CommentText"/>
    <w:uiPriority w:val="99"/>
    <w:semiHidden/>
    <w:rsid w:val="00B80ED7"/>
    <w:rPr>
      <w:sz w:val="20"/>
      <w:szCs w:val="20"/>
    </w:rPr>
  </w:style>
  <w:style w:type="paragraph" w:styleId="CommentSubject">
    <w:name w:val="annotation subject"/>
    <w:basedOn w:val="CommentText"/>
    <w:next w:val="CommentText"/>
    <w:link w:val="CommentSubjectChar"/>
    <w:uiPriority w:val="99"/>
    <w:semiHidden/>
    <w:unhideWhenUsed/>
    <w:rsid w:val="00B80ED7"/>
    <w:rPr>
      <w:b/>
      <w:bCs/>
    </w:rPr>
  </w:style>
  <w:style w:type="character" w:customStyle="1" w:styleId="CommentSubjectChar">
    <w:name w:val="Comment Subject Char"/>
    <w:basedOn w:val="CommentTextChar"/>
    <w:link w:val="CommentSubject"/>
    <w:uiPriority w:val="99"/>
    <w:semiHidden/>
    <w:rsid w:val="00B80ED7"/>
    <w:rPr>
      <w:b/>
      <w:bCs/>
      <w:sz w:val="20"/>
      <w:szCs w:val="20"/>
    </w:rPr>
  </w:style>
  <w:style w:type="paragraph" w:styleId="BalloonText">
    <w:name w:val="Balloon Text"/>
    <w:basedOn w:val="Normal"/>
    <w:link w:val="BalloonTextChar"/>
    <w:uiPriority w:val="99"/>
    <w:semiHidden/>
    <w:unhideWhenUsed/>
    <w:rsid w:val="00B80E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ED7"/>
    <w:rPr>
      <w:rFonts w:ascii="Segoe UI" w:hAnsi="Segoe UI" w:cs="Segoe UI"/>
      <w:sz w:val="18"/>
      <w:szCs w:val="18"/>
    </w:rPr>
  </w:style>
  <w:style w:type="paragraph" w:customStyle="1" w:styleId="paragraphsub">
    <w:name w:val="paragraph(sub)"/>
    <w:aliases w:val="aa"/>
    <w:basedOn w:val="Normal"/>
    <w:rsid w:val="00515930"/>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ActHead5">
    <w:name w:val="ActHead 5"/>
    <w:aliases w:val="s"/>
    <w:basedOn w:val="Normal"/>
    <w:next w:val="subsection"/>
    <w:qFormat/>
    <w:rsid w:val="009F0F30"/>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subsection">
    <w:name w:val="subsection"/>
    <w:aliases w:val="ss,Subsection"/>
    <w:basedOn w:val="Normal"/>
    <w:link w:val="subsectionChar"/>
    <w:rsid w:val="009F0F30"/>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Definition">
    <w:name w:val="Definition"/>
    <w:aliases w:val="dd"/>
    <w:basedOn w:val="Normal"/>
    <w:link w:val="DefinitionChar"/>
    <w:rsid w:val="009F0F30"/>
    <w:pPr>
      <w:spacing w:before="180" w:after="0" w:line="240" w:lineRule="auto"/>
      <w:ind w:left="1134"/>
    </w:pPr>
    <w:rPr>
      <w:rFonts w:ascii="Times New Roman" w:eastAsia="Times New Roman" w:hAnsi="Times New Roman" w:cs="Times New Roman"/>
      <w:szCs w:val="20"/>
      <w:lang w:eastAsia="en-AU"/>
    </w:rPr>
  </w:style>
  <w:style w:type="paragraph" w:customStyle="1" w:styleId="Item">
    <w:name w:val="Item"/>
    <w:aliases w:val="i"/>
    <w:basedOn w:val="Normal"/>
    <w:next w:val="ItemHead"/>
    <w:rsid w:val="009F0F30"/>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9F0F30"/>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notetext">
    <w:name w:val="note(text)"/>
    <w:aliases w:val="n"/>
    <w:basedOn w:val="Normal"/>
    <w:link w:val="notetextChar"/>
    <w:rsid w:val="009F0F30"/>
    <w:pPr>
      <w:spacing w:before="122" w:after="0" w:line="198" w:lineRule="exact"/>
      <w:ind w:left="1985" w:hanging="851"/>
    </w:pPr>
    <w:rPr>
      <w:rFonts w:ascii="Times New Roman" w:eastAsia="Times New Roman" w:hAnsi="Times New Roman" w:cs="Times New Roman"/>
      <w:sz w:val="18"/>
      <w:szCs w:val="20"/>
      <w:lang w:eastAsia="en-AU"/>
    </w:rPr>
  </w:style>
  <w:style w:type="paragraph" w:customStyle="1" w:styleId="paragraph">
    <w:name w:val="paragraph"/>
    <w:aliases w:val="a"/>
    <w:basedOn w:val="Normal"/>
    <w:rsid w:val="009F0F30"/>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notepara">
    <w:name w:val="note(para)"/>
    <w:aliases w:val="na"/>
    <w:basedOn w:val="Normal"/>
    <w:rsid w:val="009F0F30"/>
    <w:pPr>
      <w:spacing w:before="40" w:after="0" w:line="198" w:lineRule="exact"/>
      <w:ind w:left="2354" w:hanging="369"/>
    </w:pPr>
    <w:rPr>
      <w:rFonts w:ascii="Times New Roman" w:eastAsia="Times New Roman" w:hAnsi="Times New Roman" w:cs="Times New Roman"/>
      <w:sz w:val="18"/>
      <w:szCs w:val="20"/>
      <w:lang w:eastAsia="en-AU"/>
    </w:rPr>
  </w:style>
  <w:style w:type="character" w:customStyle="1" w:styleId="subsectionChar">
    <w:name w:val="subsection Char"/>
    <w:aliases w:val="ss Char"/>
    <w:basedOn w:val="DefaultParagraphFont"/>
    <w:link w:val="subsection"/>
    <w:locked/>
    <w:rsid w:val="009F0F30"/>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9F0F30"/>
    <w:rPr>
      <w:rFonts w:ascii="Times New Roman" w:eastAsia="Times New Roman" w:hAnsi="Times New Roman" w:cs="Times New Roman"/>
      <w:sz w:val="18"/>
      <w:szCs w:val="20"/>
      <w:lang w:eastAsia="en-AU"/>
    </w:rPr>
  </w:style>
  <w:style w:type="character" w:customStyle="1" w:styleId="DefinitionChar">
    <w:name w:val="Definition Char"/>
    <w:aliases w:val="dd Char"/>
    <w:link w:val="Definition"/>
    <w:rsid w:val="009F0F30"/>
    <w:rPr>
      <w:rFonts w:ascii="Times New Roman" w:eastAsia="Times New Roman" w:hAnsi="Times New Roman" w:cs="Times New Roman"/>
      <w:szCs w:val="20"/>
      <w:lang w:eastAsia="en-AU"/>
    </w:rPr>
  </w:style>
  <w:style w:type="character" w:styleId="Hyperlink">
    <w:name w:val="Hyperlink"/>
    <w:basedOn w:val="DefaultParagraphFont"/>
    <w:uiPriority w:val="99"/>
    <w:unhideWhenUsed/>
    <w:rsid w:val="00250C47"/>
    <w:rPr>
      <w:color w:val="0563C1" w:themeColor="hyperlink"/>
      <w:u w:val="single"/>
    </w:rPr>
  </w:style>
  <w:style w:type="character" w:styleId="UnresolvedMention">
    <w:name w:val="Unresolved Mention"/>
    <w:basedOn w:val="DefaultParagraphFont"/>
    <w:uiPriority w:val="99"/>
    <w:semiHidden/>
    <w:unhideWhenUsed/>
    <w:rsid w:val="00250C47"/>
    <w:rPr>
      <w:color w:val="605E5C"/>
      <w:shd w:val="clear" w:color="auto" w:fill="E1DFDD"/>
    </w:rPr>
  </w:style>
  <w:style w:type="paragraph" w:styleId="Header">
    <w:name w:val="header"/>
    <w:basedOn w:val="Normal"/>
    <w:link w:val="HeaderChar"/>
    <w:uiPriority w:val="99"/>
    <w:unhideWhenUsed/>
    <w:rsid w:val="00DC1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pticomm.com.au/velocity/" TargetMode="External"/><Relationship Id="rId5" Type="http://schemas.openxmlformats.org/officeDocument/2006/relationships/styles" Target="styles.xml"/><Relationship Id="rId10" Type="http://schemas.openxmlformats.org/officeDocument/2006/relationships/hyperlink" Target="https://www.telstrawholesale.com.au/products/product-exits-and-solutions/fibre-access-broadband.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E4C118E5E944AAE21DA935605227B" ma:contentTypeVersion="0" ma:contentTypeDescription="Create a new document." ma:contentTypeScope="" ma:versionID="0af819ee0f8bd191f44f97030d1477a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B2DEB7-43DF-4E8A-A4E5-36E36F8EB9DC}"/>
</file>

<file path=customXml/itemProps2.xml><?xml version="1.0" encoding="utf-8"?>
<ds:datastoreItem xmlns:ds="http://schemas.openxmlformats.org/officeDocument/2006/customXml" ds:itemID="{E34EE8B7-24B7-4970-8095-D9B535745EEF}">
  <ds:schemaRefs>
    <ds:schemaRef ds:uri="http://schemas.microsoft.com/sharepoint/v3/contenttype/forms"/>
  </ds:schemaRefs>
</ds:datastoreItem>
</file>

<file path=customXml/itemProps3.xml><?xml version="1.0" encoding="utf-8"?>
<ds:datastoreItem xmlns:ds="http://schemas.openxmlformats.org/officeDocument/2006/customXml" ds:itemID="{FA06FEE2-91FF-4B9A-A41E-A5AC0263F61C}">
  <ds:schemaRefs>
    <ds:schemaRef ds:uri="http://schemas.openxmlformats.org/package/2006/metadata/core-properties"/>
    <ds:schemaRef ds:uri="http://purl.org/dc/terms/"/>
    <ds:schemaRef ds:uri="3C7C3B11-755E-4CDE-97A6-ED7AC8B8DC95"/>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4291</Words>
  <Characters>23949</Characters>
  <Application>Microsoft Office Word</Application>
  <DocSecurity>0</DocSecurity>
  <Lines>684</Lines>
  <Paragraphs>233</Paragraphs>
  <ScaleCrop>false</ScaleCrop>
  <HeadingPairs>
    <vt:vector size="2" baseType="variant">
      <vt:variant>
        <vt:lpstr>Title</vt:lpstr>
      </vt:variant>
      <vt:variant>
        <vt:i4>1</vt:i4>
      </vt:variant>
    </vt:vector>
  </HeadingPairs>
  <TitlesOfParts>
    <vt:vector size="1" baseType="lpstr">
      <vt:lpstr>Explanatory Statement - Telstra - Opticomm Transfer - Version 2</vt:lpstr>
    </vt:vector>
  </TitlesOfParts>
  <Company/>
  <LinksUpToDate>false</LinksUpToDate>
  <CharactersWithSpaces>28007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Ivey, Lara</dc:creator>
  <cp:keywords/>
  <dc:description/>
  <cp:lastModifiedBy>Tangri, Daniel</cp:lastModifiedBy>
  <cp:revision>2</cp:revision>
  <cp:lastPrinted>2022-10-26T03:13:00Z</cp:lastPrinted>
  <dcterms:created xsi:type="dcterms:W3CDTF">2022-11-04T03:56:00Z</dcterms:created>
  <dcterms:modified xsi:type="dcterms:W3CDTF">2022-11-04T03:56:00Z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0x010100E7AE4C118E5E944AAE21DA935605227B</vt:lpwstr>
  </property>
  <property fmtid="{D5CDD505-2E9C-101B-9397-08002B2CF9AE}" pid="3" name="TrimRevisionNumber">
    <vt:i4>1</vt:i4>
  </property>
</Properties>
</file>