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C6F93" w14:textId="77777777" w:rsidR="007E1452"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032116A6" w14:textId="77777777" w:rsidR="003151A6" w:rsidRPr="007C21A7"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_________________________________________________________________________________</w:t>
      </w:r>
      <w:r w:rsidRPr="007C21A7">
        <w:rPr>
          <w:rFonts w:ascii="Arial" w:eastAsia="Times New Roman" w:hAnsi="Arial" w:cs="Arial"/>
          <w:color w:val="000000"/>
          <w:sz w:val="20"/>
          <w:szCs w:val="20"/>
          <w:lang w:eastAsia="en-AU"/>
        </w:rPr>
        <w:br/>
      </w:r>
    </w:p>
    <w:p w14:paraId="276E9348" w14:textId="77777777" w:rsidR="007E1452"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7C21A7">
        <w:rPr>
          <w:rFonts w:ascii="Arial" w:eastAsia="Times New Roman" w:hAnsi="Arial" w:cs="Arial"/>
          <w:b/>
          <w:bCs/>
          <w:caps/>
          <w:color w:val="000000"/>
          <w:sz w:val="20"/>
          <w:szCs w:val="20"/>
          <w:lang w:eastAsia="en-AU"/>
        </w:rPr>
        <w:t>EXPLANATORY STATEMENT</w:t>
      </w:r>
    </w:p>
    <w:p w14:paraId="36FE07B9" w14:textId="77777777" w:rsidR="000A53B9" w:rsidRPr="007C21A7"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4A7B10DC" w14:textId="77777777" w:rsidR="008075FF" w:rsidRPr="007C21A7" w:rsidRDefault="0046324D" w:rsidP="008075FF">
      <w:pPr>
        <w:shd w:val="clear" w:color="auto" w:fill="FFFFFF"/>
        <w:spacing w:after="0" w:line="240" w:lineRule="auto"/>
        <w:jc w:val="center"/>
        <w:rPr>
          <w:rFonts w:ascii="Arial" w:eastAsia="Times New Roman" w:hAnsi="Arial" w:cs="Arial"/>
          <w:b/>
          <w:b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(liquor) statute 2022</w:t>
      </w:r>
    </w:p>
    <w:bookmarkEnd w:id="0"/>
    <w:p w14:paraId="6E429ACA" w14:textId="77777777" w:rsidR="008075FF" w:rsidRPr="007C21A7"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w:t>
      </w:r>
      <w:r w:rsidR="00407A14" w:rsidRPr="007C21A7">
        <w:rPr>
          <w:rFonts w:ascii="Arial" w:eastAsia="Times New Roman" w:hAnsi="Arial" w:cs="Arial"/>
          <w:color w:val="000000"/>
          <w:sz w:val="20"/>
          <w:szCs w:val="20"/>
          <w:lang w:eastAsia="en-AU"/>
        </w:rPr>
        <w:t>_________________________</w:t>
      </w:r>
      <w:r w:rsidRPr="007C21A7">
        <w:rPr>
          <w:rFonts w:ascii="Arial" w:eastAsia="Times New Roman" w:hAnsi="Arial" w:cs="Arial"/>
          <w:color w:val="000000"/>
          <w:sz w:val="20"/>
          <w:szCs w:val="20"/>
          <w:lang w:eastAsia="en-AU"/>
        </w:rPr>
        <w:br/>
      </w:r>
    </w:p>
    <w:p w14:paraId="50DD796C"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7C21A7" w:rsidRDefault="00F824BC" w:rsidP="007C306D">
      <w:pPr>
        <w:pStyle w:val="ListParagraph"/>
        <w:numPr>
          <w:ilvl w:val="0"/>
          <w:numId w:val="4"/>
        </w:numPr>
        <w:rPr>
          <w:rFonts w:ascii="Arial" w:hAnsi="Arial" w:cs="Arial"/>
          <w:b/>
          <w:bCs/>
          <w:sz w:val="20"/>
          <w:szCs w:val="20"/>
        </w:rPr>
      </w:pPr>
      <w:r w:rsidRPr="007C21A7">
        <w:rPr>
          <w:rFonts w:ascii="Arial" w:hAnsi="Arial" w:cs="Arial"/>
          <w:b/>
          <w:bCs/>
          <w:sz w:val="20"/>
          <w:szCs w:val="20"/>
        </w:rPr>
        <w:t>Making of this instrument</w:t>
      </w:r>
      <w:bookmarkStart w:id="1" w:name="_Hlk102557067"/>
    </w:p>
    <w:p w14:paraId="50C15D6B" w14:textId="77777777" w:rsidR="00324C1A" w:rsidRPr="007C21A7" w:rsidRDefault="00324C1A" w:rsidP="00324C1A">
      <w:pPr>
        <w:pStyle w:val="ListParagraph"/>
        <w:rPr>
          <w:rFonts w:ascii="Arial" w:hAnsi="Arial" w:cs="Arial"/>
          <w:sz w:val="20"/>
          <w:szCs w:val="20"/>
        </w:rPr>
      </w:pPr>
    </w:p>
    <w:p w14:paraId="52294D4B" w14:textId="2DF5FB95" w:rsidR="003151A6" w:rsidRPr="007C21A7" w:rsidRDefault="00EA2832"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w:t>
      </w:r>
      <w:r w:rsidR="00395845" w:rsidRPr="007C21A7">
        <w:rPr>
          <w:rFonts w:ascii="Arial" w:hAnsi="Arial" w:cs="Arial"/>
          <w:sz w:val="20"/>
          <w:szCs w:val="20"/>
        </w:rPr>
        <w:t xml:space="preserve">instrument was made by the Council of </w:t>
      </w:r>
      <w:r w:rsidR="00F824BC" w:rsidRPr="007C21A7">
        <w:rPr>
          <w:rFonts w:ascii="Arial" w:hAnsi="Arial" w:cs="Arial"/>
          <w:sz w:val="20"/>
          <w:szCs w:val="20"/>
        </w:rPr>
        <w:t>T</w:t>
      </w:r>
      <w:r w:rsidR="00395845" w:rsidRPr="007C21A7">
        <w:rPr>
          <w:rFonts w:ascii="Arial" w:hAnsi="Arial" w:cs="Arial"/>
          <w:sz w:val="20"/>
          <w:szCs w:val="20"/>
        </w:rPr>
        <w:t>he Australian National University</w:t>
      </w:r>
      <w:r w:rsidR="003F2A94" w:rsidRPr="007C21A7">
        <w:rPr>
          <w:rFonts w:ascii="Arial" w:hAnsi="Arial" w:cs="Arial"/>
          <w:sz w:val="20"/>
          <w:szCs w:val="20"/>
        </w:rPr>
        <w:t xml:space="preserve"> (the </w:t>
      </w:r>
      <w:r w:rsidR="003F2A94" w:rsidRPr="007C21A7">
        <w:rPr>
          <w:rFonts w:ascii="Arial" w:hAnsi="Arial" w:cs="Arial"/>
          <w:b/>
          <w:bCs/>
          <w:i/>
          <w:iCs/>
          <w:sz w:val="20"/>
          <w:szCs w:val="20"/>
        </w:rPr>
        <w:t>rule-maker</w:t>
      </w:r>
      <w:r w:rsidR="003F2A94" w:rsidRPr="007C21A7">
        <w:rPr>
          <w:rFonts w:ascii="Arial" w:hAnsi="Arial" w:cs="Arial"/>
          <w:sz w:val="20"/>
          <w:szCs w:val="20"/>
        </w:rPr>
        <w:t>)</w:t>
      </w:r>
      <w:r w:rsidR="003151A6" w:rsidRPr="007C21A7">
        <w:rPr>
          <w:rFonts w:ascii="Arial" w:hAnsi="Arial" w:cs="Arial"/>
          <w:sz w:val="20"/>
          <w:szCs w:val="20"/>
        </w:rPr>
        <w:t>.</w:t>
      </w:r>
    </w:p>
    <w:p w14:paraId="15871076" w14:textId="77777777" w:rsidR="003151A6" w:rsidRPr="007C21A7" w:rsidRDefault="003151A6" w:rsidP="003151A6">
      <w:pPr>
        <w:pStyle w:val="ListParagraph"/>
        <w:ind w:left="1440"/>
        <w:rPr>
          <w:rFonts w:ascii="Arial" w:hAnsi="Arial" w:cs="Arial"/>
          <w:sz w:val="20"/>
          <w:szCs w:val="20"/>
        </w:rPr>
      </w:pPr>
    </w:p>
    <w:p w14:paraId="098A7D9B" w14:textId="77777777" w:rsidR="00EF1D1F" w:rsidRPr="007C21A7" w:rsidRDefault="00EF1D1F" w:rsidP="00EF1D1F">
      <w:pPr>
        <w:pStyle w:val="ListParagraph"/>
        <w:rPr>
          <w:rFonts w:ascii="Arial" w:hAnsi="Arial" w:cs="Arial"/>
          <w:sz w:val="20"/>
          <w:szCs w:val="20"/>
        </w:rPr>
      </w:pPr>
    </w:p>
    <w:p w14:paraId="21014D32" w14:textId="77777777" w:rsidR="00EF1D1F" w:rsidRPr="007C21A7" w:rsidRDefault="00EF1D1F" w:rsidP="007C306D">
      <w:pPr>
        <w:pStyle w:val="ListParagraph"/>
        <w:numPr>
          <w:ilvl w:val="0"/>
          <w:numId w:val="4"/>
        </w:numPr>
        <w:rPr>
          <w:rFonts w:ascii="Arial" w:hAnsi="Arial" w:cs="Arial"/>
          <w:b/>
          <w:bCs/>
          <w:iCs/>
          <w:sz w:val="20"/>
          <w:szCs w:val="20"/>
        </w:rPr>
      </w:pPr>
      <w:bookmarkStart w:id="2" w:name="_Hlk103179581"/>
      <w:r w:rsidRPr="007C21A7">
        <w:rPr>
          <w:rFonts w:ascii="Arial" w:hAnsi="Arial" w:cs="Arial"/>
          <w:b/>
          <w:bCs/>
          <w:iCs/>
          <w:sz w:val="20"/>
          <w:szCs w:val="20"/>
        </w:rPr>
        <w:t>Legal authority for this instrument</w:t>
      </w:r>
    </w:p>
    <w:p w14:paraId="46B623AF" w14:textId="707F9D9B" w:rsidR="00EF1D1F" w:rsidRPr="007C21A7"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 </w:t>
      </w:r>
      <w:bookmarkStart w:id="3" w:name="_Hlk111109019"/>
    </w:p>
    <w:bookmarkEnd w:id="2"/>
    <w:bookmarkEnd w:id="3"/>
    <w:p w14:paraId="5483DB92" w14:textId="38901DF2" w:rsidR="00EF1D1F" w:rsidRPr="007C21A7" w:rsidRDefault="00EF1D1F"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was made by the rule-maker under subsection 50(1) of the </w:t>
      </w:r>
      <w:r w:rsidRPr="007C21A7">
        <w:rPr>
          <w:rFonts w:ascii="Arial" w:hAnsi="Arial" w:cs="Arial"/>
          <w:i/>
          <w:iCs/>
          <w:sz w:val="20"/>
          <w:szCs w:val="20"/>
        </w:rPr>
        <w:t>Australian National University Act 1991</w:t>
      </w:r>
      <w:r w:rsidRPr="007C21A7">
        <w:rPr>
          <w:rFonts w:ascii="Arial" w:hAnsi="Arial" w:cs="Arial"/>
          <w:sz w:val="20"/>
          <w:szCs w:val="20"/>
        </w:rPr>
        <w:t>.</w:t>
      </w:r>
    </w:p>
    <w:p w14:paraId="47AA10CA" w14:textId="46CD8A76" w:rsidR="00913648" w:rsidRPr="007C21A7" w:rsidRDefault="00324C1A" w:rsidP="00324C1A">
      <w:pPr>
        <w:ind w:left="720"/>
        <w:jc w:val="center"/>
        <w:rPr>
          <w:rFonts w:ascii="Arial" w:hAnsi="Arial" w:cs="Arial"/>
          <w:i/>
          <w:iCs/>
          <w:sz w:val="20"/>
          <w:szCs w:val="20"/>
        </w:rPr>
      </w:pPr>
      <w:r w:rsidRPr="007C21A7">
        <w:rPr>
          <w:rFonts w:ascii="Arial" w:hAnsi="Arial" w:cs="Arial"/>
          <w:sz w:val="20"/>
          <w:szCs w:val="20"/>
        </w:rPr>
        <w:t>AND</w:t>
      </w:r>
    </w:p>
    <w:p w14:paraId="6253034D" w14:textId="0AC5BE38" w:rsidR="003151A6" w:rsidRPr="007C21A7" w:rsidRDefault="00913648"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relies on subsection 33(3) of the </w:t>
      </w:r>
      <w:r w:rsidRPr="007C21A7">
        <w:rPr>
          <w:rFonts w:ascii="Arial" w:hAnsi="Arial" w:cs="Arial"/>
          <w:i/>
          <w:sz w:val="20"/>
          <w:szCs w:val="20"/>
        </w:rPr>
        <w:t>Acts Interpretation Act 1901</w:t>
      </w:r>
      <w:r w:rsidRPr="007C21A7">
        <w:rPr>
          <w:rFonts w:ascii="Arial" w:hAnsi="Arial" w:cs="Arial"/>
          <w:sz w:val="20"/>
          <w:szCs w:val="20"/>
        </w:rPr>
        <w:t>. Under subsection 33(3),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w:t>
      </w:r>
      <w:r w:rsidR="00BC0CE0" w:rsidRPr="007C21A7">
        <w:rPr>
          <w:rFonts w:ascii="Arial" w:hAnsi="Arial" w:cs="Arial"/>
          <w:sz w:val="20"/>
          <w:szCs w:val="20"/>
        </w:rPr>
        <w:t>d, or vary any such instrument.</w:t>
      </w:r>
    </w:p>
    <w:p w14:paraId="5F1F259C" w14:textId="77777777" w:rsidR="00324C1A" w:rsidRPr="007C21A7" w:rsidRDefault="00324C1A" w:rsidP="00324C1A">
      <w:pPr>
        <w:pStyle w:val="ListParagraph"/>
        <w:ind w:left="785"/>
        <w:rPr>
          <w:rFonts w:ascii="Arial" w:hAnsi="Arial" w:cs="Arial"/>
          <w:sz w:val="20"/>
          <w:szCs w:val="20"/>
        </w:rPr>
      </w:pPr>
    </w:p>
    <w:p w14:paraId="25B28CB9" w14:textId="77777777" w:rsidR="00554AB7" w:rsidRPr="007C21A7" w:rsidRDefault="00554AB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Commencement </w:t>
      </w:r>
    </w:p>
    <w:p w14:paraId="4DCD5053" w14:textId="77777777" w:rsidR="00EF1D1F" w:rsidRPr="007C21A7" w:rsidRDefault="00EF1D1F" w:rsidP="00554AB7">
      <w:pPr>
        <w:pStyle w:val="ListParagraph"/>
        <w:rPr>
          <w:rFonts w:ascii="Arial" w:hAnsi="Arial" w:cs="Arial"/>
          <w:b/>
          <w:bCs/>
          <w:iCs/>
          <w:sz w:val="20"/>
          <w:szCs w:val="20"/>
        </w:rPr>
      </w:pPr>
    </w:p>
    <w:p w14:paraId="5BF40AEB" w14:textId="298613C8" w:rsidR="003151A6" w:rsidRPr="007C21A7" w:rsidRDefault="003151A6"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This instrument commences the day after it is registered on the Federal Register of Legislation.</w:t>
      </w:r>
    </w:p>
    <w:p w14:paraId="7103A08C" w14:textId="77777777" w:rsidR="00324C1A" w:rsidRPr="007C21A7" w:rsidRDefault="00324C1A" w:rsidP="00324C1A">
      <w:pPr>
        <w:pStyle w:val="ListParagraph"/>
        <w:rPr>
          <w:rFonts w:ascii="Arial" w:hAnsi="Arial" w:cs="Arial"/>
          <w:sz w:val="20"/>
          <w:szCs w:val="20"/>
        </w:rPr>
      </w:pPr>
    </w:p>
    <w:p w14:paraId="3C53B1DD" w14:textId="77777777" w:rsidR="00EE7BD7" w:rsidRPr="007C21A7" w:rsidRDefault="00EE7BD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Compliance cost assessment</w:t>
      </w:r>
    </w:p>
    <w:p w14:paraId="71DB329D" w14:textId="77777777" w:rsidR="00EE7BD7" w:rsidRPr="007C21A7" w:rsidRDefault="00EE7BD7" w:rsidP="00EE7BD7">
      <w:pPr>
        <w:pStyle w:val="ListParagraph"/>
        <w:rPr>
          <w:rFonts w:ascii="Arial" w:hAnsi="Arial" w:cs="Arial"/>
          <w:b/>
          <w:bCs/>
          <w:iCs/>
          <w:sz w:val="20"/>
          <w:szCs w:val="20"/>
        </w:rPr>
      </w:pPr>
    </w:p>
    <w:p w14:paraId="64ADF290" w14:textId="77777777" w:rsidR="00324C1A" w:rsidRPr="007C21A7" w:rsidRDefault="00324C1A" w:rsidP="00030903">
      <w:pPr>
        <w:pStyle w:val="ListParagraph"/>
        <w:numPr>
          <w:ilvl w:val="1"/>
          <w:numId w:val="4"/>
        </w:numPr>
        <w:ind w:left="993" w:hanging="568"/>
        <w:rPr>
          <w:rFonts w:ascii="Arial" w:hAnsi="Arial" w:cs="Arial"/>
          <w:i/>
          <w:sz w:val="20"/>
          <w:szCs w:val="20"/>
        </w:rPr>
      </w:pPr>
      <w:r w:rsidRPr="007C21A7">
        <w:rPr>
          <w:rFonts w:ascii="Arial" w:hAnsi="Arial" w:cs="Arial"/>
          <w:sz w:val="20"/>
          <w:szCs w:val="20"/>
        </w:rPr>
        <w:t>T</w:t>
      </w:r>
      <w:r w:rsidR="00EE7BD7" w:rsidRPr="007C21A7">
        <w:rPr>
          <w:rFonts w:ascii="Arial" w:hAnsi="Arial" w:cs="Arial"/>
          <w:sz w:val="20"/>
          <w:szCs w:val="20"/>
        </w:rPr>
        <w:t>he cost of achieving/maintaining compliance with the instrument</w:t>
      </w:r>
      <w:r w:rsidRPr="007C21A7">
        <w:rPr>
          <w:rFonts w:ascii="Arial" w:hAnsi="Arial" w:cs="Arial"/>
          <w:sz w:val="20"/>
          <w:szCs w:val="20"/>
        </w:rPr>
        <w:t xml:space="preserve"> will be m</w:t>
      </w:r>
      <w:r w:rsidR="00EE7BD7" w:rsidRPr="007C21A7">
        <w:rPr>
          <w:rFonts w:ascii="Arial" w:hAnsi="Arial" w:cs="Arial"/>
          <w:sz w:val="20"/>
          <w:szCs w:val="20"/>
        </w:rPr>
        <w:t>inor – there will be minimum impact for both implementation and ongoing compliance costs</w:t>
      </w:r>
      <w:r w:rsidRPr="007C21A7">
        <w:rPr>
          <w:rFonts w:ascii="Arial" w:hAnsi="Arial" w:cs="Arial"/>
          <w:sz w:val="20"/>
          <w:szCs w:val="20"/>
        </w:rPr>
        <w:t xml:space="preserve"> due to a robust support framework in place, which includes policies and procedures. </w:t>
      </w:r>
    </w:p>
    <w:p w14:paraId="1C44BDE4" w14:textId="77777777" w:rsidR="00324C1A" w:rsidRPr="007C21A7" w:rsidRDefault="00324C1A" w:rsidP="00030903">
      <w:pPr>
        <w:pStyle w:val="ListParagraph"/>
        <w:ind w:left="993" w:hanging="568"/>
        <w:rPr>
          <w:rFonts w:ascii="Arial" w:hAnsi="Arial" w:cs="Arial"/>
          <w:i/>
          <w:sz w:val="20"/>
          <w:szCs w:val="20"/>
        </w:rPr>
      </w:pPr>
    </w:p>
    <w:p w14:paraId="0131AE3F" w14:textId="2ED88858" w:rsidR="00EE7BD7" w:rsidRPr="007C21A7" w:rsidRDefault="00324C1A" w:rsidP="00030903">
      <w:pPr>
        <w:pStyle w:val="ListParagraph"/>
        <w:numPr>
          <w:ilvl w:val="1"/>
          <w:numId w:val="4"/>
        </w:numPr>
        <w:ind w:left="993" w:hanging="568"/>
        <w:rPr>
          <w:rFonts w:ascii="Arial" w:hAnsi="Arial" w:cs="Arial"/>
          <w:i/>
          <w:sz w:val="20"/>
          <w:szCs w:val="20"/>
        </w:rPr>
      </w:pPr>
      <w:r w:rsidRPr="007C21A7">
        <w:rPr>
          <w:rFonts w:ascii="Arial" w:hAnsi="Arial" w:cs="Arial"/>
          <w:sz w:val="20"/>
          <w:szCs w:val="20"/>
        </w:rPr>
        <w:t>The instrument relates to subject matter that the University has contributed significant attention and funding towards in recent years to ensure safety, compliance and the wellbeing of staff and students.</w:t>
      </w:r>
    </w:p>
    <w:bookmarkEnd w:id="1"/>
    <w:p w14:paraId="69F64814" w14:textId="77777777" w:rsidR="00026B26" w:rsidRPr="007C21A7" w:rsidRDefault="00026B26" w:rsidP="008F18B1">
      <w:pPr>
        <w:pStyle w:val="NormalWeb"/>
        <w:spacing w:before="180" w:beforeAutospacing="0" w:after="0" w:afterAutospacing="0"/>
        <w:ind w:left="785"/>
        <w:rPr>
          <w:rFonts w:ascii="Arial" w:hAnsi="Arial" w:cs="Arial"/>
          <w:color w:val="000000"/>
          <w:sz w:val="20"/>
          <w:szCs w:val="20"/>
        </w:rPr>
      </w:pPr>
    </w:p>
    <w:p w14:paraId="28381304" w14:textId="77777777" w:rsidR="001774F6" w:rsidRPr="007C21A7" w:rsidRDefault="00400D60"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About this instrument</w:t>
      </w:r>
    </w:p>
    <w:p w14:paraId="0A3E470A" w14:textId="77777777" w:rsidR="00EE7BD7" w:rsidRPr="007C21A7" w:rsidRDefault="00EE7BD7" w:rsidP="00EE7BD7">
      <w:pPr>
        <w:pStyle w:val="ListParagraph"/>
        <w:rPr>
          <w:rFonts w:ascii="Arial" w:hAnsi="Arial" w:cs="Arial"/>
          <w:b/>
          <w:bCs/>
          <w:iCs/>
          <w:sz w:val="20"/>
          <w:szCs w:val="20"/>
        </w:rPr>
      </w:pPr>
    </w:p>
    <w:p w14:paraId="602412F4" w14:textId="217B993A" w:rsidR="007D3CC9" w:rsidRPr="007C21A7" w:rsidRDefault="00324C1A" w:rsidP="00030903">
      <w:pPr>
        <w:pStyle w:val="ListParagraph"/>
        <w:numPr>
          <w:ilvl w:val="1"/>
          <w:numId w:val="4"/>
        </w:numPr>
        <w:shd w:val="clear" w:color="auto" w:fill="FFFFFF"/>
        <w:spacing w:after="0" w:line="240" w:lineRule="auto"/>
        <w:ind w:left="993" w:hanging="568"/>
        <w:rPr>
          <w:rFonts w:ascii="Arial" w:hAnsi="Arial" w:cs="Arial"/>
          <w:sz w:val="20"/>
          <w:szCs w:val="20"/>
        </w:rPr>
      </w:pPr>
      <w:bookmarkStart w:id="4" w:name="_Hlk105493191"/>
      <w:r w:rsidRPr="007C21A7">
        <w:rPr>
          <w:rFonts w:ascii="Arial" w:eastAsia="Times New Roman" w:hAnsi="Arial" w:cs="Arial"/>
          <w:bCs/>
          <w:color w:val="000000"/>
          <w:sz w:val="20"/>
          <w:szCs w:val="20"/>
          <w:lang w:eastAsia="en-AU"/>
        </w:rPr>
        <w:t>This explanatory statement has been approved by the rule maker.</w:t>
      </w:r>
    </w:p>
    <w:p w14:paraId="1DB20FCE" w14:textId="77777777" w:rsidR="00324C1A" w:rsidRPr="007C21A7"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2520147A" w:rsidR="007376A9" w:rsidRPr="007C21A7" w:rsidRDefault="00D2334B" w:rsidP="00030903">
      <w:pPr>
        <w:pStyle w:val="ListParagraph"/>
        <w:numPr>
          <w:ilvl w:val="1"/>
          <w:numId w:val="4"/>
        </w:numPr>
        <w:shd w:val="clear" w:color="auto" w:fill="FFFFFF"/>
        <w:spacing w:after="0" w:line="240" w:lineRule="auto"/>
        <w:ind w:left="993" w:hanging="568"/>
        <w:rPr>
          <w:rFonts w:ascii="Arial" w:eastAsia="Times New Roman" w:hAnsi="Arial" w:cs="Arial"/>
          <w:bCs/>
          <w:i/>
          <w:color w:val="000000"/>
          <w:sz w:val="20"/>
          <w:szCs w:val="20"/>
          <w:lang w:eastAsia="en-AU"/>
        </w:rPr>
      </w:pPr>
      <w:r w:rsidRPr="007C21A7">
        <w:rPr>
          <w:rFonts w:ascii="Arial" w:eastAsia="Times New Roman" w:hAnsi="Arial" w:cs="Arial"/>
          <w:bCs/>
          <w:color w:val="000000"/>
          <w:sz w:val="20"/>
          <w:szCs w:val="20"/>
          <w:lang w:eastAsia="en-AU"/>
        </w:rPr>
        <w:t>This i</w:t>
      </w:r>
      <w:r w:rsidR="007376A9" w:rsidRPr="007C21A7">
        <w:rPr>
          <w:rFonts w:ascii="Arial" w:eastAsia="Times New Roman" w:hAnsi="Arial" w:cs="Arial"/>
          <w:bCs/>
          <w:color w:val="000000"/>
          <w:sz w:val="20"/>
          <w:szCs w:val="20"/>
          <w:lang w:eastAsia="en-AU"/>
        </w:rPr>
        <w:t>nst</w:t>
      </w:r>
      <w:r w:rsidR="00324C1A" w:rsidRPr="007C21A7">
        <w:rPr>
          <w:rFonts w:ascii="Arial" w:eastAsia="Times New Roman" w:hAnsi="Arial" w:cs="Arial"/>
          <w:bCs/>
          <w:color w:val="000000"/>
          <w:sz w:val="20"/>
          <w:szCs w:val="20"/>
          <w:lang w:eastAsia="en-AU"/>
        </w:rPr>
        <w:t>rument is legislative instrument</w:t>
      </w:r>
      <w:r w:rsidR="007376A9" w:rsidRPr="007C21A7">
        <w:rPr>
          <w:rFonts w:ascii="Arial" w:eastAsia="Times New Roman" w:hAnsi="Arial" w:cs="Arial"/>
          <w:bCs/>
          <w:color w:val="000000"/>
          <w:sz w:val="20"/>
          <w:szCs w:val="20"/>
          <w:lang w:eastAsia="en-AU"/>
        </w:rPr>
        <w:t xml:space="preserve"> for the purposes of the </w:t>
      </w:r>
      <w:r w:rsidR="007376A9" w:rsidRPr="007C21A7">
        <w:rPr>
          <w:rFonts w:ascii="Arial" w:eastAsia="Times New Roman" w:hAnsi="Arial" w:cs="Arial"/>
          <w:bCs/>
          <w:i/>
          <w:color w:val="000000"/>
          <w:sz w:val="20"/>
          <w:szCs w:val="20"/>
          <w:lang w:eastAsia="en-AU"/>
        </w:rPr>
        <w:t xml:space="preserve">Legislation Act 2003. </w:t>
      </w:r>
    </w:p>
    <w:p w14:paraId="3CAE2152" w14:textId="77777777" w:rsidR="006B10AF" w:rsidRPr="007C21A7" w:rsidRDefault="006B10AF" w:rsidP="00030903">
      <w:pPr>
        <w:pStyle w:val="ListParagraph"/>
        <w:shd w:val="clear" w:color="auto" w:fill="FFFFFF"/>
        <w:spacing w:after="0" w:line="240" w:lineRule="auto"/>
        <w:ind w:left="993" w:hanging="568"/>
        <w:rPr>
          <w:rFonts w:ascii="Arial" w:eastAsia="Times New Roman" w:hAnsi="Arial" w:cs="Arial"/>
          <w:color w:val="000000"/>
          <w:sz w:val="20"/>
          <w:szCs w:val="20"/>
          <w:lang w:eastAsia="en-AU"/>
        </w:rPr>
      </w:pPr>
      <w:bookmarkStart w:id="5" w:name="_Hlk105493665"/>
      <w:bookmarkStart w:id="6" w:name="_Hlk105493436"/>
      <w:bookmarkEnd w:id="4"/>
    </w:p>
    <w:p w14:paraId="63F16FD5" w14:textId="77777777" w:rsidR="00324C1A" w:rsidRPr="007C21A7" w:rsidRDefault="00324C1A" w:rsidP="00030903">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sidRPr="007C21A7">
        <w:rPr>
          <w:rFonts w:ascii="Arial" w:eastAsia="Times New Roman" w:hAnsi="Arial" w:cs="Arial"/>
          <w:bCs/>
          <w:color w:val="000000"/>
          <w:sz w:val="20"/>
          <w:szCs w:val="20"/>
          <w:lang w:eastAsia="en-AU"/>
        </w:rPr>
        <w:t>The p</w:t>
      </w:r>
      <w:r w:rsidR="008F18B1" w:rsidRPr="007C21A7">
        <w:rPr>
          <w:rFonts w:ascii="Arial" w:eastAsia="Times New Roman" w:hAnsi="Arial" w:cs="Arial"/>
          <w:bCs/>
          <w:color w:val="000000"/>
          <w:sz w:val="20"/>
          <w:szCs w:val="20"/>
          <w:lang w:eastAsia="en-AU"/>
        </w:rPr>
        <w:t xml:space="preserve">urpose and operation of </w:t>
      </w:r>
      <w:r w:rsidR="009B43F8" w:rsidRPr="007C21A7">
        <w:rPr>
          <w:rFonts w:ascii="Arial" w:eastAsia="Times New Roman" w:hAnsi="Arial" w:cs="Arial"/>
          <w:bCs/>
          <w:color w:val="000000"/>
          <w:sz w:val="20"/>
          <w:szCs w:val="20"/>
          <w:lang w:eastAsia="en-AU"/>
        </w:rPr>
        <w:t xml:space="preserve">this </w:t>
      </w:r>
      <w:r w:rsidR="008F18B1" w:rsidRPr="007C21A7">
        <w:rPr>
          <w:rFonts w:ascii="Arial" w:eastAsia="Times New Roman" w:hAnsi="Arial" w:cs="Arial"/>
          <w:bCs/>
          <w:color w:val="000000"/>
          <w:sz w:val="20"/>
          <w:szCs w:val="20"/>
          <w:lang w:eastAsia="en-AU"/>
        </w:rPr>
        <w:t>instrument</w:t>
      </w:r>
      <w:bookmarkEnd w:id="5"/>
      <w:bookmarkEnd w:id="6"/>
      <w:r w:rsidRPr="007C21A7">
        <w:rPr>
          <w:rFonts w:ascii="Arial" w:eastAsia="Times New Roman" w:hAnsi="Arial" w:cs="Arial"/>
          <w:bCs/>
          <w:color w:val="000000"/>
          <w:sz w:val="20"/>
          <w:szCs w:val="20"/>
          <w:lang w:eastAsia="en-AU"/>
        </w:rPr>
        <w:t xml:space="preserve"> </w:t>
      </w:r>
      <w:r w:rsidR="00413BE7" w:rsidRPr="007C21A7">
        <w:rPr>
          <w:rFonts w:ascii="Arial" w:hAnsi="Arial" w:cs="Arial"/>
          <w:color w:val="000000"/>
          <w:sz w:val="20"/>
          <w:szCs w:val="20"/>
          <w:shd w:val="clear" w:color="auto" w:fill="FFFFFF"/>
        </w:rPr>
        <w:t>is to govern and regulate the sale of liquor or low-alcohol liquor on or in an Australian National University premises located within the ACT.</w:t>
      </w:r>
    </w:p>
    <w:p w14:paraId="405C1E23" w14:textId="77777777" w:rsidR="00324C1A" w:rsidRPr="007C21A7" w:rsidRDefault="00324C1A" w:rsidP="007C21A7">
      <w:pPr>
        <w:spacing w:after="0" w:line="240" w:lineRule="auto"/>
        <w:ind w:left="992" w:hanging="567"/>
        <w:rPr>
          <w:rFonts w:ascii="Arial" w:hAnsi="Arial" w:cs="Arial"/>
          <w:color w:val="000000"/>
          <w:sz w:val="20"/>
          <w:szCs w:val="20"/>
          <w:shd w:val="clear" w:color="auto" w:fill="FFFFFF"/>
        </w:rPr>
      </w:pPr>
    </w:p>
    <w:p w14:paraId="0D2D9410" w14:textId="77777777" w:rsidR="00413BE7" w:rsidRPr="007C21A7" w:rsidRDefault="00413BE7"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ACT Liquor Act </w:t>
      </w:r>
      <w:r w:rsidR="008316BD" w:rsidRPr="007C21A7">
        <w:rPr>
          <w:rFonts w:ascii="Arial" w:hAnsi="Arial" w:cs="Arial"/>
          <w:color w:val="000000"/>
          <w:sz w:val="20"/>
          <w:szCs w:val="20"/>
          <w:shd w:val="clear" w:color="auto" w:fill="FFFFFF"/>
        </w:rPr>
        <w:t xml:space="preserve">exempts the University from provisions of the Liquor Act in part by virtue of section 8 [sale of liquor at universities]. </w:t>
      </w:r>
    </w:p>
    <w:p w14:paraId="70AB9061" w14:textId="77777777" w:rsidR="00C1453C" w:rsidRPr="007C21A7" w:rsidRDefault="00C1453C" w:rsidP="00030903">
      <w:pPr>
        <w:pStyle w:val="ListParagraph"/>
        <w:shd w:val="clear" w:color="auto" w:fill="FFFFFF"/>
        <w:spacing w:after="0" w:line="240" w:lineRule="auto"/>
        <w:ind w:left="993" w:hanging="568"/>
        <w:rPr>
          <w:rFonts w:ascii="Arial" w:hAnsi="Arial" w:cs="Arial"/>
          <w:color w:val="000000"/>
          <w:sz w:val="20"/>
          <w:szCs w:val="20"/>
          <w:shd w:val="clear" w:color="auto" w:fill="FFFFFF"/>
        </w:rPr>
      </w:pPr>
    </w:p>
    <w:p w14:paraId="2895EE99" w14:textId="324DE088" w:rsidR="00413BE7" w:rsidRPr="007C21A7" w:rsidRDefault="00413BE7"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lastRenderedPageBreak/>
        <w:t>This instrument is to provide specific power to the Vice Chancellor in relation to the sale of liquor through authorisation. The Statute permits the Vice-Chancellor to place conditions on an authorisation, and to allow for revocation of an authorisation.</w:t>
      </w:r>
    </w:p>
    <w:p w14:paraId="36AD52CA" w14:textId="77777777" w:rsidR="00C1453C" w:rsidRPr="007C21A7" w:rsidRDefault="00C1453C" w:rsidP="00030903">
      <w:pPr>
        <w:pStyle w:val="ListParagraph"/>
        <w:shd w:val="clear" w:color="auto" w:fill="FFFFFF"/>
        <w:spacing w:after="0" w:line="240" w:lineRule="auto"/>
        <w:ind w:left="993" w:hanging="568"/>
        <w:rPr>
          <w:rFonts w:ascii="Arial" w:hAnsi="Arial" w:cs="Arial"/>
          <w:color w:val="000000"/>
          <w:sz w:val="20"/>
          <w:szCs w:val="20"/>
          <w:shd w:val="clear" w:color="auto" w:fill="FFFFFF"/>
        </w:rPr>
      </w:pPr>
    </w:p>
    <w:p w14:paraId="1AEF3F2F" w14:textId="76410016" w:rsidR="00413BE7" w:rsidRPr="007C21A7" w:rsidRDefault="00413BE7"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Statute will govern the sale of liquor on campus, and in residential halls. It will affect staff, students and visitors while on campus. </w:t>
      </w:r>
    </w:p>
    <w:p w14:paraId="75206148" w14:textId="77777777" w:rsidR="00C1453C" w:rsidRPr="007C21A7" w:rsidRDefault="00C1453C" w:rsidP="00030903">
      <w:pPr>
        <w:pStyle w:val="ListParagraph"/>
        <w:shd w:val="clear" w:color="auto" w:fill="FFFFFF"/>
        <w:spacing w:after="0" w:line="240" w:lineRule="auto"/>
        <w:ind w:left="993" w:hanging="568"/>
        <w:rPr>
          <w:rFonts w:ascii="Arial" w:hAnsi="Arial" w:cs="Arial"/>
          <w:color w:val="000000"/>
          <w:sz w:val="20"/>
          <w:szCs w:val="20"/>
          <w:shd w:val="clear" w:color="auto" w:fill="FFFFFF"/>
        </w:rPr>
      </w:pPr>
    </w:p>
    <w:p w14:paraId="6757B6DD" w14:textId="37C7554E" w:rsidR="00413BE7" w:rsidRPr="007C21A7" w:rsidRDefault="00413BE7"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The Statute does not cover commercial premises on campus, which are required to apply for a liquor permit or licence under the ACT Liquor Act.</w:t>
      </w:r>
    </w:p>
    <w:p w14:paraId="2B0F3B1A" w14:textId="77777777" w:rsidR="002E5C81" w:rsidRPr="007C21A7" w:rsidRDefault="002E5C81" w:rsidP="002E5C81">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025B2B84" w14:textId="77777777" w:rsidR="002E5C81" w:rsidRPr="007C21A7" w:rsidRDefault="00C02385" w:rsidP="00324C1A">
      <w:pPr>
        <w:pStyle w:val="ListParagraph"/>
        <w:numPr>
          <w:ilvl w:val="0"/>
          <w:numId w:val="4"/>
        </w:numPr>
        <w:shd w:val="clear" w:color="auto" w:fill="FFFFFF"/>
        <w:spacing w:after="0" w:line="240" w:lineRule="auto"/>
        <w:rPr>
          <w:rFonts w:ascii="Arial" w:eastAsia="Times New Roman" w:hAnsi="Arial" w:cs="Arial"/>
          <w:b/>
          <w:bCs/>
          <w:color w:val="000000"/>
          <w:sz w:val="20"/>
          <w:szCs w:val="20"/>
          <w:lang w:eastAsia="en-AU"/>
        </w:rPr>
      </w:pPr>
      <w:r w:rsidRPr="007C21A7">
        <w:rPr>
          <w:rFonts w:ascii="Arial" w:eastAsia="Times New Roman" w:hAnsi="Arial" w:cs="Arial"/>
          <w:b/>
          <w:bCs/>
          <w:color w:val="000000"/>
          <w:sz w:val="20"/>
          <w:szCs w:val="20"/>
          <w:lang w:eastAsia="en-AU"/>
        </w:rPr>
        <w:t>Documents incorporated by reference</w:t>
      </w:r>
      <w:bookmarkStart w:id="7" w:name="_Hlk103345426"/>
    </w:p>
    <w:p w14:paraId="1F11179D" w14:textId="77777777" w:rsidR="00C1453C" w:rsidRPr="007C21A7" w:rsidRDefault="00C1453C" w:rsidP="00C1453C">
      <w:pPr>
        <w:pStyle w:val="ListParagraph"/>
        <w:shd w:val="clear" w:color="auto" w:fill="FFFFFF"/>
        <w:spacing w:after="0" w:line="240" w:lineRule="auto"/>
        <w:ind w:left="785"/>
        <w:rPr>
          <w:rFonts w:ascii="Arial" w:hAnsi="Arial" w:cs="Arial"/>
          <w:color w:val="000000"/>
          <w:sz w:val="20"/>
          <w:szCs w:val="20"/>
          <w:shd w:val="clear" w:color="auto" w:fill="FFFFFF"/>
        </w:rPr>
      </w:pPr>
    </w:p>
    <w:p w14:paraId="7EA11CF9" w14:textId="01243DD5" w:rsidR="002D56C6" w:rsidRPr="007C21A7" w:rsidRDefault="002D56C6"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The University’s suite of legislation has the status of Federal Law, and is registered on the Federal Register of Legislation in accordance with the </w:t>
      </w:r>
      <w:r w:rsidRPr="007C21A7">
        <w:rPr>
          <w:rFonts w:ascii="Arial" w:hAnsi="Arial" w:cs="Arial"/>
          <w:i/>
          <w:color w:val="000000"/>
          <w:sz w:val="20"/>
          <w:szCs w:val="20"/>
          <w:shd w:val="clear" w:color="auto" w:fill="FFFFFF"/>
        </w:rPr>
        <w:t>Legislation Act 2003</w:t>
      </w:r>
      <w:r w:rsidR="004332CD" w:rsidRPr="007C21A7">
        <w:rPr>
          <w:rFonts w:ascii="Arial" w:hAnsi="Arial" w:cs="Arial"/>
          <w:color w:val="000000"/>
          <w:sz w:val="20"/>
          <w:szCs w:val="20"/>
          <w:shd w:val="clear" w:color="auto" w:fill="FFFFFF"/>
        </w:rPr>
        <w:t xml:space="preserve"> and may be freely accessed and used by the public</w:t>
      </w:r>
      <w:r w:rsidRPr="007C21A7">
        <w:rPr>
          <w:rFonts w:ascii="Arial" w:hAnsi="Arial" w:cs="Arial"/>
          <w:color w:val="000000"/>
          <w:sz w:val="20"/>
          <w:szCs w:val="20"/>
          <w:shd w:val="clear" w:color="auto" w:fill="FFFFFF"/>
        </w:rPr>
        <w:t>. The below documents</w:t>
      </w:r>
      <w:r w:rsidR="00C1453C" w:rsidRPr="007C21A7">
        <w:rPr>
          <w:rFonts w:ascii="Arial" w:hAnsi="Arial" w:cs="Arial"/>
          <w:color w:val="000000"/>
          <w:sz w:val="20"/>
          <w:szCs w:val="20"/>
          <w:shd w:val="clear" w:color="auto" w:fill="FFFFFF"/>
        </w:rPr>
        <w:t xml:space="preserve"> (that are not Commonwealth legislation)</w:t>
      </w:r>
      <w:r w:rsidRPr="007C21A7">
        <w:rPr>
          <w:rFonts w:ascii="Arial" w:hAnsi="Arial" w:cs="Arial"/>
          <w:color w:val="000000"/>
          <w:sz w:val="20"/>
          <w:szCs w:val="20"/>
          <w:shd w:val="clear" w:color="auto" w:fill="FFFFFF"/>
        </w:rPr>
        <w:t xml:space="preserve"> are directly referenced within the instrument;</w:t>
      </w:r>
    </w:p>
    <w:p w14:paraId="6664B293" w14:textId="77777777" w:rsidR="00C1453C" w:rsidRPr="007C21A7" w:rsidRDefault="00C1453C" w:rsidP="00C1453C">
      <w:pPr>
        <w:pStyle w:val="ListParagraph"/>
        <w:shd w:val="clear" w:color="auto" w:fill="FFFFFF"/>
        <w:spacing w:after="0" w:line="240" w:lineRule="auto"/>
        <w:ind w:left="785"/>
        <w:rPr>
          <w:rFonts w:ascii="Arial" w:hAnsi="Arial" w:cs="Arial"/>
          <w:color w:val="000000"/>
          <w:sz w:val="20"/>
          <w:szCs w:val="20"/>
          <w:shd w:val="clear" w:color="auto" w:fill="FFFFFF"/>
        </w:rPr>
      </w:pPr>
    </w:p>
    <w:p w14:paraId="5C6CC0FF" w14:textId="72BEB7E8" w:rsidR="002D56C6" w:rsidRPr="007C21A7" w:rsidRDefault="002D56C6" w:rsidP="007C21A7">
      <w:pPr>
        <w:pStyle w:val="ListParagraph"/>
        <w:numPr>
          <w:ilvl w:val="2"/>
          <w:numId w:val="4"/>
        </w:numPr>
        <w:shd w:val="clear" w:color="auto" w:fill="FFFFFF"/>
        <w:spacing w:after="0" w:line="240" w:lineRule="auto"/>
        <w:ind w:left="1276" w:hanging="916"/>
        <w:rPr>
          <w:rFonts w:ascii="Arial" w:hAnsi="Arial" w:cs="Arial"/>
          <w:color w:val="000000"/>
          <w:sz w:val="20"/>
          <w:szCs w:val="20"/>
          <w:shd w:val="clear" w:color="auto" w:fill="FFFFFF"/>
        </w:rPr>
      </w:pPr>
      <w:r w:rsidRPr="007C21A7">
        <w:rPr>
          <w:rFonts w:ascii="Arial" w:hAnsi="Arial" w:cs="Arial"/>
          <w:i/>
          <w:color w:val="000000"/>
          <w:sz w:val="20"/>
          <w:szCs w:val="20"/>
          <w:shd w:val="clear" w:color="auto" w:fill="FFFFFF"/>
        </w:rPr>
        <w:t>Liquor Act 2010</w:t>
      </w:r>
      <w:r w:rsidRPr="007C21A7">
        <w:rPr>
          <w:rFonts w:ascii="Arial" w:hAnsi="Arial" w:cs="Arial"/>
          <w:color w:val="000000"/>
          <w:sz w:val="20"/>
          <w:szCs w:val="20"/>
          <w:shd w:val="clear" w:color="auto" w:fill="FFFFFF"/>
        </w:rPr>
        <w:t xml:space="preserve"> (ACT) </w:t>
      </w:r>
      <w:r w:rsidR="005911BB" w:rsidRPr="007C21A7">
        <w:rPr>
          <w:rFonts w:ascii="Arial" w:hAnsi="Arial" w:cs="Arial"/>
          <w:color w:val="000000"/>
          <w:sz w:val="20"/>
          <w:szCs w:val="20"/>
          <w:shd w:val="clear" w:color="auto" w:fill="FFFFFF"/>
        </w:rPr>
        <w:t>is incorporated within the instrument from the commencement of the instrument.</w:t>
      </w:r>
    </w:p>
    <w:bookmarkEnd w:id="7"/>
    <w:p w14:paraId="2FC0C0DE" w14:textId="77777777" w:rsidR="00CC7FC8" w:rsidRPr="007C21A7" w:rsidRDefault="00CC7FC8" w:rsidP="00030903">
      <w:pPr>
        <w:spacing w:after="0" w:line="257" w:lineRule="auto"/>
        <w:rPr>
          <w:rFonts w:ascii="Arial" w:hAnsi="Arial" w:cs="Arial"/>
          <w:sz w:val="20"/>
          <w:szCs w:val="20"/>
        </w:rPr>
      </w:pPr>
    </w:p>
    <w:p w14:paraId="10B3D7E6" w14:textId="77777777" w:rsidR="00C02385" w:rsidRPr="007C21A7" w:rsidRDefault="002E5C81" w:rsidP="007C306D">
      <w:pPr>
        <w:pStyle w:val="ListParagraph"/>
        <w:numPr>
          <w:ilvl w:val="0"/>
          <w:numId w:val="4"/>
        </w:numPr>
        <w:shd w:val="clear" w:color="auto" w:fill="FFFFFF"/>
        <w:spacing w:after="0" w:line="240" w:lineRule="auto"/>
        <w:rPr>
          <w:rFonts w:ascii="Arial" w:eastAsia="Times New Roman" w:hAnsi="Arial" w:cs="Arial"/>
          <w:b/>
          <w:bCs/>
          <w:color w:val="000000"/>
          <w:sz w:val="20"/>
          <w:szCs w:val="20"/>
          <w:lang w:eastAsia="en-AU"/>
        </w:rPr>
      </w:pPr>
      <w:r w:rsidRPr="007C21A7">
        <w:rPr>
          <w:rFonts w:ascii="Arial" w:eastAsia="Times New Roman" w:hAnsi="Arial" w:cs="Arial"/>
          <w:b/>
          <w:bCs/>
          <w:color w:val="000000"/>
          <w:sz w:val="20"/>
          <w:szCs w:val="20"/>
          <w:lang w:eastAsia="en-AU"/>
        </w:rPr>
        <w:t>Consultation</w:t>
      </w:r>
    </w:p>
    <w:p w14:paraId="5E6E3E76" w14:textId="77777777" w:rsidR="00784F4A" w:rsidRPr="007C21A7"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465F1FA4" w14:textId="77777777" w:rsidR="005F1255" w:rsidRPr="007C21A7" w:rsidRDefault="005F1255"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bookmarkStart w:id="8" w:name="_Hlk103348195"/>
      <w:r w:rsidRPr="007C21A7">
        <w:rPr>
          <w:rFonts w:ascii="Arial" w:hAnsi="Arial" w:cs="Arial"/>
          <w:color w:val="000000"/>
          <w:sz w:val="20"/>
          <w:szCs w:val="20"/>
          <w:shd w:val="clear" w:color="auto" w:fill="FFFFFF"/>
        </w:rPr>
        <w:t xml:space="preserve">Internal consultation proceeded for two weeks (03 August to 17 August 2022) on the draft instrument. </w:t>
      </w:r>
    </w:p>
    <w:p w14:paraId="4A4DAA33" w14:textId="77777777" w:rsidR="005F1255" w:rsidRPr="007C21A7" w:rsidRDefault="005F1255" w:rsidP="00030903">
      <w:pPr>
        <w:pStyle w:val="ListParagraph"/>
        <w:shd w:val="clear" w:color="auto" w:fill="FFFFFF"/>
        <w:spacing w:after="0" w:line="240" w:lineRule="auto"/>
        <w:ind w:left="993" w:hanging="568"/>
        <w:rPr>
          <w:rFonts w:ascii="Calibri" w:hAnsi="Calibri" w:cs="Calibri"/>
          <w:lang w:eastAsia="en-AU"/>
        </w:rPr>
      </w:pPr>
    </w:p>
    <w:p w14:paraId="20873547" w14:textId="77777777" w:rsidR="005F1255" w:rsidRPr="007C21A7" w:rsidRDefault="005F1255"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Consultation with the broader University on the instrument included; ANU General Legal Counsel, Corporate Governance and Risk Office, ANU Service Division Directors, General Managers of the Schools and Colleges, Facilities and Services, the Chief Residential Services and Operating Officer, Heads of Residential Schools and Colleges, Burgmann College and John XXIII College and the Australian National University Students Association. </w:t>
      </w:r>
    </w:p>
    <w:p w14:paraId="7E13BAF5" w14:textId="77777777" w:rsidR="005F1255" w:rsidRPr="007C21A7" w:rsidRDefault="005F1255" w:rsidP="00030903">
      <w:pPr>
        <w:pStyle w:val="ListParagraph"/>
        <w:shd w:val="clear" w:color="auto" w:fill="FFFFFF"/>
        <w:spacing w:after="0" w:line="240" w:lineRule="auto"/>
        <w:ind w:left="993" w:hanging="568"/>
        <w:rPr>
          <w:rFonts w:ascii="Arial" w:hAnsi="Arial" w:cs="Arial"/>
          <w:color w:val="000000"/>
          <w:sz w:val="20"/>
          <w:szCs w:val="20"/>
          <w:shd w:val="clear" w:color="auto" w:fill="FFFFFF"/>
        </w:rPr>
      </w:pPr>
    </w:p>
    <w:p w14:paraId="55F844DC" w14:textId="77777777" w:rsidR="005F1255" w:rsidRPr="007C21A7" w:rsidRDefault="005F1255"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Experts consulted on the development of the instrument was the University’s legislative drafter who has extensive experience with University legislation, ANU General Legal Counsel who has oversight of the legal implications of the sale of liquor and Corporate Governance and Risk Office who manage the governance and risk for the University.</w:t>
      </w:r>
    </w:p>
    <w:p w14:paraId="30768F81" w14:textId="77777777" w:rsidR="005F1255" w:rsidRPr="007C21A7" w:rsidRDefault="005F1255" w:rsidP="00030903">
      <w:pPr>
        <w:pStyle w:val="ListParagraph"/>
        <w:shd w:val="clear" w:color="auto" w:fill="FFFFFF"/>
        <w:spacing w:after="0" w:line="240" w:lineRule="auto"/>
        <w:ind w:left="993" w:hanging="568"/>
        <w:rPr>
          <w:rFonts w:ascii="Arial" w:hAnsi="Arial" w:cs="Arial"/>
          <w:color w:val="000000"/>
          <w:sz w:val="20"/>
          <w:szCs w:val="20"/>
          <w:shd w:val="clear" w:color="auto" w:fill="FFFFFF"/>
        </w:rPr>
      </w:pPr>
    </w:p>
    <w:p w14:paraId="7FC46B3D" w14:textId="77777777" w:rsidR="008937F1" w:rsidRPr="007C21A7" w:rsidRDefault="005F1255"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issues raised during consultation were addressed within policy, no required changes were in the instrument. </w:t>
      </w:r>
    </w:p>
    <w:p w14:paraId="2D52FDF8" w14:textId="77777777" w:rsidR="008937F1" w:rsidRPr="007C21A7" w:rsidRDefault="008937F1" w:rsidP="00030903">
      <w:pPr>
        <w:pStyle w:val="ListParagraph"/>
        <w:ind w:left="993" w:hanging="568"/>
      </w:pPr>
    </w:p>
    <w:p w14:paraId="23A15A72" w14:textId="60AEA03E" w:rsidR="008937F1" w:rsidRPr="007C21A7" w:rsidRDefault="008937F1"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Australian Federal Police were consulted in the instrument update and are in support of this decision. The Australia Federal police will continue to support the sale of liquor on campus to minors.</w:t>
      </w:r>
    </w:p>
    <w:bookmarkEnd w:id="8"/>
    <w:p w14:paraId="7EE34FC3" w14:textId="77777777" w:rsidR="003C08BA" w:rsidRPr="007C21A7" w:rsidRDefault="003C08BA" w:rsidP="00030903">
      <w:pPr>
        <w:spacing w:after="0" w:line="257" w:lineRule="auto"/>
        <w:rPr>
          <w:rFonts w:ascii="Arial" w:eastAsia="Times New Roman" w:hAnsi="Arial" w:cs="Arial"/>
          <w:color w:val="000000"/>
          <w:sz w:val="20"/>
          <w:szCs w:val="20"/>
          <w:lang w:eastAsia="en-AU"/>
        </w:rPr>
      </w:pPr>
    </w:p>
    <w:p w14:paraId="7177EAC4" w14:textId="77777777" w:rsidR="003C08BA" w:rsidRPr="007C21A7" w:rsidRDefault="009B43F8"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w:t>
      </w:r>
      <w:r w:rsidR="003C08BA" w:rsidRPr="007C21A7">
        <w:rPr>
          <w:rFonts w:ascii="Arial" w:hAnsi="Arial" w:cs="Arial"/>
          <w:b/>
          <w:bCs/>
          <w:iCs/>
          <w:sz w:val="20"/>
          <w:szCs w:val="20"/>
        </w:rPr>
        <w:t xml:space="preserve">The Australian National University </w:t>
      </w:r>
    </w:p>
    <w:p w14:paraId="20765605" w14:textId="35A49F7C"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Australian National University is continued in existence by the</w:t>
      </w:r>
      <w:r w:rsidRPr="007C21A7">
        <w:rPr>
          <w:rFonts w:ascii="Arial" w:hAnsi="Arial" w:cs="Arial"/>
          <w:i/>
          <w:color w:val="000000"/>
          <w:sz w:val="20"/>
          <w:szCs w:val="20"/>
          <w:shd w:val="clear" w:color="auto" w:fill="FFFFFF"/>
        </w:rPr>
        <w:t xml:space="preserve"> Australian National University Act 1991 </w:t>
      </w:r>
      <w:r w:rsidRPr="007C21A7">
        <w:rPr>
          <w:rFonts w:ascii="Arial" w:hAnsi="Arial" w:cs="Arial"/>
          <w:iCs/>
          <w:color w:val="000000"/>
          <w:sz w:val="20"/>
          <w:szCs w:val="20"/>
          <w:shd w:val="clear" w:color="auto" w:fill="FFFFFF"/>
        </w:rPr>
        <w:t xml:space="preserve">(the </w:t>
      </w:r>
      <w:r w:rsidRPr="007C21A7">
        <w:rPr>
          <w:rFonts w:ascii="Arial" w:hAnsi="Arial" w:cs="Arial"/>
          <w:b/>
          <w:bCs/>
          <w:i/>
          <w:color w:val="000000"/>
          <w:sz w:val="20"/>
          <w:szCs w:val="20"/>
          <w:shd w:val="clear" w:color="auto" w:fill="FFFFFF"/>
        </w:rPr>
        <w:t>ANU Act</w:t>
      </w:r>
      <w:r w:rsidRPr="007C21A7">
        <w:rPr>
          <w:rFonts w:ascii="Arial" w:hAnsi="Arial" w:cs="Arial"/>
          <w:iCs/>
          <w:color w:val="000000"/>
          <w:sz w:val="20"/>
          <w:szCs w:val="20"/>
          <w:shd w:val="clear" w:color="auto" w:fill="FFFFFF"/>
        </w:rPr>
        <w:t xml:space="preserve">) </w:t>
      </w:r>
      <w:r w:rsidRPr="007C21A7">
        <w:rPr>
          <w:rFonts w:ascii="Arial" w:hAnsi="Arial" w:cs="Arial"/>
          <w:i/>
          <w:color w:val="000000"/>
          <w:sz w:val="20"/>
          <w:szCs w:val="20"/>
          <w:shd w:val="clear" w:color="auto" w:fill="FFFFFF"/>
        </w:rPr>
        <w:t>(</w:t>
      </w:r>
      <w:r w:rsidRPr="007C21A7">
        <w:rPr>
          <w:rFonts w:ascii="Arial" w:hAnsi="Arial" w:cs="Arial"/>
          <w:color w:val="000000"/>
          <w:sz w:val="20"/>
          <w:szCs w:val="20"/>
          <w:shd w:val="clear" w:color="auto" w:fill="FFFFFF"/>
        </w:rPr>
        <w:t>see section 4(1)).</w:t>
      </w:r>
    </w:p>
    <w:p w14:paraId="76CEB82F"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7C21A7">
        <w:rPr>
          <w:rFonts w:ascii="Arial" w:hAnsi="Arial" w:cs="Arial"/>
          <w:color w:val="000000"/>
          <w:sz w:val="20"/>
          <w:szCs w:val="20"/>
          <w:shd w:val="clear" w:color="auto" w:fill="FFFFFF"/>
        </w:rPr>
        <w:t>s</w:t>
      </w:r>
      <w:r w:rsidRPr="007C21A7">
        <w:rPr>
          <w:rFonts w:ascii="Arial" w:hAnsi="Arial" w:cs="Arial"/>
          <w:color w:val="000000"/>
          <w:sz w:val="20"/>
          <w:szCs w:val="20"/>
          <w:shd w:val="clear" w:color="auto" w:fill="FFFFFF"/>
        </w:rPr>
        <w:t xml:space="preserve"> (see especially section 5(1)).</w:t>
      </w:r>
    </w:p>
    <w:p w14:paraId="737CD004"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Act gives the University responsibilities as Australia’s national university (see section 5(1</w:t>
      </w:r>
      <w:proofErr w:type="gramStart"/>
      <w:r w:rsidRPr="007C21A7">
        <w:rPr>
          <w:rFonts w:ascii="Arial" w:hAnsi="Arial" w:cs="Arial"/>
          <w:color w:val="000000"/>
          <w:sz w:val="20"/>
          <w:szCs w:val="20"/>
          <w:shd w:val="clear" w:color="auto" w:fill="FFFFFF"/>
        </w:rPr>
        <w:t>)(</w:t>
      </w:r>
      <w:proofErr w:type="gramEnd"/>
      <w:r w:rsidRPr="007C21A7">
        <w:rPr>
          <w:rFonts w:ascii="Arial" w:hAnsi="Arial" w:cs="Arial"/>
          <w:color w:val="000000"/>
          <w:sz w:val="20"/>
          <w:szCs w:val="20"/>
          <w:shd w:val="clear" w:color="auto" w:fill="FFFFFF"/>
        </w:rPr>
        <w:t>b) and (2)).</w:t>
      </w:r>
    </w:p>
    <w:p w14:paraId="16452DDB"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lastRenderedPageBreak/>
        <w:t xml:space="preserve">Subject to the </w:t>
      </w:r>
      <w:r w:rsidR="00361831" w:rsidRPr="007C21A7">
        <w:rPr>
          <w:rFonts w:ascii="Arial" w:hAnsi="Arial" w:cs="Arial"/>
          <w:color w:val="000000"/>
          <w:sz w:val="20"/>
          <w:szCs w:val="20"/>
          <w:shd w:val="clear" w:color="auto" w:fill="FFFFFF"/>
        </w:rPr>
        <w:t xml:space="preserve">ANU </w:t>
      </w:r>
      <w:r w:rsidRPr="007C21A7">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Act does not </w:t>
      </w:r>
      <w:r w:rsidR="00006A2F" w:rsidRPr="007C21A7">
        <w:rPr>
          <w:rFonts w:ascii="Arial" w:hAnsi="Arial" w:cs="Arial"/>
          <w:color w:val="000000"/>
          <w:sz w:val="20"/>
          <w:szCs w:val="20"/>
        </w:rPr>
        <w:t xml:space="preserve">contemplate that </w:t>
      </w:r>
      <w:r w:rsidRPr="007C21A7">
        <w:rPr>
          <w:rFonts w:ascii="Arial" w:hAnsi="Arial" w:cs="Arial"/>
          <w:color w:val="000000"/>
          <w:sz w:val="20"/>
          <w:szCs w:val="20"/>
        </w:rPr>
        <w:t xml:space="preserve">the Commonwealth executive </w:t>
      </w:r>
      <w:r w:rsidR="00006A2F" w:rsidRPr="007C21A7">
        <w:rPr>
          <w:rFonts w:ascii="Arial" w:hAnsi="Arial" w:cs="Arial"/>
          <w:color w:val="000000"/>
          <w:sz w:val="20"/>
          <w:szCs w:val="20"/>
        </w:rPr>
        <w:t xml:space="preserve">may </w:t>
      </w:r>
      <w:r w:rsidRPr="007C21A7">
        <w:rPr>
          <w:rFonts w:ascii="Arial" w:hAnsi="Arial" w:cs="Arial"/>
          <w:color w:val="000000"/>
          <w:sz w:val="20"/>
          <w:szCs w:val="20"/>
        </w:rPr>
        <w:t>direct the University, the Council or Council members in relation to the exercise of functions or powers under the Act but</w:t>
      </w:r>
      <w:r w:rsidRPr="007C21A7">
        <w:t xml:space="preserve"> </w:t>
      </w:r>
      <w:r w:rsidRPr="007C21A7">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ANU Act gives the Council  power to make statutes and, by statute, to authorise the making of rules or orders (see sections 50 and 51).The Council is only permitted to authorise the making of rules and orders by authorities and officers of the University (see section 50(3)). </w:t>
      </w:r>
    </w:p>
    <w:p w14:paraId="620F1576"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do not have general application, but focus on matters of particular concern to the University. These include its management, organisation and good governance, its staff and students, its degrees and other awards, and most importantly its values (especially academic freedom and integrity).</w:t>
      </w:r>
    </w:p>
    <w:p w14:paraId="4A3D859D" w14:textId="4CD012EB"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Under the </w:t>
      </w:r>
      <w:r w:rsidRPr="007C21A7">
        <w:rPr>
          <w:rFonts w:ascii="Arial" w:hAnsi="Arial" w:cs="Arial"/>
          <w:i/>
          <w:color w:val="000000"/>
          <w:sz w:val="20"/>
          <w:szCs w:val="20"/>
          <w:shd w:val="clear" w:color="auto" w:fill="FFFFFF"/>
        </w:rPr>
        <w:t>Higher Education Support Act 2003</w:t>
      </w:r>
      <w:r w:rsidRPr="007C21A7">
        <w:rPr>
          <w:rFonts w:ascii="Arial" w:hAnsi="Arial" w:cs="Arial"/>
          <w:color w:val="000000"/>
          <w:sz w:val="20"/>
          <w:szCs w:val="20"/>
          <w:shd w:val="clear" w:color="auto" w:fill="FFFFFF"/>
        </w:rPr>
        <w:t>,</w:t>
      </w:r>
      <w:r w:rsidR="00006A2F" w:rsidRPr="007C21A7">
        <w:rPr>
          <w:rFonts w:ascii="Arial" w:hAnsi="Arial" w:cs="Arial"/>
          <w:color w:val="000000"/>
          <w:sz w:val="20"/>
          <w:szCs w:val="20"/>
          <w:shd w:val="clear" w:color="auto" w:fill="FFFFFF"/>
        </w:rPr>
        <w:t xml:space="preserve"> the</w:t>
      </w:r>
      <w:r w:rsidRPr="007C21A7">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353BB2C6" w14:textId="77777777" w:rsidR="005F77F1" w:rsidRPr="007C21A7"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7C21A7" w:rsidRDefault="005F77F1"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Exemption from </w:t>
      </w:r>
      <w:proofErr w:type="spellStart"/>
      <w:r w:rsidRPr="007C21A7">
        <w:rPr>
          <w:rFonts w:ascii="Arial" w:hAnsi="Arial" w:cs="Arial"/>
          <w:b/>
          <w:bCs/>
          <w:iCs/>
          <w:sz w:val="20"/>
          <w:szCs w:val="20"/>
        </w:rPr>
        <w:t>sunsetting</w:t>
      </w:r>
      <w:proofErr w:type="spellEnd"/>
    </w:p>
    <w:p w14:paraId="3985B20D" w14:textId="77777777" w:rsidR="00C1453C" w:rsidRPr="007C21A7" w:rsidRDefault="005F77F1"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w:t>
      </w:r>
      <w:proofErr w:type="spellStart"/>
      <w:r w:rsidRPr="007C21A7">
        <w:rPr>
          <w:rFonts w:ascii="Arial" w:hAnsi="Arial" w:cs="Arial"/>
          <w:color w:val="000000"/>
          <w:sz w:val="20"/>
          <w:szCs w:val="20"/>
        </w:rPr>
        <w:t>sunsetting</w:t>
      </w:r>
      <w:proofErr w:type="spellEnd"/>
      <w:r w:rsidRPr="007C21A7">
        <w:rPr>
          <w:rFonts w:ascii="Arial" w:hAnsi="Arial" w:cs="Arial"/>
          <w:color w:val="000000"/>
          <w:sz w:val="20"/>
          <w:szCs w:val="20"/>
        </w:rPr>
        <w:t xml:space="preserve"> under the </w:t>
      </w:r>
      <w:r w:rsidRPr="007C21A7">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w:t>
      </w:r>
      <w:r w:rsidR="00826669" w:rsidRPr="007C21A7">
        <w:rPr>
          <w:rFonts w:ascii="Arial" w:hAnsi="Arial" w:cs="Arial"/>
          <w:color w:val="000000"/>
          <w:sz w:val="20"/>
          <w:szCs w:val="20"/>
        </w:rPr>
        <w:t>2</w:t>
      </w:r>
      <w:r w:rsidRPr="007C21A7">
        <w:rPr>
          <w:rFonts w:ascii="Arial" w:hAnsi="Arial" w:cs="Arial"/>
          <w:color w:val="000000"/>
          <w:sz w:val="20"/>
          <w:szCs w:val="20"/>
        </w:rPr>
        <w:t xml:space="preserve">, table, item </w:t>
      </w:r>
      <w:r w:rsidR="00826669" w:rsidRPr="007C21A7">
        <w:rPr>
          <w:rFonts w:ascii="Arial" w:hAnsi="Arial" w:cs="Arial"/>
          <w:color w:val="000000"/>
          <w:sz w:val="20"/>
          <w:szCs w:val="20"/>
        </w:rPr>
        <w:t>9.</w:t>
      </w:r>
    </w:p>
    <w:p w14:paraId="0D8668FA" w14:textId="12B77ECF" w:rsidR="00134B2E" w:rsidRPr="007C21A7" w:rsidRDefault="00E9003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sz w:val="20"/>
          <w:szCs w:val="20"/>
        </w:rPr>
        <w:t>However, this instrument includes an expiry provision</w:t>
      </w:r>
      <w:r w:rsidR="0082087E" w:rsidRPr="007C21A7">
        <w:rPr>
          <w:rFonts w:ascii="Arial" w:hAnsi="Arial" w:cs="Arial"/>
          <w:sz w:val="20"/>
          <w:szCs w:val="20"/>
        </w:rPr>
        <w:t xml:space="preserve"> (see section </w:t>
      </w:r>
      <w:r w:rsidR="00C1453C" w:rsidRPr="007C21A7">
        <w:rPr>
          <w:rFonts w:ascii="Arial" w:hAnsi="Arial" w:cs="Arial"/>
          <w:sz w:val="20"/>
          <w:szCs w:val="20"/>
        </w:rPr>
        <w:t xml:space="preserve">18) </w:t>
      </w:r>
      <w:r w:rsidRPr="007C21A7">
        <w:rPr>
          <w:rFonts w:ascii="Arial" w:hAnsi="Arial" w:cs="Arial"/>
          <w:sz w:val="20"/>
          <w:szCs w:val="20"/>
        </w:rPr>
        <w:t xml:space="preserve">that provides for its expiry 10 years after </w:t>
      </w:r>
      <w:r w:rsidR="00C1453C" w:rsidRPr="007C21A7">
        <w:rPr>
          <w:rFonts w:ascii="Arial" w:hAnsi="Arial" w:cs="Arial"/>
          <w:sz w:val="20"/>
          <w:szCs w:val="20"/>
        </w:rPr>
        <w:t>the day it commences</w:t>
      </w:r>
      <w:r w:rsidR="0082087E" w:rsidRPr="007C21A7">
        <w:rPr>
          <w:rFonts w:ascii="Arial" w:hAnsi="Arial" w:cs="Arial"/>
          <w:sz w:val="20"/>
          <w:szCs w:val="20"/>
        </w:rPr>
        <w:t>.</w:t>
      </w:r>
      <w:r w:rsidR="00C1453C" w:rsidRPr="007C21A7">
        <w:rPr>
          <w:rFonts w:ascii="Arial" w:hAnsi="Arial" w:cs="Arial"/>
          <w:sz w:val="20"/>
          <w:szCs w:val="20"/>
        </w:rPr>
        <w:t xml:space="preserve"> </w:t>
      </w:r>
      <w:r w:rsidR="00094EAA" w:rsidRPr="007C21A7">
        <w:rPr>
          <w:rFonts w:ascii="Arial" w:hAnsi="Arial" w:cs="Arial"/>
          <w:sz w:val="20"/>
          <w:szCs w:val="20"/>
        </w:rPr>
        <w:t xml:space="preserve">This provision achieves the same effect as </w:t>
      </w:r>
      <w:proofErr w:type="spellStart"/>
      <w:r w:rsidR="00094EAA" w:rsidRPr="007C21A7">
        <w:rPr>
          <w:rFonts w:ascii="Arial" w:hAnsi="Arial" w:cs="Arial"/>
          <w:sz w:val="20"/>
          <w:szCs w:val="20"/>
        </w:rPr>
        <w:t>sunsetting</w:t>
      </w:r>
      <w:proofErr w:type="spellEnd"/>
      <w:r w:rsidR="00094EAA" w:rsidRPr="007C21A7">
        <w:rPr>
          <w:rFonts w:ascii="Arial" w:hAnsi="Arial" w:cs="Arial"/>
          <w:sz w:val="20"/>
          <w:szCs w:val="20"/>
        </w:rPr>
        <w:t xml:space="preserve"> under the </w:t>
      </w:r>
      <w:r w:rsidR="00094EAA" w:rsidRPr="007C21A7">
        <w:rPr>
          <w:rFonts w:ascii="Arial" w:hAnsi="Arial" w:cs="Arial"/>
          <w:i/>
          <w:iCs/>
          <w:sz w:val="20"/>
          <w:szCs w:val="20"/>
        </w:rPr>
        <w:t>Legislation Act 2003</w:t>
      </w:r>
      <w:r w:rsidR="00094EAA" w:rsidRPr="007C21A7">
        <w:rPr>
          <w:rFonts w:ascii="Arial" w:hAnsi="Arial" w:cs="Arial"/>
          <w:sz w:val="20"/>
          <w:szCs w:val="20"/>
        </w:rPr>
        <w:t>.</w:t>
      </w:r>
      <w:r w:rsidR="007C306D" w:rsidRPr="007C21A7">
        <w:rPr>
          <w:rFonts w:ascii="Arial" w:hAnsi="Arial" w:cs="Arial"/>
          <w:sz w:val="20"/>
          <w:szCs w:val="20"/>
        </w:rPr>
        <w:t>]</w:t>
      </w:r>
    </w:p>
    <w:p w14:paraId="38CEC4D5" w14:textId="77777777" w:rsidR="00EE7BD7" w:rsidRPr="007C21A7"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7C21A7" w:rsidRDefault="00FB3F19" w:rsidP="00C1453C">
      <w:pPr>
        <w:pStyle w:val="ListParagraph"/>
        <w:numPr>
          <w:ilvl w:val="0"/>
          <w:numId w:val="4"/>
        </w:numPr>
        <w:rPr>
          <w:rFonts w:ascii="Arial" w:hAnsi="Arial" w:cs="Arial"/>
          <w:b/>
          <w:bCs/>
          <w:iCs/>
          <w:sz w:val="20"/>
          <w:szCs w:val="20"/>
        </w:rPr>
      </w:pPr>
      <w:bookmarkStart w:id="9" w:name="_Hlk111037688"/>
      <w:bookmarkStart w:id="10" w:name="_Hlk111028759"/>
      <w:r w:rsidRPr="007C21A7">
        <w:rPr>
          <w:rFonts w:ascii="Arial" w:hAnsi="Arial" w:cs="Arial"/>
          <w:b/>
          <w:bCs/>
          <w:iCs/>
          <w:sz w:val="20"/>
          <w:szCs w:val="20"/>
        </w:rPr>
        <w:t>Exemption from disallowance</w:t>
      </w:r>
    </w:p>
    <w:bookmarkEnd w:id="9"/>
    <w:p w14:paraId="2FBEB3B5" w14:textId="1C832031" w:rsidR="008E7D05" w:rsidRPr="007C21A7" w:rsidRDefault="00FB3F19"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disallowance under </w:t>
      </w:r>
      <w:r w:rsidR="00CA252E" w:rsidRPr="007C21A7">
        <w:rPr>
          <w:rFonts w:ascii="Arial" w:hAnsi="Arial" w:cs="Arial"/>
          <w:color w:val="000000"/>
          <w:sz w:val="20"/>
          <w:szCs w:val="20"/>
        </w:rPr>
        <w:t xml:space="preserve">the </w:t>
      </w:r>
      <w:r w:rsidRPr="007C21A7">
        <w:rPr>
          <w:rFonts w:ascii="Arial" w:hAnsi="Arial" w:cs="Arial"/>
          <w:color w:val="000000"/>
          <w:sz w:val="20"/>
          <w:szCs w:val="20"/>
        </w:rPr>
        <w:t>Legislation (Exemptions and Other Matters) Regulation 2015, section 10, table, item 6</w:t>
      </w:r>
      <w:r w:rsidR="00006A2F" w:rsidRPr="007C21A7">
        <w:rPr>
          <w:rFonts w:ascii="Arial" w:hAnsi="Arial" w:cs="Arial"/>
          <w:color w:val="000000"/>
          <w:sz w:val="20"/>
          <w:szCs w:val="20"/>
        </w:rPr>
        <w:t xml:space="preserve">, in consequence of the </w:t>
      </w:r>
      <w:r w:rsidR="008E7D05" w:rsidRPr="007C21A7">
        <w:rPr>
          <w:rFonts w:ascii="Arial" w:hAnsi="Arial" w:cs="Arial"/>
          <w:color w:val="000000"/>
          <w:sz w:val="20"/>
          <w:szCs w:val="20"/>
        </w:rPr>
        <w:t xml:space="preserve">University </w:t>
      </w:r>
      <w:r w:rsidR="00006A2F" w:rsidRPr="007C21A7">
        <w:rPr>
          <w:rFonts w:ascii="Arial" w:hAnsi="Arial" w:cs="Arial"/>
          <w:color w:val="000000"/>
          <w:sz w:val="20"/>
          <w:szCs w:val="20"/>
        </w:rPr>
        <w:t>being</w:t>
      </w:r>
      <w:r w:rsidR="008E7D05" w:rsidRPr="007C21A7">
        <w:rPr>
          <w:rFonts w:ascii="Arial" w:hAnsi="Arial" w:cs="Arial"/>
          <w:color w:val="000000"/>
          <w:sz w:val="20"/>
          <w:szCs w:val="20"/>
        </w:rPr>
        <w:t xml:space="preserve"> an independent, self-governing institution of higher learning.</w:t>
      </w:r>
    </w:p>
    <w:bookmarkEnd w:id="10"/>
    <w:p w14:paraId="420104DD" w14:textId="77777777" w:rsidR="009C150D" w:rsidRPr="007C21A7" w:rsidRDefault="009C150D"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University’s Council is responsible for both the University’s overall performance and its ongoing independence.</w:t>
      </w:r>
    </w:p>
    <w:p w14:paraId="3C247185" w14:textId="77777777" w:rsidR="008E7D05" w:rsidRPr="007C21A7" w:rsidRDefault="008E7D05"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w:t>
      </w:r>
      <w:r w:rsidR="00821DEB" w:rsidRPr="007C21A7">
        <w:rPr>
          <w:rFonts w:ascii="Arial" w:hAnsi="Arial" w:cs="Arial"/>
          <w:color w:val="000000"/>
          <w:sz w:val="20"/>
          <w:szCs w:val="20"/>
        </w:rPr>
        <w:t>,</w:t>
      </w:r>
      <w:r w:rsidRPr="007C21A7">
        <w:rPr>
          <w:rFonts w:ascii="Arial" w:hAnsi="Arial" w:cs="Arial"/>
          <w:color w:val="000000"/>
          <w:sz w:val="20"/>
          <w:szCs w:val="20"/>
        </w:rPr>
        <w:t xml:space="preserve"> its Council </w:t>
      </w:r>
      <w:r w:rsidR="00821DEB" w:rsidRPr="007C21A7">
        <w:rPr>
          <w:rFonts w:ascii="Arial" w:hAnsi="Arial" w:cs="Arial"/>
          <w:color w:val="000000"/>
          <w:sz w:val="20"/>
          <w:szCs w:val="20"/>
        </w:rPr>
        <w:t xml:space="preserve">and the members of its Council </w:t>
      </w:r>
      <w:r w:rsidRPr="007C21A7">
        <w:rPr>
          <w:rFonts w:ascii="Arial" w:hAnsi="Arial" w:cs="Arial"/>
          <w:color w:val="000000"/>
          <w:sz w:val="20"/>
          <w:szCs w:val="20"/>
        </w:rPr>
        <w:t>are not subject to direction by the Commonwealth exec</w:t>
      </w:r>
      <w:r w:rsidR="00821DEB" w:rsidRPr="007C21A7">
        <w:rPr>
          <w:rFonts w:ascii="Arial" w:hAnsi="Arial" w:cs="Arial"/>
          <w:color w:val="000000"/>
          <w:sz w:val="20"/>
          <w:szCs w:val="20"/>
        </w:rPr>
        <w:t>u</w:t>
      </w:r>
      <w:r w:rsidRPr="007C21A7">
        <w:rPr>
          <w:rFonts w:ascii="Arial" w:hAnsi="Arial" w:cs="Arial"/>
          <w:color w:val="000000"/>
          <w:sz w:val="20"/>
          <w:szCs w:val="20"/>
        </w:rPr>
        <w:t>tive</w:t>
      </w:r>
      <w:r w:rsidR="009C150D" w:rsidRPr="007C21A7">
        <w:rPr>
          <w:rFonts w:ascii="Arial" w:hAnsi="Arial" w:cs="Arial"/>
          <w:color w:val="000000"/>
          <w:sz w:val="20"/>
          <w:szCs w:val="20"/>
        </w:rPr>
        <w:t xml:space="preserve"> </w:t>
      </w:r>
      <w:r w:rsidR="00821DEB" w:rsidRPr="007C21A7">
        <w:rPr>
          <w:rFonts w:ascii="Arial" w:hAnsi="Arial" w:cs="Arial"/>
          <w:color w:val="000000"/>
          <w:sz w:val="20"/>
          <w:szCs w:val="20"/>
        </w:rPr>
        <w:t xml:space="preserve">in relation to the exercise of the University’s power to make statutes, </w:t>
      </w:r>
      <w:r w:rsidR="00376E85" w:rsidRPr="007C21A7">
        <w:rPr>
          <w:rFonts w:ascii="Arial" w:hAnsi="Arial" w:cs="Arial"/>
          <w:color w:val="000000"/>
          <w:sz w:val="20"/>
          <w:szCs w:val="20"/>
        </w:rPr>
        <w:t>rules,</w:t>
      </w:r>
      <w:r w:rsidR="00821DEB" w:rsidRPr="007C21A7">
        <w:rPr>
          <w:rFonts w:ascii="Arial" w:hAnsi="Arial" w:cs="Arial"/>
          <w:color w:val="000000"/>
          <w:sz w:val="20"/>
          <w:szCs w:val="20"/>
        </w:rPr>
        <w:t xml:space="preserve"> and orders</w:t>
      </w:r>
      <w:r w:rsidR="00006A2F" w:rsidRPr="007C21A7">
        <w:rPr>
          <w:rFonts w:ascii="Arial" w:hAnsi="Arial" w:cs="Arial"/>
          <w:color w:val="000000"/>
          <w:sz w:val="20"/>
          <w:szCs w:val="20"/>
        </w:rPr>
        <w:t xml:space="preserve"> under the ANU Act</w:t>
      </w:r>
      <w:r w:rsidRPr="007C21A7">
        <w:rPr>
          <w:rFonts w:ascii="Arial" w:hAnsi="Arial" w:cs="Arial"/>
          <w:color w:val="000000"/>
          <w:sz w:val="20"/>
          <w:szCs w:val="20"/>
        </w:rPr>
        <w:t>.</w:t>
      </w:r>
      <w:bookmarkStart w:id="11" w:name="_Hlk106102097"/>
    </w:p>
    <w:bookmarkEnd w:id="11"/>
    <w:p w14:paraId="5D23CFFC" w14:textId="77777777" w:rsidR="00821DEB" w:rsidRPr="007C21A7" w:rsidRDefault="00821DEB"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w:t>
      </w:r>
      <w:r w:rsidR="00006A2F" w:rsidRPr="007C21A7">
        <w:rPr>
          <w:rFonts w:ascii="Arial" w:hAnsi="Arial" w:cs="Arial"/>
          <w:color w:val="000000"/>
          <w:sz w:val="20"/>
          <w:szCs w:val="20"/>
        </w:rPr>
        <w:t>foundational</w:t>
      </w:r>
      <w:r w:rsidRPr="007C21A7">
        <w:rPr>
          <w:rFonts w:ascii="Arial" w:hAnsi="Arial" w:cs="Arial"/>
          <w:color w:val="000000"/>
          <w:sz w:val="20"/>
          <w:szCs w:val="20"/>
        </w:rPr>
        <w:t xml:space="preserve"> values </w:t>
      </w:r>
      <w:r w:rsidR="00C40F63" w:rsidRPr="007C21A7">
        <w:rPr>
          <w:rFonts w:ascii="Arial" w:hAnsi="Arial" w:cs="Arial"/>
          <w:color w:val="000000"/>
          <w:sz w:val="20"/>
          <w:szCs w:val="20"/>
        </w:rPr>
        <w:t xml:space="preserve">of academic freedom and integrity would be </w:t>
      </w:r>
      <w:r w:rsidR="003A0BB0" w:rsidRPr="007C21A7">
        <w:rPr>
          <w:rFonts w:ascii="Arial" w:hAnsi="Arial" w:cs="Arial"/>
          <w:color w:val="000000"/>
          <w:sz w:val="20"/>
          <w:szCs w:val="20"/>
        </w:rPr>
        <w:t>put at risk</w:t>
      </w:r>
      <w:r w:rsidR="00016FFA" w:rsidRPr="007C21A7">
        <w:rPr>
          <w:rFonts w:ascii="Arial" w:hAnsi="Arial" w:cs="Arial"/>
          <w:color w:val="000000"/>
          <w:sz w:val="20"/>
          <w:szCs w:val="20"/>
        </w:rPr>
        <w:t xml:space="preserve"> if </w:t>
      </w:r>
      <w:r w:rsidR="00006A2F" w:rsidRPr="007C21A7">
        <w:rPr>
          <w:rFonts w:ascii="Arial" w:hAnsi="Arial" w:cs="Arial"/>
          <w:color w:val="000000"/>
          <w:sz w:val="20"/>
          <w:szCs w:val="20"/>
        </w:rPr>
        <w:t xml:space="preserve">the University’s </w:t>
      </w:r>
      <w:r w:rsidR="00016FFA" w:rsidRPr="007C21A7">
        <w:rPr>
          <w:rFonts w:ascii="Arial" w:hAnsi="Arial" w:cs="Arial"/>
          <w:color w:val="000000"/>
          <w:sz w:val="20"/>
          <w:szCs w:val="20"/>
        </w:rPr>
        <w:t xml:space="preserve">statutes, </w:t>
      </w:r>
      <w:r w:rsidR="00376E85" w:rsidRPr="007C21A7">
        <w:rPr>
          <w:rFonts w:ascii="Arial" w:hAnsi="Arial" w:cs="Arial"/>
          <w:color w:val="000000"/>
          <w:sz w:val="20"/>
          <w:szCs w:val="20"/>
        </w:rPr>
        <w:t>rules,</w:t>
      </w:r>
      <w:r w:rsidR="00016FFA" w:rsidRPr="007C21A7">
        <w:rPr>
          <w:rFonts w:ascii="Arial" w:hAnsi="Arial" w:cs="Arial"/>
          <w:color w:val="000000"/>
          <w:sz w:val="20"/>
          <w:szCs w:val="20"/>
        </w:rPr>
        <w:t xml:space="preserve"> and orders were not exempt from disallowance. </w:t>
      </w:r>
      <w:r w:rsidR="00985A0A" w:rsidRPr="007C21A7">
        <w:rPr>
          <w:rFonts w:ascii="Arial" w:hAnsi="Arial" w:cs="Arial"/>
          <w:color w:val="000000"/>
          <w:sz w:val="20"/>
          <w:szCs w:val="20"/>
        </w:rPr>
        <w:t xml:space="preserve">The </w:t>
      </w:r>
      <w:r w:rsidR="00006A2F" w:rsidRPr="007C21A7">
        <w:rPr>
          <w:rFonts w:ascii="Arial" w:hAnsi="Arial" w:cs="Arial"/>
          <w:color w:val="000000"/>
          <w:sz w:val="20"/>
          <w:szCs w:val="20"/>
        </w:rPr>
        <w:t xml:space="preserve">independence of the </w:t>
      </w:r>
      <w:r w:rsidR="00985A0A" w:rsidRPr="007C21A7">
        <w:rPr>
          <w:rFonts w:ascii="Arial" w:hAnsi="Arial" w:cs="Arial"/>
          <w:color w:val="000000"/>
          <w:sz w:val="20"/>
          <w:szCs w:val="20"/>
        </w:rPr>
        <w:t xml:space="preserve">University </w:t>
      </w:r>
      <w:r w:rsidR="00905A68" w:rsidRPr="007C21A7">
        <w:rPr>
          <w:rFonts w:ascii="Arial" w:hAnsi="Arial" w:cs="Arial"/>
          <w:color w:val="000000"/>
          <w:sz w:val="20"/>
          <w:szCs w:val="20"/>
        </w:rPr>
        <w:t>would</w:t>
      </w:r>
      <w:r w:rsidR="00006A2F" w:rsidRPr="007C21A7">
        <w:rPr>
          <w:rFonts w:ascii="Arial" w:hAnsi="Arial" w:cs="Arial"/>
          <w:color w:val="000000"/>
          <w:sz w:val="20"/>
          <w:szCs w:val="20"/>
        </w:rPr>
        <w:t xml:space="preserve"> be unduly affected</w:t>
      </w:r>
      <w:r w:rsidR="00860903" w:rsidRPr="007C21A7">
        <w:rPr>
          <w:rFonts w:ascii="Arial" w:hAnsi="Arial" w:cs="Arial"/>
          <w:color w:val="000000"/>
          <w:sz w:val="20"/>
          <w:szCs w:val="20"/>
        </w:rPr>
        <w:t xml:space="preserve"> if its legislation, </w:t>
      </w:r>
      <w:r w:rsidR="003A0BB0" w:rsidRPr="007C21A7">
        <w:rPr>
          <w:rFonts w:ascii="Arial" w:hAnsi="Arial" w:cs="Arial"/>
          <w:color w:val="000000"/>
          <w:sz w:val="20"/>
          <w:szCs w:val="20"/>
        </w:rPr>
        <w:t>and indeed</w:t>
      </w:r>
      <w:r w:rsidR="00860903" w:rsidRPr="007C21A7">
        <w:rPr>
          <w:rFonts w:ascii="Arial" w:hAnsi="Arial" w:cs="Arial"/>
          <w:color w:val="000000"/>
          <w:sz w:val="20"/>
          <w:szCs w:val="20"/>
        </w:rPr>
        <w:t xml:space="preserve"> separate provisions of its legislation, were open to disallowance by either </w:t>
      </w:r>
      <w:r w:rsidR="003A0BB0" w:rsidRPr="007C21A7">
        <w:rPr>
          <w:rFonts w:ascii="Arial" w:hAnsi="Arial" w:cs="Arial"/>
          <w:color w:val="000000"/>
          <w:sz w:val="20"/>
          <w:szCs w:val="20"/>
        </w:rPr>
        <w:t>H</w:t>
      </w:r>
      <w:r w:rsidR="00860903" w:rsidRPr="007C21A7">
        <w:rPr>
          <w:rFonts w:ascii="Arial" w:hAnsi="Arial" w:cs="Arial"/>
          <w:color w:val="000000"/>
          <w:sz w:val="20"/>
          <w:szCs w:val="20"/>
        </w:rPr>
        <w:t>ouse of the Parliament</w:t>
      </w:r>
      <w:r w:rsidR="00985A0A" w:rsidRPr="007C21A7">
        <w:rPr>
          <w:rFonts w:ascii="Arial" w:hAnsi="Arial" w:cs="Arial"/>
          <w:color w:val="000000"/>
          <w:sz w:val="20"/>
          <w:szCs w:val="20"/>
        </w:rPr>
        <w:t>.</w:t>
      </w:r>
    </w:p>
    <w:p w14:paraId="41EEDA20" w14:textId="77777777" w:rsidR="008667E9" w:rsidRPr="007C21A7" w:rsidRDefault="00860903"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University </w:t>
      </w:r>
      <w:r w:rsidR="00006A2F" w:rsidRPr="007C21A7">
        <w:rPr>
          <w:rFonts w:ascii="Arial" w:hAnsi="Arial" w:cs="Arial"/>
          <w:color w:val="000000"/>
          <w:sz w:val="20"/>
          <w:szCs w:val="20"/>
        </w:rPr>
        <w:t xml:space="preserve">recognises </w:t>
      </w:r>
      <w:r w:rsidR="004F1935" w:rsidRPr="007C21A7">
        <w:rPr>
          <w:rFonts w:ascii="Arial" w:hAnsi="Arial" w:cs="Arial"/>
          <w:color w:val="000000"/>
          <w:sz w:val="20"/>
          <w:szCs w:val="20"/>
        </w:rPr>
        <w:t>the important role of the Senate Standing Committee for the Scrutiny of Delegated Legislation</w:t>
      </w:r>
      <w:r w:rsidR="00006A2F" w:rsidRPr="007C21A7">
        <w:rPr>
          <w:rFonts w:ascii="Arial" w:hAnsi="Arial" w:cs="Arial"/>
          <w:color w:val="000000"/>
          <w:sz w:val="20"/>
          <w:szCs w:val="20"/>
        </w:rPr>
        <w:t xml:space="preserve"> and</w:t>
      </w:r>
      <w:r w:rsidR="002D6985" w:rsidRPr="007C21A7">
        <w:rPr>
          <w:rFonts w:ascii="Arial" w:hAnsi="Arial" w:cs="Arial"/>
          <w:color w:val="000000"/>
          <w:sz w:val="20"/>
          <w:szCs w:val="20"/>
        </w:rPr>
        <w:t xml:space="preserve"> </w:t>
      </w:r>
      <w:r w:rsidR="004F1935" w:rsidRPr="007C21A7">
        <w:rPr>
          <w:rFonts w:ascii="Arial" w:hAnsi="Arial" w:cs="Arial"/>
          <w:color w:val="000000"/>
          <w:sz w:val="20"/>
          <w:szCs w:val="20"/>
        </w:rPr>
        <w:t xml:space="preserve">strives to ensure that </w:t>
      </w:r>
      <w:r w:rsidR="003A0BB0" w:rsidRPr="007C21A7">
        <w:rPr>
          <w:rFonts w:ascii="Arial" w:hAnsi="Arial" w:cs="Arial"/>
          <w:color w:val="000000"/>
          <w:sz w:val="20"/>
          <w:szCs w:val="20"/>
        </w:rPr>
        <w:t xml:space="preserve">the </w:t>
      </w:r>
      <w:r w:rsidR="006B10AF" w:rsidRPr="007C21A7">
        <w:rPr>
          <w:rFonts w:ascii="Arial" w:hAnsi="Arial" w:cs="Arial"/>
          <w:color w:val="000000"/>
          <w:sz w:val="20"/>
          <w:szCs w:val="20"/>
        </w:rPr>
        <w:t>C</w:t>
      </w:r>
      <w:r w:rsidR="003A0BB0" w:rsidRPr="007C21A7">
        <w:rPr>
          <w:rFonts w:ascii="Arial" w:hAnsi="Arial" w:cs="Arial"/>
          <w:color w:val="000000"/>
          <w:sz w:val="20"/>
          <w:szCs w:val="20"/>
        </w:rPr>
        <w:t>ommittee’s requirements in relation to the technical scrutiny of delegated legislation a</w:t>
      </w:r>
      <w:r w:rsidR="002D6985" w:rsidRPr="007C21A7">
        <w:rPr>
          <w:rFonts w:ascii="Arial" w:hAnsi="Arial" w:cs="Arial"/>
          <w:color w:val="000000"/>
          <w:sz w:val="20"/>
          <w:szCs w:val="20"/>
        </w:rPr>
        <w:t>r</w:t>
      </w:r>
      <w:r w:rsidR="003A0BB0" w:rsidRPr="007C21A7">
        <w:rPr>
          <w:rFonts w:ascii="Arial" w:hAnsi="Arial" w:cs="Arial"/>
          <w:color w:val="000000"/>
          <w:sz w:val="20"/>
          <w:szCs w:val="20"/>
        </w:rPr>
        <w:t xml:space="preserve">e </w:t>
      </w:r>
      <w:r w:rsidR="002D6985" w:rsidRPr="007C21A7">
        <w:rPr>
          <w:rFonts w:ascii="Arial" w:hAnsi="Arial" w:cs="Arial"/>
          <w:color w:val="000000"/>
          <w:sz w:val="20"/>
          <w:szCs w:val="20"/>
        </w:rPr>
        <w:t xml:space="preserve">met for University statutes, </w:t>
      </w:r>
      <w:r w:rsidR="00376E85" w:rsidRPr="007C21A7">
        <w:rPr>
          <w:rFonts w:ascii="Arial" w:hAnsi="Arial" w:cs="Arial"/>
          <w:color w:val="000000"/>
          <w:sz w:val="20"/>
          <w:szCs w:val="20"/>
        </w:rPr>
        <w:t>rules,</w:t>
      </w:r>
      <w:r w:rsidR="002D6985" w:rsidRPr="007C21A7">
        <w:rPr>
          <w:rFonts w:ascii="Arial" w:hAnsi="Arial" w:cs="Arial"/>
          <w:color w:val="000000"/>
          <w:sz w:val="20"/>
          <w:szCs w:val="20"/>
        </w:rPr>
        <w:t xml:space="preserve"> and orders.</w:t>
      </w:r>
    </w:p>
    <w:p w14:paraId="0332E6D4" w14:textId="77777777" w:rsidR="00D2334B" w:rsidRPr="007C21A7" w:rsidRDefault="00D2334B" w:rsidP="00030903">
      <w:pPr>
        <w:pStyle w:val="NormalWeb"/>
        <w:spacing w:before="180" w:beforeAutospacing="0" w:after="0" w:afterAutospacing="0"/>
        <w:rPr>
          <w:rFonts w:ascii="Arial" w:hAnsi="Arial" w:cs="Arial"/>
          <w:color w:val="000000"/>
          <w:sz w:val="20"/>
          <w:szCs w:val="20"/>
        </w:rPr>
      </w:pPr>
    </w:p>
    <w:p w14:paraId="6F8B98B7" w14:textId="77777777" w:rsidR="007C21A7" w:rsidRPr="007C21A7" w:rsidRDefault="007C21A7">
      <w:pPr>
        <w:spacing w:line="259" w:lineRule="auto"/>
        <w:rPr>
          <w:rFonts w:ascii="Arial" w:hAnsi="Arial" w:cs="Arial"/>
          <w:b/>
          <w:bCs/>
          <w:iCs/>
          <w:sz w:val="20"/>
          <w:szCs w:val="20"/>
        </w:rPr>
      </w:pPr>
      <w:bookmarkStart w:id="12" w:name="_Hlk111040539"/>
      <w:r w:rsidRPr="007C21A7">
        <w:rPr>
          <w:rFonts w:ascii="Arial" w:hAnsi="Arial" w:cs="Arial"/>
          <w:b/>
          <w:bCs/>
          <w:iCs/>
          <w:sz w:val="20"/>
          <w:szCs w:val="20"/>
        </w:rPr>
        <w:br w:type="page"/>
      </w:r>
    </w:p>
    <w:p w14:paraId="52CE0764" w14:textId="7EA7343A" w:rsidR="00D2334B" w:rsidRPr="007C21A7" w:rsidRDefault="00D2334B" w:rsidP="00C1453C">
      <w:pPr>
        <w:pStyle w:val="ListParagraph"/>
        <w:numPr>
          <w:ilvl w:val="0"/>
          <w:numId w:val="4"/>
        </w:numPr>
        <w:rPr>
          <w:rFonts w:ascii="Arial" w:hAnsi="Arial" w:cs="Arial"/>
          <w:b/>
          <w:bCs/>
          <w:iCs/>
          <w:sz w:val="20"/>
          <w:szCs w:val="20"/>
        </w:rPr>
      </w:pPr>
      <w:r w:rsidRPr="007C21A7">
        <w:rPr>
          <w:rFonts w:ascii="Arial" w:hAnsi="Arial" w:cs="Arial"/>
          <w:b/>
          <w:bCs/>
          <w:iCs/>
          <w:sz w:val="20"/>
          <w:szCs w:val="20"/>
        </w:rPr>
        <w:lastRenderedPageBreak/>
        <w:t>Further details of this inst</w:t>
      </w:r>
      <w:r w:rsidR="00532AA8" w:rsidRPr="007C21A7">
        <w:rPr>
          <w:rFonts w:ascii="Arial" w:hAnsi="Arial" w:cs="Arial"/>
          <w:b/>
          <w:bCs/>
          <w:iCs/>
          <w:sz w:val="20"/>
          <w:szCs w:val="20"/>
        </w:rPr>
        <w:t>r</w:t>
      </w:r>
      <w:r w:rsidRPr="007C21A7">
        <w:rPr>
          <w:rFonts w:ascii="Arial" w:hAnsi="Arial" w:cs="Arial"/>
          <w:b/>
          <w:bCs/>
          <w:iCs/>
          <w:sz w:val="20"/>
          <w:szCs w:val="20"/>
        </w:rPr>
        <w:t>ument</w:t>
      </w:r>
    </w:p>
    <w:bookmarkEnd w:id="12"/>
    <w:p w14:paraId="6DB1B97E" w14:textId="112169D9" w:rsidR="00D2334B" w:rsidRPr="007C21A7" w:rsidRDefault="00001A4D" w:rsidP="00030903">
      <w:pPr>
        <w:pStyle w:val="NormalWeb"/>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11</w:t>
      </w:r>
      <w:r w:rsidR="00030903" w:rsidRPr="007C21A7">
        <w:rPr>
          <w:rFonts w:ascii="Arial" w:hAnsi="Arial" w:cs="Arial"/>
          <w:color w:val="000000"/>
          <w:sz w:val="20"/>
          <w:szCs w:val="20"/>
        </w:rPr>
        <w:t>.1.</w:t>
      </w:r>
      <w:r w:rsidR="00030903" w:rsidRPr="007C21A7">
        <w:rPr>
          <w:rFonts w:ascii="Arial" w:hAnsi="Arial" w:cs="Arial"/>
          <w:color w:val="000000"/>
          <w:sz w:val="20"/>
          <w:szCs w:val="20"/>
        </w:rPr>
        <w:tab/>
      </w:r>
      <w:r w:rsidR="00D2334B" w:rsidRPr="007C21A7">
        <w:rPr>
          <w:rFonts w:ascii="Arial" w:hAnsi="Arial" w:cs="Arial"/>
          <w:color w:val="000000"/>
          <w:sz w:val="20"/>
          <w:szCs w:val="20"/>
        </w:rPr>
        <w:t xml:space="preserve">Further details of this instrument are set out in </w:t>
      </w:r>
      <w:r w:rsidR="00D2334B" w:rsidRPr="007C21A7">
        <w:rPr>
          <w:rFonts w:ascii="Arial" w:hAnsi="Arial" w:cs="Arial"/>
          <w:b/>
          <w:i/>
          <w:color w:val="000000"/>
          <w:sz w:val="20"/>
          <w:szCs w:val="20"/>
        </w:rPr>
        <w:t>Attachment A.</w:t>
      </w:r>
    </w:p>
    <w:p w14:paraId="562606CA" w14:textId="77777777" w:rsidR="001C785D" w:rsidRPr="007C21A7" w:rsidRDefault="001C785D">
      <w:pPr>
        <w:pStyle w:val="NormalWeb"/>
        <w:spacing w:before="180" w:beforeAutospacing="0" w:after="0" w:afterAutospacing="0"/>
        <w:rPr>
          <w:rFonts w:ascii="Arial" w:hAnsi="Arial" w:cs="Arial"/>
          <w:color w:val="000000"/>
          <w:sz w:val="20"/>
          <w:szCs w:val="20"/>
        </w:rPr>
      </w:pPr>
    </w:p>
    <w:p w14:paraId="0BDF6281" w14:textId="77777777" w:rsidR="001C785D" w:rsidRPr="007C21A7" w:rsidRDefault="001C785D" w:rsidP="00C1453C">
      <w:pPr>
        <w:pStyle w:val="ListParagraph"/>
        <w:numPr>
          <w:ilvl w:val="0"/>
          <w:numId w:val="4"/>
        </w:numPr>
        <w:rPr>
          <w:rFonts w:ascii="Arial" w:hAnsi="Arial" w:cs="Arial"/>
          <w:b/>
          <w:bCs/>
          <w:iCs/>
          <w:sz w:val="20"/>
          <w:szCs w:val="20"/>
        </w:rPr>
      </w:pPr>
      <w:r w:rsidRPr="007C21A7">
        <w:rPr>
          <w:rFonts w:ascii="Arial" w:hAnsi="Arial" w:cs="Arial"/>
          <w:b/>
          <w:bCs/>
          <w:iCs/>
          <w:sz w:val="20"/>
          <w:szCs w:val="20"/>
        </w:rPr>
        <w:t>Statement of Compatibility</w:t>
      </w:r>
    </w:p>
    <w:p w14:paraId="14CFBC94" w14:textId="1BB3425A" w:rsidR="001C785D" w:rsidRPr="007C21A7" w:rsidRDefault="00001A4D" w:rsidP="00030903">
      <w:pPr>
        <w:pStyle w:val="NormalWeb"/>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12</w:t>
      </w:r>
      <w:r w:rsidR="00030903" w:rsidRPr="007C21A7">
        <w:rPr>
          <w:rFonts w:ascii="Arial" w:hAnsi="Arial" w:cs="Arial"/>
          <w:color w:val="000000"/>
          <w:sz w:val="20"/>
          <w:szCs w:val="20"/>
        </w:rPr>
        <w:t>.1.</w:t>
      </w:r>
      <w:r w:rsidR="00030903" w:rsidRPr="007C21A7">
        <w:rPr>
          <w:rFonts w:ascii="Arial" w:hAnsi="Arial" w:cs="Arial"/>
          <w:color w:val="000000"/>
          <w:sz w:val="20"/>
          <w:szCs w:val="20"/>
        </w:rPr>
        <w:tab/>
      </w:r>
      <w:r w:rsidR="001C785D" w:rsidRPr="007C21A7">
        <w:rPr>
          <w:rFonts w:ascii="Arial" w:hAnsi="Arial" w:cs="Arial"/>
          <w:color w:val="000000"/>
          <w:sz w:val="20"/>
          <w:szCs w:val="20"/>
        </w:rPr>
        <w:t xml:space="preserve">A Statement of Compatibility with Human Rights is at </w:t>
      </w:r>
      <w:r w:rsidR="001C785D" w:rsidRPr="007C21A7">
        <w:rPr>
          <w:rFonts w:ascii="Arial" w:hAnsi="Arial" w:cs="Arial"/>
          <w:b/>
          <w:i/>
          <w:color w:val="000000"/>
          <w:sz w:val="20"/>
          <w:szCs w:val="20"/>
        </w:rPr>
        <w:t>Attachment B.</w:t>
      </w:r>
    </w:p>
    <w:p w14:paraId="00823F4E" w14:textId="77777777" w:rsidR="001C785D" w:rsidRPr="007C21A7"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7C21A7" w:rsidRDefault="00585450" w:rsidP="00585450">
      <w:pPr>
        <w:rPr>
          <w:rFonts w:ascii="Arial" w:hAnsi="Arial" w:cs="Arial"/>
          <w:sz w:val="20"/>
          <w:szCs w:val="20"/>
        </w:rPr>
      </w:pPr>
    </w:p>
    <w:p w14:paraId="1EFC8835" w14:textId="77777777" w:rsidR="00585450" w:rsidRPr="007C21A7" w:rsidRDefault="00585450" w:rsidP="00585450">
      <w:pPr>
        <w:rPr>
          <w:rFonts w:ascii="Arial" w:hAnsi="Arial" w:cs="Arial"/>
          <w:sz w:val="20"/>
          <w:szCs w:val="20"/>
        </w:rPr>
      </w:pPr>
      <w:r w:rsidRPr="007C21A7">
        <w:rPr>
          <w:rFonts w:ascii="Arial" w:hAnsi="Arial" w:cs="Arial"/>
          <w:sz w:val="20"/>
          <w:szCs w:val="20"/>
        </w:rPr>
        <w:t>Corporate Governance and Risk Office</w:t>
      </w:r>
    </w:p>
    <w:p w14:paraId="59021A2E" w14:textId="77777777" w:rsidR="00532AA8" w:rsidRPr="007C21A7" w:rsidRDefault="00532AA8" w:rsidP="00585450">
      <w:pPr>
        <w:rPr>
          <w:rFonts w:ascii="Arial" w:hAnsi="Arial" w:cs="Arial"/>
          <w:sz w:val="20"/>
          <w:szCs w:val="20"/>
        </w:rPr>
      </w:pPr>
      <w:r w:rsidRPr="007C21A7">
        <w:rPr>
          <w:rFonts w:ascii="Arial" w:hAnsi="Arial" w:cs="Arial"/>
          <w:sz w:val="20"/>
          <w:szCs w:val="20"/>
        </w:rPr>
        <w:t>The Australian National University</w:t>
      </w:r>
    </w:p>
    <w:p w14:paraId="40B32C64" w14:textId="0636C7BD" w:rsidR="00585450" w:rsidRPr="007C21A7" w:rsidRDefault="00C1453C" w:rsidP="00585450">
      <w:pPr>
        <w:rPr>
          <w:rFonts w:ascii="Arial" w:hAnsi="Arial" w:cs="Arial"/>
          <w:sz w:val="20"/>
          <w:szCs w:val="20"/>
        </w:rPr>
      </w:pPr>
      <w:r w:rsidRPr="007C21A7">
        <w:rPr>
          <w:rFonts w:ascii="Arial" w:hAnsi="Arial" w:cs="Arial"/>
          <w:sz w:val="20"/>
          <w:szCs w:val="20"/>
        </w:rPr>
        <w:t>31</w:t>
      </w:r>
      <w:r w:rsidR="00585450" w:rsidRPr="007C21A7">
        <w:rPr>
          <w:rFonts w:ascii="Arial" w:hAnsi="Arial" w:cs="Arial"/>
          <w:sz w:val="20"/>
          <w:szCs w:val="20"/>
        </w:rPr>
        <w:t xml:space="preserve"> </w:t>
      </w:r>
      <w:r w:rsidRPr="007C21A7">
        <w:rPr>
          <w:rFonts w:ascii="Arial" w:hAnsi="Arial" w:cs="Arial"/>
          <w:sz w:val="20"/>
          <w:szCs w:val="20"/>
        </w:rPr>
        <w:t>August 2022</w:t>
      </w:r>
    </w:p>
    <w:p w14:paraId="34BADA09" w14:textId="77777777" w:rsidR="00A94C41" w:rsidRPr="007C21A7" w:rsidRDefault="00A94C41">
      <w:pPr>
        <w:spacing w:line="259" w:lineRule="auto"/>
        <w:rPr>
          <w:rFonts w:ascii="Arial" w:hAnsi="Arial" w:cs="Arial"/>
          <w:sz w:val="20"/>
          <w:szCs w:val="20"/>
        </w:rPr>
      </w:pPr>
      <w:r w:rsidRPr="007C21A7">
        <w:rPr>
          <w:rFonts w:ascii="Arial" w:hAnsi="Arial" w:cs="Arial"/>
          <w:sz w:val="20"/>
          <w:szCs w:val="20"/>
        </w:rPr>
        <w:br w:type="page"/>
      </w:r>
    </w:p>
    <w:p w14:paraId="7F4B5FB6" w14:textId="77777777" w:rsidR="00A94C41" w:rsidRPr="007C21A7" w:rsidRDefault="00C97513" w:rsidP="00BA1168">
      <w:pPr>
        <w:jc w:val="right"/>
        <w:rPr>
          <w:rFonts w:ascii="Arial" w:hAnsi="Arial" w:cs="Arial"/>
          <w:b/>
          <w:sz w:val="20"/>
          <w:szCs w:val="20"/>
        </w:rPr>
      </w:pPr>
      <w:r w:rsidRPr="007C21A7">
        <w:rPr>
          <w:rFonts w:ascii="Arial" w:hAnsi="Arial" w:cs="Arial"/>
          <w:b/>
          <w:sz w:val="20"/>
          <w:szCs w:val="20"/>
        </w:rPr>
        <w:lastRenderedPageBreak/>
        <w:t>Attachment A</w:t>
      </w:r>
    </w:p>
    <w:p w14:paraId="09A3BE29" w14:textId="77777777" w:rsidR="00B77EE3" w:rsidRPr="007C21A7"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7C21A7">
        <w:rPr>
          <w:rFonts w:ascii="Arial" w:eastAsia="Times New Roman" w:hAnsi="Arial" w:cs="Arial"/>
          <w:b/>
          <w:bCs/>
          <w:caps/>
          <w:color w:val="000000"/>
          <w:sz w:val="20"/>
          <w:szCs w:val="20"/>
          <w:lang w:eastAsia="en-AU"/>
        </w:rPr>
        <w:t>PROVISION-By ProvISION EXPLANATION</w:t>
      </w:r>
    </w:p>
    <w:p w14:paraId="69C2D3E1" w14:textId="77777777" w:rsidR="00B77EE3" w:rsidRPr="007C21A7"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77777777" w:rsidR="001712D5" w:rsidRPr="007C21A7" w:rsidRDefault="00333C2C"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(Liquor) Statute 2022</w:t>
      </w:r>
    </w:p>
    <w:p w14:paraId="33605FC6" w14:textId="77777777" w:rsidR="009D2A3C" w:rsidRPr="007C21A7" w:rsidRDefault="009D2A3C" w:rsidP="00BA1168">
      <w:pPr>
        <w:pStyle w:val="ListParagraph"/>
        <w:rPr>
          <w:rFonts w:ascii="Arial" w:hAnsi="Arial" w:cs="Arial"/>
          <w:sz w:val="20"/>
          <w:szCs w:val="20"/>
        </w:rPr>
      </w:pPr>
    </w:p>
    <w:p w14:paraId="1346EF25" w14:textId="77777777" w:rsidR="00086C1A"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1 – Name</w:t>
      </w:r>
    </w:p>
    <w:p w14:paraId="23512B78" w14:textId="77777777"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tha</w:t>
      </w:r>
      <w:r w:rsidR="006C396E" w:rsidRPr="007C21A7">
        <w:rPr>
          <w:rFonts w:ascii="Arial" w:hAnsi="Arial" w:cs="Arial"/>
          <w:sz w:val="20"/>
          <w:szCs w:val="20"/>
        </w:rPr>
        <w:t xml:space="preserve">t the name of the instrument is the </w:t>
      </w:r>
      <w:r w:rsidR="006C396E" w:rsidRPr="007C21A7">
        <w:rPr>
          <w:rFonts w:ascii="Arial" w:hAnsi="Arial" w:cs="Arial"/>
          <w:i/>
          <w:sz w:val="20"/>
          <w:szCs w:val="20"/>
        </w:rPr>
        <w:t>Australian National University (Liquor) Statute 2022.</w:t>
      </w:r>
    </w:p>
    <w:p w14:paraId="7BFD69F1" w14:textId="77777777" w:rsidR="009D2A3C" w:rsidRPr="007C21A7" w:rsidRDefault="009D2A3C" w:rsidP="009D2A3C">
      <w:pPr>
        <w:pStyle w:val="ListParagraph"/>
        <w:ind w:left="1080"/>
        <w:rPr>
          <w:rFonts w:ascii="Arial" w:hAnsi="Arial" w:cs="Arial"/>
          <w:sz w:val="20"/>
          <w:szCs w:val="20"/>
        </w:rPr>
      </w:pPr>
    </w:p>
    <w:p w14:paraId="43D62A1A" w14:textId="77777777" w:rsidR="00C27ED0"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2 – Commencement</w:t>
      </w:r>
    </w:p>
    <w:p w14:paraId="22DE1D20" w14:textId="77777777"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provides for the instrument </w:t>
      </w:r>
      <w:r w:rsidR="006C396E" w:rsidRPr="007C21A7">
        <w:rPr>
          <w:rFonts w:ascii="Arial" w:hAnsi="Arial" w:cs="Arial"/>
          <w:sz w:val="20"/>
          <w:szCs w:val="20"/>
        </w:rPr>
        <w:t>to commence on 01 January 2023.</w:t>
      </w:r>
    </w:p>
    <w:p w14:paraId="3E101271" w14:textId="77777777" w:rsidR="009D2A3C" w:rsidRPr="007C21A7" w:rsidRDefault="009D2A3C" w:rsidP="009D2A3C">
      <w:pPr>
        <w:pStyle w:val="ListParagraph"/>
        <w:ind w:left="1080"/>
        <w:rPr>
          <w:rFonts w:ascii="Arial" w:hAnsi="Arial" w:cs="Arial"/>
          <w:sz w:val="20"/>
          <w:szCs w:val="20"/>
        </w:rPr>
      </w:pPr>
    </w:p>
    <w:p w14:paraId="09A04D46" w14:textId="77777777"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3 – Authority</w:t>
      </w:r>
    </w:p>
    <w:p w14:paraId="3F62F017" w14:textId="77777777" w:rsidR="00B550C5" w:rsidRPr="007C21A7" w:rsidRDefault="00B550C5"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w:t>
      </w:r>
      <w:r w:rsidR="00F569C9" w:rsidRPr="007C21A7">
        <w:rPr>
          <w:rFonts w:ascii="Arial" w:hAnsi="Arial" w:cs="Arial"/>
          <w:sz w:val="20"/>
          <w:szCs w:val="20"/>
        </w:rPr>
        <w:t xml:space="preserve">at the instrument is made under the </w:t>
      </w:r>
      <w:r w:rsidR="00F569C9" w:rsidRPr="007C21A7">
        <w:rPr>
          <w:rFonts w:ascii="Arial" w:hAnsi="Arial" w:cs="Arial"/>
          <w:i/>
          <w:sz w:val="20"/>
          <w:szCs w:val="20"/>
        </w:rPr>
        <w:t xml:space="preserve">Australian national University Act 1991, section 50 (Statutes). </w:t>
      </w:r>
    </w:p>
    <w:p w14:paraId="51A17AD8" w14:textId="77777777" w:rsidR="009D2A3C" w:rsidRPr="007C21A7" w:rsidRDefault="009D2A3C" w:rsidP="009D2A3C">
      <w:pPr>
        <w:pStyle w:val="ListParagraph"/>
        <w:ind w:left="1080"/>
        <w:rPr>
          <w:rFonts w:ascii="Arial" w:hAnsi="Arial" w:cs="Arial"/>
          <w:sz w:val="20"/>
          <w:szCs w:val="20"/>
        </w:rPr>
      </w:pPr>
    </w:p>
    <w:p w14:paraId="3AF29E2A" w14:textId="77777777"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4 – Definitions</w:t>
      </w:r>
    </w:p>
    <w:p w14:paraId="113414EE" w14:textId="351D29CE" w:rsidR="00B550C5" w:rsidRPr="007C21A7" w:rsidRDefault="009345C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1E79C2" w:rsidRPr="007C21A7">
        <w:rPr>
          <w:rFonts w:ascii="Arial" w:hAnsi="Arial" w:cs="Arial"/>
          <w:sz w:val="20"/>
          <w:szCs w:val="20"/>
        </w:rPr>
        <w:t>provide</w:t>
      </w:r>
      <w:r w:rsidRPr="007C21A7">
        <w:rPr>
          <w:rFonts w:ascii="Arial" w:hAnsi="Arial" w:cs="Arial"/>
          <w:sz w:val="20"/>
          <w:szCs w:val="20"/>
        </w:rPr>
        <w:t>s</w:t>
      </w:r>
      <w:r w:rsidR="001E79C2" w:rsidRPr="007C21A7">
        <w:rPr>
          <w:rFonts w:ascii="Arial" w:hAnsi="Arial" w:cs="Arial"/>
          <w:sz w:val="20"/>
          <w:szCs w:val="20"/>
        </w:rPr>
        <w:t xml:space="preserve"> definitions for the instrument, including definitions for the following terms: </w:t>
      </w:r>
      <w:r w:rsidR="006F473F" w:rsidRPr="007C21A7">
        <w:rPr>
          <w:rFonts w:ascii="Arial" w:hAnsi="Arial" w:cs="Arial"/>
          <w:sz w:val="20"/>
          <w:szCs w:val="20"/>
        </w:rPr>
        <w:t xml:space="preserve">ACT Liquor Act, at, authorisation, authorised premises, child, existing ACT Liquor Act, holder, liquor, liquor authorisation, low-alcohol liquor, premises, sell, supply, University building, University premises and young person. </w:t>
      </w:r>
    </w:p>
    <w:p w14:paraId="1613ACE1" w14:textId="77777777" w:rsidR="00D52D83" w:rsidRPr="007C21A7" w:rsidRDefault="00D52D83" w:rsidP="00D52D83">
      <w:pPr>
        <w:pStyle w:val="ListParagraph"/>
        <w:ind w:left="1080"/>
        <w:rPr>
          <w:rFonts w:ascii="Arial" w:hAnsi="Arial" w:cs="Arial"/>
          <w:sz w:val="20"/>
          <w:szCs w:val="20"/>
        </w:rPr>
      </w:pPr>
    </w:p>
    <w:p w14:paraId="0BDBF2FB" w14:textId="77777777" w:rsidR="001E79C2" w:rsidRPr="007C21A7" w:rsidRDefault="006F473F"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An explanation is provided for</w:t>
      </w:r>
      <w:r w:rsidR="001712D5" w:rsidRPr="007C21A7">
        <w:rPr>
          <w:rFonts w:ascii="Arial" w:hAnsi="Arial" w:cs="Arial"/>
          <w:sz w:val="20"/>
          <w:szCs w:val="20"/>
        </w:rPr>
        <w:t xml:space="preserve"> </w:t>
      </w:r>
      <w:r w:rsidR="001E79C2" w:rsidRPr="007C21A7">
        <w:rPr>
          <w:rFonts w:ascii="Arial" w:hAnsi="Arial" w:cs="Arial"/>
          <w:b/>
          <w:bCs/>
          <w:sz w:val="20"/>
          <w:szCs w:val="20"/>
        </w:rPr>
        <w:t>key</w:t>
      </w:r>
      <w:r w:rsidR="001E79C2" w:rsidRPr="007C21A7">
        <w:rPr>
          <w:rFonts w:ascii="Arial" w:hAnsi="Arial" w:cs="Arial"/>
          <w:sz w:val="20"/>
          <w:szCs w:val="20"/>
        </w:rPr>
        <w:t xml:space="preserve"> definitions that a reader needs to be aware o</w:t>
      </w:r>
      <w:r w:rsidRPr="007C21A7">
        <w:rPr>
          <w:rFonts w:ascii="Arial" w:hAnsi="Arial" w:cs="Arial"/>
          <w:sz w:val="20"/>
          <w:szCs w:val="20"/>
        </w:rPr>
        <w:t>f to understand the instrument.</w:t>
      </w:r>
    </w:p>
    <w:p w14:paraId="72269E87" w14:textId="77777777" w:rsidR="006F473F" w:rsidRPr="007C21A7" w:rsidRDefault="006F473F" w:rsidP="00D52D83">
      <w:pPr>
        <w:pStyle w:val="ListParagraph"/>
        <w:ind w:left="1080"/>
        <w:rPr>
          <w:rFonts w:ascii="Arial" w:hAnsi="Arial" w:cs="Arial"/>
          <w:sz w:val="20"/>
          <w:szCs w:val="20"/>
        </w:rPr>
      </w:pPr>
    </w:p>
    <w:p w14:paraId="4E9C8479" w14:textId="77777777" w:rsidR="001E79C2" w:rsidRPr="007C21A7" w:rsidRDefault="002F04FD"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The section includes a note drawing attention to definitions in the Legislation Statute that are relevant to this instrument, including the </w:t>
      </w:r>
      <w:r w:rsidR="00B05932" w:rsidRPr="007C21A7">
        <w:rPr>
          <w:rFonts w:ascii="Arial" w:hAnsi="Arial" w:cs="Arial"/>
          <w:sz w:val="20"/>
          <w:szCs w:val="20"/>
        </w:rPr>
        <w:t>following</w:t>
      </w:r>
      <w:r w:rsidR="006F473F" w:rsidRPr="007C21A7">
        <w:rPr>
          <w:rFonts w:ascii="Arial" w:hAnsi="Arial" w:cs="Arial"/>
          <w:sz w:val="20"/>
          <w:szCs w:val="20"/>
        </w:rPr>
        <w:t xml:space="preserve">: affiliated college, breach, entity, hall of residence, order and rule. </w:t>
      </w:r>
    </w:p>
    <w:p w14:paraId="6592F14B" w14:textId="77777777" w:rsidR="0033110F" w:rsidRPr="007C21A7" w:rsidRDefault="0033110F" w:rsidP="0033110F">
      <w:pPr>
        <w:pStyle w:val="ListParagraph"/>
        <w:ind w:left="1080"/>
        <w:rPr>
          <w:rFonts w:ascii="Arial" w:hAnsi="Arial" w:cs="Arial"/>
          <w:sz w:val="20"/>
          <w:szCs w:val="20"/>
        </w:rPr>
      </w:pPr>
    </w:p>
    <w:p w14:paraId="513FB432" w14:textId="77777777" w:rsidR="00D52D83" w:rsidRPr="007C21A7" w:rsidRDefault="0033110F" w:rsidP="0033110F">
      <w:pPr>
        <w:pStyle w:val="ListParagraph"/>
        <w:numPr>
          <w:ilvl w:val="0"/>
          <w:numId w:val="10"/>
        </w:numPr>
        <w:rPr>
          <w:rFonts w:ascii="Arial" w:hAnsi="Arial" w:cs="Arial"/>
          <w:b/>
          <w:sz w:val="20"/>
          <w:szCs w:val="20"/>
        </w:rPr>
      </w:pPr>
      <w:r w:rsidRPr="007C21A7">
        <w:rPr>
          <w:rFonts w:ascii="Arial" w:hAnsi="Arial" w:cs="Arial"/>
          <w:b/>
          <w:bCs/>
          <w:sz w:val="20"/>
          <w:szCs w:val="20"/>
        </w:rPr>
        <w:t>Section 5 – Authorisation provided by liquor authorisation</w:t>
      </w:r>
    </w:p>
    <w:p w14:paraId="13F0B5DD" w14:textId="46F60B9D" w:rsidR="00D52D83" w:rsidRPr="007C21A7" w:rsidRDefault="0033110F"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w:t>
      </w:r>
      <w:r w:rsidR="00EC28C2" w:rsidRPr="007C21A7">
        <w:rPr>
          <w:rFonts w:ascii="Arial" w:hAnsi="Arial" w:cs="Arial"/>
          <w:sz w:val="20"/>
          <w:szCs w:val="20"/>
        </w:rPr>
        <w:t>he purpose of t</w:t>
      </w:r>
      <w:r w:rsidRPr="007C21A7">
        <w:rPr>
          <w:rFonts w:ascii="Arial" w:hAnsi="Arial" w:cs="Arial"/>
          <w:sz w:val="20"/>
          <w:szCs w:val="20"/>
        </w:rPr>
        <w:t xml:space="preserve">his section </w:t>
      </w:r>
      <w:r w:rsidR="00EC28C2" w:rsidRPr="007C21A7">
        <w:rPr>
          <w:rFonts w:ascii="Arial" w:hAnsi="Arial" w:cs="Arial"/>
          <w:sz w:val="20"/>
          <w:szCs w:val="20"/>
        </w:rPr>
        <w:t>is to advise that</w:t>
      </w:r>
      <w:r w:rsidR="00032907" w:rsidRPr="007C21A7">
        <w:rPr>
          <w:rFonts w:ascii="Arial" w:hAnsi="Arial" w:cs="Arial"/>
          <w:sz w:val="20"/>
          <w:szCs w:val="20"/>
        </w:rPr>
        <w:t xml:space="preserve"> an authorisation holder</w:t>
      </w:r>
      <w:r w:rsidR="00A91E7C" w:rsidRPr="007C21A7">
        <w:rPr>
          <w:rFonts w:ascii="Arial" w:hAnsi="Arial" w:cs="Arial"/>
          <w:sz w:val="20"/>
          <w:szCs w:val="20"/>
        </w:rPr>
        <w:t>,</w:t>
      </w:r>
      <w:r w:rsidR="00EC28C2" w:rsidRPr="007C21A7">
        <w:rPr>
          <w:rFonts w:ascii="Arial" w:hAnsi="Arial" w:cs="Arial"/>
          <w:sz w:val="20"/>
          <w:szCs w:val="20"/>
        </w:rPr>
        <w:t xml:space="preserve"> </w:t>
      </w:r>
      <w:r w:rsidR="00032907" w:rsidRPr="007C21A7">
        <w:rPr>
          <w:rFonts w:ascii="Arial" w:hAnsi="Arial" w:cs="Arial"/>
          <w:sz w:val="20"/>
          <w:szCs w:val="20"/>
        </w:rPr>
        <w:t>of</w:t>
      </w:r>
      <w:r w:rsidRPr="007C21A7">
        <w:rPr>
          <w:rFonts w:ascii="Arial" w:hAnsi="Arial" w:cs="Arial"/>
          <w:sz w:val="20"/>
          <w:szCs w:val="20"/>
        </w:rPr>
        <w:t xml:space="preserve"> a liquor authorisation under this instrument</w:t>
      </w:r>
      <w:r w:rsidR="00A91E7C" w:rsidRPr="007C21A7">
        <w:rPr>
          <w:rFonts w:ascii="Arial" w:hAnsi="Arial" w:cs="Arial"/>
          <w:sz w:val="20"/>
          <w:szCs w:val="20"/>
        </w:rPr>
        <w:t>,</w:t>
      </w:r>
      <w:r w:rsidRPr="007C21A7">
        <w:rPr>
          <w:rFonts w:ascii="Arial" w:hAnsi="Arial" w:cs="Arial"/>
          <w:sz w:val="20"/>
          <w:szCs w:val="20"/>
        </w:rPr>
        <w:t xml:space="preserve"> may sell liquor subject to the stated limitations</w:t>
      </w:r>
      <w:r w:rsidR="00032907" w:rsidRPr="007C21A7">
        <w:rPr>
          <w:rFonts w:ascii="Arial" w:hAnsi="Arial" w:cs="Arial"/>
          <w:sz w:val="20"/>
          <w:szCs w:val="20"/>
        </w:rPr>
        <w:t xml:space="preserve"> within</w:t>
      </w:r>
      <w:r w:rsidRPr="007C21A7">
        <w:rPr>
          <w:rFonts w:ascii="Arial" w:hAnsi="Arial" w:cs="Arial"/>
          <w:sz w:val="20"/>
          <w:szCs w:val="20"/>
        </w:rPr>
        <w:t xml:space="preserve"> the authorisation</w:t>
      </w:r>
      <w:r w:rsidR="00D337B0" w:rsidRPr="007C21A7">
        <w:rPr>
          <w:rFonts w:ascii="Arial" w:hAnsi="Arial" w:cs="Arial"/>
          <w:sz w:val="20"/>
          <w:szCs w:val="20"/>
        </w:rPr>
        <w:t xml:space="preserve"> and that this section has effect regardless of any other ACT law</w:t>
      </w:r>
      <w:r w:rsidRPr="007C21A7">
        <w:rPr>
          <w:rFonts w:ascii="Arial" w:hAnsi="Arial" w:cs="Arial"/>
          <w:sz w:val="20"/>
          <w:szCs w:val="20"/>
        </w:rPr>
        <w:t xml:space="preserve">. </w:t>
      </w:r>
    </w:p>
    <w:p w14:paraId="147D8EA5" w14:textId="77777777" w:rsidR="0033110F" w:rsidRPr="007C21A7" w:rsidRDefault="0033110F" w:rsidP="00D52D83">
      <w:pPr>
        <w:pStyle w:val="ListParagraph"/>
        <w:ind w:left="1080"/>
        <w:rPr>
          <w:rFonts w:ascii="Arial" w:hAnsi="Arial" w:cs="Arial"/>
          <w:sz w:val="20"/>
          <w:szCs w:val="20"/>
        </w:rPr>
      </w:pPr>
    </w:p>
    <w:p w14:paraId="2FD5FBA0" w14:textId="77777777" w:rsidR="0033110F" w:rsidRPr="007C21A7" w:rsidRDefault="00DB59A1" w:rsidP="00DB59A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6 – Issue of liquor authorisations etc. </w:t>
      </w:r>
    </w:p>
    <w:p w14:paraId="3F22FEFE" w14:textId="6DB1200A" w:rsidR="005F3C3B"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5F3C3B" w:rsidRPr="007C21A7">
        <w:rPr>
          <w:rFonts w:ascii="Arial" w:hAnsi="Arial" w:cs="Arial"/>
          <w:sz w:val="20"/>
          <w:szCs w:val="20"/>
        </w:rPr>
        <w:t>advise</w:t>
      </w:r>
      <w:r w:rsidRPr="007C21A7">
        <w:rPr>
          <w:rFonts w:ascii="Arial" w:hAnsi="Arial" w:cs="Arial"/>
          <w:sz w:val="20"/>
          <w:szCs w:val="20"/>
        </w:rPr>
        <w:t>s</w:t>
      </w:r>
      <w:r w:rsidR="005F3C3B" w:rsidRPr="007C21A7">
        <w:rPr>
          <w:rFonts w:ascii="Arial" w:hAnsi="Arial" w:cs="Arial"/>
          <w:sz w:val="20"/>
          <w:szCs w:val="20"/>
        </w:rPr>
        <w:t xml:space="preserve"> who may issue a liquor authorisation, how an authorisation may be issued, to whom the authorisation is issued</w:t>
      </w:r>
      <w:r w:rsidR="003246E1" w:rsidRPr="007C21A7">
        <w:rPr>
          <w:rFonts w:ascii="Arial" w:hAnsi="Arial" w:cs="Arial"/>
          <w:sz w:val="20"/>
          <w:szCs w:val="20"/>
        </w:rPr>
        <w:t xml:space="preserve"> </w:t>
      </w:r>
      <w:r w:rsidR="005F3C3B" w:rsidRPr="007C21A7">
        <w:rPr>
          <w:rFonts w:ascii="Arial" w:hAnsi="Arial" w:cs="Arial"/>
          <w:sz w:val="20"/>
          <w:szCs w:val="20"/>
        </w:rPr>
        <w:t>and noting all limitations within an authorisation to</w:t>
      </w:r>
      <w:r w:rsidR="00553B28" w:rsidRPr="007C21A7">
        <w:rPr>
          <w:rFonts w:ascii="Arial" w:hAnsi="Arial" w:cs="Arial"/>
          <w:sz w:val="20"/>
          <w:szCs w:val="20"/>
        </w:rPr>
        <w:t xml:space="preserve"> which the authorisation must be</w:t>
      </w:r>
      <w:r w:rsidR="005F3C3B" w:rsidRPr="007C21A7">
        <w:rPr>
          <w:rFonts w:ascii="Arial" w:hAnsi="Arial" w:cs="Arial"/>
          <w:sz w:val="20"/>
          <w:szCs w:val="20"/>
        </w:rPr>
        <w:t xml:space="preserve"> subject</w:t>
      </w:r>
      <w:r w:rsidR="00553B28" w:rsidRPr="007C21A7">
        <w:rPr>
          <w:rFonts w:ascii="Arial" w:hAnsi="Arial" w:cs="Arial"/>
          <w:sz w:val="20"/>
          <w:szCs w:val="20"/>
        </w:rPr>
        <w:t xml:space="preserve"> and </w:t>
      </w:r>
      <w:r w:rsidR="00C25301" w:rsidRPr="007C21A7">
        <w:rPr>
          <w:rFonts w:ascii="Arial" w:hAnsi="Arial" w:cs="Arial"/>
          <w:sz w:val="20"/>
          <w:szCs w:val="20"/>
        </w:rPr>
        <w:t>provides the ability to incorporate</w:t>
      </w:r>
      <w:r w:rsidR="00553B28" w:rsidRPr="007C21A7">
        <w:rPr>
          <w:rFonts w:ascii="Arial" w:hAnsi="Arial" w:cs="Arial"/>
          <w:sz w:val="20"/>
          <w:szCs w:val="20"/>
        </w:rPr>
        <w:t xml:space="preserve"> additional limitations which may be included from time to time</w:t>
      </w:r>
      <w:r w:rsidR="005F3C3B" w:rsidRPr="007C21A7">
        <w:rPr>
          <w:rFonts w:ascii="Arial" w:hAnsi="Arial" w:cs="Arial"/>
          <w:sz w:val="20"/>
          <w:szCs w:val="20"/>
        </w:rPr>
        <w:t xml:space="preserve">. </w:t>
      </w:r>
    </w:p>
    <w:p w14:paraId="3C9D3642" w14:textId="77777777" w:rsidR="005F3C3B" w:rsidRPr="007C21A7" w:rsidRDefault="005F3C3B" w:rsidP="005F3C3B">
      <w:pPr>
        <w:pStyle w:val="ListParagraph"/>
        <w:ind w:left="1080"/>
        <w:rPr>
          <w:rFonts w:ascii="Arial" w:hAnsi="Arial" w:cs="Arial"/>
          <w:sz w:val="20"/>
          <w:szCs w:val="20"/>
        </w:rPr>
      </w:pPr>
    </w:p>
    <w:p w14:paraId="76374F99" w14:textId="77777777" w:rsidR="00DB59A1" w:rsidRPr="007C21A7" w:rsidRDefault="00DE7C5C" w:rsidP="00DE7C5C">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7 </w:t>
      </w:r>
      <w:r w:rsidR="002A1167" w:rsidRPr="007C21A7">
        <w:rPr>
          <w:rFonts w:ascii="Arial" w:hAnsi="Arial" w:cs="Arial"/>
          <w:b/>
          <w:sz w:val="20"/>
          <w:szCs w:val="20"/>
        </w:rPr>
        <w:t>–</w:t>
      </w:r>
      <w:r w:rsidRPr="007C21A7">
        <w:rPr>
          <w:rFonts w:ascii="Arial" w:hAnsi="Arial" w:cs="Arial"/>
          <w:b/>
          <w:sz w:val="20"/>
          <w:szCs w:val="20"/>
        </w:rPr>
        <w:t xml:space="preserve"> </w:t>
      </w:r>
      <w:r w:rsidR="002A1167" w:rsidRPr="007C21A7">
        <w:rPr>
          <w:rFonts w:ascii="Arial" w:hAnsi="Arial" w:cs="Arial"/>
          <w:b/>
          <w:sz w:val="20"/>
          <w:szCs w:val="20"/>
        </w:rPr>
        <w:t>Replacement of lost etc. liquor authorisations</w:t>
      </w:r>
    </w:p>
    <w:p w14:paraId="42F5A7AE" w14:textId="58932238" w:rsidR="002A1167"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D33208" w:rsidRPr="007C21A7">
        <w:rPr>
          <w:rFonts w:ascii="Arial" w:hAnsi="Arial" w:cs="Arial"/>
          <w:sz w:val="20"/>
          <w:szCs w:val="20"/>
        </w:rPr>
        <w:t>provide</w:t>
      </w:r>
      <w:r w:rsidRPr="007C21A7">
        <w:rPr>
          <w:rFonts w:ascii="Arial" w:hAnsi="Arial" w:cs="Arial"/>
          <w:sz w:val="20"/>
          <w:szCs w:val="20"/>
        </w:rPr>
        <w:t>s</w:t>
      </w:r>
      <w:r w:rsidR="00D33208" w:rsidRPr="007C21A7">
        <w:rPr>
          <w:rFonts w:ascii="Arial" w:hAnsi="Arial" w:cs="Arial"/>
          <w:sz w:val="20"/>
          <w:szCs w:val="20"/>
        </w:rPr>
        <w:t xml:space="preserve"> guidance on how to apply for a lost, stolen, destroyed or damaged authorisation and when an authorisation must be returned if a replacement authorisation is required. </w:t>
      </w:r>
    </w:p>
    <w:p w14:paraId="652E84DE" w14:textId="77777777" w:rsidR="007E60C0" w:rsidRPr="007C21A7" w:rsidRDefault="007E60C0" w:rsidP="002A1167">
      <w:pPr>
        <w:pStyle w:val="ListParagraph"/>
        <w:rPr>
          <w:rFonts w:ascii="Arial" w:hAnsi="Arial" w:cs="Arial"/>
          <w:sz w:val="20"/>
          <w:szCs w:val="20"/>
        </w:rPr>
      </w:pPr>
    </w:p>
    <w:p w14:paraId="44AC1D81" w14:textId="77777777" w:rsidR="00BB79F4" w:rsidRPr="007C21A7" w:rsidRDefault="007E60C0" w:rsidP="007E60C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8 </w:t>
      </w:r>
      <w:r w:rsidR="00BB79F4" w:rsidRPr="007C21A7">
        <w:rPr>
          <w:rFonts w:ascii="Arial" w:hAnsi="Arial" w:cs="Arial"/>
          <w:b/>
          <w:sz w:val="20"/>
          <w:szCs w:val="20"/>
        </w:rPr>
        <w:t>–</w:t>
      </w:r>
      <w:r w:rsidRPr="007C21A7">
        <w:rPr>
          <w:rFonts w:ascii="Arial" w:hAnsi="Arial" w:cs="Arial"/>
          <w:b/>
          <w:sz w:val="20"/>
          <w:szCs w:val="20"/>
        </w:rPr>
        <w:t xml:space="preserve"> </w:t>
      </w:r>
      <w:r w:rsidR="00BB79F4" w:rsidRPr="007C21A7">
        <w:rPr>
          <w:rFonts w:ascii="Arial" w:hAnsi="Arial" w:cs="Arial"/>
          <w:b/>
          <w:sz w:val="20"/>
          <w:szCs w:val="20"/>
        </w:rPr>
        <w:t xml:space="preserve">Surrender of liquor authorisations </w:t>
      </w:r>
    </w:p>
    <w:p w14:paraId="19F4A413" w14:textId="231AAF30" w:rsidR="00BB79F4"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w:t>
      </w:r>
      <w:r w:rsidR="009D1E92" w:rsidRPr="007C21A7">
        <w:rPr>
          <w:rFonts w:ascii="Arial" w:hAnsi="Arial" w:cs="Arial"/>
          <w:sz w:val="20"/>
          <w:szCs w:val="20"/>
        </w:rPr>
        <w:t xml:space="preserve"> advise</w:t>
      </w:r>
      <w:r w:rsidRPr="007C21A7">
        <w:rPr>
          <w:rFonts w:ascii="Arial" w:hAnsi="Arial" w:cs="Arial"/>
          <w:sz w:val="20"/>
          <w:szCs w:val="20"/>
        </w:rPr>
        <w:t>s</w:t>
      </w:r>
      <w:r w:rsidR="009D1E92" w:rsidRPr="007C21A7">
        <w:rPr>
          <w:rFonts w:ascii="Arial" w:hAnsi="Arial" w:cs="Arial"/>
          <w:sz w:val="20"/>
          <w:szCs w:val="20"/>
        </w:rPr>
        <w:t xml:space="preserve"> how to surrender an existing authorisation and to whom.</w:t>
      </w:r>
    </w:p>
    <w:p w14:paraId="594727F2" w14:textId="77777777" w:rsidR="009D1E92" w:rsidRPr="007C21A7" w:rsidRDefault="009D1E92" w:rsidP="009D1E92">
      <w:pPr>
        <w:pStyle w:val="ListParagraph"/>
        <w:ind w:left="1080"/>
        <w:rPr>
          <w:rFonts w:ascii="Arial" w:hAnsi="Arial" w:cs="Arial"/>
          <w:sz w:val="20"/>
          <w:szCs w:val="20"/>
        </w:rPr>
      </w:pPr>
    </w:p>
    <w:p w14:paraId="19D44DDA" w14:textId="77777777" w:rsidR="00DB59A1" w:rsidRPr="007C21A7" w:rsidRDefault="009D1E92" w:rsidP="009D1E92">
      <w:pPr>
        <w:pStyle w:val="ListParagraph"/>
        <w:numPr>
          <w:ilvl w:val="0"/>
          <w:numId w:val="10"/>
        </w:numPr>
        <w:rPr>
          <w:rFonts w:ascii="Arial" w:hAnsi="Arial" w:cs="Arial"/>
          <w:b/>
          <w:sz w:val="20"/>
          <w:szCs w:val="20"/>
        </w:rPr>
      </w:pPr>
      <w:r w:rsidRPr="007C21A7">
        <w:rPr>
          <w:rFonts w:ascii="Arial" w:hAnsi="Arial" w:cs="Arial"/>
          <w:b/>
          <w:sz w:val="20"/>
          <w:szCs w:val="20"/>
        </w:rPr>
        <w:t>Section 9 – Revocation of liquor authorisations</w:t>
      </w:r>
    </w:p>
    <w:p w14:paraId="00BB5CFF" w14:textId="24DF3ADE" w:rsidR="00EF2E4B"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w:t>
      </w:r>
      <w:r w:rsidR="009D1E92" w:rsidRPr="007C21A7">
        <w:rPr>
          <w:rFonts w:ascii="Arial" w:hAnsi="Arial" w:cs="Arial"/>
          <w:sz w:val="20"/>
          <w:szCs w:val="20"/>
        </w:rPr>
        <w:t xml:space="preserve"> advise</w:t>
      </w:r>
      <w:r w:rsidRPr="007C21A7">
        <w:rPr>
          <w:rFonts w:ascii="Arial" w:hAnsi="Arial" w:cs="Arial"/>
          <w:sz w:val="20"/>
          <w:szCs w:val="20"/>
        </w:rPr>
        <w:t>s</w:t>
      </w:r>
      <w:r w:rsidR="009D1E92" w:rsidRPr="007C21A7">
        <w:rPr>
          <w:rFonts w:ascii="Arial" w:hAnsi="Arial" w:cs="Arial"/>
          <w:sz w:val="20"/>
          <w:szCs w:val="20"/>
        </w:rPr>
        <w:t xml:space="preserve"> how</w:t>
      </w:r>
      <w:r w:rsidR="00A61A08" w:rsidRPr="007C21A7">
        <w:rPr>
          <w:rFonts w:ascii="Arial" w:hAnsi="Arial" w:cs="Arial"/>
          <w:sz w:val="20"/>
          <w:szCs w:val="20"/>
        </w:rPr>
        <w:t xml:space="preserve"> and why</w:t>
      </w:r>
      <w:r w:rsidR="009D1E92" w:rsidRPr="007C21A7">
        <w:rPr>
          <w:rFonts w:ascii="Arial" w:hAnsi="Arial" w:cs="Arial"/>
          <w:sz w:val="20"/>
          <w:szCs w:val="20"/>
        </w:rPr>
        <w:t xml:space="preserve"> an authorisation can be revoked and </w:t>
      </w:r>
      <w:r w:rsidR="00A61A08" w:rsidRPr="007C21A7">
        <w:rPr>
          <w:rFonts w:ascii="Arial" w:hAnsi="Arial" w:cs="Arial"/>
          <w:sz w:val="20"/>
          <w:szCs w:val="20"/>
        </w:rPr>
        <w:t>by whom</w:t>
      </w:r>
      <w:r w:rsidR="009D1E92" w:rsidRPr="007C21A7">
        <w:rPr>
          <w:rFonts w:ascii="Arial" w:hAnsi="Arial" w:cs="Arial"/>
          <w:sz w:val="20"/>
          <w:szCs w:val="20"/>
        </w:rPr>
        <w:t xml:space="preserve">. </w:t>
      </w:r>
    </w:p>
    <w:p w14:paraId="2EEB49FA" w14:textId="77777777" w:rsidR="00EF2E4B" w:rsidRPr="007C21A7" w:rsidRDefault="00EF2E4B" w:rsidP="00EF2E4B">
      <w:pPr>
        <w:pStyle w:val="ListParagraph"/>
        <w:rPr>
          <w:rFonts w:ascii="Arial" w:hAnsi="Arial" w:cs="Arial"/>
          <w:sz w:val="20"/>
          <w:szCs w:val="20"/>
        </w:rPr>
      </w:pPr>
    </w:p>
    <w:p w14:paraId="1381BD29" w14:textId="77777777" w:rsidR="00EF2E4B" w:rsidRPr="007C21A7" w:rsidRDefault="00EF2E4B" w:rsidP="00EF2E4B">
      <w:pPr>
        <w:pStyle w:val="ListParagraph"/>
        <w:numPr>
          <w:ilvl w:val="0"/>
          <w:numId w:val="10"/>
        </w:numPr>
        <w:rPr>
          <w:rFonts w:ascii="Arial" w:hAnsi="Arial" w:cs="Arial"/>
          <w:b/>
          <w:sz w:val="20"/>
          <w:szCs w:val="20"/>
        </w:rPr>
      </w:pPr>
      <w:r w:rsidRPr="007C21A7">
        <w:rPr>
          <w:rFonts w:ascii="Arial" w:hAnsi="Arial" w:cs="Arial"/>
          <w:b/>
          <w:sz w:val="20"/>
          <w:szCs w:val="20"/>
        </w:rPr>
        <w:t>Section 10 – University policies and procedures</w:t>
      </w:r>
    </w:p>
    <w:p w14:paraId="73429BDB" w14:textId="19B55558" w:rsidR="00EF2E4B" w:rsidRPr="007C21A7" w:rsidRDefault="00EF2E4B"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w:t>
      </w:r>
      <w:r w:rsidR="00C1453C" w:rsidRPr="007C21A7">
        <w:rPr>
          <w:rFonts w:ascii="Arial" w:hAnsi="Arial" w:cs="Arial"/>
          <w:sz w:val="20"/>
          <w:szCs w:val="20"/>
        </w:rPr>
        <w:t>his section</w:t>
      </w:r>
      <w:r w:rsidR="00060B66" w:rsidRPr="007C21A7">
        <w:rPr>
          <w:rFonts w:ascii="Arial" w:hAnsi="Arial" w:cs="Arial"/>
          <w:sz w:val="20"/>
          <w:szCs w:val="20"/>
        </w:rPr>
        <w:t xml:space="preserve"> specifies</w:t>
      </w:r>
      <w:r w:rsidRPr="007C21A7">
        <w:rPr>
          <w:rFonts w:ascii="Arial" w:hAnsi="Arial" w:cs="Arial"/>
          <w:sz w:val="20"/>
          <w:szCs w:val="20"/>
        </w:rPr>
        <w:t xml:space="preserve"> that functions administered under this instrument must act in accordance with University polic</w:t>
      </w:r>
      <w:r w:rsidR="00060B66" w:rsidRPr="007C21A7">
        <w:rPr>
          <w:rFonts w:ascii="Arial" w:hAnsi="Arial" w:cs="Arial"/>
          <w:sz w:val="20"/>
          <w:szCs w:val="20"/>
        </w:rPr>
        <w:t>ies and procedures in addition</w:t>
      </w:r>
      <w:r w:rsidRPr="007C21A7">
        <w:rPr>
          <w:rFonts w:ascii="Arial" w:hAnsi="Arial" w:cs="Arial"/>
          <w:sz w:val="20"/>
          <w:szCs w:val="20"/>
        </w:rPr>
        <w:t xml:space="preserve"> to the Governance Statute, section 56.</w:t>
      </w:r>
    </w:p>
    <w:p w14:paraId="5C97D65A" w14:textId="77777777" w:rsidR="00060B66" w:rsidRPr="007C21A7" w:rsidRDefault="00060B66" w:rsidP="00060B66">
      <w:pPr>
        <w:pStyle w:val="ListParagraph"/>
        <w:ind w:left="1080"/>
        <w:rPr>
          <w:rFonts w:ascii="Arial" w:hAnsi="Arial" w:cs="Arial"/>
          <w:sz w:val="20"/>
          <w:szCs w:val="20"/>
        </w:rPr>
      </w:pPr>
    </w:p>
    <w:p w14:paraId="20F99B9F" w14:textId="435A08B2" w:rsidR="00060B66" w:rsidRPr="007C21A7" w:rsidRDefault="00060B6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lastRenderedPageBreak/>
        <w:t>Additionally, this section provides reference to the various policies and procedures that support the operation of the instrument.</w:t>
      </w:r>
    </w:p>
    <w:p w14:paraId="5D620D77" w14:textId="77777777" w:rsidR="001F45EA" w:rsidRPr="007C21A7" w:rsidRDefault="001F45EA" w:rsidP="001F45EA">
      <w:pPr>
        <w:pStyle w:val="ListParagraph"/>
        <w:ind w:left="1080"/>
        <w:rPr>
          <w:rFonts w:ascii="Arial" w:hAnsi="Arial" w:cs="Arial"/>
          <w:sz w:val="20"/>
          <w:szCs w:val="20"/>
        </w:rPr>
      </w:pPr>
    </w:p>
    <w:p w14:paraId="15AB7BDA" w14:textId="77777777" w:rsidR="001F45EA" w:rsidRPr="007C21A7" w:rsidRDefault="001F45EA" w:rsidP="001F45EA">
      <w:pPr>
        <w:pStyle w:val="ListParagraph"/>
        <w:numPr>
          <w:ilvl w:val="0"/>
          <w:numId w:val="10"/>
        </w:numPr>
        <w:rPr>
          <w:rFonts w:ascii="Arial" w:hAnsi="Arial" w:cs="Arial"/>
          <w:b/>
          <w:sz w:val="20"/>
          <w:szCs w:val="20"/>
        </w:rPr>
      </w:pPr>
      <w:r w:rsidRPr="007C21A7">
        <w:rPr>
          <w:rFonts w:ascii="Arial" w:hAnsi="Arial" w:cs="Arial"/>
          <w:b/>
          <w:sz w:val="20"/>
          <w:szCs w:val="20"/>
        </w:rPr>
        <w:t>Section 11 – Children and young people at authorised premises</w:t>
      </w:r>
    </w:p>
    <w:p w14:paraId="6EBB2A11" w14:textId="513DE3D8" w:rsidR="001F45EA"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w:t>
      </w:r>
      <w:r w:rsidR="00467BE6" w:rsidRPr="007C21A7">
        <w:rPr>
          <w:rFonts w:ascii="Arial" w:hAnsi="Arial" w:cs="Arial"/>
          <w:sz w:val="20"/>
          <w:szCs w:val="20"/>
        </w:rPr>
        <w:t xml:space="preserve"> </w:t>
      </w:r>
      <w:r w:rsidRPr="007C21A7">
        <w:rPr>
          <w:rFonts w:ascii="Arial" w:hAnsi="Arial" w:cs="Arial"/>
          <w:sz w:val="20"/>
          <w:szCs w:val="20"/>
        </w:rPr>
        <w:t xml:space="preserve">section </w:t>
      </w:r>
      <w:r w:rsidR="00060B66" w:rsidRPr="007C21A7">
        <w:rPr>
          <w:rFonts w:ascii="Arial" w:hAnsi="Arial" w:cs="Arial"/>
          <w:sz w:val="20"/>
          <w:szCs w:val="20"/>
        </w:rPr>
        <w:t>specifies</w:t>
      </w:r>
      <w:r w:rsidR="00467BE6" w:rsidRPr="007C21A7">
        <w:rPr>
          <w:rFonts w:ascii="Arial" w:hAnsi="Arial" w:cs="Arial"/>
          <w:sz w:val="20"/>
          <w:szCs w:val="20"/>
        </w:rPr>
        <w:t xml:space="preserve"> that a person must not sell liquor or low-alcohol liquor to children and young people at an authorised premises.</w:t>
      </w:r>
    </w:p>
    <w:p w14:paraId="1D49C025" w14:textId="77777777" w:rsidR="00467BE6" w:rsidRPr="007C21A7" w:rsidRDefault="00467BE6" w:rsidP="00467BE6">
      <w:pPr>
        <w:pStyle w:val="ListParagraph"/>
        <w:ind w:left="1080"/>
        <w:rPr>
          <w:rFonts w:ascii="Arial" w:hAnsi="Arial" w:cs="Arial"/>
          <w:sz w:val="20"/>
          <w:szCs w:val="20"/>
        </w:rPr>
      </w:pPr>
    </w:p>
    <w:p w14:paraId="315D098F" w14:textId="637794F2" w:rsidR="00467BE6" w:rsidRPr="007C21A7" w:rsidRDefault="00060B6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w:t>
      </w:r>
      <w:r w:rsidR="00467BE6" w:rsidRPr="007C21A7">
        <w:rPr>
          <w:rFonts w:ascii="Arial" w:hAnsi="Arial" w:cs="Arial"/>
          <w:sz w:val="20"/>
          <w:szCs w:val="20"/>
        </w:rPr>
        <w:t xml:space="preserve"> </w:t>
      </w:r>
      <w:r w:rsidRPr="007C21A7">
        <w:rPr>
          <w:rFonts w:ascii="Arial" w:hAnsi="Arial" w:cs="Arial"/>
          <w:sz w:val="20"/>
          <w:szCs w:val="20"/>
        </w:rPr>
        <w:t>specifies</w:t>
      </w:r>
      <w:r w:rsidR="00467BE6" w:rsidRPr="007C21A7">
        <w:rPr>
          <w:rFonts w:ascii="Arial" w:hAnsi="Arial" w:cs="Arial"/>
          <w:sz w:val="20"/>
          <w:szCs w:val="20"/>
        </w:rPr>
        <w:t xml:space="preserve"> that children and young people must not consume or possess liquor or low-alcohol liquor at an authorised premises.</w:t>
      </w:r>
    </w:p>
    <w:p w14:paraId="59447CAD" w14:textId="77777777" w:rsidR="00467BE6" w:rsidRPr="007C21A7" w:rsidRDefault="00467BE6" w:rsidP="00467BE6">
      <w:pPr>
        <w:pStyle w:val="ListParagraph"/>
        <w:rPr>
          <w:rFonts w:ascii="Arial" w:hAnsi="Arial" w:cs="Arial"/>
          <w:sz w:val="20"/>
          <w:szCs w:val="20"/>
        </w:rPr>
      </w:pPr>
    </w:p>
    <w:p w14:paraId="336FEEDC" w14:textId="3C3CDB9D" w:rsidR="00467BE6" w:rsidRPr="007C21A7" w:rsidRDefault="00467BE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The purpose</w:t>
      </w:r>
      <w:r w:rsidR="00060B66" w:rsidRPr="007C21A7">
        <w:rPr>
          <w:rFonts w:ascii="Arial" w:hAnsi="Arial" w:cs="Arial"/>
          <w:sz w:val="20"/>
          <w:szCs w:val="20"/>
        </w:rPr>
        <w:t xml:space="preserve"> of subsection (3) is to specify</w:t>
      </w:r>
      <w:r w:rsidRPr="007C21A7">
        <w:rPr>
          <w:rFonts w:ascii="Arial" w:hAnsi="Arial" w:cs="Arial"/>
          <w:sz w:val="20"/>
          <w:szCs w:val="20"/>
        </w:rPr>
        <w:t xml:space="preserve"> when a child or young person </w:t>
      </w:r>
      <w:r w:rsidRPr="007C21A7">
        <w:rPr>
          <w:rFonts w:ascii="Arial" w:hAnsi="Arial" w:cs="Arial"/>
          <w:b/>
          <w:sz w:val="20"/>
          <w:szCs w:val="20"/>
        </w:rPr>
        <w:t>is</w:t>
      </w:r>
      <w:r w:rsidRPr="007C21A7">
        <w:rPr>
          <w:rFonts w:ascii="Arial" w:hAnsi="Arial" w:cs="Arial"/>
          <w:sz w:val="20"/>
          <w:szCs w:val="20"/>
        </w:rPr>
        <w:t xml:space="preserve"> legally permitted possess liquor or low-alcohol liquor for employment or training purposes. </w:t>
      </w:r>
    </w:p>
    <w:p w14:paraId="682B4AFB" w14:textId="77777777" w:rsidR="00EF2E4B" w:rsidRPr="007C21A7" w:rsidRDefault="00EF2E4B" w:rsidP="00EF2E4B">
      <w:pPr>
        <w:pStyle w:val="ListParagraph"/>
        <w:rPr>
          <w:rFonts w:ascii="Arial" w:hAnsi="Arial" w:cs="Arial"/>
          <w:sz w:val="20"/>
          <w:szCs w:val="20"/>
        </w:rPr>
      </w:pPr>
    </w:p>
    <w:p w14:paraId="5FE86FF3" w14:textId="77777777" w:rsidR="00CF7C6D" w:rsidRPr="007C21A7" w:rsidRDefault="00467BE6" w:rsidP="00467BE6">
      <w:pPr>
        <w:pStyle w:val="ListParagraph"/>
        <w:numPr>
          <w:ilvl w:val="0"/>
          <w:numId w:val="10"/>
        </w:numPr>
        <w:rPr>
          <w:rFonts w:ascii="Arial" w:hAnsi="Arial" w:cs="Arial"/>
          <w:b/>
          <w:sz w:val="20"/>
          <w:szCs w:val="20"/>
        </w:rPr>
      </w:pPr>
      <w:r w:rsidRPr="007C21A7">
        <w:rPr>
          <w:rFonts w:ascii="Arial" w:hAnsi="Arial" w:cs="Arial"/>
          <w:b/>
          <w:sz w:val="20"/>
          <w:szCs w:val="20"/>
        </w:rPr>
        <w:t>Section 12 – Rules and orders about liquor</w:t>
      </w:r>
    </w:p>
    <w:p w14:paraId="0BCED7DB" w14:textId="193BB325" w:rsidR="00060B66" w:rsidRPr="007C21A7" w:rsidRDefault="00060B6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specifies the</w:t>
      </w:r>
      <w:r w:rsidR="00675ED0" w:rsidRPr="007C21A7">
        <w:rPr>
          <w:rFonts w:ascii="Arial" w:hAnsi="Arial" w:cs="Arial"/>
          <w:sz w:val="20"/>
          <w:szCs w:val="20"/>
        </w:rPr>
        <w:t xml:space="preserve"> general power</w:t>
      </w:r>
      <w:r w:rsidRPr="007C21A7">
        <w:rPr>
          <w:rFonts w:ascii="Arial" w:hAnsi="Arial" w:cs="Arial"/>
          <w:sz w:val="20"/>
          <w:szCs w:val="20"/>
        </w:rPr>
        <w:t>s</w:t>
      </w:r>
      <w:r w:rsidR="00675ED0" w:rsidRPr="007C21A7">
        <w:rPr>
          <w:rFonts w:ascii="Arial" w:hAnsi="Arial" w:cs="Arial"/>
          <w:sz w:val="20"/>
          <w:szCs w:val="20"/>
        </w:rPr>
        <w:t xml:space="preserve"> to prescribe rules and orders within the instrument</w:t>
      </w:r>
      <w:r w:rsidRPr="007C21A7">
        <w:rPr>
          <w:rFonts w:ascii="Arial" w:hAnsi="Arial" w:cs="Arial"/>
          <w:sz w:val="20"/>
          <w:szCs w:val="20"/>
        </w:rPr>
        <w:t xml:space="preserve">, as per section 68(1) of the Governance Statute. </w:t>
      </w:r>
    </w:p>
    <w:p w14:paraId="225449F7" w14:textId="77777777" w:rsidR="00060B66" w:rsidRPr="007C21A7" w:rsidRDefault="00060B66" w:rsidP="00060B66">
      <w:pPr>
        <w:pStyle w:val="ListParagraph"/>
        <w:ind w:left="1080"/>
        <w:rPr>
          <w:rFonts w:ascii="Arial" w:hAnsi="Arial" w:cs="Arial"/>
          <w:sz w:val="20"/>
          <w:szCs w:val="20"/>
        </w:rPr>
      </w:pPr>
    </w:p>
    <w:p w14:paraId="731BA546" w14:textId="1B3643AC" w:rsidR="00467BE6" w:rsidRPr="007C21A7" w:rsidRDefault="00060B6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These powers include the sale, purchase, supply, possession, or consumption of liquor on University premises and matters specified within the ACT Liquor Act.</w:t>
      </w:r>
    </w:p>
    <w:p w14:paraId="06A07322" w14:textId="77777777" w:rsidR="00675ED0" w:rsidRPr="007C21A7" w:rsidRDefault="00675ED0" w:rsidP="00675ED0">
      <w:pPr>
        <w:pStyle w:val="ListParagraph"/>
        <w:ind w:left="1080"/>
        <w:rPr>
          <w:rFonts w:ascii="Arial" w:hAnsi="Arial" w:cs="Arial"/>
          <w:sz w:val="20"/>
          <w:szCs w:val="20"/>
        </w:rPr>
      </w:pPr>
    </w:p>
    <w:p w14:paraId="546D86D6" w14:textId="77777777" w:rsidR="00675ED0" w:rsidRPr="007C21A7" w:rsidRDefault="001B6723" w:rsidP="00675ED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13 </w:t>
      </w:r>
      <w:r w:rsidR="00B176C4" w:rsidRPr="007C21A7">
        <w:rPr>
          <w:rFonts w:ascii="Arial" w:hAnsi="Arial" w:cs="Arial"/>
          <w:b/>
          <w:sz w:val="20"/>
          <w:szCs w:val="20"/>
        </w:rPr>
        <w:t>–</w:t>
      </w:r>
      <w:r w:rsidRPr="007C21A7">
        <w:rPr>
          <w:rFonts w:ascii="Arial" w:hAnsi="Arial" w:cs="Arial"/>
          <w:b/>
          <w:sz w:val="20"/>
          <w:szCs w:val="20"/>
        </w:rPr>
        <w:t xml:space="preserve"> </w:t>
      </w:r>
      <w:r w:rsidR="00B176C4" w:rsidRPr="007C21A7">
        <w:rPr>
          <w:rFonts w:ascii="Arial" w:hAnsi="Arial" w:cs="Arial"/>
          <w:b/>
          <w:sz w:val="20"/>
          <w:szCs w:val="20"/>
        </w:rPr>
        <w:t>Service of Notices</w:t>
      </w:r>
    </w:p>
    <w:p w14:paraId="08DAB562" w14:textId="4B1DB87F" w:rsidR="00B176C4" w:rsidRPr="007C21A7" w:rsidRDefault="00060B6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specifies</w:t>
      </w:r>
      <w:r w:rsidR="00B176C4" w:rsidRPr="007C21A7">
        <w:rPr>
          <w:rFonts w:ascii="Arial" w:hAnsi="Arial" w:cs="Arial"/>
          <w:sz w:val="20"/>
          <w:szCs w:val="20"/>
        </w:rPr>
        <w:t xml:space="preserve"> how a not</w:t>
      </w:r>
      <w:r w:rsidR="003F7934" w:rsidRPr="007C21A7">
        <w:rPr>
          <w:rFonts w:ascii="Arial" w:hAnsi="Arial" w:cs="Arial"/>
          <w:sz w:val="20"/>
          <w:szCs w:val="20"/>
        </w:rPr>
        <w:t>ice or document can be served on</w:t>
      </w:r>
      <w:r w:rsidR="00B176C4" w:rsidRPr="007C21A7">
        <w:rPr>
          <w:rFonts w:ascii="Arial" w:hAnsi="Arial" w:cs="Arial"/>
          <w:sz w:val="20"/>
          <w:szCs w:val="20"/>
        </w:rPr>
        <w:t xml:space="preserve"> an entity under this instrument. </w:t>
      </w:r>
    </w:p>
    <w:p w14:paraId="496D2AD2" w14:textId="77777777" w:rsidR="005B4BCE" w:rsidRPr="007C21A7" w:rsidRDefault="005B4BCE" w:rsidP="005B4BCE">
      <w:pPr>
        <w:pStyle w:val="ListParagraph"/>
        <w:ind w:left="1080"/>
        <w:rPr>
          <w:rFonts w:ascii="Arial" w:hAnsi="Arial" w:cs="Arial"/>
          <w:sz w:val="20"/>
          <w:szCs w:val="20"/>
        </w:rPr>
      </w:pPr>
    </w:p>
    <w:p w14:paraId="7C10994B" w14:textId="77777777" w:rsidR="00B176C4" w:rsidRPr="007C21A7" w:rsidRDefault="005B4BCE" w:rsidP="00B176C4">
      <w:pPr>
        <w:pStyle w:val="ListParagraph"/>
        <w:numPr>
          <w:ilvl w:val="0"/>
          <w:numId w:val="10"/>
        </w:numPr>
        <w:rPr>
          <w:rFonts w:ascii="Arial" w:hAnsi="Arial" w:cs="Arial"/>
          <w:b/>
          <w:sz w:val="20"/>
          <w:szCs w:val="20"/>
        </w:rPr>
      </w:pPr>
      <w:r w:rsidRPr="007C21A7">
        <w:rPr>
          <w:rFonts w:ascii="Arial" w:hAnsi="Arial" w:cs="Arial"/>
          <w:b/>
          <w:sz w:val="20"/>
          <w:szCs w:val="20"/>
        </w:rPr>
        <w:t>Section 14 – Repeal</w:t>
      </w:r>
    </w:p>
    <w:p w14:paraId="23D5DEBD" w14:textId="04B0504F" w:rsidR="005B4BCE" w:rsidRPr="007C21A7" w:rsidRDefault="00060B66"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5B4BCE" w:rsidRPr="007C21A7">
        <w:rPr>
          <w:rFonts w:ascii="Arial" w:hAnsi="Arial" w:cs="Arial"/>
          <w:sz w:val="20"/>
          <w:szCs w:val="20"/>
        </w:rPr>
        <w:t>repeal</w:t>
      </w:r>
      <w:r w:rsidRPr="007C21A7">
        <w:rPr>
          <w:rFonts w:ascii="Arial" w:hAnsi="Arial" w:cs="Arial"/>
          <w:sz w:val="20"/>
          <w:szCs w:val="20"/>
        </w:rPr>
        <w:t>s</w:t>
      </w:r>
      <w:r w:rsidR="005B4BCE" w:rsidRPr="007C21A7">
        <w:rPr>
          <w:rFonts w:ascii="Arial" w:hAnsi="Arial" w:cs="Arial"/>
          <w:sz w:val="20"/>
          <w:szCs w:val="20"/>
        </w:rPr>
        <w:t xml:space="preserve"> the previous instrument</w:t>
      </w:r>
      <w:r w:rsidR="00D64531" w:rsidRPr="007C21A7">
        <w:rPr>
          <w:rFonts w:ascii="Arial" w:hAnsi="Arial" w:cs="Arial"/>
          <w:sz w:val="20"/>
          <w:szCs w:val="20"/>
        </w:rPr>
        <w:t xml:space="preserve">, specifically the </w:t>
      </w:r>
      <w:r w:rsidR="00D64531" w:rsidRPr="007C21A7">
        <w:rPr>
          <w:rFonts w:ascii="Arial" w:hAnsi="Arial" w:cs="Arial"/>
          <w:i/>
          <w:sz w:val="20"/>
          <w:szCs w:val="20"/>
        </w:rPr>
        <w:t>Liquor Statute 2015</w:t>
      </w:r>
      <w:r w:rsidR="005B4BCE" w:rsidRPr="007C21A7">
        <w:rPr>
          <w:rFonts w:ascii="Arial" w:hAnsi="Arial" w:cs="Arial"/>
          <w:sz w:val="20"/>
          <w:szCs w:val="20"/>
        </w:rPr>
        <w:t xml:space="preserve">. </w:t>
      </w:r>
    </w:p>
    <w:p w14:paraId="5ECEC250" w14:textId="77777777" w:rsidR="005B4BCE" w:rsidRPr="007C21A7" w:rsidRDefault="005B4BCE" w:rsidP="005B4BCE">
      <w:pPr>
        <w:pStyle w:val="ListParagraph"/>
        <w:ind w:left="1080"/>
        <w:rPr>
          <w:rFonts w:ascii="Arial" w:hAnsi="Arial" w:cs="Arial"/>
          <w:sz w:val="20"/>
          <w:szCs w:val="20"/>
        </w:rPr>
      </w:pPr>
    </w:p>
    <w:p w14:paraId="3D01661B" w14:textId="058555C1" w:rsidR="005B4BCE" w:rsidRPr="007C21A7" w:rsidRDefault="004A2FE0" w:rsidP="005B4BCE">
      <w:pPr>
        <w:pStyle w:val="ListParagraph"/>
        <w:numPr>
          <w:ilvl w:val="0"/>
          <w:numId w:val="10"/>
        </w:numPr>
        <w:rPr>
          <w:rFonts w:ascii="Arial" w:hAnsi="Arial" w:cs="Arial"/>
          <w:b/>
          <w:sz w:val="20"/>
          <w:szCs w:val="20"/>
        </w:rPr>
      </w:pPr>
      <w:r w:rsidRPr="007C21A7">
        <w:rPr>
          <w:rFonts w:ascii="Arial" w:hAnsi="Arial" w:cs="Arial"/>
          <w:b/>
          <w:sz w:val="20"/>
          <w:szCs w:val="20"/>
        </w:rPr>
        <w:t>Section 15 – Transitional provision</w:t>
      </w:r>
      <w:r w:rsidR="00D64531" w:rsidRPr="007C21A7">
        <w:rPr>
          <w:rFonts w:ascii="Arial" w:hAnsi="Arial" w:cs="Arial"/>
          <w:b/>
          <w:sz w:val="20"/>
          <w:szCs w:val="20"/>
        </w:rPr>
        <w:t>s</w:t>
      </w:r>
    </w:p>
    <w:p w14:paraId="79B6FAFD" w14:textId="11B632B8" w:rsidR="004A2FE0" w:rsidRPr="007C21A7" w:rsidRDefault="00D64531"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allows for transitional measures to be implemented between the repeal of the </w:t>
      </w:r>
      <w:r w:rsidRPr="007C21A7">
        <w:rPr>
          <w:rFonts w:ascii="Arial" w:hAnsi="Arial" w:cs="Arial"/>
          <w:i/>
          <w:sz w:val="20"/>
          <w:szCs w:val="20"/>
        </w:rPr>
        <w:t xml:space="preserve">Liquor Statute 2015 </w:t>
      </w:r>
      <w:r w:rsidRPr="007C21A7">
        <w:rPr>
          <w:rFonts w:ascii="Arial" w:hAnsi="Arial" w:cs="Arial"/>
          <w:sz w:val="20"/>
          <w:szCs w:val="20"/>
        </w:rPr>
        <w:t>and the</w:t>
      </w:r>
      <w:r w:rsidR="00060B66" w:rsidRPr="007C21A7">
        <w:rPr>
          <w:rFonts w:ascii="Arial" w:hAnsi="Arial" w:cs="Arial"/>
          <w:sz w:val="20"/>
          <w:szCs w:val="20"/>
        </w:rPr>
        <w:t xml:space="preserve"> commencement of the</w:t>
      </w:r>
      <w:r w:rsidRPr="007C21A7">
        <w:rPr>
          <w:rFonts w:ascii="Arial" w:hAnsi="Arial" w:cs="Arial"/>
          <w:sz w:val="20"/>
          <w:szCs w:val="20"/>
        </w:rPr>
        <w:t xml:space="preserve"> </w:t>
      </w:r>
      <w:r w:rsidRPr="007C21A7">
        <w:rPr>
          <w:rFonts w:ascii="Arial" w:hAnsi="Arial" w:cs="Arial"/>
          <w:i/>
          <w:sz w:val="20"/>
          <w:szCs w:val="20"/>
        </w:rPr>
        <w:t>Liquor Statute 2022</w:t>
      </w:r>
      <w:r w:rsidRPr="007C21A7">
        <w:rPr>
          <w:rFonts w:ascii="Arial" w:hAnsi="Arial" w:cs="Arial"/>
          <w:sz w:val="20"/>
          <w:szCs w:val="20"/>
        </w:rPr>
        <w:t>.</w:t>
      </w:r>
    </w:p>
    <w:p w14:paraId="7BC7AC4D" w14:textId="77777777" w:rsidR="005D45A5" w:rsidRPr="007C21A7" w:rsidRDefault="005D45A5" w:rsidP="005D45A5">
      <w:pPr>
        <w:pStyle w:val="ListParagraph"/>
        <w:ind w:left="1080"/>
        <w:rPr>
          <w:rFonts w:ascii="Arial" w:hAnsi="Arial" w:cs="Arial"/>
          <w:sz w:val="20"/>
          <w:szCs w:val="20"/>
        </w:rPr>
      </w:pPr>
    </w:p>
    <w:p w14:paraId="3629F17F" w14:textId="77777777" w:rsidR="005D45A5" w:rsidRPr="007C21A7" w:rsidRDefault="005D45A5" w:rsidP="005D45A5">
      <w:pPr>
        <w:pStyle w:val="ListParagraph"/>
        <w:numPr>
          <w:ilvl w:val="0"/>
          <w:numId w:val="10"/>
        </w:numPr>
        <w:rPr>
          <w:rFonts w:ascii="Arial" w:hAnsi="Arial" w:cs="Arial"/>
          <w:b/>
          <w:sz w:val="20"/>
          <w:szCs w:val="20"/>
        </w:rPr>
      </w:pPr>
      <w:r w:rsidRPr="007C21A7">
        <w:rPr>
          <w:rFonts w:ascii="Arial" w:hAnsi="Arial" w:cs="Arial"/>
          <w:b/>
          <w:sz w:val="20"/>
          <w:szCs w:val="20"/>
        </w:rPr>
        <w:t>Section 16 – Application of legislation Statute, section 26</w:t>
      </w:r>
    </w:p>
    <w:p w14:paraId="022261CB" w14:textId="3A6FB9FE" w:rsidR="005D45A5" w:rsidRPr="007C21A7" w:rsidRDefault="00060B66" w:rsidP="007C21A7">
      <w:pPr>
        <w:pStyle w:val="ListParagraph"/>
        <w:numPr>
          <w:ilvl w:val="1"/>
          <w:numId w:val="10"/>
        </w:numPr>
        <w:spacing w:after="0" w:line="257" w:lineRule="auto"/>
        <w:ind w:left="1276" w:hanging="556"/>
        <w:rPr>
          <w:rFonts w:ascii="Arial" w:hAnsi="Arial" w:cs="Arial"/>
          <w:sz w:val="20"/>
          <w:szCs w:val="20"/>
        </w:rPr>
      </w:pPr>
      <w:r w:rsidRPr="007C21A7">
        <w:rPr>
          <w:rFonts w:ascii="Arial" w:hAnsi="Arial" w:cs="Arial"/>
          <w:sz w:val="20"/>
          <w:szCs w:val="20"/>
        </w:rPr>
        <w:t xml:space="preserve">This section </w:t>
      </w:r>
      <w:r w:rsidR="005D45A5" w:rsidRPr="007C21A7">
        <w:rPr>
          <w:rFonts w:ascii="Arial" w:hAnsi="Arial" w:cs="Arial"/>
          <w:sz w:val="20"/>
          <w:szCs w:val="20"/>
        </w:rPr>
        <w:t>highlight</w:t>
      </w:r>
      <w:r w:rsidRPr="007C21A7">
        <w:rPr>
          <w:rFonts w:ascii="Arial" w:hAnsi="Arial" w:cs="Arial"/>
          <w:sz w:val="20"/>
          <w:szCs w:val="20"/>
        </w:rPr>
        <w:t>s the application of section 26 of</w:t>
      </w:r>
      <w:r w:rsidR="005D45A5" w:rsidRPr="007C21A7">
        <w:rPr>
          <w:rFonts w:ascii="Arial" w:hAnsi="Arial" w:cs="Arial"/>
          <w:sz w:val="20"/>
          <w:szCs w:val="20"/>
        </w:rPr>
        <w:t xml:space="preserve"> the Legislation Statute which applies to the repeal of the </w:t>
      </w:r>
      <w:r w:rsidR="005D45A5" w:rsidRPr="007C21A7">
        <w:rPr>
          <w:rFonts w:ascii="Arial" w:hAnsi="Arial" w:cs="Arial"/>
          <w:i/>
          <w:sz w:val="20"/>
          <w:szCs w:val="20"/>
        </w:rPr>
        <w:t>Liquor Statute 2015</w:t>
      </w:r>
      <w:r w:rsidR="005D45A5" w:rsidRPr="007C21A7">
        <w:rPr>
          <w:rFonts w:ascii="Arial" w:hAnsi="Arial" w:cs="Arial"/>
          <w:sz w:val="20"/>
          <w:szCs w:val="20"/>
        </w:rPr>
        <w:t xml:space="preserve"> and notes that the provisions are transitional. </w:t>
      </w:r>
    </w:p>
    <w:p w14:paraId="6B3F0C14" w14:textId="77777777" w:rsidR="007C21A7" w:rsidRPr="007C21A7" w:rsidRDefault="007C21A7" w:rsidP="007C21A7">
      <w:pPr>
        <w:spacing w:after="0" w:line="257" w:lineRule="auto"/>
        <w:ind w:left="1078"/>
        <w:rPr>
          <w:rFonts w:ascii="Arial" w:hAnsi="Arial" w:cs="Arial"/>
          <w:sz w:val="20"/>
          <w:szCs w:val="20"/>
        </w:rPr>
      </w:pPr>
    </w:p>
    <w:p w14:paraId="7C0E5540" w14:textId="77777777" w:rsidR="00B91EF3" w:rsidRPr="007C21A7" w:rsidRDefault="00B91EF3" w:rsidP="00B91EF3">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17 – Transitional Provisions additional </w:t>
      </w:r>
    </w:p>
    <w:p w14:paraId="4CE97468" w14:textId="77777777" w:rsidR="00B91EF3" w:rsidRPr="007C21A7" w:rsidRDefault="00B91EF3"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advises</w:t>
      </w:r>
      <w:r w:rsidR="008E332A" w:rsidRPr="007C21A7">
        <w:rPr>
          <w:rFonts w:ascii="Arial" w:hAnsi="Arial" w:cs="Arial"/>
          <w:sz w:val="20"/>
          <w:szCs w:val="20"/>
        </w:rPr>
        <w:t xml:space="preserve"> on</w:t>
      </w:r>
      <w:r w:rsidRPr="007C21A7">
        <w:rPr>
          <w:rFonts w:ascii="Arial" w:hAnsi="Arial" w:cs="Arial"/>
          <w:sz w:val="20"/>
          <w:szCs w:val="20"/>
        </w:rPr>
        <w:t xml:space="preserve"> additional transitional provisions. </w:t>
      </w:r>
    </w:p>
    <w:p w14:paraId="3323A9CD" w14:textId="77777777" w:rsidR="00B176C4" w:rsidRPr="007C21A7" w:rsidRDefault="00B176C4" w:rsidP="00B176C4">
      <w:pPr>
        <w:pStyle w:val="ListParagraph"/>
        <w:rPr>
          <w:rFonts w:ascii="Arial" w:hAnsi="Arial" w:cs="Arial"/>
          <w:b/>
          <w:bCs/>
          <w:sz w:val="20"/>
          <w:szCs w:val="20"/>
        </w:rPr>
      </w:pPr>
    </w:p>
    <w:p w14:paraId="3CE2A146" w14:textId="77777777" w:rsidR="00D52D83" w:rsidRPr="007C21A7" w:rsidRDefault="00D52D83"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University Legislation – Specific Issues</w:t>
      </w:r>
    </w:p>
    <w:p w14:paraId="26E49144" w14:textId="4E65D06B" w:rsidR="00952E41" w:rsidRPr="007C21A7" w:rsidRDefault="006B3838"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w:t>
      </w:r>
      <w:r w:rsidR="00DB6AD5" w:rsidRPr="007C21A7">
        <w:rPr>
          <w:rFonts w:ascii="Arial" w:hAnsi="Arial" w:cs="Arial"/>
          <w:sz w:val="20"/>
          <w:szCs w:val="20"/>
        </w:rPr>
        <w:t>he information</w:t>
      </w:r>
      <w:r w:rsidRPr="007C21A7">
        <w:rPr>
          <w:rFonts w:ascii="Arial" w:hAnsi="Arial" w:cs="Arial"/>
          <w:sz w:val="20"/>
          <w:szCs w:val="20"/>
        </w:rPr>
        <w:t xml:space="preserve"> relating to issues</w:t>
      </w:r>
      <w:r w:rsidR="00DB6AD5" w:rsidRPr="007C21A7">
        <w:rPr>
          <w:rFonts w:ascii="Arial" w:hAnsi="Arial" w:cs="Arial"/>
          <w:sz w:val="20"/>
          <w:szCs w:val="20"/>
        </w:rPr>
        <w:t xml:space="preserve"> that</w:t>
      </w:r>
      <w:r w:rsidRPr="007C21A7">
        <w:rPr>
          <w:rFonts w:ascii="Arial" w:hAnsi="Arial" w:cs="Arial"/>
          <w:sz w:val="20"/>
          <w:szCs w:val="20"/>
        </w:rPr>
        <w:t xml:space="preserve"> have been deemed relevant for this explanatory statement</w:t>
      </w:r>
      <w:r w:rsidR="00952E41" w:rsidRPr="007C21A7">
        <w:rPr>
          <w:rFonts w:ascii="Arial" w:hAnsi="Arial" w:cs="Arial"/>
          <w:sz w:val="20"/>
          <w:szCs w:val="20"/>
        </w:rPr>
        <w:t xml:space="preserve"> are s</w:t>
      </w:r>
      <w:r w:rsidR="009C2D2C" w:rsidRPr="007C21A7">
        <w:rPr>
          <w:rFonts w:ascii="Arial" w:hAnsi="Arial" w:cs="Arial"/>
          <w:sz w:val="20"/>
          <w:szCs w:val="20"/>
        </w:rPr>
        <w:t xml:space="preserve">et out at </w:t>
      </w:r>
      <w:r w:rsidR="009C2D2C" w:rsidRPr="007C21A7">
        <w:rPr>
          <w:rFonts w:ascii="Arial" w:hAnsi="Arial" w:cs="Arial"/>
          <w:i/>
          <w:sz w:val="20"/>
          <w:szCs w:val="20"/>
        </w:rPr>
        <w:t>19 – Conferral of discretionary powers.</w:t>
      </w:r>
    </w:p>
    <w:p w14:paraId="29A5ADE1" w14:textId="77777777" w:rsidR="00D52D83" w:rsidRPr="007C21A7" w:rsidRDefault="00D52D83" w:rsidP="00D52D83">
      <w:pPr>
        <w:pStyle w:val="ListParagraph"/>
        <w:ind w:left="1080"/>
        <w:rPr>
          <w:rFonts w:ascii="Arial" w:hAnsi="Arial" w:cs="Arial"/>
          <w:sz w:val="20"/>
          <w:szCs w:val="20"/>
        </w:rPr>
      </w:pPr>
    </w:p>
    <w:p w14:paraId="77ACEC1D" w14:textId="0C68F384" w:rsidR="001F47F7" w:rsidRPr="007C21A7" w:rsidRDefault="00DB6AD5" w:rsidP="009C2D2C">
      <w:pPr>
        <w:pStyle w:val="ListParagraph"/>
        <w:numPr>
          <w:ilvl w:val="0"/>
          <w:numId w:val="10"/>
        </w:numPr>
        <w:rPr>
          <w:rFonts w:ascii="Arial" w:hAnsi="Arial" w:cs="Arial"/>
          <w:b/>
          <w:bCs/>
          <w:sz w:val="20"/>
          <w:szCs w:val="20"/>
        </w:rPr>
      </w:pPr>
      <w:bookmarkStart w:id="13" w:name="_Hlk111120650"/>
      <w:r w:rsidRPr="007C21A7">
        <w:rPr>
          <w:rFonts w:ascii="Arial" w:hAnsi="Arial" w:cs="Arial"/>
          <w:b/>
          <w:bCs/>
          <w:sz w:val="20"/>
          <w:szCs w:val="20"/>
        </w:rPr>
        <w:t>Conferral of discretionary powers</w:t>
      </w:r>
    </w:p>
    <w:bookmarkEnd w:id="13"/>
    <w:p w14:paraId="2E861DA1" w14:textId="1DA585EA" w:rsidR="001F47F7" w:rsidRPr="007C21A7" w:rsidRDefault="009C2D2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The discretionary powers conferred by the instrument include the authorisation and revocation of sale of liquor on ANU premises.</w:t>
      </w:r>
      <w:r w:rsidR="008937F1" w:rsidRPr="007C21A7">
        <w:rPr>
          <w:rFonts w:ascii="Arial" w:hAnsi="Arial" w:cs="Arial"/>
          <w:sz w:val="20"/>
          <w:szCs w:val="20"/>
        </w:rPr>
        <w:t xml:space="preserve"> Authorisation and revocation powers are required for the University to govern the sale of liquor on campus through the instrument. </w:t>
      </w:r>
    </w:p>
    <w:p w14:paraId="680925F5" w14:textId="77777777" w:rsidR="009C2D2C" w:rsidRPr="007C21A7" w:rsidRDefault="009C2D2C" w:rsidP="009C2D2C">
      <w:pPr>
        <w:pStyle w:val="ListParagraph"/>
        <w:ind w:left="1080"/>
        <w:rPr>
          <w:rFonts w:ascii="Arial" w:hAnsi="Arial" w:cs="Arial"/>
          <w:sz w:val="20"/>
          <w:szCs w:val="20"/>
        </w:rPr>
      </w:pPr>
    </w:p>
    <w:p w14:paraId="6A2B7AC9" w14:textId="5571C3FA" w:rsidR="00F32365" w:rsidRPr="007C21A7" w:rsidRDefault="008937F1"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The Vice Chancellor will hold the authority under the instrument to authorise and revoke the sale of liquor on campus. Through the University Delegations Framework both powers can be sub-delegated. </w:t>
      </w:r>
    </w:p>
    <w:p w14:paraId="2EE18C61" w14:textId="77777777" w:rsidR="009C2D2C" w:rsidRPr="007C21A7" w:rsidRDefault="009C2D2C" w:rsidP="009C2D2C">
      <w:pPr>
        <w:pStyle w:val="ListParagraph"/>
        <w:rPr>
          <w:rFonts w:ascii="Arial" w:hAnsi="Arial" w:cs="Arial"/>
          <w:sz w:val="20"/>
          <w:szCs w:val="20"/>
        </w:rPr>
      </w:pPr>
    </w:p>
    <w:p w14:paraId="239CDF78" w14:textId="7553E850" w:rsidR="00C32077" w:rsidRPr="007C21A7" w:rsidRDefault="009C2D2C" w:rsidP="00F43D9B">
      <w:pPr>
        <w:pStyle w:val="ListParagraph"/>
        <w:numPr>
          <w:ilvl w:val="1"/>
          <w:numId w:val="10"/>
        </w:numPr>
        <w:spacing w:line="259" w:lineRule="auto"/>
        <w:ind w:left="1276" w:hanging="556"/>
        <w:rPr>
          <w:rFonts w:ascii="Arial" w:hAnsi="Arial" w:cs="Arial"/>
          <w:sz w:val="20"/>
          <w:szCs w:val="20"/>
        </w:rPr>
      </w:pPr>
      <w:r w:rsidRPr="007C21A7">
        <w:rPr>
          <w:rFonts w:ascii="Arial" w:hAnsi="Arial" w:cs="Arial"/>
          <w:sz w:val="20"/>
          <w:szCs w:val="20"/>
        </w:rPr>
        <w:t xml:space="preserve">Any person who exercises a discretionary power under this instrument is required to do so with regard to applicable policies and procedures </w:t>
      </w:r>
      <w:bookmarkStart w:id="14" w:name="_GoBack"/>
      <w:bookmarkEnd w:id="14"/>
      <w:r w:rsidRPr="007C21A7">
        <w:rPr>
          <w:rFonts w:ascii="Arial" w:hAnsi="Arial" w:cs="Arial"/>
          <w:sz w:val="20"/>
          <w:szCs w:val="20"/>
        </w:rPr>
        <w:t>– as per section 10(1) of the instrument. Section 10(1) of the instrument is additional to section 56 of the Governance Statute.</w:t>
      </w:r>
      <w:r w:rsidR="00C32077" w:rsidRPr="007C21A7">
        <w:rPr>
          <w:rFonts w:ascii="Arial" w:hAnsi="Arial" w:cs="Arial"/>
          <w:sz w:val="20"/>
          <w:szCs w:val="20"/>
        </w:rPr>
        <w:br w:type="page"/>
      </w:r>
    </w:p>
    <w:p w14:paraId="07D8932D" w14:textId="77777777" w:rsidR="00C32077" w:rsidRPr="007C21A7" w:rsidRDefault="00C32077" w:rsidP="00C32077">
      <w:pPr>
        <w:jc w:val="right"/>
        <w:rPr>
          <w:rFonts w:ascii="Arial" w:hAnsi="Arial" w:cs="Arial"/>
          <w:b/>
        </w:rPr>
      </w:pPr>
      <w:r w:rsidRPr="007C21A7">
        <w:rPr>
          <w:rFonts w:ascii="Arial" w:hAnsi="Arial" w:cs="Arial"/>
          <w:b/>
        </w:rPr>
        <w:lastRenderedPageBreak/>
        <w:t>Attachment B</w:t>
      </w:r>
    </w:p>
    <w:p w14:paraId="1A92CA4A" w14:textId="77777777" w:rsidR="00C32077" w:rsidRPr="007C21A7" w:rsidRDefault="00C32077" w:rsidP="00C32077">
      <w:pPr>
        <w:jc w:val="center"/>
        <w:rPr>
          <w:rFonts w:ascii="Arial" w:hAnsi="Arial" w:cs="Arial"/>
          <w:b/>
        </w:rPr>
      </w:pPr>
      <w:r w:rsidRPr="007C21A7">
        <w:rPr>
          <w:rFonts w:ascii="Arial" w:hAnsi="Arial" w:cs="Arial"/>
          <w:b/>
        </w:rPr>
        <w:t>Statement of Compatibility with Human Rights</w:t>
      </w:r>
    </w:p>
    <w:p w14:paraId="0C67416B" w14:textId="77777777" w:rsidR="00C32077" w:rsidRPr="007C21A7" w:rsidRDefault="00C32077" w:rsidP="00C32077">
      <w:pPr>
        <w:jc w:val="center"/>
        <w:rPr>
          <w:rFonts w:ascii="Arial" w:hAnsi="Arial" w:cs="Arial"/>
          <w:i/>
          <w:sz w:val="16"/>
        </w:rPr>
      </w:pPr>
      <w:r w:rsidRPr="007C21A7">
        <w:rPr>
          <w:rFonts w:ascii="Arial" w:hAnsi="Arial" w:cs="Arial"/>
          <w:i/>
          <w:iCs/>
          <w:sz w:val="16"/>
        </w:rPr>
        <w:t>Prepared in accordance with Part 3 of the Human Rights (Parliamentary Scrutiny) Act 2011</w:t>
      </w:r>
      <w:r w:rsidRPr="007C21A7">
        <w:rPr>
          <w:rFonts w:ascii="Arial" w:hAnsi="Arial" w:cs="Arial"/>
          <w:i/>
          <w:sz w:val="16"/>
        </w:rPr>
        <w:t xml:space="preserve"> </w:t>
      </w:r>
    </w:p>
    <w:p w14:paraId="704552C0" w14:textId="77777777" w:rsidR="00C32077" w:rsidRPr="007C21A7" w:rsidRDefault="00C32077" w:rsidP="00C32077">
      <w:pPr>
        <w:jc w:val="center"/>
        <w:rPr>
          <w:rFonts w:ascii="Arial" w:hAnsi="Arial" w:cs="Arial"/>
        </w:rPr>
      </w:pPr>
    </w:p>
    <w:p w14:paraId="2E848863" w14:textId="77777777" w:rsidR="00C32077" w:rsidRPr="007C21A7" w:rsidRDefault="00C32077" w:rsidP="00C32077">
      <w:pPr>
        <w:shd w:val="clear" w:color="auto" w:fill="FFFFFF"/>
        <w:spacing w:after="0" w:line="240" w:lineRule="auto"/>
        <w:jc w:val="center"/>
        <w:rPr>
          <w:rFonts w:ascii="Arial" w:eastAsia="Times New Roman" w:hAnsi="Arial" w:cs="Arial"/>
          <w:b/>
          <w:bCs/>
          <w:caps/>
          <w:color w:val="000000"/>
          <w:lang w:eastAsia="en-AU"/>
        </w:rPr>
      </w:pPr>
      <w:r w:rsidRPr="007C21A7">
        <w:rPr>
          <w:rFonts w:ascii="Arial" w:eastAsia="Times New Roman" w:hAnsi="Arial" w:cs="Arial"/>
          <w:b/>
          <w:bCs/>
          <w:i/>
          <w:iCs/>
          <w:caps/>
          <w:color w:val="000000"/>
          <w:lang w:eastAsia="en-AU"/>
        </w:rPr>
        <w:t>Australian national university (liquor) statute 2022</w:t>
      </w:r>
    </w:p>
    <w:p w14:paraId="2D710287" w14:textId="77777777" w:rsidR="00C32077" w:rsidRPr="007C21A7" w:rsidRDefault="00C32077" w:rsidP="00C32077">
      <w:pPr>
        <w:rPr>
          <w:rFonts w:ascii="Arial" w:hAnsi="Arial" w:cs="Arial"/>
        </w:rPr>
      </w:pPr>
    </w:p>
    <w:p w14:paraId="637AB03C" w14:textId="77777777" w:rsidR="00C32077" w:rsidRPr="007C21A7" w:rsidRDefault="00C32077" w:rsidP="00C32077">
      <w:pPr>
        <w:rPr>
          <w:rFonts w:ascii="Arial" w:hAnsi="Arial" w:cs="Arial"/>
          <w:sz w:val="20"/>
          <w:szCs w:val="20"/>
        </w:rPr>
      </w:pPr>
      <w:r w:rsidRPr="007C21A7">
        <w:rPr>
          <w:rFonts w:ascii="Arial" w:hAnsi="Arial" w:cs="Arial"/>
          <w:sz w:val="20"/>
          <w:szCs w:val="20"/>
        </w:rPr>
        <w:t xml:space="preserve">This instrument is compatible with the human rights and freedoms recognised or declared in the international instruments listed in section 3 of the </w:t>
      </w:r>
      <w:r w:rsidRPr="007C21A7">
        <w:rPr>
          <w:rFonts w:ascii="Arial" w:hAnsi="Arial" w:cs="Arial"/>
          <w:i/>
          <w:sz w:val="20"/>
          <w:szCs w:val="20"/>
        </w:rPr>
        <w:t>Human Rights (Parliamentary Scrutiny) Act 2011</w:t>
      </w:r>
      <w:r w:rsidRPr="007C21A7">
        <w:rPr>
          <w:rFonts w:ascii="Arial" w:hAnsi="Arial" w:cs="Arial"/>
          <w:sz w:val="20"/>
          <w:szCs w:val="20"/>
        </w:rPr>
        <w:t>.</w:t>
      </w:r>
    </w:p>
    <w:p w14:paraId="74C7DAAA" w14:textId="77777777" w:rsidR="00C32077" w:rsidRPr="007C21A7" w:rsidRDefault="00C32077" w:rsidP="00C32077">
      <w:pPr>
        <w:pStyle w:val="NormalWeb"/>
        <w:spacing w:before="180" w:beforeAutospacing="0" w:after="0" w:afterAutospacing="0"/>
        <w:rPr>
          <w:rFonts w:ascii="Arial" w:hAnsi="Arial" w:cs="Arial"/>
          <w:color w:val="000000"/>
          <w:sz w:val="20"/>
          <w:szCs w:val="20"/>
        </w:rPr>
      </w:pPr>
      <w:r w:rsidRPr="007C21A7">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321CA90A" w14:textId="77777777" w:rsidR="00C32077" w:rsidRPr="007C21A7" w:rsidRDefault="00C32077" w:rsidP="00C32077">
      <w:pPr>
        <w:rPr>
          <w:rFonts w:ascii="Arial" w:hAnsi="Arial" w:cs="Arial"/>
          <w:sz w:val="20"/>
          <w:szCs w:val="20"/>
        </w:rPr>
      </w:pPr>
    </w:p>
    <w:p w14:paraId="108DB316" w14:textId="77777777" w:rsidR="00C32077" w:rsidRPr="007C21A7" w:rsidRDefault="00C32077" w:rsidP="00C32077">
      <w:pPr>
        <w:rPr>
          <w:rFonts w:ascii="Arial" w:hAnsi="Arial" w:cs="Arial"/>
          <w:sz w:val="20"/>
          <w:szCs w:val="20"/>
        </w:rPr>
      </w:pPr>
      <w:r w:rsidRPr="007C21A7">
        <w:rPr>
          <w:rFonts w:ascii="Arial" w:hAnsi="Arial" w:cs="Arial"/>
          <w:b/>
          <w:sz w:val="20"/>
          <w:szCs w:val="20"/>
        </w:rPr>
        <w:t>Overview of the</w:t>
      </w:r>
      <w:r w:rsidRPr="007C21A7">
        <w:rPr>
          <w:rFonts w:ascii="Arial" w:hAnsi="Arial" w:cs="Arial"/>
          <w:sz w:val="20"/>
          <w:szCs w:val="20"/>
        </w:rPr>
        <w:t xml:space="preserve"> </w:t>
      </w:r>
      <w:r w:rsidRPr="007C21A7">
        <w:rPr>
          <w:rFonts w:ascii="Arial" w:hAnsi="Arial" w:cs="Arial"/>
          <w:b/>
          <w:bCs/>
          <w:sz w:val="20"/>
          <w:szCs w:val="20"/>
        </w:rPr>
        <w:t>instrumen</w:t>
      </w:r>
      <w:r w:rsidRPr="007C21A7">
        <w:rPr>
          <w:rFonts w:ascii="Arial" w:hAnsi="Arial" w:cs="Arial"/>
          <w:sz w:val="20"/>
          <w:szCs w:val="20"/>
        </w:rPr>
        <w:t>t</w:t>
      </w:r>
    </w:p>
    <w:p w14:paraId="271C0D4A" w14:textId="77777777" w:rsidR="00C32077" w:rsidRPr="007C21A7" w:rsidRDefault="00C32077" w:rsidP="00C32077">
      <w:pPr>
        <w:shd w:val="clear" w:color="auto" w:fill="FFFFFF"/>
        <w:spacing w:after="0" w:line="240" w:lineRule="auto"/>
        <w:rPr>
          <w:rFonts w:ascii="Arial" w:eastAsia="Times New Roman" w:hAnsi="Arial" w:cs="Arial"/>
          <w:bCs/>
          <w:color w:val="000000"/>
          <w:sz w:val="20"/>
          <w:szCs w:val="20"/>
          <w:lang w:eastAsia="en-AU"/>
        </w:rPr>
      </w:pPr>
      <w:r w:rsidRPr="007C21A7">
        <w:rPr>
          <w:rFonts w:ascii="Arial" w:eastAsia="Times New Roman" w:hAnsi="Arial" w:cs="Arial"/>
          <w:bCs/>
          <w:color w:val="000000"/>
          <w:sz w:val="20"/>
          <w:szCs w:val="20"/>
          <w:lang w:eastAsia="en-AU"/>
        </w:rPr>
        <w:t xml:space="preserve">The purpose and operation of this instrument </w:t>
      </w:r>
      <w:r w:rsidRPr="007C21A7">
        <w:rPr>
          <w:rFonts w:ascii="Arial" w:hAnsi="Arial" w:cs="Arial"/>
          <w:color w:val="000000"/>
          <w:sz w:val="20"/>
          <w:szCs w:val="20"/>
          <w:shd w:val="clear" w:color="auto" w:fill="FFFFFF"/>
        </w:rPr>
        <w:t>is to govern and regulate the sale of liquor or low-alcohol liquor on or in an Australian National University premises located within the ACT.</w:t>
      </w:r>
    </w:p>
    <w:p w14:paraId="7A368F7E" w14:textId="77777777" w:rsidR="00C32077" w:rsidRPr="007C21A7" w:rsidRDefault="00C32077" w:rsidP="00C32077">
      <w:pPr>
        <w:rPr>
          <w:rFonts w:ascii="Arial" w:hAnsi="Arial" w:cs="Arial"/>
          <w:sz w:val="20"/>
          <w:szCs w:val="20"/>
        </w:rPr>
      </w:pPr>
    </w:p>
    <w:p w14:paraId="1A2BDD25" w14:textId="77777777" w:rsidR="00C32077" w:rsidRPr="007C21A7" w:rsidRDefault="00C32077" w:rsidP="00C32077">
      <w:pPr>
        <w:rPr>
          <w:rFonts w:ascii="Arial" w:hAnsi="Arial" w:cs="Arial"/>
          <w:b/>
          <w:sz w:val="20"/>
          <w:szCs w:val="20"/>
        </w:rPr>
      </w:pPr>
      <w:r w:rsidRPr="007C21A7">
        <w:rPr>
          <w:rFonts w:ascii="Arial" w:hAnsi="Arial" w:cs="Arial"/>
          <w:b/>
          <w:sz w:val="20"/>
          <w:szCs w:val="20"/>
        </w:rPr>
        <w:t>Human rights implications</w:t>
      </w:r>
    </w:p>
    <w:p w14:paraId="1FCF9E66" w14:textId="77777777" w:rsidR="00C32077" w:rsidRPr="007C21A7" w:rsidRDefault="00C32077" w:rsidP="00C32077">
      <w:pPr>
        <w:spacing w:before="120" w:after="120" w:line="240" w:lineRule="auto"/>
        <w:rPr>
          <w:rFonts w:ascii="Arial" w:hAnsi="Arial" w:cs="Arial"/>
          <w:sz w:val="20"/>
          <w:szCs w:val="20"/>
        </w:rPr>
      </w:pPr>
      <w:r w:rsidRPr="007C21A7">
        <w:rPr>
          <w:rFonts w:ascii="Arial" w:hAnsi="Arial" w:cs="Arial"/>
          <w:sz w:val="20"/>
          <w:szCs w:val="20"/>
          <w:lang w:val="en-US"/>
        </w:rPr>
        <w:t>The instrument does not have any impacts on human rights.</w:t>
      </w:r>
    </w:p>
    <w:p w14:paraId="7AFC6D3E" w14:textId="77777777" w:rsidR="00C32077" w:rsidRPr="007C21A7" w:rsidRDefault="00C32077" w:rsidP="00C32077">
      <w:pPr>
        <w:rPr>
          <w:rFonts w:ascii="Arial" w:hAnsi="Arial" w:cs="Arial"/>
          <w:sz w:val="20"/>
          <w:szCs w:val="20"/>
        </w:rPr>
      </w:pPr>
    </w:p>
    <w:p w14:paraId="40F7DA96" w14:textId="77777777" w:rsidR="00C32077" w:rsidRPr="007C21A7" w:rsidRDefault="00C32077" w:rsidP="00C32077">
      <w:pPr>
        <w:rPr>
          <w:rFonts w:ascii="Arial" w:hAnsi="Arial" w:cs="Arial"/>
          <w:b/>
          <w:sz w:val="20"/>
          <w:szCs w:val="20"/>
        </w:rPr>
      </w:pPr>
      <w:r w:rsidRPr="007C21A7">
        <w:rPr>
          <w:rFonts w:ascii="Arial" w:hAnsi="Arial" w:cs="Arial"/>
          <w:b/>
          <w:sz w:val="20"/>
          <w:szCs w:val="20"/>
        </w:rPr>
        <w:t>Conclusion</w:t>
      </w:r>
    </w:p>
    <w:p w14:paraId="7F897817" w14:textId="77777777" w:rsidR="00C32077" w:rsidRPr="007C21A7" w:rsidRDefault="00C32077" w:rsidP="00C32077">
      <w:pPr>
        <w:spacing w:before="120" w:after="120" w:line="240" w:lineRule="auto"/>
        <w:rPr>
          <w:rFonts w:ascii="Arial" w:hAnsi="Arial" w:cs="Arial"/>
          <w:sz w:val="20"/>
          <w:szCs w:val="20"/>
        </w:rPr>
      </w:pPr>
      <w:r w:rsidRPr="007C21A7">
        <w:rPr>
          <w:rFonts w:ascii="Arial" w:hAnsi="Arial" w:cs="Arial"/>
          <w:sz w:val="20"/>
          <w:szCs w:val="20"/>
        </w:rPr>
        <w:t>This instrument is compatible with human rights as it does not raise any human rights issues.</w:t>
      </w:r>
    </w:p>
    <w:p w14:paraId="57D1151F" w14:textId="77777777" w:rsidR="00C32077" w:rsidRPr="007C21A7" w:rsidRDefault="00C32077" w:rsidP="00C32077">
      <w:pPr>
        <w:rPr>
          <w:rFonts w:ascii="Arial" w:hAnsi="Arial" w:cs="Arial"/>
        </w:rPr>
      </w:pPr>
    </w:p>
    <w:p w14:paraId="6781B5A7" w14:textId="77777777" w:rsidR="00C43A63" w:rsidRPr="007C21A7" w:rsidRDefault="00C43A63" w:rsidP="00C32077">
      <w:pPr>
        <w:pStyle w:val="ListParagraph"/>
        <w:ind w:left="0"/>
        <w:rPr>
          <w:rFonts w:ascii="Arial" w:hAnsi="Arial" w:cs="Arial"/>
          <w:sz w:val="20"/>
          <w:szCs w:val="20"/>
        </w:rPr>
      </w:pPr>
    </w:p>
    <w:sectPr w:rsidR="00C43A63" w:rsidRPr="007C21A7" w:rsidSect="007C21A7">
      <w:footerReference w:type="default" r:id="rId8"/>
      <w:pgSz w:w="11906" w:h="16838"/>
      <w:pgMar w:top="1440"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8D1F" w16cex:dateUtc="2022-07-01T05:11:00Z"/>
  <w16cex:commentExtensible w16cex:durableId="269F6688" w16cex:dateUtc="2022-08-11T01:29:00Z"/>
  <w16cex:commentExtensible w16cex:durableId="269CD92D" w16cex:dateUtc="2022-08-09T03:01:00Z"/>
  <w16cex:commentExtensible w16cex:durableId="266989D4" w16cex:dateUtc="2022-07-01T04:57:00Z"/>
  <w16cex:commentExtensible w16cex:durableId="269F66F2" w16cex:dateUtc="2022-08-11T01:30:00Z"/>
  <w16cex:commentExtensible w16cex:durableId="269CF946" w16cex:dateUtc="2022-08-09T05:18:00Z"/>
  <w16cex:commentExtensible w16cex:durableId="269D021F" w16cex:dateUtc="2022-08-09T05:56:00Z"/>
  <w16cex:commentExtensible w16cex:durableId="269D0727" w16cex:dateUtc="2022-08-09T06:17:00Z"/>
  <w16cex:commentExtensible w16cex:durableId="269D092E" w16cex:dateUtc="2022-08-09T06:26:00Z"/>
  <w16cex:commentExtensible w16cex:durableId="269D0AD3" w16cex:dateUtc="2022-08-09T06:33:00Z"/>
  <w16cex:commentExtensible w16cex:durableId="269E43BA" w16cex:dateUtc="2022-08-10T04:48:00Z"/>
  <w16cex:commentExtensible w16cex:durableId="269E5377" w16cex:dateUtc="2022-08-10T05:55:00Z"/>
  <w16cex:commentExtensible w16cex:durableId="269E54D5" w16cex:dateUtc="2022-08-10T06:01:00Z"/>
  <w16cex:commentExtensible w16cex:durableId="26699769" w16cex:dateUtc="2022-07-01T05:55:00Z"/>
  <w16cex:commentExtensible w16cex:durableId="269F72D9" w16cex:dateUtc="2022-08-11T02:21:00Z"/>
  <w16cex:commentExtensible w16cex:durableId="269E5A82" w16cex:dateUtc="2022-08-10T06:25:00Z"/>
  <w16cex:commentExtensible w16cex:durableId="269E5FE0" w16cex:dateUtc="2022-08-10T06:48:00Z"/>
  <w16cex:commentExtensible w16cex:durableId="269F7856" w16cex:dateUtc="2022-08-11T02:45:00Z"/>
  <w16cex:commentExtensible w16cex:durableId="269F7CA7" w16cex:dateUtc="2022-08-11T03:03:00Z"/>
  <w16cex:commentExtensible w16cex:durableId="26A0C8DA" w16cex:dateUtc="2022-08-12T02:40:00Z"/>
  <w16cex:commentExtensible w16cex:durableId="269F9036" w16cex:dateUtc="2022-08-11T04:27:00Z"/>
  <w16cex:commentExtensible w16cex:durableId="269F9863" w16cex:dateUtc="2022-08-11T05:01:00Z"/>
  <w16cex:commentExtensible w16cex:durableId="269F947F" w16cex:dateUtc="2022-08-11T04:45:00Z"/>
  <w16cex:commentExtensible w16cex:durableId="269F9CFC" w16cex:dateUtc="2022-08-11T05:21:00Z"/>
  <w16cex:commentExtensible w16cex:durableId="26A0CDC2" w16cex:dateUtc="2022-08-12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99F53" w16cid:durableId="26698D1F"/>
  <w16cid:commentId w16cid:paraId="35BCE072" w16cid:durableId="269F6688"/>
  <w16cid:commentId w16cid:paraId="4E13628E" w16cid:durableId="269CD92D"/>
  <w16cid:commentId w16cid:paraId="3F480B7E" w16cid:durableId="266989D4"/>
  <w16cid:commentId w16cid:paraId="08E5FC3D" w16cid:durableId="269F66F2"/>
  <w16cid:commentId w16cid:paraId="18E46BC6" w16cid:durableId="269CF946"/>
  <w16cid:commentId w16cid:paraId="4EB9F346" w16cid:durableId="269D021F"/>
  <w16cid:commentId w16cid:paraId="2CD7C02E" w16cid:durableId="269D0727"/>
  <w16cid:commentId w16cid:paraId="00CDA02E" w16cid:durableId="269D092E"/>
  <w16cid:commentId w16cid:paraId="361BC72A" w16cid:durableId="269D0AD3"/>
  <w16cid:commentId w16cid:paraId="2C7049B8" w16cid:durableId="269E43BA"/>
  <w16cid:commentId w16cid:paraId="513AB493" w16cid:durableId="269E5377"/>
  <w16cid:commentId w16cid:paraId="12DCAF1D" w16cid:durableId="269E54D5"/>
  <w16cid:commentId w16cid:paraId="14C3AF81" w16cid:durableId="26699769"/>
  <w16cid:commentId w16cid:paraId="5CE9CD33" w16cid:durableId="269F72D9"/>
  <w16cid:commentId w16cid:paraId="12204B47" w16cid:durableId="269E5A82"/>
  <w16cid:commentId w16cid:paraId="64824CCE" w16cid:durableId="269E5FE0"/>
  <w16cid:commentId w16cid:paraId="7E20D417" w16cid:durableId="269F7856"/>
  <w16cid:commentId w16cid:paraId="745BD593" w16cid:durableId="269F7CA7"/>
  <w16cid:commentId w16cid:paraId="01B1522F" w16cid:durableId="26A0C8DA"/>
  <w16cid:commentId w16cid:paraId="59F6DC68" w16cid:durableId="269F9036"/>
  <w16cid:commentId w16cid:paraId="3D4D9B77" w16cid:durableId="269F9863"/>
  <w16cid:commentId w16cid:paraId="489D25CA" w16cid:durableId="269F947F"/>
  <w16cid:commentId w16cid:paraId="4B8EB07A" w16cid:durableId="269F9CFC"/>
  <w16cid:commentId w16cid:paraId="0DDAF457" w16cid:durableId="26A0CD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72C6" w14:textId="77777777" w:rsidR="00511311" w:rsidRDefault="00511311" w:rsidP="000778F8">
      <w:pPr>
        <w:spacing w:after="0" w:line="240" w:lineRule="auto"/>
      </w:pPr>
      <w:r>
        <w:separator/>
      </w:r>
    </w:p>
  </w:endnote>
  <w:endnote w:type="continuationSeparator" w:id="0">
    <w:p w14:paraId="47F36756" w14:textId="77777777" w:rsidR="00511311" w:rsidRDefault="00511311"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9FCF" w14:textId="035A7C40" w:rsidR="00202077" w:rsidRDefault="00202077">
    <w:pPr>
      <w:pStyle w:val="Footer"/>
      <w:jc w:val="center"/>
    </w:pPr>
  </w:p>
  <w:p w14:paraId="6A2487BC" w14:textId="77777777" w:rsidR="00202077" w:rsidRDefault="0020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A84C" w14:textId="77777777" w:rsidR="00511311" w:rsidRDefault="00511311" w:rsidP="000778F8">
      <w:pPr>
        <w:spacing w:after="0" w:line="240" w:lineRule="auto"/>
      </w:pPr>
      <w:r>
        <w:separator/>
      </w:r>
    </w:p>
  </w:footnote>
  <w:footnote w:type="continuationSeparator" w:id="0">
    <w:p w14:paraId="16AF0362" w14:textId="77777777" w:rsidR="00511311" w:rsidRDefault="00511311"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B9F"/>
    <w:multiLevelType w:val="hybridMultilevel"/>
    <w:tmpl w:val="F03CCAF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149A0CB1"/>
    <w:multiLevelType w:val="hybridMultilevel"/>
    <w:tmpl w:val="B05ADD80"/>
    <w:lvl w:ilvl="0" w:tplc="680E58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501731C"/>
    <w:multiLevelType w:val="hybridMultilevel"/>
    <w:tmpl w:val="A72834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1B301A"/>
    <w:multiLevelType w:val="hybridMultilevel"/>
    <w:tmpl w:val="832CC2DE"/>
    <w:lvl w:ilvl="0" w:tplc="1908A4A2">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D08B0"/>
    <w:multiLevelType w:val="multilevel"/>
    <w:tmpl w:val="B492DBB8"/>
    <w:lvl w:ilvl="0">
      <w:start w:val="9"/>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15:restartNumberingAfterBreak="0">
    <w:nsid w:val="193E1E77"/>
    <w:multiLevelType w:val="hybridMultilevel"/>
    <w:tmpl w:val="D908AA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B4A249C"/>
    <w:multiLevelType w:val="hybridMultilevel"/>
    <w:tmpl w:val="508693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D021FB0"/>
    <w:multiLevelType w:val="hybridMultilevel"/>
    <w:tmpl w:val="A5CE74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8" w15:restartNumberingAfterBreak="0">
    <w:nsid w:val="1F874615"/>
    <w:multiLevelType w:val="hybridMultilevel"/>
    <w:tmpl w:val="8FDEBF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AA943A6"/>
    <w:multiLevelType w:val="hybridMultilevel"/>
    <w:tmpl w:val="4DE8413E"/>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66EEC"/>
    <w:multiLevelType w:val="multilevel"/>
    <w:tmpl w:val="6BB4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B544D"/>
    <w:multiLevelType w:val="multilevel"/>
    <w:tmpl w:val="865843EC"/>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22A265F"/>
    <w:multiLevelType w:val="hybridMultilevel"/>
    <w:tmpl w:val="81AACD4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71519D"/>
    <w:multiLevelType w:val="hybridMultilevel"/>
    <w:tmpl w:val="58C015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10C2C4C"/>
    <w:multiLevelType w:val="hybridMultilevel"/>
    <w:tmpl w:val="4210C5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8B344D7"/>
    <w:multiLevelType w:val="hybridMultilevel"/>
    <w:tmpl w:val="915A93B6"/>
    <w:lvl w:ilvl="0" w:tplc="FFFFFFFF">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AE73C2F"/>
    <w:multiLevelType w:val="multilevel"/>
    <w:tmpl w:val="201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72234"/>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F7807A3"/>
    <w:multiLevelType w:val="multilevel"/>
    <w:tmpl w:val="3EF6DDF0"/>
    <w:lvl w:ilvl="0">
      <w:start w:val="8"/>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50836ED1"/>
    <w:multiLevelType w:val="hybridMultilevel"/>
    <w:tmpl w:val="4B48660A"/>
    <w:lvl w:ilvl="0" w:tplc="24182E10">
      <w:start w:val="1"/>
      <w:numFmt w:val="upperLetter"/>
      <w:lvlText w:val="%1."/>
      <w:lvlJc w:val="left"/>
      <w:pPr>
        <w:ind w:left="108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E365C7"/>
    <w:multiLevelType w:val="hybridMultilevel"/>
    <w:tmpl w:val="585E9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797C8A"/>
    <w:multiLevelType w:val="hybridMultilevel"/>
    <w:tmpl w:val="1FA461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58B4231"/>
    <w:multiLevelType w:val="multilevel"/>
    <w:tmpl w:val="3F3EB68C"/>
    <w:lvl w:ilvl="0">
      <w:start w:val="9"/>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710232E5"/>
    <w:multiLevelType w:val="hybridMultilevel"/>
    <w:tmpl w:val="AEA8F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1CF6548"/>
    <w:multiLevelType w:val="multilevel"/>
    <w:tmpl w:val="917251C6"/>
    <w:lvl w:ilvl="0">
      <w:start w:val="18"/>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041F25"/>
    <w:multiLevelType w:val="hybridMultilevel"/>
    <w:tmpl w:val="F2B472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DAA36DD"/>
    <w:multiLevelType w:val="hybridMultilevel"/>
    <w:tmpl w:val="F98E5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15"/>
  </w:num>
  <w:num w:numId="4">
    <w:abstractNumId w:val="26"/>
  </w:num>
  <w:num w:numId="5">
    <w:abstractNumId w:val="3"/>
  </w:num>
  <w:num w:numId="6">
    <w:abstractNumId w:val="20"/>
  </w:num>
  <w:num w:numId="7">
    <w:abstractNumId w:val="9"/>
  </w:num>
  <w:num w:numId="8">
    <w:abstractNumId w:val="0"/>
  </w:num>
  <w:num w:numId="9">
    <w:abstractNumId w:val="19"/>
  </w:num>
  <w:num w:numId="10">
    <w:abstractNumId w:val="17"/>
  </w:num>
  <w:num w:numId="11">
    <w:abstractNumId w:val="5"/>
  </w:num>
  <w:num w:numId="12">
    <w:abstractNumId w:val="7"/>
  </w:num>
  <w:num w:numId="13">
    <w:abstractNumId w:val="8"/>
  </w:num>
  <w:num w:numId="14">
    <w:abstractNumId w:val="14"/>
  </w:num>
  <w:num w:numId="15">
    <w:abstractNumId w:val="6"/>
  </w:num>
  <w:num w:numId="16">
    <w:abstractNumId w:val="25"/>
  </w:num>
  <w:num w:numId="17">
    <w:abstractNumId w:val="23"/>
  </w:num>
  <w:num w:numId="18">
    <w:abstractNumId w:val="27"/>
  </w:num>
  <w:num w:numId="19">
    <w:abstractNumId w:val="21"/>
  </w:num>
  <w:num w:numId="20">
    <w:abstractNumId w:val="11"/>
  </w:num>
  <w:num w:numId="21">
    <w:abstractNumId w:val="18"/>
  </w:num>
  <w:num w:numId="22">
    <w:abstractNumId w:val="4"/>
  </w:num>
  <w:num w:numId="23">
    <w:abstractNumId w:val="13"/>
  </w:num>
  <w:num w:numId="24">
    <w:abstractNumId w:val="1"/>
  </w:num>
  <w:num w:numId="25">
    <w:abstractNumId w:val="10"/>
  </w:num>
  <w:num w:numId="26">
    <w:abstractNumId w:val="16"/>
  </w:num>
  <w:num w:numId="27">
    <w:abstractNumId w:val="22"/>
  </w:num>
  <w:num w:numId="2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FF"/>
    <w:rsid w:val="00001A4D"/>
    <w:rsid w:val="00006A2F"/>
    <w:rsid w:val="00016B19"/>
    <w:rsid w:val="00016FFA"/>
    <w:rsid w:val="00026B26"/>
    <w:rsid w:val="00027D1B"/>
    <w:rsid w:val="00030903"/>
    <w:rsid w:val="00032907"/>
    <w:rsid w:val="0005593A"/>
    <w:rsid w:val="00060B66"/>
    <w:rsid w:val="0006430F"/>
    <w:rsid w:val="000669A7"/>
    <w:rsid w:val="000778F8"/>
    <w:rsid w:val="00086C1A"/>
    <w:rsid w:val="00094EAA"/>
    <w:rsid w:val="000A53B9"/>
    <w:rsid w:val="000B63CD"/>
    <w:rsid w:val="000C4DFA"/>
    <w:rsid w:val="000C7DF8"/>
    <w:rsid w:val="000D758F"/>
    <w:rsid w:val="000D79BB"/>
    <w:rsid w:val="000E0F4D"/>
    <w:rsid w:val="000E14D7"/>
    <w:rsid w:val="000E2D31"/>
    <w:rsid w:val="000E4D29"/>
    <w:rsid w:val="00102885"/>
    <w:rsid w:val="00121A6D"/>
    <w:rsid w:val="00125E92"/>
    <w:rsid w:val="00131581"/>
    <w:rsid w:val="00133FAE"/>
    <w:rsid w:val="00134B2E"/>
    <w:rsid w:val="0015453D"/>
    <w:rsid w:val="001574D4"/>
    <w:rsid w:val="001631F3"/>
    <w:rsid w:val="001663EA"/>
    <w:rsid w:val="00170838"/>
    <w:rsid w:val="001712D5"/>
    <w:rsid w:val="00171D26"/>
    <w:rsid w:val="001774F6"/>
    <w:rsid w:val="00183A4F"/>
    <w:rsid w:val="00185D2C"/>
    <w:rsid w:val="001914EA"/>
    <w:rsid w:val="001914EE"/>
    <w:rsid w:val="00193715"/>
    <w:rsid w:val="001939C1"/>
    <w:rsid w:val="001948B0"/>
    <w:rsid w:val="0019627E"/>
    <w:rsid w:val="001B02B5"/>
    <w:rsid w:val="001B0D3A"/>
    <w:rsid w:val="001B6723"/>
    <w:rsid w:val="001C21BB"/>
    <w:rsid w:val="001C2EFD"/>
    <w:rsid w:val="001C785D"/>
    <w:rsid w:val="001D17EC"/>
    <w:rsid w:val="001D2E15"/>
    <w:rsid w:val="001D451D"/>
    <w:rsid w:val="001E79C2"/>
    <w:rsid w:val="001F45EA"/>
    <w:rsid w:val="001F47F7"/>
    <w:rsid w:val="002001AA"/>
    <w:rsid w:val="00202077"/>
    <w:rsid w:val="002100E8"/>
    <w:rsid w:val="00221A3F"/>
    <w:rsid w:val="002251E6"/>
    <w:rsid w:val="00233865"/>
    <w:rsid w:val="0023593B"/>
    <w:rsid w:val="00245E6D"/>
    <w:rsid w:val="00245FAE"/>
    <w:rsid w:val="002609E3"/>
    <w:rsid w:val="002647A4"/>
    <w:rsid w:val="00273D41"/>
    <w:rsid w:val="0029074B"/>
    <w:rsid w:val="00291A45"/>
    <w:rsid w:val="002A1167"/>
    <w:rsid w:val="002A1979"/>
    <w:rsid w:val="002A5B6A"/>
    <w:rsid w:val="002A7883"/>
    <w:rsid w:val="002B2CE5"/>
    <w:rsid w:val="002B3B97"/>
    <w:rsid w:val="002C1C11"/>
    <w:rsid w:val="002D56C6"/>
    <w:rsid w:val="002D6985"/>
    <w:rsid w:val="002E45AC"/>
    <w:rsid w:val="002E5C81"/>
    <w:rsid w:val="002F04FD"/>
    <w:rsid w:val="002F56F3"/>
    <w:rsid w:val="002F7DF6"/>
    <w:rsid w:val="003024DA"/>
    <w:rsid w:val="0031279D"/>
    <w:rsid w:val="003151A6"/>
    <w:rsid w:val="003159DA"/>
    <w:rsid w:val="00321961"/>
    <w:rsid w:val="003246B9"/>
    <w:rsid w:val="003246E1"/>
    <w:rsid w:val="00324C1A"/>
    <w:rsid w:val="0033110F"/>
    <w:rsid w:val="00333C2C"/>
    <w:rsid w:val="00337064"/>
    <w:rsid w:val="00343855"/>
    <w:rsid w:val="00351CCF"/>
    <w:rsid w:val="00355637"/>
    <w:rsid w:val="00356655"/>
    <w:rsid w:val="0036152B"/>
    <w:rsid w:val="00361831"/>
    <w:rsid w:val="003645BE"/>
    <w:rsid w:val="00365445"/>
    <w:rsid w:val="00365934"/>
    <w:rsid w:val="0036611A"/>
    <w:rsid w:val="00374636"/>
    <w:rsid w:val="00376E85"/>
    <w:rsid w:val="00380077"/>
    <w:rsid w:val="00391BC5"/>
    <w:rsid w:val="00395845"/>
    <w:rsid w:val="003970DF"/>
    <w:rsid w:val="003A0BB0"/>
    <w:rsid w:val="003A123D"/>
    <w:rsid w:val="003C08BA"/>
    <w:rsid w:val="003C10D6"/>
    <w:rsid w:val="003C41A2"/>
    <w:rsid w:val="003D21E3"/>
    <w:rsid w:val="003D4887"/>
    <w:rsid w:val="003E2B31"/>
    <w:rsid w:val="003E51EA"/>
    <w:rsid w:val="003E59CE"/>
    <w:rsid w:val="003F2A94"/>
    <w:rsid w:val="003F2AD7"/>
    <w:rsid w:val="003F55FA"/>
    <w:rsid w:val="003F7934"/>
    <w:rsid w:val="00400D60"/>
    <w:rsid w:val="00402BDC"/>
    <w:rsid w:val="00407A14"/>
    <w:rsid w:val="00410279"/>
    <w:rsid w:val="004103F0"/>
    <w:rsid w:val="004123B2"/>
    <w:rsid w:val="00413BE7"/>
    <w:rsid w:val="0041463C"/>
    <w:rsid w:val="004225FD"/>
    <w:rsid w:val="004332CD"/>
    <w:rsid w:val="00433CEC"/>
    <w:rsid w:val="004351C3"/>
    <w:rsid w:val="00441EFB"/>
    <w:rsid w:val="00442C0E"/>
    <w:rsid w:val="00443774"/>
    <w:rsid w:val="00445DB7"/>
    <w:rsid w:val="00447E41"/>
    <w:rsid w:val="00452789"/>
    <w:rsid w:val="00456FC6"/>
    <w:rsid w:val="0046324D"/>
    <w:rsid w:val="00467BE6"/>
    <w:rsid w:val="00470F86"/>
    <w:rsid w:val="0047747C"/>
    <w:rsid w:val="004A2FE0"/>
    <w:rsid w:val="004A377E"/>
    <w:rsid w:val="004B32E9"/>
    <w:rsid w:val="004D303F"/>
    <w:rsid w:val="004E44C7"/>
    <w:rsid w:val="004E66A7"/>
    <w:rsid w:val="004F1935"/>
    <w:rsid w:val="004F1957"/>
    <w:rsid w:val="004F596A"/>
    <w:rsid w:val="004F6E96"/>
    <w:rsid w:val="004F7DFD"/>
    <w:rsid w:val="00506ED3"/>
    <w:rsid w:val="00510110"/>
    <w:rsid w:val="00511311"/>
    <w:rsid w:val="00516BFA"/>
    <w:rsid w:val="005214FD"/>
    <w:rsid w:val="00527274"/>
    <w:rsid w:val="0053066F"/>
    <w:rsid w:val="00532AA8"/>
    <w:rsid w:val="0054193F"/>
    <w:rsid w:val="00546352"/>
    <w:rsid w:val="00546B0D"/>
    <w:rsid w:val="00547EA4"/>
    <w:rsid w:val="00552106"/>
    <w:rsid w:val="00553B28"/>
    <w:rsid w:val="00554AB7"/>
    <w:rsid w:val="0055549A"/>
    <w:rsid w:val="00557AF8"/>
    <w:rsid w:val="0057322F"/>
    <w:rsid w:val="00573846"/>
    <w:rsid w:val="00580A05"/>
    <w:rsid w:val="00585450"/>
    <w:rsid w:val="00586714"/>
    <w:rsid w:val="00590905"/>
    <w:rsid w:val="005911BB"/>
    <w:rsid w:val="005939CF"/>
    <w:rsid w:val="005A3F9A"/>
    <w:rsid w:val="005B4BCE"/>
    <w:rsid w:val="005C615E"/>
    <w:rsid w:val="005D45A5"/>
    <w:rsid w:val="005D6694"/>
    <w:rsid w:val="005E0B49"/>
    <w:rsid w:val="005E7370"/>
    <w:rsid w:val="005F1255"/>
    <w:rsid w:val="005F3C3B"/>
    <w:rsid w:val="005F77F1"/>
    <w:rsid w:val="00601513"/>
    <w:rsid w:val="0063643F"/>
    <w:rsid w:val="00657125"/>
    <w:rsid w:val="0066491E"/>
    <w:rsid w:val="0066503A"/>
    <w:rsid w:val="00667E6B"/>
    <w:rsid w:val="0067228F"/>
    <w:rsid w:val="006747EA"/>
    <w:rsid w:val="00675ED0"/>
    <w:rsid w:val="0069017C"/>
    <w:rsid w:val="00690B18"/>
    <w:rsid w:val="0069121D"/>
    <w:rsid w:val="006917F1"/>
    <w:rsid w:val="006A0CE7"/>
    <w:rsid w:val="006A39E8"/>
    <w:rsid w:val="006A6957"/>
    <w:rsid w:val="006B10AF"/>
    <w:rsid w:val="006B3838"/>
    <w:rsid w:val="006C396E"/>
    <w:rsid w:val="006F1C4B"/>
    <w:rsid w:val="006F3A9B"/>
    <w:rsid w:val="006F473F"/>
    <w:rsid w:val="006F4779"/>
    <w:rsid w:val="00702530"/>
    <w:rsid w:val="00703D6D"/>
    <w:rsid w:val="00706D02"/>
    <w:rsid w:val="00707B04"/>
    <w:rsid w:val="00720E33"/>
    <w:rsid w:val="00723733"/>
    <w:rsid w:val="00730496"/>
    <w:rsid w:val="007376A9"/>
    <w:rsid w:val="0074107B"/>
    <w:rsid w:val="007467FE"/>
    <w:rsid w:val="00747EBC"/>
    <w:rsid w:val="00757734"/>
    <w:rsid w:val="00763606"/>
    <w:rsid w:val="007711C2"/>
    <w:rsid w:val="00772E69"/>
    <w:rsid w:val="00774B91"/>
    <w:rsid w:val="00782C89"/>
    <w:rsid w:val="00783C35"/>
    <w:rsid w:val="00784F4A"/>
    <w:rsid w:val="007863B7"/>
    <w:rsid w:val="00797FFC"/>
    <w:rsid w:val="007A12AC"/>
    <w:rsid w:val="007A177E"/>
    <w:rsid w:val="007A4807"/>
    <w:rsid w:val="007B6047"/>
    <w:rsid w:val="007C21A7"/>
    <w:rsid w:val="007C248B"/>
    <w:rsid w:val="007C306D"/>
    <w:rsid w:val="007D03AD"/>
    <w:rsid w:val="007D3CC9"/>
    <w:rsid w:val="007E0588"/>
    <w:rsid w:val="007E1452"/>
    <w:rsid w:val="007E3795"/>
    <w:rsid w:val="007E60C0"/>
    <w:rsid w:val="007E76C3"/>
    <w:rsid w:val="007E77AD"/>
    <w:rsid w:val="007F356A"/>
    <w:rsid w:val="007F3A4D"/>
    <w:rsid w:val="008075FF"/>
    <w:rsid w:val="00807CF3"/>
    <w:rsid w:val="008145F3"/>
    <w:rsid w:val="0081714E"/>
    <w:rsid w:val="0082087E"/>
    <w:rsid w:val="00821DEB"/>
    <w:rsid w:val="00823E58"/>
    <w:rsid w:val="00826669"/>
    <w:rsid w:val="008316BD"/>
    <w:rsid w:val="00834403"/>
    <w:rsid w:val="00834BB5"/>
    <w:rsid w:val="00845D4C"/>
    <w:rsid w:val="00847D1A"/>
    <w:rsid w:val="00854954"/>
    <w:rsid w:val="00854E4B"/>
    <w:rsid w:val="00860903"/>
    <w:rsid w:val="00863991"/>
    <w:rsid w:val="008667E9"/>
    <w:rsid w:val="008805C8"/>
    <w:rsid w:val="0088330C"/>
    <w:rsid w:val="00890935"/>
    <w:rsid w:val="008937F1"/>
    <w:rsid w:val="00896554"/>
    <w:rsid w:val="008B628E"/>
    <w:rsid w:val="008B7633"/>
    <w:rsid w:val="008C06B9"/>
    <w:rsid w:val="008C0E0C"/>
    <w:rsid w:val="008C2B8A"/>
    <w:rsid w:val="008D19B6"/>
    <w:rsid w:val="008D3245"/>
    <w:rsid w:val="008D3C96"/>
    <w:rsid w:val="008E332A"/>
    <w:rsid w:val="008E519B"/>
    <w:rsid w:val="008E7D05"/>
    <w:rsid w:val="008F18B1"/>
    <w:rsid w:val="009022AD"/>
    <w:rsid w:val="0090540C"/>
    <w:rsid w:val="00905A68"/>
    <w:rsid w:val="00910130"/>
    <w:rsid w:val="00913273"/>
    <w:rsid w:val="00913648"/>
    <w:rsid w:val="00933B95"/>
    <w:rsid w:val="00933C14"/>
    <w:rsid w:val="00933C67"/>
    <w:rsid w:val="009345C6"/>
    <w:rsid w:val="0093466F"/>
    <w:rsid w:val="00941300"/>
    <w:rsid w:val="00951080"/>
    <w:rsid w:val="00952E41"/>
    <w:rsid w:val="00954BC6"/>
    <w:rsid w:val="00960F6F"/>
    <w:rsid w:val="00962278"/>
    <w:rsid w:val="0096675D"/>
    <w:rsid w:val="00985A0A"/>
    <w:rsid w:val="00985F61"/>
    <w:rsid w:val="009B2E50"/>
    <w:rsid w:val="009B43F8"/>
    <w:rsid w:val="009B696D"/>
    <w:rsid w:val="009C150D"/>
    <w:rsid w:val="009C2D2C"/>
    <w:rsid w:val="009C3A00"/>
    <w:rsid w:val="009D08E1"/>
    <w:rsid w:val="009D1E92"/>
    <w:rsid w:val="009D2A3C"/>
    <w:rsid w:val="009D493D"/>
    <w:rsid w:val="009F255B"/>
    <w:rsid w:val="00A028A3"/>
    <w:rsid w:val="00A03449"/>
    <w:rsid w:val="00A06234"/>
    <w:rsid w:val="00A11286"/>
    <w:rsid w:val="00A13636"/>
    <w:rsid w:val="00A2605E"/>
    <w:rsid w:val="00A26C7E"/>
    <w:rsid w:val="00A363CB"/>
    <w:rsid w:val="00A45268"/>
    <w:rsid w:val="00A516BB"/>
    <w:rsid w:val="00A6170C"/>
    <w:rsid w:val="00A61A08"/>
    <w:rsid w:val="00A6792B"/>
    <w:rsid w:val="00A72A57"/>
    <w:rsid w:val="00A737BE"/>
    <w:rsid w:val="00A764DB"/>
    <w:rsid w:val="00A77B4C"/>
    <w:rsid w:val="00A82602"/>
    <w:rsid w:val="00A91E7C"/>
    <w:rsid w:val="00A94C41"/>
    <w:rsid w:val="00AA1582"/>
    <w:rsid w:val="00AB6923"/>
    <w:rsid w:val="00AC2D9D"/>
    <w:rsid w:val="00AC775D"/>
    <w:rsid w:val="00AD3530"/>
    <w:rsid w:val="00AF7024"/>
    <w:rsid w:val="00AF779F"/>
    <w:rsid w:val="00B03091"/>
    <w:rsid w:val="00B049B8"/>
    <w:rsid w:val="00B05932"/>
    <w:rsid w:val="00B10552"/>
    <w:rsid w:val="00B13863"/>
    <w:rsid w:val="00B14E10"/>
    <w:rsid w:val="00B176C4"/>
    <w:rsid w:val="00B22FF0"/>
    <w:rsid w:val="00B31C44"/>
    <w:rsid w:val="00B52F3C"/>
    <w:rsid w:val="00B550C5"/>
    <w:rsid w:val="00B77EE3"/>
    <w:rsid w:val="00B814F5"/>
    <w:rsid w:val="00B90FA9"/>
    <w:rsid w:val="00B91EF3"/>
    <w:rsid w:val="00B9224E"/>
    <w:rsid w:val="00BA1168"/>
    <w:rsid w:val="00BA1D24"/>
    <w:rsid w:val="00BB79F4"/>
    <w:rsid w:val="00BC0CE0"/>
    <w:rsid w:val="00BC160B"/>
    <w:rsid w:val="00BD1A2E"/>
    <w:rsid w:val="00BD2691"/>
    <w:rsid w:val="00BE129C"/>
    <w:rsid w:val="00BF1801"/>
    <w:rsid w:val="00C02385"/>
    <w:rsid w:val="00C12165"/>
    <w:rsid w:val="00C1453C"/>
    <w:rsid w:val="00C20396"/>
    <w:rsid w:val="00C2089E"/>
    <w:rsid w:val="00C25301"/>
    <w:rsid w:val="00C255CE"/>
    <w:rsid w:val="00C26871"/>
    <w:rsid w:val="00C27ED0"/>
    <w:rsid w:val="00C32077"/>
    <w:rsid w:val="00C40F63"/>
    <w:rsid w:val="00C4346C"/>
    <w:rsid w:val="00C43A63"/>
    <w:rsid w:val="00C52F7B"/>
    <w:rsid w:val="00C540C6"/>
    <w:rsid w:val="00C56186"/>
    <w:rsid w:val="00C63318"/>
    <w:rsid w:val="00C658E9"/>
    <w:rsid w:val="00C676A5"/>
    <w:rsid w:val="00C712FF"/>
    <w:rsid w:val="00C76A6C"/>
    <w:rsid w:val="00C810F8"/>
    <w:rsid w:val="00C85965"/>
    <w:rsid w:val="00C86149"/>
    <w:rsid w:val="00C94059"/>
    <w:rsid w:val="00C966BD"/>
    <w:rsid w:val="00C97513"/>
    <w:rsid w:val="00CA1B31"/>
    <w:rsid w:val="00CA252E"/>
    <w:rsid w:val="00CA3E76"/>
    <w:rsid w:val="00CB1667"/>
    <w:rsid w:val="00CB6BAB"/>
    <w:rsid w:val="00CC00FE"/>
    <w:rsid w:val="00CC2295"/>
    <w:rsid w:val="00CC6BA3"/>
    <w:rsid w:val="00CC7FC8"/>
    <w:rsid w:val="00CE3165"/>
    <w:rsid w:val="00CF7C6D"/>
    <w:rsid w:val="00D02A65"/>
    <w:rsid w:val="00D0558B"/>
    <w:rsid w:val="00D05FF4"/>
    <w:rsid w:val="00D10BA3"/>
    <w:rsid w:val="00D143C8"/>
    <w:rsid w:val="00D2334B"/>
    <w:rsid w:val="00D24A7F"/>
    <w:rsid w:val="00D302E0"/>
    <w:rsid w:val="00D33208"/>
    <w:rsid w:val="00D337B0"/>
    <w:rsid w:val="00D351AC"/>
    <w:rsid w:val="00D52D83"/>
    <w:rsid w:val="00D563CC"/>
    <w:rsid w:val="00D619E9"/>
    <w:rsid w:val="00D63E53"/>
    <w:rsid w:val="00D64531"/>
    <w:rsid w:val="00D64574"/>
    <w:rsid w:val="00D64CD2"/>
    <w:rsid w:val="00D70264"/>
    <w:rsid w:val="00D7138D"/>
    <w:rsid w:val="00D7206D"/>
    <w:rsid w:val="00D7346B"/>
    <w:rsid w:val="00D9029E"/>
    <w:rsid w:val="00D92537"/>
    <w:rsid w:val="00D931C4"/>
    <w:rsid w:val="00D943FF"/>
    <w:rsid w:val="00DA62F9"/>
    <w:rsid w:val="00DB3B7E"/>
    <w:rsid w:val="00DB59A1"/>
    <w:rsid w:val="00DB6AD5"/>
    <w:rsid w:val="00DC3722"/>
    <w:rsid w:val="00DD2A83"/>
    <w:rsid w:val="00DE55CE"/>
    <w:rsid w:val="00DE7C5C"/>
    <w:rsid w:val="00DF193E"/>
    <w:rsid w:val="00DF1F57"/>
    <w:rsid w:val="00E042CA"/>
    <w:rsid w:val="00E0434F"/>
    <w:rsid w:val="00E1144F"/>
    <w:rsid w:val="00E1690B"/>
    <w:rsid w:val="00E310B4"/>
    <w:rsid w:val="00E36984"/>
    <w:rsid w:val="00E43D95"/>
    <w:rsid w:val="00E45DF1"/>
    <w:rsid w:val="00E50626"/>
    <w:rsid w:val="00E52C00"/>
    <w:rsid w:val="00E53807"/>
    <w:rsid w:val="00E53C94"/>
    <w:rsid w:val="00E54C6F"/>
    <w:rsid w:val="00E635A7"/>
    <w:rsid w:val="00E76509"/>
    <w:rsid w:val="00E80A7F"/>
    <w:rsid w:val="00E831CA"/>
    <w:rsid w:val="00E8356B"/>
    <w:rsid w:val="00E835FC"/>
    <w:rsid w:val="00E87D5A"/>
    <w:rsid w:val="00E9003A"/>
    <w:rsid w:val="00EA2832"/>
    <w:rsid w:val="00EA356E"/>
    <w:rsid w:val="00EA3826"/>
    <w:rsid w:val="00EA6888"/>
    <w:rsid w:val="00EB72B9"/>
    <w:rsid w:val="00EB75CF"/>
    <w:rsid w:val="00EC20A1"/>
    <w:rsid w:val="00EC28C2"/>
    <w:rsid w:val="00EC403A"/>
    <w:rsid w:val="00EC521A"/>
    <w:rsid w:val="00ED032C"/>
    <w:rsid w:val="00ED3FD6"/>
    <w:rsid w:val="00EE7BD7"/>
    <w:rsid w:val="00EF1D1F"/>
    <w:rsid w:val="00EF2E4B"/>
    <w:rsid w:val="00EF6D66"/>
    <w:rsid w:val="00F012E1"/>
    <w:rsid w:val="00F03411"/>
    <w:rsid w:val="00F11D0E"/>
    <w:rsid w:val="00F141F5"/>
    <w:rsid w:val="00F25EC9"/>
    <w:rsid w:val="00F32365"/>
    <w:rsid w:val="00F40D4E"/>
    <w:rsid w:val="00F569C9"/>
    <w:rsid w:val="00F816A5"/>
    <w:rsid w:val="00F824BC"/>
    <w:rsid w:val="00FA0ECF"/>
    <w:rsid w:val="00FA1741"/>
    <w:rsid w:val="00FA6A2F"/>
    <w:rsid w:val="00FB3F19"/>
    <w:rsid w:val="00FB6132"/>
    <w:rsid w:val="00FC089F"/>
    <w:rsid w:val="00FD2BCF"/>
    <w:rsid w:val="00FD63B7"/>
    <w:rsid w:val="00FD7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2E"/>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
    <w:name w:val="Unresolved Mention"/>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676F-4120-4DCE-A81D-9F467A3E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Leslie McDonald</cp:lastModifiedBy>
  <cp:revision>8</cp:revision>
  <cp:lastPrinted>2022-08-12T02:41:00Z</cp:lastPrinted>
  <dcterms:created xsi:type="dcterms:W3CDTF">2022-09-05T03:37:00Z</dcterms:created>
  <dcterms:modified xsi:type="dcterms:W3CDTF">2022-11-22T02:07:00Z</dcterms:modified>
</cp:coreProperties>
</file>