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023" w14:textId="185F0FA3" w:rsidR="002436BD" w:rsidRPr="002C6D26" w:rsidRDefault="00F401C2" w:rsidP="00DF7DA0">
      <w:pPr>
        <w:pStyle w:val="Heading"/>
        <w:spacing w:after="240"/>
        <w:jc w:val="center"/>
        <w:rPr>
          <w:rFonts w:ascii="Times New Roman" w:hAnsi="Times New Roman"/>
          <w:sz w:val="24"/>
          <w:szCs w:val="24"/>
        </w:rPr>
      </w:pPr>
      <w:r>
        <w:rPr>
          <w:rFonts w:ascii="Times New Roman" w:hAnsi="Times New Roman"/>
          <w:sz w:val="24"/>
          <w:szCs w:val="24"/>
        </w:rPr>
        <w:t>Superannuation</w:t>
      </w:r>
      <w:r w:rsidR="002436BD" w:rsidRPr="002C6D26">
        <w:rPr>
          <w:rFonts w:ascii="Times New Roman" w:hAnsi="Times New Roman"/>
          <w:sz w:val="24"/>
          <w:szCs w:val="24"/>
        </w:rPr>
        <w:t xml:space="preserve"> (prudential standard) determination </w:t>
      </w:r>
      <w:r w:rsidR="002436BD" w:rsidRPr="00ED31C9">
        <w:rPr>
          <w:rFonts w:ascii="Times New Roman" w:hAnsi="Times New Roman"/>
          <w:sz w:val="24"/>
          <w:szCs w:val="24"/>
        </w:rPr>
        <w:t xml:space="preserve">No. </w:t>
      </w:r>
      <w:r w:rsidR="00135220" w:rsidRPr="00ED31C9">
        <w:rPr>
          <w:rFonts w:ascii="Times New Roman" w:hAnsi="Times New Roman"/>
          <w:sz w:val="24"/>
          <w:szCs w:val="24"/>
        </w:rPr>
        <w:t>2</w:t>
      </w:r>
      <w:r w:rsidR="00226FF7" w:rsidRPr="00ED31C9">
        <w:rPr>
          <w:rFonts w:ascii="Times New Roman" w:hAnsi="Times New Roman"/>
          <w:sz w:val="24"/>
          <w:szCs w:val="24"/>
        </w:rPr>
        <w:t xml:space="preserve"> </w:t>
      </w:r>
      <w:r w:rsidR="002436BD" w:rsidRPr="00ED31C9">
        <w:rPr>
          <w:rFonts w:ascii="Times New Roman" w:hAnsi="Times New Roman"/>
          <w:sz w:val="24"/>
          <w:szCs w:val="24"/>
        </w:rPr>
        <w:t>of 20</w:t>
      </w:r>
      <w:r w:rsidRPr="00ED31C9">
        <w:rPr>
          <w:rFonts w:ascii="Times New Roman" w:hAnsi="Times New Roman"/>
          <w:sz w:val="24"/>
          <w:szCs w:val="24"/>
        </w:rPr>
        <w:t>22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0C7A9536" w:rsidR="002436BD" w:rsidRPr="002C6D26" w:rsidRDefault="00F401C2" w:rsidP="00DF7DA0">
      <w:pPr>
        <w:pStyle w:val="Heading"/>
        <w:tabs>
          <w:tab w:val="left" w:pos="360"/>
        </w:tabs>
        <w:spacing w:after="240"/>
        <w:jc w:val="center"/>
        <w:rPr>
          <w:rFonts w:ascii="Times New Roman" w:hAnsi="Times New Roman"/>
          <w:b w:val="0"/>
          <w:sz w:val="24"/>
          <w:szCs w:val="24"/>
        </w:rPr>
      </w:pPr>
      <w:r w:rsidRPr="00F401C2">
        <w:rPr>
          <w:rFonts w:ascii="Times New Roman" w:hAnsi="Times New Roman"/>
          <w:b w:val="0"/>
          <w:i/>
          <w:sz w:val="24"/>
          <w:szCs w:val="24"/>
        </w:rPr>
        <w:t>Superannuation Industry (Supervision) Act 1993</w:t>
      </w:r>
      <w:r w:rsidR="002436BD" w:rsidRPr="002C6D26">
        <w:rPr>
          <w:rFonts w:ascii="Times New Roman" w:hAnsi="Times New Roman"/>
          <w:b w:val="0"/>
          <w:sz w:val="24"/>
          <w:szCs w:val="24"/>
        </w:rPr>
        <w:t xml:space="preserve">, </w:t>
      </w:r>
      <w:r w:rsidR="002436BD" w:rsidRPr="002C6D26">
        <w:rPr>
          <w:rFonts w:ascii="Times New Roman" w:hAnsi="Times New Roman"/>
          <w:b w:val="0"/>
          <w:color w:val="000000"/>
          <w:sz w:val="24"/>
          <w:szCs w:val="24"/>
        </w:rPr>
        <w:t xml:space="preserve">section </w:t>
      </w:r>
      <w:r>
        <w:rPr>
          <w:rFonts w:ascii="Times New Roman" w:hAnsi="Times New Roman"/>
          <w:b w:val="0"/>
          <w:color w:val="000000"/>
          <w:sz w:val="24"/>
          <w:szCs w:val="24"/>
        </w:rPr>
        <w:t>34C</w:t>
      </w:r>
    </w:p>
    <w:p w14:paraId="066E4F30" w14:textId="1ED3136B" w:rsidR="002436BD" w:rsidRPr="002C6D26" w:rsidRDefault="002436BD" w:rsidP="00DF7DA0">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F401C2">
        <w:rPr>
          <w:rFonts w:ascii="Times New Roman" w:hAnsi="Times New Roman"/>
          <w:sz w:val="24"/>
          <w:szCs w:val="24"/>
        </w:rPr>
        <w:t>34</w:t>
      </w:r>
      <w:proofErr w:type="gramStart"/>
      <w:r w:rsidR="00F401C2">
        <w:rPr>
          <w:rFonts w:ascii="Times New Roman" w:hAnsi="Times New Roman"/>
          <w:sz w:val="24"/>
          <w:szCs w:val="24"/>
        </w:rPr>
        <w:t>C</w:t>
      </w:r>
      <w:r w:rsidRPr="002C6D26">
        <w:rPr>
          <w:rFonts w:ascii="Times New Roman" w:hAnsi="Times New Roman"/>
          <w:sz w:val="24"/>
          <w:szCs w:val="24"/>
        </w:rPr>
        <w:t>(</w:t>
      </w:r>
      <w:proofErr w:type="gramEnd"/>
      <w:r w:rsidRPr="002C6D26">
        <w:rPr>
          <w:rFonts w:ascii="Times New Roman" w:hAnsi="Times New Roman"/>
          <w:sz w:val="24"/>
          <w:szCs w:val="24"/>
        </w:rPr>
        <w:t xml:space="preserve">1) of the </w:t>
      </w:r>
      <w:r w:rsidR="00F401C2" w:rsidRPr="00F401C2">
        <w:rPr>
          <w:rFonts w:ascii="Times New Roman" w:hAnsi="Times New Roman"/>
          <w:i/>
          <w:sz w:val="24"/>
          <w:szCs w:val="24"/>
        </w:rPr>
        <w:t>Superannuation Industry (Supervision) Act 1993</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w:t>
      </w:r>
      <w:r w:rsidR="00F401C2" w:rsidRPr="00F401C2">
        <w:rPr>
          <w:rFonts w:ascii="Times New Roman" w:hAnsi="Times New Roman"/>
          <w:sz w:val="24"/>
          <w:szCs w:val="24"/>
        </w:rPr>
        <w:t>all RSE licensees of registrable superannuation entities (RSEs</w:t>
      </w:r>
      <w:r w:rsidR="00F401C2">
        <w:rPr>
          <w:rFonts w:ascii="Times New Roman" w:hAnsi="Times New Roman"/>
          <w:sz w:val="24"/>
          <w:szCs w:val="24"/>
        </w:rPr>
        <w:t xml:space="preserve">). </w:t>
      </w:r>
      <w:r w:rsidR="00F30C81" w:rsidRPr="00F30C81">
        <w:rPr>
          <w:rFonts w:ascii="Times New Roman" w:hAnsi="Times New Roman"/>
          <w:sz w:val="24"/>
          <w:szCs w:val="24"/>
        </w:rPr>
        <w:t xml:space="preserve">Under subsection </w:t>
      </w:r>
      <w:r w:rsidR="00E93589">
        <w:rPr>
          <w:rFonts w:ascii="Times New Roman" w:hAnsi="Times New Roman"/>
          <w:sz w:val="24"/>
          <w:szCs w:val="24"/>
        </w:rPr>
        <w:t>34</w:t>
      </w:r>
      <w:proofErr w:type="gramStart"/>
      <w:r w:rsidR="00E93589">
        <w:rPr>
          <w:rFonts w:ascii="Times New Roman" w:hAnsi="Times New Roman"/>
          <w:sz w:val="24"/>
          <w:szCs w:val="24"/>
        </w:rPr>
        <w:t>C(</w:t>
      </w:r>
      <w:proofErr w:type="gramEnd"/>
      <w:r w:rsidR="00E93589">
        <w:rPr>
          <w:rFonts w:ascii="Times New Roman" w:hAnsi="Times New Roman"/>
          <w:sz w:val="24"/>
          <w:szCs w:val="24"/>
        </w:rPr>
        <w:t xml:space="preserve">6) </w:t>
      </w:r>
      <w:r w:rsidR="00F30C81" w:rsidRPr="00F30C81">
        <w:rPr>
          <w:rFonts w:ascii="Times New Roman" w:hAnsi="Times New Roman"/>
          <w:sz w:val="24"/>
          <w:szCs w:val="24"/>
        </w:rPr>
        <w:t>of the Act, APRA may, in writing, vary or revoke a prudential standard.</w:t>
      </w:r>
    </w:p>
    <w:p w14:paraId="50E09C1C" w14:textId="2F18B8BA" w:rsidR="00246723" w:rsidRDefault="002436BD" w:rsidP="00DF7DA0">
      <w:pPr>
        <w:widowControl w:val="0"/>
        <w:spacing w:after="240"/>
        <w:jc w:val="both"/>
        <w:rPr>
          <w:rFonts w:ascii="Times New Roman" w:hAnsi="Times New Roman"/>
          <w:sz w:val="24"/>
          <w:szCs w:val="24"/>
        </w:rPr>
      </w:pPr>
      <w:r>
        <w:rPr>
          <w:rFonts w:ascii="Times New Roman" w:hAnsi="Times New Roman"/>
          <w:sz w:val="24"/>
          <w:szCs w:val="24"/>
        </w:rPr>
        <w:t>On</w:t>
      </w:r>
      <w:r w:rsidR="00A87DEE">
        <w:rPr>
          <w:rFonts w:ascii="Times New Roman" w:hAnsi="Times New Roman"/>
          <w:sz w:val="24"/>
          <w:szCs w:val="24"/>
        </w:rPr>
        <w:t xml:space="preserve"> </w:t>
      </w:r>
      <w:r w:rsidR="007F1076">
        <w:rPr>
          <w:rFonts w:ascii="Times New Roman" w:hAnsi="Times New Roman"/>
          <w:sz w:val="24"/>
          <w:szCs w:val="24"/>
        </w:rPr>
        <w:t>18 November</w:t>
      </w:r>
      <w:r w:rsidR="00E93589">
        <w:rPr>
          <w:rFonts w:ascii="Times New Roman" w:hAnsi="Times New Roman"/>
          <w:sz w:val="24"/>
          <w:szCs w:val="24"/>
        </w:rPr>
        <w:t xml:space="preserve"> 2022</w:t>
      </w:r>
      <w:r>
        <w:rPr>
          <w:rFonts w:ascii="Times New Roman" w:hAnsi="Times New Roman"/>
          <w:sz w:val="24"/>
          <w:szCs w:val="24"/>
        </w:rPr>
        <w:t xml:space="preserve">, APRA made </w:t>
      </w:r>
      <w:r w:rsidR="00E93589">
        <w:rPr>
          <w:rFonts w:ascii="Times New Roman" w:hAnsi="Times New Roman"/>
          <w:sz w:val="24"/>
          <w:szCs w:val="24"/>
        </w:rPr>
        <w:t xml:space="preserve">Superannuation </w:t>
      </w:r>
      <w:r w:rsidRPr="002C6D26">
        <w:rPr>
          <w:rFonts w:ascii="Times New Roman" w:hAnsi="Times New Roman"/>
          <w:sz w:val="24"/>
          <w:szCs w:val="24"/>
        </w:rPr>
        <w:t xml:space="preserve">(prudential standard) determination </w:t>
      </w:r>
      <w:r w:rsidRPr="00ED31C9">
        <w:rPr>
          <w:rFonts w:ascii="Times New Roman" w:hAnsi="Times New Roman"/>
          <w:sz w:val="24"/>
          <w:szCs w:val="24"/>
        </w:rPr>
        <w:t xml:space="preserve">No. </w:t>
      </w:r>
      <w:r w:rsidR="00B909C2" w:rsidRPr="00ED31C9">
        <w:rPr>
          <w:rFonts w:ascii="Times New Roman" w:hAnsi="Times New Roman"/>
          <w:sz w:val="24"/>
          <w:szCs w:val="24"/>
        </w:rPr>
        <w:t>2</w:t>
      </w:r>
      <w:r w:rsidRPr="00ED31C9">
        <w:rPr>
          <w:rFonts w:ascii="Times New Roman" w:hAnsi="Times New Roman"/>
          <w:sz w:val="24"/>
          <w:szCs w:val="24"/>
        </w:rPr>
        <w:t xml:space="preserve"> of 20</w:t>
      </w:r>
      <w:r w:rsidR="00E93589" w:rsidRPr="00ED31C9">
        <w:rPr>
          <w:rFonts w:ascii="Times New Roman" w:hAnsi="Times New Roman"/>
          <w:sz w:val="24"/>
          <w:szCs w:val="24"/>
        </w:rPr>
        <w:t>22</w:t>
      </w:r>
      <w:r w:rsidRPr="002C6D26">
        <w:rPr>
          <w:rFonts w:ascii="Times New Roman" w:hAnsi="Times New Roman"/>
          <w:sz w:val="24"/>
          <w:szCs w:val="24"/>
        </w:rPr>
        <w:t xml:space="preserve"> </w:t>
      </w:r>
      <w:r>
        <w:rPr>
          <w:rFonts w:ascii="Times New Roman" w:hAnsi="Times New Roman"/>
          <w:sz w:val="24"/>
          <w:szCs w:val="24"/>
        </w:rPr>
        <w:t xml:space="preserve">(the </w:t>
      </w:r>
      <w:r w:rsidR="009A2ACA">
        <w:rPr>
          <w:rFonts w:ascii="Times New Roman" w:hAnsi="Times New Roman"/>
          <w:sz w:val="24"/>
          <w:szCs w:val="24"/>
        </w:rPr>
        <w:t>I</w:t>
      </w:r>
      <w:r>
        <w:rPr>
          <w:rFonts w:ascii="Times New Roman" w:hAnsi="Times New Roman"/>
          <w:sz w:val="24"/>
          <w:szCs w:val="24"/>
        </w:rPr>
        <w:t xml:space="preserve">nstrument) which </w:t>
      </w:r>
      <w:r w:rsidR="009927BF">
        <w:rPr>
          <w:rFonts w:ascii="Times New Roman" w:hAnsi="Times New Roman"/>
          <w:sz w:val="24"/>
          <w:szCs w:val="24"/>
        </w:rPr>
        <w:t xml:space="preserve">revokes </w:t>
      </w:r>
      <w:r w:rsidR="009927BF" w:rsidRPr="009927BF">
        <w:rPr>
          <w:rFonts w:ascii="Times New Roman" w:hAnsi="Times New Roman"/>
          <w:i/>
          <w:sz w:val="24"/>
          <w:szCs w:val="24"/>
        </w:rPr>
        <w:t xml:space="preserve">Prudential Standard </w:t>
      </w:r>
      <w:r w:rsidR="00E93589">
        <w:rPr>
          <w:rFonts w:ascii="Times New Roman" w:hAnsi="Times New Roman"/>
          <w:i/>
          <w:sz w:val="24"/>
          <w:szCs w:val="24"/>
        </w:rPr>
        <w:t xml:space="preserve">SPS </w:t>
      </w:r>
      <w:r w:rsidR="00BF1C50">
        <w:rPr>
          <w:rFonts w:ascii="Times New Roman" w:hAnsi="Times New Roman"/>
          <w:i/>
          <w:sz w:val="24"/>
          <w:szCs w:val="24"/>
        </w:rPr>
        <w:t>530 Investment Governance</w:t>
      </w:r>
      <w:r w:rsidR="009927BF" w:rsidRPr="009927BF">
        <w:rPr>
          <w:rFonts w:ascii="Times New Roman" w:hAnsi="Times New Roman"/>
          <w:sz w:val="24"/>
          <w:szCs w:val="24"/>
        </w:rPr>
        <w:t xml:space="preserve"> </w:t>
      </w:r>
      <w:r w:rsidR="00BF660A">
        <w:rPr>
          <w:rFonts w:ascii="Times New Roman" w:hAnsi="Times New Roman"/>
          <w:sz w:val="24"/>
          <w:szCs w:val="24"/>
        </w:rPr>
        <w:t xml:space="preserve">(existing SPS </w:t>
      </w:r>
      <w:r w:rsidR="00BF1C50">
        <w:rPr>
          <w:rFonts w:ascii="Times New Roman" w:hAnsi="Times New Roman"/>
          <w:sz w:val="24"/>
          <w:szCs w:val="24"/>
        </w:rPr>
        <w:t>530</w:t>
      </w:r>
      <w:r w:rsidR="00BF660A">
        <w:rPr>
          <w:rFonts w:ascii="Times New Roman" w:hAnsi="Times New Roman"/>
          <w:sz w:val="24"/>
          <w:szCs w:val="24"/>
        </w:rPr>
        <w:t xml:space="preserve">) </w:t>
      </w:r>
      <w:r w:rsidR="009927BF">
        <w:rPr>
          <w:rFonts w:ascii="Times New Roman" w:hAnsi="Times New Roman"/>
          <w:sz w:val="24"/>
          <w:szCs w:val="24"/>
        </w:rPr>
        <w:t xml:space="preserve">made </w:t>
      </w:r>
      <w:r w:rsidR="009927BF" w:rsidRPr="009927BF">
        <w:rPr>
          <w:rFonts w:ascii="Times New Roman" w:hAnsi="Times New Roman"/>
          <w:sz w:val="24"/>
          <w:szCs w:val="24"/>
        </w:rPr>
        <w:t xml:space="preserve">under </w:t>
      </w:r>
      <w:r w:rsidR="003A0CC1">
        <w:rPr>
          <w:rFonts w:ascii="Times New Roman" w:hAnsi="Times New Roman"/>
          <w:sz w:val="24"/>
          <w:szCs w:val="24"/>
        </w:rPr>
        <w:t xml:space="preserve">Superannuation </w:t>
      </w:r>
      <w:r w:rsidR="009927BF" w:rsidRPr="009927BF">
        <w:rPr>
          <w:rFonts w:ascii="Times New Roman" w:hAnsi="Times New Roman"/>
          <w:sz w:val="24"/>
          <w:szCs w:val="24"/>
        </w:rPr>
        <w:t xml:space="preserve">(prudential standard) determination No. </w:t>
      </w:r>
      <w:r w:rsidR="00BF1C50">
        <w:rPr>
          <w:rFonts w:ascii="Times New Roman" w:hAnsi="Times New Roman"/>
          <w:sz w:val="24"/>
          <w:szCs w:val="24"/>
        </w:rPr>
        <w:t>8</w:t>
      </w:r>
      <w:r w:rsidR="009927BF" w:rsidRPr="009927BF">
        <w:rPr>
          <w:rFonts w:ascii="Times New Roman" w:hAnsi="Times New Roman"/>
          <w:sz w:val="24"/>
          <w:szCs w:val="24"/>
        </w:rPr>
        <w:t xml:space="preserve"> of 20</w:t>
      </w:r>
      <w:r w:rsidR="003A0CC1">
        <w:rPr>
          <w:rFonts w:ascii="Times New Roman" w:hAnsi="Times New Roman"/>
          <w:sz w:val="24"/>
          <w:szCs w:val="24"/>
        </w:rPr>
        <w:t>12</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Pr="00246723">
        <w:rPr>
          <w:rFonts w:ascii="Times New Roman" w:hAnsi="Times New Roman"/>
          <w:sz w:val="24"/>
          <w:szCs w:val="24"/>
        </w:rPr>
        <w:t xml:space="preserve"> </w:t>
      </w:r>
      <w:r w:rsidR="003A0CC1">
        <w:rPr>
          <w:rFonts w:ascii="Times New Roman" w:hAnsi="Times New Roman"/>
          <w:i/>
          <w:sz w:val="24"/>
          <w:szCs w:val="24"/>
        </w:rPr>
        <w:t>S</w:t>
      </w:r>
      <w:r w:rsidR="0040175E" w:rsidRPr="0040175E">
        <w:rPr>
          <w:rFonts w:ascii="Times New Roman" w:hAnsi="Times New Roman"/>
          <w:i/>
          <w:sz w:val="24"/>
          <w:szCs w:val="24"/>
        </w:rPr>
        <w:t xml:space="preserve">PS </w:t>
      </w:r>
      <w:r w:rsidR="00BF1C50">
        <w:rPr>
          <w:rFonts w:ascii="Times New Roman" w:hAnsi="Times New Roman"/>
          <w:i/>
          <w:sz w:val="24"/>
          <w:szCs w:val="24"/>
        </w:rPr>
        <w:t>530 Investment Governance</w:t>
      </w:r>
      <w:r>
        <w:rPr>
          <w:rFonts w:ascii="Times New Roman" w:hAnsi="Times New Roman"/>
          <w:i/>
          <w:sz w:val="24"/>
          <w:szCs w:val="24"/>
        </w:rPr>
        <w:t xml:space="preserve"> </w:t>
      </w:r>
      <w:r>
        <w:rPr>
          <w:rFonts w:ascii="Times New Roman" w:hAnsi="Times New Roman"/>
          <w:sz w:val="24"/>
          <w:szCs w:val="24"/>
        </w:rPr>
        <w:t>(</w:t>
      </w:r>
      <w:r w:rsidR="003A0CC1">
        <w:rPr>
          <w:rFonts w:ascii="Times New Roman" w:hAnsi="Times New Roman"/>
          <w:sz w:val="24"/>
          <w:szCs w:val="24"/>
        </w:rPr>
        <w:t xml:space="preserve">SPS </w:t>
      </w:r>
      <w:r w:rsidR="00BF1C50">
        <w:rPr>
          <w:rFonts w:ascii="Times New Roman" w:hAnsi="Times New Roman"/>
          <w:sz w:val="24"/>
          <w:szCs w:val="24"/>
        </w:rPr>
        <w:t>530</w:t>
      </w:r>
      <w:r>
        <w:rPr>
          <w:rFonts w:ascii="Times New Roman" w:hAnsi="Times New Roman"/>
          <w:sz w:val="24"/>
          <w:szCs w:val="24"/>
        </w:rPr>
        <w:t>)</w:t>
      </w:r>
      <w:r w:rsidR="00246723">
        <w:rPr>
          <w:rFonts w:ascii="Times New Roman" w:hAnsi="Times New Roman"/>
          <w:sz w:val="24"/>
          <w:szCs w:val="24"/>
        </w:rPr>
        <w:t>.</w:t>
      </w:r>
      <w:r w:rsidR="00003D3A" w:rsidRPr="00003D3A">
        <w:t xml:space="preserve"> </w:t>
      </w:r>
    </w:p>
    <w:p w14:paraId="5E4C06BF" w14:textId="36F31183" w:rsidR="00246723" w:rsidRDefault="00246723" w:rsidP="00DF7DA0">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3A0CC1">
        <w:rPr>
          <w:rFonts w:ascii="Times New Roman" w:hAnsi="Times New Roman"/>
          <w:sz w:val="24"/>
          <w:szCs w:val="24"/>
        </w:rPr>
        <w:t xml:space="preserve"> </w:t>
      </w:r>
      <w:r w:rsidR="00BF1C50">
        <w:rPr>
          <w:rFonts w:ascii="Times New Roman" w:hAnsi="Times New Roman"/>
          <w:sz w:val="24"/>
          <w:szCs w:val="24"/>
        </w:rPr>
        <w:t xml:space="preserve">1 January </w:t>
      </w:r>
      <w:r w:rsidR="003A0CC1">
        <w:rPr>
          <w:rFonts w:ascii="Times New Roman" w:hAnsi="Times New Roman"/>
          <w:sz w:val="24"/>
          <w:szCs w:val="24"/>
        </w:rPr>
        <w:t>202</w:t>
      </w:r>
      <w:r w:rsidR="00BF1C50">
        <w:rPr>
          <w:rFonts w:ascii="Times New Roman" w:hAnsi="Times New Roman"/>
          <w:sz w:val="24"/>
          <w:szCs w:val="24"/>
        </w:rPr>
        <w:t>3</w:t>
      </w:r>
      <w:r w:rsidR="002436BD" w:rsidRPr="002C6D26">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E7C9D2E" w14:textId="07B63AC0" w:rsidR="002F61FF" w:rsidRDefault="002F61FF" w:rsidP="002F61FF">
      <w:pPr>
        <w:pStyle w:val="Heading"/>
        <w:keepNext/>
        <w:spacing w:after="240"/>
        <w:outlineLvl w:val="0"/>
        <w:rPr>
          <w:rFonts w:ascii="Times New Roman" w:hAnsi="Times New Roman"/>
          <w:b w:val="0"/>
          <w:sz w:val="24"/>
          <w:szCs w:val="24"/>
        </w:rPr>
      </w:pPr>
      <w:r w:rsidRPr="002F61FF">
        <w:rPr>
          <w:rFonts w:ascii="Times New Roman" w:hAnsi="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Pr>
          <w:rFonts w:ascii="Times New Roman" w:hAnsi="Times New Roman"/>
          <w:b w:val="0"/>
          <w:sz w:val="24"/>
          <w:szCs w:val="24"/>
        </w:rPr>
        <w:t xml:space="preserve">. </w:t>
      </w:r>
    </w:p>
    <w:p w14:paraId="6C6842F1" w14:textId="51449FED" w:rsidR="002F61FF" w:rsidRDefault="00255C5E" w:rsidP="00255C5E">
      <w:pPr>
        <w:pStyle w:val="Heading"/>
        <w:keepNext/>
        <w:spacing w:after="240"/>
        <w:outlineLvl w:val="0"/>
        <w:rPr>
          <w:rFonts w:ascii="Times New Roman" w:hAnsi="Times New Roman"/>
          <w:b w:val="0"/>
          <w:sz w:val="24"/>
          <w:szCs w:val="24"/>
        </w:rPr>
      </w:pPr>
      <w:r w:rsidRPr="00255C5E">
        <w:rPr>
          <w:rFonts w:ascii="Times New Roman" w:hAnsi="Times New Roman"/>
          <w:b w:val="0"/>
          <w:sz w:val="24"/>
          <w:szCs w:val="24"/>
        </w:rPr>
        <w:t>APRA carries out this mandate through a multi-layered prudential framework</w:t>
      </w:r>
      <w:r>
        <w:rPr>
          <w:rFonts w:ascii="Times New Roman" w:hAnsi="Times New Roman"/>
          <w:b w:val="0"/>
          <w:sz w:val="24"/>
          <w:szCs w:val="24"/>
        </w:rPr>
        <w:t xml:space="preserve"> that encompasses </w:t>
      </w:r>
      <w:r w:rsidRPr="00255C5E">
        <w:rPr>
          <w:rFonts w:ascii="Times New Roman" w:hAnsi="Times New Roman"/>
          <w:b w:val="0"/>
          <w:sz w:val="24"/>
          <w:szCs w:val="24"/>
        </w:rPr>
        <w:t xml:space="preserve">licensing and supervision of institutions. APRA is empowered under the Act to issue legally binding prudential standards that set out specific prudential requirements </w:t>
      </w:r>
      <w:r w:rsidR="00622863">
        <w:rPr>
          <w:rFonts w:ascii="Times New Roman" w:hAnsi="Times New Roman"/>
          <w:b w:val="0"/>
          <w:sz w:val="24"/>
          <w:szCs w:val="24"/>
        </w:rPr>
        <w:t xml:space="preserve">for </w:t>
      </w:r>
      <w:r w:rsidR="001711F5">
        <w:rPr>
          <w:rFonts w:ascii="Times New Roman" w:hAnsi="Times New Roman"/>
          <w:b w:val="0"/>
          <w:sz w:val="24"/>
          <w:szCs w:val="24"/>
        </w:rPr>
        <w:t>RSE licensees</w:t>
      </w:r>
      <w:r>
        <w:rPr>
          <w:rFonts w:ascii="Times New Roman" w:hAnsi="Times New Roman"/>
          <w:b w:val="0"/>
          <w:sz w:val="24"/>
          <w:szCs w:val="24"/>
        </w:rPr>
        <w:t xml:space="preserve">. </w:t>
      </w:r>
      <w:r w:rsidRPr="00255C5E">
        <w:rPr>
          <w:rFonts w:ascii="Times New Roman" w:hAnsi="Times New Roman"/>
          <w:b w:val="0"/>
          <w:sz w:val="24"/>
          <w:szCs w:val="24"/>
        </w:rPr>
        <w:t xml:space="preserve">These standards are supported by prudential practice guides which clarify APRA’s expectations </w:t>
      </w:r>
      <w:proofErr w:type="gramStart"/>
      <w:r w:rsidRPr="00255C5E">
        <w:rPr>
          <w:rFonts w:ascii="Times New Roman" w:hAnsi="Times New Roman"/>
          <w:b w:val="0"/>
          <w:sz w:val="24"/>
          <w:szCs w:val="24"/>
        </w:rPr>
        <w:t>with regard to</w:t>
      </w:r>
      <w:proofErr w:type="gramEnd"/>
      <w:r w:rsidRPr="00255C5E">
        <w:rPr>
          <w:rFonts w:ascii="Times New Roman" w:hAnsi="Times New Roman"/>
          <w:b w:val="0"/>
          <w:sz w:val="24"/>
          <w:szCs w:val="24"/>
        </w:rPr>
        <w:t xml:space="preserve"> prudential requirements</w:t>
      </w:r>
      <w:r>
        <w:rPr>
          <w:rFonts w:ascii="Times New Roman" w:hAnsi="Times New Roman"/>
          <w:b w:val="0"/>
          <w:sz w:val="24"/>
          <w:szCs w:val="24"/>
        </w:rPr>
        <w:t xml:space="preserve">. </w:t>
      </w:r>
    </w:p>
    <w:p w14:paraId="49C6C693" w14:textId="379406CD" w:rsidR="002B65E6" w:rsidRPr="00DA2C8B" w:rsidRDefault="006A1ED9" w:rsidP="00255C5E">
      <w:pPr>
        <w:pStyle w:val="Heading"/>
        <w:keepNext/>
        <w:spacing w:after="240"/>
        <w:outlineLvl w:val="0"/>
        <w:rPr>
          <w:rFonts w:ascii="Times New Roman" w:hAnsi="Times New Roman"/>
          <w:b w:val="0"/>
          <w:sz w:val="24"/>
          <w:szCs w:val="24"/>
        </w:rPr>
      </w:pPr>
      <w:r w:rsidRPr="008046ED">
        <w:rPr>
          <w:rFonts w:ascii="Times New Roman" w:hAnsi="Times New Roman"/>
          <w:b w:val="0"/>
          <w:sz w:val="24"/>
          <w:szCs w:val="24"/>
        </w:rPr>
        <w:t xml:space="preserve">In </w:t>
      </w:r>
      <w:r w:rsidR="00264CD9" w:rsidRPr="008046ED">
        <w:rPr>
          <w:rFonts w:ascii="Times New Roman" w:hAnsi="Times New Roman"/>
          <w:b w:val="0"/>
          <w:sz w:val="24"/>
          <w:szCs w:val="24"/>
        </w:rPr>
        <w:t>November</w:t>
      </w:r>
      <w:r w:rsidRPr="008046ED">
        <w:rPr>
          <w:rFonts w:ascii="Times New Roman" w:hAnsi="Times New Roman"/>
          <w:b w:val="0"/>
          <w:sz w:val="24"/>
          <w:szCs w:val="24"/>
        </w:rPr>
        <w:t xml:space="preserve"> 2012,</w:t>
      </w:r>
      <w:r>
        <w:rPr>
          <w:rFonts w:ascii="Times New Roman" w:hAnsi="Times New Roman"/>
          <w:b w:val="0"/>
          <w:sz w:val="24"/>
          <w:szCs w:val="24"/>
        </w:rPr>
        <w:t xml:space="preserve"> </w:t>
      </w:r>
      <w:r w:rsidR="002B65E6">
        <w:rPr>
          <w:rFonts w:ascii="Times New Roman" w:hAnsi="Times New Roman"/>
          <w:b w:val="0"/>
          <w:sz w:val="24"/>
          <w:szCs w:val="24"/>
        </w:rPr>
        <w:t xml:space="preserve">APRA issued </w:t>
      </w:r>
      <w:r w:rsidR="00E756D8">
        <w:rPr>
          <w:rFonts w:ascii="Times New Roman" w:hAnsi="Times New Roman"/>
          <w:b w:val="0"/>
          <w:sz w:val="24"/>
          <w:szCs w:val="24"/>
        </w:rPr>
        <w:t xml:space="preserve">a package of </w:t>
      </w:r>
      <w:r w:rsidR="002B65E6">
        <w:rPr>
          <w:rFonts w:ascii="Times New Roman" w:hAnsi="Times New Roman"/>
          <w:b w:val="0"/>
          <w:sz w:val="24"/>
          <w:szCs w:val="24"/>
        </w:rPr>
        <w:t xml:space="preserve">prudential standards </w:t>
      </w:r>
      <w:r>
        <w:rPr>
          <w:rFonts w:ascii="Times New Roman" w:hAnsi="Times New Roman"/>
          <w:b w:val="0"/>
          <w:sz w:val="24"/>
          <w:szCs w:val="24"/>
        </w:rPr>
        <w:t>related to superannuation</w:t>
      </w:r>
      <w:r w:rsidR="00E756D8">
        <w:rPr>
          <w:rFonts w:ascii="Times New Roman" w:hAnsi="Times New Roman"/>
          <w:b w:val="0"/>
          <w:sz w:val="24"/>
          <w:szCs w:val="24"/>
        </w:rPr>
        <w:t>. This included</w:t>
      </w:r>
      <w:r>
        <w:rPr>
          <w:rFonts w:ascii="Times New Roman" w:hAnsi="Times New Roman"/>
          <w:b w:val="0"/>
          <w:sz w:val="24"/>
          <w:szCs w:val="24"/>
        </w:rPr>
        <w:t xml:space="preserve"> </w:t>
      </w:r>
      <w:r w:rsidR="00BF660A">
        <w:rPr>
          <w:rFonts w:ascii="Times New Roman" w:hAnsi="Times New Roman"/>
          <w:b w:val="0"/>
          <w:sz w:val="24"/>
          <w:szCs w:val="24"/>
        </w:rPr>
        <w:t xml:space="preserve">existing </w:t>
      </w:r>
      <w:r w:rsidRPr="00DA2C8B">
        <w:rPr>
          <w:rFonts w:ascii="Times New Roman" w:hAnsi="Times New Roman"/>
          <w:b w:val="0"/>
          <w:sz w:val="24"/>
          <w:szCs w:val="24"/>
        </w:rPr>
        <w:t xml:space="preserve">SPS </w:t>
      </w:r>
      <w:r w:rsidR="000C30E3">
        <w:rPr>
          <w:rFonts w:ascii="Times New Roman" w:hAnsi="Times New Roman"/>
          <w:b w:val="0"/>
          <w:sz w:val="24"/>
          <w:szCs w:val="24"/>
        </w:rPr>
        <w:t>530</w:t>
      </w:r>
      <w:r w:rsidRPr="00DA2C8B">
        <w:rPr>
          <w:rFonts w:ascii="Times New Roman" w:hAnsi="Times New Roman"/>
          <w:b w:val="0"/>
          <w:sz w:val="24"/>
          <w:szCs w:val="24"/>
        </w:rPr>
        <w:t xml:space="preserve"> which was effective from 1 July 2013. </w:t>
      </w:r>
    </w:p>
    <w:p w14:paraId="6CAC3CCD" w14:textId="5E2AEB2C" w:rsidR="00803AC4" w:rsidRPr="00803AC4" w:rsidRDefault="00803AC4" w:rsidP="00787FB9">
      <w:pPr>
        <w:pStyle w:val="NormalWeb"/>
        <w:spacing w:before="0" w:beforeAutospacing="0"/>
      </w:pPr>
      <w:r w:rsidRPr="00803AC4">
        <w:t>In 2018-2019</w:t>
      </w:r>
      <w:r w:rsidR="001711F5">
        <w:t>,</w:t>
      </w:r>
      <w:r w:rsidRPr="00803AC4">
        <w:t xml:space="preserve"> APRA undertook a </w:t>
      </w:r>
      <w:hyperlink r:id="rId13" w:tooltip="Post-implementation review of APRA's superannuation prudential framework" w:history="1">
        <w:r w:rsidRPr="00803AC4">
          <w:t>post-implementation review (PIR)</w:t>
        </w:r>
      </w:hyperlink>
      <w:r w:rsidRPr="00803AC4">
        <w:t> of its superannuation prudential framework,</w:t>
      </w:r>
      <w:r w:rsidR="001711F5">
        <w:t xml:space="preserve"> which included review of</w:t>
      </w:r>
      <w:r w:rsidRPr="00803AC4">
        <w:t xml:space="preserve"> the investment governance requirements</w:t>
      </w:r>
      <w:r w:rsidR="001711F5">
        <w:t xml:space="preserve"> and guidance</w:t>
      </w:r>
      <w:r w:rsidRPr="00803AC4">
        <w:t xml:space="preserve">. The PIR identified several opportunities to enhance </w:t>
      </w:r>
      <w:r w:rsidR="00B909C2">
        <w:t xml:space="preserve">existing </w:t>
      </w:r>
      <w:r w:rsidR="001711F5">
        <w:t xml:space="preserve">SPS 530 to </w:t>
      </w:r>
      <w:r w:rsidRPr="00803AC4">
        <w:t>ensure it remains fit for purpose.</w:t>
      </w:r>
    </w:p>
    <w:p w14:paraId="0B2B2A11" w14:textId="79A8D0AF" w:rsidR="00803AC4" w:rsidRPr="00B249D5" w:rsidRDefault="00803AC4" w:rsidP="00622863">
      <w:pPr>
        <w:pStyle w:val="NormalWeb"/>
        <w:spacing w:before="0" w:beforeAutospacing="0"/>
        <w:jc w:val="both"/>
        <w:rPr>
          <w:b/>
        </w:rPr>
      </w:pPr>
      <w:r w:rsidRPr="00803AC4">
        <w:t>Between September 2020 and March 2021, APRA also conducted a thematic review of unlisted asset valuation practices</w:t>
      </w:r>
      <w:r w:rsidR="00B909C2">
        <w:t xml:space="preserve"> (Unlisted Asset Valuation</w:t>
      </w:r>
      <w:r w:rsidR="00E96C66">
        <w:t xml:space="preserve"> Thematic Review)</w:t>
      </w:r>
      <w:r w:rsidRPr="00803AC4">
        <w:t xml:space="preserve"> to assess industry practices and identify areas for improvement. The findings from the PIR,</w:t>
      </w:r>
      <w:r w:rsidR="00E96C66">
        <w:t xml:space="preserve"> the</w:t>
      </w:r>
      <w:r w:rsidR="001711F5">
        <w:t xml:space="preserve"> </w:t>
      </w:r>
      <w:r w:rsidRPr="00803AC4">
        <w:t xml:space="preserve">Unlisted Asset Valuation Thematic </w:t>
      </w:r>
      <w:r w:rsidR="00E96C66">
        <w:t>R</w:t>
      </w:r>
      <w:r w:rsidRPr="00803AC4">
        <w:t xml:space="preserve">eview, and </w:t>
      </w:r>
      <w:r w:rsidR="001711F5">
        <w:t xml:space="preserve">APRA </w:t>
      </w:r>
      <w:r w:rsidRPr="00803AC4">
        <w:t xml:space="preserve">supervisors’ observations of investment governance </w:t>
      </w:r>
      <w:r w:rsidR="000855A3">
        <w:t xml:space="preserve">practices </w:t>
      </w:r>
      <w:r w:rsidRPr="00803AC4">
        <w:t>more broadly, highlighted the need for improvement in three key areas: stress testing, valuation and liquidity management practices.</w:t>
      </w:r>
    </w:p>
    <w:p w14:paraId="3A120C18" w14:textId="2E8B9304" w:rsidR="00D43215" w:rsidRPr="00D43215" w:rsidRDefault="002436BD" w:rsidP="00D43215">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D2DE122" w14:textId="5C5ACFC5" w:rsidR="008B6FFB" w:rsidRPr="00FA76A4" w:rsidRDefault="00D43215" w:rsidP="008B6FFB">
      <w:pPr>
        <w:pStyle w:val="Heading"/>
        <w:spacing w:after="240"/>
        <w:rPr>
          <w:rFonts w:ascii="Times New Roman" w:hAnsi="Times New Roman"/>
          <w:b w:val="0"/>
          <w:sz w:val="24"/>
          <w:szCs w:val="24"/>
        </w:rPr>
      </w:pPr>
      <w:bookmarkStart w:id="4" w:name="bkPurpose"/>
      <w:bookmarkEnd w:id="4"/>
      <w:r w:rsidRPr="00D43215">
        <w:rPr>
          <w:rFonts w:ascii="Times New Roman" w:hAnsi="Times New Roman"/>
          <w:b w:val="0"/>
          <w:sz w:val="24"/>
          <w:szCs w:val="24"/>
        </w:rPr>
        <w:t xml:space="preserve">The purpose of Superannuation (prudential standard) determination </w:t>
      </w:r>
      <w:r w:rsidRPr="00FA76A4">
        <w:rPr>
          <w:rFonts w:ascii="Times New Roman" w:hAnsi="Times New Roman"/>
          <w:b w:val="0"/>
          <w:sz w:val="24"/>
          <w:szCs w:val="24"/>
        </w:rPr>
        <w:t xml:space="preserve">No. </w:t>
      </w:r>
      <w:r w:rsidR="00135220">
        <w:rPr>
          <w:rFonts w:ascii="Times New Roman" w:hAnsi="Times New Roman"/>
          <w:b w:val="0"/>
          <w:sz w:val="24"/>
          <w:szCs w:val="24"/>
        </w:rPr>
        <w:t>2</w:t>
      </w:r>
      <w:r w:rsidRPr="00FA76A4">
        <w:rPr>
          <w:rFonts w:ascii="Times New Roman" w:hAnsi="Times New Roman"/>
          <w:b w:val="0"/>
          <w:sz w:val="24"/>
          <w:szCs w:val="24"/>
        </w:rPr>
        <w:t xml:space="preserve"> of 2022</w:t>
      </w:r>
      <w:r w:rsidRPr="00D43215">
        <w:rPr>
          <w:rFonts w:ascii="Times New Roman" w:hAnsi="Times New Roman"/>
          <w:b w:val="0"/>
          <w:sz w:val="24"/>
          <w:szCs w:val="24"/>
        </w:rPr>
        <w:t xml:space="preserve"> is to</w:t>
      </w:r>
      <w:r w:rsidR="008B6FFB">
        <w:rPr>
          <w:rFonts w:ascii="Times New Roman" w:hAnsi="Times New Roman"/>
          <w:b w:val="0"/>
          <w:sz w:val="24"/>
          <w:szCs w:val="24"/>
        </w:rPr>
        <w:t xml:space="preserve"> </w:t>
      </w:r>
      <w:r w:rsidR="008B6FFB" w:rsidRPr="008B6FFB">
        <w:rPr>
          <w:rFonts w:ascii="Times New Roman" w:hAnsi="Times New Roman"/>
          <w:b w:val="0"/>
          <w:sz w:val="24"/>
          <w:szCs w:val="24"/>
        </w:rPr>
        <w:t xml:space="preserve">revoke and replace existing SPS </w:t>
      </w:r>
      <w:r w:rsidR="000C30E3">
        <w:rPr>
          <w:rFonts w:ascii="Times New Roman" w:hAnsi="Times New Roman"/>
          <w:b w:val="0"/>
          <w:sz w:val="24"/>
          <w:szCs w:val="24"/>
        </w:rPr>
        <w:t>530</w:t>
      </w:r>
      <w:r w:rsidR="008B6FFB" w:rsidRPr="008B6FFB">
        <w:rPr>
          <w:rFonts w:ascii="Times New Roman" w:hAnsi="Times New Roman"/>
          <w:b w:val="0"/>
          <w:sz w:val="24"/>
          <w:szCs w:val="24"/>
        </w:rPr>
        <w:t xml:space="preserve"> with a new version of the standard</w:t>
      </w:r>
      <w:r w:rsidRPr="00D43215">
        <w:rPr>
          <w:rFonts w:ascii="Times New Roman" w:hAnsi="Times New Roman"/>
          <w:b w:val="0"/>
          <w:sz w:val="24"/>
          <w:szCs w:val="24"/>
        </w:rPr>
        <w:t xml:space="preserve"> and set out</w:t>
      </w:r>
      <w:r w:rsidR="001711F5">
        <w:rPr>
          <w:rFonts w:ascii="Times New Roman" w:hAnsi="Times New Roman"/>
          <w:b w:val="0"/>
          <w:sz w:val="24"/>
          <w:szCs w:val="24"/>
        </w:rPr>
        <w:t>,</w:t>
      </w:r>
      <w:r w:rsidRPr="00D43215">
        <w:rPr>
          <w:rFonts w:ascii="Times New Roman" w:hAnsi="Times New Roman"/>
          <w:b w:val="0"/>
          <w:sz w:val="24"/>
          <w:szCs w:val="24"/>
        </w:rPr>
        <w:t xml:space="preserve"> in SPS </w:t>
      </w:r>
      <w:r w:rsidR="000C30E3">
        <w:rPr>
          <w:rFonts w:ascii="Times New Roman" w:hAnsi="Times New Roman"/>
          <w:b w:val="0"/>
          <w:sz w:val="24"/>
          <w:szCs w:val="24"/>
        </w:rPr>
        <w:t>530</w:t>
      </w:r>
      <w:r w:rsidR="009E3460">
        <w:rPr>
          <w:rFonts w:ascii="Times New Roman" w:hAnsi="Times New Roman"/>
          <w:b w:val="0"/>
          <w:sz w:val="24"/>
          <w:szCs w:val="24"/>
        </w:rPr>
        <w:t>,</w:t>
      </w:r>
      <w:r w:rsidRPr="00D43215">
        <w:rPr>
          <w:rFonts w:ascii="Times New Roman" w:hAnsi="Times New Roman"/>
          <w:b w:val="0"/>
          <w:sz w:val="24"/>
          <w:szCs w:val="24"/>
        </w:rPr>
        <w:t xml:space="preserve"> </w:t>
      </w:r>
      <w:r w:rsidR="00004D34">
        <w:rPr>
          <w:rFonts w:ascii="Times New Roman" w:hAnsi="Times New Roman"/>
          <w:b w:val="0"/>
          <w:sz w:val="24"/>
          <w:szCs w:val="24"/>
        </w:rPr>
        <w:t>revised</w:t>
      </w:r>
      <w:r w:rsidR="00004D34" w:rsidRPr="00004D34">
        <w:rPr>
          <w:rFonts w:ascii="Times New Roman" w:hAnsi="Times New Roman"/>
          <w:b w:val="0"/>
          <w:sz w:val="24"/>
          <w:szCs w:val="24"/>
        </w:rPr>
        <w:t xml:space="preserve"> prudential requirements for </w:t>
      </w:r>
      <w:r w:rsidR="00004D34" w:rsidRPr="00FA76A4">
        <w:rPr>
          <w:rFonts w:ascii="Times New Roman" w:hAnsi="Times New Roman"/>
          <w:b w:val="0"/>
          <w:sz w:val="24"/>
          <w:szCs w:val="24"/>
        </w:rPr>
        <w:t xml:space="preserve">an RSE licensee with respect to </w:t>
      </w:r>
      <w:r w:rsidR="004B184C" w:rsidRPr="00FA76A4">
        <w:rPr>
          <w:rFonts w:ascii="Times New Roman" w:hAnsi="Times New Roman"/>
          <w:b w:val="0"/>
          <w:sz w:val="24"/>
          <w:szCs w:val="24"/>
        </w:rPr>
        <w:t>prudently managing and monitoring investments on behalf of beneficiaries</w:t>
      </w:r>
      <w:r w:rsidR="00004D34" w:rsidRPr="00FA76A4">
        <w:rPr>
          <w:rFonts w:ascii="Times New Roman" w:hAnsi="Times New Roman"/>
          <w:b w:val="0"/>
          <w:sz w:val="24"/>
          <w:szCs w:val="24"/>
        </w:rPr>
        <w:t xml:space="preserve">. </w:t>
      </w:r>
    </w:p>
    <w:p w14:paraId="017B4C4B" w14:textId="22E19EB2" w:rsidR="00EB0383" w:rsidRPr="00FA76A4" w:rsidRDefault="009E3460" w:rsidP="00A37E81">
      <w:pPr>
        <w:pStyle w:val="Heading"/>
        <w:keepNext/>
        <w:spacing w:after="240"/>
        <w:outlineLvl w:val="0"/>
        <w:rPr>
          <w:rFonts w:ascii="Times New Roman" w:hAnsi="Times New Roman"/>
          <w:b w:val="0"/>
          <w:sz w:val="24"/>
          <w:szCs w:val="24"/>
        </w:rPr>
      </w:pPr>
      <w:r w:rsidRPr="00FA76A4">
        <w:rPr>
          <w:rFonts w:ascii="Times New Roman" w:hAnsi="Times New Roman"/>
          <w:b w:val="0"/>
          <w:sz w:val="24"/>
          <w:szCs w:val="24"/>
        </w:rPr>
        <w:t xml:space="preserve">Existing </w:t>
      </w:r>
      <w:r w:rsidR="00EB0383" w:rsidRPr="00FA76A4">
        <w:rPr>
          <w:rFonts w:ascii="Times New Roman" w:hAnsi="Times New Roman"/>
          <w:b w:val="0"/>
          <w:sz w:val="24"/>
          <w:szCs w:val="24"/>
        </w:rPr>
        <w:t xml:space="preserve">SPS </w:t>
      </w:r>
      <w:r w:rsidR="004B184C" w:rsidRPr="00FA76A4">
        <w:rPr>
          <w:rFonts w:ascii="Times New Roman" w:hAnsi="Times New Roman"/>
          <w:b w:val="0"/>
          <w:sz w:val="24"/>
          <w:szCs w:val="24"/>
        </w:rPr>
        <w:t>530</w:t>
      </w:r>
      <w:r w:rsidR="00EB0383" w:rsidRPr="00FA76A4">
        <w:rPr>
          <w:rFonts w:ascii="Times New Roman" w:hAnsi="Times New Roman"/>
          <w:b w:val="0"/>
          <w:sz w:val="24"/>
          <w:szCs w:val="24"/>
        </w:rPr>
        <w:t xml:space="preserve"> has been revised to address </w:t>
      </w:r>
      <w:r w:rsidR="004B184C" w:rsidRPr="00FA76A4">
        <w:rPr>
          <w:rFonts w:ascii="Times New Roman" w:hAnsi="Times New Roman"/>
          <w:b w:val="0"/>
          <w:sz w:val="24"/>
          <w:szCs w:val="24"/>
        </w:rPr>
        <w:t>the findings of the PIR</w:t>
      </w:r>
      <w:r w:rsidR="001711F5">
        <w:rPr>
          <w:rFonts w:ascii="Times New Roman" w:hAnsi="Times New Roman"/>
          <w:b w:val="0"/>
          <w:sz w:val="24"/>
          <w:szCs w:val="24"/>
        </w:rPr>
        <w:t>,</w:t>
      </w:r>
      <w:r w:rsidR="004B184C" w:rsidRPr="00FA76A4">
        <w:rPr>
          <w:rFonts w:ascii="Times New Roman" w:hAnsi="Times New Roman"/>
          <w:b w:val="0"/>
          <w:sz w:val="24"/>
          <w:szCs w:val="24"/>
        </w:rPr>
        <w:t xml:space="preserve"> the Unlisted Asset Valuation Thematic </w:t>
      </w:r>
      <w:r w:rsidR="00E96C66">
        <w:rPr>
          <w:rFonts w:ascii="Times New Roman" w:hAnsi="Times New Roman"/>
          <w:b w:val="0"/>
          <w:sz w:val="24"/>
          <w:szCs w:val="24"/>
        </w:rPr>
        <w:t>R</w:t>
      </w:r>
      <w:r w:rsidR="004B184C" w:rsidRPr="00FA76A4">
        <w:rPr>
          <w:rFonts w:ascii="Times New Roman" w:hAnsi="Times New Roman"/>
          <w:b w:val="0"/>
          <w:sz w:val="24"/>
          <w:szCs w:val="24"/>
        </w:rPr>
        <w:t>eview</w:t>
      </w:r>
      <w:r w:rsidR="001711F5">
        <w:rPr>
          <w:rFonts w:ascii="Times New Roman" w:hAnsi="Times New Roman"/>
          <w:b w:val="0"/>
          <w:sz w:val="24"/>
          <w:szCs w:val="24"/>
        </w:rPr>
        <w:t>, and</w:t>
      </w:r>
      <w:r w:rsidR="004B184C" w:rsidRPr="00FA76A4">
        <w:rPr>
          <w:rFonts w:ascii="Times New Roman" w:hAnsi="Times New Roman"/>
          <w:b w:val="0"/>
          <w:sz w:val="24"/>
          <w:szCs w:val="24"/>
        </w:rPr>
        <w:t xml:space="preserve"> amendments </w:t>
      </w:r>
      <w:r w:rsidR="001711F5">
        <w:rPr>
          <w:rFonts w:ascii="Times New Roman" w:hAnsi="Times New Roman"/>
          <w:b w:val="0"/>
          <w:sz w:val="24"/>
          <w:szCs w:val="24"/>
        </w:rPr>
        <w:t xml:space="preserve">informed by </w:t>
      </w:r>
      <w:r w:rsidR="004B184C" w:rsidRPr="00FA76A4">
        <w:rPr>
          <w:rFonts w:ascii="Times New Roman" w:hAnsi="Times New Roman"/>
          <w:b w:val="0"/>
          <w:sz w:val="24"/>
          <w:szCs w:val="24"/>
        </w:rPr>
        <w:t xml:space="preserve">APRA’s observations of </w:t>
      </w:r>
      <w:r w:rsidR="001711F5">
        <w:rPr>
          <w:rFonts w:ascii="Times New Roman" w:hAnsi="Times New Roman"/>
          <w:b w:val="0"/>
          <w:sz w:val="24"/>
          <w:szCs w:val="24"/>
        </w:rPr>
        <w:t xml:space="preserve">RSE licensee </w:t>
      </w:r>
      <w:r w:rsidR="004B184C" w:rsidRPr="00FA76A4">
        <w:rPr>
          <w:rFonts w:ascii="Times New Roman" w:hAnsi="Times New Roman"/>
          <w:b w:val="0"/>
          <w:sz w:val="24"/>
          <w:szCs w:val="24"/>
        </w:rPr>
        <w:t xml:space="preserve">investment governance </w:t>
      </w:r>
      <w:r w:rsidR="00FA76A4" w:rsidRPr="00FA76A4">
        <w:rPr>
          <w:rFonts w:ascii="Times New Roman" w:hAnsi="Times New Roman"/>
          <w:b w:val="0"/>
          <w:sz w:val="24"/>
          <w:szCs w:val="24"/>
        </w:rPr>
        <w:t>practices.</w:t>
      </w:r>
      <w:r w:rsidR="00EB0383" w:rsidRPr="00FA76A4">
        <w:rPr>
          <w:rFonts w:ascii="Times New Roman" w:hAnsi="Times New Roman"/>
          <w:b w:val="0"/>
          <w:sz w:val="24"/>
          <w:szCs w:val="24"/>
        </w:rPr>
        <w:t xml:space="preserve"> </w:t>
      </w:r>
    </w:p>
    <w:p w14:paraId="2B0AA8A6" w14:textId="6DDCB192" w:rsidR="008B6FFB" w:rsidRPr="00FA76A4" w:rsidRDefault="00004D34" w:rsidP="00A37E81">
      <w:pPr>
        <w:pStyle w:val="Heading"/>
        <w:spacing w:after="240"/>
        <w:rPr>
          <w:rFonts w:ascii="Times New Roman" w:hAnsi="Times New Roman"/>
          <w:b w:val="0"/>
          <w:sz w:val="24"/>
          <w:szCs w:val="24"/>
        </w:rPr>
      </w:pPr>
      <w:bookmarkStart w:id="5" w:name="_Hlk98780738"/>
      <w:r w:rsidRPr="00FA76A4">
        <w:rPr>
          <w:rFonts w:ascii="Times New Roman" w:hAnsi="Times New Roman"/>
          <w:b w:val="0"/>
          <w:sz w:val="24"/>
          <w:szCs w:val="24"/>
        </w:rPr>
        <w:t xml:space="preserve">The key revisions to </w:t>
      </w:r>
      <w:r w:rsidR="00025A42" w:rsidRPr="00FA76A4">
        <w:rPr>
          <w:rFonts w:ascii="Times New Roman" w:hAnsi="Times New Roman"/>
          <w:b w:val="0"/>
          <w:sz w:val="24"/>
          <w:szCs w:val="24"/>
        </w:rPr>
        <w:t xml:space="preserve">existing </w:t>
      </w:r>
      <w:r w:rsidR="008B6FFB" w:rsidRPr="00FA76A4">
        <w:rPr>
          <w:rFonts w:ascii="Times New Roman" w:hAnsi="Times New Roman"/>
          <w:b w:val="0"/>
          <w:sz w:val="24"/>
          <w:szCs w:val="24"/>
        </w:rPr>
        <w:t xml:space="preserve">SPS </w:t>
      </w:r>
      <w:r w:rsidR="00FA76A4" w:rsidRPr="00FA76A4">
        <w:rPr>
          <w:rFonts w:ascii="Times New Roman" w:hAnsi="Times New Roman"/>
          <w:b w:val="0"/>
          <w:sz w:val="24"/>
          <w:szCs w:val="24"/>
        </w:rPr>
        <w:t>530</w:t>
      </w:r>
      <w:r w:rsidRPr="00FA76A4">
        <w:rPr>
          <w:rFonts w:ascii="Times New Roman" w:hAnsi="Times New Roman"/>
          <w:b w:val="0"/>
          <w:sz w:val="24"/>
          <w:szCs w:val="24"/>
        </w:rPr>
        <w:t xml:space="preserve"> are </w:t>
      </w:r>
      <w:r w:rsidR="00FA76A4">
        <w:rPr>
          <w:rFonts w:ascii="Times New Roman" w:hAnsi="Times New Roman"/>
          <w:b w:val="0"/>
          <w:sz w:val="24"/>
          <w:szCs w:val="24"/>
        </w:rPr>
        <w:t xml:space="preserve">centred on three areas – stress testing, valuation practices and </w:t>
      </w:r>
      <w:r w:rsidR="00EF31F6">
        <w:rPr>
          <w:rFonts w:ascii="Times New Roman" w:hAnsi="Times New Roman"/>
          <w:b w:val="0"/>
          <w:sz w:val="24"/>
          <w:szCs w:val="24"/>
        </w:rPr>
        <w:t>liquidity management.</w:t>
      </w:r>
      <w:r w:rsidR="000855A3">
        <w:rPr>
          <w:rFonts w:ascii="Times New Roman" w:hAnsi="Times New Roman"/>
          <w:b w:val="0"/>
          <w:sz w:val="24"/>
          <w:szCs w:val="24"/>
        </w:rPr>
        <w:t xml:space="preserve"> The amendments to </w:t>
      </w:r>
      <w:r w:rsidR="00E96C66">
        <w:rPr>
          <w:rFonts w:ascii="Times New Roman" w:hAnsi="Times New Roman"/>
          <w:b w:val="0"/>
          <w:sz w:val="24"/>
          <w:szCs w:val="24"/>
        </w:rPr>
        <w:t xml:space="preserve">existing </w:t>
      </w:r>
      <w:r w:rsidR="000855A3">
        <w:rPr>
          <w:rFonts w:ascii="Times New Roman" w:hAnsi="Times New Roman"/>
          <w:b w:val="0"/>
          <w:sz w:val="24"/>
          <w:szCs w:val="24"/>
        </w:rPr>
        <w:t xml:space="preserve">SPS 530 largely </w:t>
      </w:r>
      <w:r w:rsidR="001711F5">
        <w:rPr>
          <w:rFonts w:ascii="Times New Roman" w:hAnsi="Times New Roman"/>
          <w:b w:val="0"/>
          <w:sz w:val="24"/>
          <w:szCs w:val="24"/>
        </w:rPr>
        <w:t>reflect the elevation of existing</w:t>
      </w:r>
      <w:r w:rsidR="00E96C66">
        <w:rPr>
          <w:rFonts w:ascii="Times New Roman" w:hAnsi="Times New Roman"/>
          <w:b w:val="0"/>
          <w:sz w:val="24"/>
          <w:szCs w:val="24"/>
        </w:rPr>
        <w:t xml:space="preserve"> expectations within</w:t>
      </w:r>
      <w:r w:rsidR="001711F5">
        <w:rPr>
          <w:rFonts w:ascii="Times New Roman" w:hAnsi="Times New Roman"/>
          <w:b w:val="0"/>
          <w:sz w:val="24"/>
          <w:szCs w:val="24"/>
        </w:rPr>
        <w:t xml:space="preserve"> prudential guidance into requirements in the prudential standard</w:t>
      </w:r>
      <w:r w:rsidR="000855A3">
        <w:rPr>
          <w:rFonts w:ascii="Times New Roman" w:hAnsi="Times New Roman"/>
          <w:b w:val="0"/>
          <w:sz w:val="24"/>
          <w:szCs w:val="24"/>
        </w:rPr>
        <w:t>.</w:t>
      </w:r>
      <w:r w:rsidR="00EF31F6">
        <w:rPr>
          <w:rFonts w:ascii="Times New Roman" w:hAnsi="Times New Roman"/>
          <w:b w:val="0"/>
          <w:sz w:val="24"/>
          <w:szCs w:val="24"/>
        </w:rPr>
        <w:t xml:space="preserve"> In summary</w:t>
      </w:r>
      <w:r w:rsidR="001711F5">
        <w:rPr>
          <w:rFonts w:ascii="Times New Roman" w:hAnsi="Times New Roman"/>
          <w:b w:val="0"/>
          <w:sz w:val="24"/>
          <w:szCs w:val="24"/>
        </w:rPr>
        <w:t>,</w:t>
      </w:r>
      <w:r w:rsidR="00EF31F6">
        <w:rPr>
          <w:rFonts w:ascii="Times New Roman" w:hAnsi="Times New Roman"/>
          <w:b w:val="0"/>
          <w:sz w:val="24"/>
          <w:szCs w:val="24"/>
        </w:rPr>
        <w:t xml:space="preserve"> the new requirements include </w:t>
      </w:r>
      <w:r w:rsidRPr="00FA76A4">
        <w:rPr>
          <w:rFonts w:ascii="Times New Roman" w:hAnsi="Times New Roman"/>
          <w:b w:val="0"/>
          <w:sz w:val="24"/>
          <w:szCs w:val="24"/>
        </w:rPr>
        <w:t xml:space="preserve">that </w:t>
      </w:r>
      <w:r w:rsidR="008B6FFB" w:rsidRPr="00FA76A4">
        <w:rPr>
          <w:rFonts w:ascii="Times New Roman" w:hAnsi="Times New Roman"/>
          <w:b w:val="0"/>
          <w:sz w:val="24"/>
          <w:szCs w:val="24"/>
        </w:rPr>
        <w:t xml:space="preserve">an RSE licensee </w:t>
      </w:r>
      <w:r w:rsidRPr="00FA76A4">
        <w:rPr>
          <w:rFonts w:ascii="Times New Roman" w:hAnsi="Times New Roman"/>
          <w:b w:val="0"/>
          <w:sz w:val="24"/>
          <w:szCs w:val="24"/>
        </w:rPr>
        <w:t xml:space="preserve">must: </w:t>
      </w:r>
    </w:p>
    <w:p w14:paraId="519B1EEA" w14:textId="4A150180" w:rsidR="00BB63CC" w:rsidRDefault="000855A3" w:rsidP="001F7867">
      <w:pPr>
        <w:pStyle w:val="ListParagraph"/>
        <w:numPr>
          <w:ilvl w:val="0"/>
          <w:numId w:val="14"/>
        </w:numPr>
        <w:spacing w:after="240"/>
        <w:jc w:val="both"/>
        <w:rPr>
          <w:rFonts w:ascii="Times New Roman" w:hAnsi="Times New Roman"/>
          <w:sz w:val="24"/>
          <w:szCs w:val="24"/>
        </w:rPr>
      </w:pPr>
      <w:r>
        <w:rPr>
          <w:rFonts w:ascii="Times New Roman" w:hAnsi="Times New Roman"/>
          <w:sz w:val="24"/>
          <w:szCs w:val="24"/>
        </w:rPr>
        <w:t xml:space="preserve">undertake </w:t>
      </w:r>
      <w:r w:rsidR="00EF31F6" w:rsidRPr="001F7867">
        <w:rPr>
          <w:rFonts w:ascii="Times New Roman" w:hAnsi="Times New Roman"/>
          <w:sz w:val="24"/>
          <w:szCs w:val="24"/>
        </w:rPr>
        <w:t xml:space="preserve">a comprehensive stress testing program </w:t>
      </w:r>
      <w:r w:rsidR="001F7867">
        <w:rPr>
          <w:rFonts w:ascii="Times New Roman" w:hAnsi="Times New Roman"/>
          <w:sz w:val="24"/>
          <w:szCs w:val="24"/>
        </w:rPr>
        <w:t xml:space="preserve">which </w:t>
      </w:r>
      <w:r w:rsidR="00CD46E4">
        <w:rPr>
          <w:rFonts w:ascii="Times New Roman" w:hAnsi="Times New Roman"/>
          <w:sz w:val="24"/>
          <w:szCs w:val="24"/>
        </w:rPr>
        <w:t xml:space="preserve">includes </w:t>
      </w:r>
      <w:r w:rsidR="00943B66">
        <w:rPr>
          <w:rFonts w:ascii="Times New Roman" w:hAnsi="Times New Roman"/>
          <w:sz w:val="24"/>
          <w:szCs w:val="24"/>
        </w:rPr>
        <w:t xml:space="preserve">the </w:t>
      </w:r>
      <w:r>
        <w:rPr>
          <w:rFonts w:ascii="Times New Roman" w:hAnsi="Times New Roman"/>
          <w:sz w:val="24"/>
          <w:szCs w:val="24"/>
        </w:rPr>
        <w:t>articulat</w:t>
      </w:r>
      <w:r w:rsidR="00943B66">
        <w:rPr>
          <w:rFonts w:ascii="Times New Roman" w:hAnsi="Times New Roman"/>
          <w:sz w:val="24"/>
          <w:szCs w:val="24"/>
        </w:rPr>
        <w:t>ion of the</w:t>
      </w:r>
      <w:r>
        <w:rPr>
          <w:rFonts w:ascii="Times New Roman" w:hAnsi="Times New Roman"/>
          <w:sz w:val="24"/>
          <w:szCs w:val="24"/>
        </w:rPr>
        <w:t xml:space="preserve"> </w:t>
      </w:r>
      <w:r w:rsidR="001F7867">
        <w:rPr>
          <w:rFonts w:ascii="Times New Roman" w:hAnsi="Times New Roman"/>
          <w:sz w:val="24"/>
          <w:szCs w:val="24"/>
        </w:rPr>
        <w:t>roles and responsibilities of pe</w:t>
      </w:r>
      <w:r w:rsidR="00943B66">
        <w:rPr>
          <w:rFonts w:ascii="Times New Roman" w:hAnsi="Times New Roman"/>
          <w:sz w:val="24"/>
          <w:szCs w:val="24"/>
        </w:rPr>
        <w:t>rsons</w:t>
      </w:r>
      <w:r w:rsidR="001F7867">
        <w:rPr>
          <w:rFonts w:ascii="Times New Roman" w:hAnsi="Times New Roman"/>
          <w:sz w:val="24"/>
          <w:szCs w:val="24"/>
        </w:rPr>
        <w:t xml:space="preserve"> involved, </w:t>
      </w:r>
      <w:r w:rsidR="00943B66">
        <w:rPr>
          <w:rFonts w:ascii="Times New Roman" w:hAnsi="Times New Roman"/>
          <w:sz w:val="24"/>
          <w:szCs w:val="24"/>
        </w:rPr>
        <w:t xml:space="preserve">the </w:t>
      </w:r>
      <w:r w:rsidR="001F7867">
        <w:rPr>
          <w:rFonts w:ascii="Times New Roman" w:hAnsi="Times New Roman"/>
          <w:sz w:val="24"/>
          <w:szCs w:val="24"/>
        </w:rPr>
        <w:t>articulat</w:t>
      </w:r>
      <w:r w:rsidR="00943B66">
        <w:rPr>
          <w:rFonts w:ascii="Times New Roman" w:hAnsi="Times New Roman"/>
          <w:sz w:val="24"/>
          <w:szCs w:val="24"/>
        </w:rPr>
        <w:t>ion of</w:t>
      </w:r>
      <w:r w:rsidR="001F7867">
        <w:rPr>
          <w:rFonts w:ascii="Times New Roman" w:hAnsi="Times New Roman"/>
          <w:sz w:val="24"/>
          <w:szCs w:val="24"/>
        </w:rPr>
        <w:t xml:space="preserve"> the methodology, objectives and assumptions used in stress testing</w:t>
      </w:r>
      <w:r w:rsidR="00E87227">
        <w:rPr>
          <w:rFonts w:ascii="Times New Roman" w:hAnsi="Times New Roman"/>
          <w:sz w:val="24"/>
          <w:szCs w:val="24"/>
        </w:rPr>
        <w:t xml:space="preserve">, </w:t>
      </w:r>
      <w:r w:rsidR="001F7867">
        <w:rPr>
          <w:rFonts w:ascii="Times New Roman" w:hAnsi="Times New Roman"/>
          <w:sz w:val="24"/>
          <w:szCs w:val="24"/>
        </w:rPr>
        <w:t>identifi</w:t>
      </w:r>
      <w:r w:rsidR="001D0BC8">
        <w:rPr>
          <w:rFonts w:ascii="Times New Roman" w:hAnsi="Times New Roman"/>
          <w:sz w:val="24"/>
          <w:szCs w:val="24"/>
        </w:rPr>
        <w:t xml:space="preserve">cation </w:t>
      </w:r>
      <w:r w:rsidR="00135220">
        <w:rPr>
          <w:rFonts w:ascii="Times New Roman" w:hAnsi="Times New Roman"/>
          <w:sz w:val="24"/>
          <w:szCs w:val="24"/>
        </w:rPr>
        <w:t xml:space="preserve">of </w:t>
      </w:r>
      <w:r w:rsidR="00CD46E4">
        <w:rPr>
          <w:rFonts w:ascii="Times New Roman" w:hAnsi="Times New Roman"/>
          <w:sz w:val="24"/>
          <w:szCs w:val="24"/>
        </w:rPr>
        <w:t xml:space="preserve">circumstances </w:t>
      </w:r>
      <w:r w:rsidR="001F7867">
        <w:rPr>
          <w:rFonts w:ascii="Times New Roman" w:hAnsi="Times New Roman"/>
          <w:sz w:val="24"/>
          <w:szCs w:val="24"/>
        </w:rPr>
        <w:t xml:space="preserve">when ad hoc </w:t>
      </w:r>
      <w:r w:rsidR="00CD46E4">
        <w:rPr>
          <w:rFonts w:ascii="Times New Roman" w:hAnsi="Times New Roman"/>
          <w:sz w:val="24"/>
          <w:szCs w:val="24"/>
        </w:rPr>
        <w:t xml:space="preserve">stress </w:t>
      </w:r>
      <w:r w:rsidR="001F7867">
        <w:rPr>
          <w:rFonts w:ascii="Times New Roman" w:hAnsi="Times New Roman"/>
          <w:sz w:val="24"/>
          <w:szCs w:val="24"/>
        </w:rPr>
        <w:t>testing may be needed</w:t>
      </w:r>
      <w:r w:rsidR="00BB63CC">
        <w:rPr>
          <w:rFonts w:ascii="Times New Roman" w:hAnsi="Times New Roman"/>
          <w:sz w:val="24"/>
          <w:szCs w:val="24"/>
        </w:rPr>
        <w:t>,</w:t>
      </w:r>
      <w:r w:rsidR="001F7867">
        <w:rPr>
          <w:rFonts w:ascii="Times New Roman" w:hAnsi="Times New Roman"/>
          <w:sz w:val="24"/>
          <w:szCs w:val="24"/>
        </w:rPr>
        <w:t xml:space="preserve"> </w:t>
      </w:r>
      <w:proofErr w:type="gramStart"/>
      <w:r w:rsidR="00E87227">
        <w:rPr>
          <w:rFonts w:ascii="Times New Roman" w:hAnsi="Times New Roman"/>
          <w:sz w:val="24"/>
          <w:szCs w:val="24"/>
        </w:rPr>
        <w:t xml:space="preserve">and </w:t>
      </w:r>
      <w:r w:rsidR="00CD46E4">
        <w:rPr>
          <w:rFonts w:ascii="Times New Roman" w:hAnsi="Times New Roman"/>
          <w:sz w:val="24"/>
          <w:szCs w:val="24"/>
        </w:rPr>
        <w:t xml:space="preserve"> </w:t>
      </w:r>
      <w:r w:rsidR="00E87227">
        <w:rPr>
          <w:rFonts w:ascii="Times New Roman" w:hAnsi="Times New Roman"/>
          <w:sz w:val="24"/>
          <w:szCs w:val="24"/>
        </w:rPr>
        <w:t>processes</w:t>
      </w:r>
      <w:proofErr w:type="gramEnd"/>
      <w:r w:rsidR="00E87227">
        <w:rPr>
          <w:rFonts w:ascii="Times New Roman" w:hAnsi="Times New Roman"/>
          <w:sz w:val="24"/>
          <w:szCs w:val="24"/>
        </w:rPr>
        <w:t xml:space="preserve"> to ensure stress testing data is reliable</w:t>
      </w:r>
      <w:r w:rsidR="00BB63CC">
        <w:rPr>
          <w:rFonts w:ascii="Times New Roman" w:hAnsi="Times New Roman"/>
          <w:sz w:val="24"/>
          <w:szCs w:val="24"/>
        </w:rPr>
        <w:t xml:space="preserve">; </w:t>
      </w:r>
    </w:p>
    <w:p w14:paraId="7AB0B037" w14:textId="3FDC4DE1" w:rsidR="00EF31F6" w:rsidRPr="001F7867" w:rsidRDefault="00BB63CC" w:rsidP="001F7867">
      <w:pPr>
        <w:pStyle w:val="ListParagraph"/>
        <w:numPr>
          <w:ilvl w:val="0"/>
          <w:numId w:val="14"/>
        </w:numPr>
        <w:spacing w:after="240"/>
        <w:jc w:val="both"/>
        <w:rPr>
          <w:rFonts w:ascii="Times New Roman" w:hAnsi="Times New Roman"/>
          <w:sz w:val="24"/>
          <w:szCs w:val="24"/>
        </w:rPr>
      </w:pPr>
      <w:r>
        <w:rPr>
          <w:rFonts w:ascii="Times New Roman" w:hAnsi="Times New Roman"/>
          <w:sz w:val="24"/>
          <w:szCs w:val="24"/>
        </w:rPr>
        <w:t>ensure that the results of the comprehensive stress testing program are periodically reviewed by the Board, relevant Board committees and senior management</w:t>
      </w:r>
      <w:r w:rsidR="00163E20">
        <w:rPr>
          <w:rFonts w:ascii="Times New Roman" w:hAnsi="Times New Roman"/>
          <w:sz w:val="24"/>
          <w:szCs w:val="24"/>
        </w:rPr>
        <w:t xml:space="preserve"> and that the Board documents how such results have been used in </w:t>
      </w:r>
      <w:proofErr w:type="gramStart"/>
      <w:r w:rsidR="00163E20">
        <w:rPr>
          <w:rFonts w:ascii="Times New Roman" w:hAnsi="Times New Roman"/>
          <w:sz w:val="24"/>
          <w:szCs w:val="24"/>
        </w:rPr>
        <w:t>decision-making</w:t>
      </w:r>
      <w:r w:rsidR="00977A86">
        <w:rPr>
          <w:rFonts w:ascii="Times New Roman" w:hAnsi="Times New Roman"/>
          <w:sz w:val="24"/>
          <w:szCs w:val="24"/>
        </w:rPr>
        <w:t>;</w:t>
      </w:r>
      <w:proofErr w:type="gramEnd"/>
      <w:r>
        <w:rPr>
          <w:rFonts w:ascii="Times New Roman" w:hAnsi="Times New Roman"/>
          <w:sz w:val="24"/>
          <w:szCs w:val="24"/>
        </w:rPr>
        <w:t xml:space="preserve"> </w:t>
      </w:r>
    </w:p>
    <w:bookmarkEnd w:id="5"/>
    <w:p w14:paraId="7CECE583" w14:textId="50B5DAB9" w:rsidR="00FA76A4" w:rsidRDefault="004220C0" w:rsidP="00E87227">
      <w:pPr>
        <w:numPr>
          <w:ilvl w:val="0"/>
          <w:numId w:val="15"/>
        </w:numPr>
        <w:spacing w:after="240"/>
        <w:jc w:val="both"/>
        <w:rPr>
          <w:rFonts w:ascii="Times New Roman" w:hAnsi="Times New Roman"/>
          <w:sz w:val="24"/>
          <w:szCs w:val="24"/>
        </w:rPr>
      </w:pPr>
      <w:r>
        <w:rPr>
          <w:rFonts w:ascii="Times New Roman" w:hAnsi="Times New Roman"/>
          <w:sz w:val="24"/>
          <w:szCs w:val="24"/>
        </w:rPr>
        <w:t>have</w:t>
      </w:r>
      <w:r w:rsidRPr="00E95C79">
        <w:rPr>
          <w:rFonts w:ascii="Times New Roman" w:hAnsi="Times New Roman"/>
          <w:sz w:val="24"/>
          <w:szCs w:val="24"/>
        </w:rPr>
        <w:t xml:space="preserve"> </w:t>
      </w:r>
      <w:r w:rsidR="00E95C79" w:rsidRPr="00E95C79">
        <w:rPr>
          <w:rFonts w:ascii="Times New Roman" w:hAnsi="Times New Roman"/>
          <w:sz w:val="24"/>
          <w:szCs w:val="24"/>
        </w:rPr>
        <w:t xml:space="preserve">a valuation governance framework to identify and manage valuation risk, </w:t>
      </w:r>
      <w:r w:rsidR="00680283">
        <w:rPr>
          <w:rFonts w:ascii="Times New Roman" w:hAnsi="Times New Roman"/>
          <w:sz w:val="24"/>
          <w:szCs w:val="24"/>
        </w:rPr>
        <w:t>including</w:t>
      </w:r>
      <w:r w:rsidR="00680283" w:rsidRPr="00E95C79">
        <w:rPr>
          <w:rFonts w:ascii="Times New Roman" w:hAnsi="Times New Roman"/>
          <w:sz w:val="24"/>
          <w:szCs w:val="24"/>
        </w:rPr>
        <w:t xml:space="preserve"> </w:t>
      </w:r>
      <w:r w:rsidR="00E95C79" w:rsidRPr="00E95C79">
        <w:rPr>
          <w:rFonts w:ascii="Times New Roman" w:hAnsi="Times New Roman"/>
          <w:sz w:val="24"/>
          <w:szCs w:val="24"/>
        </w:rPr>
        <w:t>a Board approved valuation policy</w:t>
      </w:r>
      <w:r w:rsidR="00E87227">
        <w:rPr>
          <w:rFonts w:ascii="Times New Roman" w:hAnsi="Times New Roman"/>
          <w:sz w:val="24"/>
          <w:szCs w:val="24"/>
        </w:rPr>
        <w:t xml:space="preserve"> which outlines the roles and responsibilities of those overseeing and managing valuation processes and procedures, identifies when valuations are accepted, rejected or reassessed, identifies triggers for interim valuations and </w:t>
      </w:r>
      <w:r>
        <w:rPr>
          <w:rFonts w:ascii="Times New Roman" w:hAnsi="Times New Roman"/>
          <w:sz w:val="24"/>
          <w:szCs w:val="24"/>
        </w:rPr>
        <w:t xml:space="preserve">the frequency of </w:t>
      </w:r>
      <w:proofErr w:type="gramStart"/>
      <w:r>
        <w:rPr>
          <w:rFonts w:ascii="Times New Roman" w:hAnsi="Times New Roman"/>
          <w:sz w:val="24"/>
          <w:szCs w:val="24"/>
        </w:rPr>
        <w:t>valuations</w:t>
      </w:r>
      <w:r w:rsidR="00977A86">
        <w:rPr>
          <w:rFonts w:ascii="Times New Roman" w:hAnsi="Times New Roman"/>
          <w:sz w:val="24"/>
          <w:szCs w:val="24"/>
        </w:rPr>
        <w:t>;</w:t>
      </w:r>
      <w:proofErr w:type="gramEnd"/>
      <w:r>
        <w:rPr>
          <w:rFonts w:ascii="Times New Roman" w:hAnsi="Times New Roman"/>
          <w:sz w:val="24"/>
          <w:szCs w:val="24"/>
        </w:rPr>
        <w:t xml:space="preserve"> </w:t>
      </w:r>
    </w:p>
    <w:p w14:paraId="196592F8" w14:textId="68C16775" w:rsidR="00AE3C14" w:rsidRDefault="00111E49" w:rsidP="009B0B2F">
      <w:pPr>
        <w:numPr>
          <w:ilvl w:val="0"/>
          <w:numId w:val="15"/>
        </w:numPr>
        <w:spacing w:after="240"/>
        <w:jc w:val="both"/>
        <w:rPr>
          <w:rFonts w:ascii="Times New Roman" w:hAnsi="Times New Roman"/>
          <w:sz w:val="24"/>
          <w:szCs w:val="24"/>
        </w:rPr>
      </w:pPr>
      <w:r w:rsidRPr="00AE3C14">
        <w:rPr>
          <w:rFonts w:ascii="Times New Roman" w:hAnsi="Times New Roman"/>
          <w:sz w:val="24"/>
          <w:szCs w:val="24"/>
        </w:rPr>
        <w:t xml:space="preserve">in </w:t>
      </w:r>
      <w:r w:rsidR="004220C0" w:rsidRPr="00AE3C14">
        <w:rPr>
          <w:rFonts w:ascii="Times New Roman" w:hAnsi="Times New Roman"/>
          <w:sz w:val="24"/>
          <w:szCs w:val="24"/>
        </w:rPr>
        <w:t xml:space="preserve">its </w:t>
      </w:r>
      <w:r w:rsidRPr="00AE3C14">
        <w:rPr>
          <w:rFonts w:ascii="Times New Roman" w:hAnsi="Times New Roman"/>
          <w:sz w:val="24"/>
          <w:szCs w:val="24"/>
        </w:rPr>
        <w:t>liquidity management plan</w:t>
      </w:r>
      <w:r w:rsidR="001711F5" w:rsidRPr="00AE3C14">
        <w:rPr>
          <w:rFonts w:ascii="Times New Roman" w:hAnsi="Times New Roman"/>
          <w:sz w:val="24"/>
          <w:szCs w:val="24"/>
        </w:rPr>
        <w:t>,</w:t>
      </w:r>
      <w:r w:rsidRPr="00AE3C14">
        <w:rPr>
          <w:rFonts w:ascii="Times New Roman" w:hAnsi="Times New Roman"/>
          <w:sz w:val="24"/>
          <w:szCs w:val="24"/>
        </w:rPr>
        <w:t xml:space="preserve"> </w:t>
      </w:r>
      <w:r w:rsidR="004220C0" w:rsidRPr="00AE3C14">
        <w:rPr>
          <w:rFonts w:ascii="Times New Roman" w:hAnsi="Times New Roman"/>
          <w:sz w:val="24"/>
          <w:szCs w:val="24"/>
        </w:rPr>
        <w:t>outline the</w:t>
      </w:r>
      <w:r w:rsidR="009B0B2F" w:rsidRPr="00AE3C14">
        <w:rPr>
          <w:rFonts w:ascii="Times New Roman" w:hAnsi="Times New Roman"/>
          <w:sz w:val="24"/>
          <w:szCs w:val="24"/>
        </w:rPr>
        <w:t xml:space="preserve"> roles and responsibilities of persons </w:t>
      </w:r>
      <w:r w:rsidRPr="00AE3C14">
        <w:rPr>
          <w:rFonts w:ascii="Times New Roman" w:hAnsi="Times New Roman"/>
          <w:sz w:val="24"/>
          <w:szCs w:val="24"/>
        </w:rPr>
        <w:t>responsible for the management and oversight of liquidity risk</w:t>
      </w:r>
      <w:r w:rsidR="009B0B2F" w:rsidRPr="00AE3C14">
        <w:rPr>
          <w:rFonts w:ascii="Times New Roman" w:hAnsi="Times New Roman"/>
          <w:sz w:val="24"/>
          <w:szCs w:val="24"/>
        </w:rPr>
        <w:t xml:space="preserve"> and outline key metrics to be periodically reviewed by the Board, relevant board committees and senior management</w:t>
      </w:r>
      <w:r w:rsidR="00AE3C14" w:rsidRPr="00AE3C14">
        <w:rPr>
          <w:rFonts w:ascii="Times New Roman" w:hAnsi="Times New Roman"/>
          <w:sz w:val="24"/>
          <w:szCs w:val="24"/>
        </w:rPr>
        <w:t>;</w:t>
      </w:r>
      <w:r w:rsidR="00AE3C14">
        <w:rPr>
          <w:rFonts w:ascii="Times New Roman" w:hAnsi="Times New Roman"/>
          <w:sz w:val="24"/>
          <w:szCs w:val="24"/>
        </w:rPr>
        <w:t xml:space="preserve"> and </w:t>
      </w:r>
    </w:p>
    <w:p w14:paraId="16346A98" w14:textId="5CB503C9" w:rsidR="00111E49" w:rsidRPr="009B0B2F" w:rsidRDefault="009B0B2F" w:rsidP="009B0B2F">
      <w:pPr>
        <w:numPr>
          <w:ilvl w:val="0"/>
          <w:numId w:val="15"/>
        </w:numPr>
        <w:spacing w:after="240"/>
        <w:jc w:val="both"/>
        <w:rPr>
          <w:rFonts w:ascii="Times New Roman" w:hAnsi="Times New Roman"/>
          <w:sz w:val="24"/>
          <w:szCs w:val="24"/>
        </w:rPr>
      </w:pPr>
      <w:r w:rsidRPr="009B0B2F">
        <w:rPr>
          <w:rFonts w:ascii="Times New Roman" w:hAnsi="Times New Roman"/>
          <w:sz w:val="24"/>
          <w:szCs w:val="24"/>
        </w:rPr>
        <w:t xml:space="preserve">implement </w:t>
      </w:r>
      <w:r w:rsidR="00111E49" w:rsidRPr="009B0B2F">
        <w:rPr>
          <w:rFonts w:ascii="Times New Roman" w:hAnsi="Times New Roman"/>
          <w:sz w:val="24"/>
          <w:szCs w:val="24"/>
        </w:rPr>
        <w:t xml:space="preserve">liquidity stress testing as part of </w:t>
      </w:r>
      <w:r w:rsidRPr="009B0B2F">
        <w:rPr>
          <w:rFonts w:ascii="Times New Roman" w:hAnsi="Times New Roman"/>
          <w:sz w:val="24"/>
          <w:szCs w:val="24"/>
        </w:rPr>
        <w:t xml:space="preserve">its </w:t>
      </w:r>
      <w:r w:rsidR="00111E49" w:rsidRPr="009B0B2F">
        <w:rPr>
          <w:rFonts w:ascii="Times New Roman" w:hAnsi="Times New Roman"/>
          <w:sz w:val="24"/>
          <w:szCs w:val="24"/>
        </w:rPr>
        <w:t>comprehensive stress testing program</w:t>
      </w:r>
      <w:r>
        <w:rPr>
          <w:rFonts w:ascii="Times New Roman" w:hAnsi="Times New Roman"/>
          <w:sz w:val="24"/>
          <w:szCs w:val="24"/>
        </w:rPr>
        <w:t>.</w:t>
      </w:r>
      <w:r w:rsidR="00111E49" w:rsidRPr="009B0B2F">
        <w:rPr>
          <w:rFonts w:ascii="Times New Roman" w:hAnsi="Times New Roman"/>
          <w:sz w:val="24"/>
          <w:szCs w:val="24"/>
        </w:rPr>
        <w:t xml:space="preserve">  </w:t>
      </w:r>
    </w:p>
    <w:p w14:paraId="1458AEF2" w14:textId="7272C073" w:rsidR="00EB47CD" w:rsidRPr="00BF6F81" w:rsidRDefault="003749D1" w:rsidP="00EB47CD">
      <w:pPr>
        <w:spacing w:before="100" w:beforeAutospacing="1" w:after="240"/>
        <w:jc w:val="both"/>
        <w:rPr>
          <w:rFonts w:ascii="Times New Roman" w:hAnsi="Times New Roman"/>
          <w:sz w:val="24"/>
          <w:szCs w:val="24"/>
        </w:rPr>
      </w:pPr>
      <w:r w:rsidRPr="007C6D43">
        <w:rPr>
          <w:rFonts w:ascii="Times New Roman" w:hAnsi="Times New Roman"/>
          <w:sz w:val="24"/>
          <w:szCs w:val="24"/>
        </w:rPr>
        <w:t xml:space="preserve">In summary, SPS </w:t>
      </w:r>
      <w:r w:rsidR="007C6D43" w:rsidRPr="007C6D43">
        <w:rPr>
          <w:rFonts w:ascii="Times New Roman" w:hAnsi="Times New Roman"/>
          <w:sz w:val="24"/>
          <w:szCs w:val="24"/>
        </w:rPr>
        <w:t>530</w:t>
      </w:r>
      <w:r w:rsidRPr="007C6D43">
        <w:rPr>
          <w:rFonts w:ascii="Times New Roman" w:hAnsi="Times New Roman"/>
          <w:sz w:val="24"/>
          <w:szCs w:val="24"/>
        </w:rPr>
        <w:t xml:space="preserve"> </w:t>
      </w:r>
      <w:r w:rsidR="001772AE" w:rsidRPr="007C6D43">
        <w:rPr>
          <w:rFonts w:ascii="Times New Roman" w:hAnsi="Times New Roman"/>
          <w:sz w:val="24"/>
          <w:szCs w:val="24"/>
        </w:rPr>
        <w:t>is intended to</w:t>
      </w:r>
      <w:r w:rsidRPr="007C6D43">
        <w:rPr>
          <w:rFonts w:ascii="Times New Roman" w:hAnsi="Times New Roman"/>
          <w:sz w:val="24"/>
          <w:szCs w:val="24"/>
        </w:rPr>
        <w:t xml:space="preserve"> support RSE licensees </w:t>
      </w:r>
      <w:r w:rsidR="000F79BD">
        <w:rPr>
          <w:rFonts w:ascii="Times New Roman" w:hAnsi="Times New Roman"/>
          <w:sz w:val="24"/>
          <w:szCs w:val="24"/>
        </w:rPr>
        <w:t>in implementing a sound investment governance framework</w:t>
      </w:r>
      <w:r w:rsidR="00DB32F2">
        <w:rPr>
          <w:rFonts w:ascii="Times New Roman" w:hAnsi="Times New Roman"/>
          <w:sz w:val="24"/>
          <w:szCs w:val="24"/>
        </w:rPr>
        <w:t xml:space="preserve"> in</w:t>
      </w:r>
      <w:r w:rsidR="00DB32F2" w:rsidRPr="002C52D7">
        <w:rPr>
          <w:rFonts w:ascii="Times New Roman" w:hAnsi="Times New Roman"/>
          <w:sz w:val="24"/>
          <w:szCs w:val="24"/>
        </w:rPr>
        <w:t xml:space="preserve"> a manner consistent with the interests of beneficiaries</w:t>
      </w:r>
      <w:r w:rsidR="00DB32F2">
        <w:rPr>
          <w:rFonts w:ascii="Times New Roman" w:hAnsi="Times New Roman"/>
          <w:sz w:val="24"/>
          <w:szCs w:val="24"/>
        </w:rPr>
        <w:t xml:space="preserve"> </w:t>
      </w:r>
      <w:r w:rsidRPr="007C6D43">
        <w:rPr>
          <w:rFonts w:ascii="Times New Roman" w:hAnsi="Times New Roman"/>
          <w:sz w:val="24"/>
          <w:szCs w:val="24"/>
        </w:rPr>
        <w:t xml:space="preserve">and </w:t>
      </w:r>
      <w:r w:rsidR="00016D0F">
        <w:rPr>
          <w:rFonts w:ascii="Times New Roman" w:hAnsi="Times New Roman"/>
          <w:sz w:val="24"/>
          <w:szCs w:val="24"/>
        </w:rPr>
        <w:t>assist RSE licensee</w:t>
      </w:r>
      <w:r w:rsidR="00DB32F2">
        <w:rPr>
          <w:rFonts w:ascii="Times New Roman" w:hAnsi="Times New Roman"/>
          <w:sz w:val="24"/>
          <w:szCs w:val="24"/>
        </w:rPr>
        <w:t>s</w:t>
      </w:r>
      <w:r w:rsidR="00016D0F">
        <w:rPr>
          <w:rFonts w:ascii="Times New Roman" w:hAnsi="Times New Roman"/>
          <w:sz w:val="24"/>
          <w:szCs w:val="24"/>
        </w:rPr>
        <w:t xml:space="preserve"> in </w:t>
      </w:r>
      <w:r w:rsidRPr="007C6D43">
        <w:rPr>
          <w:rFonts w:ascii="Times New Roman" w:hAnsi="Times New Roman"/>
          <w:sz w:val="24"/>
          <w:szCs w:val="24"/>
        </w:rPr>
        <w:t>ensur</w:t>
      </w:r>
      <w:r w:rsidR="00016D0F">
        <w:rPr>
          <w:rFonts w:ascii="Times New Roman" w:hAnsi="Times New Roman"/>
          <w:sz w:val="24"/>
          <w:szCs w:val="24"/>
        </w:rPr>
        <w:t>ing</w:t>
      </w:r>
      <w:r w:rsidRPr="007C6D43">
        <w:rPr>
          <w:rFonts w:ascii="Times New Roman" w:hAnsi="Times New Roman"/>
          <w:sz w:val="24"/>
          <w:szCs w:val="24"/>
        </w:rPr>
        <w:t xml:space="preserve"> that </w:t>
      </w:r>
      <w:r w:rsidR="00927C4F" w:rsidRPr="007C6D43">
        <w:rPr>
          <w:rFonts w:ascii="Times New Roman" w:hAnsi="Times New Roman"/>
          <w:sz w:val="24"/>
          <w:szCs w:val="24"/>
        </w:rPr>
        <w:t>any</w:t>
      </w:r>
      <w:r w:rsidRPr="007C6D43">
        <w:rPr>
          <w:rFonts w:ascii="Times New Roman" w:hAnsi="Times New Roman"/>
          <w:sz w:val="24"/>
          <w:szCs w:val="24"/>
        </w:rPr>
        <w:t xml:space="preserve"> risks </w:t>
      </w:r>
      <w:r w:rsidR="00927C4F" w:rsidRPr="007C6D43">
        <w:rPr>
          <w:rFonts w:ascii="Times New Roman" w:hAnsi="Times New Roman"/>
          <w:sz w:val="24"/>
          <w:szCs w:val="24"/>
        </w:rPr>
        <w:t>related to</w:t>
      </w:r>
      <w:r w:rsidR="00016D0F">
        <w:rPr>
          <w:rFonts w:ascii="Times New Roman" w:hAnsi="Times New Roman"/>
          <w:sz w:val="24"/>
          <w:szCs w:val="24"/>
        </w:rPr>
        <w:t xml:space="preserve"> the</w:t>
      </w:r>
      <w:r w:rsidR="007255AF">
        <w:rPr>
          <w:rFonts w:ascii="Times New Roman" w:hAnsi="Times New Roman"/>
          <w:sz w:val="24"/>
          <w:szCs w:val="24"/>
        </w:rPr>
        <w:t xml:space="preserve"> management</w:t>
      </w:r>
      <w:r w:rsidR="001711F5">
        <w:rPr>
          <w:rFonts w:ascii="Times New Roman" w:hAnsi="Times New Roman"/>
          <w:sz w:val="24"/>
          <w:szCs w:val="24"/>
        </w:rPr>
        <w:t xml:space="preserve"> of investments</w:t>
      </w:r>
      <w:r w:rsidR="00927C4F" w:rsidRPr="007C6D43">
        <w:rPr>
          <w:rFonts w:ascii="Times New Roman" w:hAnsi="Times New Roman"/>
          <w:sz w:val="24"/>
          <w:szCs w:val="24"/>
        </w:rPr>
        <w:t xml:space="preserve"> </w:t>
      </w:r>
      <w:r w:rsidRPr="007C6D43">
        <w:rPr>
          <w:rFonts w:ascii="Times New Roman" w:hAnsi="Times New Roman"/>
          <w:sz w:val="24"/>
          <w:szCs w:val="24"/>
        </w:rPr>
        <w:t>are appropriately considered and addressed</w:t>
      </w:r>
      <w:r w:rsidR="00977A86">
        <w:rPr>
          <w:rFonts w:ascii="Times New Roman" w:hAnsi="Times New Roman"/>
          <w:sz w:val="24"/>
          <w:szCs w:val="24"/>
        </w:rPr>
        <w:t>.</w:t>
      </w:r>
      <w:r w:rsidR="000F79BD">
        <w:rPr>
          <w:rFonts w:ascii="Times New Roman" w:hAnsi="Times New Roman"/>
          <w:sz w:val="24"/>
          <w:szCs w:val="24"/>
        </w:rPr>
        <w:t xml:space="preserve"> </w:t>
      </w:r>
    </w:p>
    <w:p w14:paraId="1463057C" w14:textId="03BE283B" w:rsidR="00A1494E" w:rsidRPr="009A6A46" w:rsidRDefault="00A1494E" w:rsidP="00F44E7F">
      <w:pPr>
        <w:pStyle w:val="Heading"/>
        <w:spacing w:after="240"/>
        <w:rPr>
          <w:rFonts w:ascii="Times New Roman" w:hAnsi="Times New Roman"/>
          <w:b w:val="0"/>
          <w:i/>
          <w:sz w:val="24"/>
          <w:szCs w:val="24"/>
        </w:rPr>
      </w:pPr>
      <w:r w:rsidRPr="009A6A46">
        <w:rPr>
          <w:rFonts w:ascii="Times New Roman" w:hAnsi="Times New Roman"/>
          <w:b w:val="0"/>
          <w:i/>
          <w:sz w:val="24"/>
          <w:szCs w:val="24"/>
        </w:rPr>
        <w:t xml:space="preserve">Merits review </w:t>
      </w:r>
    </w:p>
    <w:p w14:paraId="311A0C04" w14:textId="77150DE6" w:rsidR="00A1494E" w:rsidRDefault="00A1494E" w:rsidP="0029627F">
      <w:pPr>
        <w:pStyle w:val="Heading"/>
        <w:keepNext/>
        <w:spacing w:after="240"/>
        <w:rPr>
          <w:rFonts w:ascii="Times New Roman" w:hAnsi="Times New Roman"/>
          <w:b w:val="0"/>
          <w:sz w:val="24"/>
          <w:szCs w:val="24"/>
        </w:rPr>
      </w:pPr>
      <w:r w:rsidRPr="00A1494E">
        <w:rPr>
          <w:rFonts w:ascii="Times New Roman" w:hAnsi="Times New Roman"/>
          <w:b w:val="0"/>
          <w:sz w:val="24"/>
          <w:szCs w:val="24"/>
        </w:rPr>
        <w:t xml:space="preserve">The prudential standards provide for APRA to exercise various discretions. Decisions made by APRA exercising those discretions are not subject to merits review. This is </w:t>
      </w:r>
      <w:r w:rsidRPr="00A1494E">
        <w:rPr>
          <w:rFonts w:ascii="Times New Roman" w:hAnsi="Times New Roman"/>
          <w:b w:val="0"/>
          <w:sz w:val="24"/>
          <w:szCs w:val="24"/>
        </w:rPr>
        <w:lastRenderedPageBreak/>
        <w:t>because these decisions are preliminary decisions that may facilitate or lead to substantive decisions which are subject to merits review</w:t>
      </w:r>
      <w:r w:rsidR="00D86FF2">
        <w:rPr>
          <w:rFonts w:ascii="Times New Roman" w:hAnsi="Times New Roman"/>
          <w:b w:val="0"/>
          <w:sz w:val="24"/>
          <w:szCs w:val="24"/>
        </w:rPr>
        <w:t>.</w:t>
      </w:r>
    </w:p>
    <w:p w14:paraId="2ACC5CE0" w14:textId="67E94EDD" w:rsidR="00A1494E" w:rsidRDefault="009A6A46" w:rsidP="009A6A46">
      <w:pPr>
        <w:pStyle w:val="Heading"/>
        <w:spacing w:after="240"/>
        <w:rPr>
          <w:rFonts w:ascii="Times New Roman" w:hAnsi="Times New Roman"/>
          <w:b w:val="0"/>
          <w:sz w:val="24"/>
          <w:szCs w:val="24"/>
        </w:rPr>
      </w:pPr>
      <w:r w:rsidRPr="009A6A46">
        <w:rPr>
          <w:rFonts w:ascii="Times New Roman" w:hAnsi="Times New Roman"/>
          <w:b w:val="0"/>
          <w:sz w:val="24"/>
          <w:szCs w:val="24"/>
        </w:rPr>
        <w:t>Under the Act, it is a condition on all RSE licences that the RSE licensee must comply with the RSE licensee law, which includes prudential standards. However</w:t>
      </w:r>
      <w:r w:rsidR="0029627F">
        <w:rPr>
          <w:rFonts w:ascii="Times New Roman" w:hAnsi="Times New Roman"/>
          <w:b w:val="0"/>
          <w:sz w:val="24"/>
          <w:szCs w:val="24"/>
        </w:rPr>
        <w:t>,</w:t>
      </w:r>
      <w:r w:rsidRPr="009A6A46">
        <w:rPr>
          <w:rFonts w:ascii="Times New Roman" w:hAnsi="Times New Roman"/>
          <w:b w:val="0"/>
          <w:sz w:val="24"/>
          <w:szCs w:val="24"/>
        </w:rPr>
        <w:t xml:space="preserve"> there are no penalties prescribed for breach of the prudential standards under the Act. Instead</w:t>
      </w:r>
      <w:r w:rsidR="00EC3163">
        <w:rPr>
          <w:rFonts w:ascii="Times New Roman" w:hAnsi="Times New Roman"/>
          <w:b w:val="0"/>
          <w:sz w:val="24"/>
          <w:szCs w:val="24"/>
        </w:rPr>
        <w:t>,</w:t>
      </w:r>
      <w:r w:rsidRPr="009A6A46">
        <w:rPr>
          <w:rFonts w:ascii="Times New Roman" w:hAnsi="Times New Roman"/>
          <w:b w:val="0"/>
          <w:sz w:val="24"/>
          <w:szCs w:val="24"/>
        </w:rPr>
        <w:t xml:space="preserve"> an RSE licensee’s</w:t>
      </w:r>
      <w:r>
        <w:rPr>
          <w:rFonts w:ascii="Times New Roman" w:hAnsi="Times New Roman"/>
          <w:b w:val="0"/>
          <w:sz w:val="24"/>
          <w:szCs w:val="24"/>
        </w:rPr>
        <w:t xml:space="preserve"> </w:t>
      </w:r>
      <w:r w:rsidRPr="009A6A46">
        <w:rPr>
          <w:rFonts w:ascii="Times New Roman" w:hAnsi="Times New Roman"/>
          <w:b w:val="0"/>
          <w:sz w:val="24"/>
          <w:szCs w:val="24"/>
        </w:rPr>
        <w:t xml:space="preserve">breach of an RSE licence condition is </w:t>
      </w:r>
      <w:r w:rsidR="005A7892">
        <w:rPr>
          <w:rFonts w:ascii="Times New Roman" w:hAnsi="Times New Roman"/>
          <w:b w:val="0"/>
          <w:sz w:val="24"/>
          <w:szCs w:val="24"/>
        </w:rPr>
        <w:t xml:space="preserve">a </w:t>
      </w:r>
      <w:r w:rsidRPr="009A6A46">
        <w:rPr>
          <w:rFonts w:ascii="Times New Roman" w:hAnsi="Times New Roman"/>
          <w:b w:val="0"/>
          <w:sz w:val="24"/>
          <w:szCs w:val="24"/>
        </w:rPr>
        <w:t>ground for APRA to make further, substantive decisions under the Act in relation to the RSE licensee. Those decisions are</w:t>
      </w:r>
      <w:proofErr w:type="gramStart"/>
      <w:r w:rsidRPr="009A6A46">
        <w:rPr>
          <w:rFonts w:ascii="Times New Roman" w:hAnsi="Times New Roman"/>
          <w:b w:val="0"/>
          <w:sz w:val="24"/>
          <w:szCs w:val="24"/>
        </w:rPr>
        <w:t>, as the case may be</w:t>
      </w:r>
      <w:r w:rsidR="005A7892">
        <w:rPr>
          <w:rFonts w:ascii="Times New Roman" w:hAnsi="Times New Roman"/>
          <w:b w:val="0"/>
          <w:sz w:val="24"/>
          <w:szCs w:val="24"/>
        </w:rPr>
        <w:t>, decisions</w:t>
      </w:r>
      <w:proofErr w:type="gramEnd"/>
      <w:r w:rsidR="005A7892">
        <w:rPr>
          <w:rFonts w:ascii="Times New Roman" w:hAnsi="Times New Roman"/>
          <w:b w:val="0"/>
          <w:sz w:val="24"/>
          <w:szCs w:val="24"/>
        </w:rPr>
        <w:t xml:space="preserve"> to</w:t>
      </w:r>
      <w:r>
        <w:rPr>
          <w:rFonts w:ascii="Times New Roman" w:hAnsi="Times New Roman"/>
          <w:b w:val="0"/>
          <w:sz w:val="24"/>
          <w:szCs w:val="24"/>
        </w:rPr>
        <w:t>:</w:t>
      </w:r>
    </w:p>
    <w:p w14:paraId="1DD0DA1C" w14:textId="7480E63D" w:rsidR="009A6A46" w:rsidRDefault="009A6A46" w:rsidP="009A6A46">
      <w:pPr>
        <w:pStyle w:val="Heading"/>
        <w:numPr>
          <w:ilvl w:val="0"/>
          <w:numId w:val="7"/>
        </w:numPr>
        <w:spacing w:after="240"/>
        <w:rPr>
          <w:rFonts w:ascii="Times New Roman" w:hAnsi="Times New Roman"/>
          <w:b w:val="0"/>
          <w:sz w:val="24"/>
          <w:szCs w:val="24"/>
        </w:rPr>
      </w:pPr>
      <w:r w:rsidRPr="009A6A46">
        <w:rPr>
          <w:rFonts w:ascii="Times New Roman" w:hAnsi="Times New Roman"/>
          <w:b w:val="0"/>
          <w:sz w:val="24"/>
          <w:szCs w:val="24"/>
        </w:rPr>
        <w:t>cancel a licence to operate an APRA-regulated superannuation fund (section 29G</w:t>
      </w:r>
      <w:r>
        <w:rPr>
          <w:rFonts w:ascii="Times New Roman" w:hAnsi="Times New Roman"/>
          <w:b w:val="0"/>
          <w:sz w:val="24"/>
          <w:szCs w:val="24"/>
        </w:rPr>
        <w:t xml:space="preserve"> </w:t>
      </w:r>
      <w:r w:rsidRPr="009A6A46">
        <w:rPr>
          <w:rFonts w:ascii="Times New Roman" w:hAnsi="Times New Roman"/>
          <w:b w:val="0"/>
          <w:sz w:val="24"/>
          <w:szCs w:val="24"/>
        </w:rPr>
        <w:t>of the Act);</w:t>
      </w:r>
      <w:r>
        <w:rPr>
          <w:rFonts w:ascii="Times New Roman" w:hAnsi="Times New Roman"/>
          <w:b w:val="0"/>
          <w:sz w:val="24"/>
          <w:szCs w:val="24"/>
        </w:rPr>
        <w:t xml:space="preserve"> and</w:t>
      </w:r>
    </w:p>
    <w:p w14:paraId="4A77C28B" w14:textId="133668EC" w:rsidR="009A6A46" w:rsidRPr="009A6A46" w:rsidRDefault="009A6A46" w:rsidP="009A6A46">
      <w:pPr>
        <w:pStyle w:val="Heading"/>
        <w:numPr>
          <w:ilvl w:val="0"/>
          <w:numId w:val="7"/>
        </w:numPr>
        <w:spacing w:after="240"/>
        <w:rPr>
          <w:rFonts w:ascii="Times New Roman" w:hAnsi="Times New Roman"/>
          <w:b w:val="0"/>
          <w:sz w:val="24"/>
          <w:szCs w:val="24"/>
        </w:rPr>
      </w:pPr>
      <w:r w:rsidRPr="009A6A46">
        <w:rPr>
          <w:rFonts w:ascii="Times New Roman" w:hAnsi="Times New Roman"/>
          <w:b w:val="0"/>
          <w:sz w:val="24"/>
          <w:szCs w:val="24"/>
        </w:rPr>
        <w:t>issue a direction to the RSE licensee, including a direction to comply with the whole or part of a prudential standard (section 131D of the Act</w:t>
      </w:r>
      <w:r>
        <w:rPr>
          <w:rFonts w:ascii="Times New Roman" w:hAnsi="Times New Roman"/>
          <w:b w:val="0"/>
          <w:sz w:val="24"/>
          <w:szCs w:val="24"/>
        </w:rPr>
        <w:t>).</w:t>
      </w:r>
    </w:p>
    <w:p w14:paraId="740DBF49" w14:textId="056546A5" w:rsidR="00A1494E" w:rsidRDefault="009A6A46" w:rsidP="009A6A46">
      <w:pPr>
        <w:pStyle w:val="Heading"/>
        <w:spacing w:after="240"/>
        <w:rPr>
          <w:rFonts w:ascii="Times New Roman" w:hAnsi="Times New Roman"/>
          <w:b w:val="0"/>
          <w:sz w:val="24"/>
          <w:szCs w:val="24"/>
        </w:rPr>
      </w:pPr>
      <w:r w:rsidRPr="009A6A46">
        <w:rPr>
          <w:rFonts w:ascii="Times New Roman" w:hAnsi="Times New Roman"/>
          <w:b w:val="0"/>
          <w:sz w:val="24"/>
          <w:szCs w:val="24"/>
        </w:rPr>
        <w:t>It is only at this stage that an RSE licensee is exposed to a penalty: loss of licence or 100 penalty units each day if it breaches the direction (section 131DD of the Act).</w:t>
      </w:r>
      <w:r>
        <w:rPr>
          <w:rStyle w:val="FootnoteReference"/>
          <w:rFonts w:ascii="Times New Roman" w:hAnsi="Times New Roman"/>
          <w:b w:val="0"/>
          <w:sz w:val="24"/>
          <w:szCs w:val="24"/>
        </w:rPr>
        <w:footnoteReference w:id="2"/>
      </w:r>
      <w:r w:rsidRPr="009A6A46">
        <w:rPr>
          <w:rFonts w:ascii="Times New Roman" w:hAnsi="Times New Roman"/>
          <w:b w:val="0"/>
          <w:sz w:val="24"/>
          <w:szCs w:val="24"/>
        </w:rPr>
        <w:t xml:space="preserve"> </w:t>
      </w:r>
      <w:r w:rsidR="00796929">
        <w:rPr>
          <w:rFonts w:ascii="Times New Roman" w:hAnsi="Times New Roman"/>
          <w:b w:val="0"/>
          <w:sz w:val="24"/>
          <w:szCs w:val="24"/>
        </w:rPr>
        <w:t>A</w:t>
      </w:r>
      <w:r w:rsidR="00796929" w:rsidRPr="009A6A46">
        <w:rPr>
          <w:rFonts w:ascii="Times New Roman" w:hAnsi="Times New Roman"/>
          <w:b w:val="0"/>
          <w:sz w:val="24"/>
          <w:szCs w:val="24"/>
        </w:rPr>
        <w:t xml:space="preserve"> </w:t>
      </w:r>
      <w:r w:rsidRPr="009A6A46">
        <w:rPr>
          <w:rFonts w:ascii="Times New Roman" w:hAnsi="Times New Roman"/>
          <w:b w:val="0"/>
          <w:sz w:val="24"/>
          <w:szCs w:val="24"/>
        </w:rPr>
        <w:t xml:space="preserve">subsequent substantive decisions of APRA to </w:t>
      </w:r>
      <w:r w:rsidR="00796929">
        <w:rPr>
          <w:rFonts w:ascii="Times New Roman" w:hAnsi="Times New Roman"/>
          <w:b w:val="0"/>
          <w:sz w:val="24"/>
          <w:szCs w:val="24"/>
        </w:rPr>
        <w:t xml:space="preserve">cancel the licence and </w:t>
      </w:r>
      <w:r w:rsidRPr="009A6A46">
        <w:rPr>
          <w:rFonts w:ascii="Times New Roman" w:hAnsi="Times New Roman"/>
          <w:b w:val="0"/>
          <w:sz w:val="24"/>
          <w:szCs w:val="24"/>
        </w:rPr>
        <w:t>impose a direction are subject to merits review</w:t>
      </w:r>
      <w:r>
        <w:rPr>
          <w:rFonts w:ascii="Times New Roman" w:hAnsi="Times New Roman"/>
          <w:b w:val="0"/>
          <w:sz w:val="24"/>
          <w:szCs w:val="24"/>
        </w:rPr>
        <w:t>.</w:t>
      </w:r>
    </w:p>
    <w:p w14:paraId="322E7C1C" w14:textId="386374D2" w:rsidR="005F0C94" w:rsidRDefault="001A5DBF" w:rsidP="000B61D2">
      <w:pPr>
        <w:pStyle w:val="Heading"/>
        <w:spacing w:after="240"/>
        <w:rPr>
          <w:rFonts w:ascii="Times New Roman" w:hAnsi="Times New Roman"/>
          <w:b w:val="0"/>
          <w:i/>
          <w:sz w:val="24"/>
          <w:szCs w:val="24"/>
        </w:rPr>
      </w:pPr>
      <w:r w:rsidRPr="00787FB9">
        <w:rPr>
          <w:rFonts w:ascii="Times New Roman" w:hAnsi="Times New Roman"/>
          <w:b w:val="0"/>
          <w:i/>
          <w:sz w:val="24"/>
          <w:szCs w:val="24"/>
        </w:rPr>
        <w:t xml:space="preserve">Exemption from sunsetting </w:t>
      </w:r>
      <w:r w:rsidR="00753B5D">
        <w:rPr>
          <w:rFonts w:ascii="Times New Roman" w:hAnsi="Times New Roman"/>
          <w:b w:val="0"/>
          <w:i/>
          <w:sz w:val="24"/>
          <w:szCs w:val="24"/>
        </w:rPr>
        <w:t xml:space="preserve">and disallowance </w:t>
      </w:r>
    </w:p>
    <w:p w14:paraId="0C414584" w14:textId="73174FD6" w:rsidR="00753B5D" w:rsidRPr="00D356CE" w:rsidRDefault="00A11B8F" w:rsidP="00ED31C9">
      <w:pPr>
        <w:pStyle w:val="Heading"/>
        <w:spacing w:after="240"/>
        <w:rPr>
          <w:rFonts w:ascii="Times New Roman" w:hAnsi="Times New Roman"/>
          <w:b w:val="0"/>
          <w:sz w:val="24"/>
          <w:szCs w:val="24"/>
        </w:rPr>
      </w:pPr>
      <w:r>
        <w:rPr>
          <w:rFonts w:ascii="Times New Roman" w:hAnsi="Times New Roman"/>
          <w:b w:val="0"/>
          <w:sz w:val="24"/>
          <w:szCs w:val="24"/>
        </w:rPr>
        <w:t>SPS 530</w:t>
      </w:r>
      <w:r w:rsidR="00753B5D" w:rsidRPr="00D356CE">
        <w:rPr>
          <w:rFonts w:ascii="Times New Roman" w:hAnsi="Times New Roman"/>
          <w:b w:val="0"/>
          <w:sz w:val="24"/>
          <w:szCs w:val="24"/>
        </w:rPr>
        <w:t xml:space="preserve"> is exempt from disallowance in accordance with section 44(2)(b) of the </w:t>
      </w:r>
      <w:r w:rsidR="00753B5D" w:rsidRPr="001D0BC8">
        <w:rPr>
          <w:rFonts w:ascii="Times New Roman" w:hAnsi="Times New Roman"/>
          <w:b w:val="0"/>
          <w:i/>
          <w:sz w:val="24"/>
          <w:szCs w:val="24"/>
        </w:rPr>
        <w:t>Legi</w:t>
      </w:r>
      <w:r w:rsidR="00753B5D" w:rsidRPr="00831858">
        <w:rPr>
          <w:rFonts w:ascii="Times New Roman" w:hAnsi="Times New Roman"/>
          <w:b w:val="0"/>
          <w:i/>
          <w:sz w:val="24"/>
          <w:szCs w:val="24"/>
        </w:rPr>
        <w:t>slation Act 2003</w:t>
      </w:r>
      <w:r w:rsidR="00753B5D" w:rsidRPr="00D356CE">
        <w:rPr>
          <w:rFonts w:ascii="Times New Roman" w:hAnsi="Times New Roman"/>
          <w:b w:val="0"/>
          <w:sz w:val="24"/>
          <w:szCs w:val="24"/>
        </w:rPr>
        <w:t xml:space="preserve"> (Legi</w:t>
      </w:r>
      <w:r w:rsidR="00753B5D" w:rsidRPr="00C42AEB">
        <w:rPr>
          <w:rFonts w:ascii="Times New Roman" w:hAnsi="Times New Roman"/>
          <w:b w:val="0"/>
          <w:sz w:val="24"/>
          <w:szCs w:val="24"/>
        </w:rPr>
        <w:t xml:space="preserve">slation Act) </w:t>
      </w:r>
      <w:r w:rsidR="00753B5D" w:rsidRPr="00096AC5">
        <w:rPr>
          <w:rFonts w:ascii="Times New Roman" w:hAnsi="Times New Roman"/>
          <w:b w:val="0"/>
          <w:sz w:val="24"/>
          <w:szCs w:val="24"/>
        </w:rPr>
        <w:t xml:space="preserve">and </w:t>
      </w:r>
      <w:r w:rsidR="00AD4285" w:rsidRPr="00096AC5">
        <w:rPr>
          <w:rFonts w:ascii="Times New Roman" w:hAnsi="Times New Roman"/>
          <w:b w:val="0"/>
          <w:sz w:val="24"/>
          <w:szCs w:val="24"/>
        </w:rPr>
        <w:t xml:space="preserve">regulation 9 </w:t>
      </w:r>
      <w:r w:rsidR="00AD4285" w:rsidRPr="00962548">
        <w:rPr>
          <w:rFonts w:ascii="Times New Roman" w:hAnsi="Times New Roman"/>
          <w:b w:val="0"/>
          <w:sz w:val="24"/>
          <w:szCs w:val="24"/>
        </w:rPr>
        <w:t xml:space="preserve">of the </w:t>
      </w:r>
      <w:r w:rsidR="00AD4285" w:rsidRPr="00787FB9">
        <w:rPr>
          <w:rFonts w:ascii="Times New Roman" w:hAnsi="Times New Roman"/>
          <w:b w:val="0"/>
          <w:i/>
          <w:sz w:val="24"/>
          <w:szCs w:val="24"/>
        </w:rPr>
        <w:t>Legislation (Exemptions and Other Matters) Regulations 2015</w:t>
      </w:r>
      <w:r w:rsidR="00AD4285" w:rsidRPr="00962548">
        <w:rPr>
          <w:rFonts w:ascii="Times New Roman" w:hAnsi="Times New Roman"/>
          <w:b w:val="0"/>
          <w:sz w:val="24"/>
          <w:szCs w:val="24"/>
        </w:rPr>
        <w:t xml:space="preserve"> (Legislation Reg</w:t>
      </w:r>
      <w:r w:rsidR="00AD4285" w:rsidRPr="000F79BD">
        <w:rPr>
          <w:rFonts w:ascii="Times New Roman" w:hAnsi="Times New Roman"/>
          <w:b w:val="0"/>
          <w:sz w:val="24"/>
          <w:szCs w:val="24"/>
        </w:rPr>
        <w:t>ulations)</w:t>
      </w:r>
      <w:r w:rsidR="00AD4285" w:rsidRPr="000F79BD">
        <w:rPr>
          <w:rStyle w:val="FootnoteReference"/>
          <w:rFonts w:ascii="Times New Roman" w:hAnsi="Times New Roman"/>
          <w:b w:val="0"/>
          <w:sz w:val="24"/>
          <w:szCs w:val="24"/>
        </w:rPr>
        <w:t xml:space="preserve"> </w:t>
      </w:r>
      <w:r w:rsidR="00AD4285" w:rsidRPr="000F79BD">
        <w:rPr>
          <w:rFonts w:ascii="Times New Roman" w:hAnsi="Times New Roman"/>
          <w:b w:val="0"/>
          <w:sz w:val="24"/>
          <w:szCs w:val="24"/>
        </w:rPr>
        <w:t>a</w:t>
      </w:r>
      <w:r w:rsidR="00AD4285" w:rsidRPr="00DB32F2">
        <w:rPr>
          <w:rFonts w:ascii="Times New Roman" w:hAnsi="Times New Roman"/>
          <w:b w:val="0"/>
          <w:sz w:val="24"/>
          <w:szCs w:val="24"/>
        </w:rPr>
        <w:t xml:space="preserve">s </w:t>
      </w:r>
      <w:r w:rsidR="00A85FF7">
        <w:rPr>
          <w:rFonts w:ascii="Times New Roman" w:hAnsi="Times New Roman"/>
          <w:b w:val="0"/>
          <w:sz w:val="24"/>
          <w:szCs w:val="24"/>
        </w:rPr>
        <w:t>SPS 530</w:t>
      </w:r>
      <w:r w:rsidR="00571E11" w:rsidRPr="00DB32F2">
        <w:rPr>
          <w:rFonts w:ascii="Times New Roman" w:hAnsi="Times New Roman"/>
          <w:b w:val="0"/>
          <w:sz w:val="24"/>
          <w:szCs w:val="24"/>
        </w:rPr>
        <w:t xml:space="preserve"> is</w:t>
      </w:r>
      <w:r w:rsidR="00AD4285" w:rsidRPr="00DB32F2">
        <w:rPr>
          <w:rFonts w:ascii="Times New Roman" w:hAnsi="Times New Roman"/>
          <w:b w:val="0"/>
          <w:sz w:val="24"/>
          <w:szCs w:val="24"/>
        </w:rPr>
        <w:t xml:space="preserve"> a</w:t>
      </w:r>
      <w:r w:rsidR="00571E11" w:rsidRPr="00DB32F2">
        <w:rPr>
          <w:rFonts w:ascii="Times New Roman" w:hAnsi="Times New Roman"/>
          <w:b w:val="0"/>
          <w:sz w:val="24"/>
          <w:szCs w:val="24"/>
        </w:rPr>
        <w:t>n</w:t>
      </w:r>
      <w:r w:rsidR="00AD4285" w:rsidRPr="00122D99">
        <w:rPr>
          <w:rFonts w:ascii="Times New Roman" w:hAnsi="Times New Roman"/>
          <w:b w:val="0"/>
          <w:sz w:val="24"/>
          <w:szCs w:val="24"/>
        </w:rPr>
        <w:t xml:space="preserve"> </w:t>
      </w:r>
      <w:r w:rsidR="00571E11" w:rsidRPr="001D0BC8">
        <w:rPr>
          <w:rFonts w:ascii="Times New Roman" w:hAnsi="Times New Roman"/>
          <w:b w:val="0"/>
          <w:sz w:val="24"/>
          <w:szCs w:val="24"/>
        </w:rPr>
        <w:t>‘</w:t>
      </w:r>
      <w:r w:rsidR="00AD4285" w:rsidRPr="001D0BC8">
        <w:rPr>
          <w:rFonts w:ascii="Times New Roman" w:hAnsi="Times New Roman"/>
          <w:b w:val="0"/>
          <w:sz w:val="24"/>
          <w:szCs w:val="24"/>
        </w:rPr>
        <w:t>instrument</w:t>
      </w:r>
      <w:r w:rsidR="00571E11" w:rsidRPr="001D0BC8">
        <w:rPr>
          <w:rFonts w:ascii="Times New Roman" w:hAnsi="Times New Roman"/>
          <w:b w:val="0"/>
          <w:sz w:val="24"/>
          <w:szCs w:val="24"/>
        </w:rPr>
        <w:t xml:space="preserve"> (other than a regulation)</w:t>
      </w:r>
      <w:r w:rsidR="007A0703" w:rsidRPr="001D0BC8">
        <w:rPr>
          <w:rFonts w:ascii="Times New Roman" w:hAnsi="Times New Roman"/>
          <w:b w:val="0"/>
          <w:sz w:val="24"/>
          <w:szCs w:val="24"/>
        </w:rPr>
        <w:t xml:space="preserve"> relating to superannuation</w:t>
      </w:r>
      <w:r w:rsidR="007A0703" w:rsidRPr="00831858">
        <w:rPr>
          <w:rFonts w:ascii="Times New Roman" w:hAnsi="Times New Roman"/>
          <w:b w:val="0"/>
          <w:sz w:val="24"/>
          <w:szCs w:val="24"/>
        </w:rPr>
        <w:t>’.</w:t>
      </w:r>
      <w:r w:rsidR="007A0703" w:rsidRPr="00D356CE">
        <w:rPr>
          <w:rStyle w:val="FootnoteReference"/>
          <w:rFonts w:ascii="Times New Roman" w:hAnsi="Times New Roman"/>
          <w:b w:val="0"/>
          <w:sz w:val="24"/>
          <w:szCs w:val="24"/>
        </w:rPr>
        <w:footnoteReference w:id="3"/>
      </w:r>
    </w:p>
    <w:p w14:paraId="46A297F2" w14:textId="0268157F" w:rsidR="00D356CE" w:rsidRDefault="00A11B8F" w:rsidP="00ED31C9">
      <w:pPr>
        <w:pStyle w:val="Heading"/>
        <w:spacing w:after="240"/>
        <w:rPr>
          <w:rFonts w:ascii="Times New Roman" w:hAnsi="Times New Roman"/>
          <w:b w:val="0"/>
          <w:sz w:val="24"/>
          <w:szCs w:val="24"/>
        </w:rPr>
      </w:pPr>
      <w:r>
        <w:rPr>
          <w:rFonts w:ascii="Times New Roman" w:hAnsi="Times New Roman"/>
          <w:b w:val="0"/>
          <w:sz w:val="24"/>
          <w:szCs w:val="24"/>
        </w:rPr>
        <w:t>SPS 530</w:t>
      </w:r>
      <w:r w:rsidR="00571E11">
        <w:rPr>
          <w:rFonts w:ascii="Times New Roman" w:hAnsi="Times New Roman"/>
          <w:b w:val="0"/>
          <w:sz w:val="24"/>
          <w:szCs w:val="24"/>
        </w:rPr>
        <w:t xml:space="preserve"> is exempt from sunsetting in accordance with section 54(2)(b) of the Legislation Act and regulation 11 of the Legislation Regulations as this </w:t>
      </w:r>
      <w:r w:rsidR="00831858">
        <w:rPr>
          <w:rFonts w:ascii="Times New Roman" w:hAnsi="Times New Roman"/>
          <w:b w:val="0"/>
          <w:sz w:val="24"/>
          <w:szCs w:val="24"/>
        </w:rPr>
        <w:t>L</w:t>
      </w:r>
      <w:r w:rsidR="00571E11">
        <w:rPr>
          <w:rFonts w:ascii="Times New Roman" w:hAnsi="Times New Roman"/>
          <w:b w:val="0"/>
          <w:sz w:val="24"/>
          <w:szCs w:val="24"/>
        </w:rPr>
        <w:t xml:space="preserve">egislative </w:t>
      </w:r>
      <w:r w:rsidR="00831858">
        <w:rPr>
          <w:rFonts w:ascii="Times New Roman" w:hAnsi="Times New Roman"/>
          <w:b w:val="0"/>
          <w:sz w:val="24"/>
          <w:szCs w:val="24"/>
        </w:rPr>
        <w:t>I</w:t>
      </w:r>
      <w:r w:rsidR="00571E11">
        <w:rPr>
          <w:rFonts w:ascii="Times New Roman" w:hAnsi="Times New Roman"/>
          <w:b w:val="0"/>
          <w:sz w:val="24"/>
          <w:szCs w:val="24"/>
        </w:rPr>
        <w:t>nstrument is ‘an instrument</w:t>
      </w:r>
      <w:r w:rsidR="001D0BC8">
        <w:rPr>
          <w:rFonts w:ascii="Times New Roman" w:hAnsi="Times New Roman"/>
          <w:b w:val="0"/>
          <w:sz w:val="24"/>
          <w:szCs w:val="24"/>
        </w:rPr>
        <w:t xml:space="preserve"> (other than a regulation)</w:t>
      </w:r>
      <w:r w:rsidR="00571E11">
        <w:rPr>
          <w:rFonts w:ascii="Times New Roman" w:hAnsi="Times New Roman"/>
          <w:b w:val="0"/>
          <w:sz w:val="24"/>
          <w:szCs w:val="24"/>
        </w:rPr>
        <w:t xml:space="preserve"> relating to superannuation’.</w:t>
      </w:r>
      <w:r w:rsidR="00571E11">
        <w:rPr>
          <w:rStyle w:val="FootnoteReference"/>
          <w:rFonts w:ascii="Times New Roman" w:hAnsi="Times New Roman"/>
          <w:b w:val="0"/>
          <w:sz w:val="24"/>
          <w:szCs w:val="24"/>
        </w:rPr>
        <w:footnoteReference w:id="4"/>
      </w:r>
    </w:p>
    <w:p w14:paraId="3E1E0165" w14:textId="37931720" w:rsidR="00D356CE" w:rsidRDefault="00C42AEB" w:rsidP="000B61D2">
      <w:pPr>
        <w:pStyle w:val="Heading"/>
        <w:spacing w:after="240"/>
        <w:rPr>
          <w:rFonts w:ascii="Times New Roman" w:hAnsi="Times New Roman"/>
          <w:b w:val="0"/>
          <w:sz w:val="24"/>
          <w:szCs w:val="24"/>
        </w:rPr>
      </w:pPr>
      <w:r>
        <w:rPr>
          <w:rFonts w:ascii="Times New Roman" w:hAnsi="Times New Roman"/>
          <w:b w:val="0"/>
          <w:sz w:val="24"/>
          <w:szCs w:val="24"/>
        </w:rPr>
        <w:t xml:space="preserve">As </w:t>
      </w:r>
      <w:r w:rsidR="00A85FF7">
        <w:rPr>
          <w:rFonts w:ascii="Times New Roman" w:hAnsi="Times New Roman"/>
          <w:b w:val="0"/>
          <w:sz w:val="24"/>
          <w:szCs w:val="24"/>
        </w:rPr>
        <w:t>SPS 530</w:t>
      </w:r>
      <w:r>
        <w:rPr>
          <w:rFonts w:ascii="Times New Roman" w:hAnsi="Times New Roman"/>
          <w:b w:val="0"/>
          <w:sz w:val="24"/>
          <w:szCs w:val="24"/>
        </w:rPr>
        <w:t xml:space="preserve"> falls within the above-mentioned exemptions to disallowance and sunsetting, APRA does not have discretion to subject </w:t>
      </w:r>
      <w:r w:rsidR="00A85FF7">
        <w:rPr>
          <w:rFonts w:ascii="Times New Roman" w:hAnsi="Times New Roman"/>
          <w:b w:val="0"/>
          <w:sz w:val="24"/>
          <w:szCs w:val="24"/>
        </w:rPr>
        <w:t>SPS 530</w:t>
      </w:r>
      <w:r>
        <w:rPr>
          <w:rFonts w:ascii="Times New Roman" w:hAnsi="Times New Roman"/>
          <w:b w:val="0"/>
          <w:sz w:val="24"/>
          <w:szCs w:val="24"/>
        </w:rPr>
        <w:t xml:space="preserve"> to disallowance and sunsetting. To mitigate against any adverse impact arising from the above-mentioned exemptions </w:t>
      </w:r>
      <w:r w:rsidR="005548B1">
        <w:rPr>
          <w:rFonts w:ascii="Times New Roman" w:hAnsi="Times New Roman"/>
          <w:b w:val="0"/>
          <w:sz w:val="24"/>
          <w:szCs w:val="24"/>
        </w:rPr>
        <w:t>from</w:t>
      </w:r>
      <w:r>
        <w:rPr>
          <w:rFonts w:ascii="Times New Roman" w:hAnsi="Times New Roman"/>
          <w:b w:val="0"/>
          <w:sz w:val="24"/>
          <w:szCs w:val="24"/>
        </w:rPr>
        <w:t xml:space="preserve"> disallowance and sunsetting, APRA undertook consultation </w:t>
      </w:r>
      <w:r w:rsidR="00962548">
        <w:rPr>
          <w:rFonts w:ascii="Times New Roman" w:hAnsi="Times New Roman"/>
          <w:b w:val="0"/>
          <w:sz w:val="24"/>
          <w:szCs w:val="24"/>
        </w:rPr>
        <w:t xml:space="preserve">on the proposed revisions to existing SPS 530 (refer to paragraph 3 for further details) and will continue to conduct regular reviews of SPS 530 which may include future PIRs and targeted reviews of specific requirements within SPS 530 within the sunsetting period. </w:t>
      </w:r>
    </w:p>
    <w:p w14:paraId="0D0F33F2" w14:textId="703F6AD1" w:rsidR="00537603" w:rsidRPr="00ED31C9" w:rsidRDefault="00537603" w:rsidP="000B61D2">
      <w:pPr>
        <w:pStyle w:val="Heading"/>
        <w:spacing w:after="240"/>
        <w:rPr>
          <w:rFonts w:ascii="Times New Roman" w:hAnsi="Times New Roman"/>
          <w:b w:val="0"/>
          <w:i/>
          <w:sz w:val="24"/>
          <w:szCs w:val="24"/>
        </w:rPr>
      </w:pPr>
      <w:r w:rsidRPr="00ED31C9">
        <w:rPr>
          <w:rFonts w:ascii="Times New Roman" w:hAnsi="Times New Roman"/>
          <w:b w:val="0"/>
          <w:i/>
          <w:sz w:val="24"/>
          <w:szCs w:val="24"/>
        </w:rPr>
        <w:lastRenderedPageBreak/>
        <w:t xml:space="preserve">Incorporation by reference </w:t>
      </w:r>
    </w:p>
    <w:p w14:paraId="42DE7003" w14:textId="77777777" w:rsidR="00700D7E" w:rsidRPr="00D17845" w:rsidRDefault="009A2ACA" w:rsidP="00D17845">
      <w:pPr>
        <w:pStyle w:val="Heading"/>
        <w:spacing w:after="240"/>
        <w:rPr>
          <w:rFonts w:ascii="Times New Roman" w:hAnsi="Times New Roman"/>
          <w:sz w:val="24"/>
          <w:szCs w:val="24"/>
        </w:rPr>
      </w:pPr>
      <w:r w:rsidRPr="000D2E99">
        <w:rPr>
          <w:rFonts w:ascii="Times New Roman" w:hAnsi="Times New Roman"/>
          <w:b w:val="0"/>
          <w:bCs/>
          <w:sz w:val="24"/>
          <w:szCs w:val="24"/>
        </w:rPr>
        <w:t xml:space="preserve">Where SPS 530 refers to </w:t>
      </w:r>
      <w:r>
        <w:rPr>
          <w:rFonts w:ascii="Times New Roman" w:hAnsi="Times New Roman"/>
          <w:b w:val="0"/>
          <w:bCs/>
          <w:sz w:val="24"/>
          <w:szCs w:val="24"/>
        </w:rPr>
        <w:t xml:space="preserve">provisions in </w:t>
      </w:r>
      <w:r w:rsidR="00E916FE">
        <w:rPr>
          <w:rFonts w:ascii="Times New Roman" w:hAnsi="Times New Roman"/>
          <w:b w:val="0"/>
          <w:bCs/>
          <w:sz w:val="24"/>
          <w:szCs w:val="24"/>
        </w:rPr>
        <w:t>an</w:t>
      </w:r>
      <w:r w:rsidRPr="000D2E99">
        <w:rPr>
          <w:rFonts w:ascii="Times New Roman" w:hAnsi="Times New Roman"/>
          <w:b w:val="0"/>
          <w:bCs/>
          <w:sz w:val="24"/>
          <w:szCs w:val="24"/>
        </w:rPr>
        <w:t xml:space="preserve"> Act, this is a reference to </w:t>
      </w:r>
      <w:r w:rsidR="00E916FE">
        <w:rPr>
          <w:rFonts w:ascii="Times New Roman" w:hAnsi="Times New Roman"/>
          <w:b w:val="0"/>
          <w:bCs/>
          <w:sz w:val="24"/>
          <w:szCs w:val="24"/>
        </w:rPr>
        <w:t xml:space="preserve">an </w:t>
      </w:r>
      <w:r>
        <w:rPr>
          <w:rFonts w:ascii="Times New Roman" w:hAnsi="Times New Roman"/>
          <w:b w:val="0"/>
          <w:bCs/>
          <w:sz w:val="24"/>
          <w:szCs w:val="24"/>
        </w:rPr>
        <w:t xml:space="preserve">Act </w:t>
      </w:r>
      <w:r w:rsidRPr="000D2E99">
        <w:rPr>
          <w:rFonts w:ascii="Times New Roman" w:hAnsi="Times New Roman"/>
          <w:b w:val="0"/>
          <w:bCs/>
          <w:sz w:val="24"/>
          <w:szCs w:val="24"/>
        </w:rPr>
        <w:t xml:space="preserve">as it exists </w:t>
      </w:r>
      <w:r w:rsidRPr="000D2E99">
        <w:rPr>
          <w:rFonts w:ascii="Times New Roman" w:hAnsi="Times New Roman"/>
          <w:b w:val="0"/>
          <w:bCs/>
          <w:i/>
          <w:sz w:val="24"/>
          <w:szCs w:val="24"/>
        </w:rPr>
        <w:t>from time to time</w:t>
      </w:r>
      <w:r w:rsidRPr="000D2E99">
        <w:rPr>
          <w:rFonts w:ascii="Times New Roman" w:hAnsi="Times New Roman"/>
          <w:b w:val="0"/>
          <w:bCs/>
          <w:sz w:val="24"/>
          <w:szCs w:val="24"/>
        </w:rPr>
        <w:t>, and which is available on the Federal Register of Legislation</w:t>
      </w:r>
      <w:r>
        <w:rPr>
          <w:rFonts w:ascii="Times New Roman" w:hAnsi="Times New Roman"/>
          <w:b w:val="0"/>
          <w:bCs/>
          <w:sz w:val="24"/>
          <w:szCs w:val="24"/>
        </w:rPr>
        <w:t xml:space="preserve"> </w:t>
      </w:r>
      <w:r w:rsidRPr="000D2E99">
        <w:rPr>
          <w:rFonts w:ascii="Times New Roman" w:hAnsi="Times New Roman"/>
          <w:b w:val="0"/>
          <w:bCs/>
          <w:sz w:val="24"/>
          <w:szCs w:val="24"/>
        </w:rPr>
        <w:t xml:space="preserve">at </w:t>
      </w:r>
      <w:hyperlink r:id="rId14" w:history="1">
        <w:r w:rsidRPr="000D2E99">
          <w:rPr>
            <w:rStyle w:val="Hyperlink"/>
            <w:rFonts w:ascii="Times New Roman" w:hAnsi="Times New Roman"/>
            <w:b w:val="0"/>
            <w:bCs/>
            <w:sz w:val="24"/>
            <w:szCs w:val="24"/>
          </w:rPr>
          <w:t>www.legislation.gov.au</w:t>
        </w:r>
      </w:hyperlink>
      <w:r w:rsidRPr="000D2E99">
        <w:rPr>
          <w:rFonts w:ascii="Times New Roman" w:hAnsi="Times New Roman"/>
          <w:b w:val="0"/>
          <w:bCs/>
          <w:sz w:val="24"/>
          <w:szCs w:val="24"/>
        </w:rPr>
        <w:t xml:space="preserve">. Where SPS 530 refers to another superannuation prudential standard, the </w:t>
      </w:r>
      <w:r>
        <w:rPr>
          <w:rFonts w:ascii="Times New Roman" w:hAnsi="Times New Roman"/>
          <w:b w:val="0"/>
          <w:bCs/>
          <w:sz w:val="24"/>
          <w:szCs w:val="24"/>
        </w:rPr>
        <w:t>superannuation</w:t>
      </w:r>
      <w:r w:rsidR="00E916FE">
        <w:rPr>
          <w:rFonts w:ascii="Times New Roman" w:hAnsi="Times New Roman"/>
          <w:b w:val="0"/>
          <w:bCs/>
          <w:sz w:val="24"/>
          <w:szCs w:val="24"/>
        </w:rPr>
        <w:t xml:space="preserve"> prudential</w:t>
      </w:r>
      <w:r>
        <w:rPr>
          <w:rFonts w:ascii="Times New Roman" w:hAnsi="Times New Roman"/>
          <w:b w:val="0"/>
          <w:bCs/>
          <w:sz w:val="24"/>
          <w:szCs w:val="24"/>
        </w:rPr>
        <w:t xml:space="preserve"> </w:t>
      </w:r>
      <w:r w:rsidRPr="000D2E99">
        <w:rPr>
          <w:rFonts w:ascii="Times New Roman" w:hAnsi="Times New Roman"/>
          <w:b w:val="0"/>
          <w:bCs/>
          <w:sz w:val="24"/>
          <w:szCs w:val="24"/>
        </w:rPr>
        <w:t xml:space="preserve">standard </w:t>
      </w:r>
      <w:r w:rsidRPr="000D2E99">
        <w:rPr>
          <w:rFonts w:ascii="Times New Roman" w:hAnsi="Times New Roman"/>
          <w:b w:val="0"/>
          <w:sz w:val="24"/>
          <w:szCs w:val="24"/>
          <w:lang w:eastAsia="en-US"/>
        </w:rPr>
        <w:t>referred to is the version that exists</w:t>
      </w:r>
      <w:r w:rsidRPr="000D2E99">
        <w:rPr>
          <w:rFonts w:ascii="Arial" w:hAnsi="Arial" w:cs="Arial"/>
          <w:lang w:eastAsia="en-US"/>
        </w:rPr>
        <w:t xml:space="preserve"> </w:t>
      </w:r>
      <w:r w:rsidRPr="000D2E99">
        <w:rPr>
          <w:rFonts w:ascii="Times New Roman" w:hAnsi="Times New Roman"/>
          <w:b w:val="0"/>
          <w:i/>
          <w:sz w:val="24"/>
          <w:szCs w:val="24"/>
          <w:lang w:eastAsia="en-US"/>
        </w:rPr>
        <w:t>at the time</w:t>
      </w:r>
      <w:r w:rsidRPr="000D2E99">
        <w:rPr>
          <w:rFonts w:ascii="Times New Roman" w:hAnsi="Times New Roman"/>
          <w:b w:val="0"/>
          <w:sz w:val="24"/>
          <w:szCs w:val="24"/>
          <w:lang w:eastAsia="en-US"/>
        </w:rPr>
        <w:t xml:space="preserve"> </w:t>
      </w:r>
      <w:r>
        <w:rPr>
          <w:rFonts w:ascii="Times New Roman" w:hAnsi="Times New Roman"/>
          <w:b w:val="0"/>
          <w:sz w:val="24"/>
          <w:szCs w:val="24"/>
          <w:lang w:eastAsia="en-US"/>
        </w:rPr>
        <w:t xml:space="preserve">the Instrument was determined, also </w:t>
      </w:r>
      <w:r w:rsidRPr="000D2E99">
        <w:rPr>
          <w:rFonts w:ascii="Times New Roman" w:hAnsi="Times New Roman"/>
          <w:b w:val="0"/>
          <w:bCs/>
          <w:sz w:val="24"/>
          <w:szCs w:val="24"/>
        </w:rPr>
        <w:t>available on the Federal Register of Legislation</w:t>
      </w:r>
      <w:r>
        <w:rPr>
          <w:rFonts w:ascii="Times New Roman" w:hAnsi="Times New Roman"/>
          <w:b w:val="0"/>
          <w:bCs/>
          <w:sz w:val="24"/>
          <w:szCs w:val="24"/>
        </w:rPr>
        <w:t xml:space="preserve"> website.</w:t>
      </w:r>
      <w:r w:rsidR="00D547C8">
        <w:rPr>
          <w:rFonts w:ascii="Times New Roman" w:hAnsi="Times New Roman"/>
          <w:b w:val="0"/>
          <w:bCs/>
          <w:sz w:val="24"/>
          <w:szCs w:val="24"/>
        </w:rPr>
        <w:t xml:space="preserve"> </w:t>
      </w:r>
    </w:p>
    <w:p w14:paraId="03BE545C" w14:textId="2EB07753" w:rsidR="002436BD" w:rsidRPr="00D57303" w:rsidRDefault="002436BD" w:rsidP="00DF7DA0">
      <w:pPr>
        <w:pStyle w:val="Heading"/>
        <w:numPr>
          <w:ilvl w:val="0"/>
          <w:numId w:val="2"/>
        </w:numPr>
        <w:spacing w:after="240"/>
        <w:rPr>
          <w:rFonts w:ascii="Times New Roman" w:hAnsi="Times New Roman"/>
          <w:sz w:val="24"/>
          <w:szCs w:val="24"/>
        </w:rPr>
      </w:pPr>
      <w:r w:rsidRPr="00D57303">
        <w:rPr>
          <w:rFonts w:ascii="Times New Roman" w:hAnsi="Times New Roman"/>
          <w:sz w:val="24"/>
          <w:szCs w:val="24"/>
        </w:rPr>
        <w:t>Consultation</w:t>
      </w:r>
    </w:p>
    <w:p w14:paraId="433C3CB0" w14:textId="0775BE8D" w:rsidR="00C74348" w:rsidRPr="00D57303" w:rsidRDefault="00FC2F1B" w:rsidP="00DF7DA0">
      <w:pPr>
        <w:pStyle w:val="Heading"/>
        <w:tabs>
          <w:tab w:val="left" w:pos="360"/>
        </w:tabs>
        <w:spacing w:after="240"/>
        <w:rPr>
          <w:rFonts w:ascii="Times New Roman" w:hAnsi="Times New Roman"/>
          <w:b w:val="0"/>
          <w:sz w:val="24"/>
          <w:szCs w:val="24"/>
        </w:rPr>
      </w:pPr>
      <w:r w:rsidRPr="00D57303">
        <w:rPr>
          <w:rFonts w:ascii="Times New Roman" w:hAnsi="Times New Roman"/>
          <w:b w:val="0"/>
          <w:sz w:val="24"/>
          <w:szCs w:val="24"/>
        </w:rPr>
        <w:t>APRA</w:t>
      </w:r>
      <w:r w:rsidRPr="00D57303">
        <w:t xml:space="preserve"> </w:t>
      </w:r>
      <w:r w:rsidR="002436BD" w:rsidRPr="00D57303">
        <w:rPr>
          <w:rFonts w:ascii="Times New Roman" w:hAnsi="Times New Roman"/>
          <w:b w:val="0"/>
          <w:sz w:val="24"/>
          <w:szCs w:val="24"/>
        </w:rPr>
        <w:t xml:space="preserve">undertook </w:t>
      </w:r>
      <w:r w:rsidR="00D57303" w:rsidRPr="00D57303">
        <w:rPr>
          <w:rFonts w:ascii="Times New Roman" w:hAnsi="Times New Roman"/>
          <w:b w:val="0"/>
          <w:sz w:val="24"/>
          <w:szCs w:val="24"/>
        </w:rPr>
        <w:t xml:space="preserve">five months of </w:t>
      </w:r>
      <w:r w:rsidR="001D1759" w:rsidRPr="00D57303">
        <w:rPr>
          <w:rFonts w:ascii="Times New Roman" w:hAnsi="Times New Roman"/>
          <w:b w:val="0"/>
          <w:sz w:val="24"/>
          <w:szCs w:val="24"/>
        </w:rPr>
        <w:t xml:space="preserve">public </w:t>
      </w:r>
      <w:r w:rsidR="002436BD" w:rsidRPr="00D57303">
        <w:rPr>
          <w:rFonts w:ascii="Times New Roman" w:hAnsi="Times New Roman"/>
          <w:b w:val="0"/>
          <w:sz w:val="24"/>
          <w:szCs w:val="24"/>
        </w:rPr>
        <w:t>consultation</w:t>
      </w:r>
      <w:r w:rsidR="00D57303" w:rsidRPr="00D57303">
        <w:rPr>
          <w:rFonts w:ascii="Times New Roman" w:hAnsi="Times New Roman"/>
          <w:b w:val="0"/>
          <w:sz w:val="24"/>
          <w:szCs w:val="24"/>
        </w:rPr>
        <w:t xml:space="preserve"> between </w:t>
      </w:r>
      <w:r w:rsidR="0027160A" w:rsidRPr="00D57303">
        <w:rPr>
          <w:rFonts w:ascii="Times New Roman" w:hAnsi="Times New Roman"/>
          <w:b w:val="0"/>
          <w:sz w:val="24"/>
          <w:szCs w:val="24"/>
        </w:rPr>
        <w:t>September 2021</w:t>
      </w:r>
      <w:r w:rsidR="002436BD" w:rsidRPr="00D57303">
        <w:rPr>
          <w:rFonts w:ascii="Times New Roman" w:hAnsi="Times New Roman"/>
          <w:b w:val="0"/>
          <w:sz w:val="24"/>
          <w:szCs w:val="24"/>
        </w:rPr>
        <w:t xml:space="preserve"> </w:t>
      </w:r>
      <w:r w:rsidR="00D57303" w:rsidRPr="00D57303">
        <w:rPr>
          <w:rFonts w:ascii="Times New Roman" w:hAnsi="Times New Roman"/>
          <w:b w:val="0"/>
          <w:sz w:val="24"/>
          <w:szCs w:val="24"/>
        </w:rPr>
        <w:t xml:space="preserve">and February 2022 </w:t>
      </w:r>
      <w:r w:rsidR="002436BD" w:rsidRPr="00D57303">
        <w:rPr>
          <w:rFonts w:ascii="Times New Roman" w:hAnsi="Times New Roman"/>
          <w:b w:val="0"/>
          <w:sz w:val="24"/>
          <w:szCs w:val="24"/>
        </w:rPr>
        <w:t xml:space="preserve">on </w:t>
      </w:r>
      <w:r w:rsidR="00D57303" w:rsidRPr="00D57303">
        <w:rPr>
          <w:rFonts w:ascii="Times New Roman" w:hAnsi="Times New Roman"/>
          <w:b w:val="0"/>
          <w:sz w:val="24"/>
          <w:szCs w:val="24"/>
        </w:rPr>
        <w:t xml:space="preserve">the </w:t>
      </w:r>
      <w:r w:rsidR="002436BD" w:rsidRPr="00D57303">
        <w:rPr>
          <w:rFonts w:ascii="Times New Roman" w:hAnsi="Times New Roman"/>
          <w:b w:val="0"/>
          <w:sz w:val="24"/>
          <w:szCs w:val="24"/>
        </w:rPr>
        <w:t xml:space="preserve">proposed </w:t>
      </w:r>
      <w:r w:rsidRPr="00D57303">
        <w:rPr>
          <w:rFonts w:ascii="Times New Roman" w:hAnsi="Times New Roman"/>
          <w:b w:val="0"/>
          <w:sz w:val="24"/>
          <w:szCs w:val="24"/>
        </w:rPr>
        <w:t xml:space="preserve">revisions to </w:t>
      </w:r>
      <w:r w:rsidR="007069EA">
        <w:rPr>
          <w:rFonts w:ascii="Times New Roman" w:hAnsi="Times New Roman"/>
          <w:b w:val="0"/>
          <w:sz w:val="24"/>
          <w:szCs w:val="24"/>
        </w:rPr>
        <w:t xml:space="preserve">existing </w:t>
      </w:r>
      <w:r w:rsidRPr="00D57303">
        <w:rPr>
          <w:rFonts w:ascii="Times New Roman" w:hAnsi="Times New Roman"/>
          <w:b w:val="0"/>
          <w:sz w:val="24"/>
          <w:szCs w:val="24"/>
        </w:rPr>
        <w:t xml:space="preserve">SPS </w:t>
      </w:r>
      <w:r w:rsidR="00202081" w:rsidRPr="00D57303">
        <w:rPr>
          <w:rFonts w:ascii="Times New Roman" w:hAnsi="Times New Roman"/>
          <w:b w:val="0"/>
          <w:sz w:val="24"/>
          <w:szCs w:val="24"/>
        </w:rPr>
        <w:t>530</w:t>
      </w:r>
      <w:r w:rsidR="00F0488B">
        <w:rPr>
          <w:rFonts w:ascii="Times New Roman" w:hAnsi="Times New Roman"/>
          <w:b w:val="0"/>
          <w:sz w:val="24"/>
          <w:szCs w:val="24"/>
        </w:rPr>
        <w:t xml:space="preserve"> to enhance requirements relating to stress testing, valuation and liquidity management practices</w:t>
      </w:r>
      <w:r w:rsidR="00202081" w:rsidRPr="00D57303">
        <w:rPr>
          <w:rFonts w:ascii="Times New Roman" w:hAnsi="Times New Roman"/>
          <w:b w:val="0"/>
          <w:sz w:val="24"/>
          <w:szCs w:val="24"/>
        </w:rPr>
        <w:t xml:space="preserve">. </w:t>
      </w:r>
      <w:r w:rsidR="00C74348" w:rsidRPr="00D57303">
        <w:rPr>
          <w:rFonts w:ascii="Times New Roman" w:hAnsi="Times New Roman"/>
          <w:b w:val="0"/>
          <w:sz w:val="24"/>
          <w:szCs w:val="24"/>
        </w:rPr>
        <w:t xml:space="preserve">In making </w:t>
      </w:r>
      <w:r w:rsidR="001D1759" w:rsidRPr="00D57303">
        <w:rPr>
          <w:rFonts w:ascii="Times New Roman" w:hAnsi="Times New Roman"/>
          <w:b w:val="0"/>
          <w:sz w:val="24"/>
          <w:szCs w:val="24"/>
        </w:rPr>
        <w:t>final</w:t>
      </w:r>
      <w:r w:rsidR="00C74348" w:rsidRPr="00D57303">
        <w:rPr>
          <w:rFonts w:ascii="Times New Roman" w:hAnsi="Times New Roman"/>
          <w:b w:val="0"/>
          <w:sz w:val="24"/>
          <w:szCs w:val="24"/>
        </w:rPr>
        <w:t xml:space="preserve"> changes</w:t>
      </w:r>
      <w:r w:rsidR="001D1759" w:rsidRPr="00D57303">
        <w:rPr>
          <w:rFonts w:ascii="Times New Roman" w:hAnsi="Times New Roman"/>
          <w:b w:val="0"/>
          <w:sz w:val="24"/>
          <w:szCs w:val="24"/>
        </w:rPr>
        <w:t xml:space="preserve"> to </w:t>
      </w:r>
      <w:r w:rsidR="007069EA">
        <w:rPr>
          <w:rFonts w:ascii="Times New Roman" w:hAnsi="Times New Roman"/>
          <w:b w:val="0"/>
          <w:sz w:val="24"/>
          <w:szCs w:val="24"/>
        </w:rPr>
        <w:t>existing</w:t>
      </w:r>
      <w:r w:rsidR="000338D0">
        <w:rPr>
          <w:rFonts w:ascii="Times New Roman" w:hAnsi="Times New Roman"/>
          <w:b w:val="0"/>
          <w:sz w:val="24"/>
          <w:szCs w:val="24"/>
        </w:rPr>
        <w:t xml:space="preserve"> </w:t>
      </w:r>
      <w:r w:rsidR="001D1759" w:rsidRPr="00D57303">
        <w:rPr>
          <w:rFonts w:ascii="Times New Roman" w:hAnsi="Times New Roman"/>
          <w:b w:val="0"/>
          <w:sz w:val="24"/>
          <w:szCs w:val="24"/>
        </w:rPr>
        <w:t xml:space="preserve">SPS </w:t>
      </w:r>
      <w:r w:rsidR="00202081" w:rsidRPr="00D57303">
        <w:rPr>
          <w:rFonts w:ascii="Times New Roman" w:hAnsi="Times New Roman"/>
          <w:b w:val="0"/>
          <w:sz w:val="24"/>
          <w:szCs w:val="24"/>
        </w:rPr>
        <w:t>530</w:t>
      </w:r>
      <w:r w:rsidR="00C74348" w:rsidRPr="00D57303">
        <w:rPr>
          <w:rFonts w:ascii="Times New Roman" w:hAnsi="Times New Roman"/>
          <w:b w:val="0"/>
          <w:sz w:val="24"/>
          <w:szCs w:val="24"/>
        </w:rPr>
        <w:t>, APRA considered feedback from industry submissions</w:t>
      </w:r>
      <w:r w:rsidR="00F0488B">
        <w:rPr>
          <w:rFonts w:ascii="Times New Roman" w:hAnsi="Times New Roman"/>
          <w:b w:val="0"/>
          <w:sz w:val="24"/>
          <w:szCs w:val="24"/>
        </w:rPr>
        <w:t xml:space="preserve"> </w:t>
      </w:r>
      <w:r w:rsidR="004C459E">
        <w:rPr>
          <w:rFonts w:ascii="Times New Roman" w:hAnsi="Times New Roman"/>
          <w:b w:val="0"/>
          <w:sz w:val="24"/>
          <w:szCs w:val="24"/>
        </w:rPr>
        <w:t xml:space="preserve">in addition to </w:t>
      </w:r>
      <w:r w:rsidR="00F0488B">
        <w:rPr>
          <w:rFonts w:ascii="Times New Roman" w:hAnsi="Times New Roman"/>
          <w:b w:val="0"/>
          <w:sz w:val="24"/>
          <w:szCs w:val="24"/>
        </w:rPr>
        <w:t xml:space="preserve">the findings of the </w:t>
      </w:r>
      <w:r w:rsidR="00F0488B" w:rsidRPr="00F0488B">
        <w:rPr>
          <w:rFonts w:ascii="Times New Roman" w:hAnsi="Times New Roman"/>
          <w:b w:val="0"/>
          <w:sz w:val="24"/>
          <w:szCs w:val="24"/>
        </w:rPr>
        <w:t>PIR and the Unlisted Asset Valuation Thematic Review</w:t>
      </w:r>
      <w:r w:rsidR="004C459E">
        <w:rPr>
          <w:rFonts w:ascii="Times New Roman" w:hAnsi="Times New Roman"/>
          <w:b w:val="0"/>
          <w:sz w:val="24"/>
          <w:szCs w:val="24"/>
        </w:rPr>
        <w:t xml:space="preserve"> as well as APRA supervisors’ observations of investment governance practices more broadly</w:t>
      </w:r>
      <w:r w:rsidR="00C74348" w:rsidRPr="00D57303">
        <w:rPr>
          <w:rFonts w:ascii="Times New Roman" w:hAnsi="Times New Roman"/>
          <w:b w:val="0"/>
          <w:sz w:val="24"/>
          <w:szCs w:val="24"/>
        </w:rPr>
        <w:t xml:space="preserve">. </w:t>
      </w:r>
    </w:p>
    <w:p w14:paraId="179E30C4" w14:textId="082D031E" w:rsidR="0074164E" w:rsidRDefault="00DD5332" w:rsidP="00DF7DA0">
      <w:pPr>
        <w:pStyle w:val="Heading"/>
        <w:tabs>
          <w:tab w:val="left" w:pos="360"/>
        </w:tabs>
        <w:spacing w:after="240"/>
        <w:rPr>
          <w:rFonts w:ascii="Times New Roman" w:hAnsi="Times New Roman"/>
          <w:b w:val="0"/>
          <w:sz w:val="24"/>
          <w:szCs w:val="24"/>
        </w:rPr>
      </w:pPr>
      <w:r w:rsidRPr="002C52D7">
        <w:rPr>
          <w:rFonts w:ascii="Times New Roman" w:hAnsi="Times New Roman"/>
          <w:b w:val="0"/>
          <w:sz w:val="24"/>
          <w:szCs w:val="24"/>
        </w:rPr>
        <w:t>Twelve</w:t>
      </w:r>
      <w:r w:rsidR="0084478C" w:rsidRPr="002C52D7">
        <w:rPr>
          <w:rFonts w:ascii="Times New Roman" w:hAnsi="Times New Roman"/>
          <w:b w:val="0"/>
          <w:sz w:val="24"/>
          <w:szCs w:val="24"/>
        </w:rPr>
        <w:t xml:space="preserve"> submissions </w:t>
      </w:r>
      <w:r w:rsidR="00E72EBA" w:rsidRPr="002C52D7">
        <w:rPr>
          <w:rFonts w:ascii="Times New Roman" w:hAnsi="Times New Roman"/>
          <w:b w:val="0"/>
          <w:sz w:val="24"/>
          <w:szCs w:val="24"/>
        </w:rPr>
        <w:t xml:space="preserve">were received as part of </w:t>
      </w:r>
      <w:r w:rsidR="001D1759" w:rsidRPr="002C52D7">
        <w:rPr>
          <w:rFonts w:ascii="Times New Roman" w:hAnsi="Times New Roman"/>
          <w:b w:val="0"/>
          <w:sz w:val="24"/>
          <w:szCs w:val="24"/>
        </w:rPr>
        <w:t xml:space="preserve">the </w:t>
      </w:r>
      <w:r w:rsidR="00E72EBA" w:rsidRPr="002C52D7">
        <w:rPr>
          <w:rFonts w:ascii="Times New Roman" w:hAnsi="Times New Roman"/>
          <w:b w:val="0"/>
          <w:sz w:val="24"/>
          <w:szCs w:val="24"/>
        </w:rPr>
        <w:t>consultation</w:t>
      </w:r>
      <w:r w:rsidR="00D57303" w:rsidRPr="002C52D7">
        <w:rPr>
          <w:rFonts w:ascii="Times New Roman" w:hAnsi="Times New Roman"/>
          <w:b w:val="0"/>
          <w:sz w:val="24"/>
          <w:szCs w:val="24"/>
        </w:rPr>
        <w:t xml:space="preserve"> and </w:t>
      </w:r>
      <w:r w:rsidRPr="002C52D7">
        <w:rPr>
          <w:rFonts w:ascii="Times New Roman" w:hAnsi="Times New Roman"/>
          <w:b w:val="0"/>
          <w:sz w:val="24"/>
          <w:szCs w:val="24"/>
        </w:rPr>
        <w:t>t</w:t>
      </w:r>
      <w:r w:rsidR="00E72EBA" w:rsidRPr="002C52D7">
        <w:rPr>
          <w:rFonts w:ascii="Times New Roman" w:hAnsi="Times New Roman"/>
          <w:b w:val="0"/>
          <w:sz w:val="24"/>
          <w:szCs w:val="24"/>
        </w:rPr>
        <w:t>hese submissions</w:t>
      </w:r>
      <w:r w:rsidRPr="002C52D7">
        <w:rPr>
          <w:rFonts w:ascii="Times New Roman" w:hAnsi="Times New Roman"/>
          <w:b w:val="0"/>
          <w:sz w:val="24"/>
          <w:szCs w:val="24"/>
        </w:rPr>
        <w:t xml:space="preserve"> were broadly supportive of the proposed amendments. </w:t>
      </w:r>
      <w:r w:rsidR="004C459E">
        <w:rPr>
          <w:rFonts w:ascii="Times New Roman" w:hAnsi="Times New Roman"/>
          <w:b w:val="0"/>
          <w:sz w:val="24"/>
          <w:szCs w:val="24"/>
        </w:rPr>
        <w:t xml:space="preserve">These submissions </w:t>
      </w:r>
      <w:r w:rsidR="001552ED">
        <w:rPr>
          <w:rFonts w:ascii="Times New Roman" w:hAnsi="Times New Roman"/>
          <w:b w:val="0"/>
          <w:sz w:val="24"/>
          <w:szCs w:val="24"/>
        </w:rPr>
        <w:t xml:space="preserve">sought </w:t>
      </w:r>
      <w:r w:rsidR="007B22CE">
        <w:rPr>
          <w:rFonts w:ascii="Times New Roman" w:hAnsi="Times New Roman"/>
          <w:b w:val="0"/>
          <w:sz w:val="24"/>
          <w:szCs w:val="24"/>
        </w:rPr>
        <w:t xml:space="preserve">more detailed guidance </w:t>
      </w:r>
      <w:r w:rsidR="001552ED">
        <w:rPr>
          <w:rFonts w:ascii="Times New Roman" w:hAnsi="Times New Roman"/>
          <w:b w:val="0"/>
          <w:sz w:val="24"/>
          <w:szCs w:val="24"/>
        </w:rPr>
        <w:t xml:space="preserve">to </w:t>
      </w:r>
      <w:r w:rsidR="003B4EF4">
        <w:rPr>
          <w:rFonts w:ascii="Times New Roman" w:hAnsi="Times New Roman"/>
          <w:b w:val="0"/>
          <w:sz w:val="24"/>
          <w:szCs w:val="24"/>
        </w:rPr>
        <w:t xml:space="preserve">better reflect current investment practices and </w:t>
      </w:r>
      <w:r w:rsidR="001552ED">
        <w:rPr>
          <w:rFonts w:ascii="Times New Roman" w:hAnsi="Times New Roman"/>
          <w:b w:val="0"/>
          <w:sz w:val="24"/>
          <w:szCs w:val="24"/>
        </w:rPr>
        <w:t>support the proposed new requirements</w:t>
      </w:r>
      <w:r w:rsidR="003B4EF4">
        <w:rPr>
          <w:rFonts w:ascii="Times New Roman" w:hAnsi="Times New Roman"/>
          <w:b w:val="0"/>
          <w:sz w:val="24"/>
          <w:szCs w:val="24"/>
        </w:rPr>
        <w:t xml:space="preserve"> in SPS 530</w:t>
      </w:r>
      <w:r w:rsidR="007B22CE">
        <w:rPr>
          <w:rFonts w:ascii="Times New Roman" w:hAnsi="Times New Roman"/>
          <w:b w:val="0"/>
          <w:sz w:val="24"/>
          <w:szCs w:val="24"/>
        </w:rPr>
        <w:t xml:space="preserve">. Submissions also called for </w:t>
      </w:r>
      <w:r w:rsidR="003B4EF4">
        <w:rPr>
          <w:rFonts w:ascii="Times New Roman" w:hAnsi="Times New Roman"/>
          <w:b w:val="0"/>
          <w:sz w:val="24"/>
          <w:szCs w:val="24"/>
        </w:rPr>
        <w:t xml:space="preserve">guidance on the management of Environmental, Social and Governance (ESG) risks. </w:t>
      </w:r>
      <w:r w:rsidR="007B22CE">
        <w:rPr>
          <w:rFonts w:ascii="Times New Roman" w:hAnsi="Times New Roman"/>
          <w:b w:val="0"/>
          <w:sz w:val="24"/>
          <w:szCs w:val="24"/>
        </w:rPr>
        <w:t>In response</w:t>
      </w:r>
      <w:r w:rsidR="000B61D2">
        <w:rPr>
          <w:rFonts w:ascii="Times New Roman" w:hAnsi="Times New Roman"/>
          <w:b w:val="0"/>
          <w:sz w:val="24"/>
          <w:szCs w:val="24"/>
        </w:rPr>
        <w:t>,</w:t>
      </w:r>
      <w:r w:rsidR="007B22CE">
        <w:rPr>
          <w:rFonts w:ascii="Times New Roman" w:hAnsi="Times New Roman"/>
          <w:b w:val="0"/>
          <w:sz w:val="24"/>
          <w:szCs w:val="24"/>
        </w:rPr>
        <w:t xml:space="preserve"> APRA</w:t>
      </w:r>
      <w:r w:rsidR="00C317FE">
        <w:rPr>
          <w:rFonts w:ascii="Times New Roman" w:hAnsi="Times New Roman"/>
          <w:b w:val="0"/>
          <w:sz w:val="24"/>
          <w:szCs w:val="24"/>
        </w:rPr>
        <w:t xml:space="preserve"> </w:t>
      </w:r>
      <w:r w:rsidR="0074164E">
        <w:rPr>
          <w:rFonts w:ascii="Times New Roman" w:hAnsi="Times New Roman"/>
          <w:b w:val="0"/>
          <w:sz w:val="24"/>
          <w:szCs w:val="24"/>
        </w:rPr>
        <w:t xml:space="preserve">plans to </w:t>
      </w:r>
      <w:r w:rsidR="00C317FE">
        <w:rPr>
          <w:rFonts w:ascii="Times New Roman" w:hAnsi="Times New Roman"/>
          <w:b w:val="0"/>
          <w:sz w:val="24"/>
          <w:szCs w:val="24"/>
        </w:rPr>
        <w:t>issue draft guidance to support the implementation of SPS 530</w:t>
      </w:r>
      <w:r w:rsidR="0074164E">
        <w:rPr>
          <w:rFonts w:ascii="Times New Roman" w:hAnsi="Times New Roman"/>
          <w:b w:val="0"/>
          <w:sz w:val="24"/>
          <w:szCs w:val="24"/>
        </w:rPr>
        <w:t xml:space="preserve">. This proposed guidance </w:t>
      </w:r>
      <w:r w:rsidR="00C317FE">
        <w:rPr>
          <w:rFonts w:ascii="Times New Roman" w:hAnsi="Times New Roman"/>
          <w:b w:val="0"/>
          <w:sz w:val="24"/>
          <w:szCs w:val="24"/>
        </w:rPr>
        <w:t xml:space="preserve">will be the subject of consultation </w:t>
      </w:r>
      <w:r w:rsidR="0074164E">
        <w:rPr>
          <w:rFonts w:ascii="Times New Roman" w:hAnsi="Times New Roman"/>
          <w:b w:val="0"/>
          <w:sz w:val="24"/>
          <w:szCs w:val="24"/>
        </w:rPr>
        <w:t xml:space="preserve">and </w:t>
      </w:r>
      <w:r w:rsidR="00C317FE">
        <w:rPr>
          <w:rFonts w:ascii="Times New Roman" w:hAnsi="Times New Roman"/>
          <w:b w:val="0"/>
          <w:sz w:val="24"/>
          <w:szCs w:val="24"/>
        </w:rPr>
        <w:t xml:space="preserve">will </w:t>
      </w:r>
      <w:r w:rsidR="00AC21F0">
        <w:rPr>
          <w:rFonts w:ascii="Times New Roman" w:hAnsi="Times New Roman"/>
          <w:b w:val="0"/>
          <w:sz w:val="24"/>
          <w:szCs w:val="24"/>
        </w:rPr>
        <w:t>support the amendments to SPS 530</w:t>
      </w:r>
      <w:r w:rsidR="000B61D2">
        <w:rPr>
          <w:rFonts w:ascii="Times New Roman" w:hAnsi="Times New Roman"/>
          <w:b w:val="0"/>
          <w:sz w:val="24"/>
          <w:szCs w:val="24"/>
        </w:rPr>
        <w:t>. The proposed guidance will cover</w:t>
      </w:r>
      <w:r w:rsidR="00AC21F0">
        <w:rPr>
          <w:rFonts w:ascii="Times New Roman" w:hAnsi="Times New Roman"/>
          <w:b w:val="0"/>
          <w:sz w:val="24"/>
          <w:szCs w:val="24"/>
        </w:rPr>
        <w:t xml:space="preserve"> stress testing, liquidity management and valuation practices </w:t>
      </w:r>
      <w:r w:rsidR="000B61D2">
        <w:rPr>
          <w:rFonts w:ascii="Times New Roman" w:hAnsi="Times New Roman"/>
          <w:b w:val="0"/>
          <w:sz w:val="24"/>
          <w:szCs w:val="24"/>
        </w:rPr>
        <w:t xml:space="preserve">and </w:t>
      </w:r>
      <w:r w:rsidR="00AC21F0">
        <w:rPr>
          <w:rFonts w:ascii="Times New Roman" w:hAnsi="Times New Roman"/>
          <w:b w:val="0"/>
          <w:sz w:val="24"/>
          <w:szCs w:val="24"/>
        </w:rPr>
        <w:t xml:space="preserve">how APRA expects RSE licensees </w:t>
      </w:r>
      <w:r w:rsidR="000B61D2">
        <w:rPr>
          <w:rFonts w:ascii="Times New Roman" w:hAnsi="Times New Roman"/>
          <w:b w:val="0"/>
          <w:sz w:val="24"/>
          <w:szCs w:val="24"/>
        </w:rPr>
        <w:t xml:space="preserve">to </w:t>
      </w:r>
      <w:r w:rsidR="00AC21F0">
        <w:rPr>
          <w:rFonts w:ascii="Times New Roman" w:hAnsi="Times New Roman"/>
          <w:b w:val="0"/>
          <w:sz w:val="24"/>
          <w:szCs w:val="24"/>
        </w:rPr>
        <w:t>consider ESG factors as part of their overall management of investment risks.</w:t>
      </w:r>
      <w:r w:rsidR="007B22CE">
        <w:rPr>
          <w:rFonts w:ascii="Times New Roman" w:hAnsi="Times New Roman"/>
          <w:b w:val="0"/>
          <w:sz w:val="24"/>
          <w:szCs w:val="24"/>
        </w:rPr>
        <w:t xml:space="preserve"> </w:t>
      </w:r>
    </w:p>
    <w:p w14:paraId="69073CFD" w14:textId="3BE13793" w:rsidR="00FE3BCD" w:rsidRDefault="0074164E"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also made </w:t>
      </w:r>
      <w:proofErr w:type="gramStart"/>
      <w:r>
        <w:rPr>
          <w:rFonts w:ascii="Times New Roman" w:hAnsi="Times New Roman"/>
          <w:b w:val="0"/>
          <w:sz w:val="24"/>
          <w:szCs w:val="24"/>
        </w:rPr>
        <w:t>a number of</w:t>
      </w:r>
      <w:proofErr w:type="gramEnd"/>
      <w:r>
        <w:rPr>
          <w:rFonts w:ascii="Times New Roman" w:hAnsi="Times New Roman"/>
          <w:b w:val="0"/>
          <w:sz w:val="24"/>
          <w:szCs w:val="24"/>
        </w:rPr>
        <w:t xml:space="preserve"> minor amendments to SPS 530 to respond to submission</w:t>
      </w:r>
      <w:r w:rsidR="000B61D2">
        <w:rPr>
          <w:rFonts w:ascii="Times New Roman" w:hAnsi="Times New Roman"/>
          <w:b w:val="0"/>
          <w:sz w:val="24"/>
          <w:szCs w:val="24"/>
        </w:rPr>
        <w:t xml:space="preserve">s. These include </w:t>
      </w:r>
      <w:r>
        <w:rPr>
          <w:rFonts w:ascii="Times New Roman" w:hAnsi="Times New Roman"/>
          <w:b w:val="0"/>
          <w:sz w:val="24"/>
          <w:szCs w:val="24"/>
        </w:rPr>
        <w:t>clarifying that regular reporting to the Board does not have to include detailed reporting on individual investments</w:t>
      </w:r>
      <w:r w:rsidR="000B61D2">
        <w:rPr>
          <w:rFonts w:ascii="Times New Roman" w:hAnsi="Times New Roman"/>
          <w:b w:val="0"/>
          <w:sz w:val="24"/>
          <w:szCs w:val="24"/>
        </w:rPr>
        <w:t xml:space="preserve"> where </w:t>
      </w:r>
      <w:r>
        <w:rPr>
          <w:rFonts w:ascii="Times New Roman" w:hAnsi="Times New Roman"/>
          <w:b w:val="0"/>
          <w:sz w:val="24"/>
          <w:szCs w:val="24"/>
        </w:rPr>
        <w:t>the Board approve</w:t>
      </w:r>
      <w:r w:rsidR="000B61D2">
        <w:rPr>
          <w:rFonts w:ascii="Times New Roman" w:hAnsi="Times New Roman"/>
          <w:b w:val="0"/>
          <w:sz w:val="24"/>
          <w:szCs w:val="24"/>
        </w:rPr>
        <w:t>s</w:t>
      </w:r>
      <w:r>
        <w:rPr>
          <w:rFonts w:ascii="Times New Roman" w:hAnsi="Times New Roman"/>
          <w:b w:val="0"/>
          <w:sz w:val="24"/>
          <w:szCs w:val="24"/>
        </w:rPr>
        <w:t xml:space="preserve"> appropriate measures and methodology to ensure </w:t>
      </w:r>
      <w:r w:rsidR="000B61D2">
        <w:rPr>
          <w:rFonts w:ascii="Times New Roman" w:hAnsi="Times New Roman"/>
          <w:b w:val="0"/>
          <w:sz w:val="24"/>
          <w:szCs w:val="24"/>
        </w:rPr>
        <w:t xml:space="preserve">timely Board reporting on </w:t>
      </w:r>
      <w:r>
        <w:rPr>
          <w:rFonts w:ascii="Times New Roman" w:hAnsi="Times New Roman"/>
          <w:b w:val="0"/>
          <w:sz w:val="24"/>
          <w:szCs w:val="24"/>
        </w:rPr>
        <w:t>adverse investment performance</w:t>
      </w:r>
      <w:r w:rsidR="00166735">
        <w:rPr>
          <w:rFonts w:ascii="Times New Roman" w:hAnsi="Times New Roman"/>
          <w:b w:val="0"/>
          <w:sz w:val="24"/>
          <w:szCs w:val="24"/>
        </w:rPr>
        <w:t xml:space="preserve">. </w:t>
      </w:r>
      <w:r w:rsidR="00FE3BCD">
        <w:rPr>
          <w:rFonts w:ascii="Times New Roman" w:hAnsi="Times New Roman"/>
          <w:b w:val="0"/>
          <w:sz w:val="24"/>
          <w:szCs w:val="24"/>
        </w:rPr>
        <w:t xml:space="preserve"> </w:t>
      </w:r>
    </w:p>
    <w:p w14:paraId="0EDC2EA8" w14:textId="6607A61F" w:rsidR="00166735" w:rsidRDefault="00166735" w:rsidP="00DF7DA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consultation on SPS 530 consisted of the following releases:</w:t>
      </w:r>
    </w:p>
    <w:p w14:paraId="4E7CEA66" w14:textId="1A709BD4" w:rsidR="00166735" w:rsidRDefault="002B2FA6" w:rsidP="002B2FA6">
      <w:pPr>
        <w:pStyle w:val="Heading"/>
        <w:numPr>
          <w:ilvl w:val="0"/>
          <w:numId w:val="17"/>
        </w:numPr>
        <w:tabs>
          <w:tab w:val="left" w:pos="360"/>
        </w:tabs>
        <w:spacing w:after="240"/>
        <w:rPr>
          <w:rFonts w:ascii="Times New Roman" w:hAnsi="Times New Roman"/>
          <w:b w:val="0"/>
          <w:sz w:val="24"/>
          <w:szCs w:val="24"/>
        </w:rPr>
      </w:pPr>
      <w:r>
        <w:rPr>
          <w:rFonts w:ascii="Times New Roman" w:hAnsi="Times New Roman"/>
          <w:b w:val="0"/>
          <w:sz w:val="24"/>
          <w:szCs w:val="24"/>
        </w:rPr>
        <w:t xml:space="preserve">September 2021: Proposed revisions to </w:t>
      </w:r>
      <w:r w:rsidRPr="002B2FA6">
        <w:rPr>
          <w:rFonts w:ascii="Times New Roman" w:hAnsi="Times New Roman"/>
          <w:b w:val="0"/>
          <w:i/>
          <w:sz w:val="24"/>
          <w:szCs w:val="24"/>
        </w:rPr>
        <w:t>Prudential Standard SPS 530 Investment Governance</w:t>
      </w:r>
      <w:r>
        <w:rPr>
          <w:rFonts w:ascii="Times New Roman" w:hAnsi="Times New Roman"/>
          <w:b w:val="0"/>
          <w:sz w:val="24"/>
          <w:szCs w:val="24"/>
        </w:rPr>
        <w:t>: letter and proposed revisions to draft SPS 530; and</w:t>
      </w:r>
    </w:p>
    <w:p w14:paraId="6D16C35E" w14:textId="6A4DBA3C" w:rsidR="002B2FA6" w:rsidRDefault="002B2FA6" w:rsidP="002B2FA6">
      <w:pPr>
        <w:pStyle w:val="Heading"/>
        <w:numPr>
          <w:ilvl w:val="0"/>
          <w:numId w:val="17"/>
        </w:numPr>
        <w:tabs>
          <w:tab w:val="left" w:pos="360"/>
        </w:tabs>
        <w:spacing w:after="240"/>
        <w:rPr>
          <w:rFonts w:ascii="Times New Roman" w:hAnsi="Times New Roman"/>
          <w:b w:val="0"/>
          <w:sz w:val="24"/>
          <w:szCs w:val="24"/>
        </w:rPr>
      </w:pPr>
      <w:r>
        <w:rPr>
          <w:rFonts w:ascii="Times New Roman" w:hAnsi="Times New Roman"/>
          <w:b w:val="0"/>
          <w:sz w:val="24"/>
          <w:szCs w:val="24"/>
        </w:rPr>
        <w:t xml:space="preserve">July 2022: </w:t>
      </w:r>
      <w:r w:rsidR="00675FC7">
        <w:rPr>
          <w:rFonts w:ascii="Times New Roman" w:hAnsi="Times New Roman"/>
          <w:b w:val="0"/>
          <w:sz w:val="24"/>
          <w:szCs w:val="24"/>
        </w:rPr>
        <w:t>Final revisions to SPS 530: letter and final SPS 530</w:t>
      </w:r>
    </w:p>
    <w:p w14:paraId="7214CE46" w14:textId="6CED5693" w:rsidR="002436BD" w:rsidRPr="00ED31C9" w:rsidRDefault="00DF524E" w:rsidP="00DF7DA0">
      <w:pPr>
        <w:pStyle w:val="Heading"/>
        <w:tabs>
          <w:tab w:val="left" w:pos="360"/>
        </w:tabs>
        <w:spacing w:after="240"/>
        <w:rPr>
          <w:rFonts w:ascii="Times New Roman" w:hAnsi="Times New Roman"/>
          <w:b w:val="0"/>
          <w:sz w:val="24"/>
          <w:szCs w:val="24"/>
        </w:rPr>
      </w:pPr>
      <w:bookmarkStart w:id="6" w:name="bkConsultation"/>
      <w:bookmarkStart w:id="7" w:name="bkRISNO"/>
      <w:bookmarkStart w:id="8" w:name="bkRIS"/>
      <w:bookmarkEnd w:id="6"/>
      <w:bookmarkEnd w:id="7"/>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8"/>
    <w:p w14:paraId="16FE9823" w14:textId="6182BBF7" w:rsidR="00885F41" w:rsidRDefault="00885F41" w:rsidP="00675FC7">
      <w:pPr>
        <w:rPr>
          <w:rFonts w:ascii="Times New Roman" w:hAnsi="Times New Roman"/>
          <w:sz w:val="24"/>
          <w:szCs w:val="24"/>
        </w:rPr>
      </w:pPr>
      <w:r w:rsidRPr="007924FE">
        <w:rPr>
          <w:rFonts w:ascii="Times New Roman" w:hAnsi="Times New Roman"/>
          <w:sz w:val="24"/>
          <w:szCs w:val="24"/>
        </w:rPr>
        <w:t xml:space="preserve">The Office of Best Practice Regulation has advised that </w:t>
      </w:r>
      <w:r w:rsidR="00675FC7">
        <w:rPr>
          <w:rFonts w:ascii="Times New Roman" w:hAnsi="Times New Roman"/>
          <w:sz w:val="24"/>
          <w:szCs w:val="24"/>
        </w:rPr>
        <w:t xml:space="preserve">they consider the amendments to SPS 530 are </w:t>
      </w:r>
      <w:r w:rsidR="00675FC7" w:rsidRPr="00675FC7">
        <w:rPr>
          <w:rFonts w:ascii="Times New Roman" w:hAnsi="Times New Roman"/>
          <w:sz w:val="24"/>
          <w:szCs w:val="24"/>
        </w:rPr>
        <w:t>unlikely to have a more than minor regulatory impact, and</w:t>
      </w:r>
      <w:r w:rsidR="00675FC7">
        <w:rPr>
          <w:rFonts w:ascii="Times New Roman" w:hAnsi="Times New Roman"/>
          <w:sz w:val="24"/>
          <w:szCs w:val="24"/>
        </w:rPr>
        <w:t xml:space="preserve"> </w:t>
      </w:r>
      <w:r w:rsidR="00675FC7" w:rsidRPr="00675FC7">
        <w:rPr>
          <w:rFonts w:ascii="Times New Roman" w:hAnsi="Times New Roman"/>
          <w:sz w:val="24"/>
          <w:szCs w:val="24"/>
        </w:rPr>
        <w:t xml:space="preserve">therefore the preparation of </w:t>
      </w:r>
      <w:r w:rsidRPr="007924FE">
        <w:rPr>
          <w:rFonts w:ascii="Times New Roman" w:hAnsi="Times New Roman"/>
          <w:sz w:val="24"/>
          <w:szCs w:val="24"/>
        </w:rPr>
        <w:t xml:space="preserve">a Regulation Impact Statement is not required for this </w:t>
      </w:r>
      <w:r w:rsidR="00831858">
        <w:rPr>
          <w:rFonts w:ascii="Times New Roman" w:hAnsi="Times New Roman"/>
          <w:sz w:val="24"/>
          <w:szCs w:val="24"/>
        </w:rPr>
        <w:t>L</w:t>
      </w:r>
      <w:r w:rsidRPr="007924FE">
        <w:rPr>
          <w:rFonts w:ascii="Times New Roman" w:hAnsi="Times New Roman"/>
          <w:sz w:val="24"/>
          <w:szCs w:val="24"/>
        </w:rPr>
        <w:t xml:space="preserve">egislative </w:t>
      </w:r>
      <w:r w:rsidR="00831858">
        <w:rPr>
          <w:rFonts w:ascii="Times New Roman" w:hAnsi="Times New Roman"/>
          <w:sz w:val="24"/>
          <w:szCs w:val="24"/>
        </w:rPr>
        <w:t>I</w:t>
      </w:r>
      <w:r w:rsidRPr="007924FE">
        <w:rPr>
          <w:rFonts w:ascii="Times New Roman" w:hAnsi="Times New Roman"/>
          <w:sz w:val="24"/>
          <w:szCs w:val="24"/>
        </w:rPr>
        <w:t>nstrument</w:t>
      </w:r>
      <w:r w:rsidR="00DD5332" w:rsidRPr="007924FE">
        <w:rPr>
          <w:rFonts w:ascii="Times New Roman" w:hAnsi="Times New Roman"/>
          <w:sz w:val="24"/>
          <w:szCs w:val="24"/>
        </w:rPr>
        <w:t>.</w:t>
      </w:r>
    </w:p>
    <w:p w14:paraId="51471479" w14:textId="77777777" w:rsidR="00675FC7" w:rsidRPr="0021033D" w:rsidRDefault="00675FC7" w:rsidP="00675FC7">
      <w:pPr>
        <w:rPr>
          <w:rFonts w:ascii="Times New Roman" w:hAnsi="Times New Roman"/>
          <w:b/>
          <w:sz w:val="24"/>
          <w:szCs w:val="24"/>
        </w:rPr>
      </w:pPr>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6F71D2A3"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w:t>
      </w:r>
      <w:r w:rsidR="000B3CB4">
        <w:rPr>
          <w:rFonts w:ascii="Times New Roman" w:hAnsi="Times New Roman"/>
          <w:b w:val="0"/>
          <w:sz w:val="24"/>
          <w:szCs w:val="24"/>
        </w:rPr>
        <w:t>s</w:t>
      </w:r>
      <w:r w:rsidRPr="0030506B">
        <w:rPr>
          <w:rFonts w:ascii="Times New Roman" w:hAnsi="Times New Roman"/>
          <w:b w:val="0"/>
          <w:sz w:val="24"/>
          <w:szCs w:val="24"/>
        </w:rPr>
        <w:t xml:space="preserve">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r w:rsidR="0076259B">
        <w:rPr>
          <w:rStyle w:val="FootnoteReference"/>
          <w:rFonts w:ascii="Times New Roman" w:hAnsi="Times New Roman"/>
          <w:b w:val="0"/>
          <w:sz w:val="24"/>
          <w:szCs w:val="24"/>
        </w:rPr>
        <w:footnoteReference w:id="5"/>
      </w:r>
    </w:p>
    <w:p w14:paraId="4602AF9E" w14:textId="7018289F" w:rsidR="00E279A1" w:rsidRDefault="00E279A1">
      <w:r>
        <w:br w:type="page"/>
      </w:r>
    </w:p>
    <w:p w14:paraId="1D729AEE" w14:textId="77777777" w:rsidR="00E279A1" w:rsidRPr="003D41D3" w:rsidRDefault="00E279A1" w:rsidP="00E279A1">
      <w:pPr>
        <w:shd w:val="clear" w:color="auto" w:fill="FFFFFF"/>
        <w:spacing w:after="240"/>
        <w:rPr>
          <w:rFonts w:ascii="Times New Roman" w:hAnsi="Times New Roman"/>
          <w:b/>
          <w:sz w:val="19"/>
          <w:szCs w:val="19"/>
          <w:lang w:val="en-US"/>
        </w:rPr>
      </w:pPr>
      <w:r w:rsidRPr="003D41D3">
        <w:rPr>
          <w:rFonts w:ascii="Times New Roman" w:hAnsi="Times New Roman"/>
          <w:b/>
          <w:sz w:val="24"/>
          <w:szCs w:val="24"/>
          <w:lang w:val="en-GB"/>
        </w:rPr>
        <w:lastRenderedPageBreak/>
        <w:t>ATTACHMENT A</w:t>
      </w:r>
    </w:p>
    <w:p w14:paraId="50AE4D77" w14:textId="77777777" w:rsidR="00E279A1" w:rsidRPr="003D41D3" w:rsidRDefault="00E279A1" w:rsidP="00E279A1">
      <w:pPr>
        <w:shd w:val="clear" w:color="auto" w:fill="FFFFFF"/>
        <w:spacing w:after="240"/>
        <w:jc w:val="center"/>
        <w:rPr>
          <w:rFonts w:ascii="Times New Roman" w:hAnsi="Times New Roman"/>
          <w:sz w:val="19"/>
          <w:szCs w:val="19"/>
          <w:lang w:val="en-US"/>
        </w:rPr>
      </w:pPr>
      <w:r w:rsidRPr="003D41D3">
        <w:rPr>
          <w:rFonts w:ascii="Times New Roman" w:hAnsi="Times New Roman"/>
          <w:sz w:val="24"/>
          <w:szCs w:val="24"/>
        </w:rPr>
        <w:t>Statement of Compatibility with Human Rights</w:t>
      </w:r>
    </w:p>
    <w:p w14:paraId="49DEA020" w14:textId="77777777" w:rsidR="00E279A1" w:rsidRPr="00FE5D7D" w:rsidRDefault="00E279A1" w:rsidP="00E279A1">
      <w:pPr>
        <w:shd w:val="clear" w:color="auto" w:fill="FFFFFF"/>
        <w:spacing w:before="100" w:beforeAutospacing="1" w:after="240"/>
        <w:jc w:val="center"/>
        <w:outlineLvl w:val="0"/>
        <w:rPr>
          <w:rFonts w:ascii="Arial" w:hAnsi="Arial" w:cs="Arial"/>
          <w:b/>
          <w:bCs/>
          <w:kern w:val="36"/>
          <w:sz w:val="48"/>
          <w:szCs w:val="48"/>
          <w:lang w:val="en-US"/>
        </w:rPr>
      </w:pPr>
      <w:r w:rsidRPr="00FE5D7D">
        <w:rPr>
          <w:rFonts w:ascii="Times New Roman" w:hAnsi="Times New Roman"/>
          <w:kern w:val="36"/>
          <w:sz w:val="24"/>
          <w:szCs w:val="24"/>
        </w:rPr>
        <w:t xml:space="preserve">Prepared in accordance with Part 3 of the </w:t>
      </w:r>
      <w:r w:rsidRPr="00FE5D7D">
        <w:rPr>
          <w:rFonts w:ascii="Times New Roman" w:hAnsi="Times New Roman"/>
          <w:i/>
          <w:iCs/>
          <w:kern w:val="36"/>
          <w:sz w:val="24"/>
          <w:szCs w:val="24"/>
        </w:rPr>
        <w:t>Human Rights (Parliamentary Scrutiny) Act 2011</w:t>
      </w:r>
    </w:p>
    <w:p w14:paraId="7CB1D9EB" w14:textId="7CAAA43B" w:rsidR="00E279A1" w:rsidRPr="00FE5D7D" w:rsidRDefault="00E279A1" w:rsidP="00E279A1">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Superannuation</w:t>
      </w:r>
      <w:r w:rsidRPr="00FE5D7D">
        <w:rPr>
          <w:rFonts w:ascii="Times New Roman" w:hAnsi="Times New Roman"/>
          <w:b/>
          <w:bCs/>
          <w:sz w:val="24"/>
          <w:szCs w:val="24"/>
        </w:rPr>
        <w:t xml:space="preserve"> (prudential standard) determination </w:t>
      </w:r>
      <w:r w:rsidRPr="00ED31C9">
        <w:rPr>
          <w:rFonts w:ascii="Times New Roman" w:hAnsi="Times New Roman"/>
          <w:b/>
          <w:bCs/>
          <w:sz w:val="24"/>
          <w:szCs w:val="24"/>
        </w:rPr>
        <w:t xml:space="preserve">No. </w:t>
      </w:r>
      <w:r w:rsidR="00FF1BB2" w:rsidRPr="00ED31C9">
        <w:rPr>
          <w:rFonts w:ascii="Times New Roman" w:hAnsi="Times New Roman"/>
          <w:b/>
          <w:bCs/>
          <w:sz w:val="24"/>
          <w:szCs w:val="24"/>
        </w:rPr>
        <w:t>2</w:t>
      </w:r>
      <w:r w:rsidR="00A2736E" w:rsidRPr="00ED31C9">
        <w:rPr>
          <w:rFonts w:ascii="Times New Roman" w:hAnsi="Times New Roman"/>
          <w:b/>
          <w:bCs/>
          <w:sz w:val="24"/>
          <w:szCs w:val="24"/>
        </w:rPr>
        <w:t xml:space="preserve"> </w:t>
      </w:r>
      <w:r w:rsidRPr="00ED31C9">
        <w:rPr>
          <w:rFonts w:ascii="Times New Roman" w:hAnsi="Times New Roman"/>
          <w:b/>
          <w:bCs/>
          <w:sz w:val="24"/>
          <w:szCs w:val="24"/>
        </w:rPr>
        <w:t>of 2022</w:t>
      </w:r>
    </w:p>
    <w:p w14:paraId="4E01F499" w14:textId="40EE709B"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sz w:val="24"/>
          <w:szCs w:val="24"/>
        </w:rPr>
        <w:t>Th</w:t>
      </w:r>
      <w:r>
        <w:rPr>
          <w:rFonts w:ascii="Times New Roman" w:hAnsi="Times New Roman"/>
          <w:sz w:val="24"/>
          <w:szCs w:val="24"/>
        </w:rPr>
        <w:t>is</w:t>
      </w:r>
      <w:r w:rsidRPr="00FE5D7D">
        <w:rPr>
          <w:rFonts w:ascii="Times New Roman" w:hAnsi="Times New Roman"/>
          <w:sz w:val="24"/>
          <w:szCs w:val="24"/>
        </w:rPr>
        <w:t xml:space="preserve"> Legislative Instrument</w:t>
      </w:r>
      <w:r>
        <w:rPr>
          <w:rFonts w:ascii="Times New Roman" w:hAnsi="Times New Roman"/>
          <w:sz w:val="24"/>
          <w:szCs w:val="24"/>
        </w:rPr>
        <w:t xml:space="preserve"> is </w:t>
      </w:r>
      <w:r w:rsidRPr="00FE5D7D">
        <w:rPr>
          <w:rFonts w:ascii="Times New Roman" w:hAnsi="Times New Roman"/>
          <w:sz w:val="24"/>
          <w:szCs w:val="24"/>
        </w:rPr>
        <w:t>compatible with the human rights and freedoms recognised or declared in the international instrument</w:t>
      </w:r>
      <w:r>
        <w:rPr>
          <w:rFonts w:ascii="Times New Roman" w:hAnsi="Times New Roman"/>
          <w:sz w:val="24"/>
          <w:szCs w:val="24"/>
        </w:rPr>
        <w:t>s</w:t>
      </w:r>
      <w:r w:rsidRPr="00FE5D7D">
        <w:rPr>
          <w:rFonts w:ascii="Times New Roman" w:hAnsi="Times New Roman"/>
          <w:sz w:val="24"/>
          <w:szCs w:val="24"/>
        </w:rPr>
        <w:t xml:space="preserve"> listed in section 3 of the </w:t>
      </w:r>
      <w:r w:rsidRPr="00FE5D7D">
        <w:rPr>
          <w:rFonts w:ascii="Times New Roman" w:hAnsi="Times New Roman"/>
          <w:i/>
          <w:iCs/>
          <w:sz w:val="24"/>
          <w:szCs w:val="24"/>
        </w:rPr>
        <w:t>Human Rights (Parliamentary Scrutiny) Act 2011</w:t>
      </w:r>
      <w:r w:rsidRPr="00FE5D7D">
        <w:rPr>
          <w:rFonts w:ascii="Times New Roman" w:hAnsi="Times New Roman"/>
          <w:sz w:val="24"/>
          <w:szCs w:val="24"/>
        </w:rPr>
        <w:t xml:space="preserve"> (HRPS Act).</w:t>
      </w:r>
    </w:p>
    <w:p w14:paraId="3C115E89" w14:textId="6847BDBD"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Overview of the Legislative Instrument</w:t>
      </w:r>
      <w:r>
        <w:rPr>
          <w:rFonts w:ascii="Times New Roman" w:hAnsi="Times New Roman"/>
          <w:b/>
          <w:bCs/>
          <w:sz w:val="24"/>
          <w:szCs w:val="24"/>
        </w:rPr>
        <w:t xml:space="preserve"> </w:t>
      </w:r>
    </w:p>
    <w:p w14:paraId="01647628" w14:textId="3A034EFC" w:rsidR="00E279A1" w:rsidRPr="00BF6F81" w:rsidRDefault="00E279A1" w:rsidP="00800CFB">
      <w:pPr>
        <w:spacing w:before="100" w:beforeAutospacing="1" w:after="240"/>
        <w:jc w:val="both"/>
        <w:rPr>
          <w:rFonts w:ascii="Times New Roman" w:hAnsi="Times New Roman"/>
          <w:sz w:val="24"/>
          <w:szCs w:val="24"/>
        </w:rPr>
      </w:pPr>
      <w:r w:rsidRPr="00BF6F81">
        <w:rPr>
          <w:rFonts w:ascii="Times New Roman" w:hAnsi="Times New Roman"/>
          <w:sz w:val="24"/>
          <w:szCs w:val="24"/>
        </w:rPr>
        <w:t xml:space="preserve">The purpose of this instrument is to revoke </w:t>
      </w:r>
      <w:r w:rsidRPr="00BF6F81">
        <w:rPr>
          <w:rFonts w:ascii="Times New Roman" w:hAnsi="Times New Roman"/>
          <w:i/>
          <w:iCs/>
          <w:sz w:val="24"/>
          <w:szCs w:val="24"/>
        </w:rPr>
        <w:t xml:space="preserve">Prudential Standard SPS </w:t>
      </w:r>
      <w:r w:rsidR="000C30E3">
        <w:rPr>
          <w:rFonts w:ascii="Times New Roman" w:hAnsi="Times New Roman"/>
          <w:i/>
          <w:iCs/>
          <w:sz w:val="24"/>
          <w:szCs w:val="24"/>
        </w:rPr>
        <w:t xml:space="preserve">530 Investment Governance </w:t>
      </w:r>
      <w:r w:rsidRPr="00BF6F81">
        <w:rPr>
          <w:rFonts w:ascii="Times New Roman" w:hAnsi="Times New Roman"/>
          <w:iCs/>
          <w:sz w:val="24"/>
          <w:szCs w:val="24"/>
          <w:lang w:val="en-US"/>
        </w:rPr>
        <w:t xml:space="preserve">determined by APRA in 2012 and replace it with a new </w:t>
      </w:r>
      <w:r w:rsidRPr="00BF6F81">
        <w:rPr>
          <w:rFonts w:ascii="Times New Roman" w:hAnsi="Times New Roman"/>
          <w:i/>
          <w:iCs/>
          <w:sz w:val="24"/>
          <w:szCs w:val="24"/>
        </w:rPr>
        <w:t xml:space="preserve">Prudential Standard SPS </w:t>
      </w:r>
      <w:r w:rsidR="000C30E3">
        <w:rPr>
          <w:rFonts w:ascii="Times New Roman" w:hAnsi="Times New Roman"/>
          <w:i/>
          <w:iCs/>
          <w:sz w:val="24"/>
          <w:szCs w:val="24"/>
        </w:rPr>
        <w:t xml:space="preserve">530 Investment Governance </w:t>
      </w:r>
      <w:r w:rsidRPr="00BF6F81">
        <w:rPr>
          <w:rFonts w:ascii="Times New Roman" w:hAnsi="Times New Roman"/>
          <w:iCs/>
          <w:sz w:val="24"/>
          <w:szCs w:val="24"/>
          <w:lang w:val="en-US"/>
        </w:rPr>
        <w:t xml:space="preserve">(SPS </w:t>
      </w:r>
      <w:r w:rsidR="000C30E3">
        <w:rPr>
          <w:rFonts w:ascii="Times New Roman" w:hAnsi="Times New Roman"/>
          <w:iCs/>
          <w:sz w:val="24"/>
          <w:szCs w:val="24"/>
          <w:lang w:val="en-US"/>
        </w:rPr>
        <w:t>530</w:t>
      </w:r>
      <w:r w:rsidRPr="00BF6F81">
        <w:rPr>
          <w:rFonts w:ascii="Times New Roman" w:hAnsi="Times New Roman"/>
          <w:iCs/>
          <w:sz w:val="24"/>
          <w:szCs w:val="24"/>
          <w:lang w:val="en-US"/>
        </w:rPr>
        <w:t>)</w:t>
      </w:r>
      <w:r w:rsidRPr="00BF6F81">
        <w:rPr>
          <w:rFonts w:ascii="Times New Roman" w:hAnsi="Times New Roman"/>
          <w:iCs/>
          <w:sz w:val="24"/>
          <w:szCs w:val="24"/>
        </w:rPr>
        <w:t>. The instrument</w:t>
      </w:r>
      <w:r w:rsidRPr="00BF6F81">
        <w:rPr>
          <w:rFonts w:ascii="Times New Roman" w:hAnsi="Times New Roman"/>
          <w:i/>
          <w:iCs/>
          <w:sz w:val="24"/>
          <w:szCs w:val="24"/>
          <w:lang w:val="en-US"/>
        </w:rPr>
        <w:t xml:space="preserve"> </w:t>
      </w:r>
      <w:r w:rsidRPr="00BF6F81">
        <w:rPr>
          <w:rFonts w:ascii="Times New Roman" w:hAnsi="Times New Roman"/>
          <w:sz w:val="24"/>
          <w:szCs w:val="24"/>
        </w:rPr>
        <w:t>set</w:t>
      </w:r>
      <w:r w:rsidR="00CF7C91" w:rsidRPr="00BF6F81">
        <w:rPr>
          <w:rFonts w:ascii="Times New Roman" w:hAnsi="Times New Roman"/>
          <w:sz w:val="24"/>
          <w:szCs w:val="24"/>
        </w:rPr>
        <w:t>s</w:t>
      </w:r>
      <w:r w:rsidRPr="00BF6F81">
        <w:rPr>
          <w:rFonts w:ascii="Times New Roman" w:hAnsi="Times New Roman"/>
          <w:sz w:val="24"/>
          <w:szCs w:val="24"/>
        </w:rPr>
        <w:t xml:space="preserve"> out prudential requirements for RSE licensees to</w:t>
      </w:r>
      <w:r w:rsidR="00D5417E" w:rsidRPr="00BF6F81">
        <w:rPr>
          <w:rFonts w:ascii="Times New Roman" w:hAnsi="Times New Roman"/>
          <w:sz w:val="24"/>
          <w:szCs w:val="24"/>
        </w:rPr>
        <w:t xml:space="preserve"> </w:t>
      </w:r>
      <w:r w:rsidR="002C52D7" w:rsidRPr="002C52D7">
        <w:rPr>
          <w:rFonts w:ascii="Times New Roman" w:hAnsi="Times New Roman"/>
          <w:sz w:val="24"/>
          <w:szCs w:val="24"/>
        </w:rPr>
        <w:t>implement a sound investment governance framework and to manage investments in a manner consistent with the interests of beneficiaries</w:t>
      </w:r>
      <w:r w:rsidR="002C52D7">
        <w:rPr>
          <w:rFonts w:ascii="Times New Roman" w:hAnsi="Times New Roman"/>
          <w:sz w:val="24"/>
          <w:szCs w:val="24"/>
        </w:rPr>
        <w:t>.</w:t>
      </w:r>
    </w:p>
    <w:p w14:paraId="012ED1D7" w14:textId="2E64F11F" w:rsidR="00E279A1" w:rsidRPr="00BF6F81" w:rsidRDefault="00E279A1" w:rsidP="00E279A1">
      <w:pPr>
        <w:shd w:val="clear" w:color="auto" w:fill="FFFFFF"/>
        <w:spacing w:before="100" w:beforeAutospacing="1" w:after="240"/>
        <w:jc w:val="both"/>
        <w:rPr>
          <w:rFonts w:ascii="Times New Roman" w:hAnsi="Times New Roman"/>
          <w:sz w:val="24"/>
          <w:szCs w:val="24"/>
        </w:rPr>
      </w:pPr>
      <w:r w:rsidRPr="003C1F77">
        <w:rPr>
          <w:rFonts w:ascii="Times New Roman" w:hAnsi="Times New Roman"/>
          <w:sz w:val="24"/>
          <w:szCs w:val="24"/>
        </w:rPr>
        <w:t xml:space="preserve">SPS </w:t>
      </w:r>
      <w:r w:rsidR="000C30E3" w:rsidRPr="003C1F77">
        <w:rPr>
          <w:rFonts w:ascii="Times New Roman" w:hAnsi="Times New Roman"/>
          <w:sz w:val="24"/>
          <w:szCs w:val="24"/>
        </w:rPr>
        <w:t xml:space="preserve">530 </w:t>
      </w:r>
      <w:r w:rsidR="00CF7C91" w:rsidRPr="003C1F77">
        <w:rPr>
          <w:rFonts w:ascii="Times New Roman" w:hAnsi="Times New Roman"/>
          <w:sz w:val="24"/>
          <w:szCs w:val="24"/>
        </w:rPr>
        <w:t>is being remade to</w:t>
      </w:r>
      <w:r w:rsidR="007B2DBD" w:rsidRPr="003C1F77">
        <w:rPr>
          <w:rFonts w:ascii="Times New Roman" w:hAnsi="Times New Roman"/>
          <w:sz w:val="24"/>
          <w:szCs w:val="24"/>
        </w:rPr>
        <w:t xml:space="preserve"> strengthen the </w:t>
      </w:r>
      <w:r w:rsidR="002C52D7" w:rsidRPr="003C1F77">
        <w:rPr>
          <w:rFonts w:ascii="Times New Roman" w:hAnsi="Times New Roman"/>
          <w:sz w:val="24"/>
          <w:szCs w:val="24"/>
        </w:rPr>
        <w:t xml:space="preserve">investment </w:t>
      </w:r>
      <w:r w:rsidR="00BB18AB" w:rsidRPr="003C1F77">
        <w:rPr>
          <w:rFonts w:ascii="Times New Roman" w:hAnsi="Times New Roman"/>
          <w:sz w:val="24"/>
          <w:szCs w:val="24"/>
        </w:rPr>
        <w:t xml:space="preserve">management </w:t>
      </w:r>
      <w:r w:rsidR="007B2DBD" w:rsidRPr="003C1F77">
        <w:rPr>
          <w:rFonts w:ascii="Times New Roman" w:hAnsi="Times New Roman"/>
          <w:sz w:val="24"/>
          <w:szCs w:val="24"/>
        </w:rPr>
        <w:t xml:space="preserve">framework </w:t>
      </w:r>
      <w:r w:rsidR="002C52D7" w:rsidRPr="003C1F77">
        <w:rPr>
          <w:rFonts w:ascii="Times New Roman" w:hAnsi="Times New Roman"/>
          <w:sz w:val="24"/>
          <w:szCs w:val="24"/>
        </w:rPr>
        <w:t>by enhancing valuation practices</w:t>
      </w:r>
      <w:r w:rsidR="003C1F77" w:rsidRPr="003C1F77">
        <w:rPr>
          <w:rFonts w:ascii="Times New Roman" w:hAnsi="Times New Roman"/>
          <w:sz w:val="24"/>
          <w:szCs w:val="24"/>
        </w:rPr>
        <w:t xml:space="preserve"> and formalising </w:t>
      </w:r>
      <w:r w:rsidR="002C52D7" w:rsidRPr="003C1F77">
        <w:rPr>
          <w:rFonts w:ascii="Times New Roman" w:hAnsi="Times New Roman"/>
          <w:sz w:val="24"/>
          <w:szCs w:val="24"/>
        </w:rPr>
        <w:t>stress testing and liquidity management practices</w:t>
      </w:r>
      <w:r w:rsidR="003C1F77" w:rsidRPr="003C1F77">
        <w:rPr>
          <w:rFonts w:ascii="Times New Roman" w:hAnsi="Times New Roman"/>
          <w:sz w:val="24"/>
          <w:szCs w:val="24"/>
        </w:rPr>
        <w:t xml:space="preserve"> to support RSE licensees in meetings their obligation to prudently select, manage and monitor investments. </w:t>
      </w:r>
      <w:r w:rsidRPr="00BF6F81">
        <w:rPr>
          <w:rFonts w:ascii="Times New Roman" w:hAnsi="Times New Roman"/>
          <w:sz w:val="24"/>
          <w:szCs w:val="24"/>
        </w:rPr>
        <w:t xml:space="preserve"> </w:t>
      </w:r>
    </w:p>
    <w:p w14:paraId="7C34CDE5" w14:textId="77777777"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Human rights implications</w:t>
      </w:r>
    </w:p>
    <w:p w14:paraId="10CBD23E" w14:textId="736BEA49"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3769C">
        <w:rPr>
          <w:rFonts w:ascii="Times New Roman" w:hAnsi="Times New Roman"/>
          <w:sz w:val="24"/>
          <w:szCs w:val="24"/>
        </w:rPr>
        <w:t>APRA has assessed the instrument against the international instruments listed in section 3 of the HRPS Act and has determined that the instrument do</w:t>
      </w:r>
      <w:r w:rsidR="00BB18AB">
        <w:rPr>
          <w:rFonts w:ascii="Times New Roman" w:hAnsi="Times New Roman"/>
          <w:sz w:val="24"/>
          <w:szCs w:val="24"/>
        </w:rPr>
        <w:t>es</w:t>
      </w:r>
      <w:r w:rsidRPr="00F3769C">
        <w:rPr>
          <w:rFonts w:ascii="Times New Roman" w:hAnsi="Times New Roman"/>
          <w:sz w:val="24"/>
          <w:szCs w:val="24"/>
        </w:rPr>
        <w:t xml:space="preserve"> not engage any of the applicable rights or freedoms.</w:t>
      </w:r>
      <w:r>
        <w:rPr>
          <w:rFonts w:ascii="Times New Roman" w:hAnsi="Times New Roman"/>
          <w:sz w:val="24"/>
          <w:szCs w:val="24"/>
        </w:rPr>
        <w:t xml:space="preserve"> Accordingly, in APRA’s assessment, the instrument </w:t>
      </w:r>
      <w:r w:rsidR="00BB18AB">
        <w:rPr>
          <w:rFonts w:ascii="Times New Roman" w:hAnsi="Times New Roman"/>
          <w:sz w:val="24"/>
          <w:szCs w:val="24"/>
        </w:rPr>
        <w:t>is</w:t>
      </w:r>
      <w:r>
        <w:rPr>
          <w:rFonts w:ascii="Times New Roman" w:hAnsi="Times New Roman"/>
          <w:sz w:val="24"/>
          <w:szCs w:val="24"/>
        </w:rPr>
        <w:t xml:space="preserve"> compatible with human rights.</w:t>
      </w:r>
    </w:p>
    <w:p w14:paraId="764D4E71" w14:textId="77777777"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Conclusion</w:t>
      </w:r>
    </w:p>
    <w:p w14:paraId="0EC72E8E" w14:textId="51336F76"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sz w:val="24"/>
          <w:szCs w:val="24"/>
        </w:rPr>
        <w:t>Th</w:t>
      </w:r>
      <w:r w:rsidR="00CF7C91">
        <w:rPr>
          <w:rFonts w:ascii="Times New Roman" w:hAnsi="Times New Roman"/>
          <w:sz w:val="24"/>
          <w:szCs w:val="24"/>
        </w:rPr>
        <w:t>is</w:t>
      </w:r>
      <w:r w:rsidRPr="00FE5D7D">
        <w:rPr>
          <w:rFonts w:ascii="Times New Roman" w:hAnsi="Times New Roman"/>
          <w:sz w:val="24"/>
          <w:szCs w:val="24"/>
        </w:rPr>
        <w:t xml:space="preserve"> Legislative Instrument</w:t>
      </w:r>
      <w:r w:rsidR="00CF7C91">
        <w:rPr>
          <w:rFonts w:ascii="Times New Roman" w:hAnsi="Times New Roman"/>
          <w:sz w:val="24"/>
          <w:szCs w:val="24"/>
        </w:rPr>
        <w:t xml:space="preserve"> is</w:t>
      </w:r>
      <w:r w:rsidRPr="00FE5D7D">
        <w:rPr>
          <w:rFonts w:ascii="Times New Roman" w:hAnsi="Times New Roman"/>
          <w:sz w:val="24"/>
          <w:szCs w:val="24"/>
        </w:rPr>
        <w:t xml:space="preserve"> compatible with human rights as </w:t>
      </w:r>
      <w:r w:rsidR="00CF7C91">
        <w:rPr>
          <w:rFonts w:ascii="Times New Roman" w:hAnsi="Times New Roman"/>
          <w:sz w:val="24"/>
          <w:szCs w:val="24"/>
        </w:rPr>
        <w:t xml:space="preserve">it does not </w:t>
      </w:r>
      <w:r w:rsidRPr="00FE5D7D">
        <w:rPr>
          <w:rFonts w:ascii="Times New Roman" w:hAnsi="Times New Roman"/>
          <w:sz w:val="24"/>
          <w:szCs w:val="24"/>
        </w:rPr>
        <w:t>raise any human rights issues.</w:t>
      </w:r>
    </w:p>
    <w:p w14:paraId="0A51A779" w14:textId="77777777" w:rsidR="00E279A1" w:rsidRDefault="00E279A1" w:rsidP="00E279A1"/>
    <w:p w14:paraId="69DB4F00" w14:textId="77777777" w:rsidR="00E279A1" w:rsidRPr="00FA5345" w:rsidRDefault="00E279A1" w:rsidP="00DF7DA0">
      <w:pPr>
        <w:spacing w:after="240"/>
      </w:pPr>
    </w:p>
    <w:sectPr w:rsidR="00E279A1" w:rsidRPr="00FA5345"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6289" w14:textId="77777777" w:rsidR="00F5607A" w:rsidRDefault="00F5607A" w:rsidP="00DF7DA0">
      <w:r>
        <w:separator/>
      </w:r>
    </w:p>
  </w:endnote>
  <w:endnote w:type="continuationSeparator" w:id="0">
    <w:p w14:paraId="39F85C3A" w14:textId="77777777" w:rsidR="00F5607A" w:rsidRDefault="00F5607A" w:rsidP="00DF7DA0">
      <w:r>
        <w:continuationSeparator/>
      </w:r>
    </w:p>
  </w:endnote>
  <w:endnote w:type="continuationNotice" w:id="1">
    <w:p w14:paraId="5C0F97D8" w14:textId="77777777" w:rsidR="002C3CD9" w:rsidRDefault="002C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0B3CB4">
          <w:rPr>
            <w:rFonts w:ascii="Times New Roman" w:hAnsi="Times New Roman"/>
            <w:bCs/>
            <w:noProof/>
            <w:sz w:val="24"/>
            <w:szCs w:val="24"/>
          </w:rPr>
          <w:t>2</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90CF" w14:textId="77777777" w:rsidR="00F5607A" w:rsidRDefault="00F5607A" w:rsidP="00DF7DA0">
      <w:r>
        <w:separator/>
      </w:r>
    </w:p>
  </w:footnote>
  <w:footnote w:type="continuationSeparator" w:id="0">
    <w:p w14:paraId="3DCA0705" w14:textId="77777777" w:rsidR="00F5607A" w:rsidRDefault="00F5607A" w:rsidP="00DF7DA0">
      <w:r>
        <w:continuationSeparator/>
      </w:r>
    </w:p>
  </w:footnote>
  <w:footnote w:type="continuationNotice" w:id="1">
    <w:p w14:paraId="7AFC8BBF" w14:textId="77777777" w:rsidR="002C3CD9" w:rsidRDefault="002C3CD9"/>
  </w:footnote>
  <w:footnote w:id="2">
    <w:p w14:paraId="7760CE60" w14:textId="05E857C2" w:rsidR="009A6A46" w:rsidRPr="00A404F4" w:rsidRDefault="009A6A46">
      <w:pPr>
        <w:pStyle w:val="FootnoteText"/>
        <w:rPr>
          <w:rFonts w:ascii="Times New Roman" w:hAnsi="Times New Roman"/>
          <w:sz w:val="18"/>
          <w:szCs w:val="18"/>
        </w:rPr>
      </w:pPr>
      <w:r>
        <w:rPr>
          <w:rStyle w:val="FootnoteReference"/>
        </w:rPr>
        <w:footnoteRef/>
      </w:r>
      <w:r>
        <w:t xml:space="preserve"> </w:t>
      </w:r>
      <w:r w:rsidR="00A11B8F">
        <w:rPr>
          <w:rFonts w:ascii="Times New Roman" w:hAnsi="Times New Roman"/>
          <w:sz w:val="18"/>
          <w:szCs w:val="18"/>
        </w:rPr>
        <w:t>S</w:t>
      </w:r>
      <w:r w:rsidR="00A404F4" w:rsidRPr="00A404F4">
        <w:rPr>
          <w:rFonts w:ascii="Times New Roman" w:hAnsi="Times New Roman"/>
          <w:sz w:val="18"/>
          <w:szCs w:val="18"/>
        </w:rPr>
        <w:t xml:space="preserve">ection 54B of the Act, provides that breach of a covenant under sections 52 or 52A is a civil penalty provision. </w:t>
      </w:r>
      <w:r w:rsidR="00A11B8F">
        <w:rPr>
          <w:rFonts w:ascii="Times New Roman" w:hAnsi="Times New Roman"/>
          <w:sz w:val="18"/>
          <w:szCs w:val="18"/>
        </w:rPr>
        <w:t>The Investments covenants contained in section 52(6) of the Act does</w:t>
      </w:r>
      <w:r w:rsidR="00F77009">
        <w:rPr>
          <w:rFonts w:ascii="Times New Roman" w:hAnsi="Times New Roman"/>
          <w:sz w:val="18"/>
          <w:szCs w:val="18"/>
        </w:rPr>
        <w:t xml:space="preserve"> not include</w:t>
      </w:r>
      <w:r w:rsidR="00A11B8F">
        <w:rPr>
          <w:rFonts w:ascii="Times New Roman" w:hAnsi="Times New Roman"/>
          <w:sz w:val="18"/>
          <w:szCs w:val="18"/>
        </w:rPr>
        <w:t xml:space="preserve"> </w:t>
      </w:r>
      <w:r w:rsidR="00A404F4" w:rsidRPr="00A404F4">
        <w:rPr>
          <w:rFonts w:ascii="Times New Roman" w:hAnsi="Times New Roman"/>
          <w:sz w:val="18"/>
          <w:szCs w:val="18"/>
        </w:rPr>
        <w:t xml:space="preserve">a requirement to comply with </w:t>
      </w:r>
      <w:r w:rsidR="0029627F">
        <w:rPr>
          <w:rFonts w:ascii="Times New Roman" w:hAnsi="Times New Roman"/>
          <w:sz w:val="18"/>
          <w:szCs w:val="18"/>
        </w:rPr>
        <w:t xml:space="preserve">SPS </w:t>
      </w:r>
      <w:r w:rsidR="00E02A2C">
        <w:rPr>
          <w:rFonts w:ascii="Times New Roman" w:hAnsi="Times New Roman"/>
          <w:sz w:val="18"/>
          <w:szCs w:val="18"/>
        </w:rPr>
        <w:t>53</w:t>
      </w:r>
      <w:r w:rsidR="0029627F">
        <w:rPr>
          <w:rFonts w:ascii="Times New Roman" w:hAnsi="Times New Roman"/>
          <w:sz w:val="18"/>
          <w:szCs w:val="18"/>
        </w:rPr>
        <w:t>0</w:t>
      </w:r>
      <w:r w:rsidR="00F77009">
        <w:rPr>
          <w:rFonts w:ascii="Times New Roman" w:hAnsi="Times New Roman"/>
          <w:sz w:val="18"/>
          <w:szCs w:val="18"/>
        </w:rPr>
        <w:t>.</w:t>
      </w:r>
      <w:r w:rsidR="0029627F" w:rsidRPr="00A404F4">
        <w:rPr>
          <w:rFonts w:ascii="Times New Roman" w:hAnsi="Times New Roman"/>
          <w:sz w:val="18"/>
          <w:szCs w:val="18"/>
        </w:rPr>
        <w:t xml:space="preserve"> </w:t>
      </w:r>
    </w:p>
  </w:footnote>
  <w:footnote w:id="3">
    <w:p w14:paraId="7D14FBB1" w14:textId="0D3E818B" w:rsidR="007A0703" w:rsidRPr="0076259B" w:rsidRDefault="007A0703">
      <w:pPr>
        <w:pStyle w:val="FootnoteText"/>
        <w:rPr>
          <w:rFonts w:ascii="Times New Roman" w:hAnsi="Times New Roman"/>
          <w:sz w:val="18"/>
          <w:szCs w:val="18"/>
        </w:rPr>
      </w:pPr>
      <w:r w:rsidRPr="00787FB9">
        <w:rPr>
          <w:rStyle w:val="FootnoteReference"/>
          <w:rFonts w:ascii="Times New Roman" w:hAnsi="Times New Roman"/>
          <w:sz w:val="18"/>
          <w:szCs w:val="18"/>
        </w:rPr>
        <w:footnoteRef/>
      </w:r>
      <w:r w:rsidRPr="0076259B">
        <w:rPr>
          <w:rFonts w:ascii="Times New Roman" w:hAnsi="Times New Roman"/>
          <w:sz w:val="18"/>
          <w:szCs w:val="18"/>
        </w:rPr>
        <w:t xml:space="preserve"> For paragraph 44(2)(b) of the Legislation Act, section 42 of the </w:t>
      </w:r>
      <w:r w:rsidR="00923DDC">
        <w:rPr>
          <w:rFonts w:ascii="Times New Roman" w:hAnsi="Times New Roman"/>
          <w:sz w:val="18"/>
          <w:szCs w:val="18"/>
        </w:rPr>
        <w:t xml:space="preserve">Legislation </w:t>
      </w:r>
      <w:r w:rsidRPr="0076259B">
        <w:rPr>
          <w:rFonts w:ascii="Times New Roman" w:hAnsi="Times New Roman"/>
          <w:sz w:val="18"/>
          <w:szCs w:val="18"/>
        </w:rPr>
        <w:t xml:space="preserve">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   </w:t>
      </w:r>
    </w:p>
  </w:footnote>
  <w:footnote w:id="4">
    <w:p w14:paraId="60876631" w14:textId="10A43459" w:rsidR="007D52E3" w:rsidRPr="0076259B" w:rsidRDefault="00571E11" w:rsidP="007D52E3">
      <w:pPr>
        <w:pStyle w:val="FootnoteText"/>
        <w:rPr>
          <w:rFonts w:ascii="Times New Roman" w:hAnsi="Times New Roman"/>
          <w:sz w:val="18"/>
          <w:szCs w:val="18"/>
        </w:rPr>
      </w:pPr>
      <w:r w:rsidRPr="0076259B">
        <w:rPr>
          <w:rStyle w:val="FootnoteReference"/>
          <w:rFonts w:ascii="Times New Roman" w:hAnsi="Times New Roman"/>
          <w:sz w:val="18"/>
          <w:szCs w:val="18"/>
        </w:rPr>
        <w:footnoteRef/>
      </w:r>
      <w:r w:rsidRPr="0076259B">
        <w:rPr>
          <w:rFonts w:ascii="Times New Roman" w:hAnsi="Times New Roman"/>
          <w:sz w:val="18"/>
          <w:szCs w:val="18"/>
        </w:rPr>
        <w:t xml:space="preserve"> For paragraph 54(2)(b) of the Legislation Act, Part 4 of Chapter 3 of the Legislation Act (sunsetting of legislative instruments) does not apply to a legislative instrument in a </w:t>
      </w:r>
      <w:r w:rsidR="007D52E3" w:rsidRPr="0076259B">
        <w:rPr>
          <w:rFonts w:ascii="Times New Roman" w:hAnsi="Times New Roman"/>
          <w:sz w:val="18"/>
          <w:szCs w:val="18"/>
        </w:rPr>
        <w:t xml:space="preserve">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   </w:t>
      </w:r>
    </w:p>
    <w:p w14:paraId="406152DC" w14:textId="45686089" w:rsidR="00571E11" w:rsidRPr="0076259B" w:rsidRDefault="00571E11">
      <w:pPr>
        <w:pStyle w:val="FootnoteText"/>
        <w:rPr>
          <w:sz w:val="18"/>
          <w:szCs w:val="18"/>
        </w:rPr>
      </w:pPr>
    </w:p>
  </w:footnote>
  <w:footnote w:id="5">
    <w:p w14:paraId="1D51CF69" w14:textId="49EF513D" w:rsidR="0076259B" w:rsidRDefault="0076259B">
      <w:pPr>
        <w:pStyle w:val="FootnoteText"/>
      </w:pPr>
      <w:r w:rsidRPr="0076259B">
        <w:rPr>
          <w:rStyle w:val="FootnoteReference"/>
          <w:sz w:val="18"/>
          <w:szCs w:val="18"/>
        </w:rPr>
        <w:footnoteRef/>
      </w:r>
      <w:r w:rsidRPr="0076259B">
        <w:rPr>
          <w:sz w:val="18"/>
          <w:szCs w:val="18"/>
        </w:rPr>
        <w:t xml:space="preserve"> </w:t>
      </w:r>
      <w:r w:rsidRPr="0076259B">
        <w:rPr>
          <w:rFonts w:ascii="Times New Roman" w:hAnsi="Times New Roman"/>
          <w:sz w:val="18"/>
          <w:szCs w:val="18"/>
        </w:rPr>
        <w:t xml:space="preserve">APRA is not obliged to prepare a statement given SPS 530 is exempt from disallowance, however, has nonetheless prepared one: see section 9(1) of the </w:t>
      </w:r>
      <w:r w:rsidRPr="0076259B">
        <w:rPr>
          <w:rFonts w:ascii="Times New Roman" w:hAnsi="Times New Roman"/>
          <w:i/>
          <w:sz w:val="18"/>
          <w:szCs w:val="18"/>
        </w:rPr>
        <w:t>Human Rights (Parliamentary Scrutiny) Act 2011</w:t>
      </w:r>
      <w:r w:rsidRPr="0076259B">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68"/>
    <w:multiLevelType w:val="hybridMultilevel"/>
    <w:tmpl w:val="712AC2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0B05EA"/>
    <w:multiLevelType w:val="hybridMultilevel"/>
    <w:tmpl w:val="13C6D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B8E5B9A"/>
    <w:multiLevelType w:val="hybridMultilevel"/>
    <w:tmpl w:val="537669BE"/>
    <w:lvl w:ilvl="0" w:tplc="2876A41C">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B2036"/>
    <w:multiLevelType w:val="hybridMultilevel"/>
    <w:tmpl w:val="3D54394A"/>
    <w:lvl w:ilvl="0" w:tplc="64A0EC0C">
      <w:start w:val="3"/>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80F2F"/>
    <w:multiLevelType w:val="hybridMultilevel"/>
    <w:tmpl w:val="59AA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7550E3"/>
    <w:multiLevelType w:val="hybridMultilevel"/>
    <w:tmpl w:val="ED36B4FC"/>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F897051"/>
    <w:multiLevelType w:val="hybridMultilevel"/>
    <w:tmpl w:val="3992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9F540D"/>
    <w:multiLevelType w:val="hybridMultilevel"/>
    <w:tmpl w:val="66EC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272816"/>
    <w:multiLevelType w:val="hybridMultilevel"/>
    <w:tmpl w:val="339A1CD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3" w15:restartNumberingAfterBreak="0">
    <w:nsid w:val="5D3F12FF"/>
    <w:multiLevelType w:val="multilevel"/>
    <w:tmpl w:val="ED7A05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A3D61"/>
    <w:multiLevelType w:val="hybridMultilevel"/>
    <w:tmpl w:val="11C899CC"/>
    <w:lvl w:ilvl="0" w:tplc="CA305248">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B336A"/>
    <w:multiLevelType w:val="hybridMultilevel"/>
    <w:tmpl w:val="2F2E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4300AF"/>
    <w:multiLevelType w:val="hybridMultilevel"/>
    <w:tmpl w:val="BA30648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8"/>
  </w:num>
  <w:num w:numId="2">
    <w:abstractNumId w:val="2"/>
  </w:num>
  <w:num w:numId="3">
    <w:abstractNumId w:val="14"/>
  </w:num>
  <w:num w:numId="4">
    <w:abstractNumId w:val="6"/>
  </w:num>
  <w:num w:numId="5">
    <w:abstractNumId w:val="7"/>
  </w:num>
  <w:num w:numId="6">
    <w:abstractNumId w:val="15"/>
  </w:num>
  <w:num w:numId="7">
    <w:abstractNumId w:val="0"/>
  </w:num>
  <w:num w:numId="8">
    <w:abstractNumId w:val="10"/>
  </w:num>
  <w:num w:numId="9">
    <w:abstractNumId w:val="11"/>
  </w:num>
  <w:num w:numId="10">
    <w:abstractNumId w:val="13"/>
  </w:num>
  <w:num w:numId="11">
    <w:abstractNumId w:val="3"/>
  </w:num>
  <w:num w:numId="12">
    <w:abstractNumId w:val="1"/>
  </w:num>
  <w:num w:numId="13">
    <w:abstractNumId w:val="9"/>
  </w:num>
  <w:num w:numId="14">
    <w:abstractNumId w:val="16"/>
  </w:num>
  <w:num w:numId="15">
    <w:abstractNumId w:val="1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3D3A"/>
    <w:rsid w:val="00004D34"/>
    <w:rsid w:val="000069AE"/>
    <w:rsid w:val="00016D0F"/>
    <w:rsid w:val="00025A42"/>
    <w:rsid w:val="000338D0"/>
    <w:rsid w:val="00037061"/>
    <w:rsid w:val="000401FC"/>
    <w:rsid w:val="0004133C"/>
    <w:rsid w:val="00044BCB"/>
    <w:rsid w:val="0006663F"/>
    <w:rsid w:val="000855A3"/>
    <w:rsid w:val="00096AC5"/>
    <w:rsid w:val="000A37CE"/>
    <w:rsid w:val="000B1FBB"/>
    <w:rsid w:val="000B3CB4"/>
    <w:rsid w:val="000B56E7"/>
    <w:rsid w:val="000B61D2"/>
    <w:rsid w:val="000B6A84"/>
    <w:rsid w:val="000C08C8"/>
    <w:rsid w:val="000C30E3"/>
    <w:rsid w:val="000C37FB"/>
    <w:rsid w:val="000D7812"/>
    <w:rsid w:val="000E369C"/>
    <w:rsid w:val="000F2E25"/>
    <w:rsid w:val="000F79BD"/>
    <w:rsid w:val="00106E67"/>
    <w:rsid w:val="00111E49"/>
    <w:rsid w:val="00120CB0"/>
    <w:rsid w:val="00122D99"/>
    <w:rsid w:val="00125B9D"/>
    <w:rsid w:val="00135220"/>
    <w:rsid w:val="001360B0"/>
    <w:rsid w:val="001552ED"/>
    <w:rsid w:val="00155C61"/>
    <w:rsid w:val="0016350D"/>
    <w:rsid w:val="00163E20"/>
    <w:rsid w:val="0016538C"/>
    <w:rsid w:val="00165AA4"/>
    <w:rsid w:val="00166735"/>
    <w:rsid w:val="001668DE"/>
    <w:rsid w:val="001711F5"/>
    <w:rsid w:val="00172045"/>
    <w:rsid w:val="0017243A"/>
    <w:rsid w:val="0017247E"/>
    <w:rsid w:val="00172A72"/>
    <w:rsid w:val="0017321F"/>
    <w:rsid w:val="001772AE"/>
    <w:rsid w:val="0018169D"/>
    <w:rsid w:val="00182FA1"/>
    <w:rsid w:val="00195547"/>
    <w:rsid w:val="001A5DBF"/>
    <w:rsid w:val="001C45A1"/>
    <w:rsid w:val="001D0BC8"/>
    <w:rsid w:val="001D1759"/>
    <w:rsid w:val="001E6F23"/>
    <w:rsid w:val="001F7867"/>
    <w:rsid w:val="00202081"/>
    <w:rsid w:val="0021033D"/>
    <w:rsid w:val="00212B1D"/>
    <w:rsid w:val="00223ADB"/>
    <w:rsid w:val="00226FF7"/>
    <w:rsid w:val="00233413"/>
    <w:rsid w:val="00235F0C"/>
    <w:rsid w:val="002436BD"/>
    <w:rsid w:val="00246723"/>
    <w:rsid w:val="00255C5E"/>
    <w:rsid w:val="00255F6C"/>
    <w:rsid w:val="00261E60"/>
    <w:rsid w:val="00264CD9"/>
    <w:rsid w:val="0027160A"/>
    <w:rsid w:val="0029627F"/>
    <w:rsid w:val="002A73BD"/>
    <w:rsid w:val="002A73C5"/>
    <w:rsid w:val="002B2FA6"/>
    <w:rsid w:val="002B65E6"/>
    <w:rsid w:val="002C3CD9"/>
    <w:rsid w:val="002C4F7F"/>
    <w:rsid w:val="002C52D7"/>
    <w:rsid w:val="002D2D17"/>
    <w:rsid w:val="002D3FF9"/>
    <w:rsid w:val="002E34A7"/>
    <w:rsid w:val="002E79E6"/>
    <w:rsid w:val="002F61FF"/>
    <w:rsid w:val="003023BD"/>
    <w:rsid w:val="0030506B"/>
    <w:rsid w:val="0031781F"/>
    <w:rsid w:val="003265A2"/>
    <w:rsid w:val="00354CB8"/>
    <w:rsid w:val="003609BC"/>
    <w:rsid w:val="003749D1"/>
    <w:rsid w:val="00380F98"/>
    <w:rsid w:val="003852E9"/>
    <w:rsid w:val="003866AD"/>
    <w:rsid w:val="0039405E"/>
    <w:rsid w:val="0039621F"/>
    <w:rsid w:val="003A0CC1"/>
    <w:rsid w:val="003A50C1"/>
    <w:rsid w:val="003B4EF4"/>
    <w:rsid w:val="003C13E2"/>
    <w:rsid w:val="003C1F77"/>
    <w:rsid w:val="003D5032"/>
    <w:rsid w:val="003E64E6"/>
    <w:rsid w:val="003F7616"/>
    <w:rsid w:val="0040175E"/>
    <w:rsid w:val="00405D70"/>
    <w:rsid w:val="004220C0"/>
    <w:rsid w:val="00422164"/>
    <w:rsid w:val="00430E26"/>
    <w:rsid w:val="00442030"/>
    <w:rsid w:val="00443A02"/>
    <w:rsid w:val="00457C57"/>
    <w:rsid w:val="00460C21"/>
    <w:rsid w:val="00462C7E"/>
    <w:rsid w:val="00470375"/>
    <w:rsid w:val="00481258"/>
    <w:rsid w:val="004A18C4"/>
    <w:rsid w:val="004B184C"/>
    <w:rsid w:val="004C3D07"/>
    <w:rsid w:val="004C459E"/>
    <w:rsid w:val="004D55F9"/>
    <w:rsid w:val="004E2008"/>
    <w:rsid w:val="00512533"/>
    <w:rsid w:val="00531D87"/>
    <w:rsid w:val="00537603"/>
    <w:rsid w:val="00546BFD"/>
    <w:rsid w:val="005548B1"/>
    <w:rsid w:val="0056141D"/>
    <w:rsid w:val="005628F9"/>
    <w:rsid w:val="00571E11"/>
    <w:rsid w:val="00593C4C"/>
    <w:rsid w:val="005A456C"/>
    <w:rsid w:val="005A7892"/>
    <w:rsid w:val="005E5910"/>
    <w:rsid w:val="005F0C94"/>
    <w:rsid w:val="00605C29"/>
    <w:rsid w:val="00613CBF"/>
    <w:rsid w:val="00616459"/>
    <w:rsid w:val="00616A26"/>
    <w:rsid w:val="00622480"/>
    <w:rsid w:val="00622863"/>
    <w:rsid w:val="00633D81"/>
    <w:rsid w:val="00647D58"/>
    <w:rsid w:val="0065408F"/>
    <w:rsid w:val="00657678"/>
    <w:rsid w:val="00664225"/>
    <w:rsid w:val="00675FC7"/>
    <w:rsid w:val="00677173"/>
    <w:rsid w:val="00680283"/>
    <w:rsid w:val="00682865"/>
    <w:rsid w:val="00684F73"/>
    <w:rsid w:val="00694691"/>
    <w:rsid w:val="006A1ED9"/>
    <w:rsid w:val="006B093F"/>
    <w:rsid w:val="006B1B0D"/>
    <w:rsid w:val="006C2116"/>
    <w:rsid w:val="006E3B76"/>
    <w:rsid w:val="00700D7E"/>
    <w:rsid w:val="007029D7"/>
    <w:rsid w:val="007031F4"/>
    <w:rsid w:val="007049CF"/>
    <w:rsid w:val="007059C3"/>
    <w:rsid w:val="007069EA"/>
    <w:rsid w:val="00716876"/>
    <w:rsid w:val="007255AF"/>
    <w:rsid w:val="007368AD"/>
    <w:rsid w:val="0074164E"/>
    <w:rsid w:val="00741A6C"/>
    <w:rsid w:val="007428D4"/>
    <w:rsid w:val="00747AFF"/>
    <w:rsid w:val="00753B5D"/>
    <w:rsid w:val="007548D7"/>
    <w:rsid w:val="0076259B"/>
    <w:rsid w:val="00785CDC"/>
    <w:rsid w:val="00787FB9"/>
    <w:rsid w:val="007924FE"/>
    <w:rsid w:val="00795768"/>
    <w:rsid w:val="00796929"/>
    <w:rsid w:val="00796D0C"/>
    <w:rsid w:val="007A0703"/>
    <w:rsid w:val="007B22CE"/>
    <w:rsid w:val="007B2DBD"/>
    <w:rsid w:val="007C6D43"/>
    <w:rsid w:val="007D1E35"/>
    <w:rsid w:val="007D52E3"/>
    <w:rsid w:val="007E4B2A"/>
    <w:rsid w:val="007F1076"/>
    <w:rsid w:val="00800CFB"/>
    <w:rsid w:val="00803AC4"/>
    <w:rsid w:val="008046ED"/>
    <w:rsid w:val="0082631A"/>
    <w:rsid w:val="00826AD4"/>
    <w:rsid w:val="00830F66"/>
    <w:rsid w:val="00831858"/>
    <w:rsid w:val="008412DB"/>
    <w:rsid w:val="00842C5B"/>
    <w:rsid w:val="0084439D"/>
    <w:rsid w:val="0084478C"/>
    <w:rsid w:val="0085167F"/>
    <w:rsid w:val="00885F41"/>
    <w:rsid w:val="008A2F07"/>
    <w:rsid w:val="008A6E40"/>
    <w:rsid w:val="008B6FFB"/>
    <w:rsid w:val="008C0C2E"/>
    <w:rsid w:val="008C7C92"/>
    <w:rsid w:val="008D7075"/>
    <w:rsid w:val="008D7C49"/>
    <w:rsid w:val="00923DDC"/>
    <w:rsid w:val="00927C4F"/>
    <w:rsid w:val="00932EFA"/>
    <w:rsid w:val="00943B66"/>
    <w:rsid w:val="009571CD"/>
    <w:rsid w:val="00962548"/>
    <w:rsid w:val="0096284F"/>
    <w:rsid w:val="009669EA"/>
    <w:rsid w:val="00967D16"/>
    <w:rsid w:val="00971995"/>
    <w:rsid w:val="00975A5C"/>
    <w:rsid w:val="00977A86"/>
    <w:rsid w:val="00983C17"/>
    <w:rsid w:val="009927BF"/>
    <w:rsid w:val="00993547"/>
    <w:rsid w:val="00995B88"/>
    <w:rsid w:val="009965A4"/>
    <w:rsid w:val="009A2ACA"/>
    <w:rsid w:val="009A2C39"/>
    <w:rsid w:val="009A6A46"/>
    <w:rsid w:val="009B04E6"/>
    <w:rsid w:val="009B0B2F"/>
    <w:rsid w:val="009B247E"/>
    <w:rsid w:val="009C1DC7"/>
    <w:rsid w:val="009C5368"/>
    <w:rsid w:val="009D2C44"/>
    <w:rsid w:val="009D6E44"/>
    <w:rsid w:val="009E0216"/>
    <w:rsid w:val="009E3460"/>
    <w:rsid w:val="009F1483"/>
    <w:rsid w:val="009F46D3"/>
    <w:rsid w:val="00A10FE9"/>
    <w:rsid w:val="00A11B8F"/>
    <w:rsid w:val="00A1494E"/>
    <w:rsid w:val="00A2736E"/>
    <w:rsid w:val="00A279AF"/>
    <w:rsid w:val="00A32F55"/>
    <w:rsid w:val="00A37E81"/>
    <w:rsid w:val="00A404F4"/>
    <w:rsid w:val="00A4133B"/>
    <w:rsid w:val="00A44E24"/>
    <w:rsid w:val="00A502BE"/>
    <w:rsid w:val="00A502DA"/>
    <w:rsid w:val="00A573C7"/>
    <w:rsid w:val="00A6325C"/>
    <w:rsid w:val="00A63A2B"/>
    <w:rsid w:val="00A82D08"/>
    <w:rsid w:val="00A85FF7"/>
    <w:rsid w:val="00A87DEE"/>
    <w:rsid w:val="00A90B1C"/>
    <w:rsid w:val="00A94110"/>
    <w:rsid w:val="00A94C9A"/>
    <w:rsid w:val="00AC151B"/>
    <w:rsid w:val="00AC21F0"/>
    <w:rsid w:val="00AC2517"/>
    <w:rsid w:val="00AC61D6"/>
    <w:rsid w:val="00AC7A56"/>
    <w:rsid w:val="00AD22B1"/>
    <w:rsid w:val="00AD4285"/>
    <w:rsid w:val="00AD7979"/>
    <w:rsid w:val="00AE3C14"/>
    <w:rsid w:val="00B04B20"/>
    <w:rsid w:val="00B06385"/>
    <w:rsid w:val="00B21718"/>
    <w:rsid w:val="00B249D5"/>
    <w:rsid w:val="00B37BFC"/>
    <w:rsid w:val="00B64B2E"/>
    <w:rsid w:val="00B7245C"/>
    <w:rsid w:val="00B77512"/>
    <w:rsid w:val="00B85B6E"/>
    <w:rsid w:val="00B90301"/>
    <w:rsid w:val="00B909C2"/>
    <w:rsid w:val="00B90C62"/>
    <w:rsid w:val="00BA5D5C"/>
    <w:rsid w:val="00BB1678"/>
    <w:rsid w:val="00BB18AB"/>
    <w:rsid w:val="00BB63CC"/>
    <w:rsid w:val="00BB7685"/>
    <w:rsid w:val="00BD248E"/>
    <w:rsid w:val="00BD50DB"/>
    <w:rsid w:val="00BF1C50"/>
    <w:rsid w:val="00BF2953"/>
    <w:rsid w:val="00BF660A"/>
    <w:rsid w:val="00BF6F81"/>
    <w:rsid w:val="00C153BC"/>
    <w:rsid w:val="00C302FA"/>
    <w:rsid w:val="00C317FE"/>
    <w:rsid w:val="00C34364"/>
    <w:rsid w:val="00C4187A"/>
    <w:rsid w:val="00C42AEB"/>
    <w:rsid w:val="00C45112"/>
    <w:rsid w:val="00C72076"/>
    <w:rsid w:val="00C72ED1"/>
    <w:rsid w:val="00C74348"/>
    <w:rsid w:val="00C948AA"/>
    <w:rsid w:val="00C97AB3"/>
    <w:rsid w:val="00CA2AE6"/>
    <w:rsid w:val="00CA6CB3"/>
    <w:rsid w:val="00CB1C00"/>
    <w:rsid w:val="00CB384A"/>
    <w:rsid w:val="00CB4EDD"/>
    <w:rsid w:val="00CB61C1"/>
    <w:rsid w:val="00CD1947"/>
    <w:rsid w:val="00CD46E4"/>
    <w:rsid w:val="00CD5A56"/>
    <w:rsid w:val="00CE1BB4"/>
    <w:rsid w:val="00CF17FC"/>
    <w:rsid w:val="00CF7BB4"/>
    <w:rsid w:val="00CF7C91"/>
    <w:rsid w:val="00D1368C"/>
    <w:rsid w:val="00D17845"/>
    <w:rsid w:val="00D17ABC"/>
    <w:rsid w:val="00D32150"/>
    <w:rsid w:val="00D356CE"/>
    <w:rsid w:val="00D43215"/>
    <w:rsid w:val="00D52898"/>
    <w:rsid w:val="00D5417E"/>
    <w:rsid w:val="00D547C8"/>
    <w:rsid w:val="00D57303"/>
    <w:rsid w:val="00D64906"/>
    <w:rsid w:val="00D66375"/>
    <w:rsid w:val="00D81CC2"/>
    <w:rsid w:val="00D86FF2"/>
    <w:rsid w:val="00D87E36"/>
    <w:rsid w:val="00DA2C8B"/>
    <w:rsid w:val="00DB026F"/>
    <w:rsid w:val="00DB32F2"/>
    <w:rsid w:val="00DC3AB3"/>
    <w:rsid w:val="00DD5332"/>
    <w:rsid w:val="00DE1A6F"/>
    <w:rsid w:val="00DE792A"/>
    <w:rsid w:val="00DF524E"/>
    <w:rsid w:val="00DF531C"/>
    <w:rsid w:val="00DF6C4E"/>
    <w:rsid w:val="00DF7DA0"/>
    <w:rsid w:val="00E02A2C"/>
    <w:rsid w:val="00E15497"/>
    <w:rsid w:val="00E16789"/>
    <w:rsid w:val="00E168A8"/>
    <w:rsid w:val="00E201A8"/>
    <w:rsid w:val="00E279A1"/>
    <w:rsid w:val="00E52DFE"/>
    <w:rsid w:val="00E56E99"/>
    <w:rsid w:val="00E72EBA"/>
    <w:rsid w:val="00E756D8"/>
    <w:rsid w:val="00E758B5"/>
    <w:rsid w:val="00E87227"/>
    <w:rsid w:val="00E90C89"/>
    <w:rsid w:val="00E9156E"/>
    <w:rsid w:val="00E916FE"/>
    <w:rsid w:val="00E93589"/>
    <w:rsid w:val="00E95C79"/>
    <w:rsid w:val="00E96828"/>
    <w:rsid w:val="00E96C66"/>
    <w:rsid w:val="00EB0383"/>
    <w:rsid w:val="00EB273C"/>
    <w:rsid w:val="00EB47CD"/>
    <w:rsid w:val="00EC3163"/>
    <w:rsid w:val="00EC5653"/>
    <w:rsid w:val="00ED31C9"/>
    <w:rsid w:val="00EF1CBC"/>
    <w:rsid w:val="00EF1D29"/>
    <w:rsid w:val="00EF31F6"/>
    <w:rsid w:val="00F03305"/>
    <w:rsid w:val="00F0488B"/>
    <w:rsid w:val="00F30C81"/>
    <w:rsid w:val="00F401C2"/>
    <w:rsid w:val="00F436BC"/>
    <w:rsid w:val="00F44E7F"/>
    <w:rsid w:val="00F5607A"/>
    <w:rsid w:val="00F62416"/>
    <w:rsid w:val="00F75036"/>
    <w:rsid w:val="00F77009"/>
    <w:rsid w:val="00F7706D"/>
    <w:rsid w:val="00FA5345"/>
    <w:rsid w:val="00FA76A4"/>
    <w:rsid w:val="00FB21BC"/>
    <w:rsid w:val="00FC2F1B"/>
    <w:rsid w:val="00FC3885"/>
    <w:rsid w:val="00FC44AC"/>
    <w:rsid w:val="00FD5004"/>
    <w:rsid w:val="00FD728F"/>
    <w:rsid w:val="00FE3BCD"/>
    <w:rsid w:val="00FF1BB2"/>
    <w:rsid w:val="00FF1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rsid w:val="000B6A84"/>
    <w:rPr>
      <w:vertAlign w:val="superscript"/>
    </w:rPr>
  </w:style>
  <w:style w:type="character" w:styleId="UnresolvedMention">
    <w:name w:val="Unresolved Mention"/>
    <w:basedOn w:val="DefaultParagraphFont"/>
    <w:uiPriority w:val="99"/>
    <w:semiHidden/>
    <w:unhideWhenUsed/>
    <w:rsid w:val="00106E67"/>
    <w:rPr>
      <w:color w:val="605E5C"/>
      <w:shd w:val="clear" w:color="auto" w:fill="E1DFDD"/>
    </w:rPr>
  </w:style>
  <w:style w:type="character" w:styleId="FollowedHyperlink">
    <w:name w:val="FollowedHyperlink"/>
    <w:basedOn w:val="DefaultParagraphFont"/>
    <w:uiPriority w:val="99"/>
    <w:semiHidden/>
    <w:unhideWhenUsed/>
    <w:rsid w:val="00BD50DB"/>
    <w:rPr>
      <w:color w:val="800080" w:themeColor="followedHyperlink"/>
      <w:u w:val="single"/>
    </w:rPr>
  </w:style>
  <w:style w:type="paragraph" w:styleId="NormalWeb">
    <w:name w:val="Normal (Web)"/>
    <w:basedOn w:val="Normal"/>
    <w:uiPriority w:val="99"/>
    <w:unhideWhenUsed/>
    <w:rsid w:val="00803AC4"/>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6259B"/>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315">
      <w:bodyDiv w:val="1"/>
      <w:marLeft w:val="0"/>
      <w:marRight w:val="0"/>
      <w:marTop w:val="0"/>
      <w:marBottom w:val="0"/>
      <w:divBdr>
        <w:top w:val="none" w:sz="0" w:space="0" w:color="auto"/>
        <w:left w:val="none" w:sz="0" w:space="0" w:color="auto"/>
        <w:bottom w:val="none" w:sz="0" w:space="0" w:color="auto"/>
        <w:right w:val="none" w:sz="0" w:space="0" w:color="auto"/>
      </w:divBdr>
    </w:div>
    <w:div w:id="180707732">
      <w:bodyDiv w:val="1"/>
      <w:marLeft w:val="0"/>
      <w:marRight w:val="0"/>
      <w:marTop w:val="0"/>
      <w:marBottom w:val="0"/>
      <w:divBdr>
        <w:top w:val="none" w:sz="0" w:space="0" w:color="auto"/>
        <w:left w:val="none" w:sz="0" w:space="0" w:color="auto"/>
        <w:bottom w:val="none" w:sz="0" w:space="0" w:color="auto"/>
        <w:right w:val="none" w:sz="0" w:space="0" w:color="auto"/>
      </w:divBdr>
    </w:div>
    <w:div w:id="298846832">
      <w:bodyDiv w:val="1"/>
      <w:marLeft w:val="0"/>
      <w:marRight w:val="0"/>
      <w:marTop w:val="0"/>
      <w:marBottom w:val="0"/>
      <w:divBdr>
        <w:top w:val="none" w:sz="0" w:space="0" w:color="auto"/>
        <w:left w:val="none" w:sz="0" w:space="0" w:color="auto"/>
        <w:bottom w:val="none" w:sz="0" w:space="0" w:color="auto"/>
        <w:right w:val="none" w:sz="0" w:space="0" w:color="auto"/>
      </w:divBdr>
    </w:div>
    <w:div w:id="9808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ra.gov.au/post-implementation-review-of-apras-superannuation-prudential-framewor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Superannuation (prudential standard) determination No. 2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5JENXJJSCC7A-445999044-11857</_dlc_DocId>
    <_dlc_DocIdUrl xmlns="814d62cb-2db6-4c25-ab62-b9075facbc11">
      <Url>https://im/teams/LEGAL/_layouts/15/DocIdRedir.aspx?ID=5JENXJJSCC7A-445999044-11857</Url>
      <Description>5JENXJJSCC7A-445999044-11857</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1B70D-A6A8-4556-B7C1-F94206C4A61B}">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814d62cb-2db6-4c25-ab62-b9075facbc11"/>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4.xml><?xml version="1.0" encoding="utf-8"?>
<ds:datastoreItem xmlns:ds="http://schemas.openxmlformats.org/officeDocument/2006/customXml" ds:itemID="{33DE8F91-01DE-4A67-ABA8-D8846348D30C}">
  <ds:schemaRefs>
    <ds:schemaRef ds:uri="http://schemas.openxmlformats.org/officeDocument/2006/bibliography"/>
  </ds:schemaRefs>
</ds:datastoreItem>
</file>

<file path=customXml/itemProps5.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6.xml><?xml version="1.0" encoding="utf-8"?>
<ds:datastoreItem xmlns:ds="http://schemas.openxmlformats.org/officeDocument/2006/customXml" ds:itemID="{5A9D809E-673C-46B2-B844-A5B326F5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6</Pages>
  <Words>1854</Words>
  <Characters>10717</Characters>
  <Application>Microsoft Office Word</Application>
  <DocSecurity>0</DocSecurity>
  <Lines>188</Lines>
  <Paragraphs>69</Paragraphs>
  <ScaleCrop>false</ScaleCrop>
  <HeadingPairs>
    <vt:vector size="2" baseType="variant">
      <vt:variant>
        <vt:lpstr>Title</vt:lpstr>
      </vt:variant>
      <vt:variant>
        <vt:i4>1</vt:i4>
      </vt:variant>
    </vt:vector>
  </HeadingPairs>
  <TitlesOfParts>
    <vt:vector size="1" baseType="lpstr">
      <vt:lpstr>ES - SPS 250 Insurance in Super - July 2022</vt:lpstr>
    </vt:vector>
  </TitlesOfParts>
  <Company>APRA</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Superannuation (prudential standard) determination No. 2 of 2022</dc:title>
  <dc:creator>Sullivan, David</dc:creator>
  <cp:keywords>[SEC=OFFICIAL]</cp:keywords>
  <cp:lastModifiedBy>Toni Michalis</cp:lastModifiedBy>
  <cp:revision>2</cp:revision>
  <cp:lastPrinted>2012-11-13T01:53:00Z</cp:lastPrinted>
  <dcterms:created xsi:type="dcterms:W3CDTF">2022-11-21T23:11:00Z</dcterms:created>
  <dcterms:modified xsi:type="dcterms:W3CDTF">2022-11-21T23:11:00Z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E33EBD7AF56FA882621769960586783C33F08D08</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21ED1FDBCD7D4344A20D6AFD8053454A</vt:lpwstr>
  </property>
  <property fmtid="{D5CDD505-2E9C-101B-9397-08002B2CF9AE}" pid="16" name="PM_OriginationTimeStamp">
    <vt:lpwstr>2022-11-21T23:11:26Z</vt:lpwstr>
  </property>
  <property fmtid="{D5CDD505-2E9C-101B-9397-08002B2CF9AE}" pid="17" name="PM_Hash_Version">
    <vt:lpwstr>2018.0</vt:lpwstr>
  </property>
  <property fmtid="{D5CDD505-2E9C-101B-9397-08002B2CF9AE}" pid="18" name="PM_Hash_Salt_Prev">
    <vt:lpwstr>BD1E559B1AEDE57469A0F0F9D292258A</vt:lpwstr>
  </property>
  <property fmtid="{D5CDD505-2E9C-101B-9397-08002B2CF9AE}" pid="19" name="PM_Hash_Salt">
    <vt:lpwstr>AD27BC74F021602A1B7E6935A461FB4E</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0cd8f000-6c60-4756-9bc4-f9a046ae771a</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{0cd8f000-6c60-4756-9bc4-f9a046ae771a}</vt:lpwstr>
  </property>
  <property fmtid="{D5CDD505-2E9C-101B-9397-08002B2CF9AE}" pid="43" name="RecordPoint_RecordNumberSubmitted">
    <vt:lpwstr/>
  </property>
  <property fmtid="{D5CDD505-2E9C-101B-9397-08002B2CF9AE}" pid="44" name="_docset_NoMedatataSyncRequired">
    <vt:lpwstr>False</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_Note">
    <vt:lpwstr/>
  </property>
  <property fmtid="{D5CDD505-2E9C-101B-9397-08002B2CF9AE}" pid="48" name="PM_Markers">
    <vt:lpwstr/>
  </property>
  <property fmtid="{D5CDD505-2E9C-101B-9397-08002B2CF9AE}" pid="49" name="PM_Display">
    <vt:lpwstr>OFFICIAL</vt:lpwstr>
  </property>
  <property fmtid="{D5CDD505-2E9C-101B-9397-08002B2CF9AE}" pid="50" name="PM_OriginatorUserAccountName_SHA256">
    <vt:lpwstr>6E3018F28A186D2E5FF5207C041E7A82E907C3008E071057026A53705873B72E</vt:lpwstr>
  </property>
  <property fmtid="{D5CDD505-2E9C-101B-9397-08002B2CF9AE}" pid="51" name="PM_OriginatorDomainName_SHA256">
    <vt:lpwstr>ECBDE2B44A971754412B3FB70606937A119CC0D4B6C1B658A40FBD41C30BE3EC</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RecordPoint_SubmissionCompleted">
    <vt:lpwstr/>
  </property>
  <property fmtid="{D5CDD505-2E9C-101B-9397-08002B2CF9AE}" pid="58" name="MSIP_Label_c0129afb-6481-4f92-bc9f-5a4a6346364d_SetDate">
    <vt:lpwstr>2022-11-21T22:34:22Z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