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BD89" w14:textId="77777777" w:rsidR="003A6026" w:rsidRPr="009A6E6F" w:rsidRDefault="003A6026" w:rsidP="003A6026">
      <w:pPr>
        <w:jc w:val="center"/>
        <w:rPr>
          <w:u w:val="single"/>
        </w:rPr>
      </w:pPr>
      <w:r w:rsidRPr="009A6E6F">
        <w:rPr>
          <w:u w:val="single"/>
        </w:rPr>
        <w:t>EXPLANATORY STATEMENT</w:t>
      </w:r>
    </w:p>
    <w:p w14:paraId="6AB50908" w14:textId="77777777" w:rsidR="003A6026" w:rsidRPr="009A6E6F" w:rsidRDefault="003A6026" w:rsidP="003A6026">
      <w:pPr>
        <w:jc w:val="center"/>
        <w:rPr>
          <w:u w:val="single"/>
        </w:rPr>
      </w:pPr>
    </w:p>
    <w:p w14:paraId="3E28770F" w14:textId="77777777" w:rsidR="00202381" w:rsidRPr="009A6E6F" w:rsidRDefault="00202381" w:rsidP="003A6026">
      <w:pPr>
        <w:rPr>
          <w:u w:val="single"/>
        </w:rPr>
      </w:pPr>
    </w:p>
    <w:p w14:paraId="316C5DA8" w14:textId="55D2D857" w:rsidR="007B43D5" w:rsidRPr="009A6E6F" w:rsidRDefault="007B43D5" w:rsidP="007B43D5">
      <w:pPr>
        <w:jc w:val="center"/>
        <w:rPr>
          <w:u w:val="single"/>
        </w:rPr>
      </w:pPr>
      <w:r w:rsidRPr="009A6E6F">
        <w:rPr>
          <w:u w:val="single"/>
        </w:rPr>
        <w:t xml:space="preserve">Issued under the authority of the </w:t>
      </w:r>
      <w:r w:rsidR="000509BA" w:rsidRPr="009A6E6F">
        <w:rPr>
          <w:u w:val="single"/>
        </w:rPr>
        <w:t xml:space="preserve">Assistant </w:t>
      </w:r>
      <w:r w:rsidRPr="009A6E6F">
        <w:rPr>
          <w:u w:val="single"/>
        </w:rPr>
        <w:t>Minister for Health</w:t>
      </w:r>
      <w:r w:rsidR="008A2E57" w:rsidRPr="009A6E6F">
        <w:rPr>
          <w:u w:val="single"/>
        </w:rPr>
        <w:t xml:space="preserve"> and Aged Care</w:t>
      </w:r>
    </w:p>
    <w:p w14:paraId="2551BC64" w14:textId="5C6F89C9" w:rsidR="007B43D5" w:rsidRPr="009A6E6F" w:rsidRDefault="007B43D5" w:rsidP="003A6026">
      <w:pPr>
        <w:rPr>
          <w:u w:val="single"/>
        </w:rPr>
      </w:pPr>
    </w:p>
    <w:p w14:paraId="3E05CA99" w14:textId="5D87AAF9" w:rsidR="00DE1B24" w:rsidRPr="009A6E6F" w:rsidRDefault="00DE1B24" w:rsidP="00543DB2">
      <w:pPr>
        <w:jc w:val="center"/>
        <w:rPr>
          <w:i/>
          <w:iCs/>
        </w:rPr>
      </w:pPr>
      <w:r w:rsidRPr="009A6E6F">
        <w:rPr>
          <w:i/>
          <w:iCs/>
        </w:rPr>
        <w:t>Industrial Chemicals Act 2019</w:t>
      </w:r>
    </w:p>
    <w:p w14:paraId="4BB5114F" w14:textId="77777777" w:rsidR="007B43D5" w:rsidRPr="009A6E6F" w:rsidRDefault="007B43D5" w:rsidP="003A6026">
      <w:pPr>
        <w:rPr>
          <w:u w:val="single"/>
        </w:rPr>
      </w:pPr>
    </w:p>
    <w:p w14:paraId="7B7D5CDC" w14:textId="2833A9DC" w:rsidR="00AB1D6C" w:rsidRPr="009A6E6F" w:rsidRDefault="00630B9D" w:rsidP="00AB1D6C">
      <w:pPr>
        <w:jc w:val="center"/>
        <w:rPr>
          <w:i/>
        </w:rPr>
      </w:pPr>
      <w:r w:rsidRPr="009A6E6F">
        <w:rPr>
          <w:i/>
        </w:rPr>
        <w:t>Industrial Chemicals (</w:t>
      </w:r>
      <w:r w:rsidR="00384C8D" w:rsidRPr="009A6E6F">
        <w:rPr>
          <w:i/>
        </w:rPr>
        <w:t>General</w:t>
      </w:r>
      <w:r w:rsidR="008A2E57" w:rsidRPr="009A6E6F">
        <w:rPr>
          <w:i/>
        </w:rPr>
        <w:t xml:space="preserve">) </w:t>
      </w:r>
      <w:r w:rsidR="009A38BE" w:rsidRPr="009A6E6F">
        <w:rPr>
          <w:i/>
        </w:rPr>
        <w:t xml:space="preserve">Amendment </w:t>
      </w:r>
      <w:r w:rsidR="000509BA" w:rsidRPr="009A6E6F">
        <w:rPr>
          <w:i/>
        </w:rPr>
        <w:t>(Introductions of 10</w:t>
      </w:r>
      <w:r w:rsidR="00C807D3" w:rsidRPr="009A6E6F">
        <w:rPr>
          <w:i/>
        </w:rPr>
        <w:t xml:space="preserve"> </w:t>
      </w:r>
      <w:r w:rsidR="00F21D1D" w:rsidRPr="009A6E6F">
        <w:rPr>
          <w:i/>
        </w:rPr>
        <w:t>k</w:t>
      </w:r>
      <w:r w:rsidR="000509BA" w:rsidRPr="009A6E6F">
        <w:rPr>
          <w:i/>
        </w:rPr>
        <w:t>g or Less</w:t>
      </w:r>
      <w:r w:rsidR="008A2E57" w:rsidRPr="009A6E6F">
        <w:rPr>
          <w:i/>
        </w:rPr>
        <w:t>)</w:t>
      </w:r>
      <w:r w:rsidR="00B73171" w:rsidRPr="009A6E6F">
        <w:rPr>
          <w:i/>
        </w:rPr>
        <w:t xml:space="preserve"> </w:t>
      </w:r>
      <w:r w:rsidRPr="009A6E6F">
        <w:rPr>
          <w:i/>
        </w:rPr>
        <w:t>Rules 202</w:t>
      </w:r>
      <w:r w:rsidR="008A2E57" w:rsidRPr="009A6E6F">
        <w:rPr>
          <w:i/>
        </w:rPr>
        <w:t>2</w:t>
      </w:r>
    </w:p>
    <w:p w14:paraId="13606BB2" w14:textId="77777777" w:rsidR="00135653" w:rsidRPr="009A6E6F" w:rsidRDefault="00135653" w:rsidP="00AB1D6C">
      <w:pPr>
        <w:jc w:val="center"/>
        <w:rPr>
          <w:i/>
        </w:rPr>
      </w:pPr>
    </w:p>
    <w:p w14:paraId="58C3D4DA" w14:textId="77777777" w:rsidR="003A6026" w:rsidRPr="009A6E6F" w:rsidRDefault="003A6026" w:rsidP="003A6026">
      <w:pPr>
        <w:rPr>
          <w:b/>
          <w:bCs/>
        </w:rPr>
      </w:pPr>
      <w:r w:rsidRPr="009A6E6F">
        <w:rPr>
          <w:b/>
          <w:bCs/>
        </w:rPr>
        <w:t>Authority</w:t>
      </w:r>
      <w:r w:rsidR="00D510D1" w:rsidRPr="009A6E6F">
        <w:rPr>
          <w:b/>
          <w:bCs/>
        </w:rPr>
        <w:t xml:space="preserve"> </w:t>
      </w:r>
    </w:p>
    <w:p w14:paraId="0BB145B3" w14:textId="77777777" w:rsidR="008A2E57" w:rsidRPr="009A6E6F" w:rsidRDefault="008A2E57" w:rsidP="00242BFC">
      <w:pPr>
        <w:rPr>
          <w:lang w:val="en-US"/>
        </w:rPr>
      </w:pPr>
    </w:p>
    <w:p w14:paraId="27C0EABF" w14:textId="5BECAF68" w:rsidR="00744A8B" w:rsidRPr="009A6E6F" w:rsidRDefault="00744A8B" w:rsidP="00744A8B">
      <w:pPr>
        <w:rPr>
          <w:lang w:val="en-US"/>
        </w:rPr>
      </w:pPr>
      <w:r w:rsidRPr="009A6E6F">
        <w:rPr>
          <w:lang w:val="en-US"/>
        </w:rPr>
        <w:t xml:space="preserve">The </w:t>
      </w:r>
      <w:r w:rsidRPr="009A6E6F">
        <w:rPr>
          <w:i/>
          <w:iCs/>
          <w:lang w:val="en-US"/>
        </w:rPr>
        <w:t>Industrial Chemicals Act 2019</w:t>
      </w:r>
      <w:r w:rsidRPr="009A6E6F">
        <w:rPr>
          <w:lang w:val="en-US"/>
        </w:rPr>
        <w:t xml:space="preserve"> (IC Act) establishes the </w:t>
      </w:r>
      <w:r w:rsidRPr="009A6E6F">
        <w:t xml:space="preserve">Australian Industrial Chemicals Introduction Scheme (AICIS), </w:t>
      </w:r>
      <w:r w:rsidRPr="009A6E6F">
        <w:rPr>
          <w:lang w:val="en-US"/>
        </w:rPr>
        <w:t>a risk-based scheme for the Commonwealth regulation of the introduction of industrial chemicals into Australia.</w:t>
      </w:r>
    </w:p>
    <w:p w14:paraId="44773C6E" w14:textId="77777777" w:rsidR="00194C34" w:rsidRPr="009A6E6F" w:rsidRDefault="00194C34" w:rsidP="00744A8B"/>
    <w:p w14:paraId="163578F4" w14:textId="549607BD" w:rsidR="008C7227" w:rsidRPr="009A6E6F" w:rsidRDefault="00744A8B" w:rsidP="00744A8B">
      <w:r w:rsidRPr="009A6E6F">
        <w:t xml:space="preserve">Section 180 of the IC Act provides that the Minister may make rules prescribing matters required or permitted by the Act, or necessary or convenient for carrying out or giving effect to the Act.  </w:t>
      </w:r>
    </w:p>
    <w:p w14:paraId="1AB3BE05" w14:textId="77777777" w:rsidR="00744A8B" w:rsidRPr="009A6E6F" w:rsidRDefault="00744A8B" w:rsidP="00744A8B"/>
    <w:p w14:paraId="35390ACC" w14:textId="77777777" w:rsidR="00C546D6" w:rsidRPr="009A6E6F" w:rsidRDefault="00C546D6" w:rsidP="003A6026">
      <w:pPr>
        <w:rPr>
          <w:b/>
          <w:bCs/>
        </w:rPr>
      </w:pPr>
      <w:r w:rsidRPr="009A6E6F">
        <w:rPr>
          <w:b/>
          <w:bCs/>
        </w:rPr>
        <w:t>Purpose</w:t>
      </w:r>
    </w:p>
    <w:p w14:paraId="3042B4CA" w14:textId="2422C0DF" w:rsidR="00490DDD" w:rsidRPr="009A6E6F" w:rsidRDefault="00490DDD" w:rsidP="00862D29">
      <w:pPr>
        <w:rPr>
          <w:shd w:val="clear" w:color="auto" w:fill="FFFFFF"/>
        </w:rPr>
      </w:pPr>
    </w:p>
    <w:p w14:paraId="24F0E8A2" w14:textId="7822658C" w:rsidR="00490DDD" w:rsidRPr="009A6E6F" w:rsidRDefault="00490DDD" w:rsidP="00490DDD">
      <w:pPr>
        <w:rPr>
          <w:shd w:val="clear" w:color="auto" w:fill="FFFFFF"/>
        </w:rPr>
      </w:pPr>
      <w:r w:rsidRPr="009A6E6F">
        <w:rPr>
          <w:shd w:val="clear" w:color="auto" w:fill="FFFFFF"/>
        </w:rPr>
        <w:t xml:space="preserve">The </w:t>
      </w:r>
      <w:r w:rsidRPr="009A6E6F">
        <w:rPr>
          <w:i/>
          <w:iCs/>
          <w:shd w:val="clear" w:color="auto" w:fill="FFFFFF"/>
        </w:rPr>
        <w:t>Industrial Chemicals (General) Rules 2019</w:t>
      </w:r>
      <w:r w:rsidRPr="009A6E6F">
        <w:rPr>
          <w:shd w:val="clear" w:color="auto" w:fill="FFFFFF"/>
        </w:rPr>
        <w:t xml:space="preserve"> (</w:t>
      </w:r>
      <w:r w:rsidR="00381E53" w:rsidRPr="009A6E6F">
        <w:rPr>
          <w:shd w:val="clear" w:color="auto" w:fill="FFFFFF"/>
        </w:rPr>
        <w:t xml:space="preserve">General </w:t>
      </w:r>
      <w:r w:rsidRPr="009A6E6F">
        <w:rPr>
          <w:shd w:val="clear" w:color="auto" w:fill="FFFFFF"/>
        </w:rPr>
        <w:t xml:space="preserve">Rules) form part of the legislative framework to establish a risk-based regulatory scheme for the introduction of industrial chemicals in Australia as well as </w:t>
      </w:r>
      <w:r w:rsidRPr="009A6E6F">
        <w:t xml:space="preserve">setting out the technical and operational details of </w:t>
      </w:r>
      <w:r w:rsidR="00E917B0" w:rsidRPr="009A6E6F">
        <w:t xml:space="preserve">the </w:t>
      </w:r>
      <w:r w:rsidRPr="009A6E6F">
        <w:t>AICIS.</w:t>
      </w:r>
    </w:p>
    <w:p w14:paraId="192D4AC6" w14:textId="77777777" w:rsidR="00490DDD" w:rsidRPr="009A6E6F" w:rsidRDefault="00490DDD" w:rsidP="00862D29">
      <w:pPr>
        <w:rPr>
          <w:shd w:val="clear" w:color="auto" w:fill="FFFFFF"/>
        </w:rPr>
      </w:pPr>
    </w:p>
    <w:p w14:paraId="0586C12F" w14:textId="769B927E" w:rsidR="00FA6C18" w:rsidRPr="009A6E6F" w:rsidRDefault="0342F713" w:rsidP="00CE3BF3">
      <w:r w:rsidRPr="009A6E6F">
        <w:t xml:space="preserve">The objectives of the industrial </w:t>
      </w:r>
      <w:proofErr w:type="gramStart"/>
      <w:r w:rsidRPr="009A6E6F">
        <w:t>chemicals</w:t>
      </w:r>
      <w:proofErr w:type="gramEnd"/>
      <w:r w:rsidRPr="009A6E6F">
        <w:t xml:space="preserve"> legislation regarding the protection of human health and the environment remain unchanged. The </w:t>
      </w:r>
      <w:r w:rsidR="4B009D3A" w:rsidRPr="009A6E6F">
        <w:t xml:space="preserve">General </w:t>
      </w:r>
      <w:r w:rsidRPr="009A6E6F">
        <w:t>Rules made by the Minister</w:t>
      </w:r>
      <w:r w:rsidR="5E1BA98C" w:rsidRPr="009A6E6F">
        <w:t xml:space="preserve"> </w:t>
      </w:r>
      <w:r w:rsidRPr="009A6E6F">
        <w:t>allow flexibility to adapt to scientific and regulatory developments within these objectives</w:t>
      </w:r>
      <w:r w:rsidR="7C394334" w:rsidRPr="009A6E6F">
        <w:t>.</w:t>
      </w:r>
    </w:p>
    <w:p w14:paraId="1760B6E3" w14:textId="77777777" w:rsidR="0022435A" w:rsidRPr="009A6E6F" w:rsidRDefault="0022435A" w:rsidP="00744A8B"/>
    <w:p w14:paraId="49F966A8" w14:textId="1BEBD697" w:rsidR="00744A8B" w:rsidRPr="009A6E6F" w:rsidRDefault="1E8BE055" w:rsidP="00744A8B">
      <w:r w:rsidRPr="009A6E6F">
        <w:t xml:space="preserve">The </w:t>
      </w:r>
      <w:r w:rsidR="2CF5FFD7" w:rsidRPr="009A6E6F">
        <w:rPr>
          <w:i/>
          <w:iCs/>
        </w:rPr>
        <w:t>Industrial Chemicals (General) Amendment (</w:t>
      </w:r>
      <w:r w:rsidR="1588E233" w:rsidRPr="009A6E6F">
        <w:rPr>
          <w:i/>
          <w:iCs/>
        </w:rPr>
        <w:t>Introductions of 10</w:t>
      </w:r>
      <w:r w:rsidR="78D2CD06" w:rsidRPr="009A6E6F">
        <w:rPr>
          <w:i/>
          <w:iCs/>
        </w:rPr>
        <w:t xml:space="preserve"> k</w:t>
      </w:r>
      <w:r w:rsidR="1588E233" w:rsidRPr="009A6E6F">
        <w:rPr>
          <w:i/>
          <w:iCs/>
        </w:rPr>
        <w:t>g or Less</w:t>
      </w:r>
      <w:r w:rsidR="2CF5FFD7" w:rsidRPr="009A6E6F">
        <w:rPr>
          <w:i/>
          <w:iCs/>
        </w:rPr>
        <w:t xml:space="preserve">) Rules 2022 </w:t>
      </w:r>
      <w:r w:rsidR="36BB7E30" w:rsidRPr="009A6E6F">
        <w:t>(</w:t>
      </w:r>
      <w:r w:rsidRPr="009A6E6F">
        <w:t>Amending Rules</w:t>
      </w:r>
      <w:r w:rsidR="36BB7E30" w:rsidRPr="009A6E6F">
        <w:t>)</w:t>
      </w:r>
      <w:r w:rsidRPr="009A6E6F">
        <w:t xml:space="preserve"> </w:t>
      </w:r>
      <w:r w:rsidR="1E698BF0" w:rsidRPr="009A6E6F">
        <w:t xml:space="preserve">make </w:t>
      </w:r>
      <w:r w:rsidR="0408BD08" w:rsidRPr="009A6E6F">
        <w:t>several</w:t>
      </w:r>
      <w:r w:rsidR="1E698BF0" w:rsidRPr="009A6E6F">
        <w:t xml:space="preserve"> amendments to the </w:t>
      </w:r>
      <w:r w:rsidR="7E0F28F0" w:rsidRPr="009A6E6F">
        <w:t xml:space="preserve">General </w:t>
      </w:r>
      <w:r w:rsidR="1E698BF0" w:rsidRPr="009A6E6F">
        <w:t xml:space="preserve">Rules to </w:t>
      </w:r>
      <w:r w:rsidR="5D4EC1BF" w:rsidRPr="009A6E6F">
        <w:t>ensure the requirements for lower volume chemical introductions are appropriate and risk proportionate</w:t>
      </w:r>
      <w:r w:rsidR="1E698BF0" w:rsidRPr="009A6E6F">
        <w:t>. The amendments relate to the following matters:</w:t>
      </w:r>
    </w:p>
    <w:p w14:paraId="05C31880" w14:textId="1652890A" w:rsidR="001F4993" w:rsidRPr="009A6E6F" w:rsidRDefault="001F4993" w:rsidP="001F4993">
      <w:pPr>
        <w:pStyle w:val="ListParagraph"/>
        <w:numPr>
          <w:ilvl w:val="0"/>
          <w:numId w:val="30"/>
        </w:numPr>
      </w:pPr>
      <w:r w:rsidRPr="009A6E6F">
        <w:rPr>
          <w:shd w:val="clear" w:color="auto" w:fill="FFFFFF"/>
        </w:rPr>
        <w:t xml:space="preserve">circumstances </w:t>
      </w:r>
      <w:r w:rsidR="37756E6B" w:rsidRPr="009A6E6F">
        <w:rPr>
          <w:shd w:val="clear" w:color="auto" w:fill="FFFFFF"/>
        </w:rPr>
        <w:t>in which</w:t>
      </w:r>
      <w:r w:rsidRPr="009A6E6F">
        <w:rPr>
          <w:shd w:val="clear" w:color="auto" w:fill="FFFFFF"/>
        </w:rPr>
        <w:t xml:space="preserve"> introductions of industrial chemicals, where the</w:t>
      </w:r>
      <w:r w:rsidRPr="009A6E6F">
        <w:t xml:space="preserve"> total volume of a chemical introduced, by a person in a registration year, does not exceed 10 kg</w:t>
      </w:r>
      <w:r w:rsidR="068E44DB" w:rsidRPr="009A6E6F">
        <w:t>, can be reported introductions</w:t>
      </w:r>
    </w:p>
    <w:p w14:paraId="344383D0" w14:textId="775FF735" w:rsidR="001F4993" w:rsidRPr="009A6E6F" w:rsidRDefault="001F4993" w:rsidP="001F4993">
      <w:pPr>
        <w:pStyle w:val="ListParagraph"/>
        <w:numPr>
          <w:ilvl w:val="0"/>
          <w:numId w:val="30"/>
        </w:numPr>
      </w:pPr>
      <w:r w:rsidRPr="009A6E6F">
        <w:rPr>
          <w:shd w:val="clear" w:color="auto" w:fill="FFFFFF"/>
        </w:rPr>
        <w:t xml:space="preserve">pre-introduction report requirements </w:t>
      </w:r>
      <w:r w:rsidR="7136B74D" w:rsidRPr="009A6E6F">
        <w:rPr>
          <w:shd w:val="clear" w:color="auto" w:fill="FFFFFF"/>
        </w:rPr>
        <w:t>that can apply to</w:t>
      </w:r>
      <w:r w:rsidRPr="009A6E6F">
        <w:rPr>
          <w:shd w:val="clear" w:color="auto" w:fill="FFFFFF"/>
        </w:rPr>
        <w:t xml:space="preserve"> reported </w:t>
      </w:r>
      <w:r w:rsidRPr="009A6E6F">
        <w:t>introductions of 10 kg or less of an industrial chemical</w:t>
      </w:r>
      <w:r w:rsidR="77191B8F" w:rsidRPr="009A6E6F">
        <w:t xml:space="preserve"> in a registration year</w:t>
      </w:r>
    </w:p>
    <w:p w14:paraId="35C71674" w14:textId="379B9D65" w:rsidR="00CF5EC2" w:rsidRPr="009A6E6F" w:rsidRDefault="001F4993" w:rsidP="00CF5EC2">
      <w:pPr>
        <w:pStyle w:val="ListParagraph"/>
        <w:numPr>
          <w:ilvl w:val="0"/>
          <w:numId w:val="30"/>
        </w:numPr>
        <w:rPr>
          <w:shd w:val="clear" w:color="auto" w:fill="FFFFFF"/>
        </w:rPr>
      </w:pPr>
      <w:r w:rsidRPr="009A6E6F">
        <w:rPr>
          <w:rStyle w:val="charparttext"/>
          <w:shd w:val="clear" w:color="auto" w:fill="FFFFFF"/>
        </w:rPr>
        <w:t xml:space="preserve">record keeping requirements </w:t>
      </w:r>
      <w:r w:rsidR="7A53834E" w:rsidRPr="009A6E6F">
        <w:rPr>
          <w:rStyle w:val="charparttext"/>
          <w:shd w:val="clear" w:color="auto" w:fill="FFFFFF"/>
        </w:rPr>
        <w:t>that can apply to</w:t>
      </w:r>
      <w:r w:rsidRPr="009A6E6F">
        <w:rPr>
          <w:rStyle w:val="charparttext"/>
          <w:shd w:val="clear" w:color="auto" w:fill="FFFFFF"/>
        </w:rPr>
        <w:t xml:space="preserve"> reported introductions</w:t>
      </w:r>
      <w:r w:rsidR="00CF5EC2" w:rsidRPr="009A6E6F">
        <w:rPr>
          <w:rStyle w:val="charparttext"/>
          <w:shd w:val="clear" w:color="auto" w:fill="FFFFFF"/>
        </w:rPr>
        <w:t xml:space="preserve"> </w:t>
      </w:r>
      <w:r w:rsidRPr="009A6E6F">
        <w:t>of 10 kg or less of an industrial chemical</w:t>
      </w:r>
      <w:r w:rsidR="0CC76C33" w:rsidRPr="009A6E6F">
        <w:t xml:space="preserve"> in a registration year</w:t>
      </w:r>
    </w:p>
    <w:p w14:paraId="3FD1878D" w14:textId="4C68F174" w:rsidR="00CF5EC2" w:rsidRPr="009A6E6F" w:rsidRDefault="00CF5EC2" w:rsidP="00CF5EC2">
      <w:pPr>
        <w:pStyle w:val="ListParagraph"/>
        <w:numPr>
          <w:ilvl w:val="0"/>
          <w:numId w:val="30"/>
        </w:numPr>
        <w:rPr>
          <w:shd w:val="clear" w:color="auto" w:fill="FFFFFF"/>
        </w:rPr>
      </w:pPr>
      <w:r w:rsidRPr="009A6E6F">
        <w:t xml:space="preserve">record keeping requirements </w:t>
      </w:r>
      <w:r w:rsidR="64567B84" w:rsidRPr="009A6E6F">
        <w:t xml:space="preserve">that can apply to </w:t>
      </w:r>
      <w:r w:rsidRPr="009A6E6F">
        <w:t>listed introductions of 10 kg or less of an industrial chemical</w:t>
      </w:r>
      <w:r w:rsidR="1428FEF5" w:rsidRPr="009A6E6F">
        <w:t xml:space="preserve"> in a registration year</w:t>
      </w:r>
    </w:p>
    <w:p w14:paraId="2F407C20" w14:textId="6B4FB571" w:rsidR="00744A8B" w:rsidRPr="009A6E6F" w:rsidRDefault="00CF5EC2" w:rsidP="2305E1D4">
      <w:pPr>
        <w:numPr>
          <w:ilvl w:val="0"/>
          <w:numId w:val="21"/>
        </w:numPr>
        <w:rPr>
          <w:rFonts w:cs="Calibri"/>
        </w:rPr>
      </w:pPr>
      <w:r w:rsidRPr="009A6E6F">
        <w:rPr>
          <w:rFonts w:cs="Calibri"/>
        </w:rPr>
        <w:t xml:space="preserve">minor updates and corrections relating to </w:t>
      </w:r>
      <w:r w:rsidR="001D376C" w:rsidRPr="009A6E6F">
        <w:rPr>
          <w:rFonts w:cs="Calibri"/>
        </w:rPr>
        <w:t>wording</w:t>
      </w:r>
      <w:r w:rsidRPr="009A6E6F">
        <w:rPr>
          <w:rFonts w:cs="Calibri"/>
        </w:rPr>
        <w:t xml:space="preserve">, referencing within and between </w:t>
      </w:r>
      <w:r w:rsidR="007C388A" w:rsidRPr="009A6E6F">
        <w:rPr>
          <w:rFonts w:cs="Calibri"/>
        </w:rPr>
        <w:t>provisions</w:t>
      </w:r>
      <w:r w:rsidRPr="009A6E6F">
        <w:rPr>
          <w:rFonts w:cs="Calibri"/>
        </w:rPr>
        <w:t>, a</w:t>
      </w:r>
      <w:r w:rsidR="00381E53" w:rsidRPr="009A6E6F">
        <w:rPr>
          <w:rFonts w:cs="Calibri"/>
        </w:rPr>
        <w:t xml:space="preserve">s well </w:t>
      </w:r>
      <w:r w:rsidR="480BAFC6" w:rsidRPr="009A6E6F">
        <w:rPr>
          <w:rFonts w:cs="Calibri"/>
        </w:rPr>
        <w:t xml:space="preserve">as </w:t>
      </w:r>
      <w:r w:rsidR="007C388A" w:rsidRPr="009A6E6F">
        <w:rPr>
          <w:rFonts w:cs="Calibri"/>
        </w:rPr>
        <w:t>provision</w:t>
      </w:r>
      <w:r w:rsidRPr="009A6E6F">
        <w:rPr>
          <w:rFonts w:cs="Calibri"/>
        </w:rPr>
        <w:t xml:space="preserve"> numbering</w:t>
      </w:r>
      <w:r w:rsidR="00381E53" w:rsidRPr="009A6E6F">
        <w:rPr>
          <w:rFonts w:cs="Calibri"/>
        </w:rPr>
        <w:t>, and</w:t>
      </w:r>
    </w:p>
    <w:p w14:paraId="7BE26069" w14:textId="4C28BB13" w:rsidR="001F4993" w:rsidRPr="009A6E6F" w:rsidRDefault="00381E53" w:rsidP="001F4993">
      <w:pPr>
        <w:pStyle w:val="ListParagraph"/>
        <w:numPr>
          <w:ilvl w:val="0"/>
          <w:numId w:val="21"/>
        </w:numPr>
      </w:pPr>
      <w:r w:rsidRPr="009A6E6F">
        <w:t xml:space="preserve">the </w:t>
      </w:r>
      <w:r w:rsidR="001F4993" w:rsidRPr="009A6E6F">
        <w:t xml:space="preserve">addition of definitions which are referenced in newly added </w:t>
      </w:r>
      <w:r w:rsidR="007C388A" w:rsidRPr="009A6E6F">
        <w:t>provisions</w:t>
      </w:r>
      <w:r w:rsidR="00CF5EC2" w:rsidRPr="009A6E6F">
        <w:t>.</w:t>
      </w:r>
    </w:p>
    <w:p w14:paraId="478C3B67" w14:textId="77777777" w:rsidR="00744A8B" w:rsidRPr="009A6E6F" w:rsidRDefault="00744A8B" w:rsidP="001F4993"/>
    <w:p w14:paraId="6CF34524" w14:textId="4D81C53B" w:rsidR="00885190" w:rsidRPr="009A6E6F" w:rsidRDefault="0408BD08" w:rsidP="2305E1D4">
      <w:r w:rsidRPr="009A6E6F">
        <w:t>The amendments w</w:t>
      </w:r>
      <w:r w:rsidR="7F9040D0" w:rsidRPr="009A6E6F">
        <w:t>ill</w:t>
      </w:r>
      <w:r w:rsidRPr="009A6E6F">
        <w:t xml:space="preserve"> assist industry by making </w:t>
      </w:r>
      <w:r w:rsidR="5690522D" w:rsidRPr="009A6E6F">
        <w:t xml:space="preserve">the requirements for introductions at volumes </w:t>
      </w:r>
      <w:r w:rsidRPr="009A6E6F">
        <w:t>of 10</w:t>
      </w:r>
      <w:r w:rsidR="78D2CD06" w:rsidRPr="009A6E6F">
        <w:t xml:space="preserve"> </w:t>
      </w:r>
      <w:r w:rsidRPr="009A6E6F">
        <w:t>kg or less</w:t>
      </w:r>
      <w:r w:rsidR="341BD89B" w:rsidRPr="009A6E6F">
        <w:t xml:space="preserve"> in a registration year</w:t>
      </w:r>
      <w:r w:rsidR="20027C2E" w:rsidRPr="009A6E6F">
        <w:t xml:space="preserve"> more appropriate and risk proportionate</w:t>
      </w:r>
      <w:r w:rsidRPr="009A6E6F">
        <w:t xml:space="preserve">. </w:t>
      </w:r>
      <w:r w:rsidRPr="009A6E6F">
        <w:lastRenderedPageBreak/>
        <w:t>The changes are expected to provide a benefit for introducers of chemicals at low</w:t>
      </w:r>
      <w:r w:rsidR="5DC4D6A0" w:rsidRPr="009A6E6F">
        <w:t>er</w:t>
      </w:r>
      <w:r w:rsidRPr="009A6E6F">
        <w:t xml:space="preserve"> volumes</w:t>
      </w:r>
      <w:r w:rsidR="34F85549" w:rsidRPr="009A6E6F">
        <w:t>.</w:t>
      </w:r>
      <w:r w:rsidRPr="009A6E6F">
        <w:t xml:space="preserve"> </w:t>
      </w:r>
      <w:r w:rsidR="5589DB60" w:rsidRPr="009A6E6F">
        <w:t>T</w:t>
      </w:r>
      <w:r w:rsidRPr="009A6E6F">
        <w:t xml:space="preserve">he amended </w:t>
      </w:r>
      <w:r w:rsidR="33D7F83C" w:rsidRPr="009A6E6F">
        <w:t xml:space="preserve">provisions </w:t>
      </w:r>
      <w:r w:rsidR="6DB43366" w:rsidRPr="009A6E6F">
        <w:t>ensure that:</w:t>
      </w:r>
    </w:p>
    <w:p w14:paraId="4BB079F4" w14:textId="77777777" w:rsidR="00885190" w:rsidRPr="009A6E6F" w:rsidRDefault="00885190" w:rsidP="00885190">
      <w:pPr>
        <w:pStyle w:val="ListParagraph"/>
        <w:numPr>
          <w:ilvl w:val="0"/>
          <w:numId w:val="44"/>
        </w:numPr>
      </w:pPr>
      <w:r w:rsidRPr="009A6E6F">
        <w:t>appropriate information is known about chemicals being introduced; and</w:t>
      </w:r>
    </w:p>
    <w:p w14:paraId="4C43537E" w14:textId="790ECC8A" w:rsidR="00885190" w:rsidRPr="009A6E6F" w:rsidRDefault="00885190" w:rsidP="00885190">
      <w:pPr>
        <w:pStyle w:val="ListParagraph"/>
        <w:numPr>
          <w:ilvl w:val="0"/>
          <w:numId w:val="44"/>
        </w:numPr>
      </w:pPr>
      <w:r w:rsidRPr="009A6E6F">
        <w:t xml:space="preserve">higher concern chemicals cannot be categorised as low risk (reported) introductions by accessing these amendments. </w:t>
      </w:r>
    </w:p>
    <w:p w14:paraId="5CC5108F" w14:textId="6F641962" w:rsidR="00885190" w:rsidRPr="009A6E6F" w:rsidRDefault="00885190" w:rsidP="00885190">
      <w:r w:rsidRPr="009A6E6F">
        <w:t>Instead of holding a written undertaking from the chemical supplier, where the CAS number (if assigned) and CAS name of the chemical is confidential, the introducer would need to know information that is more proportionate to the risk of introduction of a chemical at 10 kg or less.</w:t>
      </w:r>
    </w:p>
    <w:p w14:paraId="5289DCD8" w14:textId="77777777" w:rsidR="00885190" w:rsidRPr="009A6E6F" w:rsidRDefault="00885190" w:rsidP="00885190"/>
    <w:p w14:paraId="06E6EEAE" w14:textId="0F192414" w:rsidR="00CE3BF3" w:rsidRPr="009A6E6F" w:rsidRDefault="00CE3BF3" w:rsidP="00885190">
      <w:r w:rsidRPr="009A6E6F">
        <w:t>The exclusions for reported introductions would mean introductions of higher concern chemicals at volumes of 10 kg or less are likely to be categorised as medium to high risk, requiring an application for an assessment certificate to be made and finalised before introduction of these chemicals could be authorised.</w:t>
      </w:r>
    </w:p>
    <w:p w14:paraId="6C5DB831" w14:textId="77777777" w:rsidR="00FA6C18" w:rsidRPr="009A6E6F" w:rsidRDefault="00FA6C18" w:rsidP="003A6026">
      <w:pPr>
        <w:rPr>
          <w:b/>
          <w:bCs/>
        </w:rPr>
      </w:pPr>
    </w:p>
    <w:p w14:paraId="56355471" w14:textId="51DED351" w:rsidR="00C546D6" w:rsidRPr="009A6E6F" w:rsidRDefault="00BB171B" w:rsidP="003A6026">
      <w:pPr>
        <w:rPr>
          <w:b/>
          <w:bCs/>
        </w:rPr>
      </w:pPr>
      <w:r w:rsidRPr="009A6E6F">
        <w:rPr>
          <w:b/>
          <w:bCs/>
        </w:rPr>
        <w:t>Background</w:t>
      </w:r>
    </w:p>
    <w:p w14:paraId="17D56F7C" w14:textId="77777777" w:rsidR="00CE3BF3" w:rsidRPr="009A6E6F" w:rsidRDefault="00CE3BF3" w:rsidP="00F73C60"/>
    <w:p w14:paraId="3067AEB4" w14:textId="44794D4E" w:rsidR="00B12AE7" w:rsidRPr="009A6E6F" w:rsidRDefault="00B12AE7" w:rsidP="00F73C60">
      <w:r w:rsidRPr="009A6E6F">
        <w:t>At the commencement of AICIS on 1 July 2020, a period of transition commenced, providing time for introducers to ensure their compliance under the IC Act and related legislation.</w:t>
      </w:r>
    </w:p>
    <w:p w14:paraId="3C44E194" w14:textId="77777777" w:rsidR="00B12AE7" w:rsidRPr="009A6E6F" w:rsidRDefault="00B12AE7" w:rsidP="00F73C60"/>
    <w:p w14:paraId="615FAB21" w14:textId="515E17D4" w:rsidR="00F73C60" w:rsidRPr="009A6E6F" w:rsidRDefault="20066F21" w:rsidP="00F73C60">
      <w:r w:rsidRPr="009A6E6F">
        <w:t>The Department of Health and Aged Care received feedback from stakeholders in the industrial chemicals i</w:t>
      </w:r>
      <w:r w:rsidR="0342F713" w:rsidRPr="009A6E6F">
        <w:t xml:space="preserve">ndustry indicating that a significant number of introducers were unable to get the required information from their chemical suppliers to meet the categorisation and record-keeping requirements under </w:t>
      </w:r>
      <w:r w:rsidR="2A82C447" w:rsidRPr="009A6E6F">
        <w:t xml:space="preserve">the </w:t>
      </w:r>
      <w:r w:rsidR="0342F713" w:rsidRPr="009A6E6F">
        <w:t>AICIS before the end of the transition period on 31 August 2022.</w:t>
      </w:r>
    </w:p>
    <w:p w14:paraId="15D49473" w14:textId="77777777" w:rsidR="00F73C60" w:rsidRPr="009A6E6F" w:rsidRDefault="00F73C60" w:rsidP="00F73C60"/>
    <w:p w14:paraId="57CB0E5A" w14:textId="63A25A6B" w:rsidR="0048601A" w:rsidRPr="009A6E6F" w:rsidRDefault="00804361" w:rsidP="00F73C60">
      <w:r w:rsidRPr="009A6E6F">
        <w:t xml:space="preserve">The Department was </w:t>
      </w:r>
      <w:r w:rsidR="00F73C60" w:rsidRPr="009A6E6F">
        <w:t xml:space="preserve">advised that if an </w:t>
      </w:r>
      <w:r w:rsidR="00CB6C9B" w:rsidRPr="009A6E6F">
        <w:t xml:space="preserve">industrial chemical </w:t>
      </w:r>
      <w:r w:rsidR="00F73C60" w:rsidRPr="009A6E6F">
        <w:t xml:space="preserve">introducer is importing lower volumes of chemicals in a registration year, it is more difficult for them to persuade an overseas supplier to provide the information that they need to meet their current obligations under </w:t>
      </w:r>
      <w:r w:rsidR="00A36D26" w:rsidRPr="009A6E6F">
        <w:t xml:space="preserve">the </w:t>
      </w:r>
      <w:r w:rsidR="00F73C60" w:rsidRPr="009A6E6F">
        <w:t xml:space="preserve">AICIS, where information about the chemical is confidential or commercially sensitive. This is particularly true if there are multiple stages in the supply chain and/or if Australia’s requirements are </w:t>
      </w:r>
      <w:r w:rsidR="008C6854" w:rsidRPr="009A6E6F">
        <w:t>different to</w:t>
      </w:r>
      <w:r w:rsidR="00F73C60" w:rsidRPr="009A6E6F">
        <w:t xml:space="preserve"> the requirements of comparable international regulatory schemes. </w:t>
      </w:r>
    </w:p>
    <w:p w14:paraId="672FC12F" w14:textId="32791F3E" w:rsidR="0048601A" w:rsidRPr="009A6E6F" w:rsidRDefault="0048601A" w:rsidP="2305E1D4"/>
    <w:p w14:paraId="57D41352" w14:textId="696B9CA6" w:rsidR="0048601A" w:rsidRPr="009A6E6F" w:rsidRDefault="335D35E5" w:rsidP="00F73C60">
      <w:r w:rsidRPr="009A6E6F">
        <w:t>The proposed amendments are the outcome of broader considerations of what is reasonable and appropriate for introducers of chemicals at lower volumes to know and keep as records about their introductions, whilst maintaining protections for human health and the environment.</w:t>
      </w:r>
    </w:p>
    <w:p w14:paraId="299BCE84" w14:textId="2399BCE2" w:rsidR="0048601A" w:rsidRPr="009A6E6F" w:rsidRDefault="0048601A" w:rsidP="2305E1D4"/>
    <w:p w14:paraId="3775E463" w14:textId="4C5C564A" w:rsidR="00F73C60" w:rsidRPr="009A6E6F" w:rsidRDefault="00F73C60" w:rsidP="00F73C60">
      <w:r w:rsidRPr="009A6E6F">
        <w:t>Introductions of 10 kg or less of chemical in a registration year will generally be lower risk introductions, based on the lower levels of human and environmental exposure. The quality and type of information that introducers would need to know and keep for these lower-volume chemical introductions, under the</w:t>
      </w:r>
      <w:r w:rsidR="00CE3BF3" w:rsidRPr="009A6E6F">
        <w:t>se amendments</w:t>
      </w:r>
      <w:r w:rsidRPr="009A6E6F">
        <w:t xml:space="preserve">, </w:t>
      </w:r>
      <w:r w:rsidR="1EF8A324" w:rsidRPr="009A6E6F">
        <w:t>is</w:t>
      </w:r>
      <w:r w:rsidRPr="009A6E6F">
        <w:t xml:space="preserve"> appropriate and risk-proportionate. </w:t>
      </w:r>
    </w:p>
    <w:p w14:paraId="5D2780D3" w14:textId="77777777" w:rsidR="00D211D5" w:rsidRPr="009A6E6F" w:rsidRDefault="00D211D5" w:rsidP="00D211D5">
      <w:pPr>
        <w:rPr>
          <w:b/>
        </w:rPr>
      </w:pPr>
    </w:p>
    <w:p w14:paraId="4B3C5404" w14:textId="77777777" w:rsidR="009A1B3A" w:rsidRPr="009A6E6F" w:rsidRDefault="009A1B3A" w:rsidP="009A1B3A">
      <w:pPr>
        <w:rPr>
          <w:b/>
          <w:bCs/>
        </w:rPr>
      </w:pPr>
      <w:r w:rsidRPr="009A6E6F">
        <w:rPr>
          <w:b/>
          <w:bCs/>
        </w:rPr>
        <w:t>Consultation</w:t>
      </w:r>
    </w:p>
    <w:p w14:paraId="647002AE" w14:textId="77777777" w:rsidR="009A1B3A" w:rsidRPr="009A6E6F" w:rsidRDefault="009A1B3A" w:rsidP="009A1B3A">
      <w:pPr>
        <w:rPr>
          <w:u w:val="single"/>
        </w:rPr>
      </w:pPr>
    </w:p>
    <w:p w14:paraId="550CE9C3" w14:textId="7C570D27" w:rsidR="00E84167" w:rsidRPr="009A6E6F" w:rsidRDefault="1CCB9C20" w:rsidP="00E84167">
      <w:pPr>
        <w:ind w:right="198"/>
      </w:pPr>
      <w:r w:rsidRPr="009A6E6F">
        <w:t xml:space="preserve">Public consultation on an exposure draft of these Amending Rules was undertaken between </w:t>
      </w:r>
      <w:r w:rsidR="7E0F28F0" w:rsidRPr="009A6E6F">
        <w:t>26</w:t>
      </w:r>
      <w:r w:rsidRPr="009A6E6F">
        <w:t xml:space="preserve"> September 2022 and </w:t>
      </w:r>
      <w:r w:rsidR="7E0F28F0" w:rsidRPr="009A6E6F">
        <w:t>11</w:t>
      </w:r>
      <w:r w:rsidRPr="009A6E6F">
        <w:t xml:space="preserve"> October 2022 through the AICIS website. </w:t>
      </w:r>
      <w:r w:rsidR="24F6EB85" w:rsidRPr="009A6E6F">
        <w:t xml:space="preserve">A </w:t>
      </w:r>
      <w:r w:rsidR="310C7915" w:rsidRPr="009A6E6F">
        <w:t xml:space="preserve">total </w:t>
      </w:r>
      <w:r w:rsidR="310C7915" w:rsidRPr="009A6E6F">
        <w:lastRenderedPageBreak/>
        <w:t xml:space="preserve">of 41 submissions </w:t>
      </w:r>
      <w:r w:rsidR="24F6EB85" w:rsidRPr="009A6E6F">
        <w:t xml:space="preserve">were </w:t>
      </w:r>
      <w:r w:rsidR="310C7915" w:rsidRPr="009A6E6F">
        <w:t xml:space="preserve">made </w:t>
      </w:r>
      <w:r w:rsidR="24F6EB85" w:rsidRPr="009A6E6F">
        <w:t xml:space="preserve">verbally, via email, and </w:t>
      </w:r>
      <w:r w:rsidR="310C7915" w:rsidRPr="009A6E6F">
        <w:t xml:space="preserve">through the web form. Respondents were generally supportive of the proposed changes.  </w:t>
      </w:r>
    </w:p>
    <w:p w14:paraId="6B70B4FB" w14:textId="77777777" w:rsidR="00E84167" w:rsidRPr="009A6E6F" w:rsidRDefault="00E84167" w:rsidP="00E84167">
      <w:pPr>
        <w:ind w:right="198"/>
      </w:pPr>
    </w:p>
    <w:p w14:paraId="21B97439" w14:textId="77777777" w:rsidR="00DE1B24" w:rsidRPr="009A6E6F" w:rsidRDefault="00DE1B24" w:rsidP="00DE1B24">
      <w:pPr>
        <w:shd w:val="clear" w:color="auto" w:fill="FFFFFF"/>
      </w:pPr>
      <w:r w:rsidRPr="009A6E6F">
        <w:rPr>
          <w:b/>
          <w:bCs/>
        </w:rPr>
        <w:t>Reliance on subsection 33(3) of the </w:t>
      </w:r>
      <w:r w:rsidRPr="009A6E6F">
        <w:rPr>
          <w:b/>
          <w:bCs/>
          <w:i/>
          <w:iCs/>
        </w:rPr>
        <w:t>Acts Interpretation Act 1901</w:t>
      </w:r>
    </w:p>
    <w:p w14:paraId="62AC7B22" w14:textId="77777777" w:rsidR="00DE1B24" w:rsidRPr="009A6E6F" w:rsidRDefault="00DE1B24" w:rsidP="00DE1B24">
      <w:pPr>
        <w:shd w:val="clear" w:color="auto" w:fill="FFFFFF"/>
      </w:pPr>
      <w:r w:rsidRPr="009A6E6F">
        <w:t> </w:t>
      </w:r>
    </w:p>
    <w:p w14:paraId="0DFCABAF" w14:textId="3153145E" w:rsidR="00DE1B24" w:rsidRPr="009A6E6F" w:rsidRDefault="00DE1B24" w:rsidP="00DE1B24">
      <w:pPr>
        <w:shd w:val="clear" w:color="auto" w:fill="FFFFFF"/>
        <w:jc w:val="both"/>
      </w:pPr>
      <w:r w:rsidRPr="009A6E6F">
        <w:t>Under subsection 33(3) of the </w:t>
      </w:r>
      <w:r w:rsidRPr="009A6E6F">
        <w:rPr>
          <w:i/>
          <w:iCs/>
        </w:rPr>
        <w:t>Acts Interpretation Act 1901</w:t>
      </w:r>
      <w:r w:rsidRPr="009A6E6F">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5B41320A" w14:textId="77777777" w:rsidR="00DE1B24" w:rsidRPr="009A6E6F" w:rsidRDefault="00DE1B24" w:rsidP="00DE1B24">
      <w:pPr>
        <w:shd w:val="clear" w:color="auto" w:fill="FFFFFF"/>
        <w:jc w:val="both"/>
      </w:pPr>
    </w:p>
    <w:p w14:paraId="3686AAC5" w14:textId="29B30D5F" w:rsidR="006B1083" w:rsidRPr="009A6E6F" w:rsidRDefault="006B1083" w:rsidP="006B1083">
      <w:pPr>
        <w:rPr>
          <w:b/>
        </w:rPr>
      </w:pPr>
      <w:r w:rsidRPr="009A6E6F">
        <w:rPr>
          <w:b/>
        </w:rPr>
        <w:t>Regulatory impact assessment</w:t>
      </w:r>
    </w:p>
    <w:p w14:paraId="675205C1" w14:textId="77777777" w:rsidR="006B1083" w:rsidRPr="009A6E6F" w:rsidRDefault="006B1083" w:rsidP="006B1083">
      <w:pPr>
        <w:pStyle w:val="list1"/>
        <w:spacing w:before="0" w:after="0"/>
        <w:ind w:left="0" w:firstLine="0"/>
        <w:jc w:val="left"/>
        <w:rPr>
          <w:sz w:val="24"/>
          <w:szCs w:val="24"/>
        </w:rPr>
      </w:pPr>
    </w:p>
    <w:p w14:paraId="4FBDCDA4" w14:textId="6F63C154" w:rsidR="00E40452" w:rsidRPr="009A6E6F" w:rsidRDefault="00ED1A99" w:rsidP="006B1083">
      <w:r w:rsidRPr="009A6E6F">
        <w:t xml:space="preserve">In relation to this assessment, the Office of Best Practice Regulation (OBPR) advised that </w:t>
      </w:r>
      <w:r w:rsidR="00E8500D" w:rsidRPr="009A6E6F">
        <w:t>the proposal is unlikely to have a more than minor regulatory impact and the preparation of a regulatory impact statement is</w:t>
      </w:r>
      <w:r w:rsidRPr="009A6E6F">
        <w:t xml:space="preserve"> not required (</w:t>
      </w:r>
      <w:r w:rsidR="00E8500D" w:rsidRPr="009A6E6F">
        <w:t>OBPR22-03562</w:t>
      </w:r>
      <w:r w:rsidRPr="009A6E6F">
        <w:t>).</w:t>
      </w:r>
    </w:p>
    <w:p w14:paraId="329C4004" w14:textId="77777777" w:rsidR="000522B9" w:rsidRPr="009A6E6F" w:rsidRDefault="000522B9" w:rsidP="009A1B3A">
      <w:pPr>
        <w:ind w:right="198"/>
      </w:pPr>
    </w:p>
    <w:p w14:paraId="2F50B338" w14:textId="3A881E0C" w:rsidR="000522B9" w:rsidRPr="009A6E6F" w:rsidRDefault="000522B9" w:rsidP="00BB171B">
      <w:pPr>
        <w:rPr>
          <w:b/>
          <w:bCs/>
        </w:rPr>
      </w:pPr>
      <w:r w:rsidRPr="009A6E6F">
        <w:rPr>
          <w:b/>
          <w:bCs/>
        </w:rPr>
        <w:t>Commencement</w:t>
      </w:r>
    </w:p>
    <w:p w14:paraId="45F8360C" w14:textId="77777777" w:rsidR="000522B9" w:rsidRPr="009A6E6F" w:rsidRDefault="000522B9" w:rsidP="00BB171B">
      <w:pPr>
        <w:rPr>
          <w:u w:val="single"/>
        </w:rPr>
      </w:pPr>
    </w:p>
    <w:p w14:paraId="5E3E47DE" w14:textId="69466E3A" w:rsidR="000522B9" w:rsidRPr="009A6E6F" w:rsidRDefault="00FE6ECA" w:rsidP="00FE6ECA">
      <w:pPr>
        <w:rPr>
          <w:u w:val="single"/>
        </w:rPr>
      </w:pPr>
      <w:r w:rsidRPr="009A6E6F">
        <w:t xml:space="preserve">All provisions will commence </w:t>
      </w:r>
      <w:r w:rsidR="00E40452" w:rsidRPr="009A6E6F">
        <w:t xml:space="preserve">the day after </w:t>
      </w:r>
      <w:r w:rsidR="00DE1B24" w:rsidRPr="009A6E6F">
        <w:t>the Amending Rules are registered on the Federal Register of Legislation</w:t>
      </w:r>
      <w:r w:rsidRPr="009A6E6F">
        <w:t>.</w:t>
      </w:r>
    </w:p>
    <w:p w14:paraId="165803DD" w14:textId="77777777" w:rsidR="000522B9" w:rsidRPr="009A6E6F" w:rsidRDefault="000522B9" w:rsidP="00BB171B">
      <w:pPr>
        <w:rPr>
          <w:u w:val="single"/>
        </w:rPr>
      </w:pPr>
    </w:p>
    <w:p w14:paraId="4999048F" w14:textId="77777777" w:rsidR="000522B9" w:rsidRPr="009A6E6F" w:rsidRDefault="000522B9" w:rsidP="00BB171B">
      <w:pPr>
        <w:rPr>
          <w:b/>
          <w:bCs/>
        </w:rPr>
      </w:pPr>
      <w:r w:rsidRPr="009A6E6F">
        <w:rPr>
          <w:b/>
          <w:bCs/>
        </w:rPr>
        <w:t>Details</w:t>
      </w:r>
    </w:p>
    <w:p w14:paraId="0E50C289" w14:textId="77777777" w:rsidR="00FE6ECA" w:rsidRPr="009A6E6F" w:rsidRDefault="00FE6ECA" w:rsidP="00FE6ECA">
      <w:pPr>
        <w:rPr>
          <w:u w:val="single"/>
        </w:rPr>
      </w:pPr>
    </w:p>
    <w:p w14:paraId="4B43BA6A" w14:textId="77777777" w:rsidR="009A1B3A" w:rsidRPr="009A6E6F" w:rsidRDefault="00FE6ECA" w:rsidP="00045A15">
      <w:pPr>
        <w:tabs>
          <w:tab w:val="left" w:pos="6521"/>
        </w:tabs>
        <w:ind w:right="91"/>
      </w:pPr>
      <w:r w:rsidRPr="009A6E6F">
        <w:t xml:space="preserve">Details of the Amending Rules are set out in </w:t>
      </w:r>
      <w:r w:rsidRPr="009A6E6F">
        <w:rPr>
          <w:u w:val="single"/>
        </w:rPr>
        <w:t>Attachment A</w:t>
      </w:r>
      <w:r w:rsidRPr="009A6E6F">
        <w:t>.</w:t>
      </w:r>
    </w:p>
    <w:p w14:paraId="00535AA4" w14:textId="77777777" w:rsidR="003E4DED" w:rsidRPr="009A6E6F" w:rsidRDefault="003E4DED" w:rsidP="00BB171B">
      <w:pPr>
        <w:rPr>
          <w:i/>
          <w:iCs/>
        </w:rPr>
      </w:pPr>
    </w:p>
    <w:p w14:paraId="18C8E8CC" w14:textId="77777777" w:rsidR="000522B9" w:rsidRPr="009A6E6F" w:rsidRDefault="009A1B3A" w:rsidP="00205273">
      <w:r w:rsidRPr="009A6E6F">
        <w:rPr>
          <w:iCs/>
        </w:rPr>
        <w:t>The</w:t>
      </w:r>
      <w:r w:rsidRPr="009A6E6F">
        <w:t xml:space="preserve"> Amending </w:t>
      </w:r>
      <w:r w:rsidRPr="009A6E6F">
        <w:rPr>
          <w:iCs/>
        </w:rPr>
        <w:t>Rules are</w:t>
      </w:r>
      <w:r w:rsidRPr="009A6E6F">
        <w:t xml:space="preserve"> compatible with the human rights and freedoms recognised or declared under section 3 of the </w:t>
      </w:r>
      <w:r w:rsidRPr="009A6E6F">
        <w:rPr>
          <w:i/>
        </w:rPr>
        <w:t>Human Rights (Parliamentary Scrutiny) Act 2011.</w:t>
      </w:r>
      <w:r w:rsidRPr="009A6E6F">
        <w:t xml:space="preserve"> A full statement of compatibility is set out in </w:t>
      </w:r>
      <w:r w:rsidRPr="009A6E6F">
        <w:rPr>
          <w:u w:val="single"/>
        </w:rPr>
        <w:t>Attachment B</w:t>
      </w:r>
      <w:r w:rsidRPr="009A6E6F">
        <w:t>.</w:t>
      </w:r>
    </w:p>
    <w:p w14:paraId="6E979BD2" w14:textId="77777777" w:rsidR="000522B9" w:rsidRPr="009A6E6F" w:rsidRDefault="000522B9" w:rsidP="00205273"/>
    <w:p w14:paraId="4941BAF6" w14:textId="77777777" w:rsidR="007757EA" w:rsidRPr="009A6E6F" w:rsidRDefault="000522B9" w:rsidP="00205273">
      <w:pPr>
        <w:rPr>
          <w:b/>
        </w:rPr>
      </w:pPr>
      <w:r w:rsidRPr="009A6E6F">
        <w:t xml:space="preserve">The Amending Rules are a legislative instrument for the purposes of the </w:t>
      </w:r>
      <w:r w:rsidRPr="009A6E6F">
        <w:rPr>
          <w:i/>
          <w:iCs/>
        </w:rPr>
        <w:t>Legislation Act 2003.</w:t>
      </w:r>
      <w:r w:rsidRPr="009A6E6F">
        <w:t xml:space="preserve"> </w:t>
      </w:r>
      <w:r w:rsidR="00205273" w:rsidRPr="009A6E6F">
        <w:rPr>
          <w:i/>
          <w:u w:val="single"/>
        </w:rPr>
        <w:br w:type="page"/>
      </w:r>
    </w:p>
    <w:p w14:paraId="79AE3C2A" w14:textId="77777777" w:rsidR="00BB171B" w:rsidRPr="009A6E6F" w:rsidRDefault="007757EA" w:rsidP="007757EA">
      <w:pPr>
        <w:jc w:val="right"/>
        <w:rPr>
          <w:b/>
        </w:rPr>
      </w:pPr>
      <w:r w:rsidRPr="009A6E6F">
        <w:rPr>
          <w:b/>
        </w:rPr>
        <w:lastRenderedPageBreak/>
        <w:t>ATTACHMENT</w:t>
      </w:r>
      <w:r w:rsidR="003E4DED" w:rsidRPr="009A6E6F">
        <w:rPr>
          <w:b/>
        </w:rPr>
        <w:t xml:space="preserve"> A</w:t>
      </w:r>
    </w:p>
    <w:p w14:paraId="2C471E6E" w14:textId="77777777" w:rsidR="007757EA" w:rsidRPr="009A6E6F" w:rsidRDefault="007757EA" w:rsidP="007757EA">
      <w:pPr>
        <w:jc w:val="right"/>
        <w:rPr>
          <w:b/>
        </w:rPr>
      </w:pPr>
    </w:p>
    <w:p w14:paraId="3C1C382D" w14:textId="77777777" w:rsidR="00DD3639" w:rsidRPr="009A6E6F" w:rsidRDefault="00DD3639" w:rsidP="008F251A">
      <w:pPr>
        <w:rPr>
          <w:b/>
          <w:u w:val="single"/>
        </w:rPr>
      </w:pPr>
    </w:p>
    <w:p w14:paraId="4E351026" w14:textId="256D4F6E" w:rsidR="008F251A" w:rsidRPr="009A6E6F" w:rsidRDefault="007757EA" w:rsidP="008F251A">
      <w:pPr>
        <w:rPr>
          <w:b/>
          <w:i/>
          <w:iCs/>
          <w:u w:val="single"/>
        </w:rPr>
      </w:pPr>
      <w:r w:rsidRPr="009A6E6F">
        <w:rPr>
          <w:b/>
          <w:u w:val="single"/>
        </w:rPr>
        <w:t>Details of the</w:t>
      </w:r>
      <w:r w:rsidRPr="009A6E6F">
        <w:rPr>
          <w:b/>
          <w:i/>
          <w:iCs/>
          <w:u w:val="single"/>
        </w:rPr>
        <w:t xml:space="preserve"> </w:t>
      </w:r>
      <w:r w:rsidR="008F251A" w:rsidRPr="009A6E6F">
        <w:rPr>
          <w:b/>
          <w:i/>
          <w:iCs/>
          <w:u w:val="single"/>
        </w:rPr>
        <w:t>Industrial Chemicals (General) Amendment (</w:t>
      </w:r>
      <w:r w:rsidR="00490DDD" w:rsidRPr="009A6E6F">
        <w:rPr>
          <w:b/>
          <w:i/>
          <w:iCs/>
          <w:u w:val="single"/>
        </w:rPr>
        <w:t>Introductions of 10</w:t>
      </w:r>
      <w:r w:rsidR="00C807D3" w:rsidRPr="009A6E6F">
        <w:rPr>
          <w:b/>
          <w:i/>
          <w:iCs/>
          <w:u w:val="single"/>
        </w:rPr>
        <w:t xml:space="preserve"> k</w:t>
      </w:r>
      <w:r w:rsidR="00490DDD" w:rsidRPr="009A6E6F">
        <w:rPr>
          <w:b/>
          <w:i/>
          <w:iCs/>
          <w:u w:val="single"/>
        </w:rPr>
        <w:t>g or Less</w:t>
      </w:r>
      <w:r w:rsidR="008F251A" w:rsidRPr="009A6E6F">
        <w:rPr>
          <w:b/>
          <w:i/>
          <w:iCs/>
          <w:u w:val="single"/>
        </w:rPr>
        <w:t>) Rules 2022</w:t>
      </w:r>
    </w:p>
    <w:p w14:paraId="3F672F83" w14:textId="64B966E2" w:rsidR="007757EA" w:rsidRPr="009A6E6F" w:rsidRDefault="007757EA" w:rsidP="007757EA">
      <w:pPr>
        <w:rPr>
          <w:b/>
          <w:i/>
          <w:u w:val="single"/>
        </w:rPr>
      </w:pPr>
    </w:p>
    <w:p w14:paraId="74968E5A" w14:textId="77777777" w:rsidR="007757EA" w:rsidRPr="009A6E6F" w:rsidRDefault="007757EA" w:rsidP="007757EA">
      <w:pPr>
        <w:rPr>
          <w:i/>
          <w:u w:val="single"/>
        </w:rPr>
      </w:pPr>
    </w:p>
    <w:p w14:paraId="4EE003C3" w14:textId="77777777" w:rsidR="007757EA" w:rsidRPr="009A6E6F" w:rsidRDefault="0020561D" w:rsidP="0020561D">
      <w:pPr>
        <w:rPr>
          <w:b/>
        </w:rPr>
      </w:pPr>
      <w:r w:rsidRPr="009A6E6F">
        <w:rPr>
          <w:b/>
        </w:rPr>
        <w:t>Section 1</w:t>
      </w:r>
      <w:r w:rsidRPr="009A6E6F">
        <w:rPr>
          <w:b/>
        </w:rPr>
        <w:tab/>
      </w:r>
      <w:r w:rsidR="007757EA" w:rsidRPr="009A6E6F">
        <w:rPr>
          <w:b/>
        </w:rPr>
        <w:t xml:space="preserve">Name of </w:t>
      </w:r>
      <w:r w:rsidR="003E4DED" w:rsidRPr="009A6E6F">
        <w:rPr>
          <w:b/>
        </w:rPr>
        <w:t>the Instrument</w:t>
      </w:r>
    </w:p>
    <w:p w14:paraId="02FD2D6E" w14:textId="02871CAD" w:rsidR="00B73171" w:rsidRPr="009A6E6F" w:rsidRDefault="00142BE0" w:rsidP="00B73171">
      <w:pPr>
        <w:rPr>
          <w:b/>
          <w:i/>
          <w:u w:val="single"/>
        </w:rPr>
      </w:pPr>
      <w:r w:rsidRPr="009A6E6F">
        <w:t>Section</w:t>
      </w:r>
      <w:r w:rsidR="00A9134B" w:rsidRPr="009A6E6F">
        <w:t xml:space="preserve"> 1 states that the name of the </w:t>
      </w:r>
      <w:r w:rsidR="00105FF2" w:rsidRPr="009A6E6F">
        <w:t xml:space="preserve">instrument is the </w:t>
      </w:r>
      <w:r w:rsidR="00047EBA" w:rsidRPr="009A6E6F">
        <w:rPr>
          <w:i/>
        </w:rPr>
        <w:fldChar w:fldCharType="begin"/>
      </w:r>
      <w:r w:rsidR="00047EBA" w:rsidRPr="009A6E6F">
        <w:rPr>
          <w:i/>
        </w:rPr>
        <w:instrText xml:space="preserve"> STYLEREF  ShortT </w:instrText>
      </w:r>
      <w:r w:rsidR="00047EBA" w:rsidRPr="009A6E6F">
        <w:rPr>
          <w:i/>
        </w:rPr>
        <w:fldChar w:fldCharType="separate"/>
      </w:r>
      <w:r w:rsidR="00047EBA" w:rsidRPr="009A6E6F">
        <w:rPr>
          <w:i/>
          <w:noProof/>
        </w:rPr>
        <w:t>Industrial Chemicals (General) Amendment (</w:t>
      </w:r>
      <w:r w:rsidR="00490DDD" w:rsidRPr="009A6E6F">
        <w:rPr>
          <w:i/>
          <w:noProof/>
        </w:rPr>
        <w:t>Introductions of 1</w:t>
      </w:r>
      <w:r w:rsidR="00C807D3" w:rsidRPr="009A6E6F">
        <w:rPr>
          <w:i/>
          <w:noProof/>
        </w:rPr>
        <w:t>0 k</w:t>
      </w:r>
      <w:r w:rsidR="00490DDD" w:rsidRPr="009A6E6F">
        <w:rPr>
          <w:i/>
          <w:noProof/>
        </w:rPr>
        <w:t>g or Less</w:t>
      </w:r>
      <w:r w:rsidR="00047EBA" w:rsidRPr="009A6E6F">
        <w:rPr>
          <w:i/>
          <w:noProof/>
        </w:rPr>
        <w:t>) Rules 2022</w:t>
      </w:r>
      <w:r w:rsidR="00047EBA" w:rsidRPr="009A6E6F">
        <w:rPr>
          <w:i/>
        </w:rPr>
        <w:fldChar w:fldCharType="end"/>
      </w:r>
      <w:r w:rsidR="00047EBA" w:rsidRPr="009A6E6F">
        <w:t>.</w:t>
      </w:r>
    </w:p>
    <w:p w14:paraId="45C4836B" w14:textId="77777777" w:rsidR="007757EA" w:rsidRPr="009A6E6F" w:rsidRDefault="007757EA" w:rsidP="007757EA">
      <w:pPr>
        <w:rPr>
          <w:b/>
        </w:rPr>
      </w:pPr>
    </w:p>
    <w:p w14:paraId="1EF26B07" w14:textId="77777777" w:rsidR="007757EA" w:rsidRPr="009A6E6F" w:rsidRDefault="00B84D87" w:rsidP="00B84D87">
      <w:pPr>
        <w:rPr>
          <w:b/>
        </w:rPr>
      </w:pPr>
      <w:r w:rsidRPr="009A6E6F">
        <w:rPr>
          <w:b/>
        </w:rPr>
        <w:t>Section 2</w:t>
      </w:r>
      <w:r w:rsidRPr="009A6E6F">
        <w:rPr>
          <w:b/>
        </w:rPr>
        <w:tab/>
      </w:r>
      <w:r w:rsidR="007757EA" w:rsidRPr="009A6E6F">
        <w:rPr>
          <w:b/>
        </w:rPr>
        <w:t>Commencement</w:t>
      </w:r>
    </w:p>
    <w:p w14:paraId="11785FC6" w14:textId="27BFEAD2" w:rsidR="008F251A" w:rsidRPr="009A6E6F" w:rsidRDefault="008F251A" w:rsidP="008F251A">
      <w:r w:rsidRPr="009A6E6F">
        <w:t>All provisions will commence the day after this instrument is registered on the Federal Register of Legislation.</w:t>
      </w:r>
    </w:p>
    <w:p w14:paraId="1864E081" w14:textId="77777777" w:rsidR="007757EA" w:rsidRPr="009A6E6F" w:rsidRDefault="007757EA" w:rsidP="00A9134B">
      <w:pPr>
        <w:rPr>
          <w:b/>
        </w:rPr>
      </w:pPr>
    </w:p>
    <w:p w14:paraId="710560D8" w14:textId="77777777" w:rsidR="007757EA" w:rsidRPr="009A6E6F" w:rsidRDefault="00B84D87" w:rsidP="00B84D87">
      <w:pPr>
        <w:rPr>
          <w:b/>
          <w:i/>
        </w:rPr>
      </w:pPr>
      <w:r w:rsidRPr="009A6E6F">
        <w:rPr>
          <w:b/>
        </w:rPr>
        <w:t>Section 3</w:t>
      </w:r>
      <w:r w:rsidRPr="009A6E6F">
        <w:rPr>
          <w:b/>
        </w:rPr>
        <w:tab/>
      </w:r>
      <w:r w:rsidR="00FC7592" w:rsidRPr="009A6E6F">
        <w:rPr>
          <w:b/>
        </w:rPr>
        <w:t>Authority</w:t>
      </w:r>
    </w:p>
    <w:p w14:paraId="76613035" w14:textId="6D38044A" w:rsidR="00A9134B" w:rsidRPr="009A6E6F" w:rsidRDefault="00191EC4" w:rsidP="00191EC4">
      <w:pPr>
        <w:pStyle w:val="paragraph"/>
        <w:ind w:left="0" w:firstLine="0"/>
        <w:rPr>
          <w:sz w:val="24"/>
          <w:szCs w:val="24"/>
        </w:rPr>
      </w:pPr>
      <w:r w:rsidRPr="009A6E6F">
        <w:rPr>
          <w:sz w:val="24"/>
          <w:szCs w:val="24"/>
        </w:rPr>
        <w:t>S</w:t>
      </w:r>
      <w:r w:rsidR="00142BE0" w:rsidRPr="009A6E6F">
        <w:rPr>
          <w:sz w:val="24"/>
          <w:szCs w:val="24"/>
        </w:rPr>
        <w:t xml:space="preserve">ection </w:t>
      </w:r>
      <w:r w:rsidR="00A9134B" w:rsidRPr="009A6E6F">
        <w:rPr>
          <w:sz w:val="24"/>
          <w:szCs w:val="24"/>
        </w:rPr>
        <w:t xml:space="preserve">3 states that </w:t>
      </w:r>
      <w:r w:rsidR="00FC7592" w:rsidRPr="009A6E6F">
        <w:rPr>
          <w:sz w:val="24"/>
          <w:szCs w:val="24"/>
        </w:rPr>
        <w:t xml:space="preserve">the instrument is made under the </w:t>
      </w:r>
      <w:r w:rsidRPr="009A6E6F">
        <w:rPr>
          <w:i/>
          <w:sz w:val="24"/>
          <w:szCs w:val="24"/>
        </w:rPr>
        <w:t>Industrial Chemicals</w:t>
      </w:r>
      <w:r w:rsidR="00E8206E" w:rsidRPr="009A6E6F">
        <w:rPr>
          <w:i/>
          <w:sz w:val="24"/>
          <w:szCs w:val="24"/>
        </w:rPr>
        <w:t xml:space="preserve"> </w:t>
      </w:r>
      <w:r w:rsidRPr="009A6E6F">
        <w:rPr>
          <w:i/>
          <w:sz w:val="24"/>
          <w:szCs w:val="24"/>
        </w:rPr>
        <w:t>Act 2019</w:t>
      </w:r>
      <w:r w:rsidR="00F72836" w:rsidRPr="009A6E6F">
        <w:rPr>
          <w:sz w:val="24"/>
          <w:szCs w:val="24"/>
        </w:rPr>
        <w:t xml:space="preserve"> (</w:t>
      </w:r>
      <w:r w:rsidR="00AC3E32" w:rsidRPr="009A6E6F">
        <w:rPr>
          <w:sz w:val="24"/>
          <w:szCs w:val="24"/>
        </w:rPr>
        <w:t xml:space="preserve">the </w:t>
      </w:r>
      <w:r w:rsidR="00E8206E" w:rsidRPr="009A6E6F">
        <w:rPr>
          <w:sz w:val="24"/>
          <w:szCs w:val="24"/>
        </w:rPr>
        <w:t xml:space="preserve">IC </w:t>
      </w:r>
      <w:r w:rsidR="00F72836" w:rsidRPr="009A6E6F">
        <w:rPr>
          <w:sz w:val="24"/>
          <w:szCs w:val="24"/>
        </w:rPr>
        <w:t xml:space="preserve">Act). </w:t>
      </w:r>
    </w:p>
    <w:p w14:paraId="09835745" w14:textId="77777777" w:rsidR="00FC7592" w:rsidRPr="009A6E6F" w:rsidRDefault="00FC7592" w:rsidP="00A9134B"/>
    <w:p w14:paraId="2390DAD3" w14:textId="77777777" w:rsidR="00892F19" w:rsidRPr="009A6E6F" w:rsidRDefault="00B84D87" w:rsidP="00892F19">
      <w:pPr>
        <w:rPr>
          <w:b/>
        </w:rPr>
      </w:pPr>
      <w:r w:rsidRPr="009A6E6F">
        <w:rPr>
          <w:b/>
        </w:rPr>
        <w:t>Section 4</w:t>
      </w:r>
      <w:r w:rsidRPr="009A6E6F">
        <w:rPr>
          <w:b/>
        </w:rPr>
        <w:tab/>
      </w:r>
      <w:r w:rsidR="00191EC4" w:rsidRPr="009A6E6F">
        <w:rPr>
          <w:b/>
        </w:rPr>
        <w:t>Schedule</w:t>
      </w:r>
      <w:r w:rsidR="003E4DED" w:rsidRPr="009A6E6F">
        <w:rPr>
          <w:b/>
        </w:rPr>
        <w:t>s</w:t>
      </w:r>
    </w:p>
    <w:p w14:paraId="3CE11F33" w14:textId="06954E2E" w:rsidR="00892F19" w:rsidRPr="009A6E6F" w:rsidRDefault="00892F19" w:rsidP="00B84D87">
      <w:pPr>
        <w:rPr>
          <w:b/>
        </w:rPr>
      </w:pPr>
      <w:r w:rsidRPr="009A6E6F">
        <w:t>Section 4 provides that each instrument that is specified in a Schedule to this instrument will be amended or repealed as set out in the applicable items in the Schedule, and any other item in the Schedule to this instrument has effect according to its terms.</w:t>
      </w:r>
    </w:p>
    <w:p w14:paraId="270C5934" w14:textId="77777777" w:rsidR="003E4DED" w:rsidRPr="009A6E6F" w:rsidRDefault="003E4DED" w:rsidP="003E4DED"/>
    <w:p w14:paraId="3B3A6D14" w14:textId="7F055C9A" w:rsidR="00F522B4" w:rsidRPr="009A6E6F" w:rsidRDefault="00F522B4" w:rsidP="00F522B4">
      <w:pPr>
        <w:rPr>
          <w:b/>
        </w:rPr>
      </w:pPr>
      <w:r w:rsidRPr="009A6E6F">
        <w:rPr>
          <w:b/>
          <w:shd w:val="clear" w:color="auto" w:fill="FFFFFF"/>
        </w:rPr>
        <w:t xml:space="preserve">Schedule </w:t>
      </w:r>
      <w:r w:rsidR="00E5018C" w:rsidRPr="009A6E6F">
        <w:rPr>
          <w:b/>
          <w:shd w:val="clear" w:color="auto" w:fill="FFFFFF"/>
        </w:rPr>
        <w:t>1</w:t>
      </w:r>
      <w:r w:rsidRPr="009A6E6F">
        <w:rPr>
          <w:b/>
          <w:shd w:val="clear" w:color="auto" w:fill="FFFFFF"/>
        </w:rPr>
        <w:t xml:space="preserve"> </w:t>
      </w:r>
      <w:r w:rsidR="00E5018C" w:rsidRPr="009A6E6F">
        <w:rPr>
          <w:b/>
          <w:shd w:val="clear" w:color="auto" w:fill="FFFFFF"/>
        </w:rPr>
        <w:t>–</w:t>
      </w:r>
      <w:r w:rsidRPr="009A6E6F">
        <w:rPr>
          <w:b/>
          <w:shd w:val="clear" w:color="auto" w:fill="FFFFFF"/>
        </w:rPr>
        <w:t xml:space="preserve"> Amendment</w:t>
      </w:r>
      <w:r w:rsidR="00C07EA5" w:rsidRPr="009A6E6F">
        <w:rPr>
          <w:b/>
          <w:shd w:val="clear" w:color="auto" w:fill="FFFFFF"/>
        </w:rPr>
        <w:t xml:space="preserve"> of the </w:t>
      </w:r>
      <w:r w:rsidR="00C07EA5" w:rsidRPr="009A6E6F">
        <w:rPr>
          <w:b/>
        </w:rPr>
        <w:t>Industrial Chemicals (General) Rules 2019</w:t>
      </w:r>
    </w:p>
    <w:p w14:paraId="342C3253" w14:textId="0C515D68" w:rsidR="00E5018C" w:rsidRPr="009A6E6F" w:rsidRDefault="00E5018C" w:rsidP="00F522B4">
      <w:pPr>
        <w:rPr>
          <w:b/>
          <w:shd w:val="clear" w:color="auto" w:fill="FFFFFF"/>
        </w:rPr>
      </w:pPr>
    </w:p>
    <w:p w14:paraId="0ABB4F7C" w14:textId="4DFF8FBF" w:rsidR="00E5018C" w:rsidRPr="009A6E6F" w:rsidRDefault="00C07EA5" w:rsidP="00F522B4">
      <w:pPr>
        <w:rPr>
          <w:b/>
          <w:shd w:val="clear" w:color="auto" w:fill="FFFFFF"/>
        </w:rPr>
      </w:pPr>
      <w:r w:rsidRPr="009A6E6F">
        <w:rPr>
          <w:b/>
          <w:shd w:val="clear" w:color="auto" w:fill="FFFFFF"/>
        </w:rPr>
        <w:t>Item</w:t>
      </w:r>
      <w:r w:rsidR="00E5018C" w:rsidRPr="009A6E6F">
        <w:rPr>
          <w:b/>
          <w:shd w:val="clear" w:color="auto" w:fill="FFFFFF"/>
        </w:rPr>
        <w:t xml:space="preserve"> 1 – </w:t>
      </w:r>
      <w:r w:rsidR="00E84167" w:rsidRPr="009A6E6F">
        <w:rPr>
          <w:b/>
          <w:shd w:val="clear" w:color="auto" w:fill="FFFFFF"/>
        </w:rPr>
        <w:t>Insert</w:t>
      </w:r>
      <w:r w:rsidR="00995C36" w:rsidRPr="009A6E6F">
        <w:rPr>
          <w:b/>
          <w:shd w:val="clear" w:color="auto" w:fill="FFFFFF"/>
        </w:rPr>
        <w:t xml:space="preserve"> </w:t>
      </w:r>
      <w:r w:rsidR="00D92F49" w:rsidRPr="009A6E6F">
        <w:rPr>
          <w:b/>
          <w:shd w:val="clear" w:color="auto" w:fill="FFFFFF"/>
        </w:rPr>
        <w:t xml:space="preserve">new </w:t>
      </w:r>
      <w:r w:rsidR="00E84167" w:rsidRPr="009A6E6F">
        <w:rPr>
          <w:b/>
          <w:shd w:val="clear" w:color="auto" w:fill="FFFFFF"/>
        </w:rPr>
        <w:t>definitions</w:t>
      </w:r>
      <w:r w:rsidR="00D92F49" w:rsidRPr="009A6E6F">
        <w:rPr>
          <w:b/>
          <w:shd w:val="clear" w:color="auto" w:fill="FFFFFF"/>
        </w:rPr>
        <w:t xml:space="preserve"> into </w:t>
      </w:r>
      <w:r w:rsidR="000D04CE" w:rsidRPr="009A6E6F">
        <w:rPr>
          <w:b/>
          <w:shd w:val="clear" w:color="auto" w:fill="FFFFFF"/>
        </w:rPr>
        <w:t>s</w:t>
      </w:r>
      <w:r w:rsidR="00D92F49" w:rsidRPr="009A6E6F">
        <w:rPr>
          <w:b/>
          <w:shd w:val="clear" w:color="auto" w:fill="FFFFFF"/>
        </w:rPr>
        <w:t>ection 5</w:t>
      </w:r>
      <w:r w:rsidR="00E84167" w:rsidRPr="009A6E6F">
        <w:rPr>
          <w:b/>
          <w:shd w:val="clear" w:color="auto" w:fill="FFFFFF"/>
        </w:rPr>
        <w:t xml:space="preserve"> </w:t>
      </w:r>
    </w:p>
    <w:p w14:paraId="56CDBD04" w14:textId="77777777" w:rsidR="00C07EA5" w:rsidRPr="009A6E6F" w:rsidRDefault="00C07EA5" w:rsidP="00F522B4">
      <w:pPr>
        <w:rPr>
          <w:bCs/>
          <w:shd w:val="clear" w:color="auto" w:fill="FFFFFF"/>
        </w:rPr>
      </w:pPr>
    </w:p>
    <w:p w14:paraId="177267B6" w14:textId="603A62B5" w:rsidR="005B5EA0" w:rsidRPr="009A6E6F" w:rsidRDefault="00A16188" w:rsidP="00F522B4">
      <w:pPr>
        <w:rPr>
          <w:bCs/>
          <w:shd w:val="clear" w:color="auto" w:fill="FFFFFF"/>
        </w:rPr>
      </w:pPr>
      <w:r w:rsidRPr="009A6E6F">
        <w:rPr>
          <w:bCs/>
          <w:shd w:val="clear" w:color="auto" w:fill="FFFFFF"/>
        </w:rPr>
        <w:t>This item inserts d</w:t>
      </w:r>
      <w:r w:rsidR="00D92F49" w:rsidRPr="009A6E6F">
        <w:rPr>
          <w:bCs/>
          <w:shd w:val="clear" w:color="auto" w:fill="FFFFFF"/>
        </w:rPr>
        <w:t xml:space="preserve">efinitions </w:t>
      </w:r>
      <w:r w:rsidR="005B5EA0" w:rsidRPr="009A6E6F">
        <w:rPr>
          <w:bCs/>
          <w:shd w:val="clear" w:color="auto" w:fill="FFFFFF"/>
        </w:rPr>
        <w:t xml:space="preserve">of two terms </w:t>
      </w:r>
      <w:r w:rsidR="00D92F49" w:rsidRPr="009A6E6F">
        <w:rPr>
          <w:bCs/>
          <w:shd w:val="clear" w:color="auto" w:fill="FFFFFF"/>
        </w:rPr>
        <w:t xml:space="preserve">into </w:t>
      </w:r>
      <w:r w:rsidR="000D04CE" w:rsidRPr="009A6E6F">
        <w:rPr>
          <w:bCs/>
          <w:shd w:val="clear" w:color="auto" w:fill="FFFFFF"/>
        </w:rPr>
        <w:t>s</w:t>
      </w:r>
      <w:r w:rsidR="00D92F49" w:rsidRPr="009A6E6F">
        <w:rPr>
          <w:bCs/>
          <w:shd w:val="clear" w:color="auto" w:fill="FFFFFF"/>
        </w:rPr>
        <w:t>ection 5 (Definitions)</w:t>
      </w:r>
      <w:r w:rsidR="00B341F4" w:rsidRPr="009A6E6F">
        <w:rPr>
          <w:bCs/>
          <w:shd w:val="clear" w:color="auto" w:fill="FFFFFF"/>
        </w:rPr>
        <w:t xml:space="preserve"> </w:t>
      </w:r>
      <w:r w:rsidR="00347899" w:rsidRPr="009A6E6F">
        <w:rPr>
          <w:bCs/>
          <w:shd w:val="clear" w:color="auto" w:fill="FFFFFF"/>
        </w:rPr>
        <w:t xml:space="preserve">and </w:t>
      </w:r>
      <w:r w:rsidR="00B341F4" w:rsidRPr="009A6E6F">
        <w:rPr>
          <w:bCs/>
          <w:shd w:val="clear" w:color="auto" w:fill="FFFFFF"/>
        </w:rPr>
        <w:t>directly relate</w:t>
      </w:r>
      <w:r w:rsidR="005B5EA0" w:rsidRPr="009A6E6F">
        <w:rPr>
          <w:bCs/>
          <w:shd w:val="clear" w:color="auto" w:fill="FFFFFF"/>
        </w:rPr>
        <w:t xml:space="preserve"> </w:t>
      </w:r>
      <w:r w:rsidR="00286280" w:rsidRPr="009A6E6F">
        <w:rPr>
          <w:bCs/>
          <w:shd w:val="clear" w:color="auto" w:fill="FFFFFF"/>
        </w:rPr>
        <w:t xml:space="preserve">to the new subsection 27(6), which </w:t>
      </w:r>
      <w:r w:rsidR="005B5EA0" w:rsidRPr="009A6E6F">
        <w:rPr>
          <w:bCs/>
          <w:shd w:val="clear" w:color="auto" w:fill="FFFFFF"/>
        </w:rPr>
        <w:t>reference</w:t>
      </w:r>
      <w:r w:rsidR="000B5D84" w:rsidRPr="009A6E6F">
        <w:rPr>
          <w:bCs/>
          <w:shd w:val="clear" w:color="auto" w:fill="FFFFFF"/>
        </w:rPr>
        <w:t>s</w:t>
      </w:r>
      <w:r w:rsidR="00286280" w:rsidRPr="009A6E6F">
        <w:rPr>
          <w:bCs/>
          <w:shd w:val="clear" w:color="auto" w:fill="FFFFFF"/>
        </w:rPr>
        <w:t xml:space="preserve"> the</w:t>
      </w:r>
      <w:r w:rsidR="005B5EA0" w:rsidRPr="009A6E6F">
        <w:rPr>
          <w:bCs/>
          <w:shd w:val="clear" w:color="auto" w:fill="FFFFFF"/>
        </w:rPr>
        <w:t xml:space="preserve"> terms</w:t>
      </w:r>
      <w:r w:rsidR="00201E61" w:rsidRPr="009A6E6F">
        <w:rPr>
          <w:bCs/>
          <w:shd w:val="clear" w:color="auto" w:fill="FFFFFF"/>
        </w:rPr>
        <w:t>.</w:t>
      </w:r>
    </w:p>
    <w:p w14:paraId="1EDED402" w14:textId="77777777" w:rsidR="005B5EA0" w:rsidRPr="009A6E6F" w:rsidRDefault="005B5EA0" w:rsidP="00F522B4">
      <w:pPr>
        <w:rPr>
          <w:bCs/>
          <w:shd w:val="clear" w:color="auto" w:fill="FFFFFF"/>
        </w:rPr>
      </w:pPr>
    </w:p>
    <w:p w14:paraId="1E354E21" w14:textId="26704CEB" w:rsidR="00D92F49" w:rsidRPr="009A6E6F" w:rsidRDefault="2559B01E" w:rsidP="2305E1D4">
      <w:pPr>
        <w:rPr>
          <w:shd w:val="clear" w:color="auto" w:fill="FFFFFF"/>
        </w:rPr>
      </w:pPr>
      <w:r w:rsidRPr="009A6E6F">
        <w:rPr>
          <w:shd w:val="clear" w:color="auto" w:fill="FFFFFF"/>
        </w:rPr>
        <w:t>The</w:t>
      </w:r>
      <w:r w:rsidR="042D370C" w:rsidRPr="009A6E6F">
        <w:rPr>
          <w:shd w:val="clear" w:color="auto" w:fill="FFFFFF"/>
        </w:rPr>
        <w:t>re is a</w:t>
      </w:r>
      <w:r w:rsidRPr="009A6E6F">
        <w:rPr>
          <w:shd w:val="clear" w:color="auto" w:fill="FFFFFF"/>
        </w:rPr>
        <w:t xml:space="preserve"> </w:t>
      </w:r>
      <w:r w:rsidR="7E0F28F0" w:rsidRPr="009A6E6F">
        <w:rPr>
          <w:shd w:val="clear" w:color="auto" w:fill="FFFFFF"/>
        </w:rPr>
        <w:t xml:space="preserve">defined term </w:t>
      </w:r>
      <w:r w:rsidR="7B13D92B" w:rsidRPr="009A6E6F">
        <w:rPr>
          <w:shd w:val="clear" w:color="auto" w:fill="FFFFFF"/>
        </w:rPr>
        <w:t xml:space="preserve">for </w:t>
      </w:r>
      <w:r w:rsidRPr="009A6E6F">
        <w:rPr>
          <w:shd w:val="clear" w:color="auto" w:fill="FFFFFF"/>
        </w:rPr>
        <w:t xml:space="preserve">the </w:t>
      </w:r>
      <w:r w:rsidRPr="009A6E6F">
        <w:rPr>
          <w:i/>
          <w:iCs/>
          <w:shd w:val="clear" w:color="auto" w:fill="FFFFFF"/>
        </w:rPr>
        <w:t>GHS</w:t>
      </w:r>
      <w:r w:rsidRPr="009A6E6F">
        <w:rPr>
          <w:shd w:val="clear" w:color="auto" w:fill="FFFFFF"/>
        </w:rPr>
        <w:t xml:space="preserve"> (Globally Harmonized System of Classification and Labelling of Chemicals)</w:t>
      </w:r>
      <w:r w:rsidR="5B462E4A" w:rsidRPr="009A6E6F">
        <w:rPr>
          <w:shd w:val="clear" w:color="auto" w:fill="FFFFFF"/>
        </w:rPr>
        <w:t xml:space="preserve">, which has the same meaning as in the </w:t>
      </w:r>
      <w:r w:rsidR="5B462E4A" w:rsidRPr="009A6E6F">
        <w:rPr>
          <w:i/>
          <w:iCs/>
          <w:shd w:val="clear" w:color="auto" w:fill="FFFFFF"/>
        </w:rPr>
        <w:t>Work Health and Safety Regulations 2011</w:t>
      </w:r>
      <w:r w:rsidR="73E151E7" w:rsidRPr="009A6E6F">
        <w:rPr>
          <w:shd w:val="clear" w:color="auto" w:fill="FFFFFF"/>
        </w:rPr>
        <w:t>.</w:t>
      </w:r>
      <w:r w:rsidRPr="009A6E6F">
        <w:rPr>
          <w:shd w:val="clear" w:color="auto" w:fill="FFFFFF"/>
        </w:rPr>
        <w:t xml:space="preserve"> </w:t>
      </w:r>
      <w:r w:rsidR="360A4C1C" w:rsidRPr="009A6E6F">
        <w:rPr>
          <w:shd w:val="clear" w:color="auto" w:fill="FFFFFF"/>
        </w:rPr>
        <w:t>There is</w:t>
      </w:r>
      <w:r w:rsidR="1E457FFB" w:rsidRPr="009A6E6F">
        <w:rPr>
          <w:shd w:val="clear" w:color="auto" w:fill="FFFFFF"/>
        </w:rPr>
        <w:t xml:space="preserve"> also a defined term for</w:t>
      </w:r>
      <w:r w:rsidR="360A4C1C" w:rsidRPr="009A6E6F">
        <w:rPr>
          <w:shd w:val="clear" w:color="auto" w:fill="FFFFFF"/>
        </w:rPr>
        <w:t xml:space="preserve"> </w:t>
      </w:r>
      <w:r w:rsidRPr="009A6E6F">
        <w:rPr>
          <w:i/>
          <w:iCs/>
          <w:shd w:val="clear" w:color="auto" w:fill="FFFFFF"/>
        </w:rPr>
        <w:t>hazard class</w:t>
      </w:r>
      <w:r w:rsidRPr="009A6E6F">
        <w:rPr>
          <w:shd w:val="clear" w:color="auto" w:fill="FFFFFF"/>
        </w:rPr>
        <w:t>, which relates to the nature of a physical, health or environmental hazard under the GHS.</w:t>
      </w:r>
      <w:r w:rsidR="5F03C3C7" w:rsidRPr="009A6E6F">
        <w:rPr>
          <w:shd w:val="clear" w:color="auto" w:fill="FFFFFF"/>
        </w:rPr>
        <w:t xml:space="preserve"> The authority for this manner of incorporation is subsection 180(3) of the IC Act.</w:t>
      </w:r>
    </w:p>
    <w:p w14:paraId="58A455BB" w14:textId="3379D2FB" w:rsidR="00E8500D" w:rsidRPr="009A6E6F" w:rsidRDefault="00E8500D" w:rsidP="00F522B4">
      <w:pPr>
        <w:rPr>
          <w:bCs/>
          <w:shd w:val="clear" w:color="auto" w:fill="FFFFFF"/>
        </w:rPr>
      </w:pPr>
    </w:p>
    <w:p w14:paraId="639FBE2C" w14:textId="17721448" w:rsidR="00E8500D" w:rsidRPr="009A6E6F" w:rsidRDefault="008F798E" w:rsidP="00F522B4">
      <w:pPr>
        <w:rPr>
          <w:bCs/>
          <w:shd w:val="clear" w:color="auto" w:fill="FFFFFF"/>
        </w:rPr>
      </w:pPr>
      <w:r w:rsidRPr="009A6E6F">
        <w:t xml:space="preserve">The GHS is a publicly available document published by the United Nations at </w:t>
      </w:r>
      <w:hyperlink r:id="rId10">
        <w:r w:rsidRPr="009A6E6F">
          <w:rPr>
            <w:rStyle w:val="Hyperlink"/>
            <w:color w:val="auto"/>
          </w:rPr>
          <w:t>https://unece.org/ghs-rev7-2017</w:t>
        </w:r>
      </w:hyperlink>
      <w:r w:rsidRPr="009A6E6F">
        <w:t>.</w:t>
      </w:r>
    </w:p>
    <w:p w14:paraId="20B4B42E" w14:textId="77777777" w:rsidR="006A01BA" w:rsidRPr="009A6E6F" w:rsidRDefault="006A01BA" w:rsidP="00191EC4">
      <w:pPr>
        <w:rPr>
          <w:b/>
          <w:bCs/>
          <w:shd w:val="clear" w:color="auto" w:fill="FFFFFF"/>
        </w:rPr>
      </w:pPr>
    </w:p>
    <w:p w14:paraId="3B24606F" w14:textId="40F4F65C" w:rsidR="00286280" w:rsidRPr="009A6E6F" w:rsidRDefault="008976CE" w:rsidP="00191EC4">
      <w:pPr>
        <w:rPr>
          <w:b/>
          <w:bCs/>
          <w:shd w:val="clear" w:color="auto" w:fill="FFFFFF"/>
        </w:rPr>
      </w:pPr>
      <w:r w:rsidRPr="009A6E6F">
        <w:rPr>
          <w:b/>
          <w:bCs/>
          <w:shd w:val="clear" w:color="auto" w:fill="FFFFFF"/>
        </w:rPr>
        <w:t>Item</w:t>
      </w:r>
      <w:r w:rsidR="007D000B" w:rsidRPr="009A6E6F">
        <w:rPr>
          <w:b/>
          <w:bCs/>
          <w:shd w:val="clear" w:color="auto" w:fill="FFFFFF"/>
        </w:rPr>
        <w:t>s 2-</w:t>
      </w:r>
      <w:r w:rsidR="00D45EE4" w:rsidRPr="009A6E6F">
        <w:rPr>
          <w:b/>
          <w:bCs/>
          <w:shd w:val="clear" w:color="auto" w:fill="FFFFFF"/>
        </w:rPr>
        <w:t xml:space="preserve">3 – </w:t>
      </w:r>
      <w:r w:rsidR="00286280" w:rsidRPr="009A6E6F">
        <w:rPr>
          <w:b/>
          <w:bCs/>
          <w:shd w:val="clear" w:color="auto" w:fill="FFFFFF"/>
        </w:rPr>
        <w:t xml:space="preserve">Amendment to add </w:t>
      </w:r>
      <w:r w:rsidR="007A0EAC" w:rsidRPr="009A6E6F">
        <w:rPr>
          <w:b/>
          <w:bCs/>
          <w:shd w:val="clear" w:color="auto" w:fill="FFFFFF"/>
        </w:rPr>
        <w:t xml:space="preserve">a </w:t>
      </w:r>
      <w:r w:rsidR="00286280" w:rsidRPr="009A6E6F">
        <w:rPr>
          <w:b/>
          <w:bCs/>
          <w:shd w:val="clear" w:color="auto" w:fill="FFFFFF"/>
        </w:rPr>
        <w:t xml:space="preserve">new </w:t>
      </w:r>
      <w:bookmarkStart w:id="0" w:name="_Toc89847991"/>
      <w:r w:rsidR="007A0EAC" w:rsidRPr="009A6E6F">
        <w:rPr>
          <w:b/>
          <w:bCs/>
          <w:shd w:val="clear" w:color="auto" w:fill="FFFFFF"/>
        </w:rPr>
        <w:t>c</w:t>
      </w:r>
      <w:r w:rsidR="00E863F2" w:rsidRPr="009A6E6F">
        <w:rPr>
          <w:b/>
          <w:bCs/>
          <w:shd w:val="clear" w:color="auto" w:fill="FFFFFF"/>
        </w:rPr>
        <w:t>ircumstance in which introductions are reported introductions</w:t>
      </w:r>
      <w:bookmarkEnd w:id="0"/>
    </w:p>
    <w:p w14:paraId="1ACB204A" w14:textId="77777777" w:rsidR="00E863F2" w:rsidRPr="009A6E6F" w:rsidRDefault="00E863F2" w:rsidP="00191EC4">
      <w:pPr>
        <w:rPr>
          <w:b/>
          <w:bCs/>
          <w:shd w:val="clear" w:color="auto" w:fill="FFFFFF"/>
        </w:rPr>
      </w:pPr>
    </w:p>
    <w:p w14:paraId="6FBE2616" w14:textId="24D0DEFC" w:rsidR="007D000B" w:rsidRPr="009A6E6F" w:rsidRDefault="00CB3DD9" w:rsidP="007D000B">
      <w:r w:rsidRPr="009A6E6F">
        <w:rPr>
          <w:shd w:val="clear" w:color="auto" w:fill="FFFFFF"/>
        </w:rPr>
        <w:t xml:space="preserve">Item 2 </w:t>
      </w:r>
      <w:r w:rsidR="00CB6C9B" w:rsidRPr="009A6E6F">
        <w:rPr>
          <w:shd w:val="clear" w:color="auto" w:fill="FFFFFF"/>
        </w:rPr>
        <w:t>amends s</w:t>
      </w:r>
      <w:r w:rsidR="007D000B" w:rsidRPr="009A6E6F">
        <w:rPr>
          <w:shd w:val="clear" w:color="auto" w:fill="FFFFFF"/>
        </w:rPr>
        <w:t>ubsection 27(1) </w:t>
      </w:r>
      <w:r w:rsidRPr="009A6E6F">
        <w:rPr>
          <w:shd w:val="clear" w:color="auto" w:fill="FFFFFF"/>
        </w:rPr>
        <w:t xml:space="preserve">to omit “or (4)” and substitute “, (4) or (6)” </w:t>
      </w:r>
      <w:r w:rsidR="007D000B" w:rsidRPr="009A6E6F">
        <w:rPr>
          <w:shd w:val="clear" w:color="auto" w:fill="FFFFFF"/>
        </w:rPr>
        <w:t xml:space="preserve">so that for the purposes of step 3 of the method statement in </w:t>
      </w:r>
      <w:r w:rsidR="00CB6C9B" w:rsidRPr="009A6E6F">
        <w:rPr>
          <w:shd w:val="clear" w:color="auto" w:fill="FFFFFF"/>
        </w:rPr>
        <w:t>s</w:t>
      </w:r>
      <w:r w:rsidR="007D000B" w:rsidRPr="009A6E6F">
        <w:rPr>
          <w:shd w:val="clear" w:color="auto" w:fill="FFFFFF"/>
        </w:rPr>
        <w:t>ection 24, the introduction of an industrial chemical is also covered by</w:t>
      </w:r>
      <w:r w:rsidRPr="009A6E6F">
        <w:rPr>
          <w:shd w:val="clear" w:color="auto" w:fill="FFFFFF"/>
        </w:rPr>
        <w:t xml:space="preserve"> section 27</w:t>
      </w:r>
      <w:r w:rsidR="007D000B" w:rsidRPr="009A6E6F">
        <w:rPr>
          <w:shd w:val="clear" w:color="auto" w:fill="FFFFFF"/>
        </w:rPr>
        <w:t xml:space="preserve"> if </w:t>
      </w:r>
      <w:r w:rsidR="00CB6C9B" w:rsidRPr="009A6E6F">
        <w:rPr>
          <w:shd w:val="clear" w:color="auto" w:fill="FFFFFF"/>
        </w:rPr>
        <w:t xml:space="preserve">new </w:t>
      </w:r>
      <w:r w:rsidR="007D000B" w:rsidRPr="009A6E6F">
        <w:rPr>
          <w:shd w:val="clear" w:color="auto" w:fill="FFFFFF"/>
        </w:rPr>
        <w:t>subsection </w:t>
      </w:r>
      <w:r w:rsidRPr="009A6E6F">
        <w:rPr>
          <w:shd w:val="clear" w:color="auto" w:fill="FFFFFF"/>
        </w:rPr>
        <w:t>27</w:t>
      </w:r>
      <w:r w:rsidR="007D000B" w:rsidRPr="009A6E6F">
        <w:rPr>
          <w:shd w:val="clear" w:color="auto" w:fill="FFFFFF"/>
        </w:rPr>
        <w:t>(6) of this section applies to the introduction.</w:t>
      </w:r>
    </w:p>
    <w:p w14:paraId="6CC8086F" w14:textId="77777777" w:rsidR="007D000B" w:rsidRPr="009A6E6F" w:rsidRDefault="007D000B" w:rsidP="007D000B">
      <w:pPr>
        <w:rPr>
          <w:bCs/>
          <w:shd w:val="clear" w:color="auto" w:fill="FFFFFF"/>
        </w:rPr>
      </w:pPr>
    </w:p>
    <w:p w14:paraId="50F880A3" w14:textId="65FFFD51" w:rsidR="007D000B" w:rsidRPr="009A6E6F" w:rsidRDefault="00CB3DD9" w:rsidP="007D000B">
      <w:r w:rsidRPr="009A6E6F">
        <w:rPr>
          <w:shd w:val="clear" w:color="auto" w:fill="FFFFFF"/>
        </w:rPr>
        <w:t xml:space="preserve">Item 3 adds new subsections 27(6) and (7) at the end of section 27 of the General Rules. </w:t>
      </w:r>
      <w:r w:rsidR="007D000B" w:rsidRPr="009A6E6F">
        <w:rPr>
          <w:shd w:val="clear" w:color="auto" w:fill="FFFFFF"/>
        </w:rPr>
        <w:t xml:space="preserve">The new subsections 27(6) and (7) relate to </w:t>
      </w:r>
      <w:r w:rsidR="007D000B" w:rsidRPr="009A6E6F">
        <w:t xml:space="preserve">introductions of 10 kg or less of an </w:t>
      </w:r>
      <w:r w:rsidR="007D000B" w:rsidRPr="009A6E6F">
        <w:lastRenderedPageBreak/>
        <w:t xml:space="preserve">industrial chemical, as a new type of </w:t>
      </w:r>
      <w:r w:rsidR="00CB6C9B" w:rsidRPr="009A6E6F">
        <w:t xml:space="preserve">industrial </w:t>
      </w:r>
      <w:r w:rsidR="007D000B" w:rsidRPr="009A6E6F">
        <w:t xml:space="preserve">chemical introduction </w:t>
      </w:r>
      <w:r w:rsidR="2C3EFE8C" w:rsidRPr="009A6E6F">
        <w:t xml:space="preserve">that </w:t>
      </w:r>
      <w:r w:rsidR="007D000B" w:rsidRPr="009A6E6F">
        <w:t>can be a reported introduction.</w:t>
      </w:r>
    </w:p>
    <w:p w14:paraId="4844606A" w14:textId="77777777" w:rsidR="00CB6C9B" w:rsidRPr="009A6E6F" w:rsidRDefault="00CB6C9B" w:rsidP="007D000B"/>
    <w:p w14:paraId="69FFB2E7" w14:textId="23631302" w:rsidR="00DF27AB" w:rsidRPr="009A6E6F" w:rsidRDefault="7605CD48" w:rsidP="00191EC4">
      <w:r w:rsidRPr="009A6E6F">
        <w:t xml:space="preserve">New subsection 27(6) provides that </w:t>
      </w:r>
      <w:r w:rsidR="37DDB0DC" w:rsidRPr="009A6E6F">
        <w:t>introduction</w:t>
      </w:r>
      <w:r w:rsidRPr="009A6E6F">
        <w:t xml:space="preserve"> of an industrial chemical</w:t>
      </w:r>
      <w:r w:rsidR="0985874E" w:rsidRPr="009A6E6F">
        <w:t xml:space="preserve"> by a person</w:t>
      </w:r>
      <w:r w:rsidRPr="009A6E6F">
        <w:t xml:space="preserve"> will be </w:t>
      </w:r>
      <w:r w:rsidR="229CF0F5" w:rsidRPr="009A6E6F">
        <w:t xml:space="preserve">a </w:t>
      </w:r>
      <w:r w:rsidRPr="009A6E6F">
        <w:t>reported</w:t>
      </w:r>
      <w:r w:rsidR="37DDB0DC" w:rsidRPr="009A6E6F">
        <w:t xml:space="preserve"> introduction if </w:t>
      </w:r>
      <w:r w:rsidR="365661D2" w:rsidRPr="009A6E6F">
        <w:t>the</w:t>
      </w:r>
      <w:r w:rsidR="37DDB0DC" w:rsidRPr="009A6E6F">
        <w:t xml:space="preserve"> </w:t>
      </w:r>
      <w:r w:rsidR="5D3FCFD1" w:rsidRPr="009A6E6F">
        <w:t>following criteria</w:t>
      </w:r>
      <w:r w:rsidR="591893A9" w:rsidRPr="009A6E6F">
        <w:t xml:space="preserve"> are met</w:t>
      </w:r>
      <w:r w:rsidR="5D3FCFD1" w:rsidRPr="009A6E6F">
        <w:t>:</w:t>
      </w:r>
    </w:p>
    <w:p w14:paraId="7157F879" w14:textId="2DD188F8" w:rsidR="005011A6" w:rsidRPr="009A6E6F" w:rsidRDefault="00284893" w:rsidP="00284893">
      <w:pPr>
        <w:pStyle w:val="ListParagraph"/>
        <w:numPr>
          <w:ilvl w:val="0"/>
          <w:numId w:val="28"/>
        </w:numPr>
        <w:spacing w:beforeAutospacing="1" w:line="259" w:lineRule="auto"/>
      </w:pPr>
      <w:r w:rsidRPr="009A6E6F">
        <w:t xml:space="preserve">the total volume of the chemical introduced in a registration year by </w:t>
      </w:r>
      <w:r w:rsidR="0000631C" w:rsidRPr="009A6E6F">
        <w:t>a person</w:t>
      </w:r>
      <w:r w:rsidRPr="009A6E6F">
        <w:t xml:space="preserve"> must not be more than 10 kg</w:t>
      </w:r>
    </w:p>
    <w:p w14:paraId="27A13A1C" w14:textId="5CBD27E0" w:rsidR="005B5EA0" w:rsidRPr="009A6E6F" w:rsidRDefault="08DC7564" w:rsidP="005011A6">
      <w:pPr>
        <w:pStyle w:val="ListParagraph"/>
        <w:numPr>
          <w:ilvl w:val="0"/>
          <w:numId w:val="28"/>
        </w:numPr>
        <w:rPr>
          <w:shd w:val="clear" w:color="auto" w:fill="FFFFFF"/>
        </w:rPr>
      </w:pPr>
      <w:r w:rsidRPr="009A6E6F">
        <w:rPr>
          <w:shd w:val="clear" w:color="auto" w:fill="FFFFFF"/>
        </w:rPr>
        <w:t xml:space="preserve">the </w:t>
      </w:r>
      <w:r w:rsidR="6AA150D5" w:rsidRPr="009A6E6F">
        <w:rPr>
          <w:shd w:val="clear" w:color="auto" w:fill="FFFFFF"/>
        </w:rPr>
        <w:t xml:space="preserve">chemical </w:t>
      </w:r>
      <w:r w:rsidR="5B462E4A" w:rsidRPr="009A6E6F">
        <w:rPr>
          <w:shd w:val="clear" w:color="auto" w:fill="FFFFFF"/>
        </w:rPr>
        <w:t>is not known by the person to</w:t>
      </w:r>
      <w:r w:rsidR="6AA150D5" w:rsidRPr="009A6E6F">
        <w:rPr>
          <w:shd w:val="clear" w:color="auto" w:fill="FFFFFF"/>
        </w:rPr>
        <w:t xml:space="preserve"> </w:t>
      </w:r>
      <w:r w:rsidR="429A581F" w:rsidRPr="009A6E6F">
        <w:rPr>
          <w:shd w:val="clear" w:color="auto" w:fill="FFFFFF"/>
        </w:rPr>
        <w:t xml:space="preserve">be classified as </w:t>
      </w:r>
      <w:r w:rsidR="3622EBB1" w:rsidRPr="009A6E6F">
        <w:rPr>
          <w:shd w:val="clear" w:color="auto" w:fill="FFFFFF"/>
        </w:rPr>
        <w:t xml:space="preserve">having </w:t>
      </w:r>
      <w:r w:rsidR="6AA150D5" w:rsidRPr="009A6E6F">
        <w:rPr>
          <w:shd w:val="clear" w:color="auto" w:fill="FFFFFF"/>
        </w:rPr>
        <w:t>carcinogenicity, germ cell mutagenicity or reproductive toxicity, in accordance with the criteria set out under the GHS</w:t>
      </w:r>
    </w:p>
    <w:p w14:paraId="495807C5" w14:textId="04E7EDD3" w:rsidR="00CB6C9B" w:rsidRPr="009A6E6F" w:rsidRDefault="00284893" w:rsidP="005011A6">
      <w:pPr>
        <w:pStyle w:val="ListParagraph"/>
        <w:numPr>
          <w:ilvl w:val="0"/>
          <w:numId w:val="28"/>
        </w:numPr>
        <w:rPr>
          <w:shd w:val="clear" w:color="auto" w:fill="FFFFFF"/>
        </w:rPr>
      </w:pPr>
      <w:r w:rsidRPr="009A6E6F">
        <w:t>if the chemical has a cosmetic end use, it must not be prohibited or restricted in the European Union or the U</w:t>
      </w:r>
      <w:r w:rsidR="006876A4" w:rsidRPr="009A6E6F">
        <w:t>nited States</w:t>
      </w:r>
      <w:r w:rsidRPr="009A6E6F">
        <w:t xml:space="preserve"> for use as a cosmetic, or in a cosmetic</w:t>
      </w:r>
      <w:r w:rsidR="00D312B6" w:rsidRPr="009A6E6F">
        <w:t>. This means that the chemical is not identified in any of:</w:t>
      </w:r>
    </w:p>
    <w:p w14:paraId="2E047D7D" w14:textId="76584E58" w:rsidR="00B12AE7" w:rsidRPr="009A6E6F" w:rsidRDefault="00754380" w:rsidP="00824763">
      <w:pPr>
        <w:pStyle w:val="ListParagraph"/>
        <w:numPr>
          <w:ilvl w:val="1"/>
          <w:numId w:val="28"/>
        </w:numPr>
      </w:pPr>
      <w:r w:rsidRPr="009A6E6F">
        <w:t xml:space="preserve">Annexes II and III of </w:t>
      </w:r>
      <w:r w:rsidR="00824763" w:rsidRPr="009A6E6F">
        <w:t>Regulation (EC) No 1223/2009 of the European Parliament and of the Council of 30 November 2009 on cosmetic products, as in force from time to time</w:t>
      </w:r>
      <w:r w:rsidRPr="009A6E6F">
        <w:t xml:space="preserve"> (</w:t>
      </w:r>
      <w:r w:rsidR="00824763" w:rsidRPr="009A6E6F">
        <w:t xml:space="preserve">publicly available at </w:t>
      </w:r>
      <w:hyperlink r:id="rId11" w:history="1">
        <w:r w:rsidR="00B12AE7" w:rsidRPr="009A6E6F">
          <w:rPr>
            <w:rStyle w:val="Hyperlink"/>
            <w:color w:val="auto"/>
          </w:rPr>
          <w:t>eur-lex.europa.eu/legal-content/EN/ALL/?</w:t>
        </w:r>
        <w:proofErr w:type="spellStart"/>
        <w:r w:rsidR="00B12AE7" w:rsidRPr="009A6E6F">
          <w:rPr>
            <w:rStyle w:val="Hyperlink"/>
            <w:color w:val="auto"/>
          </w:rPr>
          <w:t>uri</w:t>
        </w:r>
        <w:proofErr w:type="spellEnd"/>
        <w:r w:rsidR="00B12AE7" w:rsidRPr="009A6E6F">
          <w:rPr>
            <w:rStyle w:val="Hyperlink"/>
            <w:color w:val="auto"/>
          </w:rPr>
          <w:t>=celex%3A32009R1223</w:t>
        </w:r>
      </w:hyperlink>
      <w:r w:rsidRPr="009A6E6F">
        <w:t>)</w:t>
      </w:r>
      <w:r w:rsidR="00824763" w:rsidRPr="009A6E6F">
        <w:t xml:space="preserve">. The </w:t>
      </w:r>
      <w:r w:rsidR="00B12AE7" w:rsidRPr="009A6E6F">
        <w:t>Annexes are also published by the European Chemicals Agency and are publicly available at:</w:t>
      </w:r>
    </w:p>
    <w:p w14:paraId="406B773E" w14:textId="796A14CC" w:rsidR="00B12AE7" w:rsidRPr="009A6E6F" w:rsidRDefault="00824763" w:rsidP="00B12AE7">
      <w:pPr>
        <w:pStyle w:val="ListParagraph"/>
        <w:numPr>
          <w:ilvl w:val="2"/>
          <w:numId w:val="28"/>
        </w:numPr>
      </w:pPr>
      <w:r w:rsidRPr="009A6E6F">
        <w:t>Annex II</w:t>
      </w:r>
      <w:r w:rsidR="00B12AE7" w:rsidRPr="009A6E6F">
        <w:t xml:space="preserve"> (prohibited substances) </w:t>
      </w:r>
      <w:r w:rsidR="00D312B6" w:rsidRPr="009A6E6F">
        <w:t>–</w:t>
      </w:r>
      <w:r w:rsidR="00B12AE7" w:rsidRPr="009A6E6F">
        <w:t xml:space="preserve"> </w:t>
      </w:r>
      <w:hyperlink r:id="rId12" w:history="1">
        <w:r w:rsidR="00D312B6" w:rsidRPr="009A6E6F">
          <w:rPr>
            <w:rStyle w:val="Hyperlink"/>
            <w:color w:val="auto"/>
          </w:rPr>
          <w:t>echa.europa.eu/cosmetics-prohibited-substances</w:t>
        </w:r>
      </w:hyperlink>
      <w:r w:rsidR="00D312B6" w:rsidRPr="009A6E6F">
        <w:t xml:space="preserve"> </w:t>
      </w:r>
    </w:p>
    <w:p w14:paraId="2F59D3CD" w14:textId="77740C22" w:rsidR="00824763" w:rsidRPr="009A6E6F" w:rsidRDefault="00B12AE7" w:rsidP="00F37E5D">
      <w:pPr>
        <w:pStyle w:val="ListParagraph"/>
        <w:numPr>
          <w:ilvl w:val="2"/>
          <w:numId w:val="28"/>
        </w:numPr>
      </w:pPr>
      <w:r w:rsidRPr="009A6E6F">
        <w:t>Annex</w:t>
      </w:r>
      <w:r w:rsidR="00824763" w:rsidRPr="009A6E6F">
        <w:t xml:space="preserve"> III (</w:t>
      </w:r>
      <w:r w:rsidRPr="009A6E6F">
        <w:t>restricted substances</w:t>
      </w:r>
      <w:r w:rsidR="00824763" w:rsidRPr="009A6E6F">
        <w:t>)</w:t>
      </w:r>
      <w:r w:rsidRPr="009A6E6F">
        <w:t xml:space="preserve"> </w:t>
      </w:r>
      <w:r w:rsidR="00D312B6" w:rsidRPr="009A6E6F">
        <w:t>–</w:t>
      </w:r>
      <w:r w:rsidRPr="009A6E6F">
        <w:t xml:space="preserve"> </w:t>
      </w:r>
      <w:hyperlink r:id="rId13" w:history="1">
        <w:r w:rsidR="00D312B6" w:rsidRPr="009A6E6F">
          <w:rPr>
            <w:rStyle w:val="Hyperlink"/>
            <w:color w:val="auto"/>
          </w:rPr>
          <w:t>echa.europa.eu/cosmetics-restricted-substances</w:t>
        </w:r>
      </w:hyperlink>
      <w:r w:rsidR="00D312B6" w:rsidRPr="009A6E6F">
        <w:t xml:space="preserve"> </w:t>
      </w:r>
    </w:p>
    <w:p w14:paraId="5D10A9B7" w14:textId="2951BD04" w:rsidR="00D312B6" w:rsidRPr="009A6E6F" w:rsidRDefault="00824763" w:rsidP="00754380">
      <w:pPr>
        <w:pStyle w:val="ListParagraph"/>
        <w:numPr>
          <w:ilvl w:val="1"/>
          <w:numId w:val="28"/>
        </w:numPr>
        <w:rPr>
          <w:i/>
          <w:iCs/>
        </w:rPr>
      </w:pPr>
      <w:r w:rsidRPr="009A6E6F">
        <w:t>the Federal Food, Drug, and Cosmetic Act</w:t>
      </w:r>
      <w:r w:rsidR="00B12AE7" w:rsidRPr="009A6E6F">
        <w:t xml:space="preserve"> (prohibited and restricted ingredients in cosmetics)</w:t>
      </w:r>
      <w:r w:rsidRPr="009A6E6F">
        <w:t>, as in force from time to time</w:t>
      </w:r>
      <w:r w:rsidR="00754380" w:rsidRPr="009A6E6F">
        <w:t xml:space="preserve"> (</w:t>
      </w:r>
      <w:r w:rsidRPr="009A6E6F">
        <w:t>publicly available at</w:t>
      </w:r>
      <w:r w:rsidR="00B12AE7" w:rsidRPr="009A6E6F">
        <w:t xml:space="preserve"> </w:t>
      </w:r>
      <w:hyperlink r:id="rId14" w:history="1">
        <w:r w:rsidR="00D312B6" w:rsidRPr="009A6E6F">
          <w:rPr>
            <w:rStyle w:val="Hyperlink"/>
            <w:color w:val="auto"/>
          </w:rPr>
          <w:t>www.fda.gov/cosmetics/cosmetics-laws-regulations/prohibited-restricted-ingredients-cosmetics</w:t>
        </w:r>
      </w:hyperlink>
      <w:r w:rsidR="00754380" w:rsidRPr="009A6E6F">
        <w:t>)</w:t>
      </w:r>
    </w:p>
    <w:p w14:paraId="21DC2315" w14:textId="5579FB1D" w:rsidR="00754380" w:rsidRPr="009A6E6F" w:rsidRDefault="5F03C3C7" w:rsidP="0F473930">
      <w:pPr>
        <w:ind w:left="720"/>
      </w:pPr>
      <w:r w:rsidRPr="009A6E6F">
        <w:rPr>
          <w:shd w:val="clear" w:color="auto" w:fill="FFFFFF"/>
        </w:rPr>
        <w:t xml:space="preserve">The authority for this manner of incorporation is subsection 180(3) of the </w:t>
      </w:r>
      <w:r w:rsidR="00FA434E" w:rsidRPr="009A6E6F">
        <w:rPr>
          <w:shd w:val="clear" w:color="auto" w:fill="FFFFFF"/>
        </w:rPr>
        <w:t>IC </w:t>
      </w:r>
      <w:r w:rsidRPr="009A6E6F">
        <w:rPr>
          <w:shd w:val="clear" w:color="auto" w:fill="FFFFFF"/>
        </w:rPr>
        <w:t>Act.</w:t>
      </w:r>
    </w:p>
    <w:p w14:paraId="3B3B7EDC" w14:textId="744A2F97" w:rsidR="00284893" w:rsidRPr="009A6E6F" w:rsidRDefault="6AA150D5" w:rsidP="0F473930">
      <w:pPr>
        <w:pStyle w:val="ListParagraph"/>
        <w:numPr>
          <w:ilvl w:val="0"/>
          <w:numId w:val="28"/>
        </w:numPr>
      </w:pPr>
      <w:r w:rsidRPr="009A6E6F">
        <w:t>the chemical is not, to the</w:t>
      </w:r>
      <w:r w:rsidR="7AAA3524" w:rsidRPr="009A6E6F">
        <w:t xml:space="preserve"> person’s</w:t>
      </w:r>
      <w:r w:rsidRPr="009A6E6F">
        <w:t xml:space="preserve"> knowledge, to be introduced as a solid or in a dispersion, or</w:t>
      </w:r>
      <w:r w:rsidR="37DDB0DC" w:rsidRPr="009A6E6F">
        <w:t xml:space="preserve"> is</w:t>
      </w:r>
      <w:r w:rsidR="0985874E" w:rsidRPr="009A6E6F">
        <w:t xml:space="preserve"> not</w:t>
      </w:r>
      <w:r w:rsidR="37DDB0DC" w:rsidRPr="009A6E6F">
        <w:t xml:space="preserve"> known to meet certain nanoscale criteria</w:t>
      </w:r>
    </w:p>
    <w:p w14:paraId="5D184F3C" w14:textId="77777777" w:rsidR="00B12AE7" w:rsidRPr="009A6E6F" w:rsidRDefault="1E62A243" w:rsidP="00B60BC0">
      <w:pPr>
        <w:pStyle w:val="ListParagraph"/>
        <w:numPr>
          <w:ilvl w:val="0"/>
          <w:numId w:val="28"/>
        </w:numPr>
      </w:pPr>
      <w:r w:rsidRPr="009A6E6F">
        <w:t>t</w:t>
      </w:r>
      <w:r w:rsidR="6AA150D5" w:rsidRPr="009A6E6F">
        <w:t>he chemical must either</w:t>
      </w:r>
      <w:r w:rsidR="7AAA3524" w:rsidRPr="009A6E6F">
        <w:t>:</w:t>
      </w:r>
      <w:r w:rsidR="0342F713" w:rsidRPr="009A6E6F">
        <w:t xml:space="preserve"> </w:t>
      </w:r>
    </w:p>
    <w:p w14:paraId="2F723255" w14:textId="77777777" w:rsidR="00B12AE7" w:rsidRPr="009A6E6F" w:rsidRDefault="00284893" w:rsidP="00B12AE7">
      <w:pPr>
        <w:pStyle w:val="ListParagraph"/>
        <w:numPr>
          <w:ilvl w:val="1"/>
          <w:numId w:val="28"/>
        </w:numPr>
      </w:pPr>
      <w:r w:rsidRPr="009A6E6F">
        <w:t xml:space="preserve">not be known by the </w:t>
      </w:r>
      <w:r w:rsidR="00D4005A" w:rsidRPr="009A6E6F">
        <w:t xml:space="preserve">person </w:t>
      </w:r>
      <w:r w:rsidRPr="009A6E6F">
        <w:t>to contain fluorine</w:t>
      </w:r>
      <w:r w:rsidR="00D4005A" w:rsidRPr="009A6E6F">
        <w:t>;</w:t>
      </w:r>
      <w:r w:rsidRPr="009A6E6F">
        <w:t xml:space="preserve"> or </w:t>
      </w:r>
    </w:p>
    <w:p w14:paraId="5B99834B" w14:textId="08A4A59D" w:rsidR="00284893" w:rsidRPr="009A6E6F" w:rsidRDefault="00D4005A" w:rsidP="00804361">
      <w:pPr>
        <w:pStyle w:val="ListParagraph"/>
        <w:numPr>
          <w:ilvl w:val="1"/>
          <w:numId w:val="28"/>
        </w:numPr>
      </w:pPr>
      <w:r w:rsidRPr="009A6E6F">
        <w:t xml:space="preserve">is known by the person to </w:t>
      </w:r>
      <w:r w:rsidR="00284893" w:rsidRPr="009A6E6F">
        <w:t>be an inorganic salt</w:t>
      </w:r>
    </w:p>
    <w:p w14:paraId="20063E50" w14:textId="5F1CD52D" w:rsidR="00284893" w:rsidRPr="009A6E6F" w:rsidRDefault="00284893" w:rsidP="2305E1D4">
      <w:pPr>
        <w:pStyle w:val="ListParagraph"/>
        <w:numPr>
          <w:ilvl w:val="0"/>
          <w:numId w:val="28"/>
        </w:numPr>
        <w:spacing w:beforeAutospacing="1" w:line="259" w:lineRule="auto"/>
      </w:pPr>
      <w:r w:rsidRPr="009A6E6F">
        <w:t xml:space="preserve">the chemical must not be known to the </w:t>
      </w:r>
      <w:r w:rsidR="00D4005A" w:rsidRPr="009A6E6F">
        <w:t xml:space="preserve">person </w:t>
      </w:r>
      <w:r w:rsidRPr="009A6E6F">
        <w:t xml:space="preserve">to be persistent, </w:t>
      </w:r>
      <w:proofErr w:type="spellStart"/>
      <w:r w:rsidR="006876A4" w:rsidRPr="009A6E6F">
        <w:t>bioaccumulative</w:t>
      </w:r>
      <w:proofErr w:type="spellEnd"/>
      <w:r w:rsidRPr="009A6E6F">
        <w:t xml:space="preserve"> and toxic to the environment</w:t>
      </w:r>
      <w:r w:rsidR="00D4005A" w:rsidRPr="009A6E6F">
        <w:t xml:space="preserve"> (as described in the Industrial Chemicals Categorisation Guidelines, which are publicly available at </w:t>
      </w:r>
      <w:hyperlink r:id="rId15" w:history="1">
        <w:r w:rsidR="00724293" w:rsidRPr="009A6E6F">
          <w:t>www.industrialchemicals.gov.au/about-us/industrial-chemicals-law-australia</w:t>
        </w:r>
      </w:hyperlink>
      <w:r w:rsidR="18FF71B4" w:rsidRPr="009A6E6F">
        <w:t>)</w:t>
      </w:r>
      <w:r w:rsidRPr="009A6E6F">
        <w:t>, and</w:t>
      </w:r>
    </w:p>
    <w:p w14:paraId="3192A0E1" w14:textId="60AC5DDC" w:rsidR="00284893" w:rsidRPr="009A6E6F" w:rsidRDefault="00284893" w:rsidP="00284893">
      <w:pPr>
        <w:pStyle w:val="ListParagraph"/>
        <w:numPr>
          <w:ilvl w:val="0"/>
          <w:numId w:val="28"/>
        </w:numPr>
        <w:spacing w:beforeAutospacing="1" w:line="259" w:lineRule="auto"/>
      </w:pPr>
      <w:r w:rsidRPr="009A6E6F">
        <w:t>neither of the following applies:</w:t>
      </w:r>
    </w:p>
    <w:p w14:paraId="6132B180" w14:textId="35F4DE1F" w:rsidR="00284893" w:rsidRPr="009A6E6F" w:rsidRDefault="006876A4" w:rsidP="00284893">
      <w:pPr>
        <w:pStyle w:val="ListParagraph"/>
        <w:numPr>
          <w:ilvl w:val="0"/>
          <w:numId w:val="38"/>
        </w:numPr>
      </w:pPr>
      <w:r w:rsidRPr="009A6E6F">
        <w:t>a</w:t>
      </w:r>
      <w:r w:rsidR="00284893" w:rsidRPr="009A6E6F">
        <w:t>n assessment certificate for the chemical has been cancelled</w:t>
      </w:r>
      <w:r w:rsidR="00D4005A" w:rsidRPr="009A6E6F">
        <w:t xml:space="preserve"> under section 52 of the IC Act</w:t>
      </w:r>
      <w:r w:rsidRPr="009A6E6F">
        <w:t>,</w:t>
      </w:r>
      <w:r w:rsidR="00284893" w:rsidRPr="009A6E6F">
        <w:t xml:space="preserve"> or </w:t>
      </w:r>
    </w:p>
    <w:p w14:paraId="70D06C90" w14:textId="1616A738" w:rsidR="00284893" w:rsidRPr="009A6E6F" w:rsidRDefault="006876A4" w:rsidP="00284893">
      <w:pPr>
        <w:pStyle w:val="ListParagraph"/>
        <w:numPr>
          <w:ilvl w:val="0"/>
          <w:numId w:val="38"/>
        </w:numPr>
      </w:pPr>
      <w:r w:rsidRPr="009A6E6F">
        <w:t>t</w:t>
      </w:r>
      <w:r w:rsidR="00284893" w:rsidRPr="009A6E6F">
        <w:t xml:space="preserve">he chemical has been removed from the </w:t>
      </w:r>
      <w:r w:rsidR="00D043FE" w:rsidRPr="009A6E6F">
        <w:t xml:space="preserve">Australian </w:t>
      </w:r>
      <w:r w:rsidR="00284893" w:rsidRPr="009A6E6F">
        <w:t>Inventory</w:t>
      </w:r>
      <w:r w:rsidR="00D4005A" w:rsidRPr="009A6E6F">
        <w:t xml:space="preserve"> </w:t>
      </w:r>
      <w:r w:rsidR="00D043FE" w:rsidRPr="009A6E6F">
        <w:t xml:space="preserve">of Industrial Chemicals (the Inventory, established under section 80 of the IC Act) </w:t>
      </w:r>
      <w:r w:rsidR="00D4005A" w:rsidRPr="009A6E6F">
        <w:t>under section 95 of the IC Act</w:t>
      </w:r>
      <w:r w:rsidRPr="009A6E6F">
        <w:t>,</w:t>
      </w:r>
    </w:p>
    <w:p w14:paraId="06E1D431" w14:textId="6404BF65" w:rsidR="00284893" w:rsidRPr="009A6E6F" w:rsidRDefault="00284893" w:rsidP="00284893">
      <w:pPr>
        <w:pStyle w:val="ListParagraph"/>
      </w:pPr>
      <w:r w:rsidRPr="009A6E6F">
        <w:t>because the Executive Director</w:t>
      </w:r>
      <w:r w:rsidR="00D4005A" w:rsidRPr="009A6E6F">
        <w:t xml:space="preserve"> of the AICIS</w:t>
      </w:r>
      <w:r w:rsidRPr="009A6E6F">
        <w:t xml:space="preserve"> concluded as part of an </w:t>
      </w:r>
      <w:r w:rsidR="00D4005A" w:rsidRPr="009A6E6F">
        <w:t>e</w:t>
      </w:r>
      <w:r w:rsidRPr="009A6E6F">
        <w:t xml:space="preserve">valuation that the risks to human health </w:t>
      </w:r>
      <w:r w:rsidR="721ACF1D" w:rsidRPr="009A6E6F">
        <w:t xml:space="preserve">or the environment </w:t>
      </w:r>
      <w:r w:rsidRPr="009A6E6F">
        <w:t>from the introduction or use of the chemical could not be managed.</w:t>
      </w:r>
    </w:p>
    <w:p w14:paraId="701C285D" w14:textId="3D17D819" w:rsidR="006D10F7" w:rsidRPr="009A6E6F" w:rsidRDefault="006D10F7" w:rsidP="00191EC4">
      <w:pPr>
        <w:rPr>
          <w:b/>
          <w:bCs/>
          <w:shd w:val="clear" w:color="auto" w:fill="FFFFFF"/>
        </w:rPr>
      </w:pPr>
    </w:p>
    <w:p w14:paraId="45E4E7D9" w14:textId="44AF73BF" w:rsidR="00E863F2" w:rsidRPr="009A6E6F" w:rsidRDefault="000D04CE" w:rsidP="00B60BC0">
      <w:r w:rsidRPr="009A6E6F">
        <w:rPr>
          <w:shd w:val="clear" w:color="auto" w:fill="FFFFFF"/>
        </w:rPr>
        <w:lastRenderedPageBreak/>
        <w:t>N</w:t>
      </w:r>
      <w:r w:rsidR="00F73C60" w:rsidRPr="009A6E6F">
        <w:rPr>
          <w:shd w:val="clear" w:color="auto" w:fill="FFFFFF"/>
        </w:rPr>
        <w:t xml:space="preserve">ew </w:t>
      </w:r>
      <w:r w:rsidR="000D0F86" w:rsidRPr="009A6E6F">
        <w:t>s</w:t>
      </w:r>
      <w:r w:rsidR="00E863F2" w:rsidRPr="009A6E6F">
        <w:t xml:space="preserve">ubsection 27(7) </w:t>
      </w:r>
      <w:r w:rsidR="00F73C60" w:rsidRPr="009A6E6F">
        <w:t xml:space="preserve">clarifies for subparagraph </w:t>
      </w:r>
      <w:r w:rsidRPr="009A6E6F">
        <w:t>27</w:t>
      </w:r>
      <w:r w:rsidR="00F73C60" w:rsidRPr="009A6E6F">
        <w:t>(6)(g)(</w:t>
      </w:r>
      <w:proofErr w:type="spellStart"/>
      <w:r w:rsidR="00F73C60" w:rsidRPr="009A6E6F">
        <w:t>i</w:t>
      </w:r>
      <w:proofErr w:type="spellEnd"/>
      <w:r w:rsidR="00F73C60" w:rsidRPr="009A6E6F">
        <w:t xml:space="preserve">) that </w:t>
      </w:r>
      <w:r w:rsidR="008B2A5D" w:rsidRPr="009A6E6F">
        <w:t xml:space="preserve">in the situation </w:t>
      </w:r>
      <w:r w:rsidR="000D0F86" w:rsidRPr="009A6E6F">
        <w:t>when the Executive Director has cancelled an assessment certificate</w:t>
      </w:r>
      <w:r w:rsidR="00DD18CA" w:rsidRPr="009A6E6F">
        <w:t>,</w:t>
      </w:r>
      <w:r w:rsidR="000D0F86" w:rsidRPr="009A6E6F">
        <w:t xml:space="preserve"> </w:t>
      </w:r>
      <w:r w:rsidR="00E863F2" w:rsidRPr="009A6E6F">
        <w:t>it does not matter</w:t>
      </w:r>
      <w:r w:rsidR="000D0F86" w:rsidRPr="009A6E6F">
        <w:t xml:space="preserve"> </w:t>
      </w:r>
      <w:r w:rsidR="00E863F2" w:rsidRPr="009A6E6F">
        <w:t xml:space="preserve">who </w:t>
      </w:r>
      <w:r w:rsidR="00DD18CA" w:rsidRPr="009A6E6F">
        <w:t>held</w:t>
      </w:r>
      <w:r w:rsidR="00E863F2" w:rsidRPr="009A6E6F">
        <w:t xml:space="preserve"> the assessment certificate or</w:t>
      </w:r>
      <w:r w:rsidR="000D0F86" w:rsidRPr="009A6E6F">
        <w:t xml:space="preserve"> </w:t>
      </w:r>
      <w:r w:rsidR="00E863F2" w:rsidRPr="009A6E6F">
        <w:t xml:space="preserve">who was covered by the </w:t>
      </w:r>
      <w:r w:rsidR="008B2A5D" w:rsidRPr="009A6E6F">
        <w:t xml:space="preserve">same </w:t>
      </w:r>
      <w:r w:rsidR="00E863F2" w:rsidRPr="009A6E6F">
        <w:t>certificate.</w:t>
      </w:r>
    </w:p>
    <w:p w14:paraId="12802724" w14:textId="77777777" w:rsidR="00E863F2" w:rsidRPr="009A6E6F" w:rsidRDefault="00E863F2" w:rsidP="00191EC4">
      <w:pPr>
        <w:rPr>
          <w:b/>
          <w:bCs/>
          <w:shd w:val="clear" w:color="auto" w:fill="FFFFFF"/>
        </w:rPr>
      </w:pPr>
    </w:p>
    <w:p w14:paraId="6C9972C8" w14:textId="54E636EE" w:rsidR="004F382B" w:rsidRPr="009A6E6F" w:rsidRDefault="004F382B" w:rsidP="004F382B">
      <w:pPr>
        <w:rPr>
          <w:b/>
          <w:bCs/>
          <w:shd w:val="clear" w:color="auto" w:fill="FFFFFF"/>
        </w:rPr>
      </w:pPr>
      <w:r w:rsidRPr="009A6E6F">
        <w:rPr>
          <w:b/>
          <w:bCs/>
          <w:shd w:val="clear" w:color="auto" w:fill="FFFFFF"/>
        </w:rPr>
        <w:t>Item 4 – amendment to wording in subsection 41(2) (table item 6) for pre</w:t>
      </w:r>
      <w:r w:rsidR="1C600B70" w:rsidRPr="009A6E6F">
        <w:rPr>
          <w:b/>
          <w:bCs/>
          <w:shd w:val="clear" w:color="auto" w:fill="FFFFFF"/>
        </w:rPr>
        <w:t>-</w:t>
      </w:r>
      <w:r w:rsidRPr="009A6E6F">
        <w:rPr>
          <w:b/>
          <w:bCs/>
          <w:shd w:val="clear" w:color="auto" w:fill="FFFFFF"/>
        </w:rPr>
        <w:t>introduction reports for industrial chemicals that are solely for use in research and development</w:t>
      </w:r>
      <w:r w:rsidRPr="009A6E6F">
        <w:rPr>
          <w:b/>
          <w:bCs/>
          <w:shd w:val="clear" w:color="auto" w:fill="FFFFFF"/>
        </w:rPr>
        <w:noBreakHyphen/>
        <w:t xml:space="preserve"> </w:t>
      </w:r>
    </w:p>
    <w:p w14:paraId="55D54663" w14:textId="77777777" w:rsidR="004F382B" w:rsidRPr="009A6E6F" w:rsidRDefault="004F382B" w:rsidP="004F382B">
      <w:pPr>
        <w:rPr>
          <w:b/>
          <w:bCs/>
          <w:shd w:val="clear" w:color="auto" w:fill="FFFFFF"/>
        </w:rPr>
      </w:pPr>
    </w:p>
    <w:p w14:paraId="71FA14CF" w14:textId="4E36E129" w:rsidR="004F382B" w:rsidRPr="009A6E6F" w:rsidRDefault="004F382B" w:rsidP="004F382B">
      <w:pPr>
        <w:rPr>
          <w:shd w:val="clear" w:color="auto" w:fill="FFFFFF"/>
        </w:rPr>
      </w:pPr>
      <w:r w:rsidRPr="009A6E6F">
        <w:rPr>
          <w:shd w:val="clear" w:color="auto" w:fill="FFFFFF"/>
        </w:rPr>
        <w:t>Item 4 amends</w:t>
      </w:r>
      <w:r w:rsidR="2CCC09FC" w:rsidRPr="009A6E6F">
        <w:rPr>
          <w:shd w:val="clear" w:color="auto" w:fill="FFFFFF"/>
        </w:rPr>
        <w:t xml:space="preserve"> table</w:t>
      </w:r>
      <w:r w:rsidRPr="009A6E6F">
        <w:rPr>
          <w:shd w:val="clear" w:color="auto" w:fill="FFFFFF"/>
        </w:rPr>
        <w:t xml:space="preserve"> item 6 in the table to subsection 41(2) to omit the words</w:t>
      </w:r>
      <w:r w:rsidRPr="009A6E6F">
        <w:t xml:space="preserve"> </w:t>
      </w:r>
      <w:r w:rsidRPr="009A6E6F">
        <w:rPr>
          <w:shd w:val="clear" w:color="auto" w:fill="FFFFFF"/>
        </w:rPr>
        <w:t>“have been” and substitute “are being”. This amendment changes the wording to the present tense to clarify that the requirement can only be met at the time of introduction</w:t>
      </w:r>
      <w:r w:rsidR="4714106C" w:rsidRPr="009A6E6F">
        <w:rPr>
          <w:shd w:val="clear" w:color="auto" w:fill="FFFFFF"/>
        </w:rPr>
        <w:t>, rather than at the time when the pre-introduction report is submitted</w:t>
      </w:r>
      <w:r w:rsidRPr="009A6E6F">
        <w:rPr>
          <w:shd w:val="clear" w:color="auto" w:fill="FFFFFF"/>
        </w:rPr>
        <w:t xml:space="preserve">. This complements a similar provision in item 5 below (specifically </w:t>
      </w:r>
      <w:r w:rsidR="0A605AFC" w:rsidRPr="009A6E6F">
        <w:rPr>
          <w:shd w:val="clear" w:color="auto" w:fill="FFFFFF"/>
        </w:rPr>
        <w:t xml:space="preserve">table </w:t>
      </w:r>
      <w:r w:rsidRPr="009A6E6F">
        <w:rPr>
          <w:shd w:val="clear" w:color="auto" w:fill="FFFFFF"/>
        </w:rPr>
        <w:t xml:space="preserve">item 8 in the table set out in new subsection 42A(2)). </w:t>
      </w:r>
    </w:p>
    <w:p w14:paraId="2E34E1CE" w14:textId="77777777" w:rsidR="004F382B" w:rsidRPr="009A6E6F" w:rsidRDefault="004F382B" w:rsidP="00191EC4">
      <w:pPr>
        <w:rPr>
          <w:b/>
          <w:bCs/>
          <w:shd w:val="clear" w:color="auto" w:fill="FFFFFF"/>
        </w:rPr>
      </w:pPr>
    </w:p>
    <w:p w14:paraId="22BE662B" w14:textId="241C68E1" w:rsidR="00D45EE4" w:rsidRPr="009A6E6F" w:rsidRDefault="00F1029E" w:rsidP="007A40A5">
      <w:pPr>
        <w:keepNext/>
        <w:rPr>
          <w:b/>
          <w:bCs/>
          <w:shd w:val="clear" w:color="auto" w:fill="FFFFFF"/>
        </w:rPr>
      </w:pPr>
      <w:r w:rsidRPr="009A6E6F">
        <w:rPr>
          <w:b/>
          <w:bCs/>
          <w:shd w:val="clear" w:color="auto" w:fill="FFFFFF"/>
        </w:rPr>
        <w:t xml:space="preserve">Item </w:t>
      </w:r>
      <w:r w:rsidR="004F382B" w:rsidRPr="009A6E6F">
        <w:rPr>
          <w:b/>
          <w:bCs/>
          <w:shd w:val="clear" w:color="auto" w:fill="FFFFFF"/>
        </w:rPr>
        <w:t>5</w:t>
      </w:r>
      <w:r w:rsidRPr="009A6E6F">
        <w:rPr>
          <w:b/>
          <w:bCs/>
          <w:shd w:val="clear" w:color="auto" w:fill="FFFFFF"/>
        </w:rPr>
        <w:t xml:space="preserve"> – Amendment to add</w:t>
      </w:r>
      <w:r w:rsidR="166413FD" w:rsidRPr="009A6E6F">
        <w:rPr>
          <w:b/>
          <w:bCs/>
          <w:shd w:val="clear" w:color="auto" w:fill="FFFFFF"/>
        </w:rPr>
        <w:t xml:space="preserve"> the prescribed information for</w:t>
      </w:r>
      <w:r w:rsidRPr="009A6E6F">
        <w:rPr>
          <w:b/>
          <w:bCs/>
          <w:shd w:val="clear" w:color="auto" w:fill="FFFFFF"/>
        </w:rPr>
        <w:t xml:space="preserve"> </w:t>
      </w:r>
      <w:r w:rsidR="007A0EAC" w:rsidRPr="009A6E6F">
        <w:rPr>
          <w:b/>
          <w:bCs/>
          <w:shd w:val="clear" w:color="auto" w:fill="FFFFFF"/>
        </w:rPr>
        <w:t>p</w:t>
      </w:r>
      <w:r w:rsidR="00EB10A2" w:rsidRPr="009A6E6F">
        <w:rPr>
          <w:b/>
          <w:bCs/>
          <w:shd w:val="clear" w:color="auto" w:fill="FFFFFF"/>
        </w:rPr>
        <w:t>re-introduction report</w:t>
      </w:r>
      <w:r w:rsidR="228C1C55" w:rsidRPr="009A6E6F">
        <w:rPr>
          <w:b/>
          <w:bCs/>
          <w:shd w:val="clear" w:color="auto" w:fill="FFFFFF"/>
        </w:rPr>
        <w:t>s</w:t>
      </w:r>
      <w:r w:rsidR="00FA434E" w:rsidRPr="009A6E6F">
        <w:rPr>
          <w:b/>
          <w:bCs/>
          <w:shd w:val="clear" w:color="auto" w:fill="FFFFFF"/>
        </w:rPr>
        <w:t xml:space="preserve"> </w:t>
      </w:r>
      <w:r w:rsidR="00EB10A2" w:rsidRPr="009A6E6F">
        <w:rPr>
          <w:b/>
          <w:bCs/>
          <w:shd w:val="clear" w:color="auto" w:fill="FFFFFF"/>
        </w:rPr>
        <w:t xml:space="preserve">for </w:t>
      </w:r>
      <w:r w:rsidR="001F4993" w:rsidRPr="009A6E6F">
        <w:rPr>
          <w:b/>
          <w:bCs/>
          <w:shd w:val="clear" w:color="auto" w:fill="FFFFFF"/>
        </w:rPr>
        <w:t xml:space="preserve">reported </w:t>
      </w:r>
      <w:r w:rsidR="00EB10A2" w:rsidRPr="009A6E6F">
        <w:rPr>
          <w:b/>
          <w:bCs/>
        </w:rPr>
        <w:t>i</w:t>
      </w:r>
      <w:r w:rsidRPr="009A6E6F">
        <w:rPr>
          <w:b/>
          <w:bCs/>
        </w:rPr>
        <w:t>ntroductions of 10 kg or less of an industrial chemical</w:t>
      </w:r>
    </w:p>
    <w:p w14:paraId="24007653" w14:textId="70D7276D" w:rsidR="00F1029E" w:rsidRPr="009A6E6F" w:rsidRDefault="00F1029E" w:rsidP="007A40A5">
      <w:pPr>
        <w:keepNext/>
        <w:rPr>
          <w:b/>
          <w:bCs/>
          <w:shd w:val="clear" w:color="auto" w:fill="FFFFFF"/>
        </w:rPr>
      </w:pPr>
    </w:p>
    <w:p w14:paraId="293D46F7" w14:textId="43A364F9" w:rsidR="007A0EAC" w:rsidRPr="009A6E6F" w:rsidRDefault="000D04CE" w:rsidP="00F1029E">
      <w:pPr>
        <w:rPr>
          <w:shd w:val="clear" w:color="auto" w:fill="FFFFFF"/>
        </w:rPr>
      </w:pPr>
      <w:r w:rsidRPr="009A6E6F">
        <w:rPr>
          <w:shd w:val="clear" w:color="auto" w:fill="FFFFFF"/>
        </w:rPr>
        <w:t>Item </w:t>
      </w:r>
      <w:r w:rsidR="004F382B" w:rsidRPr="009A6E6F">
        <w:rPr>
          <w:shd w:val="clear" w:color="auto" w:fill="FFFFFF"/>
        </w:rPr>
        <w:t>5</w:t>
      </w:r>
      <w:r w:rsidRPr="009A6E6F">
        <w:rPr>
          <w:shd w:val="clear" w:color="auto" w:fill="FFFFFF"/>
        </w:rPr>
        <w:t xml:space="preserve"> inserts new section 42A after section 42 of the General Rules. </w:t>
      </w:r>
      <w:r w:rsidR="00F1029E" w:rsidRPr="009A6E6F">
        <w:rPr>
          <w:shd w:val="clear" w:color="auto" w:fill="FFFFFF"/>
        </w:rPr>
        <w:t xml:space="preserve">This amendment </w:t>
      </w:r>
      <w:r w:rsidR="007A0EAC" w:rsidRPr="009A6E6F">
        <w:rPr>
          <w:shd w:val="clear" w:color="auto" w:fill="FFFFFF"/>
        </w:rPr>
        <w:t>complements the changes made in item 3 and sets out the pre</w:t>
      </w:r>
      <w:r w:rsidRPr="009A6E6F">
        <w:rPr>
          <w:shd w:val="clear" w:color="auto" w:fill="FFFFFF"/>
        </w:rPr>
        <w:noBreakHyphen/>
      </w:r>
      <w:r w:rsidR="007A0EAC" w:rsidRPr="009A6E6F">
        <w:rPr>
          <w:shd w:val="clear" w:color="auto" w:fill="FFFFFF"/>
        </w:rPr>
        <w:t xml:space="preserve">introduction reporting requirements for reported introductions of 10 kg or less. </w:t>
      </w:r>
    </w:p>
    <w:p w14:paraId="2493F7BE" w14:textId="77777777" w:rsidR="007A0EAC" w:rsidRPr="009A6E6F" w:rsidRDefault="007A0EAC" w:rsidP="00F1029E">
      <w:pPr>
        <w:rPr>
          <w:shd w:val="clear" w:color="auto" w:fill="FFFFFF"/>
        </w:rPr>
      </w:pPr>
    </w:p>
    <w:p w14:paraId="62865EB7" w14:textId="6E656B56" w:rsidR="000D04CE" w:rsidRPr="009A6E6F" w:rsidRDefault="000D04CE" w:rsidP="2305E1D4">
      <w:pPr>
        <w:shd w:val="clear" w:color="auto" w:fill="FFFFFF" w:themeFill="background1"/>
      </w:pPr>
      <w:r w:rsidRPr="009A6E6F">
        <w:t>New s</w:t>
      </w:r>
      <w:r w:rsidR="006B132A" w:rsidRPr="009A6E6F">
        <w:t xml:space="preserve">ection 42A </w:t>
      </w:r>
      <w:r w:rsidRPr="009A6E6F">
        <w:t>prescribes</w:t>
      </w:r>
      <w:r w:rsidR="006B132A" w:rsidRPr="009A6E6F">
        <w:t xml:space="preserve"> the information that must be included in the pre</w:t>
      </w:r>
      <w:r w:rsidRPr="009A6E6F">
        <w:noBreakHyphen/>
      </w:r>
      <w:r w:rsidR="006B132A" w:rsidRPr="009A6E6F">
        <w:t xml:space="preserve">introduction report for a reported introduction of 10 kg or less of an industrial chemical (under </w:t>
      </w:r>
      <w:r w:rsidRPr="009A6E6F">
        <w:t xml:space="preserve">new </w:t>
      </w:r>
      <w:r w:rsidR="006B132A" w:rsidRPr="009A6E6F">
        <w:t>subsection 27(6)</w:t>
      </w:r>
      <w:r w:rsidRPr="009A6E6F">
        <w:t xml:space="preserve"> to be inserted by item 2 above</w:t>
      </w:r>
      <w:r w:rsidR="006B132A" w:rsidRPr="009A6E6F">
        <w:t xml:space="preserve">). </w:t>
      </w:r>
    </w:p>
    <w:p w14:paraId="2474726B" w14:textId="77777777" w:rsidR="000D04CE" w:rsidRPr="009A6E6F" w:rsidRDefault="000D04CE" w:rsidP="006B132A">
      <w:pPr>
        <w:shd w:val="clear" w:color="auto" w:fill="FFFFFF"/>
      </w:pPr>
    </w:p>
    <w:p w14:paraId="61036715" w14:textId="502D3CA3" w:rsidR="00DF27AB" w:rsidRPr="009A6E6F" w:rsidRDefault="006B132A" w:rsidP="008D0800">
      <w:pPr>
        <w:keepNext/>
        <w:shd w:val="clear" w:color="auto" w:fill="FFFFFF"/>
      </w:pPr>
      <w:r w:rsidRPr="009A6E6F">
        <w:t xml:space="preserve">The table </w:t>
      </w:r>
      <w:r w:rsidR="000D04CE" w:rsidRPr="009A6E6F">
        <w:t>to new section 42A prescribes the following information</w:t>
      </w:r>
      <w:r w:rsidRPr="009A6E6F">
        <w:t>:</w:t>
      </w:r>
    </w:p>
    <w:p w14:paraId="170EF6D8" w14:textId="77777777" w:rsidR="00DF27AB" w:rsidRPr="009A6E6F" w:rsidRDefault="00DF27AB" w:rsidP="008D0800">
      <w:pPr>
        <w:keepNext/>
        <w:shd w:val="clear" w:color="auto" w:fill="FFFFFF"/>
      </w:pPr>
    </w:p>
    <w:p w14:paraId="6FB7334C" w14:textId="3D10F8CB" w:rsidR="008F5BE5" w:rsidRPr="009A6E6F" w:rsidRDefault="366B265F" w:rsidP="008D0800">
      <w:pPr>
        <w:pStyle w:val="ListParagraph"/>
        <w:keepNext/>
        <w:numPr>
          <w:ilvl w:val="0"/>
          <w:numId w:val="25"/>
        </w:numPr>
      </w:pPr>
      <w:r w:rsidRPr="009A6E6F">
        <w:t xml:space="preserve">the chemical identity of the industrial chemical. The nature of the chemical identity information needed is dependent upon whether the proper name </w:t>
      </w:r>
      <w:r w:rsidR="3C272085" w:rsidRPr="009A6E6F">
        <w:t xml:space="preserve">or any other names by which the industrial chemical is known </w:t>
      </w:r>
      <w:r w:rsidRPr="009A6E6F">
        <w:t>(including the CAS</w:t>
      </w:r>
      <w:r w:rsidR="157AB79F" w:rsidRPr="009A6E6F">
        <w:t xml:space="preserve"> name</w:t>
      </w:r>
      <w:r w:rsidRPr="009A6E6F">
        <w:t>, IN</w:t>
      </w:r>
      <w:r w:rsidR="5FE4A864" w:rsidRPr="009A6E6F">
        <w:t>C</w:t>
      </w:r>
      <w:r w:rsidRPr="009A6E6F">
        <w:t xml:space="preserve">I </w:t>
      </w:r>
      <w:r w:rsidR="157AB79F" w:rsidRPr="009A6E6F">
        <w:t xml:space="preserve">name </w:t>
      </w:r>
      <w:r w:rsidRPr="009A6E6F">
        <w:t xml:space="preserve">or the IUPAC name) is known to the </w:t>
      </w:r>
      <w:r w:rsidR="32B6C5BB" w:rsidRPr="009A6E6F">
        <w:t>person</w:t>
      </w:r>
      <w:r w:rsidRPr="009A6E6F">
        <w:t>.</w:t>
      </w:r>
    </w:p>
    <w:p w14:paraId="265D5DE4" w14:textId="43D3BC00" w:rsidR="008F5BE5" w:rsidRPr="009A6E6F" w:rsidRDefault="745D0A4F" w:rsidP="008F5BE5">
      <w:pPr>
        <w:pStyle w:val="ListParagraph"/>
        <w:keepNext/>
        <w:numPr>
          <w:ilvl w:val="1"/>
          <w:numId w:val="25"/>
        </w:numPr>
      </w:pPr>
      <w:r w:rsidRPr="009A6E6F">
        <w:rPr>
          <w:shd w:val="clear" w:color="auto" w:fill="FFFFFF"/>
        </w:rPr>
        <w:t>The </w:t>
      </w:r>
      <w:r w:rsidRPr="009A6E6F">
        <w:rPr>
          <w:b/>
          <w:bCs/>
          <w:i/>
          <w:iCs/>
          <w:shd w:val="clear" w:color="auto" w:fill="FFFFFF"/>
        </w:rPr>
        <w:t>CAS name</w:t>
      </w:r>
      <w:r w:rsidRPr="009A6E6F">
        <w:rPr>
          <w:shd w:val="clear" w:color="auto" w:fill="FFFFFF"/>
        </w:rPr>
        <w:t> refers to the Chemical Abstracts Index Name and the </w:t>
      </w:r>
      <w:r w:rsidRPr="009A6E6F">
        <w:rPr>
          <w:b/>
          <w:bCs/>
          <w:i/>
          <w:iCs/>
          <w:shd w:val="clear" w:color="auto" w:fill="FFFFFF"/>
        </w:rPr>
        <w:t>CAS number</w:t>
      </w:r>
      <w:r w:rsidRPr="009A6E6F">
        <w:rPr>
          <w:shd w:val="clear" w:color="auto" w:fill="FFFFFF"/>
        </w:rPr>
        <w:t xml:space="preserve"> refers to the Chemical Abstracts Service Registry Number </w:t>
      </w:r>
      <w:r w:rsidR="40E43829" w:rsidRPr="009A6E6F">
        <w:rPr>
          <w:shd w:val="clear" w:color="auto" w:fill="FFFFFF"/>
        </w:rPr>
        <w:t xml:space="preserve">for </w:t>
      </w:r>
      <w:r w:rsidR="3C44F274" w:rsidRPr="009A6E6F">
        <w:rPr>
          <w:shd w:val="clear" w:color="auto" w:fill="FFFFFF"/>
        </w:rPr>
        <w:t xml:space="preserve">the </w:t>
      </w:r>
      <w:r w:rsidR="40E43829" w:rsidRPr="009A6E6F">
        <w:rPr>
          <w:shd w:val="clear" w:color="auto" w:fill="FFFFFF"/>
        </w:rPr>
        <w:t xml:space="preserve">industrial chemical. These terms </w:t>
      </w:r>
      <w:r w:rsidRPr="009A6E6F">
        <w:rPr>
          <w:shd w:val="clear" w:color="auto" w:fill="FFFFFF"/>
        </w:rPr>
        <w:t xml:space="preserve">are defined under the </w:t>
      </w:r>
      <w:r w:rsidR="00FA434E" w:rsidRPr="009A6E6F">
        <w:rPr>
          <w:shd w:val="clear" w:color="auto" w:fill="FFFFFF"/>
        </w:rPr>
        <w:t>IC </w:t>
      </w:r>
      <w:r w:rsidRPr="009A6E6F">
        <w:rPr>
          <w:shd w:val="clear" w:color="auto" w:fill="FFFFFF"/>
        </w:rPr>
        <w:t>Act.</w:t>
      </w:r>
    </w:p>
    <w:p w14:paraId="611FF40D" w14:textId="1C2CC193" w:rsidR="00B604DE" w:rsidRPr="009A6E6F" w:rsidRDefault="008F5BE5" w:rsidP="008F5BE5">
      <w:pPr>
        <w:pStyle w:val="ListParagraph"/>
        <w:keepNext/>
        <w:numPr>
          <w:ilvl w:val="1"/>
          <w:numId w:val="25"/>
        </w:numPr>
      </w:pPr>
      <w:r w:rsidRPr="009A6E6F">
        <w:rPr>
          <w:shd w:val="clear" w:color="auto" w:fill="FFFFFF"/>
        </w:rPr>
        <w:t xml:space="preserve">The </w:t>
      </w:r>
      <w:r w:rsidRPr="009A6E6F">
        <w:rPr>
          <w:b/>
          <w:bCs/>
          <w:i/>
          <w:iCs/>
          <w:shd w:val="clear" w:color="auto" w:fill="FFFFFF"/>
        </w:rPr>
        <w:t>IUPAC name</w:t>
      </w:r>
      <w:r w:rsidRPr="009A6E6F">
        <w:rPr>
          <w:shd w:val="clear" w:color="auto" w:fill="FFFFFF"/>
        </w:rPr>
        <w:t>, means the International Union of Pure and Applied Chemistry name for the industrial chemical and the</w:t>
      </w:r>
      <w:r w:rsidRPr="009A6E6F">
        <w:rPr>
          <w:b/>
          <w:bCs/>
          <w:i/>
          <w:iCs/>
          <w:shd w:val="clear" w:color="auto" w:fill="FFFFFF"/>
        </w:rPr>
        <w:t xml:space="preserve"> INCI name</w:t>
      </w:r>
      <w:r w:rsidRPr="009A6E6F">
        <w:rPr>
          <w:shd w:val="clear" w:color="auto" w:fill="FFFFFF"/>
        </w:rPr>
        <w:t>, means the International Nomenclature of Cosmetic Ingredients name for the industrial chemical and are defined under the General Rules.</w:t>
      </w:r>
    </w:p>
    <w:p w14:paraId="27D64747" w14:textId="77777777" w:rsidR="00064D01" w:rsidRPr="009A6E6F" w:rsidRDefault="00A834A3" w:rsidP="00B604DE">
      <w:pPr>
        <w:pStyle w:val="ListParagraph"/>
        <w:numPr>
          <w:ilvl w:val="1"/>
          <w:numId w:val="25"/>
        </w:numPr>
      </w:pPr>
      <w:r w:rsidRPr="009A6E6F">
        <w:t xml:space="preserve">If the </w:t>
      </w:r>
      <w:r w:rsidR="00B604DE" w:rsidRPr="009A6E6F">
        <w:t>CAS number</w:t>
      </w:r>
      <w:r w:rsidRPr="009A6E6F">
        <w:t xml:space="preserve"> for the industrial chemical is known to the introducer, it must be provided in the report, together with the CAS </w:t>
      </w:r>
      <w:r w:rsidR="00B604DE" w:rsidRPr="009A6E6F">
        <w:t>name</w:t>
      </w:r>
      <w:r w:rsidRPr="009A6E6F">
        <w:t xml:space="preserve">, </w:t>
      </w:r>
      <w:r w:rsidR="00B604DE" w:rsidRPr="009A6E6F">
        <w:t xml:space="preserve">IUPAC name or INCI name </w:t>
      </w:r>
      <w:r w:rsidRPr="009A6E6F">
        <w:t xml:space="preserve">and any other names by which the chemical is known to the </w:t>
      </w:r>
      <w:r w:rsidR="00F43BF7" w:rsidRPr="009A6E6F">
        <w:t>person</w:t>
      </w:r>
      <w:r w:rsidRPr="009A6E6F">
        <w:t>.</w:t>
      </w:r>
    </w:p>
    <w:p w14:paraId="3859DBE1" w14:textId="7689A313" w:rsidR="00F43BF7" w:rsidRPr="009A6E6F" w:rsidRDefault="00F43BF7" w:rsidP="00B604DE">
      <w:pPr>
        <w:pStyle w:val="ListParagraph"/>
        <w:numPr>
          <w:ilvl w:val="1"/>
          <w:numId w:val="25"/>
        </w:numPr>
      </w:pPr>
      <w:r w:rsidRPr="009A6E6F">
        <w:t xml:space="preserve">If a CAS number for the industrial chemical is not assigned or </w:t>
      </w:r>
      <w:r w:rsidR="00782925" w:rsidRPr="009A6E6F">
        <w:t xml:space="preserve">is not </w:t>
      </w:r>
      <w:r w:rsidRPr="009A6E6F">
        <w:t>known to the person</w:t>
      </w:r>
      <w:r w:rsidR="00782925" w:rsidRPr="009A6E6F">
        <w:t>,</w:t>
      </w:r>
      <w:r w:rsidRPr="009A6E6F">
        <w:t xml:space="preserve"> but the CAS name or IUPAC name for the industrial chemical is known to the person, then the CAS name or IUPAC name for the industrial chemical and any other names by which the industrial chemical is known to the person must be provided in the report.</w:t>
      </w:r>
    </w:p>
    <w:p w14:paraId="722E5C3E" w14:textId="3D15708D" w:rsidR="003D3DB4" w:rsidRPr="009A6E6F" w:rsidRDefault="00A834A3" w:rsidP="00B604DE">
      <w:pPr>
        <w:pStyle w:val="ListParagraph"/>
        <w:numPr>
          <w:ilvl w:val="1"/>
          <w:numId w:val="25"/>
        </w:numPr>
      </w:pPr>
      <w:r w:rsidRPr="009A6E6F">
        <w:lastRenderedPageBreak/>
        <w:t xml:space="preserve">If </w:t>
      </w:r>
      <w:r w:rsidR="00782925" w:rsidRPr="009A6E6F">
        <w:t xml:space="preserve">a </w:t>
      </w:r>
      <w:r w:rsidR="003D3DB4" w:rsidRPr="009A6E6F">
        <w:t>CAS number</w:t>
      </w:r>
      <w:r w:rsidR="00782925" w:rsidRPr="009A6E6F">
        <w:t xml:space="preserve"> for the industrial chemical is not assigned or</w:t>
      </w:r>
      <w:r w:rsidR="003D3DB4" w:rsidRPr="009A6E6F">
        <w:t xml:space="preserve"> is </w:t>
      </w:r>
      <w:r w:rsidRPr="009A6E6F">
        <w:t xml:space="preserve">not known to the </w:t>
      </w:r>
      <w:r w:rsidR="00F43BF7" w:rsidRPr="009A6E6F">
        <w:t xml:space="preserve">person </w:t>
      </w:r>
      <w:r w:rsidR="003D3DB4" w:rsidRPr="009A6E6F">
        <w:t>(or is not assigned)</w:t>
      </w:r>
      <w:r w:rsidRPr="009A6E6F">
        <w:t>,</w:t>
      </w:r>
      <w:r w:rsidR="003D3DB4" w:rsidRPr="009A6E6F">
        <w:t xml:space="preserve"> and neither the CAS name </w:t>
      </w:r>
      <w:r w:rsidR="00782925" w:rsidRPr="009A6E6F">
        <w:t>nor the</w:t>
      </w:r>
      <w:r w:rsidR="003D3DB4" w:rsidRPr="009A6E6F">
        <w:t xml:space="preserve"> IUPAC name is known</w:t>
      </w:r>
      <w:r w:rsidR="00782925" w:rsidRPr="009A6E6F">
        <w:t xml:space="preserve"> to the person</w:t>
      </w:r>
      <w:r w:rsidR="003D3DB4" w:rsidRPr="009A6E6F">
        <w:t>, but the INCI name is known</w:t>
      </w:r>
      <w:r w:rsidR="00782925" w:rsidRPr="009A6E6F">
        <w:t xml:space="preserve"> to the person,</w:t>
      </w:r>
      <w:r w:rsidR="003D3DB4" w:rsidRPr="009A6E6F">
        <w:t xml:space="preserve"> then the INCI name must be provided</w:t>
      </w:r>
      <w:r w:rsidR="00782925" w:rsidRPr="009A6E6F">
        <w:t xml:space="preserve"> in the report</w:t>
      </w:r>
      <w:r w:rsidR="003D3DB4" w:rsidRPr="009A6E6F">
        <w:t>.</w:t>
      </w:r>
    </w:p>
    <w:p w14:paraId="680BE468" w14:textId="2809EF30" w:rsidR="003D3DB4" w:rsidRPr="009A6E6F" w:rsidRDefault="003D3DB4" w:rsidP="00B604DE">
      <w:pPr>
        <w:pStyle w:val="ListParagraph"/>
        <w:numPr>
          <w:ilvl w:val="1"/>
          <w:numId w:val="25"/>
        </w:numPr>
      </w:pPr>
      <w:r w:rsidRPr="009A6E6F">
        <w:t xml:space="preserve">If </w:t>
      </w:r>
      <w:r w:rsidR="00782925" w:rsidRPr="009A6E6F">
        <w:t xml:space="preserve">a CAS number for the industrial chemical is not assigned or is not known to </w:t>
      </w:r>
      <w:r w:rsidRPr="009A6E6F">
        <w:t>the</w:t>
      </w:r>
      <w:r w:rsidR="00782925" w:rsidRPr="009A6E6F">
        <w:t xml:space="preserve"> person (the</w:t>
      </w:r>
      <w:r w:rsidRPr="009A6E6F">
        <w:t xml:space="preserve"> introducer</w:t>
      </w:r>
      <w:r w:rsidR="00782925" w:rsidRPr="009A6E6F">
        <w:t xml:space="preserve">) and the introducer does not know </w:t>
      </w:r>
      <w:r w:rsidRPr="009A6E6F">
        <w:t xml:space="preserve"> </w:t>
      </w:r>
      <w:r w:rsidR="00782925" w:rsidRPr="009A6E6F">
        <w:t xml:space="preserve"> the</w:t>
      </w:r>
      <w:r w:rsidRPr="009A6E6F">
        <w:t xml:space="preserve"> CAS name, IUPAC name </w:t>
      </w:r>
      <w:r w:rsidR="00782925" w:rsidRPr="009A6E6F">
        <w:t xml:space="preserve">or </w:t>
      </w:r>
      <w:r w:rsidRPr="009A6E6F">
        <w:t xml:space="preserve">INCI name for the </w:t>
      </w:r>
      <w:r w:rsidR="00782925" w:rsidRPr="009A6E6F">
        <w:t xml:space="preserve">industrial </w:t>
      </w:r>
      <w:r w:rsidRPr="009A6E6F">
        <w:t>chemical then they must provide:</w:t>
      </w:r>
    </w:p>
    <w:p w14:paraId="43C6AE52" w14:textId="3904A44E" w:rsidR="003D3DB4" w:rsidRPr="009A6E6F" w:rsidRDefault="003D3DB4" w:rsidP="003D3DB4">
      <w:pPr>
        <w:pStyle w:val="ListParagraph"/>
        <w:numPr>
          <w:ilvl w:val="2"/>
          <w:numId w:val="25"/>
        </w:numPr>
      </w:pPr>
      <w:r w:rsidRPr="009A6E6F">
        <w:t xml:space="preserve">the names </w:t>
      </w:r>
      <w:r w:rsidR="00782925" w:rsidRPr="009A6E6F">
        <w:t xml:space="preserve">by which </w:t>
      </w:r>
      <w:r w:rsidR="0D796C97" w:rsidRPr="009A6E6F">
        <w:t xml:space="preserve">the industrial chemical is known to </w:t>
      </w:r>
      <w:r w:rsidR="00782925" w:rsidRPr="009A6E6F">
        <w:t>the introducer</w:t>
      </w:r>
      <w:r w:rsidR="00FA434E" w:rsidRPr="009A6E6F">
        <w:t>,</w:t>
      </w:r>
      <w:r w:rsidR="00782925" w:rsidRPr="009A6E6F">
        <w:t xml:space="preserve"> and;</w:t>
      </w:r>
    </w:p>
    <w:p w14:paraId="43F662CC" w14:textId="270E34D9" w:rsidR="00B604DE" w:rsidRPr="009A6E6F" w:rsidRDefault="366B265F" w:rsidP="00B60BC0">
      <w:pPr>
        <w:pStyle w:val="ListParagraph"/>
        <w:numPr>
          <w:ilvl w:val="2"/>
          <w:numId w:val="25"/>
        </w:numPr>
      </w:pPr>
      <w:r w:rsidRPr="009A6E6F">
        <w:t xml:space="preserve">the name of the </w:t>
      </w:r>
      <w:r w:rsidR="46F66B23" w:rsidRPr="009A6E6F">
        <w:t xml:space="preserve">person whom the introducer believes on reasonable grounds would provide the </w:t>
      </w:r>
      <w:r w:rsidR="138FF393" w:rsidRPr="009A6E6F">
        <w:t xml:space="preserve">CAS number (if assigned), and CAS name, IUPAC name or INCI name of the industrial chemical </w:t>
      </w:r>
      <w:r w:rsidR="46F66B23" w:rsidRPr="009A6E6F">
        <w:t>to the Executive Director, if requested.</w:t>
      </w:r>
    </w:p>
    <w:p w14:paraId="078368F1" w14:textId="39D545EC" w:rsidR="00E9494A" w:rsidRPr="009A6E6F" w:rsidRDefault="7E6E0158" w:rsidP="00E9494A">
      <w:pPr>
        <w:pStyle w:val="ListParagraph"/>
        <w:numPr>
          <w:ilvl w:val="0"/>
          <w:numId w:val="25"/>
        </w:numPr>
      </w:pPr>
      <w:r w:rsidRPr="009A6E6F">
        <w:t xml:space="preserve">information about </w:t>
      </w:r>
      <w:r w:rsidR="40C34751" w:rsidRPr="009A6E6F">
        <w:t xml:space="preserve">introduction of </w:t>
      </w:r>
      <w:r w:rsidRPr="009A6E6F">
        <w:t xml:space="preserve">the </w:t>
      </w:r>
      <w:r w:rsidR="698C6CD3" w:rsidRPr="009A6E6F">
        <w:t xml:space="preserve">industrial </w:t>
      </w:r>
      <w:r w:rsidRPr="009A6E6F">
        <w:t>chemical</w:t>
      </w:r>
      <w:r w:rsidR="6CB89B78" w:rsidRPr="009A6E6F">
        <w:t xml:space="preserve"> as a solid, in dispersion or neither</w:t>
      </w:r>
      <w:r w:rsidR="1682F4E1" w:rsidRPr="009A6E6F">
        <w:t>,</w:t>
      </w:r>
      <w:r w:rsidRPr="009A6E6F">
        <w:t xml:space="preserve"> </w:t>
      </w:r>
      <w:r w:rsidR="3123DCCA" w:rsidRPr="009A6E6F">
        <w:t>based on the knowledge of the person</w:t>
      </w:r>
      <w:r w:rsidR="7652693D" w:rsidRPr="009A6E6F">
        <w:t>:</w:t>
      </w:r>
    </w:p>
    <w:p w14:paraId="798C0957" w14:textId="047070D4" w:rsidR="00E9494A" w:rsidRPr="009A6E6F" w:rsidRDefault="3C272085" w:rsidP="0F473930">
      <w:pPr>
        <w:pStyle w:val="ListParagraph"/>
        <w:numPr>
          <w:ilvl w:val="1"/>
          <w:numId w:val="25"/>
        </w:numPr>
      </w:pPr>
      <w:r w:rsidRPr="009A6E6F">
        <w:t>whether the</w:t>
      </w:r>
      <w:r w:rsidR="49907E5D" w:rsidRPr="009A6E6F">
        <w:t xml:space="preserve"> industrial</w:t>
      </w:r>
      <w:r w:rsidRPr="009A6E6F">
        <w:t xml:space="preserve"> chemical will be introduced </w:t>
      </w:r>
      <w:r w:rsidR="78E58DFC" w:rsidRPr="009A6E6F">
        <w:t xml:space="preserve">as </w:t>
      </w:r>
      <w:r w:rsidRPr="009A6E6F">
        <w:t>a solid or in dispersion</w:t>
      </w:r>
      <w:r w:rsidR="48DEDF6C" w:rsidRPr="009A6E6F">
        <w:t xml:space="preserve"> (if the person knows this)</w:t>
      </w:r>
      <w:r w:rsidR="15E84BC9" w:rsidRPr="009A6E6F">
        <w:t>, or</w:t>
      </w:r>
    </w:p>
    <w:p w14:paraId="7641B413" w14:textId="33520FE0" w:rsidR="00E9494A" w:rsidRPr="009A6E6F" w:rsidRDefault="51FBAB6D" w:rsidP="0F473930">
      <w:pPr>
        <w:pStyle w:val="ListParagraph"/>
        <w:numPr>
          <w:ilvl w:val="1"/>
          <w:numId w:val="25"/>
        </w:numPr>
      </w:pPr>
      <w:r w:rsidRPr="009A6E6F">
        <w:t>that</w:t>
      </w:r>
      <w:r w:rsidR="4910BF1E" w:rsidRPr="009A6E6F">
        <w:t xml:space="preserve"> </w:t>
      </w:r>
      <w:r w:rsidRPr="009A6E6F">
        <w:t xml:space="preserve">the industrial chemical is to be introduced </w:t>
      </w:r>
      <w:r w:rsidR="4910BF1E" w:rsidRPr="009A6E6F">
        <w:t>neither as a solid nor in dispersion</w:t>
      </w:r>
      <w:r w:rsidR="586B2CC0" w:rsidRPr="009A6E6F">
        <w:t xml:space="preserve"> (if the person knows this)</w:t>
      </w:r>
      <w:r w:rsidR="6AB42DD7" w:rsidRPr="009A6E6F">
        <w:t>,</w:t>
      </w:r>
      <w:r w:rsidR="4910BF1E" w:rsidRPr="009A6E6F">
        <w:t xml:space="preserve"> or </w:t>
      </w:r>
    </w:p>
    <w:p w14:paraId="19D88D70" w14:textId="162BC08A" w:rsidR="00E9494A" w:rsidRPr="009A6E6F" w:rsidRDefault="62A58866" w:rsidP="0F473930">
      <w:pPr>
        <w:pStyle w:val="ListParagraph"/>
        <w:numPr>
          <w:ilvl w:val="1"/>
          <w:numId w:val="25"/>
        </w:numPr>
      </w:pPr>
      <w:r w:rsidRPr="009A6E6F">
        <w:t>that</w:t>
      </w:r>
      <w:r w:rsidR="4910BF1E" w:rsidRPr="009A6E6F">
        <w:t xml:space="preserve"> the person does not know whether the industrial chemical is to be introduced as a solid, in dispersion or neither</w:t>
      </w:r>
      <w:r w:rsidR="4400FEA4" w:rsidRPr="009A6E6F">
        <w:t>.</w:t>
      </w:r>
    </w:p>
    <w:p w14:paraId="33839436" w14:textId="4F0A35B3" w:rsidR="00E9494A" w:rsidRPr="009A6E6F" w:rsidRDefault="4910BF1E" w:rsidP="00E9494A">
      <w:pPr>
        <w:pStyle w:val="ListParagraph"/>
        <w:numPr>
          <w:ilvl w:val="0"/>
          <w:numId w:val="25"/>
        </w:numPr>
      </w:pPr>
      <w:r w:rsidRPr="009A6E6F">
        <w:rPr>
          <w:shd w:val="clear" w:color="auto" w:fill="FFFFFF"/>
        </w:rPr>
        <w:t xml:space="preserve">the end uses for the </w:t>
      </w:r>
      <w:r w:rsidR="2FC97111" w:rsidRPr="009A6E6F">
        <w:rPr>
          <w:shd w:val="clear" w:color="auto" w:fill="FFFFFF"/>
        </w:rPr>
        <w:t xml:space="preserve">industrial </w:t>
      </w:r>
      <w:r w:rsidRPr="009A6E6F">
        <w:rPr>
          <w:shd w:val="clear" w:color="auto" w:fill="FFFFFF"/>
        </w:rPr>
        <w:t>chemical</w:t>
      </w:r>
      <w:r w:rsidR="10379CCB" w:rsidRPr="009A6E6F">
        <w:rPr>
          <w:shd w:val="clear" w:color="auto" w:fill="FFFFFF"/>
        </w:rPr>
        <w:t>.</w:t>
      </w:r>
    </w:p>
    <w:p w14:paraId="7793D88E" w14:textId="19B0229C" w:rsidR="00E9494A" w:rsidRPr="009A6E6F" w:rsidRDefault="00E9494A" w:rsidP="00E9494A">
      <w:pPr>
        <w:pStyle w:val="ListParagraph"/>
        <w:numPr>
          <w:ilvl w:val="0"/>
          <w:numId w:val="25"/>
        </w:numPr>
      </w:pPr>
      <w:r w:rsidRPr="009A6E6F">
        <w:rPr>
          <w:shd w:val="clear" w:color="auto" w:fill="FFFFFF"/>
        </w:rPr>
        <w:t xml:space="preserve">any known hazard classification for the </w:t>
      </w:r>
      <w:r w:rsidR="7BDD142E" w:rsidRPr="009A6E6F">
        <w:rPr>
          <w:shd w:val="clear" w:color="auto" w:fill="FFFFFF"/>
        </w:rPr>
        <w:t xml:space="preserve">industrial </w:t>
      </w:r>
      <w:r w:rsidRPr="009A6E6F">
        <w:rPr>
          <w:shd w:val="clear" w:color="auto" w:fill="FFFFFF"/>
        </w:rPr>
        <w:t>chemical, and</w:t>
      </w:r>
    </w:p>
    <w:p w14:paraId="1F1DFE16" w14:textId="0084E119" w:rsidR="00BC112A" w:rsidRPr="009A6E6F" w:rsidRDefault="00F94BA2">
      <w:pPr>
        <w:pStyle w:val="ListParagraph"/>
        <w:numPr>
          <w:ilvl w:val="0"/>
          <w:numId w:val="25"/>
        </w:numPr>
      </w:pPr>
      <w:r w:rsidRPr="009A6E6F">
        <w:t>a declaration that the requirements of subsection 27(</w:t>
      </w:r>
      <w:r w:rsidR="00E9494A" w:rsidRPr="009A6E6F">
        <w:t>6</w:t>
      </w:r>
      <w:r w:rsidRPr="009A6E6F">
        <w:t xml:space="preserve">), for industrial chemicals </w:t>
      </w:r>
      <w:r w:rsidR="00662726" w:rsidRPr="009A6E6F">
        <w:t>introductions of 10 kg or less</w:t>
      </w:r>
      <w:r w:rsidRPr="009A6E6F">
        <w:t xml:space="preserve">, </w:t>
      </w:r>
      <w:r w:rsidR="00D8184F" w:rsidRPr="009A6E6F">
        <w:t>are being</w:t>
      </w:r>
      <w:r w:rsidRPr="009A6E6F">
        <w:t xml:space="preserve"> met</w:t>
      </w:r>
      <w:r w:rsidR="00E9494A" w:rsidRPr="009A6E6F">
        <w:t xml:space="preserve"> for the</w:t>
      </w:r>
      <w:r w:rsidR="00662726" w:rsidRPr="009A6E6F">
        <w:t xml:space="preserve"> </w:t>
      </w:r>
      <w:r w:rsidR="00E9494A" w:rsidRPr="009A6E6F">
        <w:t>introduction</w:t>
      </w:r>
      <w:r w:rsidRPr="009A6E6F">
        <w:t>.</w:t>
      </w:r>
    </w:p>
    <w:p w14:paraId="7F1A4BC8" w14:textId="77777777" w:rsidR="00882EA7" w:rsidRPr="009A6E6F" w:rsidRDefault="00882EA7" w:rsidP="00191EC4">
      <w:pPr>
        <w:rPr>
          <w:bCs/>
          <w:shd w:val="clear" w:color="auto" w:fill="FFFFFF"/>
        </w:rPr>
      </w:pPr>
    </w:p>
    <w:p w14:paraId="378971F5" w14:textId="42320D00" w:rsidR="00EB10A2" w:rsidRPr="009A6E6F" w:rsidRDefault="30048FFB" w:rsidP="2305E1D4">
      <w:pPr>
        <w:rPr>
          <w:shd w:val="clear" w:color="auto" w:fill="FFFFFF"/>
        </w:rPr>
      </w:pPr>
      <w:r w:rsidRPr="009A6E6F">
        <w:rPr>
          <w:shd w:val="clear" w:color="auto" w:fill="FFFFFF"/>
        </w:rPr>
        <w:t>New subsection 42A(3)</w:t>
      </w:r>
      <w:r w:rsidR="1BFA8E21" w:rsidRPr="009A6E6F">
        <w:rPr>
          <w:shd w:val="clear" w:color="auto" w:fill="FFFFFF"/>
        </w:rPr>
        <w:t xml:space="preserve"> provides that, for the purposes of the table in</w:t>
      </w:r>
      <w:r w:rsidRPr="009A6E6F">
        <w:rPr>
          <w:shd w:val="clear" w:color="auto" w:fill="FFFFFF"/>
        </w:rPr>
        <w:t xml:space="preserve"> subsection 42A(2), if a person does not know the CAS number, CAS</w:t>
      </w:r>
      <w:r w:rsidR="157AB79F" w:rsidRPr="009A6E6F">
        <w:rPr>
          <w:shd w:val="clear" w:color="auto" w:fill="FFFFFF"/>
        </w:rPr>
        <w:t xml:space="preserve"> name</w:t>
      </w:r>
      <w:r w:rsidR="2F383949" w:rsidRPr="009A6E6F">
        <w:rPr>
          <w:shd w:val="clear" w:color="auto" w:fill="FFFFFF"/>
        </w:rPr>
        <w:t xml:space="preserve">, </w:t>
      </w:r>
      <w:r w:rsidRPr="009A6E6F">
        <w:rPr>
          <w:shd w:val="clear" w:color="auto" w:fill="FFFFFF"/>
        </w:rPr>
        <w:t>IUPAC</w:t>
      </w:r>
      <w:r w:rsidR="2F383949" w:rsidRPr="009A6E6F">
        <w:rPr>
          <w:shd w:val="clear" w:color="auto" w:fill="FFFFFF"/>
        </w:rPr>
        <w:t xml:space="preserve"> </w:t>
      </w:r>
      <w:r w:rsidR="157AB79F" w:rsidRPr="009A6E6F">
        <w:rPr>
          <w:shd w:val="clear" w:color="auto" w:fill="FFFFFF"/>
        </w:rPr>
        <w:t xml:space="preserve">name </w:t>
      </w:r>
      <w:r w:rsidRPr="009A6E6F">
        <w:rPr>
          <w:shd w:val="clear" w:color="auto" w:fill="FFFFFF"/>
        </w:rPr>
        <w:t xml:space="preserve">or INCI name for an industrial chemical being introduced, but it would </w:t>
      </w:r>
      <w:r w:rsidR="2F383949" w:rsidRPr="009A6E6F">
        <w:rPr>
          <w:shd w:val="clear" w:color="auto" w:fill="FFFFFF"/>
        </w:rPr>
        <w:t xml:space="preserve">be </w:t>
      </w:r>
      <w:r w:rsidRPr="009A6E6F">
        <w:rPr>
          <w:shd w:val="clear" w:color="auto" w:fill="FFFFFF"/>
        </w:rPr>
        <w:t xml:space="preserve">reasonably </w:t>
      </w:r>
      <w:r w:rsidR="1BFA8E21" w:rsidRPr="009A6E6F">
        <w:rPr>
          <w:shd w:val="clear" w:color="auto" w:fill="FFFFFF"/>
        </w:rPr>
        <w:t>practicable</w:t>
      </w:r>
      <w:r w:rsidRPr="009A6E6F">
        <w:rPr>
          <w:shd w:val="clear" w:color="auto" w:fill="FFFFFF"/>
        </w:rPr>
        <w:t xml:space="preserve"> for the person to find out</w:t>
      </w:r>
      <w:r w:rsidR="5209B470" w:rsidRPr="009A6E6F">
        <w:rPr>
          <w:shd w:val="clear" w:color="auto" w:fill="FFFFFF"/>
        </w:rPr>
        <w:t xml:space="preserve"> the relevant number or name</w:t>
      </w:r>
      <w:r w:rsidRPr="009A6E6F">
        <w:rPr>
          <w:shd w:val="clear" w:color="auto" w:fill="FFFFFF"/>
        </w:rPr>
        <w:t xml:space="preserve">, then the person is </w:t>
      </w:r>
      <w:r w:rsidR="45EBDE1E" w:rsidRPr="009A6E6F">
        <w:rPr>
          <w:shd w:val="clear" w:color="auto" w:fill="FFFFFF"/>
        </w:rPr>
        <w:t xml:space="preserve">taken to </w:t>
      </w:r>
      <w:r w:rsidRPr="009A6E6F">
        <w:rPr>
          <w:shd w:val="clear" w:color="auto" w:fill="FFFFFF"/>
        </w:rPr>
        <w:t xml:space="preserve"> the </w:t>
      </w:r>
      <w:r w:rsidR="70E5FB3D" w:rsidRPr="009A6E6F">
        <w:rPr>
          <w:shd w:val="clear" w:color="auto" w:fill="FFFFFF"/>
        </w:rPr>
        <w:t>number or name.</w:t>
      </w:r>
    </w:p>
    <w:p w14:paraId="664AC7FA" w14:textId="77777777" w:rsidR="00882EA7" w:rsidRPr="009A6E6F" w:rsidRDefault="00882EA7" w:rsidP="00191EC4">
      <w:pPr>
        <w:rPr>
          <w:b/>
          <w:bCs/>
          <w:shd w:val="clear" w:color="auto" w:fill="FFFFFF"/>
        </w:rPr>
      </w:pPr>
    </w:p>
    <w:p w14:paraId="66D53E6C" w14:textId="5A8705FA" w:rsidR="001417CB" w:rsidRPr="009A6E6F" w:rsidRDefault="001417CB" w:rsidP="008F798E">
      <w:pPr>
        <w:keepNext/>
        <w:rPr>
          <w:b/>
          <w:bCs/>
          <w:shd w:val="clear" w:color="auto" w:fill="FFFFFF"/>
        </w:rPr>
      </w:pPr>
      <w:r w:rsidRPr="009A6E6F">
        <w:rPr>
          <w:b/>
          <w:bCs/>
          <w:shd w:val="clear" w:color="auto" w:fill="FFFFFF"/>
        </w:rPr>
        <w:t>Item</w:t>
      </w:r>
      <w:r w:rsidR="007A0EAC" w:rsidRPr="009A6E6F">
        <w:rPr>
          <w:b/>
          <w:bCs/>
          <w:shd w:val="clear" w:color="auto" w:fill="FFFFFF"/>
        </w:rPr>
        <w:t xml:space="preserve">s </w:t>
      </w:r>
      <w:r w:rsidR="00D8184F" w:rsidRPr="009A6E6F">
        <w:rPr>
          <w:b/>
          <w:bCs/>
          <w:shd w:val="clear" w:color="auto" w:fill="FFFFFF"/>
        </w:rPr>
        <w:t>6</w:t>
      </w:r>
      <w:r w:rsidR="007A0EAC" w:rsidRPr="009A6E6F">
        <w:rPr>
          <w:b/>
          <w:bCs/>
          <w:shd w:val="clear" w:color="auto" w:fill="FFFFFF"/>
        </w:rPr>
        <w:t>-</w:t>
      </w:r>
      <w:r w:rsidR="00D8184F" w:rsidRPr="009A6E6F">
        <w:rPr>
          <w:b/>
          <w:bCs/>
          <w:shd w:val="clear" w:color="auto" w:fill="FFFFFF"/>
        </w:rPr>
        <w:t>9</w:t>
      </w:r>
      <w:r w:rsidRPr="009A6E6F">
        <w:rPr>
          <w:b/>
          <w:bCs/>
          <w:shd w:val="clear" w:color="auto" w:fill="FFFFFF"/>
        </w:rPr>
        <w:t xml:space="preserve"> – Amendment to section 46 to add new subsections </w:t>
      </w:r>
      <w:r w:rsidR="009D2312" w:rsidRPr="009A6E6F">
        <w:rPr>
          <w:b/>
          <w:bCs/>
          <w:shd w:val="clear" w:color="auto" w:fill="FFFFFF"/>
        </w:rPr>
        <w:t>46</w:t>
      </w:r>
      <w:r w:rsidRPr="009A6E6F">
        <w:rPr>
          <w:b/>
          <w:bCs/>
          <w:shd w:val="clear" w:color="auto" w:fill="FFFFFF"/>
        </w:rPr>
        <w:t>(</w:t>
      </w:r>
      <w:r w:rsidR="009D2312" w:rsidRPr="009A6E6F">
        <w:rPr>
          <w:b/>
          <w:bCs/>
          <w:shd w:val="clear" w:color="auto" w:fill="FFFFFF"/>
        </w:rPr>
        <w:t>2</w:t>
      </w:r>
      <w:r w:rsidRPr="009A6E6F">
        <w:rPr>
          <w:b/>
          <w:bCs/>
          <w:shd w:val="clear" w:color="auto" w:fill="FFFFFF"/>
        </w:rPr>
        <w:t>)</w:t>
      </w:r>
      <w:r w:rsidR="007A2B98" w:rsidRPr="009A6E6F">
        <w:rPr>
          <w:b/>
          <w:bCs/>
          <w:shd w:val="clear" w:color="auto" w:fill="FFFFFF"/>
        </w:rPr>
        <w:t xml:space="preserve">, </w:t>
      </w:r>
      <w:r w:rsidRPr="009A6E6F">
        <w:rPr>
          <w:b/>
          <w:bCs/>
          <w:shd w:val="clear" w:color="auto" w:fill="FFFFFF"/>
        </w:rPr>
        <w:t>(</w:t>
      </w:r>
      <w:r w:rsidR="009D2312" w:rsidRPr="009A6E6F">
        <w:rPr>
          <w:b/>
          <w:bCs/>
          <w:shd w:val="clear" w:color="auto" w:fill="FFFFFF"/>
        </w:rPr>
        <w:t>3</w:t>
      </w:r>
      <w:r w:rsidRPr="009A6E6F">
        <w:rPr>
          <w:b/>
          <w:bCs/>
          <w:shd w:val="clear" w:color="auto" w:fill="FFFFFF"/>
        </w:rPr>
        <w:t>)</w:t>
      </w:r>
      <w:r w:rsidR="007A2B98" w:rsidRPr="009A6E6F">
        <w:rPr>
          <w:b/>
          <w:bCs/>
          <w:shd w:val="clear" w:color="auto" w:fill="FFFFFF"/>
        </w:rPr>
        <w:t xml:space="preserve"> and (4)</w:t>
      </w:r>
      <w:r w:rsidR="000D04CE" w:rsidRPr="009A6E6F">
        <w:rPr>
          <w:b/>
          <w:bCs/>
          <w:shd w:val="clear" w:color="auto" w:fill="FFFFFF"/>
        </w:rPr>
        <w:t xml:space="preserve"> </w:t>
      </w:r>
      <w:r w:rsidRPr="009A6E6F">
        <w:rPr>
          <w:b/>
          <w:bCs/>
          <w:shd w:val="clear" w:color="auto" w:fill="FFFFFF"/>
        </w:rPr>
        <w:t xml:space="preserve">- </w:t>
      </w:r>
      <w:r w:rsidR="009D2312" w:rsidRPr="009A6E6F">
        <w:rPr>
          <w:b/>
          <w:bCs/>
        </w:rPr>
        <w:t>Record keeping for listed introductions</w:t>
      </w:r>
    </w:p>
    <w:p w14:paraId="5FF13619" w14:textId="5A80520A" w:rsidR="00D45EE4" w:rsidRPr="009A6E6F" w:rsidRDefault="00D45EE4" w:rsidP="008F798E">
      <w:pPr>
        <w:keepNext/>
        <w:rPr>
          <w:b/>
          <w:bCs/>
          <w:shd w:val="clear" w:color="auto" w:fill="FFFFFF"/>
        </w:rPr>
      </w:pPr>
    </w:p>
    <w:p w14:paraId="246D21D6" w14:textId="2CE02C49" w:rsidR="00CB6C9B" w:rsidRPr="009A6E6F" w:rsidRDefault="365661D2" w:rsidP="009D2312">
      <w:pPr>
        <w:rPr>
          <w:shd w:val="clear" w:color="auto" w:fill="FFFFFF"/>
        </w:rPr>
      </w:pPr>
      <w:r w:rsidRPr="009A6E6F">
        <w:rPr>
          <w:shd w:val="clear" w:color="auto" w:fill="FFFFFF"/>
        </w:rPr>
        <w:t xml:space="preserve">Items </w:t>
      </w:r>
      <w:r w:rsidR="5D078774" w:rsidRPr="009A6E6F">
        <w:rPr>
          <w:shd w:val="clear" w:color="auto" w:fill="FFFFFF"/>
        </w:rPr>
        <w:t>6</w:t>
      </w:r>
      <w:r w:rsidRPr="009A6E6F">
        <w:rPr>
          <w:shd w:val="clear" w:color="auto" w:fill="FFFFFF"/>
        </w:rPr>
        <w:t>-</w:t>
      </w:r>
      <w:r w:rsidR="5D078774" w:rsidRPr="009A6E6F">
        <w:rPr>
          <w:shd w:val="clear" w:color="auto" w:fill="FFFFFF"/>
        </w:rPr>
        <w:t>8</w:t>
      </w:r>
      <w:r w:rsidRPr="009A6E6F">
        <w:rPr>
          <w:shd w:val="clear" w:color="auto" w:fill="FFFFFF"/>
        </w:rPr>
        <w:t xml:space="preserve"> </w:t>
      </w:r>
      <w:r w:rsidR="4080401C" w:rsidRPr="009A6E6F">
        <w:rPr>
          <w:shd w:val="clear" w:color="auto" w:fill="FFFFFF"/>
        </w:rPr>
        <w:t>make minor amendments to</w:t>
      </w:r>
      <w:r w:rsidRPr="009A6E6F">
        <w:rPr>
          <w:shd w:val="clear" w:color="auto" w:fill="FFFFFF"/>
        </w:rPr>
        <w:t xml:space="preserve"> section 46</w:t>
      </w:r>
      <w:r w:rsidR="1D1BA6B0" w:rsidRPr="009A6E6F">
        <w:rPr>
          <w:shd w:val="clear" w:color="auto" w:fill="FFFFFF"/>
        </w:rPr>
        <w:t>.</w:t>
      </w:r>
      <w:r w:rsidR="40573FD3" w:rsidRPr="009A6E6F">
        <w:rPr>
          <w:shd w:val="clear" w:color="auto" w:fill="FFFFFF"/>
        </w:rPr>
        <w:t xml:space="preserve"> </w:t>
      </w:r>
      <w:r w:rsidR="1D1BA6B0" w:rsidRPr="009A6E6F">
        <w:rPr>
          <w:shd w:val="clear" w:color="auto" w:fill="FFFFFF"/>
        </w:rPr>
        <w:t>For instance, item </w:t>
      </w:r>
      <w:r w:rsidR="5D078774" w:rsidRPr="009A6E6F">
        <w:rPr>
          <w:shd w:val="clear" w:color="auto" w:fill="FFFFFF"/>
        </w:rPr>
        <w:t>6</w:t>
      </w:r>
      <w:r w:rsidR="1D1BA6B0" w:rsidRPr="009A6E6F">
        <w:rPr>
          <w:shd w:val="clear" w:color="auto" w:fill="FFFFFF"/>
        </w:rPr>
        <w:t xml:space="preserve"> inserts a “(1)” before “For the purposes of” in section 46 so that the legislative provisions currently under section 46 become new subsection 46(1). The amendments in items </w:t>
      </w:r>
      <w:r w:rsidR="5D078774" w:rsidRPr="009A6E6F">
        <w:rPr>
          <w:shd w:val="clear" w:color="auto" w:fill="FFFFFF"/>
        </w:rPr>
        <w:t>6</w:t>
      </w:r>
      <w:r w:rsidR="5D078774" w:rsidRPr="009A6E6F">
        <w:rPr>
          <w:shd w:val="clear" w:color="auto" w:fill="FFFFFF"/>
        </w:rPr>
        <w:noBreakHyphen/>
        <w:t xml:space="preserve">8 </w:t>
      </w:r>
      <w:r w:rsidR="1D1BA6B0" w:rsidRPr="009A6E6F">
        <w:rPr>
          <w:shd w:val="clear" w:color="auto" w:fill="FFFFFF"/>
        </w:rPr>
        <w:t xml:space="preserve">will assist to differentiate between general record keeping requirements for listed introductions and alternate record keeping requirements for listed introductions of 10 kg or less of an industrial chemical. </w:t>
      </w:r>
    </w:p>
    <w:p w14:paraId="5035B894" w14:textId="77777777" w:rsidR="00375B4C" w:rsidRPr="009A6E6F" w:rsidRDefault="00375B4C" w:rsidP="009D2312">
      <w:pPr>
        <w:rPr>
          <w:shd w:val="clear" w:color="auto" w:fill="FFFFFF"/>
        </w:rPr>
      </w:pPr>
    </w:p>
    <w:p w14:paraId="40B0F29F" w14:textId="01CFE52D" w:rsidR="00375B4C" w:rsidRPr="009A6E6F" w:rsidRDefault="00375B4C" w:rsidP="009D2312">
      <w:pPr>
        <w:rPr>
          <w:shd w:val="clear" w:color="auto" w:fill="FFFFFF"/>
        </w:rPr>
      </w:pPr>
      <w:r w:rsidRPr="009A6E6F">
        <w:rPr>
          <w:shd w:val="clear" w:color="auto" w:fill="FFFFFF"/>
        </w:rPr>
        <w:t xml:space="preserve">Item </w:t>
      </w:r>
      <w:r w:rsidR="007336AF" w:rsidRPr="009A6E6F">
        <w:rPr>
          <w:shd w:val="clear" w:color="auto" w:fill="FFFFFF"/>
        </w:rPr>
        <w:t>9</w:t>
      </w:r>
      <w:r w:rsidRPr="009A6E6F">
        <w:rPr>
          <w:shd w:val="clear" w:color="auto" w:fill="FFFFFF"/>
        </w:rPr>
        <w:t xml:space="preserve"> </w:t>
      </w:r>
      <w:r w:rsidR="00782925" w:rsidRPr="009A6E6F">
        <w:rPr>
          <w:shd w:val="clear" w:color="auto" w:fill="FFFFFF"/>
        </w:rPr>
        <w:t xml:space="preserve">adds new subsections 46(2), (3) and (4) at the end of section 46 of the General Rules to </w:t>
      </w:r>
      <w:r w:rsidRPr="009A6E6F">
        <w:rPr>
          <w:shd w:val="clear" w:color="auto" w:fill="FFFFFF"/>
        </w:rPr>
        <w:t>set out alternative record keeping requirements for listed introductions of 10 kg or less of an industrial chemical.</w:t>
      </w:r>
    </w:p>
    <w:p w14:paraId="62A058EE" w14:textId="508D1EFA" w:rsidR="00375B4C" w:rsidRPr="009A6E6F" w:rsidRDefault="00375B4C" w:rsidP="009D2312">
      <w:pPr>
        <w:rPr>
          <w:shd w:val="clear" w:color="auto" w:fill="FFFFFF"/>
        </w:rPr>
      </w:pPr>
    </w:p>
    <w:p w14:paraId="50EA42B9" w14:textId="61E4E32A" w:rsidR="00782925" w:rsidRPr="009A6E6F" w:rsidRDefault="00782925" w:rsidP="009D2312">
      <w:pPr>
        <w:rPr>
          <w:shd w:val="clear" w:color="auto" w:fill="FFFFFF"/>
        </w:rPr>
      </w:pPr>
      <w:r w:rsidRPr="009A6E6F">
        <w:rPr>
          <w:shd w:val="clear" w:color="auto" w:fill="FFFFFF"/>
        </w:rPr>
        <w:t xml:space="preserve">New subsection 46(2) provides that new subsection 46(3) (described below) applies to the introduction of an industrial chemical by a person in a registration year if the total </w:t>
      </w:r>
      <w:r w:rsidRPr="009A6E6F">
        <w:rPr>
          <w:shd w:val="clear" w:color="auto" w:fill="FFFFFF"/>
        </w:rPr>
        <w:lastRenderedPageBreak/>
        <w:t xml:space="preserve">volume of the industrial chemical introduced by the person in the registration year does not exceed 10 kg. </w:t>
      </w:r>
    </w:p>
    <w:p w14:paraId="3773D4F6" w14:textId="77777777" w:rsidR="00782925" w:rsidRPr="009A6E6F" w:rsidRDefault="00782925" w:rsidP="009D2312">
      <w:pPr>
        <w:rPr>
          <w:shd w:val="clear" w:color="auto" w:fill="FFFFFF"/>
        </w:rPr>
      </w:pPr>
    </w:p>
    <w:p w14:paraId="4B3258A6" w14:textId="170917D8" w:rsidR="00276614" w:rsidRPr="009A6E6F" w:rsidRDefault="00375B4C" w:rsidP="2305E1D4">
      <w:pPr>
        <w:shd w:val="clear" w:color="auto" w:fill="FFFFFF" w:themeFill="background1"/>
      </w:pPr>
      <w:r w:rsidRPr="009A6E6F">
        <w:rPr>
          <w:shd w:val="clear" w:color="auto" w:fill="FFFFFF"/>
        </w:rPr>
        <w:t xml:space="preserve">The new </w:t>
      </w:r>
      <w:r w:rsidR="7C93F777" w:rsidRPr="009A6E6F">
        <w:rPr>
          <w:shd w:val="clear" w:color="auto" w:fill="FFFFFF"/>
        </w:rPr>
        <w:t>sub</w:t>
      </w:r>
      <w:r w:rsidRPr="009A6E6F">
        <w:t>s</w:t>
      </w:r>
      <w:r w:rsidR="005F28FE" w:rsidRPr="009A6E6F">
        <w:t xml:space="preserve">ection 46(3) </w:t>
      </w:r>
      <w:r w:rsidR="00CE1CFB" w:rsidRPr="009A6E6F">
        <w:t>prescribes the kinds of records</w:t>
      </w:r>
      <w:r w:rsidR="005F28FE" w:rsidRPr="009A6E6F">
        <w:t xml:space="preserve"> that must be kep</w:t>
      </w:r>
      <w:r w:rsidR="00390ECF" w:rsidRPr="009A6E6F">
        <w:t xml:space="preserve">t for </w:t>
      </w:r>
      <w:r w:rsidR="005F28FE" w:rsidRPr="009A6E6F">
        <w:t>listed introductions of 10 kg or less of an industrial chemical</w:t>
      </w:r>
      <w:r w:rsidR="00390ECF" w:rsidRPr="009A6E6F">
        <w:t xml:space="preserve">. </w:t>
      </w:r>
      <w:r w:rsidR="00CE1CFB" w:rsidRPr="009A6E6F">
        <w:t xml:space="preserve">For all </w:t>
      </w:r>
      <w:r w:rsidR="0F438882" w:rsidRPr="009A6E6F">
        <w:t xml:space="preserve">listed </w:t>
      </w:r>
      <w:r w:rsidR="00CE1CFB" w:rsidRPr="009A6E6F">
        <w:t>introductions, a person must keep records of the kind prescribed by subsection 46(1) of the General Rules (as formed by item </w:t>
      </w:r>
      <w:r w:rsidR="007336AF" w:rsidRPr="009A6E6F">
        <w:t>6</w:t>
      </w:r>
      <w:r w:rsidR="00CE1CFB" w:rsidRPr="009A6E6F">
        <w:t>). Alternatively, the person must keep records of all the following</w:t>
      </w:r>
      <w:r w:rsidR="00276614" w:rsidRPr="009A6E6F">
        <w:t>:</w:t>
      </w:r>
    </w:p>
    <w:p w14:paraId="52E46826" w14:textId="77777777" w:rsidR="00FA434E" w:rsidRPr="009A6E6F" w:rsidRDefault="00FA434E" w:rsidP="2305E1D4">
      <w:pPr>
        <w:shd w:val="clear" w:color="auto" w:fill="FFFFFF" w:themeFill="background1"/>
      </w:pPr>
    </w:p>
    <w:p w14:paraId="299A7784" w14:textId="6E5D575E" w:rsidR="00276614" w:rsidRPr="009A6E6F" w:rsidRDefault="0DF1FDC1" w:rsidP="00276614">
      <w:pPr>
        <w:pStyle w:val="ListParagraph"/>
        <w:numPr>
          <w:ilvl w:val="0"/>
          <w:numId w:val="34"/>
        </w:numPr>
      </w:pPr>
      <w:r w:rsidRPr="009A6E6F">
        <w:t xml:space="preserve">the names of any products containing the </w:t>
      </w:r>
      <w:r w:rsidR="0C8A2460" w:rsidRPr="009A6E6F">
        <w:t xml:space="preserve">industrial </w:t>
      </w:r>
      <w:r w:rsidRPr="009A6E6F">
        <w:t>chemical that are imported into Australia</w:t>
      </w:r>
      <w:r w:rsidR="0C8A2460" w:rsidRPr="009A6E6F">
        <w:t xml:space="preserve"> by the person</w:t>
      </w:r>
    </w:p>
    <w:p w14:paraId="492589A5" w14:textId="6CF926D2" w:rsidR="00276614" w:rsidRPr="009A6E6F" w:rsidRDefault="00CE1CFB" w:rsidP="00276614">
      <w:pPr>
        <w:pStyle w:val="ListParagraph"/>
        <w:numPr>
          <w:ilvl w:val="0"/>
          <w:numId w:val="34"/>
        </w:numPr>
      </w:pPr>
      <w:r w:rsidRPr="009A6E6F">
        <w:t xml:space="preserve">records </w:t>
      </w:r>
      <w:r w:rsidR="00276614" w:rsidRPr="009A6E6F">
        <w:t xml:space="preserve">to demonstrate that the total volume of the industrial chemical introduced by the </w:t>
      </w:r>
      <w:r w:rsidRPr="009A6E6F">
        <w:t xml:space="preserve">person </w:t>
      </w:r>
      <w:r w:rsidR="00276614" w:rsidRPr="009A6E6F">
        <w:t>in the registration year does not exceed 10</w:t>
      </w:r>
      <w:r w:rsidRPr="009A6E6F">
        <w:t> </w:t>
      </w:r>
      <w:r w:rsidR="00276614" w:rsidRPr="009A6E6F">
        <w:t>kg</w:t>
      </w:r>
    </w:p>
    <w:p w14:paraId="2149AA60" w14:textId="77777777" w:rsidR="00CE1CFB" w:rsidRPr="009A6E6F" w:rsidRDefault="00276614" w:rsidP="00276614">
      <w:pPr>
        <w:pStyle w:val="paragraphsub"/>
        <w:numPr>
          <w:ilvl w:val="0"/>
          <w:numId w:val="34"/>
        </w:numPr>
        <w:rPr>
          <w:sz w:val="24"/>
          <w:szCs w:val="24"/>
        </w:rPr>
      </w:pPr>
      <w:r w:rsidRPr="009A6E6F">
        <w:rPr>
          <w:sz w:val="24"/>
          <w:szCs w:val="24"/>
        </w:rPr>
        <w:t>any known hazard classification for the industrial chemical</w:t>
      </w:r>
    </w:p>
    <w:p w14:paraId="401E4DD7" w14:textId="093AAA2E" w:rsidR="00276614" w:rsidRPr="009A6E6F" w:rsidRDefault="00CE1CFB" w:rsidP="00276614">
      <w:pPr>
        <w:pStyle w:val="paragraphsub"/>
        <w:numPr>
          <w:ilvl w:val="0"/>
          <w:numId w:val="34"/>
        </w:numPr>
        <w:rPr>
          <w:sz w:val="24"/>
          <w:szCs w:val="24"/>
        </w:rPr>
      </w:pPr>
      <w:r w:rsidRPr="009A6E6F">
        <w:rPr>
          <w:sz w:val="24"/>
          <w:szCs w:val="24"/>
        </w:rPr>
        <w:t>if a circumstance mentioned in column 1 of an item in the table to subsection 46(3) applies, then the records of the kind mentioned in column 2 of the item</w:t>
      </w:r>
      <w:r w:rsidR="00276614" w:rsidRPr="009A6E6F">
        <w:rPr>
          <w:sz w:val="24"/>
          <w:szCs w:val="24"/>
        </w:rPr>
        <w:t>.</w:t>
      </w:r>
    </w:p>
    <w:p w14:paraId="659D1535" w14:textId="77777777" w:rsidR="00276614" w:rsidRPr="009A6E6F" w:rsidRDefault="00276614" w:rsidP="00276614">
      <w:pPr>
        <w:rPr>
          <w:bCs/>
          <w:shd w:val="clear" w:color="auto" w:fill="FFFFFF"/>
        </w:rPr>
      </w:pPr>
    </w:p>
    <w:p w14:paraId="2F09DF76" w14:textId="0B6AABC7" w:rsidR="005F28FE" w:rsidRPr="009A6E6F" w:rsidRDefault="005F28FE" w:rsidP="005F28FE">
      <w:pPr>
        <w:shd w:val="clear" w:color="auto" w:fill="FFFFFF"/>
      </w:pPr>
      <w:r w:rsidRPr="009A6E6F">
        <w:t>The table</w:t>
      </w:r>
      <w:r w:rsidR="00CE1CFB" w:rsidRPr="009A6E6F">
        <w:t xml:space="preserve"> provides three circumstances which may apply to the introduction of an industrial chemical and the corresponding kind of record that must be kept in each circumstance. </w:t>
      </w:r>
    </w:p>
    <w:p w14:paraId="164CB003" w14:textId="77777777" w:rsidR="00FA434E" w:rsidRPr="009A6E6F" w:rsidRDefault="00FA434E" w:rsidP="005F28FE">
      <w:pPr>
        <w:shd w:val="clear" w:color="auto" w:fill="FFFFFF"/>
      </w:pPr>
    </w:p>
    <w:p w14:paraId="5D5CB90A" w14:textId="48EB5D06" w:rsidR="00D8172C" w:rsidRPr="009A6E6F" w:rsidRDefault="00D8172C" w:rsidP="00D8172C">
      <w:pPr>
        <w:pStyle w:val="ListParagraph"/>
        <w:numPr>
          <w:ilvl w:val="0"/>
          <w:numId w:val="41"/>
        </w:numPr>
        <w:shd w:val="clear" w:color="auto" w:fill="FFFFFF"/>
      </w:pPr>
      <w:r w:rsidRPr="009A6E6F">
        <w:t>If the CAS number for the industrial chemical is known to the person, then the kind of records that must be kept are the CAS number for the industrial chemical and the CAS name, IUPAC name or INCI name for the industrial chemical.</w:t>
      </w:r>
    </w:p>
    <w:p w14:paraId="085C8D12" w14:textId="61486F26" w:rsidR="00D8172C" w:rsidRPr="009A6E6F" w:rsidRDefault="00D8172C" w:rsidP="00D8172C">
      <w:pPr>
        <w:pStyle w:val="ListParagraph"/>
        <w:numPr>
          <w:ilvl w:val="0"/>
          <w:numId w:val="41"/>
        </w:numPr>
        <w:shd w:val="clear" w:color="auto" w:fill="FFFFFF"/>
      </w:pPr>
      <w:r w:rsidRPr="009A6E6F">
        <w:t>If a CAS number for the industrial chemical is not assigned or is not known to the person and the CAS name, IUPAC name or INCI name for the industrial chemical is known to the person, the kind of records that must be kept are the records that indicate that the industrial chemical is listed on the Inventory and the CAS name, IUPAC name or INCI name for the industrial chemical.</w:t>
      </w:r>
    </w:p>
    <w:p w14:paraId="32DCEC95" w14:textId="5FB8FF3C" w:rsidR="00D8172C" w:rsidRPr="009A6E6F" w:rsidRDefault="5209B470" w:rsidP="2305E1D4">
      <w:pPr>
        <w:pStyle w:val="ListParagraph"/>
        <w:numPr>
          <w:ilvl w:val="0"/>
          <w:numId w:val="41"/>
        </w:numPr>
        <w:shd w:val="clear" w:color="auto" w:fill="FFFFFF" w:themeFill="background1"/>
      </w:pPr>
      <w:r w:rsidRPr="009A6E6F">
        <w:t xml:space="preserve">If a CAS number for the industrial chemical is not assigned or is not known to the person (the introducer) and neither the CAS name, IUPAC name or INCI name for the industrial chemical is known to the introducer, then the kinds of records that must be kept are records that indicate that the industrial chemical is listed on the Inventory, the names by which the industrial chemical is known to the introducer and the name of the person whom the introducer believes on reasonable grounds would provide the </w:t>
      </w:r>
      <w:r w:rsidR="213FC333" w:rsidRPr="009A6E6F">
        <w:t xml:space="preserve">CAS number (if assigned), and CAS name, IUPAC name or INCI name </w:t>
      </w:r>
      <w:r w:rsidRPr="009A6E6F">
        <w:t>to the Executive Director.</w:t>
      </w:r>
    </w:p>
    <w:p w14:paraId="3D7A1385" w14:textId="77777777" w:rsidR="00276614" w:rsidRPr="009A6E6F" w:rsidRDefault="00276614" w:rsidP="00276614">
      <w:pPr>
        <w:rPr>
          <w:bCs/>
          <w:shd w:val="clear" w:color="auto" w:fill="FFFFFF"/>
        </w:rPr>
      </w:pPr>
    </w:p>
    <w:p w14:paraId="253FFCB8" w14:textId="20D0340B" w:rsidR="00276614" w:rsidRPr="009A6E6F" w:rsidRDefault="5209B470" w:rsidP="2305E1D4">
      <w:pPr>
        <w:rPr>
          <w:shd w:val="clear" w:color="auto" w:fill="FFFFFF"/>
        </w:rPr>
      </w:pPr>
      <w:r w:rsidRPr="009A6E6F">
        <w:rPr>
          <w:shd w:val="clear" w:color="auto" w:fill="FFFFFF"/>
        </w:rPr>
        <w:t>New subsection 46(4) provides that, for the purposes of new subsection 46(3), if a person</w:t>
      </w:r>
      <w:r w:rsidR="0DF1FDC1" w:rsidRPr="009A6E6F">
        <w:rPr>
          <w:shd w:val="clear" w:color="auto" w:fill="FFFFFF"/>
        </w:rPr>
        <w:t xml:space="preserve"> does not know the CAS number, or CAS name, IUPAC name or INCI name for an industrial chemical being introduced, but it would be reasonably</w:t>
      </w:r>
      <w:r w:rsidRPr="009A6E6F">
        <w:rPr>
          <w:shd w:val="clear" w:color="auto" w:fill="FFFFFF"/>
        </w:rPr>
        <w:t xml:space="preserve"> practicable</w:t>
      </w:r>
      <w:r w:rsidR="0DF1FDC1" w:rsidRPr="009A6E6F">
        <w:rPr>
          <w:shd w:val="clear" w:color="auto" w:fill="FFFFFF"/>
        </w:rPr>
        <w:t xml:space="preserve"> for the person to find out</w:t>
      </w:r>
      <w:r w:rsidRPr="009A6E6F">
        <w:rPr>
          <w:shd w:val="clear" w:color="auto" w:fill="FFFFFF"/>
        </w:rPr>
        <w:t xml:space="preserve"> the relevant number or name</w:t>
      </w:r>
      <w:r w:rsidR="0DF1FDC1" w:rsidRPr="009A6E6F">
        <w:rPr>
          <w:shd w:val="clear" w:color="auto" w:fill="FFFFFF"/>
        </w:rPr>
        <w:t>, then the person is taken to know the number or name.</w:t>
      </w:r>
    </w:p>
    <w:p w14:paraId="22CEEA86" w14:textId="77777777" w:rsidR="00276614" w:rsidRPr="009A6E6F" w:rsidRDefault="00276614" w:rsidP="00B60BC0">
      <w:pPr>
        <w:rPr>
          <w:b/>
          <w:bCs/>
          <w:shd w:val="clear" w:color="auto" w:fill="FFFFFF"/>
        </w:rPr>
      </w:pPr>
    </w:p>
    <w:p w14:paraId="2F0CD5D8" w14:textId="1202FD6C" w:rsidR="00246AF1" w:rsidRPr="009A6E6F" w:rsidRDefault="008976CE" w:rsidP="00543DB2">
      <w:pPr>
        <w:keepNext/>
        <w:rPr>
          <w:b/>
          <w:bCs/>
          <w:shd w:val="clear" w:color="auto" w:fill="FFFFFF"/>
        </w:rPr>
      </w:pPr>
      <w:r w:rsidRPr="009A6E6F">
        <w:rPr>
          <w:b/>
          <w:bCs/>
          <w:shd w:val="clear" w:color="auto" w:fill="FFFFFF"/>
        </w:rPr>
        <w:lastRenderedPageBreak/>
        <w:t>Item</w:t>
      </w:r>
      <w:r w:rsidR="00D45EE4" w:rsidRPr="009A6E6F">
        <w:rPr>
          <w:b/>
          <w:bCs/>
          <w:shd w:val="clear" w:color="auto" w:fill="FFFFFF"/>
        </w:rPr>
        <w:t xml:space="preserve"> </w:t>
      </w:r>
      <w:r w:rsidR="007336AF" w:rsidRPr="009A6E6F">
        <w:rPr>
          <w:b/>
          <w:bCs/>
          <w:shd w:val="clear" w:color="auto" w:fill="FFFFFF"/>
        </w:rPr>
        <w:t>10</w:t>
      </w:r>
      <w:r w:rsidR="00D45EE4" w:rsidRPr="009A6E6F">
        <w:rPr>
          <w:b/>
          <w:bCs/>
          <w:shd w:val="clear" w:color="auto" w:fill="FFFFFF"/>
        </w:rPr>
        <w:t xml:space="preserve"> </w:t>
      </w:r>
      <w:r w:rsidR="00246AF1" w:rsidRPr="009A6E6F">
        <w:rPr>
          <w:b/>
          <w:bCs/>
          <w:shd w:val="clear" w:color="auto" w:fill="FFFFFF"/>
        </w:rPr>
        <w:t xml:space="preserve">– Amendment to add new </w:t>
      </w:r>
      <w:bookmarkStart w:id="1" w:name="_Toc89848027"/>
      <w:r w:rsidR="007A0EAC" w:rsidRPr="009A6E6F">
        <w:rPr>
          <w:rStyle w:val="charparttext"/>
          <w:b/>
          <w:bCs/>
          <w:shd w:val="clear" w:color="auto" w:fill="FFFFFF"/>
        </w:rPr>
        <w:t>r</w:t>
      </w:r>
      <w:r w:rsidR="00246AF1" w:rsidRPr="009A6E6F">
        <w:rPr>
          <w:rStyle w:val="charparttext"/>
          <w:b/>
          <w:bCs/>
          <w:shd w:val="clear" w:color="auto" w:fill="FFFFFF"/>
        </w:rPr>
        <w:t>ecord keeping for reported introductions</w:t>
      </w:r>
      <w:bookmarkEnd w:id="1"/>
      <w:r w:rsidR="00246AF1" w:rsidRPr="009A6E6F">
        <w:rPr>
          <w:b/>
          <w:bCs/>
        </w:rPr>
        <w:t xml:space="preserve"> of 10</w:t>
      </w:r>
      <w:r w:rsidR="007336AF" w:rsidRPr="009A6E6F">
        <w:rPr>
          <w:b/>
          <w:bCs/>
        </w:rPr>
        <w:t> </w:t>
      </w:r>
      <w:r w:rsidR="00246AF1" w:rsidRPr="009A6E6F">
        <w:rPr>
          <w:b/>
          <w:bCs/>
        </w:rPr>
        <w:t>kg or less of an industrial chemical</w:t>
      </w:r>
    </w:p>
    <w:p w14:paraId="1A74950A" w14:textId="77777777" w:rsidR="00246AF1" w:rsidRPr="009A6E6F" w:rsidRDefault="00246AF1" w:rsidP="00543DB2">
      <w:pPr>
        <w:keepNext/>
        <w:rPr>
          <w:b/>
          <w:bCs/>
          <w:shd w:val="clear" w:color="auto" w:fill="FFFFFF"/>
        </w:rPr>
      </w:pPr>
    </w:p>
    <w:p w14:paraId="448F2120" w14:textId="0B6E2CA4" w:rsidR="007A0EAC" w:rsidRPr="009A6E6F" w:rsidRDefault="00D043FE" w:rsidP="00246AF1">
      <w:pPr>
        <w:rPr>
          <w:shd w:val="clear" w:color="auto" w:fill="FFFFFF"/>
        </w:rPr>
      </w:pPr>
      <w:r w:rsidRPr="009A6E6F">
        <w:rPr>
          <w:shd w:val="clear" w:color="auto" w:fill="FFFFFF"/>
        </w:rPr>
        <w:t>Item </w:t>
      </w:r>
      <w:r w:rsidR="007336AF" w:rsidRPr="009A6E6F">
        <w:rPr>
          <w:shd w:val="clear" w:color="auto" w:fill="FFFFFF"/>
        </w:rPr>
        <w:t>10</w:t>
      </w:r>
      <w:r w:rsidRPr="009A6E6F">
        <w:rPr>
          <w:shd w:val="clear" w:color="auto" w:fill="FFFFFF"/>
        </w:rPr>
        <w:t xml:space="preserve"> adds new section 56A after section 56 of the General Rules. </w:t>
      </w:r>
      <w:r w:rsidR="00246AF1" w:rsidRPr="009A6E6F">
        <w:rPr>
          <w:shd w:val="clear" w:color="auto" w:fill="FFFFFF"/>
        </w:rPr>
        <w:t xml:space="preserve">This amendment </w:t>
      </w:r>
      <w:r w:rsidR="007A0EAC" w:rsidRPr="009A6E6F">
        <w:rPr>
          <w:shd w:val="clear" w:color="auto" w:fill="FFFFFF"/>
        </w:rPr>
        <w:t>complements the other changes made in item 3</w:t>
      </w:r>
      <w:r w:rsidR="007D000B" w:rsidRPr="009A6E6F">
        <w:rPr>
          <w:shd w:val="clear" w:color="auto" w:fill="FFFFFF"/>
        </w:rPr>
        <w:t xml:space="preserve"> to set out recording keeping requirements for reported introductions of 10 kg or less</w:t>
      </w:r>
      <w:r w:rsidR="00375B4C" w:rsidRPr="009A6E6F">
        <w:rPr>
          <w:shd w:val="clear" w:color="auto" w:fill="FFFFFF"/>
        </w:rPr>
        <w:t xml:space="preserve"> of an industrial chemical</w:t>
      </w:r>
      <w:r w:rsidR="007D000B" w:rsidRPr="009A6E6F">
        <w:rPr>
          <w:shd w:val="clear" w:color="auto" w:fill="FFFFFF"/>
        </w:rPr>
        <w:t>.</w:t>
      </w:r>
    </w:p>
    <w:p w14:paraId="44684D2C" w14:textId="77777777" w:rsidR="00375B4C" w:rsidRPr="009A6E6F" w:rsidRDefault="00375B4C" w:rsidP="00246AF1">
      <w:pPr>
        <w:rPr>
          <w:shd w:val="clear" w:color="auto" w:fill="FFFFFF"/>
        </w:rPr>
      </w:pPr>
    </w:p>
    <w:p w14:paraId="1FD1017A" w14:textId="5CE3F0FD" w:rsidR="00246AF1" w:rsidRPr="009A6E6F" w:rsidRDefault="002616FA" w:rsidP="00246AF1">
      <w:r w:rsidRPr="009A6E6F">
        <w:t>I</w:t>
      </w:r>
      <w:r w:rsidR="00246AF1" w:rsidRPr="009A6E6F">
        <w:t>f an introduction of an industrial chemical</w:t>
      </w:r>
      <w:r w:rsidR="00234508" w:rsidRPr="009A6E6F">
        <w:t>,</w:t>
      </w:r>
      <w:r w:rsidR="00246AF1" w:rsidRPr="009A6E6F">
        <w:t xml:space="preserve"> by a</w:t>
      </w:r>
      <w:r w:rsidRPr="009A6E6F">
        <w:t>n introducer</w:t>
      </w:r>
      <w:r w:rsidR="00234508" w:rsidRPr="009A6E6F">
        <w:t>,</w:t>
      </w:r>
      <w:r w:rsidR="00246AF1" w:rsidRPr="009A6E6F">
        <w:t xml:space="preserve"> is a reported introduction in accordance with subsection 27(6) (as per </w:t>
      </w:r>
      <w:r w:rsidRPr="009A6E6F">
        <w:t>i</w:t>
      </w:r>
      <w:r w:rsidR="00246AF1" w:rsidRPr="009A6E6F">
        <w:t>tem 3)</w:t>
      </w:r>
      <w:r w:rsidRPr="009A6E6F">
        <w:t xml:space="preserve"> then the records that must be kept include:</w:t>
      </w:r>
    </w:p>
    <w:p w14:paraId="12585495" w14:textId="77777777" w:rsidR="000B67B7" w:rsidRPr="009A6E6F" w:rsidRDefault="000B67B7" w:rsidP="00246AF1"/>
    <w:p w14:paraId="3FB7BFB4" w14:textId="4672C8E0" w:rsidR="00272A51" w:rsidRPr="009A6E6F" w:rsidRDefault="00234508" w:rsidP="00764B10">
      <w:pPr>
        <w:pStyle w:val="ListParagraph"/>
        <w:numPr>
          <w:ilvl w:val="0"/>
          <w:numId w:val="36"/>
        </w:numPr>
      </w:pPr>
      <w:r w:rsidRPr="009A6E6F">
        <w:t>any</w:t>
      </w:r>
      <w:r w:rsidR="00764B10" w:rsidRPr="009A6E6F">
        <w:t xml:space="preserve"> </w:t>
      </w:r>
      <w:r w:rsidR="00272A51" w:rsidRPr="009A6E6F">
        <w:t>names by which the industrial chemical is known to the</w:t>
      </w:r>
      <w:r w:rsidR="002616FA" w:rsidRPr="009A6E6F">
        <w:t xml:space="preserve"> </w:t>
      </w:r>
      <w:r w:rsidR="00FC0B53" w:rsidRPr="009A6E6F">
        <w:t>person which must include the name included in the pre</w:t>
      </w:r>
      <w:r w:rsidR="12E4CF37" w:rsidRPr="009A6E6F">
        <w:t>-</w:t>
      </w:r>
      <w:r w:rsidR="00FC0B53" w:rsidRPr="009A6E6F">
        <w:t>introduction report for the industrial chemical</w:t>
      </w:r>
    </w:p>
    <w:p w14:paraId="0742266C" w14:textId="79CB943E" w:rsidR="00272A51" w:rsidRPr="009A6E6F" w:rsidRDefault="00272A51" w:rsidP="00764B10">
      <w:pPr>
        <w:pStyle w:val="ListParagraph"/>
        <w:numPr>
          <w:ilvl w:val="0"/>
          <w:numId w:val="36"/>
        </w:numPr>
      </w:pPr>
      <w:r w:rsidRPr="009A6E6F">
        <w:t xml:space="preserve">the names of any products containing the industrial chemical that are imported into Australia by the </w:t>
      </w:r>
      <w:r w:rsidR="00FC0B53" w:rsidRPr="009A6E6F">
        <w:t>person</w:t>
      </w:r>
      <w:r w:rsidR="00F94BA2" w:rsidRPr="009A6E6F">
        <w:t>, and</w:t>
      </w:r>
    </w:p>
    <w:p w14:paraId="2BEA5502" w14:textId="77777777" w:rsidR="00C67298" w:rsidRPr="009A6E6F" w:rsidRDefault="00272A51" w:rsidP="00D56A8C">
      <w:pPr>
        <w:pStyle w:val="ListParagraph"/>
        <w:numPr>
          <w:ilvl w:val="0"/>
          <w:numId w:val="36"/>
        </w:numPr>
        <w:rPr>
          <w:b/>
        </w:rPr>
      </w:pPr>
      <w:r w:rsidRPr="009A6E6F">
        <w:t xml:space="preserve">records </w:t>
      </w:r>
      <w:r w:rsidR="003F6BD3" w:rsidRPr="009A6E6F">
        <w:t>demonstrating</w:t>
      </w:r>
      <w:r w:rsidRPr="009A6E6F">
        <w:t xml:space="preserve"> </w:t>
      </w:r>
      <w:r w:rsidR="005A34E8" w:rsidRPr="009A6E6F">
        <w:t xml:space="preserve">the </w:t>
      </w:r>
      <w:r w:rsidRPr="009A6E6F">
        <w:t>requirements of subsection 27(6) are being met.</w:t>
      </w:r>
    </w:p>
    <w:p w14:paraId="4DB78B0D" w14:textId="77777777" w:rsidR="00C67298" w:rsidRPr="009A6E6F" w:rsidRDefault="00C67298" w:rsidP="00C67298">
      <w:pPr>
        <w:rPr>
          <w:b/>
        </w:rPr>
      </w:pPr>
    </w:p>
    <w:p w14:paraId="1BD9651A" w14:textId="3531AC9B" w:rsidR="00FE7575" w:rsidRPr="009A6E6F" w:rsidRDefault="00FE7575" w:rsidP="00C67298">
      <w:pPr>
        <w:rPr>
          <w:b/>
        </w:rPr>
      </w:pPr>
      <w:r w:rsidRPr="009A6E6F">
        <w:rPr>
          <w:b/>
        </w:rPr>
        <w:br w:type="page"/>
      </w:r>
    </w:p>
    <w:p w14:paraId="16C3D845" w14:textId="6385B764" w:rsidR="00A9134B" w:rsidRPr="009A6E6F" w:rsidRDefault="003E4DED" w:rsidP="003E4DED">
      <w:pPr>
        <w:jc w:val="right"/>
        <w:rPr>
          <w:b/>
        </w:rPr>
      </w:pPr>
      <w:r w:rsidRPr="009A6E6F">
        <w:rPr>
          <w:b/>
        </w:rPr>
        <w:lastRenderedPageBreak/>
        <w:t>ATTACHMENT B</w:t>
      </w:r>
    </w:p>
    <w:p w14:paraId="724C9B6A" w14:textId="77777777" w:rsidR="003E4DED" w:rsidRPr="009A6E6F" w:rsidRDefault="003E4DED" w:rsidP="00B231B9">
      <w:pPr>
        <w:rPr>
          <w:b/>
        </w:rPr>
      </w:pPr>
    </w:p>
    <w:p w14:paraId="7FF3353A" w14:textId="77777777" w:rsidR="00793999" w:rsidRPr="009A6E6F" w:rsidRDefault="00793999" w:rsidP="00793999">
      <w:pPr>
        <w:jc w:val="center"/>
        <w:rPr>
          <w:b/>
        </w:rPr>
      </w:pPr>
      <w:r w:rsidRPr="009A6E6F">
        <w:rPr>
          <w:b/>
        </w:rPr>
        <w:t>Statement of Compatibility with Human Rights</w:t>
      </w:r>
    </w:p>
    <w:p w14:paraId="304DFEDD" w14:textId="77777777" w:rsidR="00793999" w:rsidRPr="009A6E6F" w:rsidRDefault="00793999" w:rsidP="00793999">
      <w:pPr>
        <w:jc w:val="center"/>
        <w:rPr>
          <w:i/>
        </w:rPr>
      </w:pPr>
      <w:r w:rsidRPr="009A6E6F">
        <w:rPr>
          <w:i/>
        </w:rPr>
        <w:t>Prepared in accordance with Part 3 of the Human Rights (Parliamentary Scrutiny) Act 2011</w:t>
      </w:r>
    </w:p>
    <w:p w14:paraId="3B372373" w14:textId="77777777" w:rsidR="00793999" w:rsidRPr="009A6E6F" w:rsidRDefault="00793999" w:rsidP="00A41E14"/>
    <w:p w14:paraId="562C1B74" w14:textId="50FEDC38" w:rsidR="00674E87" w:rsidRPr="009A6E6F" w:rsidRDefault="00674E87" w:rsidP="00674E87">
      <w:pPr>
        <w:jc w:val="center"/>
        <w:rPr>
          <w:b/>
          <w:bCs/>
          <w:i/>
        </w:rPr>
      </w:pPr>
      <w:r w:rsidRPr="009A6E6F">
        <w:rPr>
          <w:b/>
          <w:bCs/>
          <w:i/>
        </w:rPr>
        <w:t>Industrial Chemicals (General) Amendment (Introductions</w:t>
      </w:r>
      <w:r w:rsidR="00490DDD" w:rsidRPr="009A6E6F">
        <w:rPr>
          <w:b/>
          <w:bCs/>
          <w:i/>
        </w:rPr>
        <w:t xml:space="preserve"> of 10</w:t>
      </w:r>
      <w:r w:rsidR="00C807D3" w:rsidRPr="009A6E6F">
        <w:rPr>
          <w:b/>
          <w:bCs/>
          <w:i/>
        </w:rPr>
        <w:t xml:space="preserve"> k</w:t>
      </w:r>
      <w:r w:rsidR="00490DDD" w:rsidRPr="009A6E6F">
        <w:rPr>
          <w:b/>
          <w:bCs/>
          <w:i/>
        </w:rPr>
        <w:t>g or Less</w:t>
      </w:r>
      <w:r w:rsidRPr="009A6E6F">
        <w:rPr>
          <w:b/>
          <w:bCs/>
          <w:i/>
        </w:rPr>
        <w:t>) Rules 2022</w:t>
      </w:r>
    </w:p>
    <w:p w14:paraId="3D06B2EC" w14:textId="77777777" w:rsidR="001620A6" w:rsidRPr="009A6E6F" w:rsidRDefault="001620A6" w:rsidP="00B46628">
      <w:pPr>
        <w:spacing w:before="120" w:after="120"/>
      </w:pPr>
    </w:p>
    <w:p w14:paraId="450AEA0A" w14:textId="7F3A9C19" w:rsidR="001620A6" w:rsidRPr="009A6E6F" w:rsidRDefault="001620A6" w:rsidP="006E0D1C">
      <w:pPr>
        <w:spacing w:before="120"/>
      </w:pPr>
      <w:r w:rsidRPr="009A6E6F">
        <w:t xml:space="preserve">This </w:t>
      </w:r>
      <w:r w:rsidR="00CA20BA" w:rsidRPr="009A6E6F">
        <w:t>l</w:t>
      </w:r>
      <w:r w:rsidR="00672C3D" w:rsidRPr="009A6E6F">
        <w:t xml:space="preserve">egislative </w:t>
      </w:r>
      <w:r w:rsidR="00CA20BA" w:rsidRPr="009A6E6F">
        <w:t>i</w:t>
      </w:r>
      <w:r w:rsidR="00672C3D" w:rsidRPr="009A6E6F">
        <w:t xml:space="preserve">nstrument </w:t>
      </w:r>
      <w:r w:rsidRPr="009A6E6F">
        <w:t xml:space="preserve">is compatible with the human rights and freedoms recognised or declared in the international instruments listed in section 3 of the </w:t>
      </w:r>
      <w:r w:rsidRPr="009A6E6F">
        <w:rPr>
          <w:i/>
        </w:rPr>
        <w:t>Human Rights (Parliamentary Scrutiny) Act 2011</w:t>
      </w:r>
      <w:r w:rsidRPr="009A6E6F">
        <w:t>.</w:t>
      </w:r>
    </w:p>
    <w:p w14:paraId="4EC16776" w14:textId="77777777" w:rsidR="001620A6" w:rsidRPr="009A6E6F" w:rsidRDefault="001620A6" w:rsidP="006E0D1C"/>
    <w:p w14:paraId="0C40409A" w14:textId="3196BF6E" w:rsidR="00E04339" w:rsidRPr="009A6E6F" w:rsidRDefault="001620A6" w:rsidP="006E0D1C">
      <w:pPr>
        <w:pStyle w:val="Heading3"/>
        <w:spacing w:before="0" w:after="0"/>
      </w:pPr>
      <w:r w:rsidRPr="009A6E6F">
        <w:t xml:space="preserve">Overview of the </w:t>
      </w:r>
      <w:r w:rsidR="00CA20BA" w:rsidRPr="009A6E6F">
        <w:t>l</w:t>
      </w:r>
      <w:r w:rsidR="00672C3D" w:rsidRPr="009A6E6F">
        <w:t xml:space="preserve">egislative </w:t>
      </w:r>
      <w:r w:rsidR="00CA20BA" w:rsidRPr="009A6E6F">
        <w:t>i</w:t>
      </w:r>
      <w:r w:rsidR="00672C3D" w:rsidRPr="009A6E6F">
        <w:t>nstrument</w:t>
      </w:r>
    </w:p>
    <w:p w14:paraId="2F2B08A5" w14:textId="04F05191" w:rsidR="00490DDD" w:rsidRPr="009A6E6F" w:rsidRDefault="00490DDD" w:rsidP="00490DDD">
      <w:pPr>
        <w:rPr>
          <w:lang w:val="en-US"/>
        </w:rPr>
      </w:pPr>
      <w:r w:rsidRPr="009A6E6F">
        <w:rPr>
          <w:lang w:val="en-US"/>
        </w:rPr>
        <w:t xml:space="preserve">The </w:t>
      </w:r>
      <w:r w:rsidRPr="009A6E6F">
        <w:rPr>
          <w:i/>
          <w:iCs/>
          <w:lang w:val="en-US"/>
        </w:rPr>
        <w:t>Industrial Chemicals Act 2019</w:t>
      </w:r>
      <w:r w:rsidRPr="009A6E6F">
        <w:rPr>
          <w:lang w:val="en-US"/>
        </w:rPr>
        <w:t xml:space="preserve"> (IC Act) establishes the </w:t>
      </w:r>
      <w:r w:rsidRPr="009A6E6F">
        <w:t xml:space="preserve">Australian Industrial Chemicals Introduction Scheme (AICIS), </w:t>
      </w:r>
      <w:r w:rsidRPr="009A6E6F">
        <w:rPr>
          <w:lang w:val="en-US"/>
        </w:rPr>
        <w:t xml:space="preserve">a risk-based </w:t>
      </w:r>
      <w:r w:rsidR="003E1E49" w:rsidRPr="009A6E6F">
        <w:rPr>
          <w:lang w:val="en-US"/>
        </w:rPr>
        <w:t xml:space="preserve">regulatory </w:t>
      </w:r>
      <w:r w:rsidRPr="009A6E6F">
        <w:rPr>
          <w:lang w:val="en-US"/>
        </w:rPr>
        <w:t>scheme for the Commonwealth regulation of the introduction of industrial chemicals in Australia.</w:t>
      </w:r>
    </w:p>
    <w:p w14:paraId="5FACD070" w14:textId="047D0992" w:rsidR="00490DDD" w:rsidRPr="009A6E6F" w:rsidRDefault="00490DDD" w:rsidP="00E04339"/>
    <w:p w14:paraId="3A70D2F7" w14:textId="006F6D2D" w:rsidR="003E1E49" w:rsidRPr="009A6E6F" w:rsidRDefault="003E1E49" w:rsidP="003E1E49">
      <w:pPr>
        <w:shd w:val="clear" w:color="auto" w:fill="FFFFFF"/>
      </w:pPr>
      <w:r w:rsidRPr="009A6E6F">
        <w:t xml:space="preserve">The </w:t>
      </w:r>
      <w:r w:rsidRPr="009A6E6F">
        <w:rPr>
          <w:i/>
          <w:iCs/>
        </w:rPr>
        <w:t>Industrial Chemicals (General) Rules 2019</w:t>
      </w:r>
      <w:r w:rsidRPr="009A6E6F">
        <w:t xml:space="preserve"> </w:t>
      </w:r>
      <w:r w:rsidR="00F533DC" w:rsidRPr="009A6E6F">
        <w:t xml:space="preserve">(General Rules) </w:t>
      </w:r>
      <w:r w:rsidRPr="009A6E6F">
        <w:t>form part of the legislative framework for AICIS,</w:t>
      </w:r>
      <w:r w:rsidRPr="009A6E6F">
        <w:rPr>
          <w:shd w:val="clear" w:color="auto" w:fill="FFFFFF"/>
        </w:rPr>
        <w:t xml:space="preserve"> as well as </w:t>
      </w:r>
      <w:r w:rsidRPr="009A6E6F">
        <w:t>setting out the technical and operational details of the AICIS.</w:t>
      </w:r>
    </w:p>
    <w:p w14:paraId="155A2985" w14:textId="77777777" w:rsidR="003E1E49" w:rsidRPr="009A6E6F" w:rsidRDefault="003E1E49" w:rsidP="003E1E49">
      <w:pPr>
        <w:shd w:val="clear" w:color="auto" w:fill="FFFFFF"/>
      </w:pPr>
      <w:r w:rsidRPr="009A6E6F">
        <w:t> </w:t>
      </w:r>
    </w:p>
    <w:p w14:paraId="3EF79A59" w14:textId="035C4DC6" w:rsidR="003E1E49" w:rsidRPr="009A6E6F" w:rsidRDefault="003E1E49" w:rsidP="003E1E49">
      <w:pPr>
        <w:shd w:val="clear" w:color="auto" w:fill="FFFFFF"/>
      </w:pPr>
      <w:r w:rsidRPr="009A6E6F">
        <w:t xml:space="preserve">The scheme </w:t>
      </w:r>
      <w:r w:rsidR="0010407C" w:rsidRPr="009A6E6F">
        <w:t>is designed</w:t>
      </w:r>
      <w:r w:rsidRPr="009A6E6F">
        <w:t xml:space="preserve"> to be proportionate to risk, and to promote safer innovation by encouraging the introduction of lower risk chemicals. </w:t>
      </w:r>
      <w:r w:rsidR="0010407C" w:rsidRPr="009A6E6F">
        <w:t>It also</w:t>
      </w:r>
      <w:r w:rsidRPr="009A6E6F">
        <w:t xml:space="preserve"> encourages greater harmonisation with international approaches to the regulation of industrial chemicals and provides for the use of assessments of comparable international regulators.</w:t>
      </w:r>
    </w:p>
    <w:p w14:paraId="3BE929AA" w14:textId="77777777" w:rsidR="003E1E49" w:rsidRPr="009A6E6F" w:rsidRDefault="003E1E49" w:rsidP="003E1E49">
      <w:pPr>
        <w:shd w:val="clear" w:color="auto" w:fill="FFFFFF"/>
      </w:pPr>
      <w:r w:rsidRPr="009A6E6F">
        <w:t> </w:t>
      </w:r>
    </w:p>
    <w:p w14:paraId="7ADB9D41" w14:textId="3E89DEDD" w:rsidR="0022435A" w:rsidRPr="009A6E6F" w:rsidRDefault="003E1E49" w:rsidP="003E1E49">
      <w:pPr>
        <w:shd w:val="clear" w:color="auto" w:fill="FFFFFF"/>
      </w:pPr>
      <w:r w:rsidRPr="009A6E6F">
        <w:t xml:space="preserve">The scheme also improves transparency, striking an appropriate balance between confidentiality and publicly available information, as the Executive Director </w:t>
      </w:r>
      <w:r w:rsidR="00CA20BA" w:rsidRPr="009A6E6F">
        <w:t xml:space="preserve">of the AICIS </w:t>
      </w:r>
      <w:r w:rsidRPr="009A6E6F">
        <w:t>will publish information that is more meaningful for industry and the public about chemical assessments, while allowing for appropriate confidentiality for business information through partially masked names and/or end use when in the public interest.</w:t>
      </w:r>
    </w:p>
    <w:p w14:paraId="10F731C0" w14:textId="77777777" w:rsidR="00CF5EC2" w:rsidRPr="009A6E6F" w:rsidRDefault="00CF5EC2" w:rsidP="00CF5EC2"/>
    <w:p w14:paraId="66D2AA73" w14:textId="1C474353" w:rsidR="00CF5EC2" w:rsidRPr="009A6E6F" w:rsidRDefault="7D30E2B9" w:rsidP="0F473930">
      <w:r w:rsidRPr="009A6E6F">
        <w:t xml:space="preserve">The </w:t>
      </w:r>
      <w:r w:rsidRPr="009A6E6F">
        <w:rPr>
          <w:i/>
          <w:iCs/>
        </w:rPr>
        <w:t xml:space="preserve">Industrial Chemicals (General) Amendment (Introductions of 10 kg or Less) Rules 2022 </w:t>
      </w:r>
      <w:r w:rsidRPr="009A6E6F">
        <w:t xml:space="preserve">(Amending Rules) make several amendments to the General Rules to ensure the requirements for lower volume chemical introductions are appropriate and risk proportionate. </w:t>
      </w:r>
      <w:r w:rsidR="0408BD08" w:rsidRPr="009A6E6F">
        <w:t>The amendments relate to the following matters:</w:t>
      </w:r>
    </w:p>
    <w:p w14:paraId="74EE88DD" w14:textId="77777777" w:rsidR="00FA434E" w:rsidRPr="009A6E6F" w:rsidRDefault="00FA434E" w:rsidP="0F473930"/>
    <w:p w14:paraId="3EDBEAE5" w14:textId="26D38E98" w:rsidR="1086B6AF" w:rsidRPr="009A6E6F" w:rsidRDefault="1086B6AF" w:rsidP="0F473930">
      <w:pPr>
        <w:pStyle w:val="ListParagraph"/>
        <w:numPr>
          <w:ilvl w:val="0"/>
          <w:numId w:val="21"/>
        </w:numPr>
      </w:pPr>
      <w:r w:rsidRPr="009A6E6F">
        <w:t>circumstances in which introductions of industrial chemicals, where the total volume of a chemical introduced, by a person in a registration year, does not exceed 10 kg, can be reported introductions</w:t>
      </w:r>
    </w:p>
    <w:p w14:paraId="6352CD8A" w14:textId="775FF735" w:rsidR="1086B6AF" w:rsidRPr="009A6E6F" w:rsidRDefault="1086B6AF" w:rsidP="0F473930">
      <w:pPr>
        <w:pStyle w:val="ListParagraph"/>
        <w:numPr>
          <w:ilvl w:val="0"/>
          <w:numId w:val="21"/>
        </w:numPr>
      </w:pPr>
      <w:r w:rsidRPr="009A6E6F">
        <w:t>pre-introduction report requirements that can apply to reported introductions of 10 kg or less of an industrial chemical in a registration year</w:t>
      </w:r>
    </w:p>
    <w:p w14:paraId="2902627A" w14:textId="379B9D65" w:rsidR="1086B6AF" w:rsidRPr="009A6E6F" w:rsidRDefault="1086B6AF" w:rsidP="0F473930">
      <w:pPr>
        <w:pStyle w:val="ListParagraph"/>
        <w:numPr>
          <w:ilvl w:val="0"/>
          <w:numId w:val="21"/>
        </w:numPr>
      </w:pPr>
      <w:r w:rsidRPr="009A6E6F">
        <w:rPr>
          <w:rStyle w:val="charparttext"/>
        </w:rPr>
        <w:t xml:space="preserve">record keeping requirements that can apply to reported introductions </w:t>
      </w:r>
      <w:r w:rsidRPr="009A6E6F">
        <w:t>of 10 kg or less of an industrial chemical in a registration year</w:t>
      </w:r>
    </w:p>
    <w:p w14:paraId="367A96F7" w14:textId="4C68F174" w:rsidR="1086B6AF" w:rsidRPr="009A6E6F" w:rsidRDefault="1086B6AF" w:rsidP="0F473930">
      <w:pPr>
        <w:pStyle w:val="ListParagraph"/>
        <w:numPr>
          <w:ilvl w:val="0"/>
          <w:numId w:val="21"/>
        </w:numPr>
      </w:pPr>
      <w:r w:rsidRPr="009A6E6F">
        <w:t>record keeping requirements that can apply to listed introductions of 10 kg or less of an industrial chemical in a registration year</w:t>
      </w:r>
    </w:p>
    <w:p w14:paraId="064E4883" w14:textId="6B4FB571" w:rsidR="1086B6AF" w:rsidRPr="009A6E6F" w:rsidRDefault="1086B6AF" w:rsidP="0F473930">
      <w:pPr>
        <w:pStyle w:val="ListParagraph"/>
        <w:numPr>
          <w:ilvl w:val="0"/>
          <w:numId w:val="21"/>
        </w:numPr>
        <w:rPr>
          <w:rFonts w:cs="Calibri"/>
        </w:rPr>
      </w:pPr>
      <w:r w:rsidRPr="009A6E6F">
        <w:rPr>
          <w:rFonts w:cs="Calibri"/>
        </w:rPr>
        <w:t>minor updates and corrections relating to wording, referencing within and between provisions, as well as provision numbering, and</w:t>
      </w:r>
    </w:p>
    <w:p w14:paraId="27347424" w14:textId="4C28BB13" w:rsidR="1086B6AF" w:rsidRPr="009A6E6F" w:rsidRDefault="1086B6AF" w:rsidP="0F473930">
      <w:pPr>
        <w:pStyle w:val="ListParagraph"/>
        <w:numPr>
          <w:ilvl w:val="0"/>
          <w:numId w:val="21"/>
        </w:numPr>
      </w:pPr>
      <w:r w:rsidRPr="009A6E6F">
        <w:lastRenderedPageBreak/>
        <w:t>the addition of definitions which are referenced in newly added provisions.</w:t>
      </w:r>
    </w:p>
    <w:p w14:paraId="4FCE6F22" w14:textId="3D8A468A" w:rsidR="0068165A" w:rsidRPr="009A6E6F" w:rsidRDefault="0068165A" w:rsidP="00CF5EC2"/>
    <w:p w14:paraId="0A79693B" w14:textId="7E056B96" w:rsidR="3B7A7E2D" w:rsidRPr="009A6E6F" w:rsidRDefault="3B7A7E2D">
      <w:r w:rsidRPr="009A6E6F">
        <w:t>The amendments will assist industry by making the requirements for introductions at volumes of 10 kg or less in a registration year more appropriate and risk proportionate. The changes are expected to provide a benefit for introducers of chemicals at lower volumes. The amended provisions ensure that:</w:t>
      </w:r>
    </w:p>
    <w:p w14:paraId="30FD4983" w14:textId="77777777" w:rsidR="00FA434E" w:rsidRPr="009A6E6F" w:rsidRDefault="00FA434E"/>
    <w:p w14:paraId="078C50B9" w14:textId="77777777" w:rsidR="3B7A7E2D" w:rsidRPr="009A6E6F" w:rsidRDefault="3B7A7E2D" w:rsidP="0F473930">
      <w:pPr>
        <w:pStyle w:val="ListParagraph"/>
        <w:numPr>
          <w:ilvl w:val="0"/>
          <w:numId w:val="44"/>
        </w:numPr>
      </w:pPr>
      <w:r w:rsidRPr="009A6E6F">
        <w:t>appropriate information is known about chemicals being introduced; and</w:t>
      </w:r>
    </w:p>
    <w:p w14:paraId="66FC2932" w14:textId="7FF9EF57" w:rsidR="3B7A7E2D" w:rsidRPr="009A6E6F" w:rsidRDefault="3B7A7E2D" w:rsidP="0F473930">
      <w:pPr>
        <w:pStyle w:val="ListParagraph"/>
        <w:numPr>
          <w:ilvl w:val="0"/>
          <w:numId w:val="44"/>
        </w:numPr>
      </w:pPr>
      <w:r w:rsidRPr="009A6E6F">
        <w:t xml:space="preserve">higher concern chemicals cannot be categorised as low risk (reported) introductions by accessing these amendments. </w:t>
      </w:r>
    </w:p>
    <w:p w14:paraId="325FEB1F" w14:textId="77777777" w:rsidR="00FA434E" w:rsidRPr="009A6E6F" w:rsidRDefault="00FA434E" w:rsidP="009A5029"/>
    <w:p w14:paraId="5220DAA9" w14:textId="6F641962" w:rsidR="3B7A7E2D" w:rsidRPr="009A6E6F" w:rsidRDefault="3B7A7E2D">
      <w:r w:rsidRPr="009A6E6F">
        <w:t>Instead of holding a written undertaking from the chemical supplier, where the CAS number (if assigned) and CAS name of the chemical is confidential, the introducer would need to know information that is more proportionate to the risk of introduction of a chemical at 10 kg or less.</w:t>
      </w:r>
    </w:p>
    <w:p w14:paraId="0CCE6035" w14:textId="77777777" w:rsidR="0F473930" w:rsidRPr="009A6E6F" w:rsidRDefault="0F473930"/>
    <w:p w14:paraId="7C8DF90A" w14:textId="0F192414" w:rsidR="3B7A7E2D" w:rsidRPr="009A6E6F" w:rsidRDefault="3B7A7E2D">
      <w:r w:rsidRPr="009A6E6F">
        <w:t>The exclusions for reported introductions would mean introductions of higher concern chemicals at volumes of 10 kg or less are likely to be categorised as medium to high risk, requiring an application for an assessment certificate to be made and finalised before introduction of these chemicals could be authorised.</w:t>
      </w:r>
    </w:p>
    <w:p w14:paraId="20B4B434" w14:textId="0ECCC90F" w:rsidR="00490DDD" w:rsidRPr="009A6E6F" w:rsidRDefault="00490DDD" w:rsidP="00CF5EC2"/>
    <w:p w14:paraId="1BBFF1E3" w14:textId="77777777" w:rsidR="001620A6" w:rsidRPr="009A6E6F" w:rsidRDefault="001620A6" w:rsidP="006E0D1C">
      <w:pPr>
        <w:pStyle w:val="Heading3"/>
        <w:spacing w:before="0" w:after="0"/>
      </w:pPr>
      <w:r w:rsidRPr="009A6E6F">
        <w:t>Human rights implications</w:t>
      </w:r>
    </w:p>
    <w:p w14:paraId="61F05D2C" w14:textId="258597AD" w:rsidR="00B83693" w:rsidRPr="009A6E6F" w:rsidRDefault="00CA20BA" w:rsidP="006E0D1C">
      <w:r w:rsidRPr="009A6E6F">
        <w:t xml:space="preserve">The Amending Rules engage </w:t>
      </w:r>
      <w:r w:rsidR="006E0D1C" w:rsidRPr="009A6E6F">
        <w:t xml:space="preserve">the human rights contained in Article 12 of the </w:t>
      </w:r>
      <w:r w:rsidR="006E0D1C" w:rsidRPr="009A6E6F">
        <w:rPr>
          <w:i/>
          <w:iCs/>
        </w:rPr>
        <w:t xml:space="preserve">International Covenant on Economic, Social and Cultural Rights </w:t>
      </w:r>
      <w:r w:rsidR="006E0D1C" w:rsidRPr="009A6E6F">
        <w:t xml:space="preserve">(ICESCR), which sets out the right to the enjoyment of the highest attainable standard of physical and mental health. </w:t>
      </w:r>
    </w:p>
    <w:p w14:paraId="3129E3BA" w14:textId="77777777" w:rsidR="00A40B4A" w:rsidRPr="009A6E6F" w:rsidRDefault="00A40B4A" w:rsidP="006E0D1C">
      <w:pPr>
        <w:ind w:left="720"/>
      </w:pPr>
    </w:p>
    <w:p w14:paraId="5D334E61" w14:textId="77777777" w:rsidR="00B83693" w:rsidRPr="009A6E6F" w:rsidRDefault="00B83693" w:rsidP="006E0D1C">
      <w:pPr>
        <w:rPr>
          <w:u w:val="single"/>
        </w:rPr>
      </w:pPr>
      <w:r w:rsidRPr="009A6E6F">
        <w:rPr>
          <w:u w:val="single"/>
        </w:rPr>
        <w:t xml:space="preserve">Right to health </w:t>
      </w:r>
    </w:p>
    <w:p w14:paraId="212B37BB" w14:textId="1118916E" w:rsidR="008F251A" w:rsidRPr="009A6E6F" w:rsidRDefault="00B83693" w:rsidP="00D45EE4">
      <w:pPr>
        <w:rPr>
          <w:lang w:val="en-US"/>
        </w:rPr>
      </w:pPr>
      <w:r w:rsidRPr="009A6E6F">
        <w:rPr>
          <w:lang w:val="en-US"/>
        </w:rPr>
        <w:t>This instrument engages the right to health as set out in Article 12 of the</w:t>
      </w:r>
      <w:r w:rsidR="006E0D1C" w:rsidRPr="009A6E6F">
        <w:rPr>
          <w:lang w:val="en-US"/>
        </w:rPr>
        <w:t xml:space="preserve"> ICESCR </w:t>
      </w:r>
      <w:r w:rsidRPr="009A6E6F">
        <w:rPr>
          <w:lang w:val="en-US"/>
        </w:rPr>
        <w:t xml:space="preserve">by assisting with the progressive </w:t>
      </w:r>
      <w:r w:rsidRPr="009A6E6F">
        <w:t>realisation</w:t>
      </w:r>
      <w:r w:rsidRPr="009A6E6F">
        <w:rPr>
          <w:lang w:val="en-US"/>
        </w:rPr>
        <w:t xml:space="preserve"> by all appropriate means of the right of everyone to the enjoyment of the highest attainable standard of physical and mental health. </w:t>
      </w:r>
    </w:p>
    <w:p w14:paraId="2C0EDFC4" w14:textId="77777777" w:rsidR="00D45EE4" w:rsidRPr="009A6E6F" w:rsidRDefault="00D45EE4" w:rsidP="00D45EE4">
      <w:pPr>
        <w:rPr>
          <w:lang w:val="en-US"/>
        </w:rPr>
      </w:pPr>
    </w:p>
    <w:p w14:paraId="47A56D2A" w14:textId="766E9621" w:rsidR="00DD3639" w:rsidRPr="009A6E6F" w:rsidRDefault="0022435A" w:rsidP="006E0D1C">
      <w:pPr>
        <w:rPr>
          <w:shd w:val="clear" w:color="auto" w:fill="FFFFFF"/>
        </w:rPr>
      </w:pPr>
      <w:r w:rsidRPr="009A6E6F">
        <w:rPr>
          <w:shd w:val="clear" w:color="auto" w:fill="FFFFFF"/>
        </w:rPr>
        <w:t xml:space="preserve">The requirements in this instrument to categorise industrial chemical introductions according to </w:t>
      </w:r>
      <w:r w:rsidR="00DD3639" w:rsidRPr="009A6E6F">
        <w:rPr>
          <w:shd w:val="clear" w:color="auto" w:fill="FFFFFF"/>
        </w:rPr>
        <w:t>low volumes (introduction</w:t>
      </w:r>
      <w:r w:rsidR="15363790" w:rsidRPr="009A6E6F">
        <w:rPr>
          <w:shd w:val="clear" w:color="auto" w:fill="FFFFFF"/>
        </w:rPr>
        <w:t xml:space="preserve"> volume</w:t>
      </w:r>
      <w:r w:rsidR="00DD3639" w:rsidRPr="009A6E6F">
        <w:rPr>
          <w:shd w:val="clear" w:color="auto" w:fill="FFFFFF"/>
        </w:rPr>
        <w:t>s of 10 kg or less)</w:t>
      </w:r>
      <w:r w:rsidRPr="009A6E6F">
        <w:rPr>
          <w:shd w:val="clear" w:color="auto" w:fill="FFFFFF"/>
        </w:rPr>
        <w:t xml:space="preserve"> promotes </w:t>
      </w:r>
      <w:r w:rsidR="00DD3639" w:rsidRPr="009A6E6F">
        <w:rPr>
          <w:shd w:val="clear" w:color="auto" w:fill="FFFFFF"/>
        </w:rPr>
        <w:t xml:space="preserve">continued </w:t>
      </w:r>
      <w:r w:rsidRPr="009A6E6F">
        <w:rPr>
          <w:shd w:val="clear" w:color="auto" w:fill="FFFFFF"/>
        </w:rPr>
        <w:t>protection of public health, and improvement of environmental and industrial hygiene. Having criteria for streamlined introduction pathways (reported introductions) will also encourage the introduction of newer and safer chemical products for consumers.</w:t>
      </w:r>
    </w:p>
    <w:p w14:paraId="1D4C8505" w14:textId="77777777" w:rsidR="00DD3639" w:rsidRPr="009A6E6F" w:rsidRDefault="00DD3639" w:rsidP="006E0D1C">
      <w:pPr>
        <w:rPr>
          <w:shd w:val="clear" w:color="auto" w:fill="FFFFFF"/>
        </w:rPr>
      </w:pPr>
    </w:p>
    <w:p w14:paraId="711E72FB" w14:textId="77777777" w:rsidR="001620A6" w:rsidRPr="009A6E6F" w:rsidRDefault="001620A6" w:rsidP="006E0D1C">
      <w:pPr>
        <w:pStyle w:val="Heading3"/>
        <w:spacing w:before="0" w:after="0"/>
      </w:pPr>
      <w:r w:rsidRPr="009A6E6F">
        <w:t>Conclusion</w:t>
      </w:r>
    </w:p>
    <w:p w14:paraId="382DF4A8" w14:textId="77777777" w:rsidR="001620A6" w:rsidRPr="009A6E6F" w:rsidRDefault="00B83693" w:rsidP="006E0D1C">
      <w:r w:rsidRPr="009A6E6F">
        <w:t>The legislative instrument is compatible with human rights because to the extent that it may limit human rights, those limitations are reasonable, necessary and proportionate for the protection of human health and the environment.</w:t>
      </w:r>
    </w:p>
    <w:p w14:paraId="560F930B" w14:textId="627D1378" w:rsidR="001620A6" w:rsidRPr="009A6E6F" w:rsidRDefault="001620A6" w:rsidP="00A41E14"/>
    <w:p w14:paraId="7360C918" w14:textId="77777777" w:rsidR="009D605C" w:rsidRPr="009A6E6F" w:rsidRDefault="009D605C" w:rsidP="00A41E14"/>
    <w:p w14:paraId="2E88E7D0" w14:textId="46A6F3A7" w:rsidR="00B83693" w:rsidRPr="009A6E6F" w:rsidRDefault="00B83693" w:rsidP="00B83693">
      <w:pPr>
        <w:shd w:val="clear" w:color="auto" w:fill="FFFFFF"/>
        <w:jc w:val="center"/>
        <w:rPr>
          <w:b/>
          <w:bCs/>
        </w:rPr>
      </w:pPr>
      <w:r w:rsidRPr="009A6E6F">
        <w:rPr>
          <w:b/>
          <w:bCs/>
        </w:rPr>
        <w:t xml:space="preserve">The Hon </w:t>
      </w:r>
      <w:r w:rsidR="00490DDD" w:rsidRPr="009A6E6F">
        <w:rPr>
          <w:b/>
          <w:bCs/>
        </w:rPr>
        <w:t>Ged Kearney</w:t>
      </w:r>
      <w:r w:rsidRPr="009A6E6F">
        <w:rPr>
          <w:b/>
          <w:bCs/>
        </w:rPr>
        <w:t xml:space="preserve"> MP</w:t>
      </w:r>
    </w:p>
    <w:p w14:paraId="5531CFBB" w14:textId="77777777" w:rsidR="00B83693" w:rsidRPr="009A6E6F" w:rsidRDefault="00B83693" w:rsidP="00B83693">
      <w:pPr>
        <w:shd w:val="clear" w:color="auto" w:fill="FFFFFF"/>
        <w:jc w:val="center"/>
        <w:rPr>
          <w:b/>
          <w:bCs/>
        </w:rPr>
      </w:pPr>
    </w:p>
    <w:p w14:paraId="72FB2979" w14:textId="55342249" w:rsidR="00B83693" w:rsidRPr="009A6E6F" w:rsidRDefault="00490DDD" w:rsidP="00B83693">
      <w:pPr>
        <w:pStyle w:val="Normal-em"/>
        <w:tabs>
          <w:tab w:val="left" w:pos="1134"/>
        </w:tabs>
        <w:spacing w:after="0" w:line="240" w:lineRule="auto"/>
        <w:jc w:val="center"/>
        <w:rPr>
          <w:b/>
          <w:bCs/>
          <w:color w:val="auto"/>
          <w:szCs w:val="24"/>
          <w:u w:val="single"/>
        </w:rPr>
      </w:pPr>
      <w:r w:rsidRPr="009A6E6F">
        <w:rPr>
          <w:b/>
          <w:bCs/>
          <w:color w:val="auto"/>
          <w:szCs w:val="24"/>
        </w:rPr>
        <w:t xml:space="preserve">Assistant </w:t>
      </w:r>
      <w:r w:rsidR="00B83693" w:rsidRPr="009A6E6F">
        <w:rPr>
          <w:b/>
          <w:bCs/>
          <w:color w:val="auto"/>
          <w:szCs w:val="24"/>
        </w:rPr>
        <w:t>Minister for</w:t>
      </w:r>
      <w:r w:rsidR="006B1083" w:rsidRPr="009A6E6F">
        <w:rPr>
          <w:b/>
          <w:bCs/>
          <w:color w:val="auto"/>
          <w:szCs w:val="24"/>
        </w:rPr>
        <w:t xml:space="preserve"> </w:t>
      </w:r>
      <w:r w:rsidR="00B83693" w:rsidRPr="009A6E6F">
        <w:rPr>
          <w:b/>
          <w:bCs/>
          <w:color w:val="auto"/>
          <w:szCs w:val="24"/>
        </w:rPr>
        <w:t>Health</w:t>
      </w:r>
      <w:r w:rsidR="006B1083" w:rsidRPr="009A6E6F">
        <w:rPr>
          <w:b/>
          <w:bCs/>
          <w:color w:val="auto"/>
          <w:szCs w:val="24"/>
        </w:rPr>
        <w:t xml:space="preserve"> and Aged Care</w:t>
      </w:r>
    </w:p>
    <w:p w14:paraId="2873006B" w14:textId="77777777" w:rsidR="00DC3CF3" w:rsidRPr="009A6E6F" w:rsidRDefault="00DC3CF3" w:rsidP="00A41E14"/>
    <w:sectPr w:rsidR="00DC3CF3" w:rsidRPr="009A6E6F" w:rsidSect="00C6729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087"/>
    <w:multiLevelType w:val="hybridMultilevel"/>
    <w:tmpl w:val="8BB06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E7966"/>
    <w:multiLevelType w:val="hybridMultilevel"/>
    <w:tmpl w:val="0DC8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E7B2F"/>
    <w:multiLevelType w:val="hybridMultilevel"/>
    <w:tmpl w:val="8D964DD8"/>
    <w:lvl w:ilvl="0" w:tplc="28A0D05A">
      <w:numFmt w:val="bullet"/>
      <w:lvlText w:val=""/>
      <w:lvlJc w:val="left"/>
      <w:pPr>
        <w:ind w:left="780" w:hanging="4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A45F4"/>
    <w:multiLevelType w:val="multilevel"/>
    <w:tmpl w:val="C112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A130F"/>
    <w:multiLevelType w:val="hybridMultilevel"/>
    <w:tmpl w:val="DA64D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855C3A"/>
    <w:multiLevelType w:val="hybridMultilevel"/>
    <w:tmpl w:val="AD8EB9A0"/>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E909A8"/>
    <w:multiLevelType w:val="hybridMultilevel"/>
    <w:tmpl w:val="546AF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A35DC6"/>
    <w:multiLevelType w:val="hybridMultilevel"/>
    <w:tmpl w:val="85B03840"/>
    <w:lvl w:ilvl="0" w:tplc="772C4172">
      <w:start w:val="1"/>
      <w:numFmt w:val="bullet"/>
      <w:lvlText w:val=""/>
      <w:lvlJc w:val="left"/>
      <w:pPr>
        <w:ind w:left="720" w:hanging="360"/>
      </w:pPr>
      <w:rPr>
        <w:rFonts w:ascii="Symbol" w:hAnsi="Symbol" w:hint="default"/>
      </w:rPr>
    </w:lvl>
    <w:lvl w:ilvl="1" w:tplc="772C417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487E87"/>
    <w:multiLevelType w:val="hybridMultilevel"/>
    <w:tmpl w:val="BF7C8C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FE3583"/>
    <w:multiLevelType w:val="hybridMultilevel"/>
    <w:tmpl w:val="5508976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28F7D32"/>
    <w:multiLevelType w:val="hybridMultilevel"/>
    <w:tmpl w:val="D5DAA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AB0260"/>
    <w:multiLevelType w:val="hybridMultilevel"/>
    <w:tmpl w:val="BB16A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8F25F9"/>
    <w:multiLevelType w:val="hybridMultilevel"/>
    <w:tmpl w:val="D2AE1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4676B"/>
    <w:multiLevelType w:val="multilevel"/>
    <w:tmpl w:val="73A0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444A79"/>
    <w:multiLevelType w:val="hybridMultilevel"/>
    <w:tmpl w:val="999C7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4A0460"/>
    <w:multiLevelType w:val="hybridMultilevel"/>
    <w:tmpl w:val="F2BE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731CAB"/>
    <w:multiLevelType w:val="hybridMultilevel"/>
    <w:tmpl w:val="024A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7604B6"/>
    <w:multiLevelType w:val="hybridMultilevel"/>
    <w:tmpl w:val="E37A5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DA4963"/>
    <w:multiLevelType w:val="hybridMultilevel"/>
    <w:tmpl w:val="5AF6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E52DF7"/>
    <w:multiLevelType w:val="hybridMultilevel"/>
    <w:tmpl w:val="486E14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9E12F9A"/>
    <w:multiLevelType w:val="hybridMultilevel"/>
    <w:tmpl w:val="184ED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A00618"/>
    <w:multiLevelType w:val="hybridMultilevel"/>
    <w:tmpl w:val="F08CE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4B3062"/>
    <w:multiLevelType w:val="hybridMultilevel"/>
    <w:tmpl w:val="CA3AC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25FDD"/>
    <w:multiLevelType w:val="hybridMultilevel"/>
    <w:tmpl w:val="BEE62630"/>
    <w:lvl w:ilvl="0" w:tplc="8E0602BE">
      <w:start w:val="1"/>
      <w:numFmt w:val="lowerLetter"/>
      <w:lvlText w:val="(%1)"/>
      <w:lvlJc w:val="left"/>
      <w:pPr>
        <w:ind w:left="720" w:hanging="360"/>
      </w:pPr>
      <w:rPr>
        <w:rFonts w:ascii="Times New Roman" w:eastAsia="Times New Roman" w:hAnsi="Times New Roman" w:cs="Times New Roman"/>
      </w:rPr>
    </w:lvl>
    <w:lvl w:ilvl="1" w:tplc="1E646D5E">
      <w:start w:val="1"/>
      <w:numFmt w:val="lowerLetter"/>
      <w:lvlText w:val="(%2)"/>
      <w:lvlJc w:val="left"/>
      <w:pPr>
        <w:ind w:left="1440" w:hanging="360"/>
      </w:pPr>
      <w:rPr>
        <w:rFonts w:hint="default"/>
      </w:rPr>
    </w:lvl>
    <w:lvl w:ilvl="2" w:tplc="0C090003">
      <w:start w:val="1"/>
      <w:numFmt w:val="bullet"/>
      <w:lvlText w:val="o"/>
      <w:lvlJc w:val="left"/>
      <w:pPr>
        <w:ind w:left="2340" w:hanging="360"/>
      </w:pPr>
      <w:rPr>
        <w:rFonts w:ascii="Courier New" w:hAnsi="Courier New" w:cs="Courier New"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C24FC9"/>
    <w:multiLevelType w:val="multilevel"/>
    <w:tmpl w:val="390A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E30AE8"/>
    <w:multiLevelType w:val="hybridMultilevel"/>
    <w:tmpl w:val="449C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296128"/>
    <w:multiLevelType w:val="hybridMultilevel"/>
    <w:tmpl w:val="1FC6570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5DA4377C"/>
    <w:multiLevelType w:val="hybridMultilevel"/>
    <w:tmpl w:val="5D86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D60853"/>
    <w:multiLevelType w:val="hybridMultilevel"/>
    <w:tmpl w:val="77881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9C5EA0"/>
    <w:multiLevelType w:val="hybridMultilevel"/>
    <w:tmpl w:val="B0B253B8"/>
    <w:lvl w:ilvl="0" w:tplc="85FA6932">
      <w:start w:val="1"/>
      <w:numFmt w:val="lowerRoman"/>
      <w:lvlText w:val="(%1)"/>
      <w:lvlJc w:val="left"/>
      <w:pPr>
        <w:ind w:left="1080" w:hanging="720"/>
      </w:pPr>
    </w:lvl>
    <w:lvl w:ilvl="1" w:tplc="53AE9D9E">
      <w:start w:val="1"/>
      <w:numFmt w:val="lowerLetter"/>
      <w:lvlText w:val="%2."/>
      <w:lvlJc w:val="left"/>
      <w:pPr>
        <w:ind w:left="1440" w:hanging="360"/>
      </w:pPr>
      <w:rPr>
        <w:color w:val="auto"/>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2A2350A"/>
    <w:multiLevelType w:val="multilevel"/>
    <w:tmpl w:val="0FBE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BF507D"/>
    <w:multiLevelType w:val="hybridMultilevel"/>
    <w:tmpl w:val="F8D23726"/>
    <w:lvl w:ilvl="0" w:tplc="56568E5E">
      <w:start w:val="1"/>
      <w:numFmt w:val="lowerLetter"/>
      <w:lvlText w:val="(%1)"/>
      <w:lvlJc w:val="left"/>
      <w:pPr>
        <w:ind w:left="720" w:hanging="360"/>
      </w:pPr>
      <w:rPr>
        <w:rFonts w:ascii="Times New Roman" w:eastAsia="Times New Roman" w:hAnsi="Times New Roman" w:cs="Times New Roman"/>
        <w:i w:val="0"/>
        <w:iCs w:val="0"/>
      </w:rPr>
    </w:lvl>
    <w:lvl w:ilvl="1" w:tplc="0C090003">
      <w:start w:val="1"/>
      <w:numFmt w:val="bullet"/>
      <w:lvlText w:val="o"/>
      <w:lvlJc w:val="left"/>
      <w:pPr>
        <w:ind w:left="1440" w:hanging="360"/>
      </w:pPr>
      <w:rPr>
        <w:rFonts w:ascii="Courier New" w:hAnsi="Courier New" w:cs="Courier New" w:hint="default"/>
      </w:rPr>
    </w:lvl>
    <w:lvl w:ilvl="2" w:tplc="CB6810C6">
      <w:start w:val="3"/>
      <w:numFmt w:val="bullet"/>
      <w:lvlText w:val="•"/>
      <w:lvlJc w:val="left"/>
      <w:pPr>
        <w:ind w:left="2340" w:hanging="360"/>
      </w:pPr>
      <w:rPr>
        <w:rFonts w:ascii="Times New Roman" w:eastAsia="Times New Roman" w:hAnsi="Times New Roman" w:cs="Times New Roman"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A70007"/>
    <w:multiLevelType w:val="hybridMultilevel"/>
    <w:tmpl w:val="65F285D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D9F340C"/>
    <w:multiLevelType w:val="hybridMultilevel"/>
    <w:tmpl w:val="CC324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3E60F0"/>
    <w:multiLevelType w:val="hybridMultilevel"/>
    <w:tmpl w:val="3370A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582E3C"/>
    <w:multiLevelType w:val="hybridMultilevel"/>
    <w:tmpl w:val="7C52F956"/>
    <w:lvl w:ilvl="0" w:tplc="126AF308">
      <w:start w:val="1"/>
      <w:numFmt w:val="decimal"/>
      <w:lvlText w:val="%1"/>
      <w:lvlJc w:val="left"/>
      <w:pPr>
        <w:tabs>
          <w:tab w:val="num" w:pos="1080"/>
        </w:tabs>
        <w:ind w:left="1080" w:hanging="72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421E86"/>
    <w:multiLevelType w:val="hybridMultilevel"/>
    <w:tmpl w:val="5246C8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446A96"/>
    <w:multiLevelType w:val="hybridMultilevel"/>
    <w:tmpl w:val="9CF0219C"/>
    <w:lvl w:ilvl="0" w:tplc="A7BE9B70">
      <w:start w:val="1"/>
      <w:numFmt w:val="lowerLetter"/>
      <w:lvlText w:val="(%1)"/>
      <w:lvlJc w:val="left"/>
      <w:pPr>
        <w:ind w:left="1640" w:hanging="380"/>
      </w:pPr>
      <w:rPr>
        <w:rFonts w:hint="default"/>
        <w:sz w:val="24"/>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39" w15:restartNumberingAfterBreak="0">
    <w:nsid w:val="79371499"/>
    <w:multiLevelType w:val="hybridMultilevel"/>
    <w:tmpl w:val="BC467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DD2B7D"/>
    <w:multiLevelType w:val="hybridMultilevel"/>
    <w:tmpl w:val="B0B253B8"/>
    <w:lvl w:ilvl="0" w:tplc="85FA6932">
      <w:start w:val="1"/>
      <w:numFmt w:val="lowerRoman"/>
      <w:lvlText w:val="(%1)"/>
      <w:lvlJc w:val="left"/>
      <w:pPr>
        <w:ind w:left="1080" w:hanging="720"/>
      </w:pPr>
    </w:lvl>
    <w:lvl w:ilvl="1" w:tplc="53AE9D9E">
      <w:start w:val="1"/>
      <w:numFmt w:val="lowerLetter"/>
      <w:lvlText w:val="%2."/>
      <w:lvlJc w:val="left"/>
      <w:pPr>
        <w:ind w:left="1440" w:hanging="360"/>
      </w:pPr>
      <w:rPr>
        <w:color w:val="auto"/>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EF267F0"/>
    <w:multiLevelType w:val="hybridMultilevel"/>
    <w:tmpl w:val="434AFCFA"/>
    <w:lvl w:ilvl="0" w:tplc="772C4172">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5"/>
  </w:num>
  <w:num w:numId="2">
    <w:abstractNumId w:val="36"/>
  </w:num>
  <w:num w:numId="3">
    <w:abstractNumId w:val="5"/>
  </w:num>
  <w:num w:numId="4">
    <w:abstractNumId w:val="3"/>
  </w:num>
  <w:num w:numId="5">
    <w:abstractNumId w:val="24"/>
  </w:num>
  <w:num w:numId="6">
    <w:abstractNumId w:val="30"/>
  </w:num>
  <w:num w:numId="7">
    <w:abstractNumId w:val="21"/>
  </w:num>
  <w:num w:numId="8">
    <w:abstractNumId w:val="22"/>
  </w:num>
  <w:num w:numId="9">
    <w:abstractNumId w:val="27"/>
  </w:num>
  <w:num w:numId="10">
    <w:abstractNumId w:val="28"/>
  </w:num>
  <w:num w:numId="11">
    <w:abstractNumId w:val="20"/>
  </w:num>
  <w:num w:numId="12">
    <w:abstractNumId w:val="18"/>
  </w:num>
  <w:num w:numId="13">
    <w:abstractNumId w:val="37"/>
  </w:num>
  <w:num w:numId="14">
    <w:abstractNumId w:val="39"/>
  </w:num>
  <w:num w:numId="15">
    <w:abstractNumId w:val="1"/>
  </w:num>
  <w:num w:numId="16">
    <w:abstractNumId w:val="14"/>
  </w:num>
  <w:num w:numId="17">
    <w:abstractNumId w:val="17"/>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0"/>
  </w:num>
  <w:num w:numId="21">
    <w:abstractNumId w:val="22"/>
  </w:num>
  <w:num w:numId="22">
    <w:abstractNumId w:val="11"/>
  </w:num>
  <w:num w:numId="23">
    <w:abstractNumId w:val="2"/>
  </w:num>
  <w:num w:numId="24">
    <w:abstractNumId w:val="0"/>
  </w:num>
  <w:num w:numId="25">
    <w:abstractNumId w:val="34"/>
  </w:num>
  <w:num w:numId="26">
    <w:abstractNumId w:val="15"/>
  </w:num>
  <w:num w:numId="27">
    <w:abstractNumId w:val="25"/>
  </w:num>
  <w:num w:numId="28">
    <w:abstractNumId w:val="31"/>
  </w:num>
  <w:num w:numId="29">
    <w:abstractNumId w:val="16"/>
  </w:num>
  <w:num w:numId="30">
    <w:abstractNumId w:val="12"/>
  </w:num>
  <w:num w:numId="31">
    <w:abstractNumId w:val="19"/>
  </w:num>
  <w:num w:numId="32">
    <w:abstractNumId w:val="38"/>
  </w:num>
  <w:num w:numId="33">
    <w:abstractNumId w:val="32"/>
  </w:num>
  <w:num w:numId="34">
    <w:abstractNumId w:val="10"/>
  </w:num>
  <w:num w:numId="35">
    <w:abstractNumId w:val="41"/>
  </w:num>
  <w:num w:numId="36">
    <w:abstractNumId w:val="7"/>
  </w:num>
  <w:num w:numId="37">
    <w:abstractNumId w:val="4"/>
  </w:num>
  <w:num w:numId="38">
    <w:abstractNumId w:val="9"/>
  </w:num>
  <w:num w:numId="39">
    <w:abstractNumId w:val="26"/>
  </w:num>
  <w:num w:numId="40">
    <w:abstractNumId w:val="23"/>
  </w:num>
  <w:num w:numId="41">
    <w:abstractNumId w:val="6"/>
  </w:num>
  <w:num w:numId="42">
    <w:abstractNumId w:val="13"/>
  </w:num>
  <w:num w:numId="43">
    <w:abstractNumId w:val="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31C"/>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C58"/>
    <w:rsid w:val="00021F76"/>
    <w:rsid w:val="00022656"/>
    <w:rsid w:val="000227F0"/>
    <w:rsid w:val="00022876"/>
    <w:rsid w:val="00022A77"/>
    <w:rsid w:val="00022B83"/>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450"/>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54D"/>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A15"/>
    <w:rsid w:val="00045B39"/>
    <w:rsid w:val="00045C2A"/>
    <w:rsid w:val="00045C5E"/>
    <w:rsid w:val="00045E3F"/>
    <w:rsid w:val="000460A4"/>
    <w:rsid w:val="000461D0"/>
    <w:rsid w:val="000466AA"/>
    <w:rsid w:val="000467A8"/>
    <w:rsid w:val="000469CE"/>
    <w:rsid w:val="00046E5F"/>
    <w:rsid w:val="00047EBA"/>
    <w:rsid w:val="000501F7"/>
    <w:rsid w:val="000509BA"/>
    <w:rsid w:val="00050A0C"/>
    <w:rsid w:val="00050C99"/>
    <w:rsid w:val="00050F4D"/>
    <w:rsid w:val="000512B0"/>
    <w:rsid w:val="00052294"/>
    <w:rsid w:val="000522B9"/>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722"/>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821"/>
    <w:rsid w:val="00061FFB"/>
    <w:rsid w:val="00061FFF"/>
    <w:rsid w:val="00062139"/>
    <w:rsid w:val="000621BC"/>
    <w:rsid w:val="0006288E"/>
    <w:rsid w:val="00062AF8"/>
    <w:rsid w:val="0006393B"/>
    <w:rsid w:val="00063DD6"/>
    <w:rsid w:val="000645F8"/>
    <w:rsid w:val="00064D01"/>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2F3D"/>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60"/>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CE7"/>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0E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0CB0"/>
    <w:rsid w:val="000B1615"/>
    <w:rsid w:val="000B179F"/>
    <w:rsid w:val="000B18DD"/>
    <w:rsid w:val="000B1C50"/>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5D84"/>
    <w:rsid w:val="000B6065"/>
    <w:rsid w:val="000B6124"/>
    <w:rsid w:val="000B67B7"/>
    <w:rsid w:val="000B687F"/>
    <w:rsid w:val="000B6A38"/>
    <w:rsid w:val="000B7145"/>
    <w:rsid w:val="000B7E3E"/>
    <w:rsid w:val="000B7E44"/>
    <w:rsid w:val="000B7EDF"/>
    <w:rsid w:val="000C08B0"/>
    <w:rsid w:val="000C11F5"/>
    <w:rsid w:val="000C172F"/>
    <w:rsid w:val="000C1A18"/>
    <w:rsid w:val="000C1A2B"/>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544"/>
    <w:rsid w:val="000C7ABD"/>
    <w:rsid w:val="000C7DDB"/>
    <w:rsid w:val="000C7EFB"/>
    <w:rsid w:val="000D0205"/>
    <w:rsid w:val="000D04CE"/>
    <w:rsid w:val="000D0673"/>
    <w:rsid w:val="000D090A"/>
    <w:rsid w:val="000D0F86"/>
    <w:rsid w:val="000D1565"/>
    <w:rsid w:val="000D163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72F"/>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304"/>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07C"/>
    <w:rsid w:val="001041E6"/>
    <w:rsid w:val="00104B82"/>
    <w:rsid w:val="00104E7F"/>
    <w:rsid w:val="00105ACC"/>
    <w:rsid w:val="00105B28"/>
    <w:rsid w:val="00105FF2"/>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28"/>
    <w:rsid w:val="00112466"/>
    <w:rsid w:val="00112884"/>
    <w:rsid w:val="00112E92"/>
    <w:rsid w:val="001131B2"/>
    <w:rsid w:val="0011412F"/>
    <w:rsid w:val="0011419E"/>
    <w:rsid w:val="0011436A"/>
    <w:rsid w:val="00115309"/>
    <w:rsid w:val="0011530B"/>
    <w:rsid w:val="0011534A"/>
    <w:rsid w:val="00116016"/>
    <w:rsid w:val="00116CE7"/>
    <w:rsid w:val="00116FE7"/>
    <w:rsid w:val="001178DB"/>
    <w:rsid w:val="0011797D"/>
    <w:rsid w:val="00120154"/>
    <w:rsid w:val="001206D9"/>
    <w:rsid w:val="00120D2B"/>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5C6"/>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7CB"/>
    <w:rsid w:val="00141BF5"/>
    <w:rsid w:val="0014288A"/>
    <w:rsid w:val="001429C0"/>
    <w:rsid w:val="00142BE0"/>
    <w:rsid w:val="001431EE"/>
    <w:rsid w:val="001433AB"/>
    <w:rsid w:val="001434F1"/>
    <w:rsid w:val="00143627"/>
    <w:rsid w:val="00143823"/>
    <w:rsid w:val="00143E17"/>
    <w:rsid w:val="001440AB"/>
    <w:rsid w:val="00144633"/>
    <w:rsid w:val="00144865"/>
    <w:rsid w:val="00144E6F"/>
    <w:rsid w:val="001450FF"/>
    <w:rsid w:val="0014541A"/>
    <w:rsid w:val="00145751"/>
    <w:rsid w:val="0014575D"/>
    <w:rsid w:val="00145761"/>
    <w:rsid w:val="00145A67"/>
    <w:rsid w:val="00145FDE"/>
    <w:rsid w:val="00146A56"/>
    <w:rsid w:val="00146F5B"/>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247"/>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D04"/>
    <w:rsid w:val="00160E82"/>
    <w:rsid w:val="00161489"/>
    <w:rsid w:val="00161729"/>
    <w:rsid w:val="00161752"/>
    <w:rsid w:val="001620A6"/>
    <w:rsid w:val="00162173"/>
    <w:rsid w:val="00162607"/>
    <w:rsid w:val="00162CD4"/>
    <w:rsid w:val="00162E2E"/>
    <w:rsid w:val="00163209"/>
    <w:rsid w:val="00163377"/>
    <w:rsid w:val="00163383"/>
    <w:rsid w:val="00163A84"/>
    <w:rsid w:val="00164001"/>
    <w:rsid w:val="0016412A"/>
    <w:rsid w:val="00164316"/>
    <w:rsid w:val="001643CD"/>
    <w:rsid w:val="001644AF"/>
    <w:rsid w:val="00164970"/>
    <w:rsid w:val="00164B90"/>
    <w:rsid w:val="0016522F"/>
    <w:rsid w:val="0016542B"/>
    <w:rsid w:val="00165CCE"/>
    <w:rsid w:val="00166089"/>
    <w:rsid w:val="001661DE"/>
    <w:rsid w:val="001664DC"/>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EC4"/>
    <w:rsid w:val="00191FCF"/>
    <w:rsid w:val="0019208F"/>
    <w:rsid w:val="0019242B"/>
    <w:rsid w:val="001928F6"/>
    <w:rsid w:val="00192C11"/>
    <w:rsid w:val="00192E83"/>
    <w:rsid w:val="0019316E"/>
    <w:rsid w:val="001934EC"/>
    <w:rsid w:val="00193684"/>
    <w:rsid w:val="001937CB"/>
    <w:rsid w:val="0019461F"/>
    <w:rsid w:val="001947B6"/>
    <w:rsid w:val="00194C34"/>
    <w:rsid w:val="00194FF6"/>
    <w:rsid w:val="001954E6"/>
    <w:rsid w:val="001956D0"/>
    <w:rsid w:val="00195BBA"/>
    <w:rsid w:val="00195C5A"/>
    <w:rsid w:val="00195CC0"/>
    <w:rsid w:val="00195DEB"/>
    <w:rsid w:val="00196391"/>
    <w:rsid w:val="00196C42"/>
    <w:rsid w:val="00197380"/>
    <w:rsid w:val="001976FA"/>
    <w:rsid w:val="001A0462"/>
    <w:rsid w:val="001A0605"/>
    <w:rsid w:val="001A0D0B"/>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6932"/>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76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5D7"/>
    <w:rsid w:val="001F0721"/>
    <w:rsid w:val="001F0BE1"/>
    <w:rsid w:val="001F0C89"/>
    <w:rsid w:val="001F119A"/>
    <w:rsid w:val="001F13A3"/>
    <w:rsid w:val="001F1477"/>
    <w:rsid w:val="001F15BA"/>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993"/>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E61"/>
    <w:rsid w:val="00201FA6"/>
    <w:rsid w:val="00202019"/>
    <w:rsid w:val="00202381"/>
    <w:rsid w:val="002023B9"/>
    <w:rsid w:val="002025B6"/>
    <w:rsid w:val="002036E3"/>
    <w:rsid w:val="00203950"/>
    <w:rsid w:val="00203E6E"/>
    <w:rsid w:val="002046FD"/>
    <w:rsid w:val="00204BA6"/>
    <w:rsid w:val="00204F43"/>
    <w:rsid w:val="00205110"/>
    <w:rsid w:val="00205273"/>
    <w:rsid w:val="0020561D"/>
    <w:rsid w:val="00205942"/>
    <w:rsid w:val="00205958"/>
    <w:rsid w:val="00205EB1"/>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A8A"/>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3FB"/>
    <w:rsid w:val="002206EE"/>
    <w:rsid w:val="00221A8C"/>
    <w:rsid w:val="00222A01"/>
    <w:rsid w:val="00222D13"/>
    <w:rsid w:val="002231B6"/>
    <w:rsid w:val="00223384"/>
    <w:rsid w:val="00223A51"/>
    <w:rsid w:val="00223E9D"/>
    <w:rsid w:val="0022409E"/>
    <w:rsid w:val="0022435A"/>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508"/>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2BFC"/>
    <w:rsid w:val="0024325B"/>
    <w:rsid w:val="002432E4"/>
    <w:rsid w:val="002435C8"/>
    <w:rsid w:val="00243650"/>
    <w:rsid w:val="002436C8"/>
    <w:rsid w:val="00243B24"/>
    <w:rsid w:val="002444E8"/>
    <w:rsid w:val="00245450"/>
    <w:rsid w:val="0024559A"/>
    <w:rsid w:val="00245611"/>
    <w:rsid w:val="00245A32"/>
    <w:rsid w:val="00245C4B"/>
    <w:rsid w:val="00245E45"/>
    <w:rsid w:val="00246AF1"/>
    <w:rsid w:val="00246CDB"/>
    <w:rsid w:val="002470AC"/>
    <w:rsid w:val="002471C1"/>
    <w:rsid w:val="0024733A"/>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57C9D"/>
    <w:rsid w:val="00257ECB"/>
    <w:rsid w:val="00260799"/>
    <w:rsid w:val="002607F6"/>
    <w:rsid w:val="00260AF3"/>
    <w:rsid w:val="00260B57"/>
    <w:rsid w:val="002614A1"/>
    <w:rsid w:val="00261516"/>
    <w:rsid w:val="002616FA"/>
    <w:rsid w:val="002619DA"/>
    <w:rsid w:val="00261B0E"/>
    <w:rsid w:val="00261C4B"/>
    <w:rsid w:val="002629F6"/>
    <w:rsid w:val="00262EC1"/>
    <w:rsid w:val="00262F49"/>
    <w:rsid w:val="00263408"/>
    <w:rsid w:val="002634AF"/>
    <w:rsid w:val="00263A75"/>
    <w:rsid w:val="00263F3F"/>
    <w:rsid w:val="00263F70"/>
    <w:rsid w:val="00264288"/>
    <w:rsid w:val="0026434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A51"/>
    <w:rsid w:val="00272FF2"/>
    <w:rsid w:val="00273132"/>
    <w:rsid w:val="0027321D"/>
    <w:rsid w:val="002733B3"/>
    <w:rsid w:val="002736BD"/>
    <w:rsid w:val="002739F2"/>
    <w:rsid w:val="00273CA8"/>
    <w:rsid w:val="00273DB8"/>
    <w:rsid w:val="00274326"/>
    <w:rsid w:val="00274AE9"/>
    <w:rsid w:val="002753B3"/>
    <w:rsid w:val="00276030"/>
    <w:rsid w:val="0027625E"/>
    <w:rsid w:val="00276290"/>
    <w:rsid w:val="0027631F"/>
    <w:rsid w:val="00276614"/>
    <w:rsid w:val="00276CA6"/>
    <w:rsid w:val="00276F62"/>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893"/>
    <w:rsid w:val="00284997"/>
    <w:rsid w:val="00284BDF"/>
    <w:rsid w:val="00285057"/>
    <w:rsid w:val="002851C6"/>
    <w:rsid w:val="00285E1F"/>
    <w:rsid w:val="0028609C"/>
    <w:rsid w:val="00286280"/>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05F"/>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147"/>
    <w:rsid w:val="002A3416"/>
    <w:rsid w:val="002A3783"/>
    <w:rsid w:val="002A461D"/>
    <w:rsid w:val="002A481B"/>
    <w:rsid w:val="002A48FA"/>
    <w:rsid w:val="002A4938"/>
    <w:rsid w:val="002A4C45"/>
    <w:rsid w:val="002A4E83"/>
    <w:rsid w:val="002A4FC3"/>
    <w:rsid w:val="002A4FDB"/>
    <w:rsid w:val="002A5148"/>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039"/>
    <w:rsid w:val="002B02D9"/>
    <w:rsid w:val="002B06B7"/>
    <w:rsid w:val="002B0723"/>
    <w:rsid w:val="002B0864"/>
    <w:rsid w:val="002B0B0B"/>
    <w:rsid w:val="002B0D69"/>
    <w:rsid w:val="002B1079"/>
    <w:rsid w:val="002B109F"/>
    <w:rsid w:val="002B10EF"/>
    <w:rsid w:val="002B13F9"/>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2A1"/>
    <w:rsid w:val="002C5588"/>
    <w:rsid w:val="002C55D7"/>
    <w:rsid w:val="002C630D"/>
    <w:rsid w:val="002C6570"/>
    <w:rsid w:val="002C67D1"/>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5B5"/>
    <w:rsid w:val="002D2ADA"/>
    <w:rsid w:val="002D2FD2"/>
    <w:rsid w:val="002D3455"/>
    <w:rsid w:val="002D45A8"/>
    <w:rsid w:val="002D48C9"/>
    <w:rsid w:val="002D4AC5"/>
    <w:rsid w:val="002D4C08"/>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31D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3B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2F7EB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38D"/>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0CCE6"/>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AFC"/>
    <w:rsid w:val="00322C9B"/>
    <w:rsid w:val="00322C9C"/>
    <w:rsid w:val="00322CBA"/>
    <w:rsid w:val="00322E83"/>
    <w:rsid w:val="003243E4"/>
    <w:rsid w:val="00324E72"/>
    <w:rsid w:val="0032578C"/>
    <w:rsid w:val="00325B90"/>
    <w:rsid w:val="00326169"/>
    <w:rsid w:val="003263C0"/>
    <w:rsid w:val="00326467"/>
    <w:rsid w:val="00326749"/>
    <w:rsid w:val="003275A9"/>
    <w:rsid w:val="00327614"/>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2DB"/>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47899"/>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468"/>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3F51"/>
    <w:rsid w:val="0037442E"/>
    <w:rsid w:val="0037448C"/>
    <w:rsid w:val="00374C2A"/>
    <w:rsid w:val="003756E4"/>
    <w:rsid w:val="00375B4C"/>
    <w:rsid w:val="00375CE3"/>
    <w:rsid w:val="0037699F"/>
    <w:rsid w:val="00376B32"/>
    <w:rsid w:val="003777E7"/>
    <w:rsid w:val="00377C8B"/>
    <w:rsid w:val="00380123"/>
    <w:rsid w:val="003801C7"/>
    <w:rsid w:val="00380544"/>
    <w:rsid w:val="0038056C"/>
    <w:rsid w:val="00381E53"/>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C8D"/>
    <w:rsid w:val="00384ED1"/>
    <w:rsid w:val="003853D0"/>
    <w:rsid w:val="0038569A"/>
    <w:rsid w:val="00385ED5"/>
    <w:rsid w:val="003861E4"/>
    <w:rsid w:val="00386417"/>
    <w:rsid w:val="00386664"/>
    <w:rsid w:val="00387023"/>
    <w:rsid w:val="00387B31"/>
    <w:rsid w:val="00387D4B"/>
    <w:rsid w:val="00387F18"/>
    <w:rsid w:val="00390378"/>
    <w:rsid w:val="00390D79"/>
    <w:rsid w:val="00390E38"/>
    <w:rsid w:val="00390ECF"/>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6ECC"/>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8C"/>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DB4"/>
    <w:rsid w:val="003D3EAC"/>
    <w:rsid w:val="003D3EB8"/>
    <w:rsid w:val="003D4031"/>
    <w:rsid w:val="003D40A0"/>
    <w:rsid w:val="003D422F"/>
    <w:rsid w:val="003D45F7"/>
    <w:rsid w:val="003D4E74"/>
    <w:rsid w:val="003D5B61"/>
    <w:rsid w:val="003D5D1A"/>
    <w:rsid w:val="003D60BF"/>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1E49"/>
    <w:rsid w:val="003E20F5"/>
    <w:rsid w:val="003E24A9"/>
    <w:rsid w:val="003E2AD3"/>
    <w:rsid w:val="003E2D05"/>
    <w:rsid w:val="003E33A7"/>
    <w:rsid w:val="003E39CE"/>
    <w:rsid w:val="003E4235"/>
    <w:rsid w:val="003E45CC"/>
    <w:rsid w:val="003E4701"/>
    <w:rsid w:val="003E4DED"/>
    <w:rsid w:val="003E4E79"/>
    <w:rsid w:val="003E5065"/>
    <w:rsid w:val="003E598C"/>
    <w:rsid w:val="003E59BC"/>
    <w:rsid w:val="003E5EBB"/>
    <w:rsid w:val="003E6742"/>
    <w:rsid w:val="003E69C1"/>
    <w:rsid w:val="003E6FA7"/>
    <w:rsid w:val="003E7CCB"/>
    <w:rsid w:val="003E7D67"/>
    <w:rsid w:val="003F06BF"/>
    <w:rsid w:val="003F0D34"/>
    <w:rsid w:val="003F0EC0"/>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04E"/>
    <w:rsid w:val="003F64FC"/>
    <w:rsid w:val="003F6BD3"/>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58B"/>
    <w:rsid w:val="00416E67"/>
    <w:rsid w:val="00417689"/>
    <w:rsid w:val="00417761"/>
    <w:rsid w:val="00417B4B"/>
    <w:rsid w:val="00420624"/>
    <w:rsid w:val="004206A0"/>
    <w:rsid w:val="00420C8B"/>
    <w:rsid w:val="00420DD9"/>
    <w:rsid w:val="004210A6"/>
    <w:rsid w:val="00421368"/>
    <w:rsid w:val="004217B5"/>
    <w:rsid w:val="00421975"/>
    <w:rsid w:val="00421AFD"/>
    <w:rsid w:val="00421BBF"/>
    <w:rsid w:val="004223E9"/>
    <w:rsid w:val="0042267B"/>
    <w:rsid w:val="0042275E"/>
    <w:rsid w:val="00422C13"/>
    <w:rsid w:val="00423DDB"/>
    <w:rsid w:val="00424814"/>
    <w:rsid w:val="00424B31"/>
    <w:rsid w:val="00424C19"/>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D34"/>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1BF"/>
    <w:rsid w:val="004668BF"/>
    <w:rsid w:val="004668FE"/>
    <w:rsid w:val="004669A4"/>
    <w:rsid w:val="004669DB"/>
    <w:rsid w:val="00466B4C"/>
    <w:rsid w:val="004679CF"/>
    <w:rsid w:val="00467E2C"/>
    <w:rsid w:val="0047023F"/>
    <w:rsid w:val="00470335"/>
    <w:rsid w:val="00470A52"/>
    <w:rsid w:val="004711E0"/>
    <w:rsid w:val="004715A0"/>
    <w:rsid w:val="004719CF"/>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FEF"/>
    <w:rsid w:val="004851BA"/>
    <w:rsid w:val="004852E2"/>
    <w:rsid w:val="004853D2"/>
    <w:rsid w:val="004856FC"/>
    <w:rsid w:val="00485A8D"/>
    <w:rsid w:val="00485CAA"/>
    <w:rsid w:val="0048601A"/>
    <w:rsid w:val="00486659"/>
    <w:rsid w:val="004869F2"/>
    <w:rsid w:val="00486A3A"/>
    <w:rsid w:val="00486E9E"/>
    <w:rsid w:val="004870F4"/>
    <w:rsid w:val="00487167"/>
    <w:rsid w:val="0048730C"/>
    <w:rsid w:val="00487EEA"/>
    <w:rsid w:val="00490374"/>
    <w:rsid w:val="00490D6A"/>
    <w:rsid w:val="00490DDD"/>
    <w:rsid w:val="00490F24"/>
    <w:rsid w:val="0049116B"/>
    <w:rsid w:val="004916DD"/>
    <w:rsid w:val="00491728"/>
    <w:rsid w:val="00491D51"/>
    <w:rsid w:val="00492B02"/>
    <w:rsid w:val="00492D9A"/>
    <w:rsid w:val="00493070"/>
    <w:rsid w:val="00493C16"/>
    <w:rsid w:val="00494933"/>
    <w:rsid w:val="004957A6"/>
    <w:rsid w:val="00496115"/>
    <w:rsid w:val="00496936"/>
    <w:rsid w:val="00496EEB"/>
    <w:rsid w:val="00497275"/>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4C6"/>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6F73"/>
    <w:rsid w:val="004B713E"/>
    <w:rsid w:val="004B789A"/>
    <w:rsid w:val="004B7906"/>
    <w:rsid w:val="004B7C02"/>
    <w:rsid w:val="004B7C44"/>
    <w:rsid w:val="004B7FD0"/>
    <w:rsid w:val="004C0266"/>
    <w:rsid w:val="004C0768"/>
    <w:rsid w:val="004C0AFC"/>
    <w:rsid w:val="004C160D"/>
    <w:rsid w:val="004C18FA"/>
    <w:rsid w:val="004C1B8F"/>
    <w:rsid w:val="004C1DA6"/>
    <w:rsid w:val="004C2183"/>
    <w:rsid w:val="004C231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6FA4"/>
    <w:rsid w:val="004D06EA"/>
    <w:rsid w:val="004D0ADD"/>
    <w:rsid w:val="004D0B83"/>
    <w:rsid w:val="004D0FE3"/>
    <w:rsid w:val="004D19A9"/>
    <w:rsid w:val="004D1B7B"/>
    <w:rsid w:val="004D1F68"/>
    <w:rsid w:val="004D1FDC"/>
    <w:rsid w:val="004D28BB"/>
    <w:rsid w:val="004D29D7"/>
    <w:rsid w:val="004D303B"/>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3DC"/>
    <w:rsid w:val="004E1A58"/>
    <w:rsid w:val="004E1CEC"/>
    <w:rsid w:val="004E2073"/>
    <w:rsid w:val="004E251B"/>
    <w:rsid w:val="004E29CC"/>
    <w:rsid w:val="004E2CCD"/>
    <w:rsid w:val="004E2CD0"/>
    <w:rsid w:val="004E30F6"/>
    <w:rsid w:val="004E3141"/>
    <w:rsid w:val="004E31F7"/>
    <w:rsid w:val="004E377F"/>
    <w:rsid w:val="004E3A4F"/>
    <w:rsid w:val="004E3AA9"/>
    <w:rsid w:val="004E3D0D"/>
    <w:rsid w:val="004E4019"/>
    <w:rsid w:val="004E4533"/>
    <w:rsid w:val="004E4579"/>
    <w:rsid w:val="004E4D10"/>
    <w:rsid w:val="004E4DF8"/>
    <w:rsid w:val="004E518D"/>
    <w:rsid w:val="004E52F3"/>
    <w:rsid w:val="004E5624"/>
    <w:rsid w:val="004E5A46"/>
    <w:rsid w:val="004E602E"/>
    <w:rsid w:val="004E65C1"/>
    <w:rsid w:val="004E6C87"/>
    <w:rsid w:val="004E6FBC"/>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82B"/>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7F8"/>
    <w:rsid w:val="004F79C7"/>
    <w:rsid w:val="004F7D01"/>
    <w:rsid w:val="00500597"/>
    <w:rsid w:val="00500DD6"/>
    <w:rsid w:val="005011A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095"/>
    <w:rsid w:val="0050516A"/>
    <w:rsid w:val="005054EC"/>
    <w:rsid w:val="00505BDE"/>
    <w:rsid w:val="00505E25"/>
    <w:rsid w:val="00506EA9"/>
    <w:rsid w:val="005073F1"/>
    <w:rsid w:val="00507923"/>
    <w:rsid w:val="00507A57"/>
    <w:rsid w:val="0051049F"/>
    <w:rsid w:val="00510AB2"/>
    <w:rsid w:val="00510C7A"/>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4F0"/>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21F"/>
    <w:rsid w:val="0052476E"/>
    <w:rsid w:val="00524B17"/>
    <w:rsid w:val="00525170"/>
    <w:rsid w:val="00525814"/>
    <w:rsid w:val="00525C77"/>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221"/>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E9F"/>
    <w:rsid w:val="00540F70"/>
    <w:rsid w:val="00540FEA"/>
    <w:rsid w:val="0054127C"/>
    <w:rsid w:val="00541B14"/>
    <w:rsid w:val="00541EDA"/>
    <w:rsid w:val="00541FA1"/>
    <w:rsid w:val="00541FF3"/>
    <w:rsid w:val="0054218C"/>
    <w:rsid w:val="005421B0"/>
    <w:rsid w:val="005428A8"/>
    <w:rsid w:val="00542B6C"/>
    <w:rsid w:val="00542F8D"/>
    <w:rsid w:val="0054362D"/>
    <w:rsid w:val="00543DB2"/>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0FE4"/>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4B87"/>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4B16"/>
    <w:rsid w:val="005751BE"/>
    <w:rsid w:val="0057559D"/>
    <w:rsid w:val="00575696"/>
    <w:rsid w:val="00575CBD"/>
    <w:rsid w:val="00575D48"/>
    <w:rsid w:val="0057616A"/>
    <w:rsid w:val="005763D0"/>
    <w:rsid w:val="005764A4"/>
    <w:rsid w:val="00576633"/>
    <w:rsid w:val="005766E4"/>
    <w:rsid w:val="00576797"/>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0E"/>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0C"/>
    <w:rsid w:val="00594284"/>
    <w:rsid w:val="0059497C"/>
    <w:rsid w:val="00594CE9"/>
    <w:rsid w:val="00595043"/>
    <w:rsid w:val="005955EB"/>
    <w:rsid w:val="005958A7"/>
    <w:rsid w:val="00595941"/>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4E8"/>
    <w:rsid w:val="005A3834"/>
    <w:rsid w:val="005A38D2"/>
    <w:rsid w:val="005A3969"/>
    <w:rsid w:val="005A4005"/>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993"/>
    <w:rsid w:val="005B2BCB"/>
    <w:rsid w:val="005B2C5F"/>
    <w:rsid w:val="005B3287"/>
    <w:rsid w:val="005B390D"/>
    <w:rsid w:val="005B3CE5"/>
    <w:rsid w:val="005B455A"/>
    <w:rsid w:val="005B46D2"/>
    <w:rsid w:val="005B4B26"/>
    <w:rsid w:val="005B4DB4"/>
    <w:rsid w:val="005B4DEE"/>
    <w:rsid w:val="005B4F1F"/>
    <w:rsid w:val="005B5082"/>
    <w:rsid w:val="005B5921"/>
    <w:rsid w:val="005B5E20"/>
    <w:rsid w:val="005B5E8C"/>
    <w:rsid w:val="005B5EA0"/>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C7FC9"/>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6D8"/>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28"/>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0F28"/>
    <w:rsid w:val="005F144C"/>
    <w:rsid w:val="005F1576"/>
    <w:rsid w:val="005F1FCE"/>
    <w:rsid w:val="005F28F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369"/>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1F1B"/>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2E5"/>
    <w:rsid w:val="006165C5"/>
    <w:rsid w:val="00616E33"/>
    <w:rsid w:val="00616FC5"/>
    <w:rsid w:val="0061781E"/>
    <w:rsid w:val="006178BB"/>
    <w:rsid w:val="00617AC2"/>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62A"/>
    <w:rsid w:val="00625823"/>
    <w:rsid w:val="00625DCA"/>
    <w:rsid w:val="00626519"/>
    <w:rsid w:val="00626AF9"/>
    <w:rsid w:val="00626E00"/>
    <w:rsid w:val="00627187"/>
    <w:rsid w:val="00627A75"/>
    <w:rsid w:val="00627AF7"/>
    <w:rsid w:val="00627E5E"/>
    <w:rsid w:val="00630022"/>
    <w:rsid w:val="0063061C"/>
    <w:rsid w:val="00630B9D"/>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3E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6F0"/>
    <w:rsid w:val="00642B56"/>
    <w:rsid w:val="00642BA5"/>
    <w:rsid w:val="00642EFE"/>
    <w:rsid w:val="0064329B"/>
    <w:rsid w:val="006434ED"/>
    <w:rsid w:val="0064367F"/>
    <w:rsid w:val="00643CD1"/>
    <w:rsid w:val="00643D3B"/>
    <w:rsid w:val="006440C1"/>
    <w:rsid w:val="006441F9"/>
    <w:rsid w:val="00644262"/>
    <w:rsid w:val="006447F3"/>
    <w:rsid w:val="006450B4"/>
    <w:rsid w:val="006459C4"/>
    <w:rsid w:val="00645A8B"/>
    <w:rsid w:val="00645C10"/>
    <w:rsid w:val="006468B7"/>
    <w:rsid w:val="00646B97"/>
    <w:rsid w:val="00646EAB"/>
    <w:rsid w:val="006471DA"/>
    <w:rsid w:val="0064759E"/>
    <w:rsid w:val="00647CD6"/>
    <w:rsid w:val="00650464"/>
    <w:rsid w:val="006505F6"/>
    <w:rsid w:val="00650986"/>
    <w:rsid w:val="00650ABF"/>
    <w:rsid w:val="00650B0B"/>
    <w:rsid w:val="00650F75"/>
    <w:rsid w:val="00651438"/>
    <w:rsid w:val="006514BC"/>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2726"/>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B51"/>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C3D"/>
    <w:rsid w:val="00672DD8"/>
    <w:rsid w:val="006734AE"/>
    <w:rsid w:val="00673693"/>
    <w:rsid w:val="00673BC3"/>
    <w:rsid w:val="006740BE"/>
    <w:rsid w:val="0067416A"/>
    <w:rsid w:val="0067433F"/>
    <w:rsid w:val="00674368"/>
    <w:rsid w:val="00674E87"/>
    <w:rsid w:val="006753AF"/>
    <w:rsid w:val="0067686C"/>
    <w:rsid w:val="0067695C"/>
    <w:rsid w:val="00676BB5"/>
    <w:rsid w:val="00677126"/>
    <w:rsid w:val="00680185"/>
    <w:rsid w:val="0068061A"/>
    <w:rsid w:val="006806E6"/>
    <w:rsid w:val="00680A0A"/>
    <w:rsid w:val="006813B9"/>
    <w:rsid w:val="0068165A"/>
    <w:rsid w:val="00681D3A"/>
    <w:rsid w:val="00681DBF"/>
    <w:rsid w:val="00682113"/>
    <w:rsid w:val="0068225C"/>
    <w:rsid w:val="00682D91"/>
    <w:rsid w:val="00682FF4"/>
    <w:rsid w:val="00683269"/>
    <w:rsid w:val="00683466"/>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6A4"/>
    <w:rsid w:val="00687967"/>
    <w:rsid w:val="00687AD0"/>
    <w:rsid w:val="00687C62"/>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5E74"/>
    <w:rsid w:val="0069618D"/>
    <w:rsid w:val="00696731"/>
    <w:rsid w:val="00696745"/>
    <w:rsid w:val="00696947"/>
    <w:rsid w:val="00696978"/>
    <w:rsid w:val="006969D9"/>
    <w:rsid w:val="00696B3A"/>
    <w:rsid w:val="00696B75"/>
    <w:rsid w:val="00696C31"/>
    <w:rsid w:val="00697967"/>
    <w:rsid w:val="006979AB"/>
    <w:rsid w:val="00697E18"/>
    <w:rsid w:val="006A01BA"/>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083"/>
    <w:rsid w:val="006B132A"/>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0F7"/>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0D1C"/>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0DA7"/>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63C"/>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A98"/>
    <w:rsid w:val="00723D1D"/>
    <w:rsid w:val="00723D66"/>
    <w:rsid w:val="007241CF"/>
    <w:rsid w:val="00724293"/>
    <w:rsid w:val="0072444D"/>
    <w:rsid w:val="0072462A"/>
    <w:rsid w:val="007246EC"/>
    <w:rsid w:val="00724790"/>
    <w:rsid w:val="00724907"/>
    <w:rsid w:val="00724DF3"/>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6AF"/>
    <w:rsid w:val="007338E3"/>
    <w:rsid w:val="00734068"/>
    <w:rsid w:val="007340C3"/>
    <w:rsid w:val="007349EF"/>
    <w:rsid w:val="00734DEA"/>
    <w:rsid w:val="00734E2D"/>
    <w:rsid w:val="007355F7"/>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2E60"/>
    <w:rsid w:val="00743305"/>
    <w:rsid w:val="00743985"/>
    <w:rsid w:val="00744053"/>
    <w:rsid w:val="007443C5"/>
    <w:rsid w:val="00744A8B"/>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C7E"/>
    <w:rsid w:val="00750DD7"/>
    <w:rsid w:val="00750E07"/>
    <w:rsid w:val="007511C7"/>
    <w:rsid w:val="0075241C"/>
    <w:rsid w:val="00752585"/>
    <w:rsid w:val="007529D4"/>
    <w:rsid w:val="00752BF3"/>
    <w:rsid w:val="007530AE"/>
    <w:rsid w:val="00753243"/>
    <w:rsid w:val="0075341A"/>
    <w:rsid w:val="00753768"/>
    <w:rsid w:val="00753D79"/>
    <w:rsid w:val="0075400C"/>
    <w:rsid w:val="00754380"/>
    <w:rsid w:val="007545DC"/>
    <w:rsid w:val="00755337"/>
    <w:rsid w:val="00755708"/>
    <w:rsid w:val="00755C95"/>
    <w:rsid w:val="00755ECA"/>
    <w:rsid w:val="007562B6"/>
    <w:rsid w:val="007569F1"/>
    <w:rsid w:val="007571F9"/>
    <w:rsid w:val="007572FC"/>
    <w:rsid w:val="00757494"/>
    <w:rsid w:val="007574D7"/>
    <w:rsid w:val="00757801"/>
    <w:rsid w:val="00757A18"/>
    <w:rsid w:val="00760B37"/>
    <w:rsid w:val="00760BC5"/>
    <w:rsid w:val="00760CC3"/>
    <w:rsid w:val="00760F71"/>
    <w:rsid w:val="00761211"/>
    <w:rsid w:val="00761484"/>
    <w:rsid w:val="007614AF"/>
    <w:rsid w:val="007615FE"/>
    <w:rsid w:val="0076204D"/>
    <w:rsid w:val="0076243C"/>
    <w:rsid w:val="00762884"/>
    <w:rsid w:val="0076296F"/>
    <w:rsid w:val="0076297B"/>
    <w:rsid w:val="00762C0E"/>
    <w:rsid w:val="00762ED3"/>
    <w:rsid w:val="00763021"/>
    <w:rsid w:val="00763581"/>
    <w:rsid w:val="00763BE6"/>
    <w:rsid w:val="00763DFA"/>
    <w:rsid w:val="00764448"/>
    <w:rsid w:val="00764563"/>
    <w:rsid w:val="007646B1"/>
    <w:rsid w:val="00764B10"/>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8DC"/>
    <w:rsid w:val="00773B08"/>
    <w:rsid w:val="00773B26"/>
    <w:rsid w:val="00773C4C"/>
    <w:rsid w:val="00773DE2"/>
    <w:rsid w:val="00773F03"/>
    <w:rsid w:val="007744E9"/>
    <w:rsid w:val="00774576"/>
    <w:rsid w:val="00774619"/>
    <w:rsid w:val="00774888"/>
    <w:rsid w:val="00774C36"/>
    <w:rsid w:val="007750E7"/>
    <w:rsid w:val="007757A1"/>
    <w:rsid w:val="007757EA"/>
    <w:rsid w:val="00775880"/>
    <w:rsid w:val="00776132"/>
    <w:rsid w:val="00776295"/>
    <w:rsid w:val="007765C8"/>
    <w:rsid w:val="00776783"/>
    <w:rsid w:val="00776A7A"/>
    <w:rsid w:val="00776FEC"/>
    <w:rsid w:val="00777140"/>
    <w:rsid w:val="00777476"/>
    <w:rsid w:val="00777D8A"/>
    <w:rsid w:val="00777ECC"/>
    <w:rsid w:val="00777ED0"/>
    <w:rsid w:val="0078043A"/>
    <w:rsid w:val="00781E9E"/>
    <w:rsid w:val="00782231"/>
    <w:rsid w:val="00782262"/>
    <w:rsid w:val="00782925"/>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567"/>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767"/>
    <w:rsid w:val="00793826"/>
    <w:rsid w:val="00793999"/>
    <w:rsid w:val="00793D3F"/>
    <w:rsid w:val="0079404F"/>
    <w:rsid w:val="007940FB"/>
    <w:rsid w:val="0079436D"/>
    <w:rsid w:val="007948D2"/>
    <w:rsid w:val="00794C94"/>
    <w:rsid w:val="007964BD"/>
    <w:rsid w:val="00796596"/>
    <w:rsid w:val="0079677B"/>
    <w:rsid w:val="007968F3"/>
    <w:rsid w:val="00797180"/>
    <w:rsid w:val="007971ED"/>
    <w:rsid w:val="00797858"/>
    <w:rsid w:val="00797A7E"/>
    <w:rsid w:val="007A0166"/>
    <w:rsid w:val="007A045D"/>
    <w:rsid w:val="007A079E"/>
    <w:rsid w:val="007A0DF8"/>
    <w:rsid w:val="007A0EAC"/>
    <w:rsid w:val="007A1A8C"/>
    <w:rsid w:val="007A20AB"/>
    <w:rsid w:val="007A2312"/>
    <w:rsid w:val="007A2666"/>
    <w:rsid w:val="007A2B98"/>
    <w:rsid w:val="007A2EBF"/>
    <w:rsid w:val="007A3508"/>
    <w:rsid w:val="007A3843"/>
    <w:rsid w:val="007A3FB8"/>
    <w:rsid w:val="007A40A5"/>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695"/>
    <w:rsid w:val="007B1EAA"/>
    <w:rsid w:val="007B21F4"/>
    <w:rsid w:val="007B242A"/>
    <w:rsid w:val="007B264A"/>
    <w:rsid w:val="007B29F5"/>
    <w:rsid w:val="007B2BBA"/>
    <w:rsid w:val="007B348F"/>
    <w:rsid w:val="007B36C4"/>
    <w:rsid w:val="007B3797"/>
    <w:rsid w:val="007B3BBD"/>
    <w:rsid w:val="007B43D5"/>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1932"/>
    <w:rsid w:val="007C2121"/>
    <w:rsid w:val="007C2523"/>
    <w:rsid w:val="007C28A3"/>
    <w:rsid w:val="007C2BDF"/>
    <w:rsid w:val="007C2C9E"/>
    <w:rsid w:val="007C2E22"/>
    <w:rsid w:val="007C3158"/>
    <w:rsid w:val="007C37A2"/>
    <w:rsid w:val="007C388A"/>
    <w:rsid w:val="007C3FC4"/>
    <w:rsid w:val="007C4339"/>
    <w:rsid w:val="007C4533"/>
    <w:rsid w:val="007C494D"/>
    <w:rsid w:val="007C4C3A"/>
    <w:rsid w:val="007C4F59"/>
    <w:rsid w:val="007C4F6A"/>
    <w:rsid w:val="007C4FA9"/>
    <w:rsid w:val="007C50F0"/>
    <w:rsid w:val="007C54AE"/>
    <w:rsid w:val="007C642D"/>
    <w:rsid w:val="007C6623"/>
    <w:rsid w:val="007C6910"/>
    <w:rsid w:val="007C6D15"/>
    <w:rsid w:val="007C75EA"/>
    <w:rsid w:val="007C7749"/>
    <w:rsid w:val="007C7C35"/>
    <w:rsid w:val="007C7FD3"/>
    <w:rsid w:val="007D000B"/>
    <w:rsid w:val="007D0192"/>
    <w:rsid w:val="007D0625"/>
    <w:rsid w:val="007D0E96"/>
    <w:rsid w:val="007D15D6"/>
    <w:rsid w:val="007D1932"/>
    <w:rsid w:val="007D1C6D"/>
    <w:rsid w:val="007D1D06"/>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7AE"/>
    <w:rsid w:val="0080399A"/>
    <w:rsid w:val="00803B67"/>
    <w:rsid w:val="00803C9B"/>
    <w:rsid w:val="00803CA0"/>
    <w:rsid w:val="00803EDC"/>
    <w:rsid w:val="008042A6"/>
    <w:rsid w:val="00804361"/>
    <w:rsid w:val="008044ED"/>
    <w:rsid w:val="00804FA0"/>
    <w:rsid w:val="008052E6"/>
    <w:rsid w:val="008056FB"/>
    <w:rsid w:val="00806817"/>
    <w:rsid w:val="00806A87"/>
    <w:rsid w:val="00806CEE"/>
    <w:rsid w:val="00806DE4"/>
    <w:rsid w:val="008071E5"/>
    <w:rsid w:val="00807E76"/>
    <w:rsid w:val="008101D5"/>
    <w:rsid w:val="00810266"/>
    <w:rsid w:val="0081070E"/>
    <w:rsid w:val="00810D50"/>
    <w:rsid w:val="00810D6A"/>
    <w:rsid w:val="008110B1"/>
    <w:rsid w:val="0081152D"/>
    <w:rsid w:val="00811609"/>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17B48"/>
    <w:rsid w:val="0082033F"/>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309"/>
    <w:rsid w:val="00824763"/>
    <w:rsid w:val="0082488F"/>
    <w:rsid w:val="00824A03"/>
    <w:rsid w:val="00824E7E"/>
    <w:rsid w:val="00824F33"/>
    <w:rsid w:val="00824F35"/>
    <w:rsid w:val="00824FE9"/>
    <w:rsid w:val="00825075"/>
    <w:rsid w:val="0082515E"/>
    <w:rsid w:val="0082544B"/>
    <w:rsid w:val="00825616"/>
    <w:rsid w:val="008259BB"/>
    <w:rsid w:val="00825AE2"/>
    <w:rsid w:val="00825C05"/>
    <w:rsid w:val="008260A9"/>
    <w:rsid w:val="00826385"/>
    <w:rsid w:val="00826C24"/>
    <w:rsid w:val="00826E06"/>
    <w:rsid w:val="00827025"/>
    <w:rsid w:val="0082737C"/>
    <w:rsid w:val="00827A07"/>
    <w:rsid w:val="00827F9D"/>
    <w:rsid w:val="008305BF"/>
    <w:rsid w:val="0083063E"/>
    <w:rsid w:val="0083098C"/>
    <w:rsid w:val="00830A02"/>
    <w:rsid w:val="00830B03"/>
    <w:rsid w:val="00830C66"/>
    <w:rsid w:val="00831724"/>
    <w:rsid w:val="00831843"/>
    <w:rsid w:val="008318C7"/>
    <w:rsid w:val="00831B13"/>
    <w:rsid w:val="00831D29"/>
    <w:rsid w:val="00831D8B"/>
    <w:rsid w:val="00832554"/>
    <w:rsid w:val="00832685"/>
    <w:rsid w:val="00832B88"/>
    <w:rsid w:val="00832BEF"/>
    <w:rsid w:val="00833106"/>
    <w:rsid w:val="00833878"/>
    <w:rsid w:val="00833899"/>
    <w:rsid w:val="00833D7C"/>
    <w:rsid w:val="00834271"/>
    <w:rsid w:val="008343DC"/>
    <w:rsid w:val="00834B22"/>
    <w:rsid w:val="00834ECA"/>
    <w:rsid w:val="008351A1"/>
    <w:rsid w:val="00835540"/>
    <w:rsid w:val="0083557A"/>
    <w:rsid w:val="008357C3"/>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3DB"/>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2D29"/>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5A"/>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A7"/>
    <w:rsid w:val="00882EFD"/>
    <w:rsid w:val="00883880"/>
    <w:rsid w:val="00883C83"/>
    <w:rsid w:val="00883D1A"/>
    <w:rsid w:val="00884599"/>
    <w:rsid w:val="00884DED"/>
    <w:rsid w:val="00884FD9"/>
    <w:rsid w:val="00885190"/>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2F19"/>
    <w:rsid w:val="0089365D"/>
    <w:rsid w:val="00893753"/>
    <w:rsid w:val="0089378A"/>
    <w:rsid w:val="00893E27"/>
    <w:rsid w:val="00893F02"/>
    <w:rsid w:val="0089443B"/>
    <w:rsid w:val="00894997"/>
    <w:rsid w:val="00895031"/>
    <w:rsid w:val="008954CD"/>
    <w:rsid w:val="008955C5"/>
    <w:rsid w:val="00895764"/>
    <w:rsid w:val="00895872"/>
    <w:rsid w:val="008959EE"/>
    <w:rsid w:val="00895FB0"/>
    <w:rsid w:val="008960DF"/>
    <w:rsid w:val="008965D4"/>
    <w:rsid w:val="00896D43"/>
    <w:rsid w:val="008976CE"/>
    <w:rsid w:val="0089779D"/>
    <w:rsid w:val="00897FD9"/>
    <w:rsid w:val="008A01CC"/>
    <w:rsid w:val="008A0391"/>
    <w:rsid w:val="008A06A6"/>
    <w:rsid w:val="008A0767"/>
    <w:rsid w:val="008A0DE2"/>
    <w:rsid w:val="008A1268"/>
    <w:rsid w:val="008A1523"/>
    <w:rsid w:val="008A17E3"/>
    <w:rsid w:val="008A1D43"/>
    <w:rsid w:val="008A271A"/>
    <w:rsid w:val="008A2E02"/>
    <w:rsid w:val="008A2E57"/>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2A5D"/>
    <w:rsid w:val="008B3109"/>
    <w:rsid w:val="008B31CF"/>
    <w:rsid w:val="008B3E4E"/>
    <w:rsid w:val="008B3EE4"/>
    <w:rsid w:val="008B45EF"/>
    <w:rsid w:val="008B47CD"/>
    <w:rsid w:val="008B48F4"/>
    <w:rsid w:val="008B4E0B"/>
    <w:rsid w:val="008B52DF"/>
    <w:rsid w:val="008B6024"/>
    <w:rsid w:val="008B6378"/>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854"/>
    <w:rsid w:val="008C6D48"/>
    <w:rsid w:val="008C7227"/>
    <w:rsid w:val="008C722E"/>
    <w:rsid w:val="008C784E"/>
    <w:rsid w:val="008C7CD1"/>
    <w:rsid w:val="008D0800"/>
    <w:rsid w:val="008D0A15"/>
    <w:rsid w:val="008D0D4B"/>
    <w:rsid w:val="008D108C"/>
    <w:rsid w:val="008D13A8"/>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253"/>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51A"/>
    <w:rsid w:val="008F2A74"/>
    <w:rsid w:val="008F2AA8"/>
    <w:rsid w:val="008F2F92"/>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5BE5"/>
    <w:rsid w:val="008F6095"/>
    <w:rsid w:val="008F6243"/>
    <w:rsid w:val="008F671C"/>
    <w:rsid w:val="008F6727"/>
    <w:rsid w:val="008F6729"/>
    <w:rsid w:val="008F6ADE"/>
    <w:rsid w:val="008F6E39"/>
    <w:rsid w:val="008F7224"/>
    <w:rsid w:val="008F72B1"/>
    <w:rsid w:val="008F7367"/>
    <w:rsid w:val="008F7637"/>
    <w:rsid w:val="008F798E"/>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269"/>
    <w:rsid w:val="00917A82"/>
    <w:rsid w:val="00917B9B"/>
    <w:rsid w:val="009206A4"/>
    <w:rsid w:val="00920914"/>
    <w:rsid w:val="009209F5"/>
    <w:rsid w:val="00920B33"/>
    <w:rsid w:val="00920C46"/>
    <w:rsid w:val="00920CE4"/>
    <w:rsid w:val="00920D1D"/>
    <w:rsid w:val="00920EB8"/>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1A8"/>
    <w:rsid w:val="0093434E"/>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4F71"/>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281"/>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6F3A"/>
    <w:rsid w:val="0095722C"/>
    <w:rsid w:val="0095759D"/>
    <w:rsid w:val="00957F6E"/>
    <w:rsid w:val="009600EF"/>
    <w:rsid w:val="009601FB"/>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961"/>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721"/>
    <w:rsid w:val="00974CD7"/>
    <w:rsid w:val="00975092"/>
    <w:rsid w:val="00975095"/>
    <w:rsid w:val="00975ABF"/>
    <w:rsid w:val="00975CA3"/>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4FBD"/>
    <w:rsid w:val="009856B4"/>
    <w:rsid w:val="0098619F"/>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4CEC"/>
    <w:rsid w:val="009954D4"/>
    <w:rsid w:val="00995C36"/>
    <w:rsid w:val="00995C41"/>
    <w:rsid w:val="009971D4"/>
    <w:rsid w:val="00997213"/>
    <w:rsid w:val="0099727D"/>
    <w:rsid w:val="00997434"/>
    <w:rsid w:val="00997511"/>
    <w:rsid w:val="00997872"/>
    <w:rsid w:val="009978B1"/>
    <w:rsid w:val="00997B1B"/>
    <w:rsid w:val="009A038A"/>
    <w:rsid w:val="009A0C18"/>
    <w:rsid w:val="009A1B3A"/>
    <w:rsid w:val="009A1C0C"/>
    <w:rsid w:val="009A1D48"/>
    <w:rsid w:val="009A1F68"/>
    <w:rsid w:val="009A2232"/>
    <w:rsid w:val="009A2505"/>
    <w:rsid w:val="009A2797"/>
    <w:rsid w:val="009A2AF0"/>
    <w:rsid w:val="009A34A2"/>
    <w:rsid w:val="009A36AD"/>
    <w:rsid w:val="009A38BE"/>
    <w:rsid w:val="009A3E54"/>
    <w:rsid w:val="009A4204"/>
    <w:rsid w:val="009A4374"/>
    <w:rsid w:val="009A4C2B"/>
    <w:rsid w:val="009A4C56"/>
    <w:rsid w:val="009A4D33"/>
    <w:rsid w:val="009A4F06"/>
    <w:rsid w:val="009A5029"/>
    <w:rsid w:val="009A5A06"/>
    <w:rsid w:val="009A5B1E"/>
    <w:rsid w:val="009A6158"/>
    <w:rsid w:val="009A68A7"/>
    <w:rsid w:val="009A68ED"/>
    <w:rsid w:val="009A69D7"/>
    <w:rsid w:val="009A6E6F"/>
    <w:rsid w:val="009A6EF5"/>
    <w:rsid w:val="009A6FAC"/>
    <w:rsid w:val="009A75AB"/>
    <w:rsid w:val="009A7DA6"/>
    <w:rsid w:val="009B0217"/>
    <w:rsid w:val="009B0349"/>
    <w:rsid w:val="009B0DB0"/>
    <w:rsid w:val="009B0FC8"/>
    <w:rsid w:val="009B108A"/>
    <w:rsid w:val="009B13AB"/>
    <w:rsid w:val="009B17D8"/>
    <w:rsid w:val="009B1861"/>
    <w:rsid w:val="009B1A67"/>
    <w:rsid w:val="009B1CD9"/>
    <w:rsid w:val="009B1DE8"/>
    <w:rsid w:val="009B2565"/>
    <w:rsid w:val="009B2896"/>
    <w:rsid w:val="009B31F8"/>
    <w:rsid w:val="009B341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12"/>
    <w:rsid w:val="009D23CE"/>
    <w:rsid w:val="009D2EDB"/>
    <w:rsid w:val="009D2F20"/>
    <w:rsid w:val="009D325D"/>
    <w:rsid w:val="009D3854"/>
    <w:rsid w:val="009D38B5"/>
    <w:rsid w:val="009D38E8"/>
    <w:rsid w:val="009D39C0"/>
    <w:rsid w:val="009D3CF2"/>
    <w:rsid w:val="009D3FDA"/>
    <w:rsid w:val="009D406C"/>
    <w:rsid w:val="009D42C5"/>
    <w:rsid w:val="009D4449"/>
    <w:rsid w:val="009D48FD"/>
    <w:rsid w:val="009D51ED"/>
    <w:rsid w:val="009D5227"/>
    <w:rsid w:val="009D526C"/>
    <w:rsid w:val="009D53CA"/>
    <w:rsid w:val="009D53D3"/>
    <w:rsid w:val="009D605C"/>
    <w:rsid w:val="009D6121"/>
    <w:rsid w:val="009D638A"/>
    <w:rsid w:val="009D6A4F"/>
    <w:rsid w:val="009D6B4B"/>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841"/>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136"/>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2D73"/>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188"/>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04F"/>
    <w:rsid w:val="00A3521F"/>
    <w:rsid w:val="00A35242"/>
    <w:rsid w:val="00A354BC"/>
    <w:rsid w:val="00A35525"/>
    <w:rsid w:val="00A35FA8"/>
    <w:rsid w:val="00A363C6"/>
    <w:rsid w:val="00A365AD"/>
    <w:rsid w:val="00A3699C"/>
    <w:rsid w:val="00A36AEB"/>
    <w:rsid w:val="00A36B4E"/>
    <w:rsid w:val="00A36CB3"/>
    <w:rsid w:val="00A36D26"/>
    <w:rsid w:val="00A3726E"/>
    <w:rsid w:val="00A375D9"/>
    <w:rsid w:val="00A378EA"/>
    <w:rsid w:val="00A37D0F"/>
    <w:rsid w:val="00A4006D"/>
    <w:rsid w:val="00A404FC"/>
    <w:rsid w:val="00A405B4"/>
    <w:rsid w:val="00A40780"/>
    <w:rsid w:val="00A408D7"/>
    <w:rsid w:val="00A40B4A"/>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387"/>
    <w:rsid w:val="00A47C28"/>
    <w:rsid w:val="00A47C70"/>
    <w:rsid w:val="00A50571"/>
    <w:rsid w:val="00A50CBE"/>
    <w:rsid w:val="00A50EAC"/>
    <w:rsid w:val="00A51070"/>
    <w:rsid w:val="00A51460"/>
    <w:rsid w:val="00A5153C"/>
    <w:rsid w:val="00A51C46"/>
    <w:rsid w:val="00A51DC4"/>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4B2"/>
    <w:rsid w:val="00A55DFB"/>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2FF2"/>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4A3"/>
    <w:rsid w:val="00A8365E"/>
    <w:rsid w:val="00A83821"/>
    <w:rsid w:val="00A83839"/>
    <w:rsid w:val="00A84045"/>
    <w:rsid w:val="00A8405E"/>
    <w:rsid w:val="00A840A8"/>
    <w:rsid w:val="00A84573"/>
    <w:rsid w:val="00A848F9"/>
    <w:rsid w:val="00A84BF1"/>
    <w:rsid w:val="00A84D0C"/>
    <w:rsid w:val="00A84ED7"/>
    <w:rsid w:val="00A8505A"/>
    <w:rsid w:val="00A85ECE"/>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5D"/>
    <w:rsid w:val="00A95F71"/>
    <w:rsid w:val="00A960CC"/>
    <w:rsid w:val="00A96162"/>
    <w:rsid w:val="00A965A7"/>
    <w:rsid w:val="00A97376"/>
    <w:rsid w:val="00A974EF"/>
    <w:rsid w:val="00A97A42"/>
    <w:rsid w:val="00AA0196"/>
    <w:rsid w:val="00AA0435"/>
    <w:rsid w:val="00AA053D"/>
    <w:rsid w:val="00AA0E75"/>
    <w:rsid w:val="00AA119C"/>
    <w:rsid w:val="00AA11E1"/>
    <w:rsid w:val="00AA14EA"/>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D28"/>
    <w:rsid w:val="00AC34AD"/>
    <w:rsid w:val="00AC38A3"/>
    <w:rsid w:val="00AC3E32"/>
    <w:rsid w:val="00AC41BD"/>
    <w:rsid w:val="00AC509C"/>
    <w:rsid w:val="00AC546D"/>
    <w:rsid w:val="00AC6A53"/>
    <w:rsid w:val="00AC6D4B"/>
    <w:rsid w:val="00AC6E65"/>
    <w:rsid w:val="00AC7442"/>
    <w:rsid w:val="00AC74D5"/>
    <w:rsid w:val="00AC75DD"/>
    <w:rsid w:val="00AC786D"/>
    <w:rsid w:val="00AD08E4"/>
    <w:rsid w:val="00AD09CD"/>
    <w:rsid w:val="00AD0C5F"/>
    <w:rsid w:val="00AD0E72"/>
    <w:rsid w:val="00AD1351"/>
    <w:rsid w:val="00AD1387"/>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18"/>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B4"/>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0"/>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2AE7"/>
    <w:rsid w:val="00B1349D"/>
    <w:rsid w:val="00B136AB"/>
    <w:rsid w:val="00B13D54"/>
    <w:rsid w:val="00B13E7D"/>
    <w:rsid w:val="00B13F47"/>
    <w:rsid w:val="00B145C5"/>
    <w:rsid w:val="00B149D1"/>
    <w:rsid w:val="00B14B0F"/>
    <w:rsid w:val="00B14EB5"/>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1B9"/>
    <w:rsid w:val="00B2337F"/>
    <w:rsid w:val="00B233E9"/>
    <w:rsid w:val="00B23B55"/>
    <w:rsid w:val="00B23F05"/>
    <w:rsid w:val="00B2410E"/>
    <w:rsid w:val="00B24438"/>
    <w:rsid w:val="00B244E2"/>
    <w:rsid w:val="00B246A4"/>
    <w:rsid w:val="00B2491C"/>
    <w:rsid w:val="00B24CA7"/>
    <w:rsid w:val="00B24DFF"/>
    <w:rsid w:val="00B24F75"/>
    <w:rsid w:val="00B25178"/>
    <w:rsid w:val="00B2522E"/>
    <w:rsid w:val="00B25233"/>
    <w:rsid w:val="00B258B2"/>
    <w:rsid w:val="00B25BFF"/>
    <w:rsid w:val="00B25D8C"/>
    <w:rsid w:val="00B260C0"/>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1801"/>
    <w:rsid w:val="00B3205F"/>
    <w:rsid w:val="00B3210C"/>
    <w:rsid w:val="00B32333"/>
    <w:rsid w:val="00B324CF"/>
    <w:rsid w:val="00B32536"/>
    <w:rsid w:val="00B33530"/>
    <w:rsid w:val="00B34004"/>
    <w:rsid w:val="00B341F4"/>
    <w:rsid w:val="00B34521"/>
    <w:rsid w:val="00B34563"/>
    <w:rsid w:val="00B346CF"/>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1A"/>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5A20"/>
    <w:rsid w:val="00B46098"/>
    <w:rsid w:val="00B46203"/>
    <w:rsid w:val="00B464C7"/>
    <w:rsid w:val="00B46628"/>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2C91"/>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6DFB"/>
    <w:rsid w:val="00B5754F"/>
    <w:rsid w:val="00B576C2"/>
    <w:rsid w:val="00B57765"/>
    <w:rsid w:val="00B5795D"/>
    <w:rsid w:val="00B57D55"/>
    <w:rsid w:val="00B57E2D"/>
    <w:rsid w:val="00B604DE"/>
    <w:rsid w:val="00B6056A"/>
    <w:rsid w:val="00B606F6"/>
    <w:rsid w:val="00B608CE"/>
    <w:rsid w:val="00B60B81"/>
    <w:rsid w:val="00B60BC0"/>
    <w:rsid w:val="00B6102A"/>
    <w:rsid w:val="00B617C0"/>
    <w:rsid w:val="00B61A78"/>
    <w:rsid w:val="00B61D37"/>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171"/>
    <w:rsid w:val="00B73771"/>
    <w:rsid w:val="00B74460"/>
    <w:rsid w:val="00B7449F"/>
    <w:rsid w:val="00B74802"/>
    <w:rsid w:val="00B74B2B"/>
    <w:rsid w:val="00B74C4E"/>
    <w:rsid w:val="00B74FF7"/>
    <w:rsid w:val="00B75432"/>
    <w:rsid w:val="00B75E35"/>
    <w:rsid w:val="00B762BA"/>
    <w:rsid w:val="00B763CA"/>
    <w:rsid w:val="00B771CB"/>
    <w:rsid w:val="00B773FD"/>
    <w:rsid w:val="00B77821"/>
    <w:rsid w:val="00B77D2C"/>
    <w:rsid w:val="00B77D2E"/>
    <w:rsid w:val="00B77E6E"/>
    <w:rsid w:val="00B80003"/>
    <w:rsid w:val="00B8078A"/>
    <w:rsid w:val="00B80D6C"/>
    <w:rsid w:val="00B80FF4"/>
    <w:rsid w:val="00B81969"/>
    <w:rsid w:val="00B81FF0"/>
    <w:rsid w:val="00B825A7"/>
    <w:rsid w:val="00B828A9"/>
    <w:rsid w:val="00B82BC2"/>
    <w:rsid w:val="00B83693"/>
    <w:rsid w:val="00B837BA"/>
    <w:rsid w:val="00B8384D"/>
    <w:rsid w:val="00B83DA3"/>
    <w:rsid w:val="00B8427D"/>
    <w:rsid w:val="00B8467F"/>
    <w:rsid w:val="00B846A2"/>
    <w:rsid w:val="00B84B08"/>
    <w:rsid w:val="00B84D87"/>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A92"/>
    <w:rsid w:val="00BB1E58"/>
    <w:rsid w:val="00BB2441"/>
    <w:rsid w:val="00BB261A"/>
    <w:rsid w:val="00BB2D5C"/>
    <w:rsid w:val="00BB379E"/>
    <w:rsid w:val="00BB3BEE"/>
    <w:rsid w:val="00BB3FEF"/>
    <w:rsid w:val="00BB4179"/>
    <w:rsid w:val="00BB4248"/>
    <w:rsid w:val="00BB42C3"/>
    <w:rsid w:val="00BB50E6"/>
    <w:rsid w:val="00BB5749"/>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12A"/>
    <w:rsid w:val="00BC1536"/>
    <w:rsid w:val="00BC1572"/>
    <w:rsid w:val="00BC1820"/>
    <w:rsid w:val="00BC18EF"/>
    <w:rsid w:val="00BC18FE"/>
    <w:rsid w:val="00BC1F5A"/>
    <w:rsid w:val="00BC1FBF"/>
    <w:rsid w:val="00BC20AE"/>
    <w:rsid w:val="00BC248C"/>
    <w:rsid w:val="00BC2528"/>
    <w:rsid w:val="00BC2848"/>
    <w:rsid w:val="00BC293F"/>
    <w:rsid w:val="00BC2C2E"/>
    <w:rsid w:val="00BC2FF5"/>
    <w:rsid w:val="00BC3319"/>
    <w:rsid w:val="00BC334A"/>
    <w:rsid w:val="00BC3394"/>
    <w:rsid w:val="00BC3D3D"/>
    <w:rsid w:val="00BC3ED7"/>
    <w:rsid w:val="00BC424E"/>
    <w:rsid w:val="00BC42F4"/>
    <w:rsid w:val="00BC4572"/>
    <w:rsid w:val="00BC4874"/>
    <w:rsid w:val="00BC509B"/>
    <w:rsid w:val="00BC511E"/>
    <w:rsid w:val="00BC5F28"/>
    <w:rsid w:val="00BC67DA"/>
    <w:rsid w:val="00BC6903"/>
    <w:rsid w:val="00BC6CA4"/>
    <w:rsid w:val="00BC716D"/>
    <w:rsid w:val="00BC7DC5"/>
    <w:rsid w:val="00BC7FAF"/>
    <w:rsid w:val="00BD0454"/>
    <w:rsid w:val="00BD0B49"/>
    <w:rsid w:val="00BD1118"/>
    <w:rsid w:val="00BD11FE"/>
    <w:rsid w:val="00BD142E"/>
    <w:rsid w:val="00BD1560"/>
    <w:rsid w:val="00BD1B00"/>
    <w:rsid w:val="00BD2021"/>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4CFD"/>
    <w:rsid w:val="00BD53A9"/>
    <w:rsid w:val="00BD562B"/>
    <w:rsid w:val="00BD5EC1"/>
    <w:rsid w:val="00BD6271"/>
    <w:rsid w:val="00BD6B05"/>
    <w:rsid w:val="00BD7012"/>
    <w:rsid w:val="00BD73EE"/>
    <w:rsid w:val="00BD752A"/>
    <w:rsid w:val="00BE02A8"/>
    <w:rsid w:val="00BE02AB"/>
    <w:rsid w:val="00BE09CA"/>
    <w:rsid w:val="00BE1022"/>
    <w:rsid w:val="00BE120C"/>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4C2"/>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07EA5"/>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54C"/>
    <w:rsid w:val="00C138AB"/>
    <w:rsid w:val="00C14AA1"/>
    <w:rsid w:val="00C153CF"/>
    <w:rsid w:val="00C1582B"/>
    <w:rsid w:val="00C15A9B"/>
    <w:rsid w:val="00C1629B"/>
    <w:rsid w:val="00C165A9"/>
    <w:rsid w:val="00C16C60"/>
    <w:rsid w:val="00C173EC"/>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A6C"/>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77"/>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5E"/>
    <w:rsid w:val="00C4439D"/>
    <w:rsid w:val="00C4441A"/>
    <w:rsid w:val="00C4476B"/>
    <w:rsid w:val="00C447BE"/>
    <w:rsid w:val="00C449A4"/>
    <w:rsid w:val="00C44C53"/>
    <w:rsid w:val="00C454D5"/>
    <w:rsid w:val="00C456C6"/>
    <w:rsid w:val="00C45B40"/>
    <w:rsid w:val="00C45F6D"/>
    <w:rsid w:val="00C46991"/>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A2A"/>
    <w:rsid w:val="00C52AF2"/>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1E0E"/>
    <w:rsid w:val="00C62040"/>
    <w:rsid w:val="00C621A7"/>
    <w:rsid w:val="00C62351"/>
    <w:rsid w:val="00C6249A"/>
    <w:rsid w:val="00C6272E"/>
    <w:rsid w:val="00C62B9B"/>
    <w:rsid w:val="00C62BE1"/>
    <w:rsid w:val="00C63F21"/>
    <w:rsid w:val="00C63F88"/>
    <w:rsid w:val="00C64963"/>
    <w:rsid w:val="00C64A19"/>
    <w:rsid w:val="00C65075"/>
    <w:rsid w:val="00C66003"/>
    <w:rsid w:val="00C6612C"/>
    <w:rsid w:val="00C665CB"/>
    <w:rsid w:val="00C66672"/>
    <w:rsid w:val="00C667A8"/>
    <w:rsid w:val="00C66DA7"/>
    <w:rsid w:val="00C66DE4"/>
    <w:rsid w:val="00C66F63"/>
    <w:rsid w:val="00C67298"/>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467"/>
    <w:rsid w:val="00C807D3"/>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84"/>
    <w:rsid w:val="00C936F6"/>
    <w:rsid w:val="00C93E11"/>
    <w:rsid w:val="00C940A8"/>
    <w:rsid w:val="00C94901"/>
    <w:rsid w:val="00C94A2F"/>
    <w:rsid w:val="00C94A3B"/>
    <w:rsid w:val="00C94B44"/>
    <w:rsid w:val="00C952DD"/>
    <w:rsid w:val="00C95950"/>
    <w:rsid w:val="00C9640C"/>
    <w:rsid w:val="00C96865"/>
    <w:rsid w:val="00C971EC"/>
    <w:rsid w:val="00CA0420"/>
    <w:rsid w:val="00CA0D69"/>
    <w:rsid w:val="00CA0E06"/>
    <w:rsid w:val="00CA114E"/>
    <w:rsid w:val="00CA1378"/>
    <w:rsid w:val="00CA17AF"/>
    <w:rsid w:val="00CA1C7E"/>
    <w:rsid w:val="00CA1EDC"/>
    <w:rsid w:val="00CA1F3F"/>
    <w:rsid w:val="00CA20BA"/>
    <w:rsid w:val="00CA211D"/>
    <w:rsid w:val="00CA242A"/>
    <w:rsid w:val="00CA2868"/>
    <w:rsid w:val="00CA2A38"/>
    <w:rsid w:val="00CA2BD9"/>
    <w:rsid w:val="00CA31AE"/>
    <w:rsid w:val="00CA4B2D"/>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8A3"/>
    <w:rsid w:val="00CB2A0D"/>
    <w:rsid w:val="00CB3383"/>
    <w:rsid w:val="00CB35B5"/>
    <w:rsid w:val="00CB35E5"/>
    <w:rsid w:val="00CB3732"/>
    <w:rsid w:val="00CB3839"/>
    <w:rsid w:val="00CB384E"/>
    <w:rsid w:val="00CB3C5A"/>
    <w:rsid w:val="00CB3D44"/>
    <w:rsid w:val="00CB3D65"/>
    <w:rsid w:val="00CB3DD9"/>
    <w:rsid w:val="00CB3EFF"/>
    <w:rsid w:val="00CB42AB"/>
    <w:rsid w:val="00CB430C"/>
    <w:rsid w:val="00CB49FC"/>
    <w:rsid w:val="00CB4F56"/>
    <w:rsid w:val="00CB526A"/>
    <w:rsid w:val="00CB5B5E"/>
    <w:rsid w:val="00CB6BC9"/>
    <w:rsid w:val="00CB6C9B"/>
    <w:rsid w:val="00CB7426"/>
    <w:rsid w:val="00CB74AA"/>
    <w:rsid w:val="00CB7DDA"/>
    <w:rsid w:val="00CC0591"/>
    <w:rsid w:val="00CC076E"/>
    <w:rsid w:val="00CC0A53"/>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C7E72"/>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1CFB"/>
    <w:rsid w:val="00CE20B8"/>
    <w:rsid w:val="00CE26AC"/>
    <w:rsid w:val="00CE3BD2"/>
    <w:rsid w:val="00CE3BF3"/>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36D"/>
    <w:rsid w:val="00CF06EB"/>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C2"/>
    <w:rsid w:val="00CF5ED9"/>
    <w:rsid w:val="00CF5F22"/>
    <w:rsid w:val="00CF67B4"/>
    <w:rsid w:val="00CF6AC8"/>
    <w:rsid w:val="00CF6B42"/>
    <w:rsid w:val="00CF6EB4"/>
    <w:rsid w:val="00CF72FA"/>
    <w:rsid w:val="00CF77EC"/>
    <w:rsid w:val="00CF79AC"/>
    <w:rsid w:val="00CF7B1E"/>
    <w:rsid w:val="00CF7DF1"/>
    <w:rsid w:val="00D00CC2"/>
    <w:rsid w:val="00D01287"/>
    <w:rsid w:val="00D02004"/>
    <w:rsid w:val="00D02577"/>
    <w:rsid w:val="00D02ADA"/>
    <w:rsid w:val="00D02EF5"/>
    <w:rsid w:val="00D03A23"/>
    <w:rsid w:val="00D03C92"/>
    <w:rsid w:val="00D03F97"/>
    <w:rsid w:val="00D043DD"/>
    <w:rsid w:val="00D043FE"/>
    <w:rsid w:val="00D0483F"/>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553"/>
    <w:rsid w:val="00D17C8E"/>
    <w:rsid w:val="00D17CA8"/>
    <w:rsid w:val="00D17E5C"/>
    <w:rsid w:val="00D2033C"/>
    <w:rsid w:val="00D2086D"/>
    <w:rsid w:val="00D20AD8"/>
    <w:rsid w:val="00D21196"/>
    <w:rsid w:val="00D211D5"/>
    <w:rsid w:val="00D21800"/>
    <w:rsid w:val="00D21928"/>
    <w:rsid w:val="00D21CC6"/>
    <w:rsid w:val="00D22B0A"/>
    <w:rsid w:val="00D22B4B"/>
    <w:rsid w:val="00D22CC8"/>
    <w:rsid w:val="00D22E40"/>
    <w:rsid w:val="00D23902"/>
    <w:rsid w:val="00D23E7D"/>
    <w:rsid w:val="00D23F5D"/>
    <w:rsid w:val="00D241A0"/>
    <w:rsid w:val="00D241DC"/>
    <w:rsid w:val="00D2427F"/>
    <w:rsid w:val="00D245E9"/>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202"/>
    <w:rsid w:val="00D312B6"/>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05A"/>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EE4"/>
    <w:rsid w:val="00D45F2A"/>
    <w:rsid w:val="00D46120"/>
    <w:rsid w:val="00D462F5"/>
    <w:rsid w:val="00D462FA"/>
    <w:rsid w:val="00D46398"/>
    <w:rsid w:val="00D4677F"/>
    <w:rsid w:val="00D4694C"/>
    <w:rsid w:val="00D46B37"/>
    <w:rsid w:val="00D46FB2"/>
    <w:rsid w:val="00D471FC"/>
    <w:rsid w:val="00D476F7"/>
    <w:rsid w:val="00D4782C"/>
    <w:rsid w:val="00D4793E"/>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955"/>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607"/>
    <w:rsid w:val="00D6185D"/>
    <w:rsid w:val="00D61BD5"/>
    <w:rsid w:val="00D61F4F"/>
    <w:rsid w:val="00D62771"/>
    <w:rsid w:val="00D628D2"/>
    <w:rsid w:val="00D633C6"/>
    <w:rsid w:val="00D638B8"/>
    <w:rsid w:val="00D64275"/>
    <w:rsid w:val="00D645DC"/>
    <w:rsid w:val="00D6527D"/>
    <w:rsid w:val="00D65B11"/>
    <w:rsid w:val="00D65B49"/>
    <w:rsid w:val="00D65D1C"/>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3BB"/>
    <w:rsid w:val="00D713DC"/>
    <w:rsid w:val="00D71764"/>
    <w:rsid w:val="00D71D6E"/>
    <w:rsid w:val="00D721C5"/>
    <w:rsid w:val="00D72554"/>
    <w:rsid w:val="00D72DA2"/>
    <w:rsid w:val="00D731E1"/>
    <w:rsid w:val="00D73FE9"/>
    <w:rsid w:val="00D73FF9"/>
    <w:rsid w:val="00D7429A"/>
    <w:rsid w:val="00D749EA"/>
    <w:rsid w:val="00D74A22"/>
    <w:rsid w:val="00D74E8B"/>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2C"/>
    <w:rsid w:val="00D8178F"/>
    <w:rsid w:val="00D8184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855"/>
    <w:rsid w:val="00D9112A"/>
    <w:rsid w:val="00D916E2"/>
    <w:rsid w:val="00D9179D"/>
    <w:rsid w:val="00D917D1"/>
    <w:rsid w:val="00D91A57"/>
    <w:rsid w:val="00D91DA1"/>
    <w:rsid w:val="00D91F8E"/>
    <w:rsid w:val="00D924F5"/>
    <w:rsid w:val="00D92716"/>
    <w:rsid w:val="00D927B7"/>
    <w:rsid w:val="00D92A4B"/>
    <w:rsid w:val="00D92A76"/>
    <w:rsid w:val="00D92F49"/>
    <w:rsid w:val="00D9393D"/>
    <w:rsid w:val="00D93D00"/>
    <w:rsid w:val="00D9408D"/>
    <w:rsid w:val="00D943F8"/>
    <w:rsid w:val="00D946CA"/>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08E"/>
    <w:rsid w:val="00DA175C"/>
    <w:rsid w:val="00DA17FA"/>
    <w:rsid w:val="00DA1805"/>
    <w:rsid w:val="00DA1DD5"/>
    <w:rsid w:val="00DA1EE1"/>
    <w:rsid w:val="00DA268C"/>
    <w:rsid w:val="00DA2B0B"/>
    <w:rsid w:val="00DA2B9E"/>
    <w:rsid w:val="00DA2C7E"/>
    <w:rsid w:val="00DA3048"/>
    <w:rsid w:val="00DA3400"/>
    <w:rsid w:val="00DA3577"/>
    <w:rsid w:val="00DA382B"/>
    <w:rsid w:val="00DA384C"/>
    <w:rsid w:val="00DA3CE5"/>
    <w:rsid w:val="00DA3D39"/>
    <w:rsid w:val="00DA3F06"/>
    <w:rsid w:val="00DA3FD0"/>
    <w:rsid w:val="00DA4881"/>
    <w:rsid w:val="00DA4F57"/>
    <w:rsid w:val="00DA517F"/>
    <w:rsid w:val="00DA56DF"/>
    <w:rsid w:val="00DA59F4"/>
    <w:rsid w:val="00DA5FCD"/>
    <w:rsid w:val="00DA61EA"/>
    <w:rsid w:val="00DA6776"/>
    <w:rsid w:val="00DA6EDE"/>
    <w:rsid w:val="00DA71EE"/>
    <w:rsid w:val="00DA72EE"/>
    <w:rsid w:val="00DA7A12"/>
    <w:rsid w:val="00DB061A"/>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09C"/>
    <w:rsid w:val="00DC18CC"/>
    <w:rsid w:val="00DC1EF0"/>
    <w:rsid w:val="00DC2020"/>
    <w:rsid w:val="00DC20A0"/>
    <w:rsid w:val="00DC2466"/>
    <w:rsid w:val="00DC2541"/>
    <w:rsid w:val="00DC287D"/>
    <w:rsid w:val="00DC294B"/>
    <w:rsid w:val="00DC2A0D"/>
    <w:rsid w:val="00DC2B65"/>
    <w:rsid w:val="00DC3382"/>
    <w:rsid w:val="00DC346F"/>
    <w:rsid w:val="00DC388A"/>
    <w:rsid w:val="00DC392B"/>
    <w:rsid w:val="00DC3CF3"/>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18CA"/>
    <w:rsid w:val="00DD2631"/>
    <w:rsid w:val="00DD264C"/>
    <w:rsid w:val="00DD28A6"/>
    <w:rsid w:val="00DD2941"/>
    <w:rsid w:val="00DD2B06"/>
    <w:rsid w:val="00DD30F8"/>
    <w:rsid w:val="00DD3639"/>
    <w:rsid w:val="00DD3651"/>
    <w:rsid w:val="00DD398E"/>
    <w:rsid w:val="00DD3C0A"/>
    <w:rsid w:val="00DD4622"/>
    <w:rsid w:val="00DD4BCC"/>
    <w:rsid w:val="00DD4C8F"/>
    <w:rsid w:val="00DD5825"/>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47"/>
    <w:rsid w:val="00DE0184"/>
    <w:rsid w:val="00DE0185"/>
    <w:rsid w:val="00DE0D08"/>
    <w:rsid w:val="00DE0DB7"/>
    <w:rsid w:val="00DE17E2"/>
    <w:rsid w:val="00DE1B24"/>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093"/>
    <w:rsid w:val="00DF21E2"/>
    <w:rsid w:val="00DF26FF"/>
    <w:rsid w:val="00DF27AB"/>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195"/>
    <w:rsid w:val="00E032E0"/>
    <w:rsid w:val="00E03393"/>
    <w:rsid w:val="00E03AC3"/>
    <w:rsid w:val="00E03C10"/>
    <w:rsid w:val="00E04339"/>
    <w:rsid w:val="00E04A1D"/>
    <w:rsid w:val="00E05322"/>
    <w:rsid w:val="00E057D8"/>
    <w:rsid w:val="00E05BCD"/>
    <w:rsid w:val="00E05D47"/>
    <w:rsid w:val="00E05DF4"/>
    <w:rsid w:val="00E05F8D"/>
    <w:rsid w:val="00E07639"/>
    <w:rsid w:val="00E076E6"/>
    <w:rsid w:val="00E07916"/>
    <w:rsid w:val="00E07A3B"/>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50D"/>
    <w:rsid w:val="00E3029F"/>
    <w:rsid w:val="00E30490"/>
    <w:rsid w:val="00E304B7"/>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879"/>
    <w:rsid w:val="00E369CF"/>
    <w:rsid w:val="00E36C13"/>
    <w:rsid w:val="00E36F25"/>
    <w:rsid w:val="00E36FA9"/>
    <w:rsid w:val="00E36FE9"/>
    <w:rsid w:val="00E371C8"/>
    <w:rsid w:val="00E37357"/>
    <w:rsid w:val="00E37818"/>
    <w:rsid w:val="00E37EDC"/>
    <w:rsid w:val="00E40452"/>
    <w:rsid w:val="00E408BF"/>
    <w:rsid w:val="00E41049"/>
    <w:rsid w:val="00E4112B"/>
    <w:rsid w:val="00E41335"/>
    <w:rsid w:val="00E41415"/>
    <w:rsid w:val="00E415A5"/>
    <w:rsid w:val="00E41BCE"/>
    <w:rsid w:val="00E41EDD"/>
    <w:rsid w:val="00E41FD8"/>
    <w:rsid w:val="00E42874"/>
    <w:rsid w:val="00E42B5F"/>
    <w:rsid w:val="00E42C65"/>
    <w:rsid w:val="00E42FD7"/>
    <w:rsid w:val="00E43240"/>
    <w:rsid w:val="00E432A1"/>
    <w:rsid w:val="00E435A2"/>
    <w:rsid w:val="00E436F1"/>
    <w:rsid w:val="00E4397F"/>
    <w:rsid w:val="00E445ED"/>
    <w:rsid w:val="00E44ABC"/>
    <w:rsid w:val="00E44AFE"/>
    <w:rsid w:val="00E450C7"/>
    <w:rsid w:val="00E4562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18C"/>
    <w:rsid w:val="00E504F0"/>
    <w:rsid w:val="00E509DA"/>
    <w:rsid w:val="00E50B36"/>
    <w:rsid w:val="00E50CEF"/>
    <w:rsid w:val="00E51BE1"/>
    <w:rsid w:val="00E51CD9"/>
    <w:rsid w:val="00E51EE0"/>
    <w:rsid w:val="00E522C3"/>
    <w:rsid w:val="00E5283F"/>
    <w:rsid w:val="00E533E4"/>
    <w:rsid w:val="00E53858"/>
    <w:rsid w:val="00E53902"/>
    <w:rsid w:val="00E53A59"/>
    <w:rsid w:val="00E53ADD"/>
    <w:rsid w:val="00E53DB2"/>
    <w:rsid w:val="00E540A9"/>
    <w:rsid w:val="00E5420A"/>
    <w:rsid w:val="00E5441E"/>
    <w:rsid w:val="00E54441"/>
    <w:rsid w:val="00E54CD3"/>
    <w:rsid w:val="00E54DDA"/>
    <w:rsid w:val="00E5502F"/>
    <w:rsid w:val="00E5605E"/>
    <w:rsid w:val="00E56CB6"/>
    <w:rsid w:val="00E56E37"/>
    <w:rsid w:val="00E57026"/>
    <w:rsid w:val="00E5702F"/>
    <w:rsid w:val="00E606E1"/>
    <w:rsid w:val="00E60A7D"/>
    <w:rsid w:val="00E60AF0"/>
    <w:rsid w:val="00E60C28"/>
    <w:rsid w:val="00E60F4D"/>
    <w:rsid w:val="00E61AD1"/>
    <w:rsid w:val="00E62004"/>
    <w:rsid w:val="00E6219A"/>
    <w:rsid w:val="00E6222D"/>
    <w:rsid w:val="00E63311"/>
    <w:rsid w:val="00E63E2E"/>
    <w:rsid w:val="00E63EBF"/>
    <w:rsid w:val="00E642A5"/>
    <w:rsid w:val="00E6492C"/>
    <w:rsid w:val="00E64CAD"/>
    <w:rsid w:val="00E65129"/>
    <w:rsid w:val="00E65232"/>
    <w:rsid w:val="00E657F1"/>
    <w:rsid w:val="00E658E8"/>
    <w:rsid w:val="00E65B91"/>
    <w:rsid w:val="00E660EF"/>
    <w:rsid w:val="00E6627D"/>
    <w:rsid w:val="00E662E9"/>
    <w:rsid w:val="00E6661A"/>
    <w:rsid w:val="00E66687"/>
    <w:rsid w:val="00E66921"/>
    <w:rsid w:val="00E66935"/>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01"/>
    <w:rsid w:val="00E72E88"/>
    <w:rsid w:val="00E72F68"/>
    <w:rsid w:val="00E72FD3"/>
    <w:rsid w:val="00E72FE9"/>
    <w:rsid w:val="00E73453"/>
    <w:rsid w:val="00E735C6"/>
    <w:rsid w:val="00E739CA"/>
    <w:rsid w:val="00E73ABB"/>
    <w:rsid w:val="00E73CB7"/>
    <w:rsid w:val="00E73D19"/>
    <w:rsid w:val="00E73D3F"/>
    <w:rsid w:val="00E745DF"/>
    <w:rsid w:val="00E746B4"/>
    <w:rsid w:val="00E746CB"/>
    <w:rsid w:val="00E74B07"/>
    <w:rsid w:val="00E74DCD"/>
    <w:rsid w:val="00E74E12"/>
    <w:rsid w:val="00E7579F"/>
    <w:rsid w:val="00E75D58"/>
    <w:rsid w:val="00E75D9C"/>
    <w:rsid w:val="00E75E9F"/>
    <w:rsid w:val="00E763C9"/>
    <w:rsid w:val="00E76673"/>
    <w:rsid w:val="00E76825"/>
    <w:rsid w:val="00E76990"/>
    <w:rsid w:val="00E76A3C"/>
    <w:rsid w:val="00E76D4E"/>
    <w:rsid w:val="00E76F64"/>
    <w:rsid w:val="00E77174"/>
    <w:rsid w:val="00E774AB"/>
    <w:rsid w:val="00E77AE0"/>
    <w:rsid w:val="00E80729"/>
    <w:rsid w:val="00E80AD8"/>
    <w:rsid w:val="00E80BC1"/>
    <w:rsid w:val="00E80DEA"/>
    <w:rsid w:val="00E81C2C"/>
    <w:rsid w:val="00E81CBA"/>
    <w:rsid w:val="00E81F03"/>
    <w:rsid w:val="00E82017"/>
    <w:rsid w:val="00E8206E"/>
    <w:rsid w:val="00E8217B"/>
    <w:rsid w:val="00E82E23"/>
    <w:rsid w:val="00E82E89"/>
    <w:rsid w:val="00E82F86"/>
    <w:rsid w:val="00E8381D"/>
    <w:rsid w:val="00E83A11"/>
    <w:rsid w:val="00E83EE7"/>
    <w:rsid w:val="00E84167"/>
    <w:rsid w:val="00E841E7"/>
    <w:rsid w:val="00E849E5"/>
    <w:rsid w:val="00E84B04"/>
    <w:rsid w:val="00E84B24"/>
    <w:rsid w:val="00E8500D"/>
    <w:rsid w:val="00E850DB"/>
    <w:rsid w:val="00E85109"/>
    <w:rsid w:val="00E851E6"/>
    <w:rsid w:val="00E856EB"/>
    <w:rsid w:val="00E857A8"/>
    <w:rsid w:val="00E8587B"/>
    <w:rsid w:val="00E863F2"/>
    <w:rsid w:val="00E86470"/>
    <w:rsid w:val="00E86902"/>
    <w:rsid w:val="00E86DF8"/>
    <w:rsid w:val="00E86FF1"/>
    <w:rsid w:val="00E87256"/>
    <w:rsid w:val="00E873B1"/>
    <w:rsid w:val="00E878E6"/>
    <w:rsid w:val="00E878F0"/>
    <w:rsid w:val="00E87C4C"/>
    <w:rsid w:val="00E9045A"/>
    <w:rsid w:val="00E909AA"/>
    <w:rsid w:val="00E90C2E"/>
    <w:rsid w:val="00E90CFA"/>
    <w:rsid w:val="00E91162"/>
    <w:rsid w:val="00E912DD"/>
    <w:rsid w:val="00E9178F"/>
    <w:rsid w:val="00E917B0"/>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94A"/>
    <w:rsid w:val="00E94B2A"/>
    <w:rsid w:val="00E94E6B"/>
    <w:rsid w:val="00E952AB"/>
    <w:rsid w:val="00E95729"/>
    <w:rsid w:val="00E95E85"/>
    <w:rsid w:val="00E95E93"/>
    <w:rsid w:val="00E96A53"/>
    <w:rsid w:val="00E96BAF"/>
    <w:rsid w:val="00E96CCB"/>
    <w:rsid w:val="00E96EBA"/>
    <w:rsid w:val="00E96FAD"/>
    <w:rsid w:val="00E975D8"/>
    <w:rsid w:val="00E977D6"/>
    <w:rsid w:val="00EA009E"/>
    <w:rsid w:val="00EA03AD"/>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636"/>
    <w:rsid w:val="00EA6B6D"/>
    <w:rsid w:val="00EA7214"/>
    <w:rsid w:val="00EA78F1"/>
    <w:rsid w:val="00EA7AFB"/>
    <w:rsid w:val="00EA7E36"/>
    <w:rsid w:val="00EB01B5"/>
    <w:rsid w:val="00EB0A3C"/>
    <w:rsid w:val="00EB101D"/>
    <w:rsid w:val="00EB10A2"/>
    <w:rsid w:val="00EB1279"/>
    <w:rsid w:val="00EB15CE"/>
    <w:rsid w:val="00EB1C61"/>
    <w:rsid w:val="00EB1E09"/>
    <w:rsid w:val="00EB1F90"/>
    <w:rsid w:val="00EB24F6"/>
    <w:rsid w:val="00EB34A4"/>
    <w:rsid w:val="00EB37B7"/>
    <w:rsid w:val="00EB39A8"/>
    <w:rsid w:val="00EB3A9A"/>
    <w:rsid w:val="00EB4A0C"/>
    <w:rsid w:val="00EB54A4"/>
    <w:rsid w:val="00EB5B11"/>
    <w:rsid w:val="00EB5E5C"/>
    <w:rsid w:val="00EB69D3"/>
    <w:rsid w:val="00EB6A09"/>
    <w:rsid w:val="00EB6BB2"/>
    <w:rsid w:val="00EB6DBB"/>
    <w:rsid w:val="00EB7260"/>
    <w:rsid w:val="00EB7443"/>
    <w:rsid w:val="00EB776D"/>
    <w:rsid w:val="00EB7824"/>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0B1"/>
    <w:rsid w:val="00EC66BD"/>
    <w:rsid w:val="00EC6AB3"/>
    <w:rsid w:val="00EC715B"/>
    <w:rsid w:val="00EC71E6"/>
    <w:rsid w:val="00EC75FD"/>
    <w:rsid w:val="00EC775F"/>
    <w:rsid w:val="00EC792A"/>
    <w:rsid w:val="00EC7A13"/>
    <w:rsid w:val="00EC7B33"/>
    <w:rsid w:val="00ED041C"/>
    <w:rsid w:val="00ED062C"/>
    <w:rsid w:val="00ED067D"/>
    <w:rsid w:val="00ED16D3"/>
    <w:rsid w:val="00ED176B"/>
    <w:rsid w:val="00ED1A99"/>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146"/>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1AC5"/>
    <w:rsid w:val="00EF2589"/>
    <w:rsid w:val="00EF297C"/>
    <w:rsid w:val="00EF2AC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2CA"/>
    <w:rsid w:val="00F00551"/>
    <w:rsid w:val="00F009C9"/>
    <w:rsid w:val="00F00C70"/>
    <w:rsid w:val="00F00E26"/>
    <w:rsid w:val="00F01154"/>
    <w:rsid w:val="00F01357"/>
    <w:rsid w:val="00F01648"/>
    <w:rsid w:val="00F01986"/>
    <w:rsid w:val="00F025E2"/>
    <w:rsid w:val="00F02746"/>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29E"/>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1D"/>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02"/>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5D"/>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BF7"/>
    <w:rsid w:val="00F43D7E"/>
    <w:rsid w:val="00F43F80"/>
    <w:rsid w:val="00F43FE1"/>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0FFD"/>
    <w:rsid w:val="00F512D4"/>
    <w:rsid w:val="00F5139A"/>
    <w:rsid w:val="00F515C7"/>
    <w:rsid w:val="00F515D8"/>
    <w:rsid w:val="00F51745"/>
    <w:rsid w:val="00F522B4"/>
    <w:rsid w:val="00F523B9"/>
    <w:rsid w:val="00F52B7F"/>
    <w:rsid w:val="00F530B1"/>
    <w:rsid w:val="00F53153"/>
    <w:rsid w:val="00F533DC"/>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8B9"/>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0CEE"/>
    <w:rsid w:val="00F71037"/>
    <w:rsid w:val="00F710AF"/>
    <w:rsid w:val="00F7184B"/>
    <w:rsid w:val="00F71C33"/>
    <w:rsid w:val="00F71C94"/>
    <w:rsid w:val="00F71CA8"/>
    <w:rsid w:val="00F71DBA"/>
    <w:rsid w:val="00F71EA7"/>
    <w:rsid w:val="00F71FEC"/>
    <w:rsid w:val="00F721C8"/>
    <w:rsid w:val="00F7273F"/>
    <w:rsid w:val="00F72836"/>
    <w:rsid w:val="00F72A42"/>
    <w:rsid w:val="00F72BD5"/>
    <w:rsid w:val="00F72BDC"/>
    <w:rsid w:val="00F72DA0"/>
    <w:rsid w:val="00F7329F"/>
    <w:rsid w:val="00F73C60"/>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06C"/>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1B9"/>
    <w:rsid w:val="00F913D5"/>
    <w:rsid w:val="00F91986"/>
    <w:rsid w:val="00F92078"/>
    <w:rsid w:val="00F92ABE"/>
    <w:rsid w:val="00F92BE9"/>
    <w:rsid w:val="00F930A5"/>
    <w:rsid w:val="00F930D5"/>
    <w:rsid w:val="00F93FF6"/>
    <w:rsid w:val="00F9473D"/>
    <w:rsid w:val="00F94AB7"/>
    <w:rsid w:val="00F94BA2"/>
    <w:rsid w:val="00F94D16"/>
    <w:rsid w:val="00F94EC1"/>
    <w:rsid w:val="00F9509B"/>
    <w:rsid w:val="00F9524E"/>
    <w:rsid w:val="00F9530E"/>
    <w:rsid w:val="00F9592C"/>
    <w:rsid w:val="00F9610C"/>
    <w:rsid w:val="00F964D3"/>
    <w:rsid w:val="00F96642"/>
    <w:rsid w:val="00F96FF4"/>
    <w:rsid w:val="00F96FFE"/>
    <w:rsid w:val="00F970CF"/>
    <w:rsid w:val="00F97448"/>
    <w:rsid w:val="00F97D9B"/>
    <w:rsid w:val="00F97EE7"/>
    <w:rsid w:val="00FA05F1"/>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4E"/>
    <w:rsid w:val="00FA4393"/>
    <w:rsid w:val="00FA445B"/>
    <w:rsid w:val="00FA44A7"/>
    <w:rsid w:val="00FA49B5"/>
    <w:rsid w:val="00FA4F65"/>
    <w:rsid w:val="00FA57BB"/>
    <w:rsid w:val="00FA582C"/>
    <w:rsid w:val="00FA5AB5"/>
    <w:rsid w:val="00FA5C27"/>
    <w:rsid w:val="00FA6304"/>
    <w:rsid w:val="00FA6399"/>
    <w:rsid w:val="00FA658A"/>
    <w:rsid w:val="00FA67A5"/>
    <w:rsid w:val="00FA6B19"/>
    <w:rsid w:val="00FA6C02"/>
    <w:rsid w:val="00FA6C18"/>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45FA"/>
    <w:rsid w:val="00FB52B8"/>
    <w:rsid w:val="00FB5498"/>
    <w:rsid w:val="00FB5562"/>
    <w:rsid w:val="00FB6D31"/>
    <w:rsid w:val="00FB7115"/>
    <w:rsid w:val="00FB7E17"/>
    <w:rsid w:val="00FC0085"/>
    <w:rsid w:val="00FC01F7"/>
    <w:rsid w:val="00FC0345"/>
    <w:rsid w:val="00FC0994"/>
    <w:rsid w:val="00FC0B53"/>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592"/>
    <w:rsid w:val="00FC7B66"/>
    <w:rsid w:val="00FC7B9A"/>
    <w:rsid w:val="00FC7FA8"/>
    <w:rsid w:val="00FD0369"/>
    <w:rsid w:val="00FD0B77"/>
    <w:rsid w:val="00FD0F0A"/>
    <w:rsid w:val="00FD1299"/>
    <w:rsid w:val="00FD12A0"/>
    <w:rsid w:val="00FD1621"/>
    <w:rsid w:val="00FD1625"/>
    <w:rsid w:val="00FD19B9"/>
    <w:rsid w:val="00FD1A39"/>
    <w:rsid w:val="00FD1DB2"/>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52"/>
    <w:rsid w:val="00FD4B95"/>
    <w:rsid w:val="00FD510A"/>
    <w:rsid w:val="00FD5611"/>
    <w:rsid w:val="00FD6AED"/>
    <w:rsid w:val="00FD7450"/>
    <w:rsid w:val="00FD746B"/>
    <w:rsid w:val="00FD7485"/>
    <w:rsid w:val="00FE031D"/>
    <w:rsid w:val="00FE04F9"/>
    <w:rsid w:val="00FE07D3"/>
    <w:rsid w:val="00FE07F7"/>
    <w:rsid w:val="00FE0B50"/>
    <w:rsid w:val="00FE1076"/>
    <w:rsid w:val="00FE10AC"/>
    <w:rsid w:val="00FE1177"/>
    <w:rsid w:val="00FE121A"/>
    <w:rsid w:val="00FE18EE"/>
    <w:rsid w:val="00FE1AE2"/>
    <w:rsid w:val="00FE3277"/>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6D13"/>
    <w:rsid w:val="00FE6ECA"/>
    <w:rsid w:val="00FE7253"/>
    <w:rsid w:val="00FE7484"/>
    <w:rsid w:val="00FE7575"/>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66F"/>
    <w:rsid w:val="00FF59A8"/>
    <w:rsid w:val="00FF60BD"/>
    <w:rsid w:val="00FF6548"/>
    <w:rsid w:val="00FF6998"/>
    <w:rsid w:val="00FF78FB"/>
    <w:rsid w:val="00FF7B54"/>
    <w:rsid w:val="021546E9"/>
    <w:rsid w:val="022EDE85"/>
    <w:rsid w:val="0342F713"/>
    <w:rsid w:val="0408BD08"/>
    <w:rsid w:val="042D370C"/>
    <w:rsid w:val="066FABF1"/>
    <w:rsid w:val="068E44DB"/>
    <w:rsid w:val="0770DF82"/>
    <w:rsid w:val="08DC7564"/>
    <w:rsid w:val="0985874E"/>
    <w:rsid w:val="0A605AFC"/>
    <w:rsid w:val="0BA35CB6"/>
    <w:rsid w:val="0C6874D1"/>
    <w:rsid w:val="0C6C8007"/>
    <w:rsid w:val="0C8A2460"/>
    <w:rsid w:val="0CAD7371"/>
    <w:rsid w:val="0CC76C33"/>
    <w:rsid w:val="0D6FB769"/>
    <w:rsid w:val="0D796C97"/>
    <w:rsid w:val="0D88F913"/>
    <w:rsid w:val="0DF1FDC1"/>
    <w:rsid w:val="0E5055FC"/>
    <w:rsid w:val="0E58B2C1"/>
    <w:rsid w:val="0E77F191"/>
    <w:rsid w:val="0F2689EA"/>
    <w:rsid w:val="0F438882"/>
    <w:rsid w:val="0F473930"/>
    <w:rsid w:val="10379CCB"/>
    <w:rsid w:val="1086B6AF"/>
    <w:rsid w:val="10950F27"/>
    <w:rsid w:val="10E0588F"/>
    <w:rsid w:val="115BD498"/>
    <w:rsid w:val="12E4CF37"/>
    <w:rsid w:val="138FF393"/>
    <w:rsid w:val="1428FEF5"/>
    <w:rsid w:val="15363790"/>
    <w:rsid w:val="157AB79F"/>
    <w:rsid w:val="1588E233"/>
    <w:rsid w:val="1595CB6E"/>
    <w:rsid w:val="15E84BC9"/>
    <w:rsid w:val="166413FD"/>
    <w:rsid w:val="1682F4E1"/>
    <w:rsid w:val="17024282"/>
    <w:rsid w:val="18FF71B4"/>
    <w:rsid w:val="19409A29"/>
    <w:rsid w:val="198820CE"/>
    <w:rsid w:val="19931B64"/>
    <w:rsid w:val="19FB4382"/>
    <w:rsid w:val="1A5F899E"/>
    <w:rsid w:val="1BFA8E21"/>
    <w:rsid w:val="1C600B70"/>
    <w:rsid w:val="1CC67F2B"/>
    <w:rsid w:val="1CCB9C20"/>
    <w:rsid w:val="1CF21324"/>
    <w:rsid w:val="1D1BA6B0"/>
    <w:rsid w:val="1DFE3256"/>
    <w:rsid w:val="1E457FFB"/>
    <w:rsid w:val="1E62A243"/>
    <w:rsid w:val="1E698BF0"/>
    <w:rsid w:val="1E8BE055"/>
    <w:rsid w:val="1EF8A324"/>
    <w:rsid w:val="1FD35CCE"/>
    <w:rsid w:val="20027C2E"/>
    <w:rsid w:val="20066F21"/>
    <w:rsid w:val="211CAABB"/>
    <w:rsid w:val="213FC333"/>
    <w:rsid w:val="228C1C55"/>
    <w:rsid w:val="229CF0F5"/>
    <w:rsid w:val="22CF244D"/>
    <w:rsid w:val="2305E1D4"/>
    <w:rsid w:val="2333E6EC"/>
    <w:rsid w:val="23EB168A"/>
    <w:rsid w:val="241BA68B"/>
    <w:rsid w:val="24F6EB85"/>
    <w:rsid w:val="2559B01E"/>
    <w:rsid w:val="2724E449"/>
    <w:rsid w:val="2753474D"/>
    <w:rsid w:val="2884EABB"/>
    <w:rsid w:val="28B4A02C"/>
    <w:rsid w:val="295EAF55"/>
    <w:rsid w:val="2A1B7F93"/>
    <w:rsid w:val="2A5C850B"/>
    <w:rsid w:val="2A6C96FE"/>
    <w:rsid w:val="2A82C447"/>
    <w:rsid w:val="2B1592B7"/>
    <w:rsid w:val="2BE104FC"/>
    <w:rsid w:val="2C3EFE8C"/>
    <w:rsid w:val="2CAABAED"/>
    <w:rsid w:val="2CCC09FC"/>
    <w:rsid w:val="2CF5FFD7"/>
    <w:rsid w:val="2D5A39D4"/>
    <w:rsid w:val="2F383949"/>
    <w:rsid w:val="2F8C59AA"/>
    <w:rsid w:val="2FB338FD"/>
    <w:rsid w:val="2FC97111"/>
    <w:rsid w:val="30048FFB"/>
    <w:rsid w:val="30E820B2"/>
    <w:rsid w:val="310C7915"/>
    <w:rsid w:val="3120292A"/>
    <w:rsid w:val="3123DCCA"/>
    <w:rsid w:val="32B6C5BB"/>
    <w:rsid w:val="335D35E5"/>
    <w:rsid w:val="33D7F83C"/>
    <w:rsid w:val="33DA1267"/>
    <w:rsid w:val="341BD89B"/>
    <w:rsid w:val="3448A065"/>
    <w:rsid w:val="34F85549"/>
    <w:rsid w:val="351004FF"/>
    <w:rsid w:val="35513F55"/>
    <w:rsid w:val="360A4C1C"/>
    <w:rsid w:val="3622EBB1"/>
    <w:rsid w:val="365661D2"/>
    <w:rsid w:val="366B265F"/>
    <w:rsid w:val="36B022D2"/>
    <w:rsid w:val="36BB7E30"/>
    <w:rsid w:val="37756E6B"/>
    <w:rsid w:val="3789B3CA"/>
    <w:rsid w:val="37DDB0DC"/>
    <w:rsid w:val="3816410E"/>
    <w:rsid w:val="3B559E21"/>
    <w:rsid w:val="3B7A7E2D"/>
    <w:rsid w:val="3C272085"/>
    <w:rsid w:val="3C44F274"/>
    <w:rsid w:val="3DB2371D"/>
    <w:rsid w:val="3E3CB2B5"/>
    <w:rsid w:val="3EA87DBB"/>
    <w:rsid w:val="3FC628FF"/>
    <w:rsid w:val="40573FD3"/>
    <w:rsid w:val="4080401C"/>
    <w:rsid w:val="40C34751"/>
    <w:rsid w:val="40E43829"/>
    <w:rsid w:val="429A581F"/>
    <w:rsid w:val="4341DA5D"/>
    <w:rsid w:val="43BD135E"/>
    <w:rsid w:val="4400FEA4"/>
    <w:rsid w:val="4458AF1F"/>
    <w:rsid w:val="446FA728"/>
    <w:rsid w:val="45035BDF"/>
    <w:rsid w:val="45D1E970"/>
    <w:rsid w:val="45EBDE1E"/>
    <w:rsid w:val="4619AC7E"/>
    <w:rsid w:val="463AD1F0"/>
    <w:rsid w:val="4646AEBC"/>
    <w:rsid w:val="4689A371"/>
    <w:rsid w:val="46AC5035"/>
    <w:rsid w:val="46F66B23"/>
    <w:rsid w:val="4714106C"/>
    <w:rsid w:val="472EE852"/>
    <w:rsid w:val="480AF5E1"/>
    <w:rsid w:val="480BAFC6"/>
    <w:rsid w:val="48A5DEFC"/>
    <w:rsid w:val="48DEDF6C"/>
    <w:rsid w:val="49035951"/>
    <w:rsid w:val="4910BF1E"/>
    <w:rsid w:val="49907E5D"/>
    <w:rsid w:val="4B009D3A"/>
    <w:rsid w:val="4B951509"/>
    <w:rsid w:val="4BC88EED"/>
    <w:rsid w:val="4D358820"/>
    <w:rsid w:val="4D6E2D12"/>
    <w:rsid w:val="50BBA6CA"/>
    <w:rsid w:val="5194B9FB"/>
    <w:rsid w:val="51C23E1D"/>
    <w:rsid w:val="51FBAB6D"/>
    <w:rsid w:val="5209B470"/>
    <w:rsid w:val="52419E35"/>
    <w:rsid w:val="52BD0A05"/>
    <w:rsid w:val="53165508"/>
    <w:rsid w:val="53A6055D"/>
    <w:rsid w:val="53DD6E96"/>
    <w:rsid w:val="547C597A"/>
    <w:rsid w:val="54EB33BE"/>
    <w:rsid w:val="5589DB60"/>
    <w:rsid w:val="5690522D"/>
    <w:rsid w:val="57630B0E"/>
    <w:rsid w:val="586B2CC0"/>
    <w:rsid w:val="591893A9"/>
    <w:rsid w:val="5A5DC9A5"/>
    <w:rsid w:val="5AAEF38D"/>
    <w:rsid w:val="5B462E4A"/>
    <w:rsid w:val="5B6E51DD"/>
    <w:rsid w:val="5C873F9D"/>
    <w:rsid w:val="5D078774"/>
    <w:rsid w:val="5D3FCFD1"/>
    <w:rsid w:val="5D4EC1BF"/>
    <w:rsid w:val="5DAEF07E"/>
    <w:rsid w:val="5DC4D6A0"/>
    <w:rsid w:val="5DCF2564"/>
    <w:rsid w:val="5E1BA98C"/>
    <w:rsid w:val="5F03C3C7"/>
    <w:rsid w:val="5F4CCAA2"/>
    <w:rsid w:val="5F6AF5C5"/>
    <w:rsid w:val="5F6D18C7"/>
    <w:rsid w:val="5FE4A864"/>
    <w:rsid w:val="6016F279"/>
    <w:rsid w:val="62250C9E"/>
    <w:rsid w:val="624D1D85"/>
    <w:rsid w:val="62A58866"/>
    <w:rsid w:val="64567B84"/>
    <w:rsid w:val="6470D7F3"/>
    <w:rsid w:val="650DAC3F"/>
    <w:rsid w:val="65108760"/>
    <w:rsid w:val="660CA854"/>
    <w:rsid w:val="66EC4880"/>
    <w:rsid w:val="67E7C94A"/>
    <w:rsid w:val="67F7CBEA"/>
    <w:rsid w:val="68632D53"/>
    <w:rsid w:val="698C6CD3"/>
    <w:rsid w:val="69A19E19"/>
    <w:rsid w:val="69C5FCC7"/>
    <w:rsid w:val="6A47CB49"/>
    <w:rsid w:val="6A54BFE2"/>
    <w:rsid w:val="6AA150D5"/>
    <w:rsid w:val="6AB42DD7"/>
    <w:rsid w:val="6B4F8424"/>
    <w:rsid w:val="6B54EC8C"/>
    <w:rsid w:val="6BDAD76E"/>
    <w:rsid w:val="6BDE643E"/>
    <w:rsid w:val="6CB89B78"/>
    <w:rsid w:val="6CE2FD6F"/>
    <w:rsid w:val="6DB43366"/>
    <w:rsid w:val="6E33C03F"/>
    <w:rsid w:val="6EF07B0C"/>
    <w:rsid w:val="6F2C23AF"/>
    <w:rsid w:val="70171DC0"/>
    <w:rsid w:val="70D97C00"/>
    <w:rsid w:val="70E5FB3D"/>
    <w:rsid w:val="7136B74D"/>
    <w:rsid w:val="7138D425"/>
    <w:rsid w:val="721ACF1D"/>
    <w:rsid w:val="73E151E7"/>
    <w:rsid w:val="745D0A4F"/>
    <w:rsid w:val="74D64C6B"/>
    <w:rsid w:val="7527CEBF"/>
    <w:rsid w:val="7605CD48"/>
    <w:rsid w:val="7652693D"/>
    <w:rsid w:val="77191B8F"/>
    <w:rsid w:val="78A20007"/>
    <w:rsid w:val="78D2CD06"/>
    <w:rsid w:val="78E58DFC"/>
    <w:rsid w:val="7994B279"/>
    <w:rsid w:val="79ED8E39"/>
    <w:rsid w:val="7A53834E"/>
    <w:rsid w:val="7A925C79"/>
    <w:rsid w:val="7AAA3524"/>
    <w:rsid w:val="7B13D92B"/>
    <w:rsid w:val="7B3D7B5C"/>
    <w:rsid w:val="7BD0D7D7"/>
    <w:rsid w:val="7BDD142E"/>
    <w:rsid w:val="7BEAB3C9"/>
    <w:rsid w:val="7BED8C50"/>
    <w:rsid w:val="7C1C8D5C"/>
    <w:rsid w:val="7C336863"/>
    <w:rsid w:val="7C394334"/>
    <w:rsid w:val="7C93F777"/>
    <w:rsid w:val="7D30E2B9"/>
    <w:rsid w:val="7E0F28F0"/>
    <w:rsid w:val="7E5A7B9A"/>
    <w:rsid w:val="7E6E0158"/>
    <w:rsid w:val="7EAA34DF"/>
    <w:rsid w:val="7EABE4DE"/>
    <w:rsid w:val="7EE1D506"/>
    <w:rsid w:val="7EF73DC2"/>
    <w:rsid w:val="7F747355"/>
    <w:rsid w:val="7F904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19F0C"/>
  <w15:chartTrackingRefBased/>
  <w15:docId w15:val="{E76950F1-B608-4685-9D87-BB8D5255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C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620A6"/>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styleId="CommentText">
    <w:name w:val="annotation text"/>
    <w:basedOn w:val="Normal"/>
    <w:link w:val="CommentTextChar"/>
    <w:uiPriority w:val="99"/>
    <w:unhideWhenUsed/>
    <w:rsid w:val="00AC6E65"/>
    <w:pPr>
      <w:spacing w:after="160"/>
    </w:pPr>
    <w:rPr>
      <w:rFonts w:ascii="Arial" w:eastAsia="Arial" w:hAnsi="Arial" w:cs="Arial"/>
      <w:sz w:val="20"/>
      <w:szCs w:val="20"/>
    </w:rPr>
  </w:style>
  <w:style w:type="character" w:customStyle="1" w:styleId="CommentTextChar">
    <w:name w:val="Comment Text Char"/>
    <w:link w:val="CommentText"/>
    <w:uiPriority w:val="99"/>
    <w:rsid w:val="00AC6E65"/>
    <w:rPr>
      <w:rFonts w:ascii="Arial" w:eastAsia="Arial" w:hAnsi="Arial" w:cs="Arial"/>
    </w:rPr>
  </w:style>
  <w:style w:type="character" w:styleId="CommentReference">
    <w:name w:val="annotation reference"/>
    <w:uiPriority w:val="99"/>
    <w:unhideWhenUsed/>
    <w:rsid w:val="00AC6E65"/>
    <w:rPr>
      <w:sz w:val="16"/>
      <w:szCs w:val="16"/>
    </w:rPr>
  </w:style>
  <w:style w:type="character" w:customStyle="1" w:styleId="Heading3Char">
    <w:name w:val="Heading 3 Char"/>
    <w:link w:val="Heading3"/>
    <w:uiPriority w:val="9"/>
    <w:rsid w:val="001620A6"/>
    <w:rPr>
      <w:rFonts w:eastAsia="Calibri"/>
      <w:b/>
      <w:sz w:val="24"/>
      <w:szCs w:val="24"/>
      <w:lang w:eastAsia="en-US"/>
    </w:rPr>
  </w:style>
  <w:style w:type="paragraph" w:styleId="CommentSubject">
    <w:name w:val="annotation subject"/>
    <w:basedOn w:val="CommentText"/>
    <w:next w:val="CommentText"/>
    <w:link w:val="CommentSubjectChar"/>
    <w:rsid w:val="00CC0A53"/>
    <w:pPr>
      <w:spacing w:after="0"/>
    </w:pPr>
    <w:rPr>
      <w:rFonts w:ascii="Times New Roman" w:eastAsia="Times New Roman" w:hAnsi="Times New Roman" w:cs="Times New Roman"/>
      <w:b/>
      <w:bCs/>
    </w:rPr>
  </w:style>
  <w:style w:type="character" w:customStyle="1" w:styleId="CommentSubjectChar">
    <w:name w:val="Comment Subject Char"/>
    <w:link w:val="CommentSubject"/>
    <w:rsid w:val="00CC0A53"/>
    <w:rPr>
      <w:rFonts w:ascii="Arial" w:eastAsia="Arial" w:hAnsi="Arial" w:cs="Arial"/>
      <w:b/>
      <w:bCs/>
      <w:lang w:eastAsia="en-AU"/>
    </w:rPr>
  </w:style>
  <w:style w:type="paragraph" w:customStyle="1" w:styleId="subsection">
    <w:name w:val="subsection"/>
    <w:aliases w:val="ss,Subsection"/>
    <w:basedOn w:val="Normal"/>
    <w:link w:val="subsectionChar"/>
    <w:rsid w:val="00B73171"/>
    <w:pPr>
      <w:tabs>
        <w:tab w:val="right" w:pos="1021"/>
      </w:tabs>
      <w:spacing w:before="180"/>
      <w:ind w:left="1134" w:hanging="1134"/>
    </w:pPr>
    <w:rPr>
      <w:sz w:val="22"/>
      <w:szCs w:val="20"/>
    </w:rPr>
  </w:style>
  <w:style w:type="character" w:customStyle="1" w:styleId="subsectionChar">
    <w:name w:val="subsection Char"/>
    <w:aliases w:val="ss Char"/>
    <w:link w:val="subsection"/>
    <w:locked/>
    <w:rsid w:val="00B73171"/>
    <w:rPr>
      <w:sz w:val="22"/>
      <w:lang w:eastAsia="en-AU"/>
    </w:rPr>
  </w:style>
  <w:style w:type="paragraph" w:customStyle="1" w:styleId="paragraph">
    <w:name w:val="paragraph"/>
    <w:aliases w:val="a"/>
    <w:basedOn w:val="Normal"/>
    <w:link w:val="paragraphChar"/>
    <w:rsid w:val="00191EC4"/>
    <w:pPr>
      <w:tabs>
        <w:tab w:val="right" w:pos="1531"/>
      </w:tabs>
      <w:spacing w:before="40"/>
      <w:ind w:left="1644" w:hanging="1644"/>
    </w:pPr>
    <w:rPr>
      <w:sz w:val="22"/>
      <w:szCs w:val="20"/>
    </w:rPr>
  </w:style>
  <w:style w:type="paragraph" w:customStyle="1" w:styleId="Definition">
    <w:name w:val="Definition"/>
    <w:aliases w:val="dd"/>
    <w:basedOn w:val="Normal"/>
    <w:rsid w:val="001F15BA"/>
    <w:pPr>
      <w:spacing w:before="180"/>
      <w:ind w:left="1134"/>
    </w:pPr>
    <w:rPr>
      <w:sz w:val="22"/>
      <w:szCs w:val="20"/>
    </w:rPr>
  </w:style>
  <w:style w:type="character" w:customStyle="1" w:styleId="charparttext">
    <w:name w:val="charparttext"/>
    <w:basedOn w:val="DefaultParagraphFont"/>
    <w:rsid w:val="001F15BA"/>
  </w:style>
  <w:style w:type="character" w:customStyle="1" w:styleId="paragraphChar">
    <w:name w:val="paragraph Char"/>
    <w:aliases w:val="a Char"/>
    <w:link w:val="paragraph"/>
    <w:rsid w:val="00687C62"/>
    <w:rPr>
      <w:sz w:val="22"/>
      <w:lang w:eastAsia="en-AU"/>
    </w:rPr>
  </w:style>
  <w:style w:type="paragraph" w:styleId="NormalWeb">
    <w:name w:val="Normal (Web)"/>
    <w:basedOn w:val="Normal"/>
    <w:uiPriority w:val="99"/>
    <w:unhideWhenUsed/>
    <w:rsid w:val="00687C62"/>
    <w:pPr>
      <w:spacing w:before="100" w:beforeAutospacing="1" w:after="100" w:afterAutospacing="1"/>
    </w:pPr>
    <w:rPr>
      <w:lang w:eastAsia="en-GB"/>
    </w:rPr>
  </w:style>
  <w:style w:type="paragraph" w:customStyle="1" w:styleId="Tabletext">
    <w:name w:val="Tabletext"/>
    <w:aliases w:val="tt"/>
    <w:basedOn w:val="Normal"/>
    <w:rsid w:val="004853D2"/>
    <w:pPr>
      <w:spacing w:before="60" w:line="240" w:lineRule="atLeast"/>
    </w:pPr>
    <w:rPr>
      <w:sz w:val="20"/>
      <w:szCs w:val="20"/>
    </w:rPr>
  </w:style>
  <w:style w:type="paragraph" w:customStyle="1" w:styleId="Normal-em">
    <w:name w:val="Normal-em"/>
    <w:basedOn w:val="Normal"/>
    <w:rsid w:val="00B83693"/>
    <w:pPr>
      <w:spacing w:after="120" w:line="264" w:lineRule="auto"/>
    </w:pPr>
    <w:rPr>
      <w:color w:val="000000"/>
      <w:szCs w:val="20"/>
      <w:lang w:eastAsia="en-US"/>
    </w:rPr>
  </w:style>
  <w:style w:type="paragraph" w:customStyle="1" w:styleId="list1">
    <w:name w:val="list1"/>
    <w:basedOn w:val="Normal"/>
    <w:rsid w:val="006B1083"/>
    <w:pPr>
      <w:keepLines/>
      <w:suppressAutoHyphens/>
      <w:spacing w:before="60" w:after="60"/>
      <w:ind w:left="567" w:hanging="567"/>
      <w:jc w:val="both"/>
    </w:pPr>
    <w:rPr>
      <w:sz w:val="20"/>
      <w:szCs w:val="20"/>
    </w:rPr>
  </w:style>
  <w:style w:type="character" w:styleId="Hyperlink">
    <w:name w:val="Hyperlink"/>
    <w:uiPriority w:val="99"/>
    <w:unhideWhenUsed/>
    <w:rsid w:val="006B1083"/>
    <w:rPr>
      <w:color w:val="0000FF"/>
      <w:u w:val="single"/>
    </w:rPr>
  </w:style>
  <w:style w:type="paragraph" w:customStyle="1" w:styleId="notedraft">
    <w:name w:val="note(draft)"/>
    <w:aliases w:val="nd"/>
    <w:basedOn w:val="Normal"/>
    <w:rsid w:val="00CF6EB4"/>
    <w:pPr>
      <w:spacing w:before="240"/>
      <w:ind w:left="284" w:hanging="284"/>
    </w:pPr>
    <w:rPr>
      <w:i/>
      <w:szCs w:val="20"/>
    </w:rPr>
  </w:style>
  <w:style w:type="character" w:styleId="FollowedHyperlink">
    <w:name w:val="FollowedHyperlink"/>
    <w:basedOn w:val="DefaultParagraphFont"/>
    <w:rsid w:val="00CB28A3"/>
    <w:rPr>
      <w:color w:val="954F72" w:themeColor="followedHyperlink"/>
      <w:u w:val="single"/>
    </w:rPr>
  </w:style>
  <w:style w:type="character" w:styleId="UnresolvedMention">
    <w:name w:val="Unresolved Mention"/>
    <w:basedOn w:val="DefaultParagraphFont"/>
    <w:uiPriority w:val="99"/>
    <w:semiHidden/>
    <w:unhideWhenUsed/>
    <w:rsid w:val="00CB28A3"/>
    <w:rPr>
      <w:color w:val="605E5C"/>
      <w:shd w:val="clear" w:color="auto" w:fill="E1DFDD"/>
    </w:rPr>
  </w:style>
  <w:style w:type="paragraph" w:styleId="ListParagraph">
    <w:name w:val="List Paragraph"/>
    <w:basedOn w:val="Normal"/>
    <w:link w:val="ListParagraphChar"/>
    <w:uiPriority w:val="34"/>
    <w:qFormat/>
    <w:rsid w:val="0022435A"/>
    <w:pPr>
      <w:ind w:left="720"/>
      <w:contextualSpacing/>
    </w:pPr>
  </w:style>
  <w:style w:type="paragraph" w:customStyle="1" w:styleId="Item">
    <w:name w:val="Item"/>
    <w:aliases w:val="i"/>
    <w:basedOn w:val="Normal"/>
    <w:next w:val="Normal"/>
    <w:rsid w:val="008976CE"/>
    <w:pPr>
      <w:keepLines/>
      <w:spacing w:before="80"/>
      <w:ind w:left="709"/>
    </w:pPr>
    <w:rPr>
      <w:sz w:val="22"/>
      <w:szCs w:val="20"/>
    </w:rPr>
  </w:style>
  <w:style w:type="paragraph" w:customStyle="1" w:styleId="SubsectionHead">
    <w:name w:val="SubsectionHead"/>
    <w:aliases w:val="ssh"/>
    <w:basedOn w:val="Normal"/>
    <w:next w:val="subsection"/>
    <w:rsid w:val="006A01BA"/>
    <w:pPr>
      <w:keepNext/>
      <w:keepLines/>
      <w:spacing w:before="240"/>
      <w:ind w:left="1134"/>
    </w:pPr>
    <w:rPr>
      <w:i/>
      <w:sz w:val="22"/>
      <w:szCs w:val="20"/>
    </w:rPr>
  </w:style>
  <w:style w:type="paragraph" w:customStyle="1" w:styleId="paragraphsub">
    <w:name w:val="paragraph(sub)"/>
    <w:aliases w:val="aa"/>
    <w:basedOn w:val="Normal"/>
    <w:rsid w:val="006D10F7"/>
    <w:pPr>
      <w:tabs>
        <w:tab w:val="right" w:pos="1985"/>
      </w:tabs>
      <w:spacing w:before="40"/>
      <w:ind w:left="2098" w:hanging="2098"/>
    </w:pPr>
    <w:rPr>
      <w:sz w:val="22"/>
      <w:szCs w:val="20"/>
    </w:rPr>
  </w:style>
  <w:style w:type="paragraph" w:customStyle="1" w:styleId="ActHead5">
    <w:name w:val="ActHead 5"/>
    <w:aliases w:val="s"/>
    <w:basedOn w:val="Normal"/>
    <w:next w:val="subsection"/>
    <w:link w:val="ActHead5Char"/>
    <w:qFormat/>
    <w:rsid w:val="00EB10A2"/>
    <w:pPr>
      <w:keepNext/>
      <w:keepLines/>
      <w:spacing w:before="280"/>
      <w:ind w:left="1134" w:hanging="1134"/>
      <w:outlineLvl w:val="4"/>
    </w:pPr>
    <w:rPr>
      <w:b/>
      <w:kern w:val="28"/>
      <w:szCs w:val="20"/>
    </w:rPr>
  </w:style>
  <w:style w:type="character" w:customStyle="1" w:styleId="CharSectno">
    <w:name w:val="CharSectno"/>
    <w:basedOn w:val="DefaultParagraphFont"/>
    <w:qFormat/>
    <w:rsid w:val="00EB10A2"/>
  </w:style>
  <w:style w:type="paragraph" w:customStyle="1" w:styleId="notetext">
    <w:name w:val="note(text)"/>
    <w:aliases w:val="n"/>
    <w:basedOn w:val="Normal"/>
    <w:link w:val="notetextChar"/>
    <w:rsid w:val="00EB10A2"/>
    <w:pPr>
      <w:spacing w:before="122"/>
      <w:ind w:left="1985" w:hanging="851"/>
    </w:pPr>
    <w:rPr>
      <w:sz w:val="18"/>
      <w:szCs w:val="20"/>
    </w:rPr>
  </w:style>
  <w:style w:type="character" w:customStyle="1" w:styleId="notetextChar">
    <w:name w:val="note(text) Char"/>
    <w:aliases w:val="n Char"/>
    <w:basedOn w:val="DefaultParagraphFont"/>
    <w:link w:val="notetext"/>
    <w:rsid w:val="00EB10A2"/>
    <w:rPr>
      <w:sz w:val="18"/>
    </w:rPr>
  </w:style>
  <w:style w:type="character" w:customStyle="1" w:styleId="ActHead5Char">
    <w:name w:val="ActHead 5 Char"/>
    <w:aliases w:val="s Char"/>
    <w:link w:val="ActHead5"/>
    <w:rsid w:val="00EB10A2"/>
    <w:rPr>
      <w:b/>
      <w:kern w:val="28"/>
      <w:sz w:val="24"/>
    </w:rPr>
  </w:style>
  <w:style w:type="paragraph" w:customStyle="1" w:styleId="ItemHead">
    <w:name w:val="ItemHead"/>
    <w:aliases w:val="ih"/>
    <w:basedOn w:val="Normal"/>
    <w:next w:val="Item"/>
    <w:rsid w:val="00DA384C"/>
    <w:pPr>
      <w:keepNext/>
      <w:keepLines/>
      <w:spacing w:before="220"/>
      <w:ind w:left="709" w:hanging="709"/>
    </w:pPr>
    <w:rPr>
      <w:rFonts w:ascii="Arial" w:hAnsi="Arial"/>
      <w:b/>
      <w:kern w:val="28"/>
      <w:szCs w:val="20"/>
    </w:rPr>
  </w:style>
  <w:style w:type="character" w:customStyle="1" w:styleId="charsectno0">
    <w:name w:val="charsectno"/>
    <w:basedOn w:val="DefaultParagraphFont"/>
    <w:rsid w:val="00246AF1"/>
  </w:style>
  <w:style w:type="character" w:styleId="Strong">
    <w:name w:val="Strong"/>
    <w:basedOn w:val="DefaultParagraphFont"/>
    <w:uiPriority w:val="22"/>
    <w:qFormat/>
    <w:rsid w:val="00DC109C"/>
    <w:rPr>
      <w:b/>
      <w:bCs/>
    </w:rPr>
  </w:style>
  <w:style w:type="paragraph" w:customStyle="1" w:styleId="au-quote-black-border">
    <w:name w:val="au-quote-black-border"/>
    <w:basedOn w:val="Normal"/>
    <w:rsid w:val="00DC109C"/>
    <w:pPr>
      <w:spacing w:before="100" w:beforeAutospacing="1" w:after="100" w:afterAutospacing="1"/>
    </w:pPr>
  </w:style>
  <w:style w:type="character" w:customStyle="1" w:styleId="Heading1Char">
    <w:name w:val="Heading 1 Char"/>
    <w:basedOn w:val="DefaultParagraphFont"/>
    <w:link w:val="Heading1"/>
    <w:rsid w:val="00DC109C"/>
    <w:rPr>
      <w:rFonts w:asciiTheme="majorHAnsi" w:eastAsiaTheme="majorEastAsia" w:hAnsiTheme="majorHAnsi" w:cstheme="majorBidi"/>
      <w:color w:val="2F5496" w:themeColor="accent1" w:themeShade="BF"/>
      <w:sz w:val="32"/>
      <w:szCs w:val="32"/>
    </w:rPr>
  </w:style>
  <w:style w:type="paragraph" w:customStyle="1" w:styleId="Tablea">
    <w:name w:val="Table(a)"/>
    <w:aliases w:val="ta"/>
    <w:basedOn w:val="Normal"/>
    <w:rsid w:val="00E9494A"/>
    <w:pPr>
      <w:spacing w:before="60"/>
      <w:ind w:left="284" w:hanging="284"/>
    </w:pPr>
    <w:rPr>
      <w:sz w:val="20"/>
      <w:szCs w:val="20"/>
    </w:rPr>
  </w:style>
  <w:style w:type="paragraph" w:customStyle="1" w:styleId="Tablei">
    <w:name w:val="Table(i)"/>
    <w:aliases w:val="taa"/>
    <w:basedOn w:val="Normal"/>
    <w:rsid w:val="00390ECF"/>
    <w:pPr>
      <w:tabs>
        <w:tab w:val="left" w:pos="-6543"/>
        <w:tab w:val="left" w:pos="-6260"/>
        <w:tab w:val="right" w:pos="970"/>
      </w:tabs>
      <w:spacing w:line="240" w:lineRule="exact"/>
      <w:ind w:left="828" w:hanging="284"/>
    </w:pPr>
    <w:rPr>
      <w:sz w:val="20"/>
      <w:szCs w:val="20"/>
    </w:rPr>
  </w:style>
  <w:style w:type="paragraph" w:customStyle="1" w:styleId="TableHeading">
    <w:name w:val="TableHeading"/>
    <w:aliases w:val="th"/>
    <w:basedOn w:val="Normal"/>
    <w:next w:val="Tabletext"/>
    <w:rsid w:val="00390ECF"/>
    <w:pPr>
      <w:keepNext/>
      <w:spacing w:before="60" w:line="240" w:lineRule="atLeast"/>
    </w:pPr>
    <w:rPr>
      <w:b/>
      <w:sz w:val="20"/>
      <w:szCs w:val="20"/>
    </w:rPr>
  </w:style>
  <w:style w:type="paragraph" w:customStyle="1" w:styleId="subsection2">
    <w:name w:val="subsection2"/>
    <w:aliases w:val="ss2"/>
    <w:basedOn w:val="Normal"/>
    <w:next w:val="subsection"/>
    <w:rsid w:val="00882EA7"/>
    <w:pPr>
      <w:spacing w:before="40"/>
      <w:ind w:left="1134"/>
    </w:pPr>
    <w:rPr>
      <w:sz w:val="22"/>
      <w:szCs w:val="20"/>
    </w:rPr>
  </w:style>
  <w:style w:type="character" w:customStyle="1" w:styleId="ListParagraphChar">
    <w:name w:val="List Paragraph Char"/>
    <w:link w:val="ListParagraph"/>
    <w:uiPriority w:val="34"/>
    <w:rsid w:val="00284893"/>
    <w:rPr>
      <w:sz w:val="24"/>
      <w:szCs w:val="24"/>
    </w:rPr>
  </w:style>
  <w:style w:type="paragraph" w:styleId="Revision">
    <w:name w:val="Revision"/>
    <w:hidden/>
    <w:uiPriority w:val="99"/>
    <w:semiHidden/>
    <w:rsid w:val="008D08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9713">
      <w:bodyDiv w:val="1"/>
      <w:marLeft w:val="0"/>
      <w:marRight w:val="0"/>
      <w:marTop w:val="0"/>
      <w:marBottom w:val="0"/>
      <w:divBdr>
        <w:top w:val="none" w:sz="0" w:space="0" w:color="auto"/>
        <w:left w:val="none" w:sz="0" w:space="0" w:color="auto"/>
        <w:bottom w:val="none" w:sz="0" w:space="0" w:color="auto"/>
        <w:right w:val="none" w:sz="0" w:space="0" w:color="auto"/>
      </w:divBdr>
    </w:div>
    <w:div w:id="120616372">
      <w:bodyDiv w:val="1"/>
      <w:marLeft w:val="0"/>
      <w:marRight w:val="0"/>
      <w:marTop w:val="0"/>
      <w:marBottom w:val="0"/>
      <w:divBdr>
        <w:top w:val="none" w:sz="0" w:space="0" w:color="auto"/>
        <w:left w:val="none" w:sz="0" w:space="0" w:color="auto"/>
        <w:bottom w:val="none" w:sz="0" w:space="0" w:color="auto"/>
        <w:right w:val="none" w:sz="0" w:space="0" w:color="auto"/>
      </w:divBdr>
    </w:div>
    <w:div w:id="221526456">
      <w:bodyDiv w:val="1"/>
      <w:marLeft w:val="0"/>
      <w:marRight w:val="0"/>
      <w:marTop w:val="0"/>
      <w:marBottom w:val="0"/>
      <w:divBdr>
        <w:top w:val="none" w:sz="0" w:space="0" w:color="auto"/>
        <w:left w:val="none" w:sz="0" w:space="0" w:color="auto"/>
        <w:bottom w:val="none" w:sz="0" w:space="0" w:color="auto"/>
        <w:right w:val="none" w:sz="0" w:space="0" w:color="auto"/>
      </w:divBdr>
    </w:div>
    <w:div w:id="279461880">
      <w:bodyDiv w:val="1"/>
      <w:marLeft w:val="0"/>
      <w:marRight w:val="0"/>
      <w:marTop w:val="0"/>
      <w:marBottom w:val="0"/>
      <w:divBdr>
        <w:top w:val="none" w:sz="0" w:space="0" w:color="auto"/>
        <w:left w:val="none" w:sz="0" w:space="0" w:color="auto"/>
        <w:bottom w:val="none" w:sz="0" w:space="0" w:color="auto"/>
        <w:right w:val="none" w:sz="0" w:space="0" w:color="auto"/>
      </w:divBdr>
    </w:div>
    <w:div w:id="351615251">
      <w:bodyDiv w:val="1"/>
      <w:marLeft w:val="0"/>
      <w:marRight w:val="0"/>
      <w:marTop w:val="0"/>
      <w:marBottom w:val="0"/>
      <w:divBdr>
        <w:top w:val="none" w:sz="0" w:space="0" w:color="auto"/>
        <w:left w:val="none" w:sz="0" w:space="0" w:color="auto"/>
        <w:bottom w:val="none" w:sz="0" w:space="0" w:color="auto"/>
        <w:right w:val="none" w:sz="0" w:space="0" w:color="auto"/>
      </w:divBdr>
      <w:divsChild>
        <w:div w:id="815804196">
          <w:marLeft w:val="0"/>
          <w:marRight w:val="0"/>
          <w:marTop w:val="0"/>
          <w:marBottom w:val="0"/>
          <w:divBdr>
            <w:top w:val="none" w:sz="0" w:space="0" w:color="auto"/>
            <w:left w:val="none" w:sz="0" w:space="0" w:color="auto"/>
            <w:bottom w:val="none" w:sz="0" w:space="0" w:color="auto"/>
            <w:right w:val="none" w:sz="0" w:space="0" w:color="auto"/>
          </w:divBdr>
          <w:divsChild>
            <w:div w:id="1548300232">
              <w:marLeft w:val="0"/>
              <w:marRight w:val="0"/>
              <w:marTop w:val="0"/>
              <w:marBottom w:val="0"/>
              <w:divBdr>
                <w:top w:val="none" w:sz="0" w:space="0" w:color="auto"/>
                <w:left w:val="none" w:sz="0" w:space="0" w:color="auto"/>
                <w:bottom w:val="none" w:sz="0" w:space="0" w:color="auto"/>
                <w:right w:val="none" w:sz="0" w:space="0" w:color="auto"/>
              </w:divBdr>
              <w:divsChild>
                <w:div w:id="15291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7949">
      <w:bodyDiv w:val="1"/>
      <w:marLeft w:val="0"/>
      <w:marRight w:val="0"/>
      <w:marTop w:val="0"/>
      <w:marBottom w:val="0"/>
      <w:divBdr>
        <w:top w:val="none" w:sz="0" w:space="0" w:color="auto"/>
        <w:left w:val="none" w:sz="0" w:space="0" w:color="auto"/>
        <w:bottom w:val="none" w:sz="0" w:space="0" w:color="auto"/>
        <w:right w:val="none" w:sz="0" w:space="0" w:color="auto"/>
      </w:divBdr>
    </w:div>
    <w:div w:id="381633412">
      <w:bodyDiv w:val="1"/>
      <w:marLeft w:val="0"/>
      <w:marRight w:val="0"/>
      <w:marTop w:val="0"/>
      <w:marBottom w:val="0"/>
      <w:divBdr>
        <w:top w:val="none" w:sz="0" w:space="0" w:color="auto"/>
        <w:left w:val="none" w:sz="0" w:space="0" w:color="auto"/>
        <w:bottom w:val="none" w:sz="0" w:space="0" w:color="auto"/>
        <w:right w:val="none" w:sz="0" w:space="0" w:color="auto"/>
      </w:divBdr>
      <w:divsChild>
        <w:div w:id="1158956661">
          <w:marLeft w:val="0"/>
          <w:marRight w:val="0"/>
          <w:marTop w:val="0"/>
          <w:marBottom w:val="0"/>
          <w:divBdr>
            <w:top w:val="none" w:sz="0" w:space="0" w:color="auto"/>
            <w:left w:val="none" w:sz="0" w:space="0" w:color="auto"/>
            <w:bottom w:val="none" w:sz="0" w:space="0" w:color="auto"/>
            <w:right w:val="none" w:sz="0" w:space="0" w:color="auto"/>
          </w:divBdr>
          <w:divsChild>
            <w:div w:id="2048528787">
              <w:marLeft w:val="0"/>
              <w:marRight w:val="0"/>
              <w:marTop w:val="0"/>
              <w:marBottom w:val="0"/>
              <w:divBdr>
                <w:top w:val="none" w:sz="0" w:space="0" w:color="auto"/>
                <w:left w:val="none" w:sz="0" w:space="0" w:color="auto"/>
                <w:bottom w:val="none" w:sz="0" w:space="0" w:color="auto"/>
                <w:right w:val="none" w:sz="0" w:space="0" w:color="auto"/>
              </w:divBdr>
              <w:divsChild>
                <w:div w:id="8284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3461">
      <w:bodyDiv w:val="1"/>
      <w:marLeft w:val="0"/>
      <w:marRight w:val="0"/>
      <w:marTop w:val="0"/>
      <w:marBottom w:val="0"/>
      <w:divBdr>
        <w:top w:val="none" w:sz="0" w:space="0" w:color="auto"/>
        <w:left w:val="none" w:sz="0" w:space="0" w:color="auto"/>
        <w:bottom w:val="none" w:sz="0" w:space="0" w:color="auto"/>
        <w:right w:val="none" w:sz="0" w:space="0" w:color="auto"/>
      </w:divBdr>
    </w:div>
    <w:div w:id="547382555">
      <w:bodyDiv w:val="1"/>
      <w:marLeft w:val="0"/>
      <w:marRight w:val="0"/>
      <w:marTop w:val="0"/>
      <w:marBottom w:val="0"/>
      <w:divBdr>
        <w:top w:val="none" w:sz="0" w:space="0" w:color="auto"/>
        <w:left w:val="none" w:sz="0" w:space="0" w:color="auto"/>
        <w:bottom w:val="none" w:sz="0" w:space="0" w:color="auto"/>
        <w:right w:val="none" w:sz="0" w:space="0" w:color="auto"/>
      </w:divBdr>
      <w:divsChild>
        <w:div w:id="1751079743">
          <w:marLeft w:val="0"/>
          <w:marRight w:val="0"/>
          <w:marTop w:val="0"/>
          <w:marBottom w:val="0"/>
          <w:divBdr>
            <w:top w:val="none" w:sz="0" w:space="0" w:color="auto"/>
            <w:left w:val="none" w:sz="0" w:space="0" w:color="auto"/>
            <w:bottom w:val="none" w:sz="0" w:space="0" w:color="auto"/>
            <w:right w:val="none" w:sz="0" w:space="0" w:color="auto"/>
          </w:divBdr>
          <w:divsChild>
            <w:div w:id="645548623">
              <w:marLeft w:val="0"/>
              <w:marRight w:val="0"/>
              <w:marTop w:val="0"/>
              <w:marBottom w:val="0"/>
              <w:divBdr>
                <w:top w:val="none" w:sz="0" w:space="0" w:color="auto"/>
                <w:left w:val="none" w:sz="0" w:space="0" w:color="auto"/>
                <w:bottom w:val="none" w:sz="0" w:space="0" w:color="auto"/>
                <w:right w:val="none" w:sz="0" w:space="0" w:color="auto"/>
              </w:divBdr>
              <w:divsChild>
                <w:div w:id="10241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99191">
      <w:bodyDiv w:val="1"/>
      <w:marLeft w:val="0"/>
      <w:marRight w:val="0"/>
      <w:marTop w:val="0"/>
      <w:marBottom w:val="0"/>
      <w:divBdr>
        <w:top w:val="none" w:sz="0" w:space="0" w:color="auto"/>
        <w:left w:val="none" w:sz="0" w:space="0" w:color="auto"/>
        <w:bottom w:val="none" w:sz="0" w:space="0" w:color="auto"/>
        <w:right w:val="none" w:sz="0" w:space="0" w:color="auto"/>
      </w:divBdr>
    </w:div>
    <w:div w:id="571617915">
      <w:bodyDiv w:val="1"/>
      <w:marLeft w:val="0"/>
      <w:marRight w:val="0"/>
      <w:marTop w:val="0"/>
      <w:marBottom w:val="0"/>
      <w:divBdr>
        <w:top w:val="none" w:sz="0" w:space="0" w:color="auto"/>
        <w:left w:val="none" w:sz="0" w:space="0" w:color="auto"/>
        <w:bottom w:val="none" w:sz="0" w:space="0" w:color="auto"/>
        <w:right w:val="none" w:sz="0" w:space="0" w:color="auto"/>
      </w:divBdr>
      <w:divsChild>
        <w:div w:id="285743720">
          <w:marLeft w:val="0"/>
          <w:marRight w:val="0"/>
          <w:marTop w:val="0"/>
          <w:marBottom w:val="0"/>
          <w:divBdr>
            <w:top w:val="none" w:sz="0" w:space="0" w:color="auto"/>
            <w:left w:val="none" w:sz="0" w:space="0" w:color="auto"/>
            <w:bottom w:val="none" w:sz="0" w:space="0" w:color="auto"/>
            <w:right w:val="none" w:sz="0" w:space="0" w:color="auto"/>
          </w:divBdr>
          <w:divsChild>
            <w:div w:id="1433358352">
              <w:marLeft w:val="0"/>
              <w:marRight w:val="0"/>
              <w:marTop w:val="0"/>
              <w:marBottom w:val="0"/>
              <w:divBdr>
                <w:top w:val="none" w:sz="0" w:space="0" w:color="auto"/>
                <w:left w:val="none" w:sz="0" w:space="0" w:color="auto"/>
                <w:bottom w:val="none" w:sz="0" w:space="0" w:color="auto"/>
                <w:right w:val="none" w:sz="0" w:space="0" w:color="auto"/>
              </w:divBdr>
              <w:divsChild>
                <w:div w:id="5785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5614">
      <w:bodyDiv w:val="1"/>
      <w:marLeft w:val="0"/>
      <w:marRight w:val="0"/>
      <w:marTop w:val="0"/>
      <w:marBottom w:val="0"/>
      <w:divBdr>
        <w:top w:val="none" w:sz="0" w:space="0" w:color="auto"/>
        <w:left w:val="none" w:sz="0" w:space="0" w:color="auto"/>
        <w:bottom w:val="none" w:sz="0" w:space="0" w:color="auto"/>
        <w:right w:val="none" w:sz="0" w:space="0" w:color="auto"/>
      </w:divBdr>
    </w:div>
    <w:div w:id="622274394">
      <w:bodyDiv w:val="1"/>
      <w:marLeft w:val="0"/>
      <w:marRight w:val="0"/>
      <w:marTop w:val="0"/>
      <w:marBottom w:val="0"/>
      <w:divBdr>
        <w:top w:val="none" w:sz="0" w:space="0" w:color="auto"/>
        <w:left w:val="none" w:sz="0" w:space="0" w:color="auto"/>
        <w:bottom w:val="none" w:sz="0" w:space="0" w:color="auto"/>
        <w:right w:val="none" w:sz="0" w:space="0" w:color="auto"/>
      </w:divBdr>
    </w:div>
    <w:div w:id="700936342">
      <w:bodyDiv w:val="1"/>
      <w:marLeft w:val="0"/>
      <w:marRight w:val="0"/>
      <w:marTop w:val="0"/>
      <w:marBottom w:val="0"/>
      <w:divBdr>
        <w:top w:val="none" w:sz="0" w:space="0" w:color="auto"/>
        <w:left w:val="none" w:sz="0" w:space="0" w:color="auto"/>
        <w:bottom w:val="none" w:sz="0" w:space="0" w:color="auto"/>
        <w:right w:val="none" w:sz="0" w:space="0" w:color="auto"/>
      </w:divBdr>
    </w:div>
    <w:div w:id="750279019">
      <w:bodyDiv w:val="1"/>
      <w:marLeft w:val="0"/>
      <w:marRight w:val="0"/>
      <w:marTop w:val="0"/>
      <w:marBottom w:val="0"/>
      <w:divBdr>
        <w:top w:val="none" w:sz="0" w:space="0" w:color="auto"/>
        <w:left w:val="none" w:sz="0" w:space="0" w:color="auto"/>
        <w:bottom w:val="none" w:sz="0" w:space="0" w:color="auto"/>
        <w:right w:val="none" w:sz="0" w:space="0" w:color="auto"/>
      </w:divBdr>
    </w:div>
    <w:div w:id="853810999">
      <w:bodyDiv w:val="1"/>
      <w:marLeft w:val="0"/>
      <w:marRight w:val="0"/>
      <w:marTop w:val="0"/>
      <w:marBottom w:val="0"/>
      <w:divBdr>
        <w:top w:val="none" w:sz="0" w:space="0" w:color="auto"/>
        <w:left w:val="none" w:sz="0" w:space="0" w:color="auto"/>
        <w:bottom w:val="none" w:sz="0" w:space="0" w:color="auto"/>
        <w:right w:val="none" w:sz="0" w:space="0" w:color="auto"/>
      </w:divBdr>
    </w:div>
    <w:div w:id="894046839">
      <w:bodyDiv w:val="1"/>
      <w:marLeft w:val="0"/>
      <w:marRight w:val="0"/>
      <w:marTop w:val="0"/>
      <w:marBottom w:val="0"/>
      <w:divBdr>
        <w:top w:val="none" w:sz="0" w:space="0" w:color="auto"/>
        <w:left w:val="none" w:sz="0" w:space="0" w:color="auto"/>
        <w:bottom w:val="none" w:sz="0" w:space="0" w:color="auto"/>
        <w:right w:val="none" w:sz="0" w:space="0" w:color="auto"/>
      </w:divBdr>
      <w:divsChild>
        <w:div w:id="1169174459">
          <w:marLeft w:val="0"/>
          <w:marRight w:val="0"/>
          <w:marTop w:val="0"/>
          <w:marBottom w:val="0"/>
          <w:divBdr>
            <w:top w:val="none" w:sz="0" w:space="0" w:color="auto"/>
            <w:left w:val="none" w:sz="0" w:space="0" w:color="auto"/>
            <w:bottom w:val="none" w:sz="0" w:space="0" w:color="auto"/>
            <w:right w:val="none" w:sz="0" w:space="0" w:color="auto"/>
          </w:divBdr>
          <w:divsChild>
            <w:div w:id="1791431900">
              <w:marLeft w:val="0"/>
              <w:marRight w:val="0"/>
              <w:marTop w:val="0"/>
              <w:marBottom w:val="0"/>
              <w:divBdr>
                <w:top w:val="none" w:sz="0" w:space="0" w:color="auto"/>
                <w:left w:val="none" w:sz="0" w:space="0" w:color="auto"/>
                <w:bottom w:val="none" w:sz="0" w:space="0" w:color="auto"/>
                <w:right w:val="none" w:sz="0" w:space="0" w:color="auto"/>
              </w:divBdr>
              <w:divsChild>
                <w:div w:id="16068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08872">
      <w:bodyDiv w:val="1"/>
      <w:marLeft w:val="0"/>
      <w:marRight w:val="0"/>
      <w:marTop w:val="0"/>
      <w:marBottom w:val="0"/>
      <w:divBdr>
        <w:top w:val="none" w:sz="0" w:space="0" w:color="auto"/>
        <w:left w:val="none" w:sz="0" w:space="0" w:color="auto"/>
        <w:bottom w:val="none" w:sz="0" w:space="0" w:color="auto"/>
        <w:right w:val="none" w:sz="0" w:space="0" w:color="auto"/>
      </w:divBdr>
    </w:div>
    <w:div w:id="930626210">
      <w:bodyDiv w:val="1"/>
      <w:marLeft w:val="0"/>
      <w:marRight w:val="0"/>
      <w:marTop w:val="0"/>
      <w:marBottom w:val="0"/>
      <w:divBdr>
        <w:top w:val="none" w:sz="0" w:space="0" w:color="auto"/>
        <w:left w:val="none" w:sz="0" w:space="0" w:color="auto"/>
        <w:bottom w:val="none" w:sz="0" w:space="0" w:color="auto"/>
        <w:right w:val="none" w:sz="0" w:space="0" w:color="auto"/>
      </w:divBdr>
      <w:divsChild>
        <w:div w:id="1883900326">
          <w:marLeft w:val="0"/>
          <w:marRight w:val="0"/>
          <w:marTop w:val="0"/>
          <w:marBottom w:val="0"/>
          <w:divBdr>
            <w:top w:val="none" w:sz="0" w:space="0" w:color="auto"/>
            <w:left w:val="none" w:sz="0" w:space="0" w:color="auto"/>
            <w:bottom w:val="none" w:sz="0" w:space="0" w:color="auto"/>
            <w:right w:val="none" w:sz="0" w:space="0" w:color="auto"/>
          </w:divBdr>
          <w:divsChild>
            <w:div w:id="1760368344">
              <w:marLeft w:val="0"/>
              <w:marRight w:val="0"/>
              <w:marTop w:val="0"/>
              <w:marBottom w:val="0"/>
              <w:divBdr>
                <w:top w:val="none" w:sz="0" w:space="0" w:color="auto"/>
                <w:left w:val="none" w:sz="0" w:space="0" w:color="auto"/>
                <w:bottom w:val="none" w:sz="0" w:space="0" w:color="auto"/>
                <w:right w:val="none" w:sz="0" w:space="0" w:color="auto"/>
              </w:divBdr>
              <w:divsChild>
                <w:div w:id="5925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5085">
      <w:bodyDiv w:val="1"/>
      <w:marLeft w:val="0"/>
      <w:marRight w:val="0"/>
      <w:marTop w:val="0"/>
      <w:marBottom w:val="0"/>
      <w:divBdr>
        <w:top w:val="none" w:sz="0" w:space="0" w:color="auto"/>
        <w:left w:val="none" w:sz="0" w:space="0" w:color="auto"/>
        <w:bottom w:val="none" w:sz="0" w:space="0" w:color="auto"/>
        <w:right w:val="none" w:sz="0" w:space="0" w:color="auto"/>
      </w:divBdr>
    </w:div>
    <w:div w:id="975527091">
      <w:bodyDiv w:val="1"/>
      <w:marLeft w:val="0"/>
      <w:marRight w:val="0"/>
      <w:marTop w:val="0"/>
      <w:marBottom w:val="0"/>
      <w:divBdr>
        <w:top w:val="none" w:sz="0" w:space="0" w:color="auto"/>
        <w:left w:val="none" w:sz="0" w:space="0" w:color="auto"/>
        <w:bottom w:val="none" w:sz="0" w:space="0" w:color="auto"/>
        <w:right w:val="none" w:sz="0" w:space="0" w:color="auto"/>
      </w:divBdr>
    </w:div>
    <w:div w:id="1141071601">
      <w:bodyDiv w:val="1"/>
      <w:marLeft w:val="0"/>
      <w:marRight w:val="0"/>
      <w:marTop w:val="0"/>
      <w:marBottom w:val="0"/>
      <w:divBdr>
        <w:top w:val="none" w:sz="0" w:space="0" w:color="auto"/>
        <w:left w:val="none" w:sz="0" w:space="0" w:color="auto"/>
        <w:bottom w:val="none" w:sz="0" w:space="0" w:color="auto"/>
        <w:right w:val="none" w:sz="0" w:space="0" w:color="auto"/>
      </w:divBdr>
    </w:div>
    <w:div w:id="1157840374">
      <w:bodyDiv w:val="1"/>
      <w:marLeft w:val="0"/>
      <w:marRight w:val="0"/>
      <w:marTop w:val="0"/>
      <w:marBottom w:val="0"/>
      <w:divBdr>
        <w:top w:val="none" w:sz="0" w:space="0" w:color="auto"/>
        <w:left w:val="none" w:sz="0" w:space="0" w:color="auto"/>
        <w:bottom w:val="none" w:sz="0" w:space="0" w:color="auto"/>
        <w:right w:val="none" w:sz="0" w:space="0" w:color="auto"/>
      </w:divBdr>
    </w:div>
    <w:div w:id="1199315428">
      <w:bodyDiv w:val="1"/>
      <w:marLeft w:val="0"/>
      <w:marRight w:val="0"/>
      <w:marTop w:val="0"/>
      <w:marBottom w:val="0"/>
      <w:divBdr>
        <w:top w:val="none" w:sz="0" w:space="0" w:color="auto"/>
        <w:left w:val="none" w:sz="0" w:space="0" w:color="auto"/>
        <w:bottom w:val="none" w:sz="0" w:space="0" w:color="auto"/>
        <w:right w:val="none" w:sz="0" w:space="0" w:color="auto"/>
      </w:divBdr>
    </w:div>
    <w:div w:id="1294486334">
      <w:bodyDiv w:val="1"/>
      <w:marLeft w:val="0"/>
      <w:marRight w:val="0"/>
      <w:marTop w:val="0"/>
      <w:marBottom w:val="0"/>
      <w:divBdr>
        <w:top w:val="none" w:sz="0" w:space="0" w:color="auto"/>
        <w:left w:val="none" w:sz="0" w:space="0" w:color="auto"/>
        <w:bottom w:val="none" w:sz="0" w:space="0" w:color="auto"/>
        <w:right w:val="none" w:sz="0" w:space="0" w:color="auto"/>
      </w:divBdr>
    </w:div>
    <w:div w:id="1453095094">
      <w:bodyDiv w:val="1"/>
      <w:marLeft w:val="0"/>
      <w:marRight w:val="0"/>
      <w:marTop w:val="0"/>
      <w:marBottom w:val="0"/>
      <w:divBdr>
        <w:top w:val="none" w:sz="0" w:space="0" w:color="auto"/>
        <w:left w:val="none" w:sz="0" w:space="0" w:color="auto"/>
        <w:bottom w:val="none" w:sz="0" w:space="0" w:color="auto"/>
        <w:right w:val="none" w:sz="0" w:space="0" w:color="auto"/>
      </w:divBdr>
    </w:div>
    <w:div w:id="1459912631">
      <w:bodyDiv w:val="1"/>
      <w:marLeft w:val="0"/>
      <w:marRight w:val="0"/>
      <w:marTop w:val="0"/>
      <w:marBottom w:val="0"/>
      <w:divBdr>
        <w:top w:val="none" w:sz="0" w:space="0" w:color="auto"/>
        <w:left w:val="none" w:sz="0" w:space="0" w:color="auto"/>
        <w:bottom w:val="none" w:sz="0" w:space="0" w:color="auto"/>
        <w:right w:val="none" w:sz="0" w:space="0" w:color="auto"/>
      </w:divBdr>
    </w:div>
    <w:div w:id="1464346733">
      <w:bodyDiv w:val="1"/>
      <w:marLeft w:val="0"/>
      <w:marRight w:val="0"/>
      <w:marTop w:val="0"/>
      <w:marBottom w:val="0"/>
      <w:divBdr>
        <w:top w:val="none" w:sz="0" w:space="0" w:color="auto"/>
        <w:left w:val="none" w:sz="0" w:space="0" w:color="auto"/>
        <w:bottom w:val="none" w:sz="0" w:space="0" w:color="auto"/>
        <w:right w:val="none" w:sz="0" w:space="0" w:color="auto"/>
      </w:divBdr>
    </w:div>
    <w:div w:id="1554383747">
      <w:bodyDiv w:val="1"/>
      <w:marLeft w:val="0"/>
      <w:marRight w:val="0"/>
      <w:marTop w:val="0"/>
      <w:marBottom w:val="0"/>
      <w:divBdr>
        <w:top w:val="none" w:sz="0" w:space="0" w:color="auto"/>
        <w:left w:val="none" w:sz="0" w:space="0" w:color="auto"/>
        <w:bottom w:val="none" w:sz="0" w:space="0" w:color="auto"/>
        <w:right w:val="none" w:sz="0" w:space="0" w:color="auto"/>
      </w:divBdr>
    </w:div>
    <w:div w:id="1603951063">
      <w:bodyDiv w:val="1"/>
      <w:marLeft w:val="0"/>
      <w:marRight w:val="0"/>
      <w:marTop w:val="0"/>
      <w:marBottom w:val="0"/>
      <w:divBdr>
        <w:top w:val="none" w:sz="0" w:space="0" w:color="auto"/>
        <w:left w:val="none" w:sz="0" w:space="0" w:color="auto"/>
        <w:bottom w:val="none" w:sz="0" w:space="0" w:color="auto"/>
        <w:right w:val="none" w:sz="0" w:space="0" w:color="auto"/>
      </w:divBdr>
      <w:divsChild>
        <w:div w:id="1570112895">
          <w:marLeft w:val="0"/>
          <w:marRight w:val="0"/>
          <w:marTop w:val="0"/>
          <w:marBottom w:val="0"/>
          <w:divBdr>
            <w:top w:val="none" w:sz="0" w:space="0" w:color="auto"/>
            <w:left w:val="none" w:sz="0" w:space="0" w:color="auto"/>
            <w:bottom w:val="none" w:sz="0" w:space="0" w:color="auto"/>
            <w:right w:val="none" w:sz="0" w:space="0" w:color="auto"/>
          </w:divBdr>
          <w:divsChild>
            <w:div w:id="406074758">
              <w:marLeft w:val="0"/>
              <w:marRight w:val="0"/>
              <w:marTop w:val="0"/>
              <w:marBottom w:val="0"/>
              <w:divBdr>
                <w:top w:val="none" w:sz="0" w:space="0" w:color="auto"/>
                <w:left w:val="none" w:sz="0" w:space="0" w:color="auto"/>
                <w:bottom w:val="none" w:sz="0" w:space="0" w:color="auto"/>
                <w:right w:val="none" w:sz="0" w:space="0" w:color="auto"/>
              </w:divBdr>
              <w:divsChild>
                <w:div w:id="14629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2350">
      <w:bodyDiv w:val="1"/>
      <w:marLeft w:val="0"/>
      <w:marRight w:val="0"/>
      <w:marTop w:val="0"/>
      <w:marBottom w:val="0"/>
      <w:divBdr>
        <w:top w:val="none" w:sz="0" w:space="0" w:color="auto"/>
        <w:left w:val="none" w:sz="0" w:space="0" w:color="auto"/>
        <w:bottom w:val="none" w:sz="0" w:space="0" w:color="auto"/>
        <w:right w:val="none" w:sz="0" w:space="0" w:color="auto"/>
      </w:divBdr>
    </w:div>
    <w:div w:id="1874884583">
      <w:bodyDiv w:val="1"/>
      <w:marLeft w:val="0"/>
      <w:marRight w:val="0"/>
      <w:marTop w:val="0"/>
      <w:marBottom w:val="0"/>
      <w:divBdr>
        <w:top w:val="none" w:sz="0" w:space="0" w:color="auto"/>
        <w:left w:val="none" w:sz="0" w:space="0" w:color="auto"/>
        <w:bottom w:val="none" w:sz="0" w:space="0" w:color="auto"/>
        <w:right w:val="none" w:sz="0" w:space="0" w:color="auto"/>
      </w:divBdr>
    </w:div>
    <w:div w:id="1959486393">
      <w:bodyDiv w:val="1"/>
      <w:marLeft w:val="0"/>
      <w:marRight w:val="0"/>
      <w:marTop w:val="0"/>
      <w:marBottom w:val="0"/>
      <w:divBdr>
        <w:top w:val="none" w:sz="0" w:space="0" w:color="auto"/>
        <w:left w:val="none" w:sz="0" w:space="0" w:color="auto"/>
        <w:bottom w:val="none" w:sz="0" w:space="0" w:color="auto"/>
        <w:right w:val="none" w:sz="0" w:space="0" w:color="auto"/>
      </w:divBdr>
      <w:divsChild>
        <w:div w:id="1434663539">
          <w:marLeft w:val="0"/>
          <w:marRight w:val="0"/>
          <w:marTop w:val="0"/>
          <w:marBottom w:val="0"/>
          <w:divBdr>
            <w:top w:val="none" w:sz="0" w:space="0" w:color="auto"/>
            <w:left w:val="none" w:sz="0" w:space="0" w:color="auto"/>
            <w:bottom w:val="none" w:sz="0" w:space="0" w:color="auto"/>
            <w:right w:val="none" w:sz="0" w:space="0" w:color="auto"/>
          </w:divBdr>
          <w:divsChild>
            <w:div w:id="2111509294">
              <w:marLeft w:val="0"/>
              <w:marRight w:val="0"/>
              <w:marTop w:val="0"/>
              <w:marBottom w:val="0"/>
              <w:divBdr>
                <w:top w:val="none" w:sz="0" w:space="0" w:color="auto"/>
                <w:left w:val="none" w:sz="0" w:space="0" w:color="auto"/>
                <w:bottom w:val="none" w:sz="0" w:space="0" w:color="auto"/>
                <w:right w:val="none" w:sz="0" w:space="0" w:color="auto"/>
              </w:divBdr>
              <w:divsChild>
                <w:div w:id="19520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3899">
      <w:bodyDiv w:val="1"/>
      <w:marLeft w:val="0"/>
      <w:marRight w:val="0"/>
      <w:marTop w:val="0"/>
      <w:marBottom w:val="0"/>
      <w:divBdr>
        <w:top w:val="none" w:sz="0" w:space="0" w:color="auto"/>
        <w:left w:val="none" w:sz="0" w:space="0" w:color="auto"/>
        <w:bottom w:val="none" w:sz="0" w:space="0" w:color="auto"/>
        <w:right w:val="none" w:sz="0" w:space="0" w:color="auto"/>
      </w:divBdr>
    </w:div>
    <w:div w:id="2013491068">
      <w:bodyDiv w:val="1"/>
      <w:marLeft w:val="0"/>
      <w:marRight w:val="0"/>
      <w:marTop w:val="0"/>
      <w:marBottom w:val="0"/>
      <w:divBdr>
        <w:top w:val="none" w:sz="0" w:space="0" w:color="auto"/>
        <w:left w:val="none" w:sz="0" w:space="0" w:color="auto"/>
        <w:bottom w:val="none" w:sz="0" w:space="0" w:color="auto"/>
        <w:right w:val="none" w:sz="0" w:space="0" w:color="auto"/>
      </w:divBdr>
    </w:div>
    <w:div w:id="2054691809">
      <w:bodyDiv w:val="1"/>
      <w:marLeft w:val="0"/>
      <w:marRight w:val="0"/>
      <w:marTop w:val="0"/>
      <w:marBottom w:val="0"/>
      <w:divBdr>
        <w:top w:val="none" w:sz="0" w:space="0" w:color="auto"/>
        <w:left w:val="none" w:sz="0" w:space="0" w:color="auto"/>
        <w:bottom w:val="none" w:sz="0" w:space="0" w:color="auto"/>
        <w:right w:val="none" w:sz="0" w:space="0" w:color="auto"/>
      </w:divBdr>
    </w:div>
    <w:div w:id="2085956711">
      <w:bodyDiv w:val="1"/>
      <w:marLeft w:val="0"/>
      <w:marRight w:val="0"/>
      <w:marTop w:val="0"/>
      <w:marBottom w:val="0"/>
      <w:divBdr>
        <w:top w:val="none" w:sz="0" w:space="0" w:color="auto"/>
        <w:left w:val="none" w:sz="0" w:space="0" w:color="auto"/>
        <w:bottom w:val="none" w:sz="0" w:space="0" w:color="auto"/>
        <w:right w:val="none" w:sz="0" w:space="0" w:color="auto"/>
      </w:divBdr>
    </w:div>
    <w:div w:id="20881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ha.europa.eu/cosmetics-restricted-substanc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ha.europa.eu/cosmetics-prohibited-substan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eur-lex.europa.eu/legal-content/EN/ALL/?uri=celex%3A32009R1223" TargetMode="External"/><Relationship Id="rId5" Type="http://schemas.openxmlformats.org/officeDocument/2006/relationships/customXml" Target="../customXml/item5.xml"/><Relationship Id="rId15" Type="http://schemas.openxmlformats.org/officeDocument/2006/relationships/hyperlink" Target="https://www.industrialchemicals.gov.au/about-us/industrial-chemicals-law-australia" TargetMode="External"/><Relationship Id="rId10" Type="http://schemas.openxmlformats.org/officeDocument/2006/relationships/hyperlink" Target="https://unece.org/ghs-rev7-201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da.gov/cosmetics/cosmetics-laws-regulations/prohibited-restricted-ingredients-cosm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97B1-E164-466A-BF43-626C082447F4}">
  <ds:schemaRefs>
    <ds:schemaRef ds:uri="http://schemas.microsoft.com/office/2006/metadata/longProperties"/>
  </ds:schemaRefs>
</ds:datastoreItem>
</file>

<file path=customXml/itemProps2.xml><?xml version="1.0" encoding="utf-8"?>
<ds:datastoreItem xmlns:ds="http://schemas.openxmlformats.org/officeDocument/2006/customXml" ds:itemID="{AB57C3DE-74E2-42BF-84AF-D3A1A461C3EE}">
  <ds:schemaRefs>
    <ds:schemaRef ds:uri="http://schemas.microsoft.com/sharepoint/v3/contenttype/forms"/>
  </ds:schemaRefs>
</ds:datastoreItem>
</file>

<file path=customXml/itemProps3.xml><?xml version="1.0" encoding="utf-8"?>
<ds:datastoreItem xmlns:ds="http://schemas.openxmlformats.org/officeDocument/2006/customXml" ds:itemID="{0241B255-1E40-4D30-9071-C20388A022C3}">
  <ds:schemaRefs>
    <ds:schemaRef ds:uri="http://schemas.microsoft.com/office/2006/metadata/properties"/>
    <ds:schemaRef ds:uri="http://schemas.microsoft.com/office/infopath/2007/PartnerControls"/>
    <ds:schemaRef ds:uri="D2BD27B6-4938-47D4-A1F4-7D4471A8A8D6"/>
    <ds:schemaRef ds:uri="9F719B23-D1DC-4D6A-A7A4-D93D33018A38"/>
  </ds:schemaRefs>
</ds:datastoreItem>
</file>

<file path=customXml/itemProps4.xml><?xml version="1.0" encoding="utf-8"?>
<ds:datastoreItem xmlns:ds="http://schemas.openxmlformats.org/officeDocument/2006/customXml" ds:itemID="{81CEF164-91FB-4FA5-8129-773CCE555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D34F36-DAAF-4CDB-95F9-9DEB97B7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4145</Words>
  <Characters>22542</Characters>
  <Application>Microsoft Office Word</Application>
  <DocSecurity>0</DocSecurity>
  <Lines>187</Lines>
  <Paragraphs>53</Paragraphs>
  <ScaleCrop>false</ScaleCrop>
  <Company>DHA</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PANTIC, Sandra</cp:lastModifiedBy>
  <cp:revision>4</cp:revision>
  <cp:lastPrinted>2009-12-03T05:05:00Z</cp:lastPrinted>
  <dcterms:created xsi:type="dcterms:W3CDTF">2022-11-02T22:33:00Z</dcterms:created>
  <dcterms:modified xsi:type="dcterms:W3CDTF">2022-11-16T22:27:00Z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PublishingExpirationDate">
    <vt:lpwstr/>
  </property>
  <property fmtid="{D5CDD505-2E9C-101B-9397-08002B2CF9AE}" pid="10" name="PublishingStartDate">
    <vt:lpwstr/>
  </property>
  <property fmtid="{D5CDD505-2E9C-101B-9397-08002B2CF9AE}" pid="11" name="ContentTypeId">
    <vt:lpwstr>0x010100266966F133664895A6EE3632470D45F5006A7750314F7B204FA4DD50E83A562493</vt:lpwstr>
  </property>
</Properties>
</file>