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485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951A193" w14:textId="5828A5D9" w:rsidR="007662C7" w:rsidRPr="00731FEA" w:rsidRDefault="00F109D4" w:rsidP="003E1CE3">
      <w:pPr>
        <w:pStyle w:val="Heading2"/>
        <w:jc w:val="center"/>
        <w:rPr>
          <w:sz w:val="24"/>
          <w:szCs w:val="24"/>
        </w:rPr>
      </w:pPr>
      <w:r w:rsidRPr="007B335E">
        <w:rPr>
          <w:sz w:val="24"/>
          <w:szCs w:val="24"/>
        </w:rPr>
        <w:t xml:space="preserve">Issued by authority </w:t>
      </w:r>
      <w:r w:rsidRPr="008F4DBF">
        <w:rPr>
          <w:sz w:val="24"/>
          <w:szCs w:val="24"/>
        </w:rPr>
        <w:t xml:space="preserve">of </w:t>
      </w:r>
      <w:sdt>
        <w:sdtPr>
          <w:rPr>
            <w:rStyle w:val="DefaultChar"/>
          </w:rPr>
          <w:id w:val="-1025254589"/>
          <w:placeholder>
            <w:docPart w:val="4EB551CB5BA1431C877BBCBDA6B352D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5568DF" w:rsidRPr="008F4DBF">
            <w:rPr>
              <w:rStyle w:val="DefaultChar"/>
            </w:rPr>
            <w:t>the Treasurer</w:t>
          </w:r>
        </w:sdtContent>
      </w:sdt>
      <w:r w:rsidR="00076178" w:rsidRPr="00731FEA">
        <w:rPr>
          <w:sz w:val="24"/>
          <w:szCs w:val="24"/>
        </w:rPr>
        <w:t xml:space="preserve"> </w:t>
      </w:r>
    </w:p>
    <w:p w14:paraId="6BB03CF9" w14:textId="2ECCF1B0" w:rsidR="00F109D4" w:rsidRDefault="007B7B22" w:rsidP="003C7907">
      <w:pPr>
        <w:spacing w:before="240" w:after="240"/>
        <w:jc w:val="center"/>
        <w:rPr>
          <w:i/>
        </w:rPr>
      </w:pPr>
      <w:bookmarkStart w:id="0" w:name="_Hlk111732365"/>
      <w:r w:rsidRPr="007B7B22">
        <w:rPr>
          <w:i/>
        </w:rPr>
        <w:t xml:space="preserve">Foreign Acquisitions </w:t>
      </w:r>
      <w:r>
        <w:rPr>
          <w:i/>
        </w:rPr>
        <w:t>a</w:t>
      </w:r>
      <w:r w:rsidRPr="007B7B22">
        <w:rPr>
          <w:i/>
        </w:rPr>
        <w:t>nd Takeovers Act 1975</w:t>
      </w:r>
    </w:p>
    <w:p w14:paraId="5EE6105B" w14:textId="5B4AADA9" w:rsidR="00CC60D3" w:rsidRPr="00503E44" w:rsidRDefault="00CC60D3" w:rsidP="00CC60D3">
      <w:pPr>
        <w:tabs>
          <w:tab w:val="left" w:pos="1418"/>
        </w:tabs>
        <w:spacing w:before="0" w:after="240"/>
        <w:jc w:val="center"/>
        <w:rPr>
          <w:i/>
        </w:rPr>
      </w:pPr>
      <w:bookmarkStart w:id="1" w:name="_Hlk113537827"/>
      <w:bookmarkEnd w:id="0"/>
      <w:r w:rsidRPr="004A2EE6">
        <w:rPr>
          <w:i/>
        </w:rPr>
        <w:t>Foreign Acquisitions and Takeovers Amendment (</w:t>
      </w:r>
      <w:r>
        <w:rPr>
          <w:i/>
        </w:rPr>
        <w:t>India</w:t>
      </w:r>
      <w:r w:rsidRPr="004A2EE6">
        <w:rPr>
          <w:i/>
        </w:rPr>
        <w:t xml:space="preserve"> Free Trade Agreement) Regulations 2022</w:t>
      </w:r>
    </w:p>
    <w:bookmarkEnd w:id="1"/>
    <w:p w14:paraId="769AB0AD" w14:textId="0CD0C952" w:rsidR="001A7892" w:rsidRDefault="001A7892" w:rsidP="00647BB7">
      <w:pPr>
        <w:spacing w:before="240"/>
        <w:rPr>
          <w:color w:val="000000"/>
          <w:shd w:val="clear" w:color="auto" w:fill="FFFFFF"/>
        </w:rPr>
      </w:pPr>
      <w:r>
        <w:rPr>
          <w:color w:val="000000"/>
          <w:shd w:val="clear" w:color="auto" w:fill="FFFFFF"/>
        </w:rPr>
        <w:t>The</w:t>
      </w:r>
      <w:r w:rsidR="00B3154D">
        <w:rPr>
          <w:color w:val="000000"/>
          <w:shd w:val="clear" w:color="auto" w:fill="FFFFFF"/>
        </w:rPr>
        <w:t xml:space="preserve"> </w:t>
      </w:r>
      <w:r>
        <w:rPr>
          <w:i/>
          <w:iCs/>
          <w:color w:val="000000"/>
          <w:shd w:val="clear" w:color="auto" w:fill="FFFFFF"/>
        </w:rPr>
        <w:t>Foreign Acquisitions and Takeovers Act 1975</w:t>
      </w:r>
      <w:r w:rsidR="005B4A36">
        <w:rPr>
          <w:i/>
          <w:iCs/>
          <w:color w:val="000000"/>
          <w:shd w:val="clear" w:color="auto" w:fill="FFFFFF"/>
        </w:rPr>
        <w:t xml:space="preserve"> </w:t>
      </w:r>
      <w:r>
        <w:rPr>
          <w:color w:val="000000"/>
          <w:shd w:val="clear" w:color="auto" w:fill="FFFFFF"/>
        </w:rPr>
        <w:t>(the Act) establishes a regime for the notification</w:t>
      </w:r>
      <w:r w:rsidR="00DB4FD8">
        <w:rPr>
          <w:color w:val="000000"/>
          <w:shd w:val="clear" w:color="auto" w:fill="FFFFFF"/>
        </w:rPr>
        <w:t xml:space="preserve"> and</w:t>
      </w:r>
      <w:r>
        <w:rPr>
          <w:color w:val="000000"/>
          <w:shd w:val="clear" w:color="auto" w:fill="FFFFFF"/>
        </w:rPr>
        <w:t xml:space="preserve"> </w:t>
      </w:r>
      <w:r w:rsidR="005568DF">
        <w:rPr>
          <w:color w:val="000000"/>
          <w:shd w:val="clear" w:color="auto" w:fill="FFFFFF"/>
        </w:rPr>
        <w:t>review</w:t>
      </w:r>
      <w:r>
        <w:rPr>
          <w:color w:val="000000"/>
          <w:shd w:val="clear" w:color="auto" w:fill="FFFFFF"/>
        </w:rPr>
        <w:t xml:space="preserve"> of foreign investment in Australia.</w:t>
      </w:r>
    </w:p>
    <w:p w14:paraId="5D04AA3F" w14:textId="203A45F6" w:rsidR="00F109D4" w:rsidRDefault="00C55D29" w:rsidP="00647BB7">
      <w:pPr>
        <w:spacing w:before="240"/>
      </w:pPr>
      <w:r w:rsidRPr="00503E44">
        <w:t xml:space="preserve">Section </w:t>
      </w:r>
      <w:r w:rsidR="007B7B22">
        <w:t>139</w:t>
      </w:r>
      <w:r w:rsidR="005E4BAC">
        <w:t xml:space="preserve"> </w:t>
      </w:r>
      <w:r w:rsidR="00F109D4" w:rsidRPr="00503E44">
        <w:t xml:space="preserve">of the </w:t>
      </w:r>
      <w:r w:rsidR="001A7892" w:rsidRPr="001A7892">
        <w:t>Act</w:t>
      </w:r>
      <w:r w:rsidR="001A7892">
        <w:rPr>
          <w:i/>
          <w:iCs/>
        </w:rPr>
        <w:t xml:space="preserve"> </w:t>
      </w:r>
      <w:r w:rsidR="00F109D4" w:rsidRPr="00503E44">
        <w:t>provides that the Governor-General may make regulations prescribing matters required or permitted by the Act to be prescribed, or necessary or convenient to be prescribed for carrying out or giving effect to the Act.</w:t>
      </w:r>
    </w:p>
    <w:p w14:paraId="5EB0DAE6" w14:textId="2C65AE30" w:rsidR="001A7892" w:rsidRDefault="001A7892" w:rsidP="00647BB7">
      <w:pPr>
        <w:spacing w:before="240"/>
        <w:rPr>
          <w:color w:val="000000"/>
          <w:shd w:val="clear" w:color="auto" w:fill="FFFFFF"/>
        </w:rPr>
      </w:pPr>
      <w:r>
        <w:rPr>
          <w:color w:val="000000"/>
          <w:shd w:val="clear" w:color="auto" w:fill="FFFFFF"/>
        </w:rPr>
        <w:t>The purpose of the</w:t>
      </w:r>
      <w:r w:rsidR="00B3154D">
        <w:rPr>
          <w:color w:val="000000"/>
          <w:shd w:val="clear" w:color="auto" w:fill="FFFFFF"/>
        </w:rPr>
        <w:t xml:space="preserve"> </w:t>
      </w:r>
      <w:r w:rsidR="001A45E0" w:rsidRPr="001A45E0">
        <w:rPr>
          <w:i/>
          <w:iCs/>
          <w:color w:val="000000"/>
          <w:shd w:val="clear" w:color="auto" w:fill="FFFFFF"/>
        </w:rPr>
        <w:t>Foreign Acquisitions and Takeovers Amendment (India Free Trade Agreement) Regulations 2022</w:t>
      </w:r>
      <w:r>
        <w:rPr>
          <w:i/>
          <w:iCs/>
          <w:color w:val="000000"/>
          <w:shd w:val="clear" w:color="auto" w:fill="FFFFFF"/>
        </w:rPr>
        <w:t xml:space="preserve"> </w:t>
      </w:r>
      <w:r>
        <w:rPr>
          <w:color w:val="000000"/>
          <w:shd w:val="clear" w:color="auto" w:fill="FFFFFF"/>
        </w:rPr>
        <w:t>(the Regulations)</w:t>
      </w:r>
      <w:r w:rsidR="00B3154D">
        <w:rPr>
          <w:color w:val="000000"/>
          <w:shd w:val="clear" w:color="auto" w:fill="FFFFFF"/>
        </w:rPr>
        <w:t xml:space="preserve"> </w:t>
      </w:r>
      <w:r>
        <w:rPr>
          <w:color w:val="000000"/>
          <w:shd w:val="clear" w:color="auto" w:fill="FFFFFF"/>
        </w:rPr>
        <w:t>is to amend the</w:t>
      </w:r>
      <w:r w:rsidR="00B3154D">
        <w:rPr>
          <w:color w:val="000000"/>
          <w:shd w:val="clear" w:color="auto" w:fill="FFFFFF"/>
        </w:rPr>
        <w:t xml:space="preserve"> </w:t>
      </w:r>
      <w:r>
        <w:rPr>
          <w:i/>
          <w:iCs/>
          <w:color w:val="000000"/>
          <w:shd w:val="clear" w:color="auto" w:fill="FFFFFF"/>
        </w:rPr>
        <w:t>Foreign Acquisitions and Takeovers Regulation</w:t>
      </w:r>
      <w:r w:rsidR="00B3154D">
        <w:rPr>
          <w:i/>
          <w:iCs/>
          <w:color w:val="000000"/>
          <w:shd w:val="clear" w:color="auto" w:fill="FFFFFF"/>
        </w:rPr>
        <w:t xml:space="preserve"> </w:t>
      </w:r>
      <w:r>
        <w:rPr>
          <w:i/>
          <w:iCs/>
          <w:color w:val="000000"/>
          <w:shd w:val="clear" w:color="auto" w:fill="FFFFFF"/>
        </w:rPr>
        <w:t>2015</w:t>
      </w:r>
      <w:r w:rsidR="00B3154D">
        <w:rPr>
          <w:i/>
          <w:iCs/>
          <w:color w:val="000000"/>
          <w:shd w:val="clear" w:color="auto" w:fill="FFFFFF"/>
        </w:rPr>
        <w:t xml:space="preserve"> </w:t>
      </w:r>
      <w:r>
        <w:rPr>
          <w:color w:val="000000"/>
          <w:shd w:val="clear" w:color="auto" w:fill="FFFFFF"/>
        </w:rPr>
        <w:t xml:space="preserve">(the Principal Regulations) to </w:t>
      </w:r>
      <w:r w:rsidR="001A45E0">
        <w:rPr>
          <w:color w:val="000000"/>
          <w:shd w:val="clear" w:color="auto" w:fill="FFFFFF"/>
        </w:rPr>
        <w:t xml:space="preserve">give effect to Australia’s obligations under the </w:t>
      </w:r>
      <w:r w:rsidRPr="00C57806">
        <w:t xml:space="preserve">Australia-India </w:t>
      </w:r>
      <w:r>
        <w:t xml:space="preserve">Economic Cooperation and </w:t>
      </w:r>
      <w:r w:rsidR="003B62E5">
        <w:br/>
      </w:r>
      <w:r>
        <w:t>Trade Agreement (</w:t>
      </w:r>
      <w:r w:rsidRPr="00B72808">
        <w:t>AI</w:t>
      </w:r>
      <w:r>
        <w:t>-</w:t>
      </w:r>
      <w:r w:rsidRPr="00B72808">
        <w:t>ECTA</w:t>
      </w:r>
      <w:r>
        <w:t>)</w:t>
      </w:r>
      <w:r w:rsidR="001A45E0">
        <w:t>. Australia and the Republic of India</w:t>
      </w:r>
      <w:r>
        <w:t xml:space="preserve"> </w:t>
      </w:r>
      <w:r w:rsidR="001A45E0">
        <w:t xml:space="preserve">(India) </w:t>
      </w:r>
      <w:r w:rsidR="001A45E0">
        <w:rPr>
          <w:color w:val="000000"/>
          <w:shd w:val="clear" w:color="auto" w:fill="FFFFFF"/>
        </w:rPr>
        <w:t xml:space="preserve">signed the </w:t>
      </w:r>
      <w:r w:rsidR="001A45E0" w:rsidRPr="00B72808">
        <w:t>AI</w:t>
      </w:r>
      <w:r w:rsidR="001A45E0">
        <w:t>-</w:t>
      </w:r>
      <w:r w:rsidR="001A45E0" w:rsidRPr="00B72808">
        <w:t>ECTA</w:t>
      </w:r>
      <w:r w:rsidR="001A45E0">
        <w:rPr>
          <w:color w:val="000000"/>
          <w:shd w:val="clear" w:color="auto" w:fill="FFFFFF"/>
        </w:rPr>
        <w:t xml:space="preserve"> on 2 April 2022 to</w:t>
      </w:r>
      <w:r w:rsidR="001A45E0" w:rsidRPr="00546072">
        <w:t xml:space="preserve"> deepen bilateral trade in goods and services</w:t>
      </w:r>
      <w:r w:rsidR="001A45E0">
        <w:t xml:space="preserve"> between the two economies</w:t>
      </w:r>
      <w:r w:rsidR="005568DF">
        <w:rPr>
          <w:color w:val="000000"/>
          <w:shd w:val="clear" w:color="auto" w:fill="FFFFFF"/>
        </w:rPr>
        <w:t>.</w:t>
      </w:r>
    </w:p>
    <w:p w14:paraId="118BD94C" w14:textId="53D82BB2" w:rsidR="001A45E0" w:rsidRDefault="001A45E0" w:rsidP="00647BB7">
      <w:pPr>
        <w:spacing w:before="240"/>
      </w:pPr>
      <w:r>
        <w:t xml:space="preserve">The Regulations form part of the steps Australia must take to implement the </w:t>
      </w:r>
      <w:r w:rsidR="003B62E5">
        <w:br/>
      </w:r>
      <w:r w:rsidRPr="00B72808">
        <w:t>AI</w:t>
      </w:r>
      <w:r>
        <w:t>-</w:t>
      </w:r>
      <w:r w:rsidRPr="00B72808">
        <w:t>ECTA</w:t>
      </w:r>
      <w:r>
        <w:t>. The Regulations alter certain threshold values (monetary amounts) in the Principal</w:t>
      </w:r>
      <w:r w:rsidR="00F7620F">
        <w:t xml:space="preserve"> </w:t>
      </w:r>
      <w:r>
        <w:t xml:space="preserve">Regulations that apply when determining whether certain </w:t>
      </w:r>
      <w:r w:rsidR="00B66725">
        <w:t xml:space="preserve">services </w:t>
      </w:r>
      <w:r>
        <w:t>investments by Indian investors (other than foreign government investors) are subject to</w:t>
      </w:r>
      <w:r w:rsidR="00DB4FD8">
        <w:t xml:space="preserve"> screening under</w:t>
      </w:r>
      <w:r>
        <w:t xml:space="preserve"> </w:t>
      </w:r>
      <w:r w:rsidR="001E2487">
        <w:t xml:space="preserve">the national interest test in </w:t>
      </w:r>
      <w:r>
        <w:t>Australia’s foreign investment framework.</w:t>
      </w:r>
    </w:p>
    <w:p w14:paraId="51970B1C" w14:textId="4C23CD76" w:rsidR="006558D7" w:rsidRDefault="00D87E26" w:rsidP="006558D7">
      <w:pPr>
        <w:spacing w:before="240"/>
        <w:rPr>
          <w:shd w:val="clear" w:color="auto" w:fill="FFFFFF"/>
        </w:rPr>
      </w:pPr>
      <w:r>
        <w:t xml:space="preserve">The Regulations increase the threshold </w:t>
      </w:r>
      <w:r>
        <w:rPr>
          <w:shd w:val="clear" w:color="auto" w:fill="FFFFFF"/>
        </w:rPr>
        <w:t xml:space="preserve">from $289 million to $500 million (indexed) for certain actions by </w:t>
      </w:r>
      <w:r w:rsidR="00E65D3E">
        <w:rPr>
          <w:shd w:val="clear" w:color="auto" w:fill="FFFFFF"/>
        </w:rPr>
        <w:t xml:space="preserve">private </w:t>
      </w:r>
      <w:r>
        <w:rPr>
          <w:shd w:val="clear" w:color="auto" w:fill="FFFFFF"/>
        </w:rPr>
        <w:t xml:space="preserve">Indian investors in relation to </w:t>
      </w:r>
      <w:r w:rsidR="00E65D3E">
        <w:rPr>
          <w:shd w:val="clear" w:color="auto" w:fill="FFFFFF"/>
        </w:rPr>
        <w:t xml:space="preserve">non-sensitive </w:t>
      </w:r>
      <w:r>
        <w:rPr>
          <w:shd w:val="clear" w:color="auto" w:fill="FFFFFF"/>
        </w:rPr>
        <w:t>services investments in entities</w:t>
      </w:r>
      <w:r w:rsidR="00E133B3">
        <w:rPr>
          <w:shd w:val="clear" w:color="auto" w:fill="FFFFFF"/>
        </w:rPr>
        <w:t>,</w:t>
      </w:r>
      <w:r w:rsidR="00404B00">
        <w:rPr>
          <w:shd w:val="clear" w:color="auto" w:fill="FFFFFF"/>
        </w:rPr>
        <w:t xml:space="preserve"> </w:t>
      </w:r>
      <w:r>
        <w:rPr>
          <w:shd w:val="clear" w:color="auto" w:fill="FFFFFF"/>
        </w:rPr>
        <w:t>businesses</w:t>
      </w:r>
      <w:r w:rsidR="00205996">
        <w:rPr>
          <w:shd w:val="clear" w:color="auto" w:fill="FFFFFF"/>
        </w:rPr>
        <w:t xml:space="preserve"> </w:t>
      </w:r>
      <w:r w:rsidR="00E133B3">
        <w:rPr>
          <w:shd w:val="clear" w:color="auto" w:fill="FFFFFF"/>
        </w:rPr>
        <w:t>and</w:t>
      </w:r>
      <w:r>
        <w:rPr>
          <w:shd w:val="clear" w:color="auto" w:fill="FFFFFF"/>
        </w:rPr>
        <w:t xml:space="preserve"> developed commercial land. This means that </w:t>
      </w:r>
      <w:r w:rsidR="00E65D3E">
        <w:rPr>
          <w:shd w:val="clear" w:color="auto" w:fill="FFFFFF"/>
        </w:rPr>
        <w:t xml:space="preserve">private </w:t>
      </w:r>
      <w:r w:rsidR="00404B00">
        <w:rPr>
          <w:shd w:val="clear" w:color="auto" w:fill="FFFFFF"/>
        </w:rPr>
        <w:t>Indian</w:t>
      </w:r>
      <w:r>
        <w:rPr>
          <w:shd w:val="clear" w:color="auto" w:fill="FFFFFF"/>
        </w:rPr>
        <w:t xml:space="preserve"> investors will only be required to </w:t>
      </w:r>
      <w:r w:rsidR="001E2487">
        <w:rPr>
          <w:shd w:val="clear" w:color="auto" w:fill="FFFFFF"/>
        </w:rPr>
        <w:t xml:space="preserve">notify </w:t>
      </w:r>
      <w:r w:rsidR="00DB4FD8">
        <w:rPr>
          <w:shd w:val="clear" w:color="auto" w:fill="FFFFFF"/>
        </w:rPr>
        <w:t xml:space="preserve">the Treasurer of </w:t>
      </w:r>
      <w:r>
        <w:rPr>
          <w:shd w:val="clear" w:color="auto" w:fill="FFFFFF"/>
        </w:rPr>
        <w:t>these types of investments if the proposed investment is above the higher $</w:t>
      </w:r>
      <w:r w:rsidR="00404B00">
        <w:rPr>
          <w:shd w:val="clear" w:color="auto" w:fill="FFFFFF"/>
        </w:rPr>
        <w:t>500</w:t>
      </w:r>
      <w:r>
        <w:rPr>
          <w:shd w:val="clear" w:color="auto" w:fill="FFFFFF"/>
        </w:rPr>
        <w:t xml:space="preserve"> million threshold amount.</w:t>
      </w:r>
    </w:p>
    <w:p w14:paraId="29CDA747" w14:textId="03861F5C" w:rsidR="006558D7" w:rsidRDefault="00AC6BCE" w:rsidP="008E10C8">
      <w:pPr>
        <w:spacing w:before="240"/>
      </w:pPr>
      <w:r>
        <w:t xml:space="preserve">Public consultation was undertaken on the AI-ECTA by the Department of Foreign Affairs and Trade (DFAT) as part of the AI-ECTA negotiations. DFAT received submissions </w:t>
      </w:r>
      <w:r w:rsidR="00B71372">
        <w:t xml:space="preserve">throughout the negotiation process </w:t>
      </w:r>
      <w:r>
        <w:t xml:space="preserve">which are published on its website. </w:t>
      </w:r>
      <w:r w:rsidR="008E10C8">
        <w:t xml:space="preserve">DFAT also conducted consultation with stakeholders who may be directly affected by </w:t>
      </w:r>
      <w:r w:rsidR="00EF04D7">
        <w:t xml:space="preserve">the </w:t>
      </w:r>
      <w:r w:rsidR="008E10C8">
        <w:t>AI-ECTA</w:t>
      </w:r>
      <w:r w:rsidR="0014086C">
        <w:t>, as well as</w:t>
      </w:r>
      <w:r w:rsidR="00EF04D7">
        <w:t xml:space="preserve"> with State and Territory Governments</w:t>
      </w:r>
      <w:r w:rsidR="008E10C8">
        <w:t xml:space="preserve">. </w:t>
      </w:r>
      <w:r>
        <w:t>No public consultation was undertaken specifically for these amendments</w:t>
      </w:r>
      <w:r w:rsidR="00B71372">
        <w:t xml:space="preserve"> as extensive consultation </w:t>
      </w:r>
      <w:r w:rsidR="00FE0428">
        <w:t>w</w:t>
      </w:r>
      <w:r w:rsidR="00B71372">
        <w:t>as undertaken as part of the negotiations of the AI-ECTA</w:t>
      </w:r>
      <w:r>
        <w:t>.</w:t>
      </w:r>
    </w:p>
    <w:p w14:paraId="10A034A0" w14:textId="5A93181C"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3B62E5">
        <w:rPr>
          <w:i/>
        </w:rPr>
        <w:t> </w:t>
      </w:r>
      <w:r w:rsidRPr="00D3322F">
        <w:rPr>
          <w:i/>
        </w:rPr>
        <w:t>2003</w:t>
      </w:r>
      <w:r w:rsidRPr="00D3322F">
        <w:t>.</w:t>
      </w:r>
      <w:r w:rsidR="00C65AEB">
        <w:t xml:space="preserve"> </w:t>
      </w:r>
      <w:r w:rsidR="00C65AEB" w:rsidRPr="00C64197">
        <w:t xml:space="preserve">Section 48A of the </w:t>
      </w:r>
      <w:r w:rsidR="00C65AEB" w:rsidRPr="00C64197">
        <w:rPr>
          <w:i/>
          <w:iCs/>
        </w:rPr>
        <w:t>Legislation Act 2003</w:t>
      </w:r>
      <w:r w:rsidR="00C65AEB" w:rsidRPr="00C64197">
        <w:t xml:space="preserve"> provides that where a legislative instrument only repeals or amends another instrument, without making any application, saving or transitional provisions relating to the amendment or repeal, that </w:t>
      </w:r>
      <w:r w:rsidR="00C65AEB" w:rsidRPr="00C64197">
        <w:lastRenderedPageBreak/>
        <w:t xml:space="preserve">instrument is automatically repealed. By virtue of section 48A, if the Regulations are not disallowed, the Regulations will automatically repeal when the disallowance period ends. Once repealed, the sunsetting regime set out in Part 4 of Chapter 3 of the </w:t>
      </w:r>
      <w:r w:rsidR="00C65AEB" w:rsidRPr="00C054DB">
        <w:rPr>
          <w:i/>
          <w:iCs/>
        </w:rPr>
        <w:t>Legislation Act 2003</w:t>
      </w:r>
      <w:r w:rsidR="00C65AEB" w:rsidRPr="00C64197">
        <w:t xml:space="preserve"> is no longer relevant to the Regulations.</w:t>
      </w:r>
    </w:p>
    <w:p w14:paraId="2C2A269B" w14:textId="22473215" w:rsidR="00C65AEB" w:rsidRDefault="00C65AEB" w:rsidP="00C65AEB">
      <w:pPr>
        <w:spacing w:before="240"/>
      </w:pPr>
      <w:r w:rsidRPr="00503E44">
        <w:t xml:space="preserve">The Regulations commence </w:t>
      </w:r>
      <w:r>
        <w:t xml:space="preserve">and apply from the later of the day after the Regulations are registered and the day the </w:t>
      </w:r>
      <w:r w:rsidR="00B71372">
        <w:t>AI-ECTA</w:t>
      </w:r>
      <w:r>
        <w:t xml:space="preserve"> enters into force.</w:t>
      </w:r>
    </w:p>
    <w:p w14:paraId="12F9A093" w14:textId="18519FE4" w:rsidR="004F3E48" w:rsidRPr="00261C1A" w:rsidRDefault="00C65AEB" w:rsidP="00225932">
      <w:pPr>
        <w:spacing w:before="240"/>
      </w:pPr>
      <w:r w:rsidRPr="00261C1A">
        <w:t xml:space="preserve">A </w:t>
      </w:r>
      <w:r w:rsidRPr="000164E0">
        <w:t>Regulation Impact Statement</w:t>
      </w:r>
      <w:r w:rsidR="00C832B1" w:rsidRPr="000164E0">
        <w:rPr>
          <w:rStyle w:val="Hyperlink"/>
          <w:color w:val="auto"/>
          <w:u w:val="none"/>
        </w:rPr>
        <w:t xml:space="preserve"> </w:t>
      </w:r>
      <w:r w:rsidR="00C832B1" w:rsidRPr="000164E0">
        <w:t>accompanied the National Interest Analysis for the AI-ECTA</w:t>
      </w:r>
      <w:r w:rsidR="00152D3A">
        <w:t>.</w:t>
      </w:r>
      <w:r w:rsidR="00C832B1" w:rsidRPr="000164E0">
        <w:rPr>
          <w:rStyle w:val="FootnoteReference"/>
        </w:rPr>
        <w:footnoteReference w:id="2"/>
      </w:r>
    </w:p>
    <w:p w14:paraId="06F4C41E" w14:textId="04E6528D" w:rsidR="00225932" w:rsidRPr="00261C1A" w:rsidRDefault="00225932" w:rsidP="00225932">
      <w:pPr>
        <w:spacing w:before="240"/>
      </w:pPr>
      <w:r>
        <w:t xml:space="preserve">Details of the Regulations are </w:t>
      </w:r>
      <w:r w:rsidRPr="00261C1A">
        <w:t xml:space="preserve">set out in </w:t>
      </w:r>
      <w:r w:rsidRPr="00261C1A">
        <w:rPr>
          <w:u w:val="single"/>
        </w:rPr>
        <w:t>Attachment A</w:t>
      </w:r>
      <w:r w:rsidRPr="00261C1A">
        <w:t>.</w:t>
      </w:r>
    </w:p>
    <w:p w14:paraId="6D0F9FFC" w14:textId="29CF2AC0" w:rsidR="009143A0" w:rsidRPr="00DE45EA" w:rsidRDefault="00225932" w:rsidP="00647BB7">
      <w:pPr>
        <w:spacing w:before="240"/>
      </w:pPr>
      <w:r w:rsidRPr="00261C1A">
        <w:t xml:space="preserve">A statement of Compatibility with Human Rights is at </w:t>
      </w:r>
      <w:r w:rsidRPr="00261C1A">
        <w:rPr>
          <w:u w:val="single"/>
        </w:rPr>
        <w:t>Attachment B</w:t>
      </w:r>
      <w:r w:rsidRPr="00261C1A">
        <w:t>.</w:t>
      </w:r>
    </w:p>
    <w:p w14:paraId="0C7601FA" w14:textId="3F499B04" w:rsidR="00EA4DD8" w:rsidRDefault="00EA4DD8" w:rsidP="00EA4DD8">
      <w:pPr>
        <w:pageBreakBefore/>
        <w:spacing w:before="240"/>
        <w:jc w:val="right"/>
        <w:rPr>
          <w:b/>
          <w:u w:val="single"/>
        </w:rPr>
      </w:pPr>
      <w:r w:rsidRPr="007B335E">
        <w:rPr>
          <w:b/>
          <w:u w:val="single"/>
        </w:rPr>
        <w:lastRenderedPageBreak/>
        <w:t xml:space="preserve">ATTACHMENT </w:t>
      </w:r>
      <w:r w:rsidR="000741E1">
        <w:rPr>
          <w:b/>
          <w:u w:val="single"/>
        </w:rPr>
        <w:t>A</w:t>
      </w:r>
    </w:p>
    <w:p w14:paraId="26368114" w14:textId="7E488832" w:rsidR="00EA4DD8" w:rsidRDefault="00EA4DD8" w:rsidP="00EA4DD8">
      <w:pPr>
        <w:spacing w:before="240"/>
        <w:ind w:right="91"/>
        <w:rPr>
          <w:b/>
          <w:bCs/>
          <w:szCs w:val="24"/>
          <w:u w:val="single"/>
        </w:rPr>
      </w:pPr>
      <w:r>
        <w:rPr>
          <w:b/>
          <w:bCs/>
          <w:u w:val="single"/>
        </w:rPr>
        <w:t xml:space="preserve">Details of the </w:t>
      </w:r>
      <w:r w:rsidR="005E2102" w:rsidRPr="005E2102">
        <w:rPr>
          <w:b/>
          <w:i/>
          <w:u w:val="single"/>
        </w:rPr>
        <w:t>Foreign Acquisitions and Takeovers Amendment (India Free Trade Agreement) Regulations 2022</w:t>
      </w:r>
      <w:r>
        <w:rPr>
          <w:b/>
          <w:bCs/>
          <w:u w:val="single"/>
        </w:rPr>
        <w:t xml:space="preserve"> </w:t>
      </w:r>
    </w:p>
    <w:p w14:paraId="1402AB05"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45678E9F" w14:textId="287FBE5E" w:rsidR="00EA4DD8" w:rsidRDefault="00EA4DD8" w:rsidP="00EA4DD8">
      <w:pPr>
        <w:spacing w:before="240"/>
      </w:pPr>
      <w:r>
        <w:t xml:space="preserve">This section provides that the name of the Regulations is the </w:t>
      </w:r>
      <w:r w:rsidR="000741E1" w:rsidRPr="001A45E0">
        <w:rPr>
          <w:i/>
          <w:iCs/>
          <w:color w:val="000000"/>
          <w:shd w:val="clear" w:color="auto" w:fill="FFFFFF"/>
        </w:rPr>
        <w:t>Foreign Acquisitions and Takeovers Amendment (India Free Trade Agreement) Regulations 2022</w:t>
      </w:r>
      <w:r w:rsidR="000741E1">
        <w:rPr>
          <w:i/>
          <w:iCs/>
          <w:color w:val="000000"/>
          <w:shd w:val="clear" w:color="auto" w:fill="FFFFFF"/>
        </w:rPr>
        <w:t xml:space="preserve"> </w:t>
      </w:r>
      <w:r>
        <w:t>(the Regulations).</w:t>
      </w:r>
    </w:p>
    <w:p w14:paraId="30D73F42" w14:textId="77777777" w:rsidR="00EA4DD8" w:rsidRDefault="00EA4DD8" w:rsidP="00EA4DD8">
      <w:pPr>
        <w:spacing w:before="240"/>
        <w:ind w:right="91"/>
        <w:rPr>
          <w:u w:val="single"/>
        </w:rPr>
      </w:pPr>
      <w:r>
        <w:rPr>
          <w:u w:val="single"/>
        </w:rPr>
        <w:t>Section 2 – Commencement</w:t>
      </w:r>
    </w:p>
    <w:p w14:paraId="01AD0555" w14:textId="77777777" w:rsidR="000741E1" w:rsidRDefault="000741E1" w:rsidP="000741E1">
      <w:pPr>
        <w:spacing w:before="240"/>
        <w:ind w:right="91"/>
      </w:pPr>
      <w:r>
        <w:t>The Regulations commence on</w:t>
      </w:r>
      <w:r w:rsidRPr="00503E44">
        <w:t xml:space="preserve"> </w:t>
      </w:r>
      <w:r>
        <w:t>the later of:</w:t>
      </w:r>
    </w:p>
    <w:p w14:paraId="65B245EC" w14:textId="77777777" w:rsidR="000741E1" w:rsidRDefault="000741E1" w:rsidP="000741E1">
      <w:pPr>
        <w:pStyle w:val="Bullet"/>
      </w:pPr>
      <w:r>
        <w:t>the day after the Regulations are registered; and</w:t>
      </w:r>
    </w:p>
    <w:p w14:paraId="033169D9" w14:textId="1FEF7B57" w:rsidR="000741E1" w:rsidRDefault="000741E1" w:rsidP="000741E1">
      <w:pPr>
        <w:pStyle w:val="Bullet"/>
      </w:pPr>
      <w:r>
        <w:t xml:space="preserve">the day the </w:t>
      </w:r>
      <w:r w:rsidR="009D24C2" w:rsidRPr="00C57806">
        <w:t xml:space="preserve">Australia-India </w:t>
      </w:r>
      <w:r w:rsidR="009D24C2">
        <w:t>Economic Cooperation and Trade Agreement (AI-</w:t>
      </w:r>
      <w:r w:rsidR="005E2102">
        <w:t> </w:t>
      </w:r>
      <w:r w:rsidR="009D24C2">
        <w:t xml:space="preserve">ECTA) </w:t>
      </w:r>
      <w:r>
        <w:t>enters into force for Australia.</w:t>
      </w:r>
    </w:p>
    <w:p w14:paraId="19B65EA9" w14:textId="6D074C77" w:rsidR="000741E1" w:rsidRDefault="000741E1" w:rsidP="000741E1">
      <w:pPr>
        <w:spacing w:before="240"/>
        <w:ind w:right="91"/>
      </w:pPr>
      <w:r>
        <w:t xml:space="preserve">However, the Regulations do not commence at all if the </w:t>
      </w:r>
      <w:r w:rsidR="009D24C2">
        <w:t xml:space="preserve">AI-ECTA </w:t>
      </w:r>
      <w:r>
        <w:t>does not enter into force.</w:t>
      </w:r>
    </w:p>
    <w:p w14:paraId="045A2F0D" w14:textId="669824C6" w:rsidR="000741E1" w:rsidRDefault="000741E1" w:rsidP="000741E1">
      <w:pPr>
        <w:spacing w:before="240"/>
        <w:ind w:right="91"/>
      </w:pPr>
      <w:r>
        <w:t>The Minister must announce, by notifiable instrument, the day the</w:t>
      </w:r>
      <w:r w:rsidR="009D24C2">
        <w:t xml:space="preserve"> AI-ECTA</w:t>
      </w:r>
      <w:r>
        <w:t xml:space="preserve"> enters into force for Australia.</w:t>
      </w:r>
    </w:p>
    <w:p w14:paraId="11B35522" w14:textId="77777777" w:rsidR="00EA4DD8" w:rsidRDefault="00EA4DD8" w:rsidP="00EA4DD8">
      <w:pPr>
        <w:spacing w:before="240"/>
        <w:ind w:right="91"/>
        <w:rPr>
          <w:u w:val="single"/>
        </w:rPr>
      </w:pPr>
      <w:r>
        <w:rPr>
          <w:u w:val="single"/>
        </w:rPr>
        <w:t>Section 3 – Authority</w:t>
      </w:r>
    </w:p>
    <w:p w14:paraId="27D5B1D9" w14:textId="0D8D5086" w:rsidR="00EA4DD8" w:rsidRDefault="00EA4DD8" w:rsidP="00EA4DD8">
      <w:pPr>
        <w:spacing w:before="240"/>
        <w:ind w:right="91"/>
      </w:pPr>
      <w:r>
        <w:t xml:space="preserve">The Regulations are made under the </w:t>
      </w:r>
      <w:r w:rsidR="00C615FA" w:rsidRPr="00C615FA">
        <w:rPr>
          <w:i/>
          <w:iCs/>
        </w:rPr>
        <w:t>Foreign Acquisitions and Takeovers Act 1975</w:t>
      </w:r>
      <w:r>
        <w:t xml:space="preserve"> (the Act).</w:t>
      </w:r>
    </w:p>
    <w:p w14:paraId="4C14AA06" w14:textId="1ECCC400" w:rsidR="00EA4DD8" w:rsidRDefault="00EA4DD8" w:rsidP="00EA4DD8">
      <w:pPr>
        <w:spacing w:before="240"/>
        <w:ind w:right="91"/>
        <w:rPr>
          <w:u w:val="single"/>
        </w:rPr>
      </w:pPr>
      <w:r>
        <w:rPr>
          <w:u w:val="single"/>
        </w:rPr>
        <w:t>Section 4 – Schedule</w:t>
      </w:r>
    </w:p>
    <w:p w14:paraId="4FCB7A00" w14:textId="4F7A8B3E" w:rsidR="00EA4DD8" w:rsidRDefault="00EA4DD8" w:rsidP="00EA4DD8">
      <w:pPr>
        <w:spacing w:before="240" w:after="200"/>
        <w:ind w:right="91"/>
        <w:rPr>
          <w:u w:val="single"/>
        </w:rPr>
      </w:pPr>
      <w:r>
        <w:t>This section provides that each instrument that is specified in the Schedule to th</w:t>
      </w:r>
      <w:r w:rsidR="002023B1">
        <w:t>e</w:t>
      </w:r>
      <w:r>
        <w:t xml:space="preserve"> instrument will be amended or repealed as set out in the applicable items in the Schedule, and any other item in the Schedule to th</w:t>
      </w:r>
      <w:r w:rsidR="002023B1">
        <w:t>e</w:t>
      </w:r>
      <w:r>
        <w:t xml:space="preserve"> instrument has effect according to its terms.</w:t>
      </w:r>
    </w:p>
    <w:p w14:paraId="67F42800" w14:textId="0F594463" w:rsidR="00EA4DD8" w:rsidRDefault="00EA4DD8" w:rsidP="00EC4DF9">
      <w:pPr>
        <w:ind w:right="91"/>
        <w:rPr>
          <w:u w:val="single"/>
        </w:rPr>
      </w:pPr>
      <w:r>
        <w:rPr>
          <w:u w:val="single"/>
        </w:rPr>
        <w:t>Schedule 1 – Amendments</w:t>
      </w:r>
    </w:p>
    <w:p w14:paraId="46EEF90F" w14:textId="2778F773" w:rsidR="00945346" w:rsidRDefault="00935D92" w:rsidP="00EC4DF9">
      <w:pPr>
        <w:rPr>
          <w:b/>
          <w:bCs/>
          <w:i/>
          <w:iCs/>
        </w:rPr>
      </w:pPr>
      <w:r>
        <w:rPr>
          <w:b/>
          <w:bCs/>
          <w:i/>
          <w:iCs/>
        </w:rPr>
        <w:t>Item</w:t>
      </w:r>
      <w:r w:rsidR="00EC4DF9">
        <w:rPr>
          <w:b/>
          <w:bCs/>
          <w:i/>
          <w:iCs/>
        </w:rPr>
        <w:t>s</w:t>
      </w:r>
      <w:r>
        <w:rPr>
          <w:b/>
          <w:bCs/>
          <w:i/>
          <w:iCs/>
        </w:rPr>
        <w:t xml:space="preserve"> 1 and </w:t>
      </w:r>
      <w:r w:rsidR="0046446F" w:rsidRPr="00945346">
        <w:rPr>
          <w:b/>
          <w:bCs/>
          <w:i/>
          <w:iCs/>
        </w:rPr>
        <w:t xml:space="preserve">2 </w:t>
      </w:r>
      <w:r w:rsidR="00B43FB4" w:rsidRPr="00945346">
        <w:rPr>
          <w:b/>
          <w:bCs/>
          <w:i/>
          <w:iCs/>
        </w:rPr>
        <w:t>–</w:t>
      </w:r>
      <w:r w:rsidR="00945346" w:rsidRPr="00945346">
        <w:rPr>
          <w:b/>
          <w:bCs/>
          <w:i/>
          <w:iCs/>
        </w:rPr>
        <w:t xml:space="preserve"> </w:t>
      </w:r>
      <w:r w:rsidR="00E25497">
        <w:rPr>
          <w:b/>
          <w:bCs/>
          <w:i/>
          <w:iCs/>
        </w:rPr>
        <w:t>New m</w:t>
      </w:r>
      <w:r w:rsidR="00945346" w:rsidRPr="00945346">
        <w:rPr>
          <w:b/>
          <w:bCs/>
          <w:i/>
          <w:iCs/>
        </w:rPr>
        <w:t xml:space="preserve">onetary thresholds for </w:t>
      </w:r>
      <w:r w:rsidR="0047541C">
        <w:rPr>
          <w:b/>
          <w:bCs/>
          <w:i/>
          <w:iCs/>
        </w:rPr>
        <w:t>certain entity and business</w:t>
      </w:r>
      <w:r w:rsidR="00945346" w:rsidRPr="00945346">
        <w:rPr>
          <w:b/>
          <w:bCs/>
          <w:i/>
          <w:iCs/>
        </w:rPr>
        <w:t xml:space="preserve"> investments by Indian investors</w:t>
      </w:r>
    </w:p>
    <w:p w14:paraId="631EC81C" w14:textId="23C8934D" w:rsidR="00935D92" w:rsidRPr="00EC4DF9" w:rsidRDefault="00935D92" w:rsidP="00EC4DF9">
      <w:r>
        <w:t>Item 1 is a consequential amendment</w:t>
      </w:r>
      <w:r w:rsidR="00562D16">
        <w:t xml:space="preserve"> to support the new subsections added by </w:t>
      </w:r>
      <w:r w:rsidR="00FD3BA6">
        <w:t>I</w:t>
      </w:r>
      <w:r w:rsidR="00562D16">
        <w:t>tem 2</w:t>
      </w:r>
      <w:r w:rsidR="0050224E">
        <w:t>.</w:t>
      </w:r>
    </w:p>
    <w:p w14:paraId="5916889D" w14:textId="44D32D16" w:rsidR="00764E61" w:rsidRDefault="00935D92" w:rsidP="00EC4DF9">
      <w:pPr>
        <w:spacing w:before="240"/>
        <w:ind w:right="91"/>
        <w:rPr>
          <w:color w:val="000000"/>
          <w:shd w:val="clear" w:color="auto" w:fill="FFFFFF"/>
        </w:rPr>
      </w:pPr>
      <w:r>
        <w:rPr>
          <w:iCs/>
        </w:rPr>
        <w:t xml:space="preserve">Item 2 </w:t>
      </w:r>
      <w:r w:rsidR="00945346">
        <w:rPr>
          <w:iCs/>
        </w:rPr>
        <w:t xml:space="preserve">adds </w:t>
      </w:r>
      <w:r w:rsidR="00562D16">
        <w:rPr>
          <w:iCs/>
        </w:rPr>
        <w:t xml:space="preserve">new </w:t>
      </w:r>
      <w:r w:rsidR="00945346">
        <w:rPr>
          <w:iCs/>
        </w:rPr>
        <w:t>subsections 51(2)</w:t>
      </w:r>
      <w:r w:rsidR="00D65E85">
        <w:rPr>
          <w:iCs/>
        </w:rPr>
        <w:t xml:space="preserve"> and (3)</w:t>
      </w:r>
      <w:r w:rsidR="00945346">
        <w:rPr>
          <w:iCs/>
        </w:rPr>
        <w:t xml:space="preserve"> </w:t>
      </w:r>
      <w:r w:rsidR="00945346">
        <w:rPr>
          <w:color w:val="000000"/>
          <w:shd w:val="clear" w:color="auto" w:fill="FFFFFF"/>
        </w:rPr>
        <w:t>to</w:t>
      </w:r>
      <w:r w:rsidR="006C7F5C">
        <w:rPr>
          <w:color w:val="000000"/>
          <w:shd w:val="clear" w:color="auto" w:fill="FFFFFF"/>
        </w:rPr>
        <w:t xml:space="preserve"> the </w:t>
      </w:r>
      <w:r w:rsidR="006C7F5C" w:rsidRPr="004F28B6">
        <w:rPr>
          <w:i/>
          <w:iCs/>
        </w:rPr>
        <w:t>Foreign Acquisitions and Takeovers Regulation</w:t>
      </w:r>
      <w:r w:rsidR="006C7F5C" w:rsidRPr="004F28B6">
        <w:t xml:space="preserve"> </w:t>
      </w:r>
      <w:r w:rsidR="006C7F5C" w:rsidRPr="004F28B6">
        <w:rPr>
          <w:i/>
          <w:iCs/>
        </w:rPr>
        <w:t>2015</w:t>
      </w:r>
      <w:r w:rsidR="006C7F5C">
        <w:t xml:space="preserve"> (</w:t>
      </w:r>
      <w:r w:rsidR="00A9651A">
        <w:t xml:space="preserve">the </w:t>
      </w:r>
      <w:r w:rsidR="006C7F5C">
        <w:t>Principal Regulations)</w:t>
      </w:r>
      <w:r w:rsidR="00945346">
        <w:rPr>
          <w:color w:val="000000"/>
          <w:shd w:val="clear" w:color="auto" w:fill="FFFFFF"/>
        </w:rPr>
        <w:t xml:space="preserve"> </w:t>
      </w:r>
      <w:r w:rsidR="006C7F5C">
        <w:rPr>
          <w:color w:val="000000"/>
          <w:shd w:val="clear" w:color="auto" w:fill="FFFFFF"/>
        </w:rPr>
        <w:t xml:space="preserve">to </w:t>
      </w:r>
      <w:r w:rsidR="00945346">
        <w:rPr>
          <w:color w:val="000000"/>
          <w:shd w:val="clear" w:color="auto" w:fill="FFFFFF"/>
        </w:rPr>
        <w:t>prescribe monetary thresholds for</w:t>
      </w:r>
      <w:r w:rsidR="003B062C">
        <w:rPr>
          <w:color w:val="000000"/>
          <w:shd w:val="clear" w:color="auto" w:fill="FFFFFF"/>
        </w:rPr>
        <w:t xml:space="preserve"> </w:t>
      </w:r>
      <w:r w:rsidR="00562D16">
        <w:rPr>
          <w:color w:val="000000"/>
          <w:shd w:val="clear" w:color="auto" w:fill="FFFFFF"/>
        </w:rPr>
        <w:t>certain entity and business</w:t>
      </w:r>
      <w:r w:rsidR="003B062C">
        <w:rPr>
          <w:color w:val="000000"/>
          <w:shd w:val="clear" w:color="auto" w:fill="FFFFFF"/>
        </w:rPr>
        <w:t xml:space="preserve"> investments by Indian investors (other than foreign government investors)</w:t>
      </w:r>
      <w:r w:rsidR="00764E61">
        <w:rPr>
          <w:color w:val="000000"/>
          <w:shd w:val="clear" w:color="auto" w:fill="FFFFFF"/>
        </w:rPr>
        <w:t>.</w:t>
      </w:r>
      <w:r w:rsidR="00D65E85">
        <w:rPr>
          <w:color w:val="000000"/>
          <w:shd w:val="clear" w:color="auto" w:fill="FFFFFF"/>
        </w:rPr>
        <w:t xml:space="preserve"> </w:t>
      </w:r>
    </w:p>
    <w:p w14:paraId="49D4A85D" w14:textId="49755AE9" w:rsidR="00533F00" w:rsidRPr="00255333" w:rsidRDefault="00935D92" w:rsidP="00EC4DF9">
      <w:pPr>
        <w:spacing w:before="240"/>
        <w:ind w:right="91"/>
      </w:pPr>
      <w:r>
        <w:t>Subsection</w:t>
      </w:r>
      <w:r w:rsidR="00D65E85">
        <w:t xml:space="preserve"> 51(2) </w:t>
      </w:r>
      <w:r w:rsidR="002220AC">
        <w:t xml:space="preserve">sets out </w:t>
      </w:r>
      <w:r w:rsidR="00157D9D">
        <w:t>a</w:t>
      </w:r>
      <w:r w:rsidR="002220AC">
        <w:t xml:space="preserve"> higher $500</w:t>
      </w:r>
      <w:r w:rsidR="00157D9D">
        <w:t> </w:t>
      </w:r>
      <w:r w:rsidR="002220AC">
        <w:t>million monetary threshold f</w:t>
      </w:r>
      <w:r w:rsidR="002220AC" w:rsidRPr="00862B04">
        <w:t>or</w:t>
      </w:r>
      <w:r w:rsidR="00BA3AD6" w:rsidRPr="00862B04">
        <w:t xml:space="preserve"> </w:t>
      </w:r>
      <w:r w:rsidR="00255333" w:rsidRPr="00862B04">
        <w:t xml:space="preserve">an </w:t>
      </w:r>
      <w:r w:rsidR="00BA3AD6" w:rsidRPr="00862B04">
        <w:t>enterprise or a national of India</w:t>
      </w:r>
      <w:r w:rsidR="001C314D" w:rsidRPr="00862B04">
        <w:t xml:space="preserve"> </w:t>
      </w:r>
      <w:r w:rsidR="00BA3AD6" w:rsidRPr="00862B04">
        <w:t xml:space="preserve">other than </w:t>
      </w:r>
      <w:r w:rsidR="00255333" w:rsidRPr="00862B04">
        <w:t xml:space="preserve">a </w:t>
      </w:r>
      <w:r w:rsidR="00BA3AD6" w:rsidRPr="00862B04">
        <w:t>foreign government investor (</w:t>
      </w:r>
      <w:r w:rsidR="00255333" w:rsidRPr="00862B04">
        <w:t xml:space="preserve">a </w:t>
      </w:r>
      <w:r w:rsidR="00FF252B" w:rsidRPr="00862B04">
        <w:t xml:space="preserve">private </w:t>
      </w:r>
      <w:r w:rsidR="002220AC" w:rsidRPr="00862B04">
        <w:t>Indian investor</w:t>
      </w:r>
      <w:r w:rsidR="00BA3AD6" w:rsidRPr="00862B04">
        <w:t>)</w:t>
      </w:r>
      <w:r w:rsidR="001C314D" w:rsidRPr="00862B04">
        <w:t>,</w:t>
      </w:r>
      <w:r w:rsidR="002220AC" w:rsidRPr="00862B04">
        <w:t xml:space="preserve"> proposing to acquire </w:t>
      </w:r>
      <w:r w:rsidR="00DF140F" w:rsidRPr="00862B04">
        <w:t>an</w:t>
      </w:r>
      <w:r w:rsidR="00DF140F">
        <w:t xml:space="preserve"> interest in </w:t>
      </w:r>
      <w:r w:rsidR="003B7B2F">
        <w:t xml:space="preserve">certain </w:t>
      </w:r>
      <w:r w:rsidR="002220AC">
        <w:t xml:space="preserve">entities which do not </w:t>
      </w:r>
      <w:r w:rsidR="00DB4FD8">
        <w:t xml:space="preserve">carry on </w:t>
      </w:r>
      <w:r w:rsidR="002220AC">
        <w:t xml:space="preserve">a </w:t>
      </w:r>
      <w:r w:rsidR="002220AC">
        <w:lastRenderedPageBreak/>
        <w:t>sensitive business</w:t>
      </w:r>
      <w:r w:rsidR="00772416">
        <w:t xml:space="preserve"> or hold assets of a sensitive business</w:t>
      </w:r>
      <w:r w:rsidR="002220AC">
        <w:t xml:space="preserve">. </w:t>
      </w:r>
      <w:r w:rsidR="007828F6" w:rsidRPr="00255333">
        <w:t>A</w:t>
      </w:r>
      <w:r w:rsidR="00C16DBD" w:rsidRPr="00255333">
        <w:t xml:space="preserve"> </w:t>
      </w:r>
      <w:r w:rsidR="00BA3AD6" w:rsidRPr="00255333">
        <w:t>private Indian investor</w:t>
      </w:r>
      <w:r w:rsidR="007828F6" w:rsidRPr="00255333">
        <w:t xml:space="preserve"> will be subject to the higher $500</w:t>
      </w:r>
      <w:r w:rsidR="00772416">
        <w:t> </w:t>
      </w:r>
      <w:r w:rsidR="007828F6" w:rsidRPr="00255333">
        <w:t xml:space="preserve">million threshold if </w:t>
      </w:r>
      <w:r w:rsidR="00D81D34">
        <w:t>t</w:t>
      </w:r>
      <w:r w:rsidR="00060406" w:rsidRPr="00255333">
        <w:t xml:space="preserve">he target </w:t>
      </w:r>
      <w:r w:rsidR="00060406">
        <w:t>entity</w:t>
      </w:r>
      <w:r w:rsidR="00D81D34">
        <w:t xml:space="preserve"> (defined in the Act as </w:t>
      </w:r>
      <w:r w:rsidR="00610512">
        <w:t>a corporation or unit trust)</w:t>
      </w:r>
      <w:r w:rsidR="00533F00" w:rsidRPr="00255333">
        <w:t>:</w:t>
      </w:r>
    </w:p>
    <w:p w14:paraId="67E0C81B" w14:textId="7102B5AD" w:rsidR="00533F00" w:rsidRPr="00A9651A" w:rsidRDefault="007828F6" w:rsidP="00EC73CC">
      <w:pPr>
        <w:pStyle w:val="ListParagraph"/>
        <w:numPr>
          <w:ilvl w:val="0"/>
          <w:numId w:val="11"/>
        </w:numPr>
        <w:ind w:hanging="357"/>
        <w:contextualSpacing w:val="0"/>
      </w:pPr>
      <w:r w:rsidRPr="00255333">
        <w:t xml:space="preserve">is not carrying on a sensitive business </w:t>
      </w:r>
      <w:r w:rsidR="00B01352">
        <w:t xml:space="preserve">and </w:t>
      </w:r>
      <w:r w:rsidRPr="00255333">
        <w:t xml:space="preserve">does </w:t>
      </w:r>
      <w:r w:rsidRPr="00A9651A">
        <w:t>not hold assets of a sensitive business</w:t>
      </w:r>
      <w:r w:rsidR="00533F00" w:rsidRPr="00A9651A">
        <w:t>;</w:t>
      </w:r>
    </w:p>
    <w:p w14:paraId="628533C3" w14:textId="1000A4E9" w:rsidR="00B01352" w:rsidRPr="00A9651A" w:rsidRDefault="00B01352" w:rsidP="00EC73CC">
      <w:pPr>
        <w:pStyle w:val="ListParagraph"/>
        <w:numPr>
          <w:ilvl w:val="0"/>
          <w:numId w:val="11"/>
        </w:numPr>
        <w:ind w:hanging="357"/>
        <w:contextualSpacing w:val="0"/>
      </w:pPr>
      <w:r w:rsidRPr="00A9651A">
        <w:t xml:space="preserve">does not have a subsidiary or holding entity that </w:t>
      </w:r>
      <w:r w:rsidR="0004173C" w:rsidRPr="00A9651A">
        <w:t>carries</w:t>
      </w:r>
      <w:r w:rsidRPr="00A9651A">
        <w:t xml:space="preserve"> on a sensitive business </w:t>
      </w:r>
      <w:r w:rsidR="0004173C" w:rsidRPr="00A9651A">
        <w:t xml:space="preserve">or </w:t>
      </w:r>
      <w:r w:rsidRPr="00A9651A">
        <w:t>hold</w:t>
      </w:r>
      <w:r w:rsidR="0004173C" w:rsidRPr="00A9651A">
        <w:t>s</w:t>
      </w:r>
      <w:r w:rsidRPr="00A9651A">
        <w:t xml:space="preserve"> assets of a sensitive business</w:t>
      </w:r>
      <w:r w:rsidR="004E3DC8" w:rsidRPr="00A9651A">
        <w:t>. This condition re</w:t>
      </w:r>
      <w:r w:rsidR="0004173C" w:rsidRPr="00A9651A">
        <w:t xml:space="preserve">flects the intent of </w:t>
      </w:r>
      <w:r w:rsidR="0043222B" w:rsidRPr="00A9651A">
        <w:t>paragraph (a), item 1 of section 51(1) of the Principal Regulations with amended drafting for clarity</w:t>
      </w:r>
      <w:r w:rsidRPr="00A9651A">
        <w:t xml:space="preserve">; </w:t>
      </w:r>
    </w:p>
    <w:p w14:paraId="337E7DE4" w14:textId="1AC9FB03" w:rsidR="00B27BC8" w:rsidRPr="00255333" w:rsidRDefault="00B01352" w:rsidP="00EC73CC">
      <w:pPr>
        <w:pStyle w:val="ListParagraph"/>
        <w:numPr>
          <w:ilvl w:val="0"/>
          <w:numId w:val="11"/>
        </w:numPr>
        <w:spacing w:after="0"/>
        <w:ind w:hanging="357"/>
        <w:contextualSpacing w:val="0"/>
      </w:pPr>
      <w:r>
        <w:t xml:space="preserve">is carrying on a business that </w:t>
      </w:r>
      <w:r w:rsidR="00B27BC8" w:rsidRPr="00255333">
        <w:t xml:space="preserve">supplies </w:t>
      </w:r>
      <w:r>
        <w:t xml:space="preserve">a </w:t>
      </w:r>
      <w:r w:rsidR="00B27BC8" w:rsidRPr="00255333">
        <w:t xml:space="preserve">service through a commercial presence in Australia; and </w:t>
      </w:r>
    </w:p>
    <w:p w14:paraId="4792184E" w14:textId="4D8C77B1" w:rsidR="00F538A3" w:rsidRPr="00255333" w:rsidRDefault="00F538A3" w:rsidP="00610512">
      <w:pPr>
        <w:pStyle w:val="ListParagraph"/>
        <w:numPr>
          <w:ilvl w:val="0"/>
          <w:numId w:val="11"/>
        </w:numPr>
        <w:spacing w:after="0"/>
        <w:ind w:hanging="357"/>
        <w:contextualSpacing w:val="0"/>
      </w:pPr>
      <w:r w:rsidRPr="00255333">
        <w:t>either:</w:t>
      </w:r>
    </w:p>
    <w:p w14:paraId="38F16314" w14:textId="2CB0250F" w:rsidR="00F538A3" w:rsidRPr="00255333" w:rsidRDefault="00F538A3" w:rsidP="007F16A8">
      <w:pPr>
        <w:pStyle w:val="ListParagraph"/>
        <w:numPr>
          <w:ilvl w:val="1"/>
          <w:numId w:val="12"/>
        </w:numPr>
        <w:ind w:hanging="357"/>
        <w:contextualSpacing w:val="0"/>
      </w:pPr>
      <w:r w:rsidRPr="00255333">
        <w:t xml:space="preserve">derives earnings from </w:t>
      </w:r>
      <w:r w:rsidR="00B01352">
        <w:t xml:space="preserve">carrying on that business </w:t>
      </w:r>
      <w:r w:rsidR="0029768C" w:rsidRPr="00255333">
        <w:t>and the amount of earnings</w:t>
      </w:r>
      <w:r w:rsidRPr="00255333">
        <w:t xml:space="preserve"> </w:t>
      </w:r>
      <w:r w:rsidR="00826210" w:rsidRPr="00255333">
        <w:t>before interest and tax</w:t>
      </w:r>
      <w:r w:rsidR="0029768C" w:rsidRPr="00255333">
        <w:t>,</w:t>
      </w:r>
      <w:r w:rsidR="00826210" w:rsidRPr="00255333">
        <w:t xml:space="preserve"> </w:t>
      </w:r>
      <w:r w:rsidR="0029768C" w:rsidRPr="00255333">
        <w:t xml:space="preserve">in the most recent financial year for which the financial accounts of the entity have been audited, </w:t>
      </w:r>
      <w:r w:rsidR="00B01352">
        <w:t>exceeds</w:t>
      </w:r>
      <w:r w:rsidR="00826210" w:rsidRPr="00255333">
        <w:t xml:space="preserve"> 50 per cent of </w:t>
      </w:r>
      <w:r w:rsidR="004F28B6" w:rsidRPr="00255333">
        <w:t xml:space="preserve">the amount of the </w:t>
      </w:r>
      <w:r w:rsidR="00826210" w:rsidRPr="00255333">
        <w:t>total earnings</w:t>
      </w:r>
      <w:r w:rsidR="004F28B6" w:rsidRPr="00255333">
        <w:t xml:space="preserve"> for the entity;</w:t>
      </w:r>
      <w:r w:rsidR="00513944" w:rsidRPr="00255333">
        <w:t xml:space="preserve"> or</w:t>
      </w:r>
    </w:p>
    <w:p w14:paraId="4DA6F20D" w14:textId="736C2A7D" w:rsidR="00533F00" w:rsidRPr="00255333" w:rsidRDefault="00513944" w:rsidP="007F16A8">
      <w:pPr>
        <w:pStyle w:val="ListParagraph"/>
        <w:numPr>
          <w:ilvl w:val="1"/>
          <w:numId w:val="12"/>
        </w:numPr>
        <w:ind w:hanging="357"/>
        <w:contextualSpacing w:val="0"/>
      </w:pPr>
      <w:r w:rsidRPr="00255333">
        <w:t xml:space="preserve">uses assets to </w:t>
      </w:r>
      <w:r w:rsidR="00B01352">
        <w:t xml:space="preserve">carry on that business </w:t>
      </w:r>
      <w:r w:rsidRPr="00255333">
        <w:t xml:space="preserve">and the value of those assets </w:t>
      </w:r>
      <w:r w:rsidR="000B34E5">
        <w:t xml:space="preserve">exceeds </w:t>
      </w:r>
      <w:r w:rsidRPr="00255333">
        <w:t xml:space="preserve">50 per cent of the total </w:t>
      </w:r>
      <w:r w:rsidR="004F28B6" w:rsidRPr="00255333">
        <w:t xml:space="preserve">asset </w:t>
      </w:r>
      <w:r w:rsidRPr="00255333">
        <w:t xml:space="preserve">value </w:t>
      </w:r>
      <w:r w:rsidR="000B34E5">
        <w:t xml:space="preserve">for </w:t>
      </w:r>
      <w:r w:rsidR="004F28B6" w:rsidRPr="00255333">
        <w:t>the entity</w:t>
      </w:r>
      <w:r w:rsidRPr="00255333">
        <w:t>.</w:t>
      </w:r>
    </w:p>
    <w:p w14:paraId="0B09C4E3" w14:textId="2F263080" w:rsidR="00305EC2" w:rsidRPr="006C7F5C" w:rsidRDefault="00513944" w:rsidP="005B4A36">
      <w:pPr>
        <w:spacing w:before="240"/>
        <w:ind w:right="91"/>
      </w:pPr>
      <w:r>
        <w:t xml:space="preserve">Similarly, subsection 51(3) </w:t>
      </w:r>
      <w:r w:rsidR="00305EC2">
        <w:t xml:space="preserve">sets out </w:t>
      </w:r>
      <w:r w:rsidR="004F28B6">
        <w:t>a</w:t>
      </w:r>
      <w:r w:rsidR="00305EC2">
        <w:t xml:space="preserve"> higher $500</w:t>
      </w:r>
      <w:r w:rsidR="006C7F5C">
        <w:t> </w:t>
      </w:r>
      <w:r w:rsidR="00305EC2">
        <w:t xml:space="preserve">million monetary threshold for </w:t>
      </w:r>
      <w:r w:rsidR="00134367">
        <w:t xml:space="preserve">private </w:t>
      </w:r>
      <w:r w:rsidR="00305EC2" w:rsidRPr="006C7F5C">
        <w:t xml:space="preserve">Indian investors proposing to acquire </w:t>
      </w:r>
      <w:r w:rsidR="003B7B2F" w:rsidRPr="006C7F5C">
        <w:t>an</w:t>
      </w:r>
      <w:r w:rsidR="006C7F5C">
        <w:t xml:space="preserve"> </w:t>
      </w:r>
      <w:r w:rsidR="003B7B2F" w:rsidRPr="006C7F5C">
        <w:t xml:space="preserve">interest in certain </w:t>
      </w:r>
      <w:r w:rsidR="00305EC2" w:rsidRPr="006C7F5C">
        <w:t xml:space="preserve">non-sensitive businesses. </w:t>
      </w:r>
      <w:r w:rsidR="00C16DBD" w:rsidRPr="006C7F5C">
        <w:t>A private Indian investor</w:t>
      </w:r>
      <w:r w:rsidR="00EC4DF9" w:rsidRPr="006C7F5C">
        <w:t xml:space="preserve"> will be subject to the higher $500 million threshold if all of the following </w:t>
      </w:r>
      <w:r w:rsidR="00305EC2" w:rsidRPr="006C7F5C">
        <w:t xml:space="preserve">conditions are </w:t>
      </w:r>
      <w:r w:rsidR="00EC4DF9" w:rsidRPr="006C7F5C">
        <w:t>satisfied</w:t>
      </w:r>
      <w:r w:rsidR="00305EC2" w:rsidRPr="006C7F5C">
        <w:t>:</w:t>
      </w:r>
    </w:p>
    <w:p w14:paraId="13E40CA0" w14:textId="60838D90" w:rsidR="008B34DD" w:rsidRPr="006C7F5C" w:rsidRDefault="00EC4DF9" w:rsidP="00EC73CC">
      <w:pPr>
        <w:pStyle w:val="ListParagraph"/>
        <w:numPr>
          <w:ilvl w:val="0"/>
          <w:numId w:val="11"/>
        </w:numPr>
        <w:ind w:hanging="357"/>
        <w:contextualSpacing w:val="0"/>
      </w:pPr>
      <w:r w:rsidRPr="006C7F5C">
        <w:t xml:space="preserve">the </w:t>
      </w:r>
      <w:r w:rsidR="00C16DBD" w:rsidRPr="006C7F5C">
        <w:t>target is an</w:t>
      </w:r>
      <w:r w:rsidRPr="006C7F5C">
        <w:t xml:space="preserve"> Australian business that </w:t>
      </w:r>
      <w:r w:rsidR="008B34DD" w:rsidRPr="006C7F5C">
        <w:t>is not a sensitive business;</w:t>
      </w:r>
    </w:p>
    <w:p w14:paraId="2EC50E79" w14:textId="3F143DC9" w:rsidR="008B34DD" w:rsidRPr="006C7F5C" w:rsidRDefault="00EC4DF9" w:rsidP="00EC73CC">
      <w:pPr>
        <w:pStyle w:val="ListParagraph"/>
        <w:numPr>
          <w:ilvl w:val="0"/>
          <w:numId w:val="11"/>
        </w:numPr>
        <w:ind w:hanging="357"/>
        <w:contextualSpacing w:val="0"/>
      </w:pPr>
      <w:r w:rsidRPr="006C7F5C">
        <w:t xml:space="preserve">the </w:t>
      </w:r>
      <w:r w:rsidR="006B7152">
        <w:t xml:space="preserve">Australian </w:t>
      </w:r>
      <w:r w:rsidRPr="006C7F5C">
        <w:t xml:space="preserve">business </w:t>
      </w:r>
      <w:r w:rsidR="008B34DD" w:rsidRPr="006C7F5C">
        <w:t xml:space="preserve">supplies </w:t>
      </w:r>
      <w:r w:rsidR="006B7152">
        <w:t xml:space="preserve">a </w:t>
      </w:r>
      <w:r w:rsidR="008B34DD" w:rsidRPr="006C7F5C">
        <w:t xml:space="preserve">service through a commercial presence in Australia; and </w:t>
      </w:r>
    </w:p>
    <w:p w14:paraId="58C90236" w14:textId="16B1F4FD" w:rsidR="008B34DD" w:rsidRPr="006C7F5C" w:rsidRDefault="00EC4DF9" w:rsidP="00EC73CC">
      <w:pPr>
        <w:pStyle w:val="ListParagraph"/>
        <w:numPr>
          <w:ilvl w:val="0"/>
          <w:numId w:val="11"/>
        </w:numPr>
        <w:ind w:hanging="357"/>
        <w:contextualSpacing w:val="0"/>
      </w:pPr>
      <w:r w:rsidRPr="006C7F5C">
        <w:t xml:space="preserve">the </w:t>
      </w:r>
      <w:r w:rsidR="006B7152">
        <w:t xml:space="preserve">Australian </w:t>
      </w:r>
      <w:r w:rsidRPr="006C7F5C">
        <w:t xml:space="preserve">business </w:t>
      </w:r>
      <w:r w:rsidR="008B34DD" w:rsidRPr="006C7F5C">
        <w:t xml:space="preserve">uses assets to supply </w:t>
      </w:r>
      <w:r w:rsidRPr="006C7F5C">
        <w:t xml:space="preserve">the </w:t>
      </w:r>
      <w:r w:rsidR="008B34DD" w:rsidRPr="006C7F5C">
        <w:t xml:space="preserve">service and the value of those assets </w:t>
      </w:r>
      <w:r w:rsidR="006B7152">
        <w:t>exceeds</w:t>
      </w:r>
      <w:r w:rsidRPr="006C7F5C">
        <w:t xml:space="preserve"> </w:t>
      </w:r>
      <w:r w:rsidR="008B34DD" w:rsidRPr="006C7F5C">
        <w:t>50 per cent of the</w:t>
      </w:r>
      <w:r w:rsidR="00852155" w:rsidRPr="006C7F5C">
        <w:t xml:space="preserve"> value of the total assets of the business</w:t>
      </w:r>
      <w:r w:rsidR="008B34DD" w:rsidRPr="006C7F5C">
        <w:t>.</w:t>
      </w:r>
    </w:p>
    <w:p w14:paraId="4F828D44" w14:textId="671F5D37" w:rsidR="00EC4DF9" w:rsidRDefault="00EC4DF9" w:rsidP="00EC4DF9">
      <w:pPr>
        <w:spacing w:before="240"/>
        <w:ind w:right="91"/>
      </w:pPr>
      <w:r>
        <w:t xml:space="preserve">The terms </w:t>
      </w:r>
      <w:r w:rsidR="003B7B2F">
        <w:t xml:space="preserve">‘sensitive business’, </w:t>
      </w:r>
      <w:r>
        <w:t xml:space="preserve">‘total earnings’ and ‘total asset value’ have the same meaning as defined in the Principal Regulations. </w:t>
      </w:r>
    </w:p>
    <w:p w14:paraId="23986284" w14:textId="3947E218" w:rsidR="008F2F00" w:rsidRDefault="007F49A7" w:rsidP="00EC4DF9">
      <w:pPr>
        <w:spacing w:before="240"/>
        <w:ind w:right="91"/>
      </w:pPr>
      <w:r>
        <w:t>The higher $500 million threshold does not apply to all entity or business investments by Indian investors. This is because t</w:t>
      </w:r>
      <w:r w:rsidR="008F2F00">
        <w:t>he AI-ECTA only contains investment commitments relating to trade in services. Accordingly, the higher $500</w:t>
      </w:r>
      <w:r>
        <w:t> </w:t>
      </w:r>
      <w:r w:rsidR="008F2F00">
        <w:t xml:space="preserve">million threshold for </w:t>
      </w:r>
      <w:r w:rsidR="00DB327A">
        <w:t xml:space="preserve">private </w:t>
      </w:r>
      <w:r w:rsidR="008F2F00">
        <w:t xml:space="preserve">Indian investors only applies to actions relating to entities or businesses that supply non-sensitive services through a commercial presence in Australia. </w:t>
      </w:r>
    </w:p>
    <w:p w14:paraId="691DFD42" w14:textId="5810BF97" w:rsidR="00533F00" w:rsidRDefault="00562D16" w:rsidP="00EC4DF9">
      <w:pPr>
        <w:spacing w:before="240"/>
        <w:ind w:right="91"/>
      </w:pPr>
      <w:r>
        <w:rPr>
          <w:color w:val="000000"/>
          <w:shd w:val="clear" w:color="auto" w:fill="FFFFFF"/>
        </w:rPr>
        <w:t xml:space="preserve">Item 2 also adds new subsection 51(4), which sets out definitions for key terms used in </w:t>
      </w:r>
      <w:r w:rsidR="006E0CE4">
        <w:rPr>
          <w:color w:val="000000"/>
          <w:shd w:val="clear" w:color="auto" w:fill="FFFFFF"/>
        </w:rPr>
        <w:t xml:space="preserve">new </w:t>
      </w:r>
      <w:r>
        <w:rPr>
          <w:color w:val="000000"/>
          <w:shd w:val="clear" w:color="auto" w:fill="FFFFFF"/>
        </w:rPr>
        <w:t xml:space="preserve">subsections 51(2) and (3). </w:t>
      </w:r>
      <w:r w:rsidR="0090543F">
        <w:t>S</w:t>
      </w:r>
      <w:r w:rsidR="00852155">
        <w:t xml:space="preserve">ubsection 51(4) </w:t>
      </w:r>
      <w:r w:rsidR="006E0CE4">
        <w:t xml:space="preserve">specifies that the terms </w:t>
      </w:r>
      <w:r w:rsidR="001611B9">
        <w:t xml:space="preserve">‘commercial presence’ and ‘supply of </w:t>
      </w:r>
      <w:r w:rsidR="00EF04D7">
        <w:t xml:space="preserve">a </w:t>
      </w:r>
      <w:r w:rsidR="001611B9">
        <w:t>service’</w:t>
      </w:r>
      <w:r w:rsidR="006E0CE4">
        <w:t xml:space="preserve"> ha</w:t>
      </w:r>
      <w:r w:rsidR="00BD4AC1">
        <w:t>ve</w:t>
      </w:r>
      <w:r w:rsidR="006E0CE4">
        <w:t xml:space="preserve"> the same meaning as in the </w:t>
      </w:r>
      <w:r w:rsidR="003B62E5">
        <w:t xml:space="preserve"> </w:t>
      </w:r>
      <w:r w:rsidR="006E0CE4">
        <w:t>AI-ECTA as in force from time to time</w:t>
      </w:r>
      <w:r w:rsidR="001611B9">
        <w:t xml:space="preserve">. </w:t>
      </w:r>
      <w:r w:rsidR="005C28BE" w:rsidRPr="005C28BE">
        <w:t>The AI-ECTA is</w:t>
      </w:r>
      <w:r w:rsidR="00A54DA6">
        <w:t xml:space="preserve"> the </w:t>
      </w:r>
      <w:r w:rsidR="005C28BE" w:rsidRPr="005C28BE">
        <w:t>document which captures the services investment commitments agreed by Australia.</w:t>
      </w:r>
      <w:r w:rsidR="005C28BE">
        <w:t xml:space="preserve"> The Regulations incorporate certain definitions in Chapter 8 of</w:t>
      </w:r>
      <w:r w:rsidR="00A54DA6">
        <w:t xml:space="preserve"> the AI-ECTA to </w:t>
      </w:r>
      <w:r w:rsidR="00A917A9">
        <w:t xml:space="preserve">ensure that the higher monetary thresholds are applied consistently with </w:t>
      </w:r>
      <w:r w:rsidR="00A54DA6">
        <w:t xml:space="preserve">Australia’s agreed commitments </w:t>
      </w:r>
      <w:r w:rsidR="00A917A9">
        <w:t xml:space="preserve">in </w:t>
      </w:r>
      <w:r w:rsidR="00A917A9">
        <w:lastRenderedPageBreak/>
        <w:t xml:space="preserve">the AI-ECTA. </w:t>
      </w:r>
      <w:r w:rsidR="001611B9">
        <w:t xml:space="preserve">Subsection 139(3) of the Act provides that regulations under the Act may </w:t>
      </w:r>
      <w:r w:rsidR="001611B9" w:rsidRPr="001611B9">
        <w:t>provide in relation to a matter by applying, adopting</w:t>
      </w:r>
      <w:r w:rsidR="00EB175F">
        <w:t>,</w:t>
      </w:r>
      <w:r w:rsidR="001611B9" w:rsidRPr="001611B9">
        <w:t xml:space="preserve"> or incorporating, with or without modification, any matter contained in any other instrument or other writing as in force or existing from time to time</w:t>
      </w:r>
      <w:r w:rsidR="00E34492">
        <w:t>.</w:t>
      </w:r>
      <w:r w:rsidR="006E0CE4">
        <w:t xml:space="preserve"> The </w:t>
      </w:r>
      <w:r w:rsidR="00360E0A">
        <w:t>AI-ECTA</w:t>
      </w:r>
      <w:r w:rsidR="006E0CE4">
        <w:t xml:space="preserve"> can be freely accessed on </w:t>
      </w:r>
      <w:r w:rsidR="00152D3A">
        <w:t xml:space="preserve">the </w:t>
      </w:r>
      <w:r w:rsidR="00152D3A" w:rsidRPr="00152D3A">
        <w:t>Australian Treaties Library</w:t>
      </w:r>
      <w:r w:rsidR="00152D3A">
        <w:t xml:space="preserve"> </w:t>
      </w:r>
      <w:r w:rsidR="0004173C">
        <w:t xml:space="preserve">on the AustLII </w:t>
      </w:r>
      <w:r w:rsidR="00152D3A">
        <w:t>website.</w:t>
      </w:r>
      <w:r w:rsidR="005C28BE">
        <w:rPr>
          <w:rStyle w:val="FootnoteReference"/>
        </w:rPr>
        <w:footnoteReference w:id="3"/>
      </w:r>
      <w:r w:rsidR="006E0CE4">
        <w:t xml:space="preserve"> </w:t>
      </w:r>
    </w:p>
    <w:p w14:paraId="1FEB012E" w14:textId="2513DC0E" w:rsidR="000A661E" w:rsidRDefault="000A661E" w:rsidP="003B7B2F">
      <w:pPr>
        <w:spacing w:before="240"/>
        <w:ind w:right="91"/>
        <w:rPr>
          <w:b/>
          <w:bCs/>
          <w:i/>
          <w:iCs/>
        </w:rPr>
      </w:pPr>
      <w:r w:rsidRPr="000A661E">
        <w:rPr>
          <w:b/>
          <w:bCs/>
          <w:i/>
          <w:iCs/>
        </w:rPr>
        <w:t>Item</w:t>
      </w:r>
      <w:r w:rsidR="0047541C">
        <w:rPr>
          <w:b/>
          <w:bCs/>
          <w:i/>
          <w:iCs/>
        </w:rPr>
        <w:t>s</w:t>
      </w:r>
      <w:r w:rsidRPr="000A661E">
        <w:rPr>
          <w:b/>
          <w:bCs/>
          <w:i/>
          <w:iCs/>
        </w:rPr>
        <w:t xml:space="preserve"> 3 and 4 – New monetary threshold for </w:t>
      </w:r>
      <w:r w:rsidR="003A4B91">
        <w:rPr>
          <w:b/>
          <w:bCs/>
          <w:i/>
          <w:iCs/>
        </w:rPr>
        <w:t xml:space="preserve">certain </w:t>
      </w:r>
      <w:r>
        <w:rPr>
          <w:b/>
          <w:bCs/>
          <w:i/>
          <w:iCs/>
        </w:rPr>
        <w:t xml:space="preserve">developed </w:t>
      </w:r>
      <w:r w:rsidRPr="003B7B2F">
        <w:rPr>
          <w:b/>
          <w:bCs/>
          <w:i/>
          <w:iCs/>
        </w:rPr>
        <w:t>commercial</w:t>
      </w:r>
      <w:r>
        <w:rPr>
          <w:b/>
          <w:bCs/>
          <w:i/>
          <w:iCs/>
        </w:rPr>
        <w:t xml:space="preserve"> land </w:t>
      </w:r>
      <w:r w:rsidR="003A4B91">
        <w:rPr>
          <w:b/>
          <w:bCs/>
          <w:i/>
          <w:iCs/>
        </w:rPr>
        <w:t xml:space="preserve">investments </w:t>
      </w:r>
      <w:r>
        <w:rPr>
          <w:b/>
          <w:bCs/>
          <w:i/>
          <w:iCs/>
        </w:rPr>
        <w:t>by Indian investors</w:t>
      </w:r>
    </w:p>
    <w:p w14:paraId="3EFFA3DE" w14:textId="09B0FF1B" w:rsidR="00F72A33" w:rsidRDefault="00F72A33" w:rsidP="003B7B2F">
      <w:pPr>
        <w:spacing w:before="240"/>
        <w:ind w:right="91"/>
        <w:rPr>
          <w:color w:val="000000"/>
          <w:shd w:val="clear" w:color="auto" w:fill="FFFFFF"/>
        </w:rPr>
      </w:pPr>
      <w:r>
        <w:rPr>
          <w:iCs/>
        </w:rPr>
        <w:t>Item 3 inserts a new row in the table in subsection 52(5) of the Principal Regulations</w:t>
      </w:r>
      <w:r w:rsidR="003A4B91">
        <w:rPr>
          <w:iCs/>
        </w:rPr>
        <w:t xml:space="preserve"> (item 3A)</w:t>
      </w:r>
      <w:r>
        <w:rPr>
          <w:iCs/>
        </w:rPr>
        <w:t xml:space="preserve">. </w:t>
      </w:r>
    </w:p>
    <w:p w14:paraId="592FF3D8" w14:textId="473BD9FD" w:rsidR="00613235" w:rsidRPr="00D1225B" w:rsidRDefault="003A4B91" w:rsidP="003B7B2F">
      <w:pPr>
        <w:spacing w:before="240"/>
        <w:ind w:right="91"/>
      </w:pPr>
      <w:r>
        <w:rPr>
          <w:iCs/>
        </w:rPr>
        <w:t xml:space="preserve">The new row </w:t>
      </w:r>
      <w:r w:rsidR="00613235">
        <w:t xml:space="preserve">sets out </w:t>
      </w:r>
      <w:r>
        <w:t xml:space="preserve">a </w:t>
      </w:r>
      <w:r w:rsidR="00613235">
        <w:t xml:space="preserve">higher $500 million </w:t>
      </w:r>
      <w:r w:rsidR="00613235" w:rsidRPr="003B7B2F">
        <w:rPr>
          <w:iCs/>
        </w:rPr>
        <w:t>monetary</w:t>
      </w:r>
      <w:r w:rsidR="00613235">
        <w:t xml:space="preserve"> threshold for </w:t>
      </w:r>
      <w:r w:rsidR="00EB1D81">
        <w:t xml:space="preserve">private </w:t>
      </w:r>
      <w:r w:rsidR="00613235">
        <w:t xml:space="preserve">Indian investors proposing to acquire non-sensitive developed commercial land for the purposes of providing a </w:t>
      </w:r>
      <w:r w:rsidR="00613235" w:rsidRPr="00D1225B">
        <w:t xml:space="preserve">service. </w:t>
      </w:r>
      <w:r w:rsidR="00BD4AC1" w:rsidRPr="00D1225B">
        <w:t>A private Indian investor</w:t>
      </w:r>
      <w:r w:rsidR="0045495D" w:rsidRPr="00D1225B">
        <w:t xml:space="preserve"> will be subject to the higher $500 million threshold if all of the following </w:t>
      </w:r>
      <w:r w:rsidR="00613235" w:rsidRPr="00D1225B">
        <w:t>conditions are</w:t>
      </w:r>
      <w:r w:rsidR="0045495D" w:rsidRPr="00D1225B">
        <w:t xml:space="preserve"> satisfied</w:t>
      </w:r>
      <w:r w:rsidR="00613235" w:rsidRPr="00D1225B">
        <w:t>:</w:t>
      </w:r>
    </w:p>
    <w:p w14:paraId="1085E542" w14:textId="51DB37D7" w:rsidR="008A192A" w:rsidRPr="00D1225B" w:rsidRDefault="008A192A" w:rsidP="00FF7314">
      <w:pPr>
        <w:pStyle w:val="ListParagraph"/>
        <w:numPr>
          <w:ilvl w:val="0"/>
          <w:numId w:val="11"/>
        </w:numPr>
        <w:ind w:hanging="357"/>
        <w:contextualSpacing w:val="0"/>
      </w:pPr>
      <w:r w:rsidRPr="00D1225B">
        <w:t xml:space="preserve">the land is </w:t>
      </w:r>
      <w:r w:rsidR="00D1225B" w:rsidRPr="00D1225B">
        <w:t xml:space="preserve">developed </w:t>
      </w:r>
      <w:r w:rsidRPr="00D1225B">
        <w:t>commercial land</w:t>
      </w:r>
      <w:r w:rsidR="0045495D" w:rsidRPr="00D1225B">
        <w:t xml:space="preserve"> </w:t>
      </w:r>
      <w:r w:rsidR="00D1225B" w:rsidRPr="00D1225B">
        <w:t xml:space="preserve">(land </w:t>
      </w:r>
      <w:r w:rsidR="0045495D" w:rsidRPr="00D1225B">
        <w:t>that is not vacant</w:t>
      </w:r>
      <w:r w:rsidR="00D1225B" w:rsidRPr="00D1225B">
        <w:t>)</w:t>
      </w:r>
      <w:r w:rsidRPr="00D1225B">
        <w:t>;</w:t>
      </w:r>
    </w:p>
    <w:p w14:paraId="3EF89D41" w14:textId="3AEA2557" w:rsidR="0029768C" w:rsidRPr="00D1225B" w:rsidRDefault="0029768C" w:rsidP="00FF7314">
      <w:pPr>
        <w:pStyle w:val="ListParagraph"/>
        <w:numPr>
          <w:ilvl w:val="0"/>
          <w:numId w:val="11"/>
        </w:numPr>
        <w:ind w:hanging="357"/>
        <w:contextualSpacing w:val="0"/>
      </w:pPr>
      <w:r w:rsidRPr="00D1225B">
        <w:t>the land is not covered by item 3 of the table in subsection 52(5), which relates to sensitive commercial land;</w:t>
      </w:r>
    </w:p>
    <w:p w14:paraId="456D07EC" w14:textId="66DA17D7" w:rsidR="006D6290" w:rsidRDefault="008A192A" w:rsidP="00FF7314">
      <w:pPr>
        <w:pStyle w:val="ListParagraph"/>
        <w:numPr>
          <w:ilvl w:val="0"/>
          <w:numId w:val="11"/>
        </w:numPr>
        <w:ind w:hanging="357"/>
        <w:contextualSpacing w:val="0"/>
      </w:pPr>
      <w:r w:rsidRPr="00D1225B">
        <w:t xml:space="preserve">the </w:t>
      </w:r>
      <w:r w:rsidR="00E563E4" w:rsidRPr="00D1225B">
        <w:t>acquirer</w:t>
      </w:r>
      <w:r w:rsidRPr="00D1225B">
        <w:t xml:space="preserve"> </w:t>
      </w:r>
      <w:r w:rsidR="006B7152">
        <w:t xml:space="preserve">is </w:t>
      </w:r>
      <w:r w:rsidR="003D5891">
        <w:t>a private Indian investor</w:t>
      </w:r>
      <w:r w:rsidR="00861227">
        <w:t xml:space="preserve">; and </w:t>
      </w:r>
    </w:p>
    <w:p w14:paraId="5ED525B0" w14:textId="025B8ECF" w:rsidR="00861227" w:rsidRDefault="00861227" w:rsidP="00FF7314">
      <w:pPr>
        <w:pStyle w:val="ListParagraph"/>
        <w:numPr>
          <w:ilvl w:val="0"/>
          <w:numId w:val="11"/>
        </w:numPr>
        <w:ind w:hanging="357"/>
        <w:contextualSpacing w:val="0"/>
      </w:pPr>
      <w:r>
        <w:t xml:space="preserve">a reasonable person would conclude (having regard to all the circumstances), that the </w:t>
      </w:r>
      <w:r w:rsidR="003B7BF4">
        <w:t xml:space="preserve">acquirer </w:t>
      </w:r>
      <w:r>
        <w:t xml:space="preserve">genuinely intends to use the land, as soon as practical after it is acquired and </w:t>
      </w:r>
      <w:r w:rsidR="00EF45F9">
        <w:t>while</w:t>
      </w:r>
      <w:r w:rsidR="003D5891">
        <w:t xml:space="preserve"> the </w:t>
      </w:r>
      <w:r w:rsidR="002128E8">
        <w:t>acquirer</w:t>
      </w:r>
      <w:r w:rsidR="003D5891">
        <w:t xml:space="preserve"> holds the interest in the land</w:t>
      </w:r>
      <w:r>
        <w:t xml:space="preserve">, predominantly for the supply of a service through a commercial presence in Australia. </w:t>
      </w:r>
    </w:p>
    <w:p w14:paraId="207B9BC2" w14:textId="32C6C1A3" w:rsidR="00631B04" w:rsidRDefault="00631B04" w:rsidP="00631B04">
      <w:pPr>
        <w:spacing w:before="240"/>
        <w:ind w:right="91"/>
      </w:pPr>
      <w:r>
        <w:t xml:space="preserve">The higher $500 million threshold does not apply to all commercial land investments by Indian investors. This is because the AI-ECTA only contains investment commitments relating to trade in services. Accordingly, the higher $500 million threshold for </w:t>
      </w:r>
      <w:r w:rsidR="00595024">
        <w:t xml:space="preserve">private </w:t>
      </w:r>
      <w:r>
        <w:t xml:space="preserve">Indian investors only applies to proposed </w:t>
      </w:r>
      <w:r w:rsidR="00F83DD8">
        <w:t xml:space="preserve">acquisitions of non-sensitive </w:t>
      </w:r>
      <w:r w:rsidR="00D1225B">
        <w:t xml:space="preserve">developed </w:t>
      </w:r>
      <w:r>
        <w:t xml:space="preserve">commercial land that will be used </w:t>
      </w:r>
      <w:r w:rsidR="00595024">
        <w:t xml:space="preserve">predominantly </w:t>
      </w:r>
      <w:r>
        <w:t xml:space="preserve">for the supply of </w:t>
      </w:r>
      <w:r w:rsidR="00136750">
        <w:t xml:space="preserve">a </w:t>
      </w:r>
      <w:r>
        <w:t xml:space="preserve">service through a commercial presence in Australia. </w:t>
      </w:r>
    </w:p>
    <w:p w14:paraId="23AA9E95" w14:textId="3A93A9C9" w:rsidR="00E65D71" w:rsidRDefault="001A7964" w:rsidP="00631B04">
      <w:pPr>
        <w:spacing w:before="240"/>
        <w:ind w:right="91"/>
      </w:pPr>
      <w:r w:rsidRPr="003D09C9">
        <w:t xml:space="preserve">This developed commercial land threshold is unique because it </w:t>
      </w:r>
      <w:r w:rsidR="00281FA5" w:rsidRPr="003D09C9">
        <w:t xml:space="preserve">applies to </w:t>
      </w:r>
      <w:r w:rsidRPr="003D09C9">
        <w:t>land</w:t>
      </w:r>
      <w:r w:rsidR="00CE529C" w:rsidRPr="003D09C9">
        <w:t xml:space="preserve"> </w:t>
      </w:r>
      <w:r w:rsidR="00281FA5" w:rsidRPr="003D09C9">
        <w:t xml:space="preserve">that </w:t>
      </w:r>
      <w:r w:rsidR="00CE529C" w:rsidRPr="003D09C9">
        <w:t xml:space="preserve">will be used by </w:t>
      </w:r>
      <w:r w:rsidR="00281FA5" w:rsidRPr="003D09C9">
        <w:t>an</w:t>
      </w:r>
      <w:r w:rsidR="00CE529C" w:rsidRPr="003D09C9">
        <w:t xml:space="preserve"> Indian investor </w:t>
      </w:r>
      <w:r w:rsidR="00281FA5" w:rsidRPr="003D09C9">
        <w:t xml:space="preserve">predominantly for the </w:t>
      </w:r>
      <w:r w:rsidR="00CE529C" w:rsidRPr="003D09C9">
        <w:t xml:space="preserve">supply </w:t>
      </w:r>
      <w:r w:rsidR="00281FA5" w:rsidRPr="003D09C9">
        <w:t xml:space="preserve">of </w:t>
      </w:r>
      <w:r w:rsidR="00CE529C" w:rsidRPr="003D09C9">
        <w:t>a service</w:t>
      </w:r>
      <w:r w:rsidRPr="003D09C9">
        <w:t xml:space="preserve">, whereas existing </w:t>
      </w:r>
      <w:r w:rsidR="00822374" w:rsidRPr="003D09C9">
        <w:t xml:space="preserve">thresholds in the </w:t>
      </w:r>
      <w:r w:rsidRPr="003D09C9">
        <w:t xml:space="preserve">foreign </w:t>
      </w:r>
      <w:r w:rsidR="003D09C9" w:rsidRPr="003D09C9">
        <w:t>acquisitions</w:t>
      </w:r>
      <w:r w:rsidRPr="003D09C9">
        <w:t xml:space="preserve"> framework focus on the characteristics of land</w:t>
      </w:r>
      <w:r w:rsidR="00CE529C" w:rsidRPr="003D09C9">
        <w:t xml:space="preserve"> at the time of the acquisition</w:t>
      </w:r>
      <w:r w:rsidRPr="003D09C9">
        <w:t xml:space="preserve">. </w:t>
      </w:r>
      <w:r w:rsidR="00EF45F9" w:rsidRPr="003D09C9">
        <w:t xml:space="preserve">This </w:t>
      </w:r>
      <w:r w:rsidR="00822374" w:rsidRPr="003D09C9">
        <w:t xml:space="preserve">focus on future use of the land </w:t>
      </w:r>
      <w:r w:rsidR="00EF45F9" w:rsidRPr="003D09C9">
        <w:t xml:space="preserve">is intended to prevent the </w:t>
      </w:r>
      <w:r w:rsidR="00822374" w:rsidRPr="003D09C9">
        <w:t xml:space="preserve">higher threshold from applying to an </w:t>
      </w:r>
      <w:r w:rsidR="00EF45F9" w:rsidRPr="003D09C9">
        <w:t xml:space="preserve">acquisition of </w:t>
      </w:r>
      <w:r w:rsidR="00822374" w:rsidRPr="003D09C9">
        <w:t xml:space="preserve">developed commercial </w:t>
      </w:r>
      <w:r w:rsidR="00EF45F9" w:rsidRPr="003D09C9">
        <w:t xml:space="preserve">land that </w:t>
      </w:r>
      <w:r w:rsidR="00822374" w:rsidRPr="003D09C9">
        <w:t>is</w:t>
      </w:r>
      <w:r w:rsidR="00EF45F9" w:rsidRPr="003D09C9">
        <w:t xml:space="preserve"> used </w:t>
      </w:r>
      <w:r w:rsidR="00822374" w:rsidRPr="003D09C9">
        <w:t xml:space="preserve">to provide a </w:t>
      </w:r>
      <w:r w:rsidR="00EF45F9" w:rsidRPr="003D09C9">
        <w:t xml:space="preserve">service </w:t>
      </w:r>
      <w:r w:rsidR="00A56684" w:rsidRPr="003D09C9">
        <w:t>at the time</w:t>
      </w:r>
      <w:r w:rsidR="00EF45F9" w:rsidRPr="003D09C9">
        <w:t xml:space="preserve"> </w:t>
      </w:r>
      <w:r w:rsidR="00A56684" w:rsidRPr="003D09C9">
        <w:t>of</w:t>
      </w:r>
      <w:r w:rsidR="00EF45F9" w:rsidRPr="003D09C9">
        <w:t xml:space="preserve"> the acquisition</w:t>
      </w:r>
      <w:r w:rsidR="00A56684" w:rsidRPr="003D09C9">
        <w:t>,</w:t>
      </w:r>
      <w:r w:rsidR="00EF45F9" w:rsidRPr="003D09C9">
        <w:t xml:space="preserve"> but </w:t>
      </w:r>
      <w:r w:rsidR="00822374" w:rsidRPr="003D09C9">
        <w:t xml:space="preserve">is </w:t>
      </w:r>
      <w:r w:rsidR="00A56684" w:rsidRPr="003D09C9">
        <w:t xml:space="preserve">subsequently </w:t>
      </w:r>
      <w:r w:rsidR="00822374" w:rsidRPr="003D09C9">
        <w:t>not used by the Indian investor to provide a service</w:t>
      </w:r>
      <w:r w:rsidR="00EF45F9" w:rsidRPr="003D09C9">
        <w:t xml:space="preserve"> </w:t>
      </w:r>
      <w:r w:rsidR="00A56684" w:rsidRPr="003D09C9">
        <w:t>after</w:t>
      </w:r>
      <w:r w:rsidR="00EF45F9" w:rsidRPr="003D09C9">
        <w:t xml:space="preserve"> the acquisition. </w:t>
      </w:r>
      <w:r w:rsidR="002C5EF5" w:rsidRPr="003D09C9">
        <w:t>This reflects the intent of the AI-ECTA which is to encourage services investment in Australia.</w:t>
      </w:r>
    </w:p>
    <w:p w14:paraId="2E8EE535" w14:textId="504F350A" w:rsidR="00A876C1" w:rsidRDefault="00381A07" w:rsidP="00631B04">
      <w:pPr>
        <w:spacing w:before="240"/>
        <w:ind w:right="91"/>
      </w:pPr>
      <w:r>
        <w:t>Subsection 52(5)</w:t>
      </w:r>
      <w:r w:rsidR="003B45C1" w:rsidRPr="00A876C1">
        <w:t xml:space="preserve"> include</w:t>
      </w:r>
      <w:r>
        <w:t>s</w:t>
      </w:r>
      <w:r w:rsidR="003B45C1" w:rsidRPr="00A876C1">
        <w:t xml:space="preserve"> a </w:t>
      </w:r>
      <w:r w:rsidR="00A876C1" w:rsidRPr="00A876C1">
        <w:t>condition</w:t>
      </w:r>
      <w:r w:rsidR="003B45C1" w:rsidRPr="00A876C1">
        <w:t xml:space="preserve"> that the </w:t>
      </w:r>
      <w:r w:rsidR="00082BDA">
        <w:t xml:space="preserve">private </w:t>
      </w:r>
      <w:r w:rsidR="003B45C1" w:rsidRPr="00A876C1">
        <w:t xml:space="preserve">Indian </w:t>
      </w:r>
      <w:r w:rsidR="00A876C1" w:rsidRPr="00A876C1">
        <w:t>investor</w:t>
      </w:r>
      <w:r w:rsidR="003B45C1" w:rsidRPr="00A876C1">
        <w:t xml:space="preserve"> must </w:t>
      </w:r>
      <w:r w:rsidR="00082BDA">
        <w:t xml:space="preserve">genuinely intend to use the land, as soon as practical after it is acquired and </w:t>
      </w:r>
      <w:r w:rsidR="00AB3A34">
        <w:t>while</w:t>
      </w:r>
      <w:r w:rsidR="00082BDA">
        <w:t xml:space="preserve"> the </w:t>
      </w:r>
      <w:r w:rsidR="00FB39C0">
        <w:t xml:space="preserve">interest in the </w:t>
      </w:r>
      <w:r w:rsidR="00082BDA">
        <w:t xml:space="preserve">land is held, predominantly for the supply of a service. This intent is determined </w:t>
      </w:r>
      <w:r w:rsidR="00082BDA">
        <w:lastRenderedPageBreak/>
        <w:t>by what a reasonable person would conclude having regard to all the circumstances. This is an objective test</w:t>
      </w:r>
      <w:r w:rsidR="00BD5B4C">
        <w:t xml:space="preserve"> </w:t>
      </w:r>
      <w:r w:rsidR="001427B5">
        <w:t xml:space="preserve">assessing how </w:t>
      </w:r>
      <w:r w:rsidR="00BD5B4C">
        <w:t>the Indian investor</w:t>
      </w:r>
      <w:r w:rsidR="001427B5">
        <w:t xml:space="preserve"> </w:t>
      </w:r>
      <w:r w:rsidR="00BD5B4C">
        <w:t>inten</w:t>
      </w:r>
      <w:r w:rsidR="001427B5">
        <w:t xml:space="preserve">ds to use the developed commercial land </w:t>
      </w:r>
      <w:r w:rsidR="00BD5B4C">
        <w:t xml:space="preserve">at the time </w:t>
      </w:r>
      <w:r w:rsidR="001427B5">
        <w:t>of acquisition</w:t>
      </w:r>
      <w:r w:rsidR="00082BDA">
        <w:t>.</w:t>
      </w:r>
      <w:r w:rsidR="001427B5">
        <w:t xml:space="preserve"> </w:t>
      </w:r>
      <w:r w:rsidR="003B45C1" w:rsidRPr="00A876C1">
        <w:t xml:space="preserve">This </w:t>
      </w:r>
      <w:r w:rsidR="00A876C1" w:rsidRPr="00A876C1">
        <w:t>condition</w:t>
      </w:r>
      <w:r w:rsidR="003B45C1" w:rsidRPr="00A876C1">
        <w:t xml:space="preserve"> has been included for </w:t>
      </w:r>
      <w:r w:rsidR="00B30717">
        <w:t xml:space="preserve">developed </w:t>
      </w:r>
      <w:r w:rsidR="003B45C1" w:rsidRPr="00A876C1">
        <w:t xml:space="preserve">commercial land acquisitions to protect the integrity of the framework, and to ensure that only actions related to the supply of services are subject to the higher monetary threshold. </w:t>
      </w:r>
    </w:p>
    <w:p w14:paraId="7D0D8759" w14:textId="1C2EFB5B" w:rsidR="0090543F" w:rsidRDefault="00C2085C" w:rsidP="003B7B2F">
      <w:pPr>
        <w:spacing w:before="240"/>
        <w:ind w:right="91"/>
      </w:pPr>
      <w:r>
        <w:rPr>
          <w:color w:val="000000"/>
          <w:shd w:val="clear" w:color="auto" w:fill="FFFFFF"/>
        </w:rPr>
        <w:t xml:space="preserve">Similar to Item 2 above, </w:t>
      </w:r>
      <w:r w:rsidR="00777DE5">
        <w:rPr>
          <w:color w:val="000000"/>
          <w:shd w:val="clear" w:color="auto" w:fill="FFFFFF"/>
        </w:rPr>
        <w:t>I</w:t>
      </w:r>
      <w:r w:rsidR="003A4B91">
        <w:rPr>
          <w:color w:val="000000"/>
          <w:shd w:val="clear" w:color="auto" w:fill="FFFFFF"/>
        </w:rPr>
        <w:t xml:space="preserve">tem 4 adds </w:t>
      </w:r>
      <w:r w:rsidR="00F83DD8">
        <w:rPr>
          <w:color w:val="000000"/>
          <w:shd w:val="clear" w:color="auto" w:fill="FFFFFF"/>
        </w:rPr>
        <w:t xml:space="preserve">new </w:t>
      </w:r>
      <w:r w:rsidR="003A4B91">
        <w:rPr>
          <w:color w:val="000000"/>
          <w:shd w:val="clear" w:color="auto" w:fill="FFFFFF"/>
        </w:rPr>
        <w:t>subsection 52(</w:t>
      </w:r>
      <w:r w:rsidR="00A67890">
        <w:rPr>
          <w:color w:val="000000"/>
          <w:shd w:val="clear" w:color="auto" w:fill="FFFFFF"/>
        </w:rPr>
        <w:t>8</w:t>
      </w:r>
      <w:r w:rsidR="003A4B91">
        <w:rPr>
          <w:color w:val="000000"/>
          <w:shd w:val="clear" w:color="auto" w:fill="FFFFFF"/>
        </w:rPr>
        <w:t>)</w:t>
      </w:r>
      <w:r w:rsidR="00F83DD8">
        <w:rPr>
          <w:color w:val="000000"/>
          <w:shd w:val="clear" w:color="auto" w:fill="FFFFFF"/>
        </w:rPr>
        <w:t xml:space="preserve"> to the Principal Regulations</w:t>
      </w:r>
      <w:r w:rsidR="003A4B91">
        <w:rPr>
          <w:color w:val="000000"/>
          <w:shd w:val="clear" w:color="auto" w:fill="FFFFFF"/>
        </w:rPr>
        <w:t xml:space="preserve">, which sets out definitions for key terms used in </w:t>
      </w:r>
      <w:r w:rsidR="00F83DD8">
        <w:rPr>
          <w:color w:val="000000"/>
          <w:shd w:val="clear" w:color="auto" w:fill="FFFFFF"/>
        </w:rPr>
        <w:t>new i</w:t>
      </w:r>
      <w:r w:rsidR="003A4B91">
        <w:rPr>
          <w:iCs/>
        </w:rPr>
        <w:t xml:space="preserve">tem 3A of the </w:t>
      </w:r>
      <w:r w:rsidR="00F83DD8">
        <w:rPr>
          <w:iCs/>
        </w:rPr>
        <w:t xml:space="preserve">table in </w:t>
      </w:r>
      <w:r w:rsidR="003A4B91">
        <w:rPr>
          <w:iCs/>
        </w:rPr>
        <w:t>subsection 52(5)</w:t>
      </w:r>
      <w:r w:rsidR="003A4B91">
        <w:rPr>
          <w:color w:val="000000"/>
          <w:shd w:val="clear" w:color="auto" w:fill="FFFFFF"/>
        </w:rPr>
        <w:t xml:space="preserve">. </w:t>
      </w:r>
      <w:r w:rsidR="00980164">
        <w:t>S</w:t>
      </w:r>
      <w:r w:rsidR="0090543F">
        <w:t xml:space="preserve">ubsection </w:t>
      </w:r>
      <w:r w:rsidR="00980164">
        <w:t>52(</w:t>
      </w:r>
      <w:r w:rsidR="00A67890">
        <w:t>8</w:t>
      </w:r>
      <w:r w:rsidR="00980164">
        <w:t xml:space="preserve">) </w:t>
      </w:r>
      <w:r w:rsidR="00F83DD8">
        <w:t xml:space="preserve">specifies that the terms </w:t>
      </w:r>
      <w:r w:rsidR="0090543F">
        <w:t xml:space="preserve">‘commercial presence’ and ‘supply of </w:t>
      </w:r>
      <w:r w:rsidR="00EF04D7">
        <w:t xml:space="preserve">a </w:t>
      </w:r>
      <w:r w:rsidR="0090543F">
        <w:t>service’</w:t>
      </w:r>
      <w:r w:rsidR="00F83DD8">
        <w:t xml:space="preserve"> ha</w:t>
      </w:r>
      <w:r w:rsidR="00EF04D7">
        <w:t>ve</w:t>
      </w:r>
      <w:r w:rsidR="00F83DD8">
        <w:t xml:space="preserve"> the same meaning as in the AI-</w:t>
      </w:r>
      <w:r>
        <w:t> </w:t>
      </w:r>
      <w:r w:rsidR="00F83DD8">
        <w:t>ECTA as in force from time to time</w:t>
      </w:r>
      <w:r w:rsidR="0090543F">
        <w:t xml:space="preserve">. </w:t>
      </w:r>
      <w:r w:rsidRPr="005C28BE">
        <w:t xml:space="preserve">The </w:t>
      </w:r>
      <w:r w:rsidR="00360E0A">
        <w:t>AI-ECTA</w:t>
      </w:r>
      <w:r w:rsidRPr="005C28BE">
        <w:t xml:space="preserve"> is</w:t>
      </w:r>
      <w:r w:rsidR="00F83DD8">
        <w:t xml:space="preserve"> the </w:t>
      </w:r>
      <w:r w:rsidRPr="005C28BE">
        <w:t>document which captures the services investment commitments agreed by Australia.</w:t>
      </w:r>
      <w:r>
        <w:t xml:space="preserve"> The Regulations incorporate certain definitions</w:t>
      </w:r>
      <w:r w:rsidR="00F83DD8">
        <w:t xml:space="preserve"> in </w:t>
      </w:r>
      <w:r>
        <w:t xml:space="preserve">Chapter 8 of the </w:t>
      </w:r>
      <w:r w:rsidR="00360E0A">
        <w:t>AI-ECTA</w:t>
      </w:r>
      <w:r w:rsidR="00F83DD8">
        <w:t xml:space="preserve"> to ensure that the higher monetary </w:t>
      </w:r>
      <w:r>
        <w:t>threshold is</w:t>
      </w:r>
      <w:r w:rsidR="00F83DD8">
        <w:t xml:space="preserve"> applied consistently with Australia’s agreed commitments in the AI-ECTA. S</w:t>
      </w:r>
      <w:r w:rsidR="0090543F">
        <w:t xml:space="preserve">ubsection 139(3) of the Act provides that regulations under the Act may </w:t>
      </w:r>
      <w:r w:rsidR="0090543F" w:rsidRPr="001611B9">
        <w:t>provide in relation to a matter by applying, adopting</w:t>
      </w:r>
      <w:r w:rsidR="0090543F">
        <w:t>,</w:t>
      </w:r>
      <w:r w:rsidR="0090543F" w:rsidRPr="001611B9">
        <w:t xml:space="preserve"> or incorporating, with or without modification, any matter contained in any other instrument or other writing as in force or existing from time to time</w:t>
      </w:r>
      <w:r w:rsidR="0090543F">
        <w:t>.</w:t>
      </w:r>
      <w:r w:rsidR="00F83DD8">
        <w:t xml:space="preserve"> The </w:t>
      </w:r>
      <w:r w:rsidR="00360E0A">
        <w:t>AI-ECTA</w:t>
      </w:r>
      <w:r w:rsidR="00F83DD8">
        <w:t xml:space="preserve"> can be freely accessed on </w:t>
      </w:r>
      <w:r w:rsidR="00152D3A">
        <w:t xml:space="preserve">the Australian Treaties Library </w:t>
      </w:r>
      <w:r w:rsidR="00B11F61">
        <w:t xml:space="preserve">on the AustLII </w:t>
      </w:r>
      <w:r w:rsidR="00152D3A">
        <w:t>website.</w:t>
      </w:r>
      <w:r>
        <w:rPr>
          <w:rStyle w:val="FootnoteReference"/>
        </w:rPr>
        <w:footnoteReference w:id="4"/>
      </w:r>
    </w:p>
    <w:p w14:paraId="58E97DA4" w14:textId="0EEBF7CE" w:rsidR="008A192A" w:rsidRPr="00D049A5" w:rsidRDefault="00D049A5" w:rsidP="003B7B2F">
      <w:pPr>
        <w:spacing w:before="240"/>
        <w:ind w:right="91"/>
        <w:rPr>
          <w:b/>
          <w:i/>
        </w:rPr>
      </w:pPr>
      <w:r w:rsidRPr="00D049A5">
        <w:rPr>
          <w:b/>
          <w:bCs/>
          <w:i/>
          <w:iCs/>
        </w:rPr>
        <w:t xml:space="preserve">Item </w:t>
      </w:r>
      <w:r w:rsidR="000A6DA4">
        <w:rPr>
          <w:b/>
          <w:bCs/>
          <w:i/>
          <w:iCs/>
        </w:rPr>
        <w:t>5</w:t>
      </w:r>
      <w:r w:rsidRPr="00D049A5">
        <w:rPr>
          <w:b/>
          <w:bCs/>
          <w:i/>
          <w:iCs/>
        </w:rPr>
        <w:t xml:space="preserve"> – </w:t>
      </w:r>
      <w:r w:rsidR="007A1919">
        <w:rPr>
          <w:b/>
          <w:bCs/>
          <w:i/>
          <w:iCs/>
        </w:rPr>
        <w:t>Application provision</w:t>
      </w:r>
    </w:p>
    <w:p w14:paraId="520F456B" w14:textId="373E8FEE" w:rsidR="00D049A5" w:rsidRPr="000934E7" w:rsidRDefault="00D049A5" w:rsidP="003B7B2F">
      <w:pPr>
        <w:spacing w:before="240"/>
        <w:ind w:right="91"/>
      </w:pPr>
      <w:r>
        <w:t xml:space="preserve">Item </w:t>
      </w:r>
      <w:r w:rsidR="000A6DA4">
        <w:t>5</w:t>
      </w:r>
      <w:r>
        <w:t xml:space="preserve"> inserts </w:t>
      </w:r>
      <w:r w:rsidR="00AF1F69">
        <w:t xml:space="preserve">a </w:t>
      </w:r>
      <w:r>
        <w:t xml:space="preserve">new provision in Part 7 of the </w:t>
      </w:r>
      <w:r w:rsidRPr="00D049A5">
        <w:rPr>
          <w:color w:val="000000"/>
          <w:shd w:val="clear" w:color="auto" w:fill="FFFFFF"/>
        </w:rPr>
        <w:t>Principal Regulations</w:t>
      </w:r>
      <w:r>
        <w:t xml:space="preserve"> to provide that the amendments made by the Regulations apply in relation to an action taken on or after the commencement of the Regulations. </w:t>
      </w:r>
    </w:p>
    <w:p w14:paraId="11E708A6" w14:textId="3646FD18" w:rsidR="007A55A7" w:rsidRDefault="007A55A7" w:rsidP="00013390">
      <w:pPr>
        <w:pageBreakBefore/>
        <w:spacing w:before="240"/>
        <w:jc w:val="right"/>
        <w:rPr>
          <w:b/>
          <w:u w:val="single"/>
        </w:rPr>
      </w:pPr>
      <w:r w:rsidRPr="00D1225B">
        <w:rPr>
          <w:b/>
          <w:u w:val="single"/>
        </w:rPr>
        <w:lastRenderedPageBreak/>
        <w:t xml:space="preserve">ATTACHMENT </w:t>
      </w:r>
      <w:r w:rsidR="00C615FA" w:rsidRPr="00D1225B">
        <w:rPr>
          <w:b/>
          <w:u w:val="single"/>
        </w:rPr>
        <w:t>B</w:t>
      </w:r>
    </w:p>
    <w:p w14:paraId="67437A34" w14:textId="77777777" w:rsidR="00E4438C" w:rsidRPr="00462095" w:rsidRDefault="00E4438C" w:rsidP="003E1CE3">
      <w:pPr>
        <w:pStyle w:val="Heading3"/>
      </w:pPr>
      <w:r w:rsidRPr="00462095">
        <w:t>Statement of Compatibility with Human Rights</w:t>
      </w:r>
    </w:p>
    <w:p w14:paraId="22B41C0C" w14:textId="5647023B" w:rsidR="00E4438C" w:rsidRPr="00647BB7" w:rsidRDefault="00E4438C" w:rsidP="00AC1D15">
      <w:pPr>
        <w:spacing w:before="240"/>
        <w:jc w:val="center"/>
        <w:rPr>
          <w:i/>
        </w:rPr>
      </w:pPr>
      <w:r w:rsidRPr="00647BB7">
        <w:rPr>
          <w:i/>
        </w:rPr>
        <w:t>Prepared in accordance with Part 3 of the Human Rights (Parliamentary Scrutiny) Act 2011</w:t>
      </w:r>
    </w:p>
    <w:p w14:paraId="51317CD8" w14:textId="77777777" w:rsidR="00D049A5" w:rsidRPr="00503E44" w:rsidRDefault="00D049A5" w:rsidP="00D049A5">
      <w:pPr>
        <w:tabs>
          <w:tab w:val="left" w:pos="1418"/>
        </w:tabs>
        <w:spacing w:before="0" w:after="240"/>
        <w:jc w:val="center"/>
        <w:rPr>
          <w:i/>
        </w:rPr>
      </w:pPr>
      <w:r w:rsidRPr="004A2EE6">
        <w:rPr>
          <w:i/>
        </w:rPr>
        <w:t>Foreign Acquisitions and Takeovers Amendment (</w:t>
      </w:r>
      <w:r>
        <w:rPr>
          <w:i/>
        </w:rPr>
        <w:t>India</w:t>
      </w:r>
      <w:r w:rsidRPr="004A2EE6">
        <w:rPr>
          <w:i/>
        </w:rPr>
        <w:t xml:space="preserve"> Free Trade Agreement) Regulations 2022</w:t>
      </w:r>
    </w:p>
    <w:p w14:paraId="33C85240"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7082A4F" w14:textId="77777777" w:rsidR="00E4438C" w:rsidRPr="00647BB7" w:rsidRDefault="00E4438C" w:rsidP="003E1CE3">
      <w:pPr>
        <w:pStyle w:val="Heading3"/>
      </w:pPr>
      <w:r w:rsidRPr="00647BB7">
        <w:t>Overview of the Legislative Instrument</w:t>
      </w:r>
    </w:p>
    <w:p w14:paraId="5FE21CE2" w14:textId="219CC8C5" w:rsidR="00C6252A" w:rsidRDefault="00C6252A" w:rsidP="00C6252A">
      <w:pPr>
        <w:spacing w:before="240"/>
        <w:rPr>
          <w:color w:val="000000"/>
          <w:shd w:val="clear" w:color="auto" w:fill="FFFFFF"/>
        </w:rPr>
      </w:pPr>
      <w:r>
        <w:rPr>
          <w:color w:val="000000"/>
          <w:shd w:val="clear" w:color="auto" w:fill="FFFFFF"/>
        </w:rPr>
        <w:t xml:space="preserve">The purpose of the </w:t>
      </w:r>
      <w:r w:rsidRPr="001A45E0">
        <w:rPr>
          <w:i/>
          <w:iCs/>
          <w:color w:val="000000"/>
          <w:shd w:val="clear" w:color="auto" w:fill="FFFFFF"/>
        </w:rPr>
        <w:t>Foreign Acquisitions and Takeovers Amendment (India Free Trade Agreement) Regulations 2022</w:t>
      </w:r>
      <w:r>
        <w:rPr>
          <w:i/>
          <w:iCs/>
          <w:color w:val="000000"/>
          <w:shd w:val="clear" w:color="auto" w:fill="FFFFFF"/>
        </w:rPr>
        <w:t xml:space="preserve"> </w:t>
      </w:r>
      <w:r>
        <w:rPr>
          <w:color w:val="000000"/>
          <w:shd w:val="clear" w:color="auto" w:fill="FFFFFF"/>
        </w:rPr>
        <w:t xml:space="preserve">(the Regulations) is to amend the </w:t>
      </w:r>
      <w:r>
        <w:rPr>
          <w:i/>
          <w:iCs/>
          <w:color w:val="000000"/>
          <w:shd w:val="clear" w:color="auto" w:fill="FFFFFF"/>
        </w:rPr>
        <w:t xml:space="preserve">Foreign Acquisitions and Takeovers Regulation 2015 </w:t>
      </w:r>
      <w:r>
        <w:rPr>
          <w:color w:val="000000"/>
          <w:shd w:val="clear" w:color="auto" w:fill="FFFFFF"/>
        </w:rPr>
        <w:t xml:space="preserve">(the Principal Regulations) to give effect to Australia’s obligations under the </w:t>
      </w:r>
      <w:r w:rsidRPr="00C57806">
        <w:t xml:space="preserve">Australia-India </w:t>
      </w:r>
      <w:r>
        <w:t>Economic Cooperation and Trade Agreement (</w:t>
      </w:r>
      <w:r w:rsidRPr="00B72808">
        <w:t>AI</w:t>
      </w:r>
      <w:r>
        <w:t>-</w:t>
      </w:r>
      <w:r w:rsidRPr="00B72808">
        <w:t>ECTA</w:t>
      </w:r>
      <w:r>
        <w:t>)</w:t>
      </w:r>
      <w:r w:rsidR="00463380">
        <w:t xml:space="preserve">, which was signed </w:t>
      </w:r>
      <w:r>
        <w:rPr>
          <w:color w:val="000000"/>
          <w:shd w:val="clear" w:color="auto" w:fill="FFFFFF"/>
        </w:rPr>
        <w:t>on 2 April 2022.</w:t>
      </w:r>
    </w:p>
    <w:p w14:paraId="73FE683E" w14:textId="1785EBB3" w:rsidR="00630908" w:rsidRDefault="00C6252A" w:rsidP="00C6252A">
      <w:pPr>
        <w:spacing w:before="240"/>
      </w:pPr>
      <w:r>
        <w:t xml:space="preserve">The Regulations form part of the steps Australia must take to implement the </w:t>
      </w:r>
      <w:r w:rsidR="003B62E5">
        <w:br/>
      </w:r>
      <w:r w:rsidR="00360E0A">
        <w:t>AI-ECTA</w:t>
      </w:r>
      <w:r>
        <w:t>. The Regulations alter certain threshold values (monetary amounts) in the Principal</w:t>
      </w:r>
      <w:r w:rsidR="00981FFA">
        <w:t xml:space="preserve"> </w:t>
      </w:r>
      <w:r>
        <w:t xml:space="preserve">Regulations that apply when determining whether certain services investments by Indian investors (other than foreign government investors) are subject to </w:t>
      </w:r>
      <w:r w:rsidR="00EF45F9">
        <w:t xml:space="preserve">screening under </w:t>
      </w:r>
      <w:r w:rsidR="006924B2">
        <w:t xml:space="preserve">the national interest test in </w:t>
      </w:r>
      <w:r>
        <w:t>Australia’s foreign investment framework.</w:t>
      </w:r>
      <w:r w:rsidR="00450B0F">
        <w:t xml:space="preserve"> </w:t>
      </w:r>
    </w:p>
    <w:p w14:paraId="11D4B9AC" w14:textId="13CA67E9" w:rsidR="007F7E8E" w:rsidRDefault="00C6252A" w:rsidP="007F7E8E">
      <w:pPr>
        <w:spacing w:before="240"/>
        <w:rPr>
          <w:shd w:val="clear" w:color="auto" w:fill="FFFFFF"/>
        </w:rPr>
      </w:pPr>
      <w:r>
        <w:t xml:space="preserve">The Regulations increase the threshold </w:t>
      </w:r>
      <w:r>
        <w:rPr>
          <w:shd w:val="clear" w:color="auto" w:fill="FFFFFF"/>
        </w:rPr>
        <w:t xml:space="preserve">from $289 million to $500 million (indexed) for </w:t>
      </w:r>
      <w:r w:rsidR="00630908">
        <w:rPr>
          <w:shd w:val="clear" w:color="auto" w:fill="FFFFFF"/>
        </w:rPr>
        <w:t xml:space="preserve">certain </w:t>
      </w:r>
      <w:r>
        <w:rPr>
          <w:shd w:val="clear" w:color="auto" w:fill="FFFFFF"/>
        </w:rPr>
        <w:t xml:space="preserve">actions </w:t>
      </w:r>
      <w:r w:rsidR="00630908">
        <w:rPr>
          <w:shd w:val="clear" w:color="auto" w:fill="FFFFFF"/>
        </w:rPr>
        <w:t xml:space="preserve">by </w:t>
      </w:r>
      <w:r w:rsidR="00FB0661">
        <w:rPr>
          <w:shd w:val="clear" w:color="auto" w:fill="FFFFFF"/>
        </w:rPr>
        <w:t xml:space="preserve">private </w:t>
      </w:r>
      <w:r w:rsidR="00630908">
        <w:rPr>
          <w:shd w:val="clear" w:color="auto" w:fill="FFFFFF"/>
        </w:rPr>
        <w:t xml:space="preserve">Indian investors </w:t>
      </w:r>
      <w:r>
        <w:rPr>
          <w:shd w:val="clear" w:color="auto" w:fill="FFFFFF"/>
        </w:rPr>
        <w:t xml:space="preserve">in relation to </w:t>
      </w:r>
      <w:r w:rsidR="00630908">
        <w:rPr>
          <w:shd w:val="clear" w:color="auto" w:fill="FFFFFF"/>
        </w:rPr>
        <w:t xml:space="preserve">services </w:t>
      </w:r>
      <w:r>
        <w:rPr>
          <w:shd w:val="clear" w:color="auto" w:fill="FFFFFF"/>
        </w:rPr>
        <w:t>investments in</w:t>
      </w:r>
      <w:r w:rsidR="00296C7E">
        <w:rPr>
          <w:shd w:val="clear" w:color="auto" w:fill="FFFFFF"/>
        </w:rPr>
        <w:t xml:space="preserve"> non-sensitive</w:t>
      </w:r>
      <w:r>
        <w:rPr>
          <w:shd w:val="clear" w:color="auto" w:fill="FFFFFF"/>
        </w:rPr>
        <w:t xml:space="preserve"> entities</w:t>
      </w:r>
      <w:r w:rsidR="009E7C63">
        <w:rPr>
          <w:shd w:val="clear" w:color="auto" w:fill="FFFFFF"/>
        </w:rPr>
        <w:t>,</w:t>
      </w:r>
      <w:r>
        <w:rPr>
          <w:shd w:val="clear" w:color="auto" w:fill="FFFFFF"/>
        </w:rPr>
        <w:t xml:space="preserve"> business</w:t>
      </w:r>
      <w:r w:rsidR="00296C7E">
        <w:rPr>
          <w:shd w:val="clear" w:color="auto" w:fill="FFFFFF"/>
        </w:rPr>
        <w:t>es</w:t>
      </w:r>
      <w:r>
        <w:rPr>
          <w:shd w:val="clear" w:color="auto" w:fill="FFFFFF"/>
        </w:rPr>
        <w:t xml:space="preserve"> </w:t>
      </w:r>
      <w:r w:rsidR="009E7C63">
        <w:rPr>
          <w:shd w:val="clear" w:color="auto" w:fill="FFFFFF"/>
        </w:rPr>
        <w:t xml:space="preserve">or </w:t>
      </w:r>
      <w:r>
        <w:rPr>
          <w:shd w:val="clear" w:color="auto" w:fill="FFFFFF"/>
        </w:rPr>
        <w:t xml:space="preserve">developed commercial land. </w:t>
      </w:r>
      <w:r w:rsidR="007F7E8E">
        <w:rPr>
          <w:shd w:val="clear" w:color="auto" w:fill="FFFFFF"/>
        </w:rPr>
        <w:t xml:space="preserve">This means that </w:t>
      </w:r>
      <w:r w:rsidR="00BE0AA5">
        <w:rPr>
          <w:shd w:val="clear" w:color="auto" w:fill="FFFFFF"/>
        </w:rPr>
        <w:t xml:space="preserve">private </w:t>
      </w:r>
      <w:r w:rsidR="007F7E8E">
        <w:rPr>
          <w:shd w:val="clear" w:color="auto" w:fill="FFFFFF"/>
        </w:rPr>
        <w:t xml:space="preserve">Indian investors will only be required to </w:t>
      </w:r>
      <w:r w:rsidR="00296C7E">
        <w:rPr>
          <w:shd w:val="clear" w:color="auto" w:fill="FFFFFF"/>
        </w:rPr>
        <w:t xml:space="preserve">notify </w:t>
      </w:r>
      <w:r w:rsidR="00DB4FD8">
        <w:rPr>
          <w:shd w:val="clear" w:color="auto" w:fill="FFFFFF"/>
        </w:rPr>
        <w:t xml:space="preserve">the Treasurer of </w:t>
      </w:r>
      <w:r w:rsidR="007F7E8E">
        <w:rPr>
          <w:shd w:val="clear" w:color="auto" w:fill="FFFFFF"/>
        </w:rPr>
        <w:t>these types of investments if the proposed investment is above the higher $500 million threshold amount.</w:t>
      </w:r>
    </w:p>
    <w:p w14:paraId="1A77456D" w14:textId="77777777" w:rsidR="00E4438C" w:rsidRPr="00647BB7" w:rsidRDefault="00E4438C" w:rsidP="003E1CE3">
      <w:pPr>
        <w:pStyle w:val="Heading3"/>
      </w:pPr>
      <w:r w:rsidRPr="00647BB7">
        <w:t>Human rights implications</w:t>
      </w:r>
    </w:p>
    <w:p w14:paraId="021BA159" w14:textId="6B464C9F" w:rsidR="00CC7778" w:rsidRDefault="00CC7778" w:rsidP="00647BB7">
      <w:pPr>
        <w:spacing w:before="240"/>
      </w:pPr>
      <w:r w:rsidRPr="00647BB7">
        <w:t>Th</w:t>
      </w:r>
      <w:r w:rsidR="006C0B47">
        <w:t>e</w:t>
      </w:r>
      <w:r w:rsidRPr="00647BB7">
        <w:t xml:space="preserve"> </w:t>
      </w:r>
      <w:r w:rsidR="00D71D32">
        <w:t xml:space="preserve">Regulations </w:t>
      </w:r>
      <w:r w:rsidRPr="00CC7778">
        <w:t>engage</w:t>
      </w:r>
      <w:r w:rsidR="00D71D32">
        <w:t xml:space="preserve"> </w:t>
      </w:r>
      <w:r w:rsidRPr="00CC7778">
        <w:t>the right to equality and non-discrimination under the</w:t>
      </w:r>
      <w:r w:rsidR="004C28B2">
        <w:t xml:space="preserve"> International Covenant on Civil and Political Rights (ICCPR)</w:t>
      </w:r>
      <w:r w:rsidR="004C28B2" w:rsidRPr="00CC7778">
        <w:t xml:space="preserve"> </w:t>
      </w:r>
      <w:r w:rsidRPr="00CC7778">
        <w:t xml:space="preserve">and </w:t>
      </w:r>
      <w:r w:rsidR="004C28B2">
        <w:t xml:space="preserve">the </w:t>
      </w:r>
      <w:r w:rsidRPr="00CC7778">
        <w:t>International Convention on the Elimination of All Forms of Racial Discrimination (ICERD).</w:t>
      </w:r>
    </w:p>
    <w:p w14:paraId="4498A546" w14:textId="2A7E8D72" w:rsidR="00CC7778" w:rsidRDefault="00CC7778" w:rsidP="00CC7778">
      <w:pPr>
        <w:spacing w:before="240"/>
      </w:pPr>
      <w:r w:rsidRPr="00CC7778">
        <w:t xml:space="preserve">Article 26 of the ICCPR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as…national or social origin, property, birth or other status’. </w:t>
      </w:r>
    </w:p>
    <w:p w14:paraId="3D9DA12A" w14:textId="77777777" w:rsidR="004C28B2" w:rsidRDefault="004C28B2" w:rsidP="004C28B2">
      <w:pPr>
        <w:spacing w:before="240"/>
      </w:pPr>
      <w:r w:rsidRPr="004C28B2">
        <w:t xml:space="preserve">Article 2(1)(a) of the ICERD states that,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ICERD, </w:t>
      </w:r>
      <w:r w:rsidRPr="004C28B2">
        <w:lastRenderedPageBreak/>
        <w:t>States Parties undertake to prohibit and eliminate racial discrimination in the enjoyment of civil, political, economic, social and cultural rights, including the ‘right to own property alone as well as in association with others’.</w:t>
      </w:r>
    </w:p>
    <w:p w14:paraId="5AFD722A" w14:textId="2DEB796A" w:rsidR="004C28B2" w:rsidRPr="004C28B2" w:rsidRDefault="004C28B2" w:rsidP="004C28B2">
      <w:pPr>
        <w:spacing w:before="240"/>
      </w:pPr>
      <w:r w:rsidRPr="004C28B2">
        <w:t>Different treatment amongst individuals or groups may not constitute prohibited discrimination under the ICCPR and ICERD if the criteria for such differentiation are reasonable and objective and if the aim is to achieve a purpose which is legitimate.</w:t>
      </w:r>
    </w:p>
    <w:p w14:paraId="09AF80FE" w14:textId="13ABB49A" w:rsidR="004C28B2" w:rsidRDefault="00E56BD9" w:rsidP="00CC7778">
      <w:pPr>
        <w:spacing w:before="240"/>
      </w:pPr>
      <w:r>
        <w:t xml:space="preserve">The </w:t>
      </w:r>
      <w:r w:rsidR="00D71D32">
        <w:t>Regulations</w:t>
      </w:r>
      <w:r>
        <w:t xml:space="preserve"> engage</w:t>
      </w:r>
      <w:r w:rsidR="00D71D32">
        <w:t xml:space="preserve"> </w:t>
      </w:r>
      <w:r>
        <w:t xml:space="preserve">Article 26 of the ICCPR and Articles 2 and 5 of ICERD because the </w:t>
      </w:r>
      <w:r w:rsidR="006C0B47">
        <w:t xml:space="preserve">amendments will </w:t>
      </w:r>
      <w:r>
        <w:t xml:space="preserve">apply to a foreign person who is a </w:t>
      </w:r>
      <w:r w:rsidR="006C0B47">
        <w:t>national</w:t>
      </w:r>
      <w:r>
        <w:t xml:space="preserve"> of </w:t>
      </w:r>
      <w:r w:rsidR="006C0B47">
        <w:t xml:space="preserve">India. </w:t>
      </w:r>
    </w:p>
    <w:p w14:paraId="219EF8B0" w14:textId="35CBABFE" w:rsidR="00E56BD9" w:rsidRPr="00CC7778" w:rsidRDefault="00E56BD9" w:rsidP="00CC7778">
      <w:pPr>
        <w:spacing w:before="240"/>
      </w:pPr>
      <w:r w:rsidRPr="00E56BD9">
        <w:t xml:space="preserve">The criteria by which </w:t>
      </w:r>
      <w:r w:rsidR="00D71D32">
        <w:t>the Regulation</w:t>
      </w:r>
      <w:r w:rsidR="00B5676A">
        <w:t>s</w:t>
      </w:r>
      <w:r w:rsidR="00D71D32">
        <w:t xml:space="preserve"> </w:t>
      </w:r>
      <w:r w:rsidRPr="00E56BD9">
        <w:t xml:space="preserve">treat people differently are reasonable and objective. The purpose of Australia’s foreign investment framework is to regulate certain kinds of foreign investment to ensure that the proposed investments are not contrary to Australia’s national interest. </w:t>
      </w:r>
      <w:r w:rsidR="006C0B47">
        <w:t>T</w:t>
      </w:r>
      <w:r w:rsidRPr="00E56BD9">
        <w:t xml:space="preserve">he definition of foreign person is clearly set out in the </w:t>
      </w:r>
      <w:r w:rsidR="006C0B47" w:rsidRPr="00E4236A">
        <w:rPr>
          <w:i/>
        </w:rPr>
        <w:t>Foreign Acquisitions and Takeovers Act 1975</w:t>
      </w:r>
      <w:r w:rsidRPr="00E56BD9">
        <w:t xml:space="preserve">. The amendments rely on this established definition of foreign person in the </w:t>
      </w:r>
      <w:r w:rsidR="00EC12E0" w:rsidRPr="00E4236A">
        <w:rPr>
          <w:i/>
        </w:rPr>
        <w:t>Foreign Acquisitions and Takeovers Act 1975</w:t>
      </w:r>
      <w:r w:rsidR="00EC12E0">
        <w:rPr>
          <w:i/>
        </w:rPr>
        <w:t xml:space="preserve"> </w:t>
      </w:r>
      <w:r w:rsidR="00EC12E0">
        <w:t>and apply in the same manner to all investors from India (other than foreign government investors).</w:t>
      </w:r>
    </w:p>
    <w:p w14:paraId="017901A6" w14:textId="2CE8D7ED" w:rsidR="00EC12E0" w:rsidRDefault="00EC12E0" w:rsidP="00EC12E0">
      <w:pPr>
        <w:spacing w:before="240"/>
        <w:rPr>
          <w:color w:val="000000"/>
          <w:shd w:val="clear" w:color="auto" w:fill="FFFFFF"/>
        </w:rPr>
      </w:pPr>
      <w:r>
        <w:t xml:space="preserve">The increased monetary thresholds benefit </w:t>
      </w:r>
      <w:r w:rsidR="005C113E">
        <w:t xml:space="preserve">private </w:t>
      </w:r>
      <w:r>
        <w:t>Indian investors.</w:t>
      </w:r>
      <w:r w:rsidDel="007D04B0">
        <w:t xml:space="preserve"> </w:t>
      </w:r>
      <w:r>
        <w:rPr>
          <w:color w:val="000000"/>
          <w:shd w:val="clear" w:color="auto" w:fill="FFFFFF"/>
        </w:rPr>
        <w:t xml:space="preserve">This is because </w:t>
      </w:r>
      <w:r w:rsidR="005C113E">
        <w:rPr>
          <w:color w:val="000000"/>
          <w:shd w:val="clear" w:color="auto" w:fill="FFFFFF"/>
        </w:rPr>
        <w:t xml:space="preserve">private </w:t>
      </w:r>
      <w:r>
        <w:rPr>
          <w:color w:val="000000"/>
          <w:shd w:val="clear" w:color="auto" w:fill="FFFFFF"/>
        </w:rPr>
        <w:t>Indian investors</w:t>
      </w:r>
      <w:r w:rsidR="005C113E">
        <w:rPr>
          <w:color w:val="000000"/>
          <w:shd w:val="clear" w:color="auto" w:fill="FFFFFF"/>
        </w:rPr>
        <w:t xml:space="preserve"> </w:t>
      </w:r>
      <w:r>
        <w:rPr>
          <w:color w:val="000000"/>
          <w:shd w:val="clear" w:color="auto" w:fill="FFFFFF"/>
        </w:rPr>
        <w:t xml:space="preserve">will only need to </w:t>
      </w:r>
      <w:r w:rsidR="00DB4FD8">
        <w:rPr>
          <w:color w:val="000000"/>
          <w:shd w:val="clear" w:color="auto" w:fill="FFFFFF"/>
        </w:rPr>
        <w:t xml:space="preserve">notify </w:t>
      </w:r>
      <w:r w:rsidR="00DB4FD8">
        <w:rPr>
          <w:shd w:val="clear" w:color="auto" w:fill="FFFFFF"/>
        </w:rPr>
        <w:t xml:space="preserve">the Treasurer of </w:t>
      </w:r>
      <w:r>
        <w:rPr>
          <w:color w:val="000000"/>
          <w:shd w:val="clear" w:color="auto" w:fill="FFFFFF"/>
        </w:rPr>
        <w:t>certain investments that are above the increased monetary thresholds, making it easier for these Indian investors to invest in Australian businesses, entities and developed commercial land.</w:t>
      </w:r>
    </w:p>
    <w:p w14:paraId="1AD608B6" w14:textId="333FC160" w:rsidR="00EC12E0" w:rsidRDefault="00EC12E0" w:rsidP="00EC12E0">
      <w:pPr>
        <w:spacing w:before="240"/>
        <w:rPr>
          <w:color w:val="000000"/>
          <w:shd w:val="clear" w:color="auto" w:fill="FFFFFF"/>
        </w:rPr>
      </w:pPr>
      <w:r>
        <w:rPr>
          <w:color w:val="000000"/>
          <w:shd w:val="clear" w:color="auto" w:fill="FFFFFF"/>
        </w:rPr>
        <w:t>The purpose of the Regulations is to give effect to Australia’s obligations under the AI-ECTA, specifically the agreed threshold values that are to apply to Indian investors under Australia’s foreign investment framework. There is no less restrictive way to achieving this legitimate purpose.</w:t>
      </w:r>
    </w:p>
    <w:p w14:paraId="0DC9CF4B" w14:textId="61BEBB03" w:rsidR="00EC12E0" w:rsidRPr="00647BB7" w:rsidRDefault="00EC12E0" w:rsidP="00EC12E0">
      <w:pPr>
        <w:spacing w:before="240"/>
      </w:pPr>
      <w:r>
        <w:rPr>
          <w:color w:val="000000"/>
          <w:shd w:val="clear" w:color="auto" w:fill="FFFFFF"/>
        </w:rPr>
        <w:t>While the Regulations relate to Indian</w:t>
      </w:r>
      <w:r w:rsidR="000164E0">
        <w:rPr>
          <w:color w:val="000000"/>
          <w:shd w:val="clear" w:color="auto" w:fill="FFFFFF"/>
        </w:rPr>
        <w:t xml:space="preserve"> </w:t>
      </w:r>
      <w:r>
        <w:rPr>
          <w:color w:val="000000"/>
          <w:shd w:val="clear" w:color="auto" w:fill="FFFFFF"/>
        </w:rPr>
        <w:t>nationals, this different treatment is reasonable, necessary, and proportionate to the objectives.</w:t>
      </w:r>
    </w:p>
    <w:p w14:paraId="17793AB2" w14:textId="77777777" w:rsidR="00E4438C" w:rsidRPr="00647BB7" w:rsidRDefault="00E4438C" w:rsidP="003E1CE3">
      <w:pPr>
        <w:pStyle w:val="Heading3"/>
      </w:pPr>
      <w:r w:rsidRPr="00647BB7">
        <w:t>Conclusion</w:t>
      </w:r>
    </w:p>
    <w:p w14:paraId="03BAAB1A" w14:textId="766616C2" w:rsidR="00482B81" w:rsidRPr="00EA4DD8" w:rsidRDefault="00EC12E0" w:rsidP="00D77C2A">
      <w:pPr>
        <w:spacing w:before="240"/>
      </w:pPr>
      <w:r w:rsidRPr="00647BB7">
        <w:t>This Legislative Instrument is compatible with human rights</w:t>
      </w:r>
      <w:r w:rsidRPr="00DE4EE7">
        <w:t xml:space="preserve"> because, to the extent that it may limit human rights, those limitations are reasonable, necessary</w:t>
      </w:r>
      <w:r>
        <w:t>,</w:t>
      </w:r>
      <w:r w:rsidRPr="00DE4EE7">
        <w:t xml:space="preserve"> and proportionate</w:t>
      </w:r>
      <w:r w:rsidRPr="00647BB7">
        <w:t>.</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3D3A" w14:textId="77777777" w:rsidR="00E5707E" w:rsidRDefault="00E5707E" w:rsidP="00954679">
      <w:pPr>
        <w:spacing w:before="0" w:after="0"/>
      </w:pPr>
      <w:r>
        <w:separator/>
      </w:r>
    </w:p>
  </w:endnote>
  <w:endnote w:type="continuationSeparator" w:id="0">
    <w:p w14:paraId="3126CA8F" w14:textId="77777777" w:rsidR="00E5707E" w:rsidRDefault="00E5707E" w:rsidP="00954679">
      <w:pPr>
        <w:spacing w:before="0" w:after="0"/>
      </w:pPr>
      <w:r>
        <w:continuationSeparator/>
      </w:r>
    </w:p>
  </w:endnote>
  <w:endnote w:type="continuationNotice" w:id="1">
    <w:p w14:paraId="7DC53BCB" w14:textId="77777777" w:rsidR="00E5707E" w:rsidRDefault="00E570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160D" w14:textId="2DCDB53C" w:rsidR="00A6590A" w:rsidRDefault="00A6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593771D" w14:textId="22A39DBD"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0A33" w14:textId="01EE732F" w:rsidR="00A6590A" w:rsidRDefault="00A6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1761" w14:textId="77777777" w:rsidR="00E5707E" w:rsidRDefault="00E5707E" w:rsidP="00954679">
      <w:pPr>
        <w:spacing w:before="0" w:after="0"/>
      </w:pPr>
      <w:r>
        <w:separator/>
      </w:r>
    </w:p>
  </w:footnote>
  <w:footnote w:type="continuationSeparator" w:id="0">
    <w:p w14:paraId="5D47B4CB" w14:textId="77777777" w:rsidR="00E5707E" w:rsidRDefault="00E5707E" w:rsidP="00954679">
      <w:pPr>
        <w:spacing w:before="0" w:after="0"/>
      </w:pPr>
      <w:r>
        <w:continuationSeparator/>
      </w:r>
    </w:p>
  </w:footnote>
  <w:footnote w:type="continuationNotice" w:id="1">
    <w:p w14:paraId="62ED0743" w14:textId="77777777" w:rsidR="00E5707E" w:rsidRDefault="00E5707E">
      <w:pPr>
        <w:spacing w:before="0" w:after="0"/>
      </w:pPr>
    </w:p>
  </w:footnote>
  <w:footnote w:id="2">
    <w:p w14:paraId="6F305BF6" w14:textId="1716FC0F" w:rsidR="00B34C94" w:rsidRDefault="00C832B1">
      <w:pPr>
        <w:pStyle w:val="FootnoteText"/>
      </w:pPr>
      <w:r>
        <w:rPr>
          <w:rStyle w:val="FootnoteReference"/>
        </w:rPr>
        <w:footnoteRef/>
      </w:r>
      <w:r>
        <w:t xml:space="preserve"> </w:t>
      </w:r>
      <w:r w:rsidR="00F45500">
        <w:t>In October 2022, t</w:t>
      </w:r>
      <w:r>
        <w:t>he National Interest Analysis</w:t>
      </w:r>
      <w:r w:rsidR="00F45500">
        <w:t>, including attachments, was</w:t>
      </w:r>
      <w:r>
        <w:t xml:space="preserve"> available at:</w:t>
      </w:r>
      <w:r w:rsidR="00261C1A">
        <w:t xml:space="preserve"> </w:t>
      </w:r>
      <w:hyperlink r:id="rId1" w:history="1">
        <w:r w:rsidR="00261C1A" w:rsidRPr="003B62E5">
          <w:rPr>
            <w:rStyle w:val="Hyperlink"/>
            <w:color w:val="auto"/>
          </w:rPr>
          <w:t>https://www.aph.gov.au/Parliamentary_Business/Committees/Joint/Treaties/AI-ECTA/Terms_of_Reference</w:t>
        </w:r>
      </w:hyperlink>
    </w:p>
  </w:footnote>
  <w:footnote w:id="3">
    <w:p w14:paraId="6C037EE5" w14:textId="554A0B50" w:rsidR="005C28BE" w:rsidRDefault="005C28BE">
      <w:pPr>
        <w:pStyle w:val="FootnoteText"/>
      </w:pPr>
      <w:r>
        <w:rPr>
          <w:rStyle w:val="FootnoteReference"/>
        </w:rPr>
        <w:footnoteRef/>
      </w:r>
      <w:r>
        <w:t xml:space="preserve"> </w:t>
      </w:r>
      <w:r w:rsidR="00F45500">
        <w:t>In October 2022, t</w:t>
      </w:r>
      <w:r>
        <w:t xml:space="preserve">he AI-ECTA </w:t>
      </w:r>
      <w:r w:rsidR="00F45500">
        <w:t xml:space="preserve">was available on </w:t>
      </w:r>
      <w:r w:rsidR="00152D3A">
        <w:t>the Australian Treaties Library</w:t>
      </w:r>
      <w:r>
        <w:t xml:space="preserve"> </w:t>
      </w:r>
      <w:r w:rsidR="00F45500">
        <w:t>at</w:t>
      </w:r>
      <w:r>
        <w:t xml:space="preserve">: </w:t>
      </w:r>
      <w:hyperlink r:id="rId2" w:history="1">
        <w:r w:rsidR="00152D3A" w:rsidRPr="003B62E5">
          <w:rPr>
            <w:rStyle w:val="Hyperlink"/>
            <w:color w:val="auto"/>
          </w:rPr>
          <w:t>http://www.austlii.edu.au/cgi-bin/sinodisp/au/other/dfat/treaties/ATNIF/2022/6.html?stem=0&amp;synonyms=0&amp;query=title(India)</w:t>
        </w:r>
      </w:hyperlink>
      <w:r w:rsidR="00152D3A" w:rsidRPr="003B62E5">
        <w:t xml:space="preserve"> </w:t>
      </w:r>
    </w:p>
  </w:footnote>
  <w:footnote w:id="4">
    <w:p w14:paraId="5603305E" w14:textId="744CBE81" w:rsidR="00777DE5" w:rsidRDefault="00C2085C">
      <w:pPr>
        <w:pStyle w:val="FootnoteText"/>
      </w:pPr>
      <w:r>
        <w:rPr>
          <w:rStyle w:val="FootnoteReference"/>
        </w:rPr>
        <w:footnoteRef/>
      </w:r>
      <w:r>
        <w:t xml:space="preserve"> </w:t>
      </w:r>
      <w:r w:rsidR="00F45500">
        <w:t>In October 2022, t</w:t>
      </w:r>
      <w:r w:rsidR="00152D3A">
        <w:t xml:space="preserve">he AI-ECTA </w:t>
      </w:r>
      <w:r w:rsidR="00F45500">
        <w:t xml:space="preserve">was available </w:t>
      </w:r>
      <w:r w:rsidR="00152D3A">
        <w:t xml:space="preserve">on the Australian Treaties Library </w:t>
      </w:r>
      <w:r w:rsidR="00F45500">
        <w:t>at</w:t>
      </w:r>
      <w:r w:rsidR="00152D3A">
        <w:t xml:space="preserve">: </w:t>
      </w:r>
      <w:hyperlink r:id="rId3" w:history="1">
        <w:r w:rsidR="00152D3A" w:rsidRPr="003B62E5">
          <w:rPr>
            <w:rStyle w:val="Hyperlink"/>
            <w:color w:val="auto"/>
          </w:rPr>
          <w:t>http://www.austlii.edu.au/cgi-bin/sinodisp/au/other/dfat/treaties/ATNIF/2022/6.html?stem=0&amp;synonyms=0&amp;query=title(India)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ED3A" w14:textId="59D43871" w:rsidR="00A6590A" w:rsidRPr="00A6590A" w:rsidRDefault="00A6590A" w:rsidP="00A65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DFA8" w14:textId="6D5A9F7D" w:rsidR="00A6590A" w:rsidRPr="00A6590A" w:rsidRDefault="00A6590A" w:rsidP="00A65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F361" w14:textId="786BDED4" w:rsidR="00A6590A" w:rsidRPr="00A6590A" w:rsidRDefault="00A6590A" w:rsidP="00A6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395"/>
    <w:multiLevelType w:val="hybridMultilevel"/>
    <w:tmpl w:val="57DA9830"/>
    <w:lvl w:ilvl="0" w:tplc="23803B9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C1621"/>
    <w:multiLevelType w:val="hybridMultilevel"/>
    <w:tmpl w:val="6540B22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F62B88"/>
    <w:multiLevelType w:val="hybridMultilevel"/>
    <w:tmpl w:val="619AEC76"/>
    <w:lvl w:ilvl="0" w:tplc="FFFFFFFF">
      <w:start w:val="1"/>
      <w:numFmt w:val="bullet"/>
      <w:lvlText w:val=""/>
      <w:lvlJc w:val="left"/>
      <w:pPr>
        <w:ind w:left="720" w:hanging="360"/>
      </w:pPr>
      <w:rPr>
        <w:rFonts w:ascii="Symbol" w:hAnsi="Symbol" w:hint="default"/>
      </w:rPr>
    </w:lvl>
    <w:lvl w:ilvl="1" w:tplc="FF9A6EC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1F1BAE"/>
    <w:multiLevelType w:val="hybridMultilevel"/>
    <w:tmpl w:val="19287530"/>
    <w:lvl w:ilvl="0" w:tplc="0C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9170CA0"/>
    <w:multiLevelType w:val="multilevel"/>
    <w:tmpl w:val="6AFA8BB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lvl>
    <w:lvl w:ilvl="2">
      <w:start w:val="1"/>
      <w:numFmt w:val="decimal"/>
      <w:lvlRestart w:val="1"/>
      <w:pStyle w:val="DiagramHeading"/>
      <w:suff w:val="space"/>
      <w:lvlText w:val="Diagram %1.%3"/>
      <w:lvlJc w:val="left"/>
      <w:pPr>
        <w:ind w:left="1701" w:hanging="1701"/>
      </w:pPr>
    </w:lvl>
    <w:lvl w:ilvl="3">
      <w:start w:val="1"/>
      <w:numFmt w:val="decimal"/>
      <w:lvlRestart w:val="1"/>
      <w:pStyle w:val="ExampleHeading"/>
      <w:suff w:val="space"/>
      <w:lvlText w:val="Example %1.%4"/>
      <w:lvlJc w:val="left"/>
      <w:pPr>
        <w:ind w:left="1701" w:hanging="1701"/>
      </w:pPr>
    </w:lvl>
    <w:lvl w:ilvl="4">
      <w:start w:val="1"/>
      <w:numFmt w:val="decimal"/>
      <w:lvlRestart w:val="1"/>
      <w:pStyle w:val="TableHeading"/>
      <w:suff w:val="space"/>
      <w:lvlText w:val="Table %1.%5"/>
      <w:lvlJc w:val="left"/>
      <w:pPr>
        <w:ind w:left="1701" w:hanging="1701"/>
      </w:pPr>
    </w:lvl>
    <w:lvl w:ilvl="5">
      <w:start w:val="1"/>
      <w:numFmt w:val="none"/>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35245187"/>
    <w:multiLevelType w:val="hybridMultilevel"/>
    <w:tmpl w:val="BC103846"/>
    <w:lvl w:ilvl="0" w:tplc="FFFFFFFF">
      <w:start w:val="1"/>
      <w:numFmt w:val="bullet"/>
      <w:lvlText w:val=""/>
      <w:lvlJc w:val="left"/>
      <w:pPr>
        <w:ind w:left="720" w:hanging="360"/>
      </w:pPr>
      <w:rPr>
        <w:rFonts w:ascii="Symbol" w:hAnsi="Symbol" w:hint="default"/>
      </w:rPr>
    </w:lvl>
    <w:lvl w:ilvl="1" w:tplc="FF9A6EC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2A5222"/>
    <w:multiLevelType w:val="hybridMultilevel"/>
    <w:tmpl w:val="5CBAD36C"/>
    <w:lvl w:ilvl="0" w:tplc="0C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7E68F3"/>
    <w:multiLevelType w:val="hybridMultilevel"/>
    <w:tmpl w:val="5790B5E2"/>
    <w:lvl w:ilvl="0" w:tplc="236C3B10">
      <w:start w:val="139"/>
      <w:numFmt w:val="bullet"/>
      <w:lvlText w:val="-"/>
      <w:lvlJc w:val="left"/>
      <w:pPr>
        <w:ind w:left="720" w:hanging="360"/>
      </w:pPr>
      <w:rPr>
        <w:rFonts w:ascii="Times New Roman" w:eastAsia="Times New Roman"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AF3C4C"/>
    <w:multiLevelType w:val="hybridMultilevel"/>
    <w:tmpl w:val="B97EA2AC"/>
    <w:lvl w:ilvl="0" w:tplc="0C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7A43C0B"/>
    <w:multiLevelType w:val="multilevel"/>
    <w:tmpl w:val="88F24C9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1"/>
  </w:num>
  <w:num w:numId="3">
    <w:abstractNumId w:val="3"/>
  </w:num>
  <w:num w:numId="4">
    <w:abstractNumId w:val="9"/>
  </w:num>
  <w:num w:numId="5">
    <w:abstractNumId w:val="10"/>
  </w:num>
  <w:num w:numId="6">
    <w:abstractNumId w:val="4"/>
  </w:num>
  <w:num w:numId="7">
    <w:abstractNumId w:val="8"/>
  </w:num>
  <w:num w:numId="8">
    <w:abstractNumId w:val="5"/>
  </w:num>
  <w:num w:numId="9">
    <w:abstractNumId w:val="5"/>
    <w:lvlOverride w:ilvl="0">
      <w:startOverride w:val="1"/>
      <w:lvl w:ilvl="0">
        <w:start w:val="1"/>
        <w:numFmt w:val="decimal"/>
        <w:pStyle w:val="Chapterheading"/>
        <w:lvlText w:val=""/>
        <w:lvlJc w:val="left"/>
        <w:pPr>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1.%2"/>
        <w:lvlJc w:val="left"/>
        <w:pPr>
          <w:tabs>
            <w:tab w:val="num" w:pos="709"/>
          </w:tabs>
          <w:ind w:left="709" w:hanging="709"/>
        </w:pPr>
        <w:rPr>
          <w:i w:val="0"/>
          <w:iCs w:val="0"/>
        </w:rPr>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0"/>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B60E06"/>
    <w:rsid w:val="00000881"/>
    <w:rsid w:val="00006D0E"/>
    <w:rsid w:val="00013390"/>
    <w:rsid w:val="000164E0"/>
    <w:rsid w:val="00016EA2"/>
    <w:rsid w:val="00032CA2"/>
    <w:rsid w:val="0004173C"/>
    <w:rsid w:val="00044620"/>
    <w:rsid w:val="00045DF8"/>
    <w:rsid w:val="00060406"/>
    <w:rsid w:val="00060E1C"/>
    <w:rsid w:val="00073F55"/>
    <w:rsid w:val="000741E1"/>
    <w:rsid w:val="00076178"/>
    <w:rsid w:val="00082BDA"/>
    <w:rsid w:val="000934E7"/>
    <w:rsid w:val="00095211"/>
    <w:rsid w:val="000A5367"/>
    <w:rsid w:val="000A661E"/>
    <w:rsid w:val="000A6DA4"/>
    <w:rsid w:val="000B34E5"/>
    <w:rsid w:val="000B39A1"/>
    <w:rsid w:val="000C10DF"/>
    <w:rsid w:val="000C20AA"/>
    <w:rsid w:val="000C6935"/>
    <w:rsid w:val="000C7AFE"/>
    <w:rsid w:val="000E32E3"/>
    <w:rsid w:val="000E3B46"/>
    <w:rsid w:val="000F6FFA"/>
    <w:rsid w:val="00100A65"/>
    <w:rsid w:val="0010625F"/>
    <w:rsid w:val="00113B45"/>
    <w:rsid w:val="00117C02"/>
    <w:rsid w:val="00134367"/>
    <w:rsid w:val="00134CA7"/>
    <w:rsid w:val="00136750"/>
    <w:rsid w:val="001376D7"/>
    <w:rsid w:val="0014086C"/>
    <w:rsid w:val="00140CB8"/>
    <w:rsid w:val="001414E8"/>
    <w:rsid w:val="001427B5"/>
    <w:rsid w:val="00152D3A"/>
    <w:rsid w:val="00157D9D"/>
    <w:rsid w:val="001611B9"/>
    <w:rsid w:val="00195B43"/>
    <w:rsid w:val="001A45E0"/>
    <w:rsid w:val="001A7892"/>
    <w:rsid w:val="001A7964"/>
    <w:rsid w:val="001B7535"/>
    <w:rsid w:val="001C314D"/>
    <w:rsid w:val="001D4B92"/>
    <w:rsid w:val="001D4DE6"/>
    <w:rsid w:val="001D64E0"/>
    <w:rsid w:val="001D7D5F"/>
    <w:rsid w:val="001E2487"/>
    <w:rsid w:val="001E6A74"/>
    <w:rsid w:val="001F41D0"/>
    <w:rsid w:val="002023B1"/>
    <w:rsid w:val="00205996"/>
    <w:rsid w:val="002128E8"/>
    <w:rsid w:val="00217147"/>
    <w:rsid w:val="00220F16"/>
    <w:rsid w:val="002220AC"/>
    <w:rsid w:val="00225932"/>
    <w:rsid w:val="00254C5B"/>
    <w:rsid w:val="00255333"/>
    <w:rsid w:val="00257BE6"/>
    <w:rsid w:val="002600BF"/>
    <w:rsid w:val="00261C1A"/>
    <w:rsid w:val="00265F6F"/>
    <w:rsid w:val="00281FA5"/>
    <w:rsid w:val="00296C7E"/>
    <w:rsid w:val="0029768C"/>
    <w:rsid w:val="002A7E1F"/>
    <w:rsid w:val="002C226C"/>
    <w:rsid w:val="002C5EF5"/>
    <w:rsid w:val="002D0DDF"/>
    <w:rsid w:val="002F022D"/>
    <w:rsid w:val="003041FA"/>
    <w:rsid w:val="00305EC2"/>
    <w:rsid w:val="0031518B"/>
    <w:rsid w:val="003342CD"/>
    <w:rsid w:val="00335042"/>
    <w:rsid w:val="003447EC"/>
    <w:rsid w:val="00345718"/>
    <w:rsid w:val="00347F24"/>
    <w:rsid w:val="0035121B"/>
    <w:rsid w:val="00360E0A"/>
    <w:rsid w:val="00362B70"/>
    <w:rsid w:val="0036494C"/>
    <w:rsid w:val="00370FB3"/>
    <w:rsid w:val="00372969"/>
    <w:rsid w:val="00381A07"/>
    <w:rsid w:val="00392BBA"/>
    <w:rsid w:val="003954FD"/>
    <w:rsid w:val="00396EA3"/>
    <w:rsid w:val="003A4B91"/>
    <w:rsid w:val="003A4F58"/>
    <w:rsid w:val="003B062C"/>
    <w:rsid w:val="003B0A9D"/>
    <w:rsid w:val="003B45C1"/>
    <w:rsid w:val="003B62E5"/>
    <w:rsid w:val="003B7B2F"/>
    <w:rsid w:val="003B7BF4"/>
    <w:rsid w:val="003C7907"/>
    <w:rsid w:val="003D09C9"/>
    <w:rsid w:val="003D5891"/>
    <w:rsid w:val="003D60D7"/>
    <w:rsid w:val="003E1CE3"/>
    <w:rsid w:val="003E5D29"/>
    <w:rsid w:val="00404B00"/>
    <w:rsid w:val="004146AD"/>
    <w:rsid w:val="0043222B"/>
    <w:rsid w:val="004357A4"/>
    <w:rsid w:val="00450B0F"/>
    <w:rsid w:val="0045495D"/>
    <w:rsid w:val="00462095"/>
    <w:rsid w:val="00462B45"/>
    <w:rsid w:val="00463380"/>
    <w:rsid w:val="0046446F"/>
    <w:rsid w:val="00465C94"/>
    <w:rsid w:val="00471000"/>
    <w:rsid w:val="0047147A"/>
    <w:rsid w:val="0047541C"/>
    <w:rsid w:val="00482B81"/>
    <w:rsid w:val="00482D4C"/>
    <w:rsid w:val="00491018"/>
    <w:rsid w:val="004B3C0F"/>
    <w:rsid w:val="004C05E4"/>
    <w:rsid w:val="004C28B2"/>
    <w:rsid w:val="004C6534"/>
    <w:rsid w:val="004E0918"/>
    <w:rsid w:val="004E342B"/>
    <w:rsid w:val="004E39E1"/>
    <w:rsid w:val="004E3DC8"/>
    <w:rsid w:val="004F28B6"/>
    <w:rsid w:val="004F3E48"/>
    <w:rsid w:val="004F56D0"/>
    <w:rsid w:val="0050224E"/>
    <w:rsid w:val="00503E1A"/>
    <w:rsid w:val="00503E44"/>
    <w:rsid w:val="00513944"/>
    <w:rsid w:val="00515283"/>
    <w:rsid w:val="00523C96"/>
    <w:rsid w:val="00533926"/>
    <w:rsid w:val="00533F00"/>
    <w:rsid w:val="005374A1"/>
    <w:rsid w:val="0055675D"/>
    <w:rsid w:val="005568DF"/>
    <w:rsid w:val="00562D16"/>
    <w:rsid w:val="00566E8F"/>
    <w:rsid w:val="0057422E"/>
    <w:rsid w:val="005833BE"/>
    <w:rsid w:val="00583A9D"/>
    <w:rsid w:val="00595024"/>
    <w:rsid w:val="005B4A36"/>
    <w:rsid w:val="005C113E"/>
    <w:rsid w:val="005C28BE"/>
    <w:rsid w:val="005C5428"/>
    <w:rsid w:val="005D7D5A"/>
    <w:rsid w:val="005E2102"/>
    <w:rsid w:val="005E4BAC"/>
    <w:rsid w:val="0060130D"/>
    <w:rsid w:val="006100E5"/>
    <w:rsid w:val="00610512"/>
    <w:rsid w:val="00613235"/>
    <w:rsid w:val="00620E11"/>
    <w:rsid w:val="0062242E"/>
    <w:rsid w:val="00624041"/>
    <w:rsid w:val="00630908"/>
    <w:rsid w:val="00631B04"/>
    <w:rsid w:val="006321CD"/>
    <w:rsid w:val="0064129F"/>
    <w:rsid w:val="00647BB7"/>
    <w:rsid w:val="00647D15"/>
    <w:rsid w:val="006558D7"/>
    <w:rsid w:val="0066009F"/>
    <w:rsid w:val="00660665"/>
    <w:rsid w:val="00680297"/>
    <w:rsid w:val="00686929"/>
    <w:rsid w:val="006873CE"/>
    <w:rsid w:val="006914DA"/>
    <w:rsid w:val="006924B2"/>
    <w:rsid w:val="006941BE"/>
    <w:rsid w:val="006A0786"/>
    <w:rsid w:val="006B7152"/>
    <w:rsid w:val="006C0874"/>
    <w:rsid w:val="006C0B47"/>
    <w:rsid w:val="006C7F5C"/>
    <w:rsid w:val="006D40B7"/>
    <w:rsid w:val="006D6290"/>
    <w:rsid w:val="006E0CE4"/>
    <w:rsid w:val="0070539D"/>
    <w:rsid w:val="00710E94"/>
    <w:rsid w:val="00727D8A"/>
    <w:rsid w:val="00731FEA"/>
    <w:rsid w:val="00736F61"/>
    <w:rsid w:val="00742253"/>
    <w:rsid w:val="00743309"/>
    <w:rsid w:val="00754798"/>
    <w:rsid w:val="00760A65"/>
    <w:rsid w:val="00761791"/>
    <w:rsid w:val="00764E61"/>
    <w:rsid w:val="00765FC4"/>
    <w:rsid w:val="007662C7"/>
    <w:rsid w:val="00772416"/>
    <w:rsid w:val="00776306"/>
    <w:rsid w:val="00777DE5"/>
    <w:rsid w:val="007828F6"/>
    <w:rsid w:val="007A1919"/>
    <w:rsid w:val="007A1C36"/>
    <w:rsid w:val="007A55A7"/>
    <w:rsid w:val="007B1F10"/>
    <w:rsid w:val="007B335E"/>
    <w:rsid w:val="007B7B22"/>
    <w:rsid w:val="007C7D64"/>
    <w:rsid w:val="007E018D"/>
    <w:rsid w:val="007F16A8"/>
    <w:rsid w:val="007F1B71"/>
    <w:rsid w:val="007F49A7"/>
    <w:rsid w:val="007F7E8E"/>
    <w:rsid w:val="00807E7D"/>
    <w:rsid w:val="00810D43"/>
    <w:rsid w:val="00821FD4"/>
    <w:rsid w:val="00822374"/>
    <w:rsid w:val="00826210"/>
    <w:rsid w:val="00831675"/>
    <w:rsid w:val="0083311B"/>
    <w:rsid w:val="00852155"/>
    <w:rsid w:val="00861227"/>
    <w:rsid w:val="00862745"/>
    <w:rsid w:val="00862B04"/>
    <w:rsid w:val="0088467C"/>
    <w:rsid w:val="00894579"/>
    <w:rsid w:val="00894981"/>
    <w:rsid w:val="008A192A"/>
    <w:rsid w:val="008A5B67"/>
    <w:rsid w:val="008A5CCD"/>
    <w:rsid w:val="008B310A"/>
    <w:rsid w:val="008B34DD"/>
    <w:rsid w:val="008D16F7"/>
    <w:rsid w:val="008E10C8"/>
    <w:rsid w:val="008E1427"/>
    <w:rsid w:val="008E24F5"/>
    <w:rsid w:val="008E500C"/>
    <w:rsid w:val="008F2F00"/>
    <w:rsid w:val="008F33C5"/>
    <w:rsid w:val="008F4DBF"/>
    <w:rsid w:val="00901729"/>
    <w:rsid w:val="0090543F"/>
    <w:rsid w:val="009069A3"/>
    <w:rsid w:val="009143A0"/>
    <w:rsid w:val="0092650D"/>
    <w:rsid w:val="00935D92"/>
    <w:rsid w:val="00936902"/>
    <w:rsid w:val="00945346"/>
    <w:rsid w:val="00954679"/>
    <w:rsid w:val="009616D5"/>
    <w:rsid w:val="00980164"/>
    <w:rsid w:val="00981FFA"/>
    <w:rsid w:val="0099398B"/>
    <w:rsid w:val="009B570A"/>
    <w:rsid w:val="009C6A1E"/>
    <w:rsid w:val="009D24C2"/>
    <w:rsid w:val="009E0003"/>
    <w:rsid w:val="009E2F86"/>
    <w:rsid w:val="009E7C63"/>
    <w:rsid w:val="00A12209"/>
    <w:rsid w:val="00A206A3"/>
    <w:rsid w:val="00A34CA4"/>
    <w:rsid w:val="00A36DF3"/>
    <w:rsid w:val="00A532DD"/>
    <w:rsid w:val="00A54DA6"/>
    <w:rsid w:val="00A56684"/>
    <w:rsid w:val="00A6590A"/>
    <w:rsid w:val="00A67890"/>
    <w:rsid w:val="00A80117"/>
    <w:rsid w:val="00A80BCF"/>
    <w:rsid w:val="00A8369C"/>
    <w:rsid w:val="00A876C1"/>
    <w:rsid w:val="00A917A9"/>
    <w:rsid w:val="00A9651A"/>
    <w:rsid w:val="00AA1689"/>
    <w:rsid w:val="00AA5420"/>
    <w:rsid w:val="00AA5770"/>
    <w:rsid w:val="00AB3A34"/>
    <w:rsid w:val="00AC1D15"/>
    <w:rsid w:val="00AC6BCE"/>
    <w:rsid w:val="00AE4A65"/>
    <w:rsid w:val="00AF1F69"/>
    <w:rsid w:val="00AF542F"/>
    <w:rsid w:val="00AF766C"/>
    <w:rsid w:val="00B01352"/>
    <w:rsid w:val="00B07B0C"/>
    <w:rsid w:val="00B10EFD"/>
    <w:rsid w:val="00B11F61"/>
    <w:rsid w:val="00B121C6"/>
    <w:rsid w:val="00B14666"/>
    <w:rsid w:val="00B23D82"/>
    <w:rsid w:val="00B25563"/>
    <w:rsid w:val="00B26D48"/>
    <w:rsid w:val="00B27BC8"/>
    <w:rsid w:val="00B30717"/>
    <w:rsid w:val="00B3154D"/>
    <w:rsid w:val="00B34C94"/>
    <w:rsid w:val="00B42EE1"/>
    <w:rsid w:val="00B43FB4"/>
    <w:rsid w:val="00B44A6D"/>
    <w:rsid w:val="00B53F48"/>
    <w:rsid w:val="00B5676A"/>
    <w:rsid w:val="00B600D3"/>
    <w:rsid w:val="00B60E06"/>
    <w:rsid w:val="00B643F9"/>
    <w:rsid w:val="00B66725"/>
    <w:rsid w:val="00B71372"/>
    <w:rsid w:val="00B721AC"/>
    <w:rsid w:val="00B81F31"/>
    <w:rsid w:val="00B8293D"/>
    <w:rsid w:val="00B92478"/>
    <w:rsid w:val="00BA3AD6"/>
    <w:rsid w:val="00BA6188"/>
    <w:rsid w:val="00BD4AC1"/>
    <w:rsid w:val="00BD5B4C"/>
    <w:rsid w:val="00BD61A2"/>
    <w:rsid w:val="00BE0AA5"/>
    <w:rsid w:val="00BE484D"/>
    <w:rsid w:val="00C10464"/>
    <w:rsid w:val="00C16DBD"/>
    <w:rsid w:val="00C2085C"/>
    <w:rsid w:val="00C21301"/>
    <w:rsid w:val="00C24E32"/>
    <w:rsid w:val="00C25CD1"/>
    <w:rsid w:val="00C26BF1"/>
    <w:rsid w:val="00C31A1D"/>
    <w:rsid w:val="00C32DC9"/>
    <w:rsid w:val="00C37E05"/>
    <w:rsid w:val="00C40421"/>
    <w:rsid w:val="00C40A2B"/>
    <w:rsid w:val="00C45D99"/>
    <w:rsid w:val="00C47789"/>
    <w:rsid w:val="00C54870"/>
    <w:rsid w:val="00C55D29"/>
    <w:rsid w:val="00C615FA"/>
    <w:rsid w:val="00C6252A"/>
    <w:rsid w:val="00C62A0B"/>
    <w:rsid w:val="00C63E27"/>
    <w:rsid w:val="00C65AEB"/>
    <w:rsid w:val="00C832B1"/>
    <w:rsid w:val="00C856C6"/>
    <w:rsid w:val="00CA0BE9"/>
    <w:rsid w:val="00CA138D"/>
    <w:rsid w:val="00CA24ED"/>
    <w:rsid w:val="00CA2DD7"/>
    <w:rsid w:val="00CB0531"/>
    <w:rsid w:val="00CC0C5F"/>
    <w:rsid w:val="00CC60D3"/>
    <w:rsid w:val="00CC7641"/>
    <w:rsid w:val="00CC7778"/>
    <w:rsid w:val="00CD5B4C"/>
    <w:rsid w:val="00CE529C"/>
    <w:rsid w:val="00D049A5"/>
    <w:rsid w:val="00D1225B"/>
    <w:rsid w:val="00D132AD"/>
    <w:rsid w:val="00D13794"/>
    <w:rsid w:val="00D22EF9"/>
    <w:rsid w:val="00D24052"/>
    <w:rsid w:val="00D24386"/>
    <w:rsid w:val="00D31575"/>
    <w:rsid w:val="00D34626"/>
    <w:rsid w:val="00D34FB4"/>
    <w:rsid w:val="00D4257A"/>
    <w:rsid w:val="00D46EA4"/>
    <w:rsid w:val="00D62665"/>
    <w:rsid w:val="00D65E85"/>
    <w:rsid w:val="00D66C71"/>
    <w:rsid w:val="00D71346"/>
    <w:rsid w:val="00D71D32"/>
    <w:rsid w:val="00D77C2A"/>
    <w:rsid w:val="00D81D34"/>
    <w:rsid w:val="00D82E47"/>
    <w:rsid w:val="00D87E26"/>
    <w:rsid w:val="00DA0F79"/>
    <w:rsid w:val="00DB327A"/>
    <w:rsid w:val="00DB4FD8"/>
    <w:rsid w:val="00DC0CDE"/>
    <w:rsid w:val="00DC4D72"/>
    <w:rsid w:val="00DC6597"/>
    <w:rsid w:val="00DD63F5"/>
    <w:rsid w:val="00DE45EA"/>
    <w:rsid w:val="00DF140F"/>
    <w:rsid w:val="00DF2743"/>
    <w:rsid w:val="00E0624D"/>
    <w:rsid w:val="00E10A19"/>
    <w:rsid w:val="00E133B3"/>
    <w:rsid w:val="00E13ADB"/>
    <w:rsid w:val="00E25497"/>
    <w:rsid w:val="00E276EC"/>
    <w:rsid w:val="00E34492"/>
    <w:rsid w:val="00E353A3"/>
    <w:rsid w:val="00E4438C"/>
    <w:rsid w:val="00E457F3"/>
    <w:rsid w:val="00E563E4"/>
    <w:rsid w:val="00E56BD9"/>
    <w:rsid w:val="00E5707E"/>
    <w:rsid w:val="00E60817"/>
    <w:rsid w:val="00E65D3E"/>
    <w:rsid w:val="00E65D71"/>
    <w:rsid w:val="00E728DC"/>
    <w:rsid w:val="00E80F63"/>
    <w:rsid w:val="00E86A5F"/>
    <w:rsid w:val="00E9769D"/>
    <w:rsid w:val="00EA4DD8"/>
    <w:rsid w:val="00EB175F"/>
    <w:rsid w:val="00EB1B52"/>
    <w:rsid w:val="00EB1D81"/>
    <w:rsid w:val="00EB2AEF"/>
    <w:rsid w:val="00EB7E71"/>
    <w:rsid w:val="00EC12E0"/>
    <w:rsid w:val="00EC228E"/>
    <w:rsid w:val="00EC4DF9"/>
    <w:rsid w:val="00EC73CC"/>
    <w:rsid w:val="00ED3788"/>
    <w:rsid w:val="00EF04D7"/>
    <w:rsid w:val="00EF45F9"/>
    <w:rsid w:val="00F109D4"/>
    <w:rsid w:val="00F15EE9"/>
    <w:rsid w:val="00F241A9"/>
    <w:rsid w:val="00F324FF"/>
    <w:rsid w:val="00F40DF4"/>
    <w:rsid w:val="00F45500"/>
    <w:rsid w:val="00F47585"/>
    <w:rsid w:val="00F538A3"/>
    <w:rsid w:val="00F636F4"/>
    <w:rsid w:val="00F72A33"/>
    <w:rsid w:val="00F7620F"/>
    <w:rsid w:val="00F82D77"/>
    <w:rsid w:val="00F83DD8"/>
    <w:rsid w:val="00F85E6F"/>
    <w:rsid w:val="00FB0661"/>
    <w:rsid w:val="00FB39C0"/>
    <w:rsid w:val="00FC08F8"/>
    <w:rsid w:val="00FC38D3"/>
    <w:rsid w:val="00FD3BA6"/>
    <w:rsid w:val="00FE0428"/>
    <w:rsid w:val="00FE04E4"/>
    <w:rsid w:val="00FE25EC"/>
    <w:rsid w:val="00FE73F9"/>
    <w:rsid w:val="00FF1057"/>
    <w:rsid w:val="00FF252B"/>
    <w:rsid w:val="00FF3E25"/>
    <w:rsid w:val="00FF7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A5795"/>
  <w15:docId w15:val="{9A7117F1-19CF-47AC-91DE-1F962567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B643F9"/>
    <w:pPr>
      <w:ind w:left="720"/>
      <w:contextualSpacing/>
    </w:pPr>
  </w:style>
  <w:style w:type="paragraph" w:customStyle="1" w:styleId="TableHeading">
    <w:name w:val="Table Heading"/>
    <w:basedOn w:val="Heading4"/>
    <w:next w:val="Normal"/>
    <w:uiPriority w:val="1"/>
    <w:rsid w:val="00CC7778"/>
    <w:pPr>
      <w:numPr>
        <w:ilvl w:val="4"/>
        <w:numId w:val="8"/>
      </w:numPr>
      <w:tabs>
        <w:tab w:val="clear" w:pos="1987"/>
        <w:tab w:val="num" w:pos="360"/>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CC7778"/>
    <w:pPr>
      <w:keepLines/>
      <w:numPr>
        <w:numId w:val="8"/>
      </w:numPr>
      <w:pBdr>
        <w:bottom w:val="single" w:sz="4" w:space="8" w:color="auto"/>
      </w:pBdr>
      <w:tabs>
        <w:tab w:val="clear" w:pos="2977"/>
        <w:tab w:val="num" w:pos="360"/>
      </w:tabs>
      <w:spacing w:before="0" w:after="480"/>
      <w:jc w:val="left"/>
    </w:pPr>
    <w:rPr>
      <w:rFonts w:ascii="Helvitica" w:eastAsiaTheme="majorEastAsia" w:hAnsi="Helvitica" w:cstheme="majorBidi"/>
      <w:i/>
      <w:kern w:val="0"/>
      <w:sz w:val="40"/>
      <w:szCs w:val="32"/>
      <w:u w:val="none"/>
      <w:lang w:eastAsia="en-US"/>
    </w:rPr>
  </w:style>
  <w:style w:type="paragraph" w:customStyle="1" w:styleId="DiagramHeading">
    <w:name w:val="Diagram Heading"/>
    <w:basedOn w:val="TableHeading"/>
    <w:next w:val="Normal"/>
    <w:uiPriority w:val="1"/>
    <w:rsid w:val="00CC7778"/>
    <w:pPr>
      <w:numPr>
        <w:ilvl w:val="2"/>
      </w:numPr>
      <w:tabs>
        <w:tab w:val="num" w:pos="360"/>
      </w:tabs>
      <w:ind w:left="0" w:firstLine="0"/>
    </w:pPr>
  </w:style>
  <w:style w:type="paragraph" w:customStyle="1" w:styleId="ExampleHeading">
    <w:name w:val="Example Heading"/>
    <w:basedOn w:val="TableHeading"/>
    <w:next w:val="Normal"/>
    <w:uiPriority w:val="1"/>
    <w:rsid w:val="00CC7778"/>
    <w:pPr>
      <w:numPr>
        <w:ilvl w:val="3"/>
      </w:numPr>
      <w:tabs>
        <w:tab w:val="num" w:pos="360"/>
      </w:tabs>
      <w:ind w:left="0" w:firstLine="0"/>
    </w:pPr>
  </w:style>
  <w:style w:type="paragraph" w:customStyle="1" w:styleId="Normalparatextwithnumbers">
    <w:name w:val="Normal para text (with numbers)"/>
    <w:basedOn w:val="Normal"/>
    <w:qFormat/>
    <w:rsid w:val="00CC7778"/>
    <w:pPr>
      <w:numPr>
        <w:ilvl w:val="1"/>
        <w:numId w:val="8"/>
      </w:numPr>
    </w:pPr>
    <w:rPr>
      <w:rFonts w:eastAsiaTheme="minorHAnsi" w:cstheme="minorBidi"/>
      <w:sz w:val="22"/>
      <w:szCs w:val="22"/>
      <w:lang w:eastAsia="en-US"/>
    </w:rPr>
  </w:style>
  <w:style w:type="numbering" w:customStyle="1" w:styleId="Chapternumbering">
    <w:name w:val="Chapter numbering"/>
    <w:uiPriority w:val="99"/>
    <w:rsid w:val="00CC7778"/>
    <w:pPr>
      <w:numPr>
        <w:numId w:val="8"/>
      </w:numPr>
    </w:pPr>
  </w:style>
  <w:style w:type="paragraph" w:customStyle="1" w:styleId="notedraft">
    <w:name w:val="note(draft)"/>
    <w:aliases w:val="nd"/>
    <w:basedOn w:val="Normal"/>
    <w:rsid w:val="00533F00"/>
    <w:pPr>
      <w:spacing w:before="240" w:after="0"/>
      <w:ind w:left="284" w:hanging="284"/>
    </w:pPr>
    <w:rPr>
      <w:i/>
    </w:rPr>
  </w:style>
  <w:style w:type="paragraph" w:styleId="FootnoteText">
    <w:name w:val="footnote text"/>
    <w:basedOn w:val="Normal"/>
    <w:link w:val="FootnoteTextChar"/>
    <w:uiPriority w:val="99"/>
    <w:semiHidden/>
    <w:unhideWhenUsed/>
    <w:rsid w:val="00C832B1"/>
    <w:pPr>
      <w:spacing w:before="0" w:after="0"/>
    </w:pPr>
    <w:rPr>
      <w:sz w:val="20"/>
    </w:rPr>
  </w:style>
  <w:style w:type="character" w:customStyle="1" w:styleId="FootnoteTextChar">
    <w:name w:val="Footnote Text Char"/>
    <w:basedOn w:val="DefaultParagraphFont"/>
    <w:link w:val="FootnoteText"/>
    <w:uiPriority w:val="99"/>
    <w:semiHidden/>
    <w:rsid w:val="00C832B1"/>
  </w:style>
  <w:style w:type="character" w:styleId="FootnoteReference">
    <w:name w:val="footnote reference"/>
    <w:basedOn w:val="DefaultParagraphFont"/>
    <w:uiPriority w:val="99"/>
    <w:semiHidden/>
    <w:unhideWhenUsed/>
    <w:rsid w:val="00C832B1"/>
    <w:rPr>
      <w:vertAlign w:val="superscript"/>
    </w:rPr>
  </w:style>
  <w:style w:type="character" w:styleId="UnresolvedMention">
    <w:name w:val="Unresolved Mention"/>
    <w:basedOn w:val="DefaultParagraphFont"/>
    <w:uiPriority w:val="99"/>
    <w:semiHidden/>
    <w:unhideWhenUsed/>
    <w:rsid w:val="00B34C94"/>
    <w:rPr>
      <w:color w:val="605E5C"/>
      <w:shd w:val="clear" w:color="auto" w:fill="E1DFDD"/>
    </w:rPr>
  </w:style>
  <w:style w:type="paragraph" w:styleId="Revision">
    <w:name w:val="Revision"/>
    <w:hidden/>
    <w:uiPriority w:val="99"/>
    <w:semiHidden/>
    <w:rsid w:val="00686929"/>
    <w:rPr>
      <w:sz w:val="24"/>
    </w:rPr>
  </w:style>
  <w:style w:type="paragraph" w:customStyle="1" w:styleId="SecurityClassificationHeader">
    <w:name w:val="Security Classification Header"/>
    <w:link w:val="SecurityClassificationHeaderChar"/>
    <w:rsid w:val="00A6590A"/>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A6590A"/>
    <w:rPr>
      <w:rFonts w:ascii="Calibri" w:hAnsi="Calibri" w:cs="Calibri"/>
      <w:b/>
      <w:color w:val="FF0000"/>
      <w:sz w:val="24"/>
    </w:rPr>
  </w:style>
  <w:style w:type="paragraph" w:customStyle="1" w:styleId="SecurityClassificationFooter">
    <w:name w:val="Security Classification Footer"/>
    <w:link w:val="SecurityClassificationFooterChar"/>
    <w:rsid w:val="00A6590A"/>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A6590A"/>
    <w:rPr>
      <w:rFonts w:ascii="Calibri" w:hAnsi="Calibri" w:cs="Calibri"/>
      <w:b/>
      <w:color w:val="FF0000"/>
      <w:sz w:val="24"/>
    </w:rPr>
  </w:style>
  <w:style w:type="paragraph" w:customStyle="1" w:styleId="DLMSecurityHeader">
    <w:name w:val="DLM Security Header"/>
    <w:link w:val="DLMSecurityHeaderChar"/>
    <w:rsid w:val="00A6590A"/>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A6590A"/>
    <w:rPr>
      <w:rFonts w:ascii="Calibri" w:hAnsi="Calibri" w:cs="Calibri"/>
      <w:b/>
      <w:color w:val="FF0000"/>
      <w:sz w:val="24"/>
    </w:rPr>
  </w:style>
  <w:style w:type="paragraph" w:customStyle="1" w:styleId="DLMSecurityFooter">
    <w:name w:val="DLM Security Footer"/>
    <w:link w:val="DLMSecurityFooterChar"/>
    <w:rsid w:val="00A6590A"/>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A6590A"/>
    <w:rPr>
      <w:rFonts w:ascii="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8849">
      <w:bodyDiv w:val="1"/>
      <w:marLeft w:val="0"/>
      <w:marRight w:val="0"/>
      <w:marTop w:val="0"/>
      <w:marBottom w:val="0"/>
      <w:divBdr>
        <w:top w:val="none" w:sz="0" w:space="0" w:color="auto"/>
        <w:left w:val="none" w:sz="0" w:space="0" w:color="auto"/>
        <w:bottom w:val="none" w:sz="0" w:space="0" w:color="auto"/>
        <w:right w:val="none" w:sz="0" w:space="0" w:color="auto"/>
      </w:divBdr>
    </w:div>
    <w:div w:id="598174392">
      <w:bodyDiv w:val="1"/>
      <w:marLeft w:val="0"/>
      <w:marRight w:val="0"/>
      <w:marTop w:val="0"/>
      <w:marBottom w:val="0"/>
      <w:divBdr>
        <w:top w:val="none" w:sz="0" w:space="0" w:color="auto"/>
        <w:left w:val="none" w:sz="0" w:space="0" w:color="auto"/>
        <w:bottom w:val="none" w:sz="0" w:space="0" w:color="auto"/>
        <w:right w:val="none" w:sz="0" w:space="0" w:color="auto"/>
      </w:divBdr>
    </w:div>
    <w:div w:id="671488967">
      <w:bodyDiv w:val="1"/>
      <w:marLeft w:val="0"/>
      <w:marRight w:val="0"/>
      <w:marTop w:val="0"/>
      <w:marBottom w:val="0"/>
      <w:divBdr>
        <w:top w:val="none" w:sz="0" w:space="0" w:color="auto"/>
        <w:left w:val="none" w:sz="0" w:space="0" w:color="auto"/>
        <w:bottom w:val="none" w:sz="0" w:space="0" w:color="auto"/>
        <w:right w:val="none" w:sz="0" w:space="0" w:color="auto"/>
      </w:divBdr>
    </w:div>
    <w:div w:id="1195384699">
      <w:bodyDiv w:val="1"/>
      <w:marLeft w:val="0"/>
      <w:marRight w:val="0"/>
      <w:marTop w:val="0"/>
      <w:marBottom w:val="0"/>
      <w:divBdr>
        <w:top w:val="none" w:sz="0" w:space="0" w:color="auto"/>
        <w:left w:val="none" w:sz="0" w:space="0" w:color="auto"/>
        <w:bottom w:val="none" w:sz="0" w:space="0" w:color="auto"/>
        <w:right w:val="none" w:sz="0" w:space="0" w:color="auto"/>
      </w:divBdr>
    </w:div>
    <w:div w:id="1197356732">
      <w:bodyDiv w:val="1"/>
      <w:marLeft w:val="0"/>
      <w:marRight w:val="0"/>
      <w:marTop w:val="0"/>
      <w:marBottom w:val="0"/>
      <w:divBdr>
        <w:top w:val="none" w:sz="0" w:space="0" w:color="auto"/>
        <w:left w:val="none" w:sz="0" w:space="0" w:color="auto"/>
        <w:bottom w:val="none" w:sz="0" w:space="0" w:color="auto"/>
        <w:right w:val="none" w:sz="0" w:space="0" w:color="auto"/>
      </w:divBdr>
    </w:div>
    <w:div w:id="1246065485">
      <w:bodyDiv w:val="1"/>
      <w:marLeft w:val="0"/>
      <w:marRight w:val="0"/>
      <w:marTop w:val="0"/>
      <w:marBottom w:val="0"/>
      <w:divBdr>
        <w:top w:val="none" w:sz="0" w:space="0" w:color="auto"/>
        <w:left w:val="none" w:sz="0" w:space="0" w:color="auto"/>
        <w:bottom w:val="none" w:sz="0" w:space="0" w:color="auto"/>
        <w:right w:val="none" w:sz="0" w:space="0" w:color="auto"/>
      </w:divBdr>
    </w:div>
    <w:div w:id="1317223589">
      <w:bodyDiv w:val="1"/>
      <w:marLeft w:val="0"/>
      <w:marRight w:val="0"/>
      <w:marTop w:val="0"/>
      <w:marBottom w:val="0"/>
      <w:divBdr>
        <w:top w:val="none" w:sz="0" w:space="0" w:color="auto"/>
        <w:left w:val="none" w:sz="0" w:space="0" w:color="auto"/>
        <w:bottom w:val="none" w:sz="0" w:space="0" w:color="auto"/>
        <w:right w:val="none" w:sz="0" w:space="0" w:color="auto"/>
      </w:divBdr>
    </w:div>
    <w:div w:id="1427340360">
      <w:bodyDiv w:val="1"/>
      <w:marLeft w:val="0"/>
      <w:marRight w:val="0"/>
      <w:marTop w:val="0"/>
      <w:marBottom w:val="0"/>
      <w:divBdr>
        <w:top w:val="none" w:sz="0" w:space="0" w:color="auto"/>
        <w:left w:val="none" w:sz="0" w:space="0" w:color="auto"/>
        <w:bottom w:val="none" w:sz="0" w:space="0" w:color="auto"/>
        <w:right w:val="none" w:sz="0" w:space="0" w:color="auto"/>
      </w:divBdr>
    </w:div>
    <w:div w:id="1474177084">
      <w:bodyDiv w:val="1"/>
      <w:marLeft w:val="0"/>
      <w:marRight w:val="0"/>
      <w:marTop w:val="0"/>
      <w:marBottom w:val="0"/>
      <w:divBdr>
        <w:top w:val="none" w:sz="0" w:space="0" w:color="auto"/>
        <w:left w:val="none" w:sz="0" w:space="0" w:color="auto"/>
        <w:bottom w:val="none" w:sz="0" w:space="0" w:color="auto"/>
        <w:right w:val="none" w:sz="0" w:space="0" w:color="auto"/>
      </w:divBdr>
    </w:div>
    <w:div w:id="1484813958">
      <w:bodyDiv w:val="1"/>
      <w:marLeft w:val="0"/>
      <w:marRight w:val="0"/>
      <w:marTop w:val="0"/>
      <w:marBottom w:val="0"/>
      <w:divBdr>
        <w:top w:val="none" w:sz="0" w:space="0" w:color="auto"/>
        <w:left w:val="none" w:sz="0" w:space="0" w:color="auto"/>
        <w:bottom w:val="none" w:sz="0" w:space="0" w:color="auto"/>
        <w:right w:val="none" w:sz="0" w:space="0" w:color="auto"/>
      </w:divBdr>
    </w:div>
    <w:div w:id="1519200400">
      <w:bodyDiv w:val="1"/>
      <w:marLeft w:val="0"/>
      <w:marRight w:val="0"/>
      <w:marTop w:val="0"/>
      <w:marBottom w:val="0"/>
      <w:divBdr>
        <w:top w:val="none" w:sz="0" w:space="0" w:color="auto"/>
        <w:left w:val="none" w:sz="0" w:space="0" w:color="auto"/>
        <w:bottom w:val="none" w:sz="0" w:space="0" w:color="auto"/>
        <w:right w:val="none" w:sz="0" w:space="0" w:color="auto"/>
      </w:divBdr>
    </w:div>
    <w:div w:id="169341581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1297006">
      <w:bodyDiv w:val="1"/>
      <w:marLeft w:val="0"/>
      <w:marRight w:val="0"/>
      <w:marTop w:val="0"/>
      <w:marBottom w:val="0"/>
      <w:divBdr>
        <w:top w:val="none" w:sz="0" w:space="0" w:color="auto"/>
        <w:left w:val="none" w:sz="0" w:space="0" w:color="auto"/>
        <w:bottom w:val="none" w:sz="0" w:space="0" w:color="auto"/>
        <w:right w:val="none" w:sz="0" w:space="0" w:color="auto"/>
      </w:divBdr>
    </w:div>
    <w:div w:id="20941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cgi-bin/sinodisp/au/other/dfat/treaties/ATNIF/2022/6.html?stem=0&amp;synonyms=0&amp;query=title(India)" TargetMode="External"/><Relationship Id="rId2" Type="http://schemas.openxmlformats.org/officeDocument/2006/relationships/hyperlink" Target="http://www.austlii.edu.au/cgi-bin/sinodisp/au/other/dfat/treaties/ATNIF/2022/6.html?stem=0&amp;synonyms=0&amp;query=title(India)" TargetMode="External"/><Relationship Id="rId1" Type="http://schemas.openxmlformats.org/officeDocument/2006/relationships/hyperlink" Target="https://www.aph.gov.au/Parliamentary_Business/Committees/Joint/Treaties/AI-ECTA/Terms_of_Re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551CB5BA1431C877BBCBDA6B352DE"/>
        <w:category>
          <w:name w:val="General"/>
          <w:gallery w:val="placeholder"/>
        </w:category>
        <w:types>
          <w:type w:val="bbPlcHdr"/>
        </w:types>
        <w:behaviors>
          <w:behavior w:val="content"/>
        </w:behaviors>
        <w:guid w:val="{29CCA6FC-7EA6-43C9-B5BB-85A268B8641A}"/>
      </w:docPartPr>
      <w:docPartBody>
        <w:p w:rsidR="008C1703" w:rsidRDefault="008C1703">
          <w:pPr>
            <w:pStyle w:val="4EB551CB5BA1431C877BBCBDA6B352DE"/>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03"/>
    <w:rsid w:val="0005576B"/>
    <w:rsid w:val="0034216D"/>
    <w:rsid w:val="003A126D"/>
    <w:rsid w:val="008C1703"/>
    <w:rsid w:val="00A90FCD"/>
    <w:rsid w:val="00BA2971"/>
    <w:rsid w:val="00F265E4"/>
    <w:rsid w:val="00F53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B551CB5BA1431C877BBCBDA6B352DE">
    <w:name w:val="4EB551CB5BA1431C877BBCBDA6B35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2022RG-111-25975</_dlc_DocId>
    <_dlc_DocIdUrl xmlns="0f563589-9cf9-4143-b1eb-fb0534803d38">
      <Url>http://tweb/sites/rg/ldp/lmu/_layouts/15/DocIdRedir.aspx?ID=2022RG-111-25975</Url>
      <Description>2022RG-111-25975</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28" ma:contentTypeDescription=" " ma:contentTypeScope="" ma:versionID="068e1b611f00095fc589cd62f23b112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purl.org/dc/dcmitype/"/>
    <ds:schemaRef ds:uri="9f7bc583-7cbe-45b9-a2bd-8bbb6543b37e"/>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sharepoint/v4"/>
    <ds:schemaRef ds:uri="0f563589-9cf9-4143-b1eb-fb0534803d38"/>
    <ds:schemaRef ds:uri="http://schemas.microsoft.com/sharepoint/v3"/>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2671E381-7751-43E1-BC98-3BC3BA7203CF}">
  <ds:schemaRefs>
    <ds:schemaRef ds:uri="http://schemas.microsoft.com/sharepoint/events"/>
  </ds:schemaRefs>
</ds:datastoreItem>
</file>

<file path=customXml/itemProps6.xml><?xml version="1.0" encoding="utf-8"?>
<ds:datastoreItem xmlns:ds="http://schemas.openxmlformats.org/officeDocument/2006/customXml" ds:itemID="{558735C9-254F-4A93-A06A-6C785EAC9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8</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Takaindisa, Terence</dc:creator>
  <cp:lastModifiedBy>Halse, Katie</cp:lastModifiedBy>
  <cp:revision>2</cp:revision>
  <cp:lastPrinted>2019-02-17T23:23:00Z</cp:lastPrinted>
  <dcterms:created xsi:type="dcterms:W3CDTF">2022-11-23T23:21:00Z</dcterms:created>
  <dcterms:modified xsi:type="dcterms:W3CDTF">2022-11-23T23:21:00Z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0d700e09-41a0-476e-b1c9-7e10cea02098</vt:lpwstr>
  </property>
  <property fmtid="{D5CDD505-2E9C-101B-9397-08002B2CF9AE}" pid="6" name="TSYTopic">
    <vt:lpwstr/>
  </property>
  <property fmtid="{D5CDD505-2E9C-101B-9397-08002B2CF9AE}" pid="7" name="WorkingDocStatus">
    <vt:lpwstr/>
  </property>
</Properties>
</file>