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1B4F" w14:textId="77777777" w:rsidR="001F2A16" w:rsidRPr="00E737CE" w:rsidRDefault="001F2A16" w:rsidP="00EB03FA">
      <w:pPr>
        <w:pStyle w:val="Header"/>
        <w:pBdr>
          <w:top w:val="single" w:sz="4" w:space="1" w:color="auto"/>
          <w:bottom w:val="single" w:sz="4" w:space="1" w:color="auto"/>
        </w:pBdr>
        <w:tabs>
          <w:tab w:val="clear" w:pos="4153"/>
          <w:tab w:val="clear" w:pos="8306"/>
        </w:tabs>
        <w:spacing w:after="240"/>
        <w:jc w:val="center"/>
        <w:rPr>
          <w:rFonts w:ascii="Arial" w:hAnsi="Arial" w:cs="Arial"/>
          <w:sz w:val="34"/>
          <w:szCs w:val="34"/>
        </w:rPr>
      </w:pPr>
      <w:r w:rsidRPr="00E737CE">
        <w:rPr>
          <w:rFonts w:ascii="Arial" w:hAnsi="Arial" w:cs="Arial"/>
          <w:sz w:val="34"/>
          <w:szCs w:val="34"/>
        </w:rPr>
        <w:t>Explanatory Statement</w:t>
      </w:r>
    </w:p>
    <w:p w14:paraId="45741BC7" w14:textId="2D8CDD68" w:rsidR="005E692F" w:rsidRPr="00E737CE" w:rsidRDefault="00D20D13" w:rsidP="00EB03FA">
      <w:pPr>
        <w:pStyle w:val="Header"/>
        <w:pBdr>
          <w:top w:val="single" w:sz="4" w:space="1" w:color="auto"/>
          <w:bottom w:val="sing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iCs/>
          <w:sz w:val="34"/>
          <w:szCs w:val="34"/>
        </w:rPr>
      </w:pPr>
      <w:r w:rsidRPr="00E737CE">
        <w:rPr>
          <w:rFonts w:ascii="Arial" w:hAnsi="Arial" w:cs="Arial"/>
          <w:iCs/>
          <w:sz w:val="34"/>
          <w:szCs w:val="34"/>
        </w:rPr>
        <w:t>Taxation Administration (Remedial Power</w:t>
      </w:r>
      <w:r w:rsidR="00073918" w:rsidRPr="00E737CE">
        <w:rPr>
          <w:rFonts w:ascii="Arial" w:hAnsi="Arial" w:cs="Arial"/>
          <w:iCs/>
          <w:sz w:val="34"/>
          <w:szCs w:val="34"/>
        </w:rPr>
        <w:t xml:space="preserve"> – </w:t>
      </w:r>
      <w:r w:rsidR="0049751B">
        <w:rPr>
          <w:rFonts w:ascii="Arial" w:hAnsi="Arial" w:cs="Arial"/>
          <w:iCs/>
          <w:sz w:val="34"/>
          <w:szCs w:val="34"/>
        </w:rPr>
        <w:t>Disclosure of Protected Information by Taxation Officers</w:t>
      </w:r>
      <w:r w:rsidRPr="00E737CE">
        <w:rPr>
          <w:rFonts w:ascii="Arial" w:hAnsi="Arial" w:cs="Arial"/>
          <w:iCs/>
          <w:sz w:val="34"/>
          <w:szCs w:val="34"/>
        </w:rPr>
        <w:t>)</w:t>
      </w:r>
    </w:p>
    <w:p w14:paraId="6B8F7B13" w14:textId="434432B9" w:rsidR="009371D0" w:rsidRPr="00E737CE" w:rsidRDefault="004D063B" w:rsidP="00EB03FA">
      <w:pPr>
        <w:pStyle w:val="Header"/>
        <w:pBdr>
          <w:top w:val="single" w:sz="4" w:space="1" w:color="auto"/>
          <w:bottom w:val="sing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iCs/>
          <w:sz w:val="34"/>
          <w:szCs w:val="34"/>
        </w:rPr>
      </w:pPr>
      <w:r>
        <w:rPr>
          <w:rFonts w:ascii="Arial" w:hAnsi="Arial" w:cs="Arial"/>
          <w:iCs/>
          <w:sz w:val="34"/>
          <w:szCs w:val="34"/>
        </w:rPr>
        <w:t>Repeal</w:t>
      </w:r>
      <w:r w:rsidR="001E3112">
        <w:rPr>
          <w:rFonts w:ascii="Arial" w:hAnsi="Arial" w:cs="Arial"/>
          <w:iCs/>
          <w:sz w:val="34"/>
          <w:szCs w:val="34"/>
        </w:rPr>
        <w:t xml:space="preserve"> </w:t>
      </w:r>
      <w:r w:rsidR="00E356DC" w:rsidRPr="00E737CE">
        <w:rPr>
          <w:rFonts w:ascii="Arial" w:hAnsi="Arial" w:cs="Arial"/>
          <w:iCs/>
          <w:sz w:val="34"/>
          <w:szCs w:val="34"/>
        </w:rPr>
        <w:t>Determination</w:t>
      </w:r>
      <w:r w:rsidR="00D20D13" w:rsidRPr="00E737CE">
        <w:rPr>
          <w:rFonts w:ascii="Arial" w:hAnsi="Arial" w:cs="Arial"/>
          <w:iCs/>
          <w:sz w:val="34"/>
          <w:szCs w:val="34"/>
        </w:rPr>
        <w:t xml:space="preserve"> 202</w:t>
      </w:r>
      <w:r w:rsidR="0049751B">
        <w:rPr>
          <w:rFonts w:ascii="Arial" w:hAnsi="Arial" w:cs="Arial"/>
          <w:iCs/>
          <w:sz w:val="34"/>
          <w:szCs w:val="34"/>
        </w:rPr>
        <w:t>2</w:t>
      </w:r>
    </w:p>
    <w:p w14:paraId="15AC1B52" w14:textId="5B65CDA8" w:rsidR="0099555F" w:rsidRPr="00FB63F0" w:rsidRDefault="0099555F" w:rsidP="00FB63F0">
      <w:pPr>
        <w:rPr>
          <w:rFonts w:ascii="Arial" w:hAnsi="Arial" w:cs="Arial"/>
          <w:sz w:val="22"/>
          <w:szCs w:val="22"/>
        </w:rPr>
      </w:pPr>
    </w:p>
    <w:p w14:paraId="15AC1B53" w14:textId="77777777" w:rsidR="001F2A16" w:rsidRPr="00FB63F0" w:rsidRDefault="001F2A16" w:rsidP="00FB63F0">
      <w:pPr>
        <w:rPr>
          <w:rFonts w:ascii="Arial" w:hAnsi="Arial" w:cs="Arial"/>
          <w:sz w:val="22"/>
          <w:szCs w:val="22"/>
        </w:rPr>
      </w:pPr>
    </w:p>
    <w:p w14:paraId="15AC1B54" w14:textId="22722DE5" w:rsidR="00486653" w:rsidRPr="00E737CE" w:rsidRDefault="00486653" w:rsidP="00073918">
      <w:pPr>
        <w:pStyle w:val="Heading2"/>
      </w:pPr>
      <w:r w:rsidRPr="00E737CE">
        <w:t xml:space="preserve">General </w:t>
      </w:r>
      <w:r w:rsidR="00076131">
        <w:t>o</w:t>
      </w:r>
      <w:r w:rsidRPr="00E737CE">
        <w:t xml:space="preserve">utline of </w:t>
      </w:r>
      <w:r w:rsidR="00076131">
        <w:t>i</w:t>
      </w:r>
      <w:r w:rsidRPr="00E737CE">
        <w:t>nstrument</w:t>
      </w:r>
    </w:p>
    <w:p w14:paraId="5C32D06E" w14:textId="77777777" w:rsidR="00EB03FA" w:rsidRDefault="00486653" w:rsidP="00E737CE">
      <w:pPr>
        <w:numPr>
          <w:ilvl w:val="0"/>
          <w:numId w:val="1"/>
        </w:numPr>
        <w:tabs>
          <w:tab w:val="clear" w:pos="36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E737CE">
        <w:rPr>
          <w:rFonts w:ascii="Arial" w:hAnsi="Arial" w:cs="Arial"/>
          <w:sz w:val="22"/>
          <w:szCs w:val="22"/>
        </w:rPr>
        <w:t>This instrument is made under</w:t>
      </w:r>
      <w:r w:rsidR="00BE49C4" w:rsidRPr="00E737CE">
        <w:rPr>
          <w:rFonts w:ascii="Arial" w:hAnsi="Arial" w:cs="Arial"/>
          <w:sz w:val="22"/>
          <w:szCs w:val="22"/>
        </w:rPr>
        <w:t xml:space="preserve"> s</w:t>
      </w:r>
      <w:r w:rsidR="00207F11" w:rsidRPr="00E737CE">
        <w:rPr>
          <w:rFonts w:ascii="Arial" w:hAnsi="Arial" w:cs="Arial"/>
          <w:sz w:val="22"/>
          <w:szCs w:val="22"/>
        </w:rPr>
        <w:t>ection 370</w:t>
      </w:r>
      <w:r w:rsidR="0075603F">
        <w:rPr>
          <w:rFonts w:ascii="Arial" w:hAnsi="Arial" w:cs="Arial"/>
          <w:sz w:val="22"/>
          <w:szCs w:val="22"/>
        </w:rPr>
        <w:noBreakHyphen/>
      </w:r>
      <w:r w:rsidR="009708EB">
        <w:rPr>
          <w:rFonts w:ascii="Arial" w:hAnsi="Arial" w:cs="Arial"/>
          <w:sz w:val="22"/>
          <w:szCs w:val="22"/>
        </w:rPr>
        <w:t>1</w:t>
      </w:r>
      <w:r w:rsidR="00207F11" w:rsidRPr="00E737CE">
        <w:rPr>
          <w:rFonts w:ascii="Arial" w:hAnsi="Arial" w:cs="Arial"/>
          <w:sz w:val="22"/>
          <w:szCs w:val="22"/>
        </w:rPr>
        <w:t xml:space="preserve">5 of Schedule 1 to the </w:t>
      </w:r>
      <w:r w:rsidR="00207F11" w:rsidRPr="00E737CE">
        <w:rPr>
          <w:rFonts w:ascii="Arial" w:hAnsi="Arial" w:cs="Arial"/>
          <w:i/>
          <w:sz w:val="22"/>
          <w:szCs w:val="22"/>
        </w:rPr>
        <w:t>Taxation Administration Act</w:t>
      </w:r>
      <w:r w:rsidR="0075603F">
        <w:rPr>
          <w:rFonts w:ascii="Arial" w:hAnsi="Arial" w:cs="Arial"/>
          <w:sz w:val="22"/>
          <w:szCs w:val="22"/>
        </w:rPr>
        <w:t> </w:t>
      </w:r>
      <w:r w:rsidR="00207F11" w:rsidRPr="00E737CE">
        <w:rPr>
          <w:rFonts w:ascii="Arial" w:hAnsi="Arial" w:cs="Arial"/>
          <w:i/>
          <w:sz w:val="22"/>
          <w:szCs w:val="22"/>
        </w:rPr>
        <w:t>1953</w:t>
      </w:r>
      <w:r w:rsidR="00207F11" w:rsidRPr="00E737CE">
        <w:rPr>
          <w:rFonts w:ascii="Arial" w:hAnsi="Arial" w:cs="Arial"/>
          <w:sz w:val="22"/>
          <w:szCs w:val="22"/>
        </w:rPr>
        <w:t xml:space="preserve"> (</w:t>
      </w:r>
      <w:r w:rsidR="00466CD7">
        <w:rPr>
          <w:rFonts w:ascii="Arial" w:hAnsi="Arial" w:cs="Arial"/>
          <w:sz w:val="22"/>
          <w:szCs w:val="22"/>
        </w:rPr>
        <w:t>TAA</w:t>
      </w:r>
      <w:r w:rsidR="00207F11" w:rsidRPr="00E737CE">
        <w:rPr>
          <w:rFonts w:ascii="Arial" w:hAnsi="Arial" w:cs="Arial"/>
          <w:sz w:val="22"/>
          <w:szCs w:val="22"/>
        </w:rPr>
        <w:t>)</w:t>
      </w:r>
      <w:r w:rsidR="001A4EBB">
        <w:rPr>
          <w:rFonts w:ascii="Arial" w:hAnsi="Arial" w:cs="Arial"/>
          <w:sz w:val="22"/>
          <w:szCs w:val="22"/>
        </w:rPr>
        <w:t>. Section 370-15 provides the Commissioner with an express power to repeal a determination made under section 370-5</w:t>
      </w:r>
      <w:r w:rsidR="00BE49C4" w:rsidRPr="00E737CE">
        <w:rPr>
          <w:rFonts w:ascii="Arial" w:hAnsi="Arial" w:cs="Arial"/>
          <w:sz w:val="22"/>
          <w:szCs w:val="22"/>
        </w:rPr>
        <w:t>.</w:t>
      </w:r>
    </w:p>
    <w:p w14:paraId="70DBBB4B" w14:textId="39ADD0DF" w:rsidR="00797A9A" w:rsidRPr="00797A9A" w:rsidRDefault="001A4EBB" w:rsidP="006E68C2">
      <w:pPr>
        <w:numPr>
          <w:ilvl w:val="0"/>
          <w:numId w:val="1"/>
        </w:numPr>
        <w:tabs>
          <w:tab w:val="clear" w:pos="36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instrument </w:t>
      </w:r>
      <w:r w:rsidR="001E3112">
        <w:rPr>
          <w:rFonts w:ascii="Arial" w:hAnsi="Arial" w:cs="Arial"/>
          <w:sz w:val="22"/>
          <w:szCs w:val="22"/>
        </w:rPr>
        <w:t>repeals</w:t>
      </w:r>
      <w:r w:rsidR="006E68C2">
        <w:rPr>
          <w:rFonts w:ascii="Arial" w:hAnsi="Arial" w:cs="Arial"/>
          <w:sz w:val="22"/>
          <w:szCs w:val="22"/>
        </w:rPr>
        <w:t xml:space="preserve"> the </w:t>
      </w:r>
      <w:r w:rsidR="006E68C2">
        <w:rPr>
          <w:rFonts w:ascii="Arial" w:hAnsi="Arial" w:cs="Arial"/>
          <w:i/>
          <w:sz w:val="22"/>
          <w:szCs w:val="22"/>
        </w:rPr>
        <w:t xml:space="preserve">Taxation Administration (Remedial Power – </w:t>
      </w:r>
      <w:r w:rsidR="0049751B">
        <w:rPr>
          <w:rFonts w:ascii="Arial" w:hAnsi="Arial" w:cs="Arial"/>
          <w:i/>
          <w:sz w:val="22"/>
          <w:szCs w:val="22"/>
        </w:rPr>
        <w:t>Disclosure of Protected Information by Taxation Officers</w:t>
      </w:r>
      <w:r w:rsidR="006E68C2">
        <w:rPr>
          <w:rFonts w:ascii="Arial" w:hAnsi="Arial" w:cs="Arial"/>
          <w:i/>
          <w:sz w:val="22"/>
          <w:szCs w:val="22"/>
        </w:rPr>
        <w:t xml:space="preserve">) Determination 2020 </w:t>
      </w:r>
      <w:r w:rsidR="006E68C2">
        <w:rPr>
          <w:rFonts w:ascii="Arial" w:hAnsi="Arial" w:cs="Arial"/>
          <w:iCs/>
          <w:sz w:val="22"/>
          <w:szCs w:val="22"/>
        </w:rPr>
        <w:t>(</w:t>
      </w:r>
      <w:r w:rsidR="00657B0B">
        <w:rPr>
          <w:rFonts w:ascii="Arial" w:hAnsi="Arial" w:cs="Arial"/>
          <w:iCs/>
          <w:sz w:val="22"/>
          <w:szCs w:val="22"/>
        </w:rPr>
        <w:t xml:space="preserve">the </w:t>
      </w:r>
      <w:r w:rsidR="00843317">
        <w:rPr>
          <w:rFonts w:ascii="Arial" w:hAnsi="Arial" w:cs="Arial"/>
          <w:iCs/>
          <w:sz w:val="22"/>
          <w:szCs w:val="22"/>
        </w:rPr>
        <w:t>p</w:t>
      </w:r>
      <w:r w:rsidR="006E68C2">
        <w:rPr>
          <w:rFonts w:ascii="Arial" w:hAnsi="Arial" w:cs="Arial"/>
          <w:iCs/>
          <w:sz w:val="22"/>
          <w:szCs w:val="22"/>
        </w:rPr>
        <w:t xml:space="preserve">rincipal </w:t>
      </w:r>
      <w:r w:rsidR="00843317">
        <w:rPr>
          <w:rFonts w:ascii="Arial" w:hAnsi="Arial" w:cs="Arial"/>
          <w:iCs/>
          <w:sz w:val="22"/>
          <w:szCs w:val="22"/>
        </w:rPr>
        <w:t>i</w:t>
      </w:r>
      <w:r w:rsidR="006E68C2">
        <w:rPr>
          <w:rFonts w:ascii="Arial" w:hAnsi="Arial" w:cs="Arial"/>
          <w:iCs/>
          <w:sz w:val="22"/>
          <w:szCs w:val="22"/>
        </w:rPr>
        <w:t>nstrument)</w:t>
      </w:r>
      <w:r w:rsidR="00FA4906">
        <w:rPr>
          <w:rFonts w:ascii="Arial" w:hAnsi="Arial" w:cs="Arial"/>
          <w:iCs/>
          <w:sz w:val="22"/>
          <w:szCs w:val="22"/>
        </w:rPr>
        <w:t>, which was made under section 370-5</w:t>
      </w:r>
      <w:r w:rsidR="0049751B">
        <w:rPr>
          <w:rFonts w:ascii="Arial" w:hAnsi="Arial" w:cs="Arial"/>
          <w:iCs/>
          <w:sz w:val="22"/>
          <w:szCs w:val="22"/>
        </w:rPr>
        <w:t>.</w:t>
      </w:r>
    </w:p>
    <w:p w14:paraId="674E367D" w14:textId="77777777" w:rsidR="00EB03FA" w:rsidRDefault="001A4EBB" w:rsidP="00E737CE">
      <w:pPr>
        <w:numPr>
          <w:ilvl w:val="0"/>
          <w:numId w:val="1"/>
        </w:numPr>
        <w:tabs>
          <w:tab w:val="clear" w:pos="36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</w:t>
      </w:r>
      <w:r w:rsidR="00486653" w:rsidRPr="00E737CE">
        <w:rPr>
          <w:rFonts w:ascii="Arial" w:hAnsi="Arial" w:cs="Arial"/>
          <w:sz w:val="22"/>
          <w:szCs w:val="22"/>
        </w:rPr>
        <w:t xml:space="preserve">is a legislative instrument for the purposes of the </w:t>
      </w:r>
      <w:r w:rsidR="00C4143E" w:rsidRPr="00E737CE">
        <w:rPr>
          <w:rFonts w:ascii="Arial" w:hAnsi="Arial" w:cs="Arial"/>
          <w:i/>
          <w:sz w:val="22"/>
          <w:szCs w:val="22"/>
        </w:rPr>
        <w:t xml:space="preserve">Legislation </w:t>
      </w:r>
      <w:r w:rsidR="00486653" w:rsidRPr="00E737CE">
        <w:rPr>
          <w:rFonts w:ascii="Arial" w:hAnsi="Arial" w:cs="Arial"/>
          <w:i/>
          <w:sz w:val="22"/>
          <w:szCs w:val="22"/>
        </w:rPr>
        <w:t>Act 2003</w:t>
      </w:r>
      <w:r w:rsidR="00486653" w:rsidRPr="00E737CE">
        <w:rPr>
          <w:rFonts w:ascii="Arial" w:hAnsi="Arial" w:cs="Arial"/>
          <w:sz w:val="22"/>
          <w:szCs w:val="22"/>
        </w:rPr>
        <w:t>.</w:t>
      </w:r>
    </w:p>
    <w:p w14:paraId="29854683" w14:textId="2472E880" w:rsidR="00BB2958" w:rsidRPr="00E737CE" w:rsidRDefault="00BB2958" w:rsidP="00E737CE">
      <w:pPr>
        <w:spacing w:after="120"/>
        <w:rPr>
          <w:rFonts w:ascii="Arial" w:hAnsi="Arial" w:cs="Arial"/>
          <w:sz w:val="22"/>
          <w:szCs w:val="22"/>
        </w:rPr>
      </w:pPr>
    </w:p>
    <w:p w14:paraId="15AC1B63" w14:textId="4938F7BF" w:rsidR="001D02E6" w:rsidRPr="00E737CE" w:rsidRDefault="001D02E6" w:rsidP="00073918">
      <w:pPr>
        <w:pStyle w:val="Heading2"/>
      </w:pPr>
      <w:r w:rsidRPr="00E737CE">
        <w:t>Date of effect</w:t>
      </w:r>
    </w:p>
    <w:p w14:paraId="15AC1B65" w14:textId="79393A5C" w:rsidR="00222AFB" w:rsidRPr="00E737CE" w:rsidRDefault="002225D2" w:rsidP="00E737CE">
      <w:pPr>
        <w:numPr>
          <w:ilvl w:val="0"/>
          <w:numId w:val="1"/>
        </w:numPr>
        <w:tabs>
          <w:tab w:val="clear" w:pos="36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E737CE">
        <w:rPr>
          <w:rFonts w:ascii="Arial" w:hAnsi="Arial" w:cs="Arial"/>
          <w:sz w:val="22"/>
          <w:szCs w:val="22"/>
        </w:rPr>
        <w:t>Under</w:t>
      </w:r>
      <w:r w:rsidR="00156843" w:rsidRPr="00E737CE">
        <w:rPr>
          <w:rFonts w:ascii="Arial" w:hAnsi="Arial" w:cs="Arial"/>
          <w:sz w:val="22"/>
          <w:szCs w:val="22"/>
        </w:rPr>
        <w:t xml:space="preserve"> section 370</w:t>
      </w:r>
      <w:r w:rsidR="0075603F">
        <w:rPr>
          <w:rFonts w:ascii="Arial" w:hAnsi="Arial" w:cs="Arial"/>
          <w:sz w:val="22"/>
          <w:szCs w:val="22"/>
        </w:rPr>
        <w:noBreakHyphen/>
      </w:r>
      <w:r w:rsidR="00156843" w:rsidRPr="00E737CE">
        <w:rPr>
          <w:rFonts w:ascii="Arial" w:hAnsi="Arial" w:cs="Arial"/>
          <w:sz w:val="22"/>
          <w:szCs w:val="22"/>
        </w:rPr>
        <w:t>20</w:t>
      </w:r>
      <w:r w:rsidR="001A4EBB">
        <w:rPr>
          <w:rFonts w:ascii="Arial" w:hAnsi="Arial" w:cs="Arial"/>
          <w:sz w:val="22"/>
          <w:szCs w:val="22"/>
        </w:rPr>
        <w:t xml:space="preserve"> of Schedule 1 to the TAA</w:t>
      </w:r>
      <w:r w:rsidR="00156843" w:rsidRPr="00E737CE">
        <w:rPr>
          <w:rFonts w:ascii="Arial" w:hAnsi="Arial" w:cs="Arial"/>
          <w:sz w:val="22"/>
          <w:szCs w:val="22"/>
        </w:rPr>
        <w:t>, t</w:t>
      </w:r>
      <w:r w:rsidR="00222AFB" w:rsidRPr="00E737CE">
        <w:rPr>
          <w:rFonts w:ascii="Arial" w:hAnsi="Arial" w:cs="Arial"/>
          <w:sz w:val="22"/>
          <w:szCs w:val="22"/>
        </w:rPr>
        <w:t xml:space="preserve">his instrument commences on </w:t>
      </w:r>
      <w:r w:rsidR="00156843" w:rsidRPr="00E737CE">
        <w:rPr>
          <w:rFonts w:ascii="Arial" w:hAnsi="Arial" w:cs="Arial"/>
          <w:sz w:val="22"/>
          <w:szCs w:val="22"/>
        </w:rPr>
        <w:t xml:space="preserve">the first day </w:t>
      </w:r>
      <w:r w:rsidR="00FA4906">
        <w:rPr>
          <w:rFonts w:ascii="Arial" w:hAnsi="Arial" w:cs="Arial"/>
          <w:sz w:val="22"/>
          <w:szCs w:val="22"/>
        </w:rPr>
        <w:t xml:space="preserve">that it </w:t>
      </w:r>
      <w:r w:rsidR="00156843" w:rsidRPr="00E737CE">
        <w:rPr>
          <w:rFonts w:ascii="Arial" w:hAnsi="Arial" w:cs="Arial"/>
          <w:sz w:val="22"/>
          <w:szCs w:val="22"/>
        </w:rPr>
        <w:t>is no longer liable to be disallowed, or to be taken to have been disallowed</w:t>
      </w:r>
      <w:r w:rsidR="00FA4906">
        <w:rPr>
          <w:rFonts w:ascii="Arial" w:hAnsi="Arial" w:cs="Arial"/>
          <w:sz w:val="22"/>
          <w:szCs w:val="22"/>
        </w:rPr>
        <w:t>,</w:t>
      </w:r>
      <w:r w:rsidR="00156843" w:rsidRPr="00E737CE">
        <w:rPr>
          <w:rFonts w:ascii="Arial" w:hAnsi="Arial" w:cs="Arial"/>
          <w:sz w:val="22"/>
          <w:szCs w:val="22"/>
        </w:rPr>
        <w:t xml:space="preserve"> under section</w:t>
      </w:r>
      <w:r w:rsidR="0075603F">
        <w:rPr>
          <w:rFonts w:ascii="Arial" w:hAnsi="Arial" w:cs="Arial"/>
          <w:sz w:val="22"/>
          <w:szCs w:val="22"/>
        </w:rPr>
        <w:t> </w:t>
      </w:r>
      <w:r w:rsidR="00156843" w:rsidRPr="00E737CE">
        <w:rPr>
          <w:rFonts w:ascii="Arial" w:hAnsi="Arial" w:cs="Arial"/>
          <w:sz w:val="22"/>
          <w:szCs w:val="22"/>
        </w:rPr>
        <w:t xml:space="preserve">42 of the </w:t>
      </w:r>
      <w:r w:rsidR="00156843" w:rsidRPr="00E737CE">
        <w:rPr>
          <w:rFonts w:ascii="Arial" w:hAnsi="Arial" w:cs="Arial"/>
          <w:i/>
          <w:sz w:val="22"/>
          <w:szCs w:val="22"/>
        </w:rPr>
        <w:t>L</w:t>
      </w:r>
      <w:r w:rsidR="00222AFB" w:rsidRPr="00E737CE">
        <w:rPr>
          <w:rFonts w:ascii="Arial" w:hAnsi="Arial" w:cs="Arial"/>
          <w:i/>
          <w:sz w:val="22"/>
          <w:szCs w:val="22"/>
        </w:rPr>
        <w:t>egislation</w:t>
      </w:r>
      <w:r w:rsidR="00156843" w:rsidRPr="00E737CE">
        <w:rPr>
          <w:rFonts w:ascii="Arial" w:hAnsi="Arial" w:cs="Arial"/>
          <w:i/>
          <w:sz w:val="22"/>
          <w:szCs w:val="22"/>
        </w:rPr>
        <w:t xml:space="preserve"> Act 2003</w:t>
      </w:r>
      <w:r w:rsidR="00222AFB" w:rsidRPr="00E737CE">
        <w:rPr>
          <w:rFonts w:ascii="Arial" w:hAnsi="Arial" w:cs="Arial"/>
          <w:sz w:val="22"/>
          <w:szCs w:val="22"/>
        </w:rPr>
        <w:t>.</w:t>
      </w:r>
    </w:p>
    <w:p w14:paraId="15AC1B6B" w14:textId="77777777" w:rsidR="00486653" w:rsidRPr="00E737CE" w:rsidRDefault="00486653" w:rsidP="00073918">
      <w:pPr>
        <w:spacing w:after="120"/>
        <w:rPr>
          <w:rFonts w:ascii="Arial" w:hAnsi="Arial" w:cs="Arial"/>
          <w:sz w:val="22"/>
          <w:szCs w:val="22"/>
        </w:rPr>
      </w:pPr>
    </w:p>
    <w:p w14:paraId="15AC1B6C" w14:textId="2380D482" w:rsidR="00486653" w:rsidRPr="00E737CE" w:rsidRDefault="00076131" w:rsidP="00073918">
      <w:pPr>
        <w:pStyle w:val="Heading2"/>
      </w:pPr>
      <w:r>
        <w:t>E</w:t>
      </w:r>
      <w:r w:rsidR="00486653" w:rsidRPr="00E737CE">
        <w:t>ffect of this instrument</w:t>
      </w:r>
    </w:p>
    <w:p w14:paraId="4AA627E7" w14:textId="77777777" w:rsidR="00EB03FA" w:rsidRDefault="009650B0" w:rsidP="006D2B12">
      <w:pPr>
        <w:numPr>
          <w:ilvl w:val="0"/>
          <w:numId w:val="1"/>
        </w:numPr>
        <w:tabs>
          <w:tab w:val="clear" w:pos="36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E737CE">
        <w:rPr>
          <w:rFonts w:ascii="Arial" w:hAnsi="Arial" w:cs="Arial"/>
          <w:sz w:val="22"/>
          <w:szCs w:val="22"/>
        </w:rPr>
        <w:t>Th</w:t>
      </w:r>
      <w:r w:rsidR="004E5EA5">
        <w:rPr>
          <w:rFonts w:ascii="Arial" w:hAnsi="Arial" w:cs="Arial"/>
          <w:sz w:val="22"/>
          <w:szCs w:val="22"/>
        </w:rPr>
        <w:t>is instrument repeals the principal instrument</w:t>
      </w:r>
      <w:r w:rsidR="0049751B">
        <w:rPr>
          <w:rFonts w:ascii="Arial" w:hAnsi="Arial" w:cs="Arial"/>
          <w:sz w:val="22"/>
          <w:szCs w:val="22"/>
        </w:rPr>
        <w:t>.</w:t>
      </w:r>
    </w:p>
    <w:p w14:paraId="7DEBA3E0" w14:textId="3E8D37E5" w:rsidR="00FB3B0D" w:rsidRDefault="00FB3B0D" w:rsidP="00FB3B0D">
      <w:pPr>
        <w:spacing w:after="120"/>
        <w:rPr>
          <w:rFonts w:ascii="Arial" w:hAnsi="Arial" w:cs="Arial"/>
          <w:iCs/>
          <w:sz w:val="22"/>
          <w:szCs w:val="22"/>
        </w:rPr>
      </w:pPr>
    </w:p>
    <w:p w14:paraId="15AC1B73" w14:textId="3369CE5D" w:rsidR="00486653" w:rsidRPr="00E737CE" w:rsidRDefault="00F756CB" w:rsidP="00073918">
      <w:pPr>
        <w:pStyle w:val="Heading2"/>
      </w:pPr>
      <w:r>
        <w:t>Background</w:t>
      </w:r>
    </w:p>
    <w:p w14:paraId="6934A86B" w14:textId="77777777" w:rsidR="00EB03FA" w:rsidRDefault="008C557B" w:rsidP="00C42B64">
      <w:pPr>
        <w:numPr>
          <w:ilvl w:val="0"/>
          <w:numId w:val="1"/>
        </w:numPr>
        <w:tabs>
          <w:tab w:val="clear" w:pos="36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Division 355 </w:t>
      </w:r>
      <w:r w:rsidR="001A4EBB">
        <w:rPr>
          <w:rFonts w:ascii="Arial" w:hAnsi="Arial" w:cs="Arial"/>
          <w:sz w:val="22"/>
          <w:szCs w:val="22"/>
        </w:rPr>
        <w:t xml:space="preserve">of Schedule 1 to the TAA </w:t>
      </w:r>
      <w:r>
        <w:rPr>
          <w:rFonts w:ascii="Arial" w:hAnsi="Arial" w:cs="Arial"/>
          <w:sz w:val="22"/>
          <w:szCs w:val="22"/>
        </w:rPr>
        <w:t xml:space="preserve">contains provisions that protect the confidentiality of taxpayer information. Under this </w:t>
      </w:r>
      <w:r w:rsidR="001134D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ivision, taxation officers may only disclose or make a record of </w:t>
      </w:r>
      <w:r w:rsidR="00076131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protected information</w:t>
      </w:r>
      <w:r w:rsidR="00076131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</w:t>
      </w:r>
      <w:r w:rsidR="001A4EBB">
        <w:rPr>
          <w:rFonts w:ascii="Arial" w:hAnsi="Arial" w:cs="Arial"/>
          <w:sz w:val="22"/>
          <w:szCs w:val="22"/>
        </w:rPr>
        <w:t>about taxpayers in specific and limited circumstances</w:t>
      </w:r>
      <w:r>
        <w:rPr>
          <w:rFonts w:ascii="Arial" w:hAnsi="Arial" w:cs="Arial"/>
          <w:sz w:val="22"/>
          <w:szCs w:val="22"/>
        </w:rPr>
        <w:t xml:space="preserve">. </w:t>
      </w:r>
      <w:r w:rsidR="002317D9">
        <w:rPr>
          <w:rFonts w:ascii="Arial" w:hAnsi="Arial" w:cs="Arial"/>
          <w:sz w:val="22"/>
          <w:szCs w:val="22"/>
        </w:rPr>
        <w:t xml:space="preserve">Division 355 </w:t>
      </w:r>
      <w:r w:rsidR="00FA4906">
        <w:rPr>
          <w:rFonts w:ascii="Arial" w:hAnsi="Arial" w:cs="Arial"/>
          <w:sz w:val="22"/>
          <w:szCs w:val="22"/>
        </w:rPr>
        <w:t xml:space="preserve">relevantly </w:t>
      </w:r>
      <w:r w:rsidR="001A4EBB">
        <w:rPr>
          <w:rFonts w:ascii="Arial" w:hAnsi="Arial" w:cs="Arial"/>
          <w:sz w:val="22"/>
          <w:szCs w:val="22"/>
        </w:rPr>
        <w:t xml:space="preserve">permits the disclosure of protected information </w:t>
      </w:r>
      <w:r w:rsidR="00076131">
        <w:rPr>
          <w:rFonts w:ascii="Arial" w:hAnsi="Arial" w:cs="Arial"/>
          <w:sz w:val="22"/>
          <w:szCs w:val="22"/>
        </w:rPr>
        <w:t xml:space="preserve">about a taxpayer to that taxpayer, and to particular ‘covered entities’ </w:t>
      </w:r>
      <w:r w:rsidR="00FA4906">
        <w:rPr>
          <w:rFonts w:ascii="Arial" w:hAnsi="Arial" w:cs="Arial"/>
          <w:sz w:val="22"/>
          <w:szCs w:val="22"/>
        </w:rPr>
        <w:t xml:space="preserve">representing the taxpayer </w:t>
      </w:r>
      <w:r w:rsidR="00076131">
        <w:rPr>
          <w:rFonts w:ascii="Arial" w:hAnsi="Arial" w:cs="Arial"/>
          <w:sz w:val="22"/>
          <w:szCs w:val="22"/>
        </w:rPr>
        <w:t xml:space="preserve">(including </w:t>
      </w:r>
      <w:r w:rsidR="00FA4906">
        <w:rPr>
          <w:rFonts w:ascii="Arial" w:hAnsi="Arial" w:cs="Arial"/>
          <w:sz w:val="22"/>
          <w:szCs w:val="22"/>
        </w:rPr>
        <w:t xml:space="preserve">their </w:t>
      </w:r>
      <w:r w:rsidR="002317D9">
        <w:rPr>
          <w:rFonts w:ascii="Arial" w:hAnsi="Arial" w:cs="Arial"/>
          <w:sz w:val="22"/>
          <w:szCs w:val="22"/>
        </w:rPr>
        <w:t>registered tax agent or BAS agent</w:t>
      </w:r>
      <w:r w:rsidR="00FA4906">
        <w:rPr>
          <w:rFonts w:ascii="Arial" w:hAnsi="Arial" w:cs="Arial"/>
          <w:sz w:val="22"/>
          <w:szCs w:val="22"/>
        </w:rPr>
        <w:t xml:space="preserve"> and </w:t>
      </w:r>
      <w:r w:rsidR="002317D9">
        <w:rPr>
          <w:rFonts w:ascii="Arial" w:hAnsi="Arial" w:cs="Arial"/>
          <w:sz w:val="22"/>
          <w:szCs w:val="22"/>
        </w:rPr>
        <w:t>legal practitioner).</w:t>
      </w:r>
    </w:p>
    <w:p w14:paraId="0DBB02D8" w14:textId="6355AF58" w:rsidR="008C557B" w:rsidRDefault="001A4EBB" w:rsidP="00C42B64">
      <w:pPr>
        <w:numPr>
          <w:ilvl w:val="0"/>
          <w:numId w:val="1"/>
        </w:numPr>
        <w:tabs>
          <w:tab w:val="clear" w:pos="36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</w:t>
      </w:r>
      <w:r w:rsidR="008C557B">
        <w:rPr>
          <w:rFonts w:ascii="Arial" w:hAnsi="Arial" w:cs="Arial"/>
          <w:sz w:val="22"/>
          <w:szCs w:val="22"/>
        </w:rPr>
        <w:t>the principal instrument</w:t>
      </w:r>
      <w:r>
        <w:rPr>
          <w:rFonts w:ascii="Arial" w:hAnsi="Arial" w:cs="Arial"/>
          <w:sz w:val="22"/>
          <w:szCs w:val="22"/>
        </w:rPr>
        <w:t xml:space="preserve"> was made</w:t>
      </w:r>
      <w:r w:rsidR="008C557B">
        <w:rPr>
          <w:rFonts w:ascii="Arial" w:hAnsi="Arial" w:cs="Arial"/>
          <w:sz w:val="22"/>
          <w:szCs w:val="22"/>
        </w:rPr>
        <w:t>,</w:t>
      </w:r>
      <w:r w:rsidR="008125E5">
        <w:rPr>
          <w:rFonts w:ascii="Arial" w:hAnsi="Arial" w:cs="Arial"/>
          <w:sz w:val="22"/>
          <w:szCs w:val="22"/>
        </w:rPr>
        <w:t xml:space="preserve"> a representative of </w:t>
      </w:r>
      <w:r w:rsidR="002317D9">
        <w:rPr>
          <w:rFonts w:ascii="Arial" w:hAnsi="Arial" w:cs="Arial"/>
          <w:sz w:val="22"/>
          <w:szCs w:val="22"/>
        </w:rPr>
        <w:t xml:space="preserve">an </w:t>
      </w:r>
      <w:r w:rsidR="008125E5">
        <w:rPr>
          <w:rFonts w:ascii="Arial" w:hAnsi="Arial" w:cs="Arial"/>
          <w:sz w:val="22"/>
          <w:szCs w:val="22"/>
        </w:rPr>
        <w:t>executor or administrator o</w:t>
      </w:r>
      <w:r w:rsidR="00780B74">
        <w:rPr>
          <w:rFonts w:ascii="Arial" w:hAnsi="Arial" w:cs="Arial"/>
          <w:sz w:val="22"/>
          <w:szCs w:val="22"/>
        </w:rPr>
        <w:t>f</w:t>
      </w:r>
      <w:r w:rsidR="008125E5">
        <w:rPr>
          <w:rFonts w:ascii="Arial" w:hAnsi="Arial" w:cs="Arial"/>
          <w:sz w:val="22"/>
          <w:szCs w:val="22"/>
        </w:rPr>
        <w:t xml:space="preserve"> a deceased taxpayer’s estate </w:t>
      </w:r>
      <w:r w:rsidR="002317D9">
        <w:rPr>
          <w:rFonts w:ascii="Arial" w:hAnsi="Arial" w:cs="Arial"/>
          <w:sz w:val="22"/>
          <w:szCs w:val="22"/>
        </w:rPr>
        <w:t xml:space="preserve">was </w:t>
      </w:r>
      <w:r w:rsidR="008125E5">
        <w:rPr>
          <w:rFonts w:ascii="Arial" w:hAnsi="Arial" w:cs="Arial"/>
          <w:sz w:val="22"/>
          <w:szCs w:val="22"/>
        </w:rPr>
        <w:t>not</w:t>
      </w:r>
      <w:r w:rsidR="002317D9">
        <w:rPr>
          <w:rFonts w:ascii="Arial" w:hAnsi="Arial" w:cs="Arial"/>
          <w:sz w:val="22"/>
          <w:szCs w:val="22"/>
        </w:rPr>
        <w:t xml:space="preserve"> a</w:t>
      </w:r>
      <w:r w:rsidR="008125E5">
        <w:rPr>
          <w:rFonts w:ascii="Arial" w:hAnsi="Arial" w:cs="Arial"/>
          <w:sz w:val="22"/>
          <w:szCs w:val="22"/>
        </w:rPr>
        <w:t xml:space="preserve"> covered entit</w:t>
      </w:r>
      <w:r w:rsidR="002317D9">
        <w:rPr>
          <w:rFonts w:ascii="Arial" w:hAnsi="Arial" w:cs="Arial"/>
          <w:sz w:val="22"/>
          <w:szCs w:val="22"/>
        </w:rPr>
        <w:t>y</w:t>
      </w:r>
      <w:r w:rsidR="008125E5">
        <w:rPr>
          <w:rFonts w:ascii="Arial" w:hAnsi="Arial" w:cs="Arial"/>
          <w:sz w:val="22"/>
          <w:szCs w:val="22"/>
        </w:rPr>
        <w:t xml:space="preserve"> for the purposes of </w:t>
      </w:r>
      <w:r w:rsidR="007C4DB8">
        <w:rPr>
          <w:rFonts w:ascii="Arial" w:hAnsi="Arial" w:cs="Arial"/>
          <w:sz w:val="22"/>
          <w:szCs w:val="22"/>
        </w:rPr>
        <w:t>D</w:t>
      </w:r>
      <w:r w:rsidR="008125E5">
        <w:rPr>
          <w:rFonts w:ascii="Arial" w:hAnsi="Arial" w:cs="Arial"/>
          <w:sz w:val="22"/>
          <w:szCs w:val="22"/>
        </w:rPr>
        <w:t xml:space="preserve">ivision </w:t>
      </w:r>
      <w:proofErr w:type="gramStart"/>
      <w:r w:rsidR="008125E5">
        <w:rPr>
          <w:rFonts w:ascii="Arial" w:hAnsi="Arial" w:cs="Arial"/>
          <w:sz w:val="22"/>
          <w:szCs w:val="22"/>
        </w:rPr>
        <w:t>355</w:t>
      </w:r>
      <w:r w:rsidR="0047363E">
        <w:rPr>
          <w:rFonts w:ascii="Arial" w:hAnsi="Arial" w:cs="Arial"/>
          <w:sz w:val="22"/>
          <w:szCs w:val="22"/>
        </w:rPr>
        <w:t>, and</w:t>
      </w:r>
      <w:proofErr w:type="gramEnd"/>
      <w:r w:rsidR="0047363E">
        <w:rPr>
          <w:rFonts w:ascii="Arial" w:hAnsi="Arial" w:cs="Arial"/>
          <w:sz w:val="22"/>
          <w:szCs w:val="22"/>
        </w:rPr>
        <w:t xml:space="preserve"> could not obtain protected information regarding </w:t>
      </w:r>
      <w:r w:rsidR="008125E5">
        <w:rPr>
          <w:rFonts w:ascii="Arial" w:hAnsi="Arial" w:cs="Arial"/>
          <w:sz w:val="22"/>
          <w:szCs w:val="22"/>
        </w:rPr>
        <w:t xml:space="preserve">the </w:t>
      </w:r>
      <w:r w:rsidR="008C557B">
        <w:rPr>
          <w:rFonts w:ascii="Arial" w:hAnsi="Arial" w:cs="Arial"/>
          <w:sz w:val="22"/>
          <w:szCs w:val="22"/>
        </w:rPr>
        <w:t>deceased taxpayer</w:t>
      </w:r>
      <w:r w:rsidR="008125E5">
        <w:rPr>
          <w:rFonts w:ascii="Arial" w:hAnsi="Arial" w:cs="Arial"/>
          <w:sz w:val="22"/>
          <w:szCs w:val="22"/>
        </w:rPr>
        <w:t>’</w:t>
      </w:r>
      <w:r w:rsidR="008C557B">
        <w:rPr>
          <w:rFonts w:ascii="Arial" w:hAnsi="Arial" w:cs="Arial"/>
          <w:sz w:val="22"/>
          <w:szCs w:val="22"/>
        </w:rPr>
        <w:t>s estate.</w:t>
      </w:r>
    </w:p>
    <w:p w14:paraId="15FB9B75" w14:textId="77777777" w:rsidR="00EB03FA" w:rsidRDefault="008125E5" w:rsidP="008125E5">
      <w:pPr>
        <w:numPr>
          <w:ilvl w:val="0"/>
          <w:numId w:val="1"/>
        </w:numPr>
        <w:tabs>
          <w:tab w:val="clear" w:pos="36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principal instrument modified the operation of subsection 355-25(2) </w:t>
      </w:r>
      <w:r w:rsidR="00FA4906">
        <w:rPr>
          <w:rFonts w:ascii="Arial" w:hAnsi="Arial" w:cs="Arial"/>
          <w:sz w:val="22"/>
          <w:szCs w:val="22"/>
        </w:rPr>
        <w:t xml:space="preserve">of Schedule 1 to the TAA </w:t>
      </w:r>
      <w:r>
        <w:rPr>
          <w:rFonts w:ascii="Arial" w:hAnsi="Arial" w:cs="Arial"/>
          <w:sz w:val="22"/>
          <w:szCs w:val="22"/>
        </w:rPr>
        <w:t xml:space="preserve">to provide </w:t>
      </w:r>
      <w:proofErr w:type="gramStart"/>
      <w:r>
        <w:rPr>
          <w:rFonts w:ascii="Arial" w:hAnsi="Arial" w:cs="Arial"/>
          <w:sz w:val="22"/>
          <w:szCs w:val="22"/>
        </w:rPr>
        <w:t xml:space="preserve">that </w:t>
      </w:r>
      <w:r w:rsidR="002317D9">
        <w:rPr>
          <w:rFonts w:ascii="Arial" w:hAnsi="Arial" w:cs="Arial"/>
          <w:sz w:val="22"/>
          <w:szCs w:val="22"/>
        </w:rPr>
        <w:t xml:space="preserve">particular </w:t>
      </w:r>
      <w:r w:rsidR="0049751B">
        <w:rPr>
          <w:rFonts w:ascii="Arial" w:hAnsi="Arial" w:cs="Arial"/>
          <w:sz w:val="22"/>
          <w:szCs w:val="22"/>
        </w:rPr>
        <w:t>representatives</w:t>
      </w:r>
      <w:proofErr w:type="gramEnd"/>
      <w:r w:rsidR="0049751B">
        <w:rPr>
          <w:rFonts w:ascii="Arial" w:hAnsi="Arial" w:cs="Arial"/>
          <w:sz w:val="22"/>
          <w:szCs w:val="22"/>
        </w:rPr>
        <w:t xml:space="preserve"> of an executor or administrator of a deceased </w:t>
      </w:r>
      <w:r w:rsidR="00FA4906">
        <w:rPr>
          <w:rFonts w:ascii="Arial" w:hAnsi="Arial" w:cs="Arial"/>
          <w:sz w:val="22"/>
          <w:szCs w:val="22"/>
        </w:rPr>
        <w:t xml:space="preserve">taxpayer’s </w:t>
      </w:r>
      <w:r w:rsidR="0049751B">
        <w:rPr>
          <w:rFonts w:ascii="Arial" w:hAnsi="Arial" w:cs="Arial"/>
          <w:sz w:val="22"/>
          <w:szCs w:val="22"/>
        </w:rPr>
        <w:t xml:space="preserve">estate </w:t>
      </w:r>
      <w:r w:rsidR="002317D9">
        <w:rPr>
          <w:rFonts w:ascii="Arial" w:hAnsi="Arial" w:cs="Arial"/>
          <w:sz w:val="22"/>
          <w:szCs w:val="22"/>
        </w:rPr>
        <w:t>we</w:t>
      </w:r>
      <w:r w:rsidR="0049751B">
        <w:rPr>
          <w:rFonts w:ascii="Arial" w:hAnsi="Arial" w:cs="Arial"/>
          <w:sz w:val="22"/>
          <w:szCs w:val="22"/>
        </w:rPr>
        <w:t>re covered entit</w:t>
      </w:r>
      <w:r w:rsidR="00657B0B">
        <w:rPr>
          <w:rFonts w:ascii="Arial" w:hAnsi="Arial" w:cs="Arial"/>
          <w:sz w:val="22"/>
          <w:szCs w:val="22"/>
        </w:rPr>
        <w:t>ies</w:t>
      </w:r>
      <w:r w:rsidR="0049751B">
        <w:rPr>
          <w:rFonts w:ascii="Arial" w:hAnsi="Arial" w:cs="Arial"/>
          <w:sz w:val="22"/>
          <w:szCs w:val="22"/>
        </w:rPr>
        <w:t xml:space="preserve"> for the purposes of the provision. This modification </w:t>
      </w:r>
      <w:r>
        <w:rPr>
          <w:rFonts w:ascii="Arial" w:hAnsi="Arial" w:cs="Arial"/>
          <w:sz w:val="22"/>
          <w:szCs w:val="22"/>
        </w:rPr>
        <w:t xml:space="preserve">allowed </w:t>
      </w:r>
      <w:r w:rsidR="0049751B">
        <w:rPr>
          <w:rFonts w:ascii="Arial" w:hAnsi="Arial" w:cs="Arial"/>
          <w:sz w:val="22"/>
          <w:szCs w:val="22"/>
        </w:rPr>
        <w:t>taxation officers</w:t>
      </w:r>
      <w:r w:rsidR="007E2561">
        <w:rPr>
          <w:rFonts w:ascii="Arial" w:hAnsi="Arial" w:cs="Arial"/>
          <w:sz w:val="22"/>
          <w:szCs w:val="22"/>
        </w:rPr>
        <w:t xml:space="preserve"> to disclose </w:t>
      </w:r>
      <w:r w:rsidR="00FA4906">
        <w:rPr>
          <w:rFonts w:ascii="Arial" w:hAnsi="Arial" w:cs="Arial"/>
          <w:sz w:val="22"/>
          <w:szCs w:val="22"/>
        </w:rPr>
        <w:t xml:space="preserve">protected information about a </w:t>
      </w:r>
      <w:r w:rsidR="007E2561">
        <w:rPr>
          <w:rFonts w:ascii="Arial" w:hAnsi="Arial" w:cs="Arial"/>
          <w:sz w:val="22"/>
          <w:szCs w:val="22"/>
        </w:rPr>
        <w:t>deceased</w:t>
      </w:r>
      <w:r w:rsidR="0074544D">
        <w:rPr>
          <w:rFonts w:ascii="Arial" w:hAnsi="Arial" w:cs="Arial"/>
          <w:sz w:val="22"/>
          <w:szCs w:val="22"/>
        </w:rPr>
        <w:t xml:space="preserve"> </w:t>
      </w:r>
      <w:r w:rsidR="0047363E">
        <w:rPr>
          <w:rFonts w:ascii="Arial" w:hAnsi="Arial" w:cs="Arial"/>
          <w:sz w:val="22"/>
          <w:szCs w:val="22"/>
        </w:rPr>
        <w:t xml:space="preserve">taxpayer </w:t>
      </w:r>
      <w:r w:rsidR="0074544D">
        <w:rPr>
          <w:rFonts w:ascii="Arial" w:hAnsi="Arial" w:cs="Arial"/>
          <w:sz w:val="22"/>
          <w:szCs w:val="22"/>
        </w:rPr>
        <w:t xml:space="preserve">to </w:t>
      </w:r>
      <w:r w:rsidR="002317D9">
        <w:rPr>
          <w:rFonts w:ascii="Arial" w:hAnsi="Arial" w:cs="Arial"/>
          <w:sz w:val="22"/>
          <w:szCs w:val="22"/>
        </w:rPr>
        <w:t>relevant representatives of an executor or administrator</w:t>
      </w:r>
      <w:r w:rsidR="00FA4906">
        <w:rPr>
          <w:rFonts w:ascii="Arial" w:hAnsi="Arial" w:cs="Arial"/>
          <w:sz w:val="22"/>
          <w:szCs w:val="22"/>
        </w:rPr>
        <w:t xml:space="preserve"> of their estate</w:t>
      </w:r>
      <w:r w:rsidR="00C95C98">
        <w:rPr>
          <w:rFonts w:ascii="Arial" w:hAnsi="Arial" w:cs="Arial"/>
          <w:sz w:val="22"/>
          <w:szCs w:val="22"/>
        </w:rPr>
        <w:t>.</w:t>
      </w:r>
    </w:p>
    <w:p w14:paraId="60EEA25A" w14:textId="242E0ED4" w:rsidR="008C557B" w:rsidRPr="00542EB1" w:rsidRDefault="006634D6" w:rsidP="00E819F0">
      <w:pPr>
        <w:numPr>
          <w:ilvl w:val="0"/>
          <w:numId w:val="1"/>
        </w:numPr>
        <w:tabs>
          <w:tab w:val="clear" w:pos="36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8125E5">
        <w:rPr>
          <w:rFonts w:ascii="Arial" w:hAnsi="Arial" w:cs="Arial"/>
          <w:sz w:val="22"/>
          <w:szCs w:val="22"/>
        </w:rPr>
        <w:t xml:space="preserve">the </w:t>
      </w:r>
      <w:r w:rsidR="008125E5" w:rsidRPr="00E819F0">
        <w:rPr>
          <w:rFonts w:ascii="Arial" w:hAnsi="Arial" w:cs="Arial"/>
          <w:i/>
          <w:iCs/>
          <w:sz w:val="22"/>
          <w:szCs w:val="22"/>
        </w:rPr>
        <w:t xml:space="preserve">Treasury Laws Amendment (2021 Measures No. </w:t>
      </w:r>
      <w:r w:rsidRPr="00E819F0">
        <w:rPr>
          <w:rFonts w:ascii="Arial" w:hAnsi="Arial" w:cs="Arial"/>
          <w:i/>
          <w:iCs/>
          <w:sz w:val="22"/>
          <w:szCs w:val="22"/>
        </w:rPr>
        <w:t>5</w:t>
      </w:r>
      <w:r w:rsidR="008125E5" w:rsidRPr="00E819F0">
        <w:rPr>
          <w:rFonts w:ascii="Arial" w:hAnsi="Arial" w:cs="Arial"/>
          <w:i/>
          <w:iCs/>
          <w:sz w:val="22"/>
          <w:szCs w:val="22"/>
        </w:rPr>
        <w:t>) Act 2021</w:t>
      </w:r>
      <w:r w:rsidR="008125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amended section 355</w:t>
      </w:r>
      <w:r w:rsidR="00657B0B">
        <w:rPr>
          <w:rFonts w:ascii="Arial" w:hAnsi="Arial" w:cs="Arial"/>
          <w:sz w:val="22"/>
          <w:szCs w:val="22"/>
        </w:rPr>
        <w:noBreakHyphen/>
      </w:r>
      <w:r>
        <w:rPr>
          <w:rFonts w:ascii="Arial" w:hAnsi="Arial" w:cs="Arial"/>
          <w:sz w:val="22"/>
          <w:szCs w:val="22"/>
        </w:rPr>
        <w:t>25</w:t>
      </w:r>
      <w:r w:rsidR="00FA4906">
        <w:rPr>
          <w:rFonts w:ascii="Arial" w:hAnsi="Arial" w:cs="Arial"/>
          <w:sz w:val="22"/>
          <w:szCs w:val="22"/>
        </w:rPr>
        <w:t xml:space="preserve"> of Schedule 1 to the TAA</w:t>
      </w:r>
      <w:r>
        <w:rPr>
          <w:rFonts w:ascii="Arial" w:hAnsi="Arial" w:cs="Arial"/>
          <w:sz w:val="22"/>
          <w:szCs w:val="22"/>
        </w:rPr>
        <w:t xml:space="preserve"> to allow disclosure</w:t>
      </w:r>
      <w:r w:rsidR="00657B0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</w:t>
      </w:r>
      <w:proofErr w:type="gramStart"/>
      <w:r w:rsidR="002317D9">
        <w:rPr>
          <w:rFonts w:ascii="Arial" w:hAnsi="Arial" w:cs="Arial"/>
          <w:sz w:val="22"/>
          <w:szCs w:val="22"/>
        </w:rPr>
        <w:t xml:space="preserve">particular </w:t>
      </w:r>
      <w:r>
        <w:rPr>
          <w:rFonts w:ascii="Arial" w:hAnsi="Arial" w:cs="Arial"/>
          <w:sz w:val="22"/>
          <w:szCs w:val="22"/>
        </w:rPr>
        <w:t>representatives</w:t>
      </w:r>
      <w:proofErr w:type="gramEnd"/>
      <w:r>
        <w:rPr>
          <w:rFonts w:ascii="Arial" w:hAnsi="Arial" w:cs="Arial"/>
          <w:sz w:val="22"/>
          <w:szCs w:val="22"/>
        </w:rPr>
        <w:t xml:space="preserve"> of </w:t>
      </w:r>
      <w:r w:rsidR="00780B7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executor or administrator of </w:t>
      </w:r>
      <w:r w:rsidR="001134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deceased </w:t>
      </w:r>
      <w:r w:rsidR="00FA4906">
        <w:rPr>
          <w:rFonts w:ascii="Arial" w:hAnsi="Arial" w:cs="Arial"/>
          <w:sz w:val="22"/>
          <w:szCs w:val="22"/>
        </w:rPr>
        <w:t xml:space="preserve">taxpayer’s </w:t>
      </w:r>
      <w:r>
        <w:rPr>
          <w:rFonts w:ascii="Arial" w:hAnsi="Arial" w:cs="Arial"/>
          <w:sz w:val="22"/>
          <w:szCs w:val="22"/>
        </w:rPr>
        <w:t>estate, the modification made by the principal instrument is no longer required</w:t>
      </w:r>
      <w:r w:rsidR="00657B0B">
        <w:rPr>
          <w:rFonts w:ascii="Arial" w:hAnsi="Arial" w:cs="Arial"/>
          <w:sz w:val="22"/>
          <w:szCs w:val="22"/>
        </w:rPr>
        <w:t xml:space="preserve"> and should be repealed</w:t>
      </w:r>
      <w:r>
        <w:rPr>
          <w:rFonts w:ascii="Arial" w:hAnsi="Arial" w:cs="Arial"/>
          <w:sz w:val="22"/>
          <w:szCs w:val="22"/>
        </w:rPr>
        <w:t>.</w:t>
      </w:r>
    </w:p>
    <w:p w14:paraId="49DBBF24" w14:textId="77777777" w:rsidR="00EB03FA" w:rsidRPr="00EB03FA" w:rsidRDefault="00EB03FA" w:rsidP="00EB03FA">
      <w:pPr>
        <w:spacing w:after="120"/>
        <w:rPr>
          <w:rFonts w:ascii="Arial" w:hAnsi="Arial" w:cs="Arial"/>
          <w:iCs/>
          <w:sz w:val="22"/>
          <w:szCs w:val="22"/>
        </w:rPr>
      </w:pPr>
    </w:p>
    <w:p w14:paraId="15AC1B77" w14:textId="094226EB" w:rsidR="00486653" w:rsidRPr="00E737CE" w:rsidRDefault="00E10B37" w:rsidP="00073918">
      <w:pPr>
        <w:pStyle w:val="Heading2"/>
      </w:pPr>
      <w:r w:rsidRPr="00E737CE">
        <w:t>Consultation</w:t>
      </w:r>
    </w:p>
    <w:p w14:paraId="0A88BF85" w14:textId="10D90100" w:rsidR="00112362" w:rsidRPr="000C3B60" w:rsidRDefault="006634D6" w:rsidP="00E819F0">
      <w:pPr>
        <w:numPr>
          <w:ilvl w:val="0"/>
          <w:numId w:val="1"/>
        </w:numPr>
        <w:tabs>
          <w:tab w:val="clear" w:pos="36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0C3B60">
        <w:rPr>
          <w:rFonts w:ascii="Arial" w:hAnsi="Arial" w:cs="Arial"/>
          <w:sz w:val="22"/>
          <w:szCs w:val="22"/>
        </w:rPr>
        <w:t>Targeted consultation was undertaken for this instrument</w:t>
      </w:r>
      <w:r w:rsidR="001A4EBB">
        <w:rPr>
          <w:rFonts w:ascii="Arial" w:hAnsi="Arial" w:cs="Arial"/>
          <w:sz w:val="22"/>
          <w:szCs w:val="22"/>
        </w:rPr>
        <w:t xml:space="preserve">, over a period of two weeks, </w:t>
      </w:r>
      <w:r w:rsidRPr="000C3B60">
        <w:rPr>
          <w:rFonts w:ascii="Arial" w:hAnsi="Arial" w:cs="Arial"/>
          <w:sz w:val="22"/>
          <w:szCs w:val="22"/>
        </w:rPr>
        <w:t>with the C</w:t>
      </w:r>
      <w:r w:rsidR="001134DB">
        <w:rPr>
          <w:rFonts w:ascii="Arial" w:hAnsi="Arial" w:cs="Arial"/>
          <w:sz w:val="22"/>
          <w:szCs w:val="22"/>
        </w:rPr>
        <w:t xml:space="preserve">ommissioner’s </w:t>
      </w:r>
      <w:r w:rsidRPr="000C3B60">
        <w:rPr>
          <w:rFonts w:ascii="Arial" w:hAnsi="Arial" w:cs="Arial"/>
          <w:sz w:val="22"/>
          <w:szCs w:val="22"/>
        </w:rPr>
        <w:t>R</w:t>
      </w:r>
      <w:r w:rsidR="001134DB">
        <w:rPr>
          <w:rFonts w:ascii="Arial" w:hAnsi="Arial" w:cs="Arial"/>
          <w:sz w:val="22"/>
          <w:szCs w:val="22"/>
        </w:rPr>
        <w:t xml:space="preserve">emedial </w:t>
      </w:r>
      <w:r w:rsidRPr="000C3B60">
        <w:rPr>
          <w:rFonts w:ascii="Arial" w:hAnsi="Arial" w:cs="Arial"/>
          <w:sz w:val="22"/>
          <w:szCs w:val="22"/>
        </w:rPr>
        <w:t>P</w:t>
      </w:r>
      <w:r w:rsidR="001134DB">
        <w:rPr>
          <w:rFonts w:ascii="Arial" w:hAnsi="Arial" w:cs="Arial"/>
          <w:sz w:val="22"/>
          <w:szCs w:val="22"/>
        </w:rPr>
        <w:t xml:space="preserve">ower </w:t>
      </w:r>
      <w:r w:rsidRPr="000C3B60">
        <w:rPr>
          <w:rFonts w:ascii="Arial" w:hAnsi="Arial" w:cs="Arial"/>
          <w:sz w:val="22"/>
          <w:szCs w:val="22"/>
        </w:rPr>
        <w:t>Advisory Panel</w:t>
      </w:r>
      <w:r w:rsidR="000C3B60" w:rsidRPr="00E819F0">
        <w:rPr>
          <w:rFonts w:ascii="Arial" w:hAnsi="Arial" w:cs="Arial"/>
          <w:sz w:val="22"/>
          <w:szCs w:val="22"/>
        </w:rPr>
        <w:t xml:space="preserve"> (</w:t>
      </w:r>
      <w:r w:rsidRPr="000C3B60">
        <w:rPr>
          <w:rFonts w:ascii="Arial" w:hAnsi="Arial" w:cs="Arial"/>
          <w:sz w:val="22"/>
          <w:szCs w:val="22"/>
        </w:rPr>
        <w:t>a body comp</w:t>
      </w:r>
      <w:r w:rsidR="00780B74" w:rsidRPr="000C3B60">
        <w:rPr>
          <w:rFonts w:ascii="Arial" w:hAnsi="Arial" w:cs="Arial"/>
          <w:sz w:val="22"/>
          <w:szCs w:val="22"/>
        </w:rPr>
        <w:t>ri</w:t>
      </w:r>
      <w:r w:rsidRPr="000C3B60">
        <w:rPr>
          <w:rFonts w:ascii="Arial" w:hAnsi="Arial" w:cs="Arial"/>
          <w:sz w:val="22"/>
          <w:szCs w:val="22"/>
        </w:rPr>
        <w:t xml:space="preserve">sed of private sector </w:t>
      </w:r>
      <w:r w:rsidR="009C0287">
        <w:rPr>
          <w:rFonts w:ascii="Arial" w:hAnsi="Arial" w:cs="Arial"/>
          <w:sz w:val="22"/>
          <w:szCs w:val="22"/>
        </w:rPr>
        <w:t xml:space="preserve">tax </w:t>
      </w:r>
      <w:r w:rsidRPr="000C3B60">
        <w:rPr>
          <w:rFonts w:ascii="Arial" w:hAnsi="Arial" w:cs="Arial"/>
          <w:sz w:val="22"/>
          <w:szCs w:val="22"/>
        </w:rPr>
        <w:t xml:space="preserve">specialists, </w:t>
      </w:r>
      <w:r w:rsidR="00CD2AA5">
        <w:rPr>
          <w:rFonts w:ascii="Arial" w:hAnsi="Arial" w:cs="Arial"/>
          <w:sz w:val="22"/>
          <w:szCs w:val="22"/>
        </w:rPr>
        <w:t xml:space="preserve">and representatives of the </w:t>
      </w:r>
      <w:r w:rsidR="001134DB">
        <w:rPr>
          <w:rFonts w:ascii="Arial" w:hAnsi="Arial" w:cs="Arial"/>
          <w:sz w:val="22"/>
          <w:szCs w:val="22"/>
        </w:rPr>
        <w:t xml:space="preserve">Department of the </w:t>
      </w:r>
      <w:r w:rsidRPr="000C3B60">
        <w:rPr>
          <w:rFonts w:ascii="Arial" w:hAnsi="Arial" w:cs="Arial"/>
          <w:sz w:val="22"/>
          <w:szCs w:val="22"/>
        </w:rPr>
        <w:t xml:space="preserve">Treasury and </w:t>
      </w:r>
      <w:r w:rsidR="00CD2AA5">
        <w:rPr>
          <w:rFonts w:ascii="Arial" w:hAnsi="Arial" w:cs="Arial"/>
          <w:sz w:val="22"/>
          <w:szCs w:val="22"/>
        </w:rPr>
        <w:t xml:space="preserve">the </w:t>
      </w:r>
      <w:r w:rsidRPr="000C3B60">
        <w:rPr>
          <w:rFonts w:ascii="Arial" w:hAnsi="Arial" w:cs="Arial"/>
          <w:sz w:val="22"/>
          <w:szCs w:val="22"/>
        </w:rPr>
        <w:t>A</w:t>
      </w:r>
      <w:r w:rsidR="004E44E1">
        <w:rPr>
          <w:rFonts w:ascii="Arial" w:hAnsi="Arial" w:cs="Arial"/>
          <w:sz w:val="22"/>
          <w:szCs w:val="22"/>
        </w:rPr>
        <w:t xml:space="preserve">ustralian </w:t>
      </w:r>
      <w:r w:rsidRPr="000C3B60">
        <w:rPr>
          <w:rFonts w:ascii="Arial" w:hAnsi="Arial" w:cs="Arial"/>
          <w:sz w:val="22"/>
          <w:szCs w:val="22"/>
        </w:rPr>
        <w:t>T</w:t>
      </w:r>
      <w:r w:rsidR="004E44E1">
        <w:rPr>
          <w:rFonts w:ascii="Arial" w:hAnsi="Arial" w:cs="Arial"/>
          <w:sz w:val="22"/>
          <w:szCs w:val="22"/>
        </w:rPr>
        <w:t xml:space="preserve">axation </w:t>
      </w:r>
      <w:r w:rsidRPr="000C3B60">
        <w:rPr>
          <w:rFonts w:ascii="Arial" w:hAnsi="Arial" w:cs="Arial"/>
          <w:sz w:val="22"/>
          <w:szCs w:val="22"/>
        </w:rPr>
        <w:t>O</w:t>
      </w:r>
      <w:r w:rsidR="004E44E1">
        <w:rPr>
          <w:rFonts w:ascii="Arial" w:hAnsi="Arial" w:cs="Arial"/>
          <w:sz w:val="22"/>
          <w:szCs w:val="22"/>
        </w:rPr>
        <w:t>ffice</w:t>
      </w:r>
      <w:r w:rsidR="000C3B60" w:rsidRPr="00E819F0">
        <w:rPr>
          <w:rFonts w:ascii="Arial" w:hAnsi="Arial" w:cs="Arial"/>
          <w:sz w:val="22"/>
          <w:szCs w:val="22"/>
        </w:rPr>
        <w:t>)</w:t>
      </w:r>
      <w:r w:rsidRPr="000C3B60">
        <w:rPr>
          <w:rFonts w:ascii="Arial" w:hAnsi="Arial" w:cs="Arial"/>
          <w:sz w:val="22"/>
          <w:szCs w:val="22"/>
        </w:rPr>
        <w:t xml:space="preserve"> and the Board of Taxation. </w:t>
      </w:r>
      <w:r w:rsidR="000D4590" w:rsidRPr="009D0377">
        <w:rPr>
          <w:rFonts w:ascii="Arial" w:hAnsi="Arial" w:cs="Arial"/>
          <w:sz w:val="22"/>
          <w:szCs w:val="22"/>
        </w:rPr>
        <w:t xml:space="preserve">All material feedback received </w:t>
      </w:r>
      <w:r w:rsidR="000D4590">
        <w:rPr>
          <w:rFonts w:ascii="Arial" w:hAnsi="Arial" w:cs="Arial"/>
          <w:sz w:val="22"/>
          <w:szCs w:val="22"/>
        </w:rPr>
        <w:t xml:space="preserve">from this consultation </w:t>
      </w:r>
      <w:r w:rsidR="000D4590" w:rsidRPr="009D0377">
        <w:rPr>
          <w:rFonts w:ascii="Arial" w:hAnsi="Arial" w:cs="Arial"/>
          <w:sz w:val="22"/>
          <w:szCs w:val="22"/>
        </w:rPr>
        <w:t>has been adopted</w:t>
      </w:r>
      <w:r w:rsidR="000D4590">
        <w:rPr>
          <w:rFonts w:ascii="Arial" w:hAnsi="Arial" w:cs="Arial"/>
          <w:sz w:val="22"/>
          <w:szCs w:val="22"/>
        </w:rPr>
        <w:t xml:space="preserve"> and n</w:t>
      </w:r>
      <w:r w:rsidR="00AB48BC">
        <w:rPr>
          <w:rFonts w:ascii="Arial" w:hAnsi="Arial" w:cs="Arial"/>
          <w:sz w:val="22"/>
          <w:szCs w:val="22"/>
        </w:rPr>
        <w:t xml:space="preserve">o </w:t>
      </w:r>
      <w:r w:rsidR="000D4590">
        <w:rPr>
          <w:rFonts w:ascii="Arial" w:hAnsi="Arial" w:cs="Arial"/>
          <w:sz w:val="22"/>
          <w:szCs w:val="22"/>
        </w:rPr>
        <w:t xml:space="preserve">substantial </w:t>
      </w:r>
      <w:r w:rsidR="00AB48BC">
        <w:rPr>
          <w:rFonts w:ascii="Arial" w:hAnsi="Arial" w:cs="Arial"/>
          <w:sz w:val="22"/>
          <w:szCs w:val="22"/>
        </w:rPr>
        <w:t>concerns were raised.</w:t>
      </w:r>
    </w:p>
    <w:p w14:paraId="1C2202E4" w14:textId="77777777" w:rsidR="00EB03FA" w:rsidRDefault="009731F7" w:rsidP="00E819F0">
      <w:pPr>
        <w:numPr>
          <w:ilvl w:val="0"/>
          <w:numId w:val="1"/>
        </w:numPr>
        <w:tabs>
          <w:tab w:val="clear" w:pos="36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E819F0">
        <w:rPr>
          <w:rFonts w:ascii="Arial" w:hAnsi="Arial" w:cs="Arial"/>
          <w:sz w:val="22"/>
          <w:szCs w:val="22"/>
        </w:rPr>
        <w:t>Wider public</w:t>
      </w:r>
      <w:r w:rsidR="006634D6" w:rsidRPr="000C3B60">
        <w:rPr>
          <w:rFonts w:ascii="Arial" w:hAnsi="Arial" w:cs="Arial"/>
          <w:sz w:val="22"/>
          <w:szCs w:val="22"/>
        </w:rPr>
        <w:t xml:space="preserve"> consultation</w:t>
      </w:r>
      <w:r w:rsidR="0047363E" w:rsidRPr="000C3B60">
        <w:rPr>
          <w:rFonts w:ascii="Arial" w:hAnsi="Arial" w:cs="Arial"/>
          <w:sz w:val="22"/>
          <w:szCs w:val="22"/>
        </w:rPr>
        <w:t xml:space="preserve"> </w:t>
      </w:r>
      <w:r w:rsidR="003844DF">
        <w:rPr>
          <w:rFonts w:ascii="Arial" w:hAnsi="Arial" w:cs="Arial"/>
          <w:sz w:val="22"/>
          <w:szCs w:val="22"/>
        </w:rPr>
        <w:t>was not considered necessary because this instrument only repeals the principal instrument</w:t>
      </w:r>
      <w:r w:rsidR="002317D9">
        <w:rPr>
          <w:rFonts w:ascii="Arial" w:hAnsi="Arial" w:cs="Arial"/>
          <w:sz w:val="22"/>
          <w:szCs w:val="22"/>
        </w:rPr>
        <w:t xml:space="preserve">. This </w:t>
      </w:r>
      <w:r w:rsidR="003844DF">
        <w:rPr>
          <w:rFonts w:ascii="Arial" w:hAnsi="Arial" w:cs="Arial"/>
          <w:sz w:val="22"/>
          <w:szCs w:val="22"/>
        </w:rPr>
        <w:t>change is machinery in nature</w:t>
      </w:r>
      <w:r w:rsidR="002317D9">
        <w:rPr>
          <w:rFonts w:ascii="Arial" w:hAnsi="Arial" w:cs="Arial"/>
          <w:sz w:val="22"/>
          <w:szCs w:val="22"/>
        </w:rPr>
        <w:t xml:space="preserve"> given that the primary law has already been amended to resolve the issue </w:t>
      </w:r>
      <w:r w:rsidR="00FA4906">
        <w:rPr>
          <w:rFonts w:ascii="Arial" w:hAnsi="Arial" w:cs="Arial"/>
          <w:sz w:val="22"/>
          <w:szCs w:val="22"/>
        </w:rPr>
        <w:t xml:space="preserve">dealt with </w:t>
      </w:r>
      <w:r w:rsidR="002317D9">
        <w:rPr>
          <w:rFonts w:ascii="Arial" w:hAnsi="Arial" w:cs="Arial"/>
          <w:sz w:val="22"/>
          <w:szCs w:val="22"/>
        </w:rPr>
        <w:t>in the instrument</w:t>
      </w:r>
      <w:r w:rsidR="003844DF">
        <w:rPr>
          <w:rFonts w:ascii="Arial" w:hAnsi="Arial" w:cs="Arial"/>
          <w:sz w:val="22"/>
          <w:szCs w:val="22"/>
        </w:rPr>
        <w:t>.</w:t>
      </w:r>
    </w:p>
    <w:p w14:paraId="4FAEF5FA" w14:textId="607C31DA" w:rsidR="00EF371D" w:rsidRDefault="00EF371D" w:rsidP="00073918">
      <w:pPr>
        <w:spacing w:after="120"/>
        <w:rPr>
          <w:rFonts w:ascii="Arial" w:hAnsi="Arial" w:cs="Arial"/>
          <w:sz w:val="22"/>
          <w:szCs w:val="22"/>
        </w:rPr>
      </w:pPr>
    </w:p>
    <w:p w14:paraId="1791660B" w14:textId="77777777" w:rsidR="00EB03FA" w:rsidRDefault="00EB03FA" w:rsidP="00073918">
      <w:pPr>
        <w:spacing w:after="120"/>
        <w:rPr>
          <w:rFonts w:ascii="Arial" w:hAnsi="Arial" w:cs="Arial"/>
          <w:sz w:val="22"/>
          <w:szCs w:val="22"/>
        </w:rPr>
      </w:pPr>
    </w:p>
    <w:p w14:paraId="3D60B6B5" w14:textId="77777777" w:rsidR="000C3B60" w:rsidRPr="00E737CE" w:rsidRDefault="000C3B60" w:rsidP="00073918">
      <w:pPr>
        <w:spacing w:after="120"/>
        <w:rPr>
          <w:rFonts w:ascii="Arial" w:hAnsi="Arial" w:cs="Arial"/>
          <w:sz w:val="22"/>
          <w:szCs w:val="22"/>
        </w:rPr>
      </w:pPr>
    </w:p>
    <w:p w14:paraId="69FE8C27" w14:textId="77777777" w:rsidR="009371D0" w:rsidRPr="00E737CE" w:rsidRDefault="007E0A01" w:rsidP="00073918">
      <w:pPr>
        <w:pStyle w:val="Heading3"/>
        <w:spacing w:before="0"/>
        <w:rPr>
          <w:i/>
          <w:sz w:val="20"/>
          <w:szCs w:val="20"/>
        </w:rPr>
      </w:pPr>
      <w:r w:rsidRPr="00E737CE">
        <w:rPr>
          <w:i/>
          <w:sz w:val="20"/>
          <w:szCs w:val="20"/>
        </w:rPr>
        <w:t>Legislative references</w:t>
      </w:r>
    </w:p>
    <w:p w14:paraId="2F47914C" w14:textId="132330FF" w:rsidR="00F1724B" w:rsidRPr="00953215" w:rsidRDefault="00F1724B" w:rsidP="00953215">
      <w:pPr>
        <w:rPr>
          <w:rFonts w:ascii="Arial" w:hAnsi="Arial" w:cs="Arial"/>
          <w:i/>
          <w:sz w:val="20"/>
        </w:rPr>
      </w:pPr>
      <w:r w:rsidRPr="00E737CE">
        <w:rPr>
          <w:rFonts w:ascii="Arial" w:hAnsi="Arial" w:cs="Arial"/>
          <w:i/>
          <w:sz w:val="20"/>
        </w:rPr>
        <w:t>Human Rights (Parliamentary Scrutiny) Act 2011</w:t>
      </w:r>
    </w:p>
    <w:p w14:paraId="2A168E8D" w14:textId="77777777" w:rsidR="00910595" w:rsidRPr="00E737CE" w:rsidRDefault="0076271C" w:rsidP="00073918">
      <w:pPr>
        <w:rPr>
          <w:rFonts w:ascii="Arial" w:hAnsi="Arial" w:cs="Arial"/>
          <w:i/>
          <w:sz w:val="20"/>
        </w:rPr>
      </w:pPr>
      <w:r w:rsidRPr="00E737CE">
        <w:rPr>
          <w:rFonts w:ascii="Arial" w:hAnsi="Arial" w:cs="Arial"/>
          <w:i/>
          <w:sz w:val="20"/>
        </w:rPr>
        <w:t>Legislation Act 2003</w:t>
      </w:r>
    </w:p>
    <w:p w14:paraId="153AD068" w14:textId="6F08FBD9" w:rsidR="00910595" w:rsidRDefault="007E0A01" w:rsidP="00073918">
      <w:pPr>
        <w:rPr>
          <w:rFonts w:ascii="Arial" w:hAnsi="Arial" w:cs="Arial"/>
          <w:i/>
          <w:sz w:val="20"/>
        </w:rPr>
      </w:pPr>
      <w:r w:rsidRPr="00E737CE">
        <w:rPr>
          <w:rFonts w:ascii="Arial" w:hAnsi="Arial" w:cs="Arial"/>
          <w:i/>
          <w:sz w:val="20"/>
        </w:rPr>
        <w:t>Taxation Administration Act 1953</w:t>
      </w:r>
    </w:p>
    <w:p w14:paraId="46B2A14D" w14:textId="4DE2EF59" w:rsidR="005B4BBD" w:rsidRPr="00E737CE" w:rsidRDefault="005B4BBD" w:rsidP="00073918">
      <w:pPr>
        <w:rPr>
          <w:rFonts w:ascii="Arial" w:hAnsi="Arial" w:cs="Arial"/>
          <w:i/>
          <w:sz w:val="20"/>
        </w:rPr>
      </w:pPr>
      <w:r w:rsidRPr="00FB2620">
        <w:rPr>
          <w:rFonts w:ascii="Arial" w:hAnsi="Arial" w:cs="Arial"/>
          <w:i/>
          <w:sz w:val="20"/>
        </w:rPr>
        <w:t>Treasury Laws Amendment (2021 Measures No. 5) Act 2021</w:t>
      </w:r>
    </w:p>
    <w:p w14:paraId="15AC1BA6" w14:textId="071C8BC4" w:rsidR="00101CD5" w:rsidRPr="00E737CE" w:rsidRDefault="00101CD5" w:rsidP="00073918">
      <w:pPr>
        <w:spacing w:after="120"/>
        <w:rPr>
          <w:rFonts w:ascii="Arial" w:hAnsi="Arial" w:cs="Arial"/>
          <w:sz w:val="22"/>
          <w:szCs w:val="22"/>
        </w:rPr>
      </w:pPr>
      <w:r w:rsidRPr="00E737CE">
        <w:rPr>
          <w:rFonts w:ascii="Arial" w:hAnsi="Arial" w:cs="Arial"/>
          <w:sz w:val="22"/>
          <w:szCs w:val="22"/>
        </w:rPr>
        <w:br w:type="page"/>
      </w:r>
    </w:p>
    <w:p w14:paraId="15AC1BAC" w14:textId="6B4B8273" w:rsidR="00333567" w:rsidRPr="00E737CE" w:rsidRDefault="00E53399" w:rsidP="00073918">
      <w:pPr>
        <w:pStyle w:val="Heading3"/>
        <w:spacing w:before="0" w:after="120"/>
        <w:jc w:val="center"/>
        <w:rPr>
          <w:sz w:val="22"/>
          <w:szCs w:val="22"/>
        </w:rPr>
      </w:pPr>
      <w:r w:rsidRPr="00E737CE">
        <w:rPr>
          <w:sz w:val="22"/>
          <w:szCs w:val="22"/>
        </w:rPr>
        <w:t xml:space="preserve">Statement of compatibility </w:t>
      </w:r>
      <w:r w:rsidR="00C11D03" w:rsidRPr="00E737CE">
        <w:rPr>
          <w:sz w:val="22"/>
          <w:szCs w:val="22"/>
        </w:rPr>
        <w:t>with Human Rights</w:t>
      </w:r>
    </w:p>
    <w:p w14:paraId="15AC1BAD" w14:textId="4AD858FB" w:rsidR="00E53399" w:rsidRPr="00E737CE" w:rsidRDefault="004F5EB1" w:rsidP="0075603F">
      <w:pPr>
        <w:spacing w:after="120"/>
        <w:rPr>
          <w:rFonts w:ascii="Arial" w:hAnsi="Arial" w:cs="Arial"/>
          <w:sz w:val="22"/>
          <w:szCs w:val="22"/>
        </w:rPr>
      </w:pPr>
      <w:r w:rsidRPr="00E737CE">
        <w:rPr>
          <w:rFonts w:ascii="Arial" w:hAnsi="Arial" w:cs="Arial"/>
          <w:sz w:val="22"/>
          <w:szCs w:val="22"/>
        </w:rPr>
        <w:t>P</w:t>
      </w:r>
      <w:r w:rsidR="00E53399" w:rsidRPr="00E737CE">
        <w:rPr>
          <w:rFonts w:ascii="Arial" w:hAnsi="Arial" w:cs="Arial"/>
          <w:sz w:val="22"/>
          <w:szCs w:val="22"/>
        </w:rPr>
        <w:t xml:space="preserve">repared in accordance with Part 3 of the </w:t>
      </w:r>
      <w:r w:rsidR="00E53399" w:rsidRPr="00E737CE">
        <w:rPr>
          <w:rFonts w:ascii="Arial" w:hAnsi="Arial" w:cs="Arial"/>
          <w:i/>
          <w:sz w:val="22"/>
          <w:szCs w:val="22"/>
        </w:rPr>
        <w:t>Human Rights (Parliamentary Scrutiny) Act 2011</w:t>
      </w:r>
    </w:p>
    <w:p w14:paraId="15AC1BAE" w14:textId="68DA81E7" w:rsidR="00D77015" w:rsidRPr="00E737CE" w:rsidRDefault="00D77015" w:rsidP="00073918">
      <w:pPr>
        <w:spacing w:after="120"/>
        <w:rPr>
          <w:rFonts w:ascii="Arial" w:hAnsi="Arial" w:cs="Arial"/>
          <w:sz w:val="22"/>
          <w:szCs w:val="22"/>
        </w:rPr>
      </w:pPr>
    </w:p>
    <w:p w14:paraId="15AC1BAF" w14:textId="54965D58" w:rsidR="002A26FE" w:rsidRPr="00E737CE" w:rsidRDefault="0071467F" w:rsidP="00E819F0">
      <w:pPr>
        <w:pStyle w:val="Heading2"/>
        <w:rPr>
          <w:i/>
          <w:iCs/>
        </w:rPr>
      </w:pPr>
      <w:r w:rsidRPr="00E737CE">
        <w:rPr>
          <w:i/>
          <w:iCs/>
        </w:rPr>
        <w:t>Taxation Administration (Remedial Power</w:t>
      </w:r>
      <w:r w:rsidR="00073918" w:rsidRPr="00E737CE">
        <w:rPr>
          <w:i/>
          <w:iCs/>
        </w:rPr>
        <w:t xml:space="preserve"> – </w:t>
      </w:r>
      <w:r w:rsidR="008F1F28">
        <w:rPr>
          <w:i/>
          <w:iCs/>
        </w:rPr>
        <w:t>Disclosure of Protected Information by Taxation Officers</w:t>
      </w:r>
      <w:r w:rsidRPr="00E737CE">
        <w:rPr>
          <w:i/>
          <w:iCs/>
        </w:rPr>
        <w:t xml:space="preserve">) </w:t>
      </w:r>
      <w:r w:rsidR="00B32FAD">
        <w:rPr>
          <w:i/>
          <w:iCs/>
        </w:rPr>
        <w:t xml:space="preserve">Repeal </w:t>
      </w:r>
      <w:r w:rsidR="0084267E" w:rsidRPr="00E737CE">
        <w:rPr>
          <w:i/>
          <w:iCs/>
        </w:rPr>
        <w:t>Determination</w:t>
      </w:r>
      <w:r w:rsidRPr="00E737CE">
        <w:rPr>
          <w:i/>
          <w:iCs/>
        </w:rPr>
        <w:t xml:space="preserve"> 202</w:t>
      </w:r>
      <w:r w:rsidR="008F1F28">
        <w:rPr>
          <w:i/>
          <w:iCs/>
        </w:rPr>
        <w:t>2</w:t>
      </w:r>
    </w:p>
    <w:p w14:paraId="54F9AC2D" w14:textId="173745E4" w:rsidR="009371D0" w:rsidRPr="00E737CE" w:rsidRDefault="00075B58" w:rsidP="0007391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E737CE">
        <w:rPr>
          <w:rFonts w:ascii="Arial" w:hAnsi="Arial" w:cs="Arial"/>
          <w:sz w:val="22"/>
          <w:szCs w:val="22"/>
        </w:rPr>
        <w:t xml:space="preserve">This </w:t>
      </w:r>
      <w:r w:rsidR="000C3B60">
        <w:rPr>
          <w:rFonts w:ascii="Arial" w:hAnsi="Arial" w:cs="Arial"/>
          <w:sz w:val="22"/>
          <w:szCs w:val="22"/>
        </w:rPr>
        <w:t>l</w:t>
      </w:r>
      <w:r w:rsidRPr="00E737CE">
        <w:rPr>
          <w:rFonts w:ascii="Arial" w:hAnsi="Arial" w:cs="Arial"/>
          <w:sz w:val="22"/>
          <w:szCs w:val="22"/>
        </w:rPr>
        <w:t xml:space="preserve">egislative </w:t>
      </w:r>
      <w:r w:rsidR="000C3B60">
        <w:rPr>
          <w:rFonts w:ascii="Arial" w:hAnsi="Arial" w:cs="Arial"/>
          <w:sz w:val="22"/>
          <w:szCs w:val="22"/>
        </w:rPr>
        <w:t>i</w:t>
      </w:r>
      <w:r w:rsidRPr="00E737CE">
        <w:rPr>
          <w:rFonts w:ascii="Arial" w:hAnsi="Arial" w:cs="Arial"/>
          <w:sz w:val="22"/>
          <w:szCs w:val="22"/>
        </w:rPr>
        <w:t xml:space="preserve">nstrument is compatible with the human rights and freedoms recognised or declared in the international instruments listed in section 3 of the </w:t>
      </w:r>
      <w:r w:rsidRPr="00E737CE">
        <w:rPr>
          <w:rFonts w:ascii="Arial" w:hAnsi="Arial" w:cs="Arial"/>
          <w:i/>
          <w:sz w:val="22"/>
          <w:szCs w:val="22"/>
        </w:rPr>
        <w:t>Human Righ</w:t>
      </w:r>
      <w:r w:rsidR="00101CD5" w:rsidRPr="00E737CE">
        <w:rPr>
          <w:rFonts w:ascii="Arial" w:hAnsi="Arial" w:cs="Arial"/>
          <w:i/>
          <w:sz w:val="22"/>
          <w:szCs w:val="22"/>
        </w:rPr>
        <w:t>ts (Parliamentary Scrutiny) Act</w:t>
      </w:r>
      <w:r w:rsidR="00073918" w:rsidRPr="00E737CE">
        <w:rPr>
          <w:rFonts w:ascii="Arial" w:hAnsi="Arial" w:cs="Arial"/>
          <w:i/>
          <w:sz w:val="22"/>
          <w:szCs w:val="22"/>
        </w:rPr>
        <w:t> </w:t>
      </w:r>
      <w:r w:rsidRPr="00E737CE">
        <w:rPr>
          <w:rFonts w:ascii="Arial" w:hAnsi="Arial" w:cs="Arial"/>
          <w:i/>
          <w:sz w:val="22"/>
          <w:szCs w:val="22"/>
        </w:rPr>
        <w:t>2011.</w:t>
      </w:r>
    </w:p>
    <w:p w14:paraId="15AC1BB2" w14:textId="6553A54F" w:rsidR="00075B58" w:rsidRPr="00E737CE" w:rsidRDefault="00075B58" w:rsidP="00073918">
      <w:pPr>
        <w:spacing w:after="120"/>
        <w:rPr>
          <w:rFonts w:ascii="Arial" w:hAnsi="Arial" w:cs="Arial"/>
          <w:sz w:val="22"/>
          <w:szCs w:val="22"/>
        </w:rPr>
      </w:pPr>
    </w:p>
    <w:p w14:paraId="15AC1BB4" w14:textId="7AC4F288" w:rsidR="00075B58" w:rsidRPr="00E737CE" w:rsidRDefault="00075B58" w:rsidP="00073918">
      <w:pPr>
        <w:pStyle w:val="Heading2"/>
        <w:rPr>
          <w:bCs/>
        </w:rPr>
      </w:pPr>
      <w:r w:rsidRPr="00E737CE">
        <w:t xml:space="preserve">Overview of </w:t>
      </w:r>
      <w:r w:rsidR="007E0A01" w:rsidRPr="00E737CE">
        <w:t xml:space="preserve">the </w:t>
      </w:r>
      <w:r w:rsidR="001A4EBB">
        <w:t>l</w:t>
      </w:r>
      <w:r w:rsidRPr="00E737CE">
        <w:t xml:space="preserve">egislative </w:t>
      </w:r>
      <w:r w:rsidR="001A4EBB">
        <w:t>i</w:t>
      </w:r>
      <w:r w:rsidRPr="00E737CE">
        <w:t>nstrument</w:t>
      </w:r>
    </w:p>
    <w:p w14:paraId="227FA025" w14:textId="77777777" w:rsidR="00EB03FA" w:rsidRDefault="00FA4906" w:rsidP="00FA4906">
      <w:pPr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legislative instrument repeals another instrument – t</w:t>
      </w:r>
      <w:r w:rsidR="0007549C">
        <w:rPr>
          <w:rFonts w:ascii="Arial" w:hAnsi="Arial" w:cs="Arial"/>
          <w:sz w:val="22"/>
          <w:szCs w:val="22"/>
        </w:rPr>
        <w:t>he</w:t>
      </w:r>
      <w:r w:rsidR="00422A10" w:rsidRPr="00422A10">
        <w:rPr>
          <w:rFonts w:ascii="Arial" w:hAnsi="Arial" w:cs="Arial"/>
          <w:i/>
          <w:iCs/>
          <w:sz w:val="22"/>
          <w:szCs w:val="22"/>
        </w:rPr>
        <w:t xml:space="preserve"> </w:t>
      </w:r>
      <w:r w:rsidR="00422A10">
        <w:rPr>
          <w:rFonts w:ascii="Arial" w:hAnsi="Arial" w:cs="Arial"/>
          <w:i/>
          <w:iCs/>
          <w:sz w:val="22"/>
          <w:szCs w:val="22"/>
        </w:rPr>
        <w:t xml:space="preserve">Taxation </w:t>
      </w:r>
      <w:r w:rsidR="00422A10">
        <w:rPr>
          <w:rFonts w:ascii="Arial" w:hAnsi="Arial" w:cs="Arial"/>
          <w:i/>
          <w:sz w:val="22"/>
          <w:szCs w:val="22"/>
        </w:rPr>
        <w:t xml:space="preserve">Administration (Remedial Power – Disclosure of Protected Information by Taxation Officers) Determination 2020 </w:t>
      </w:r>
      <w:r w:rsidR="00422A10">
        <w:rPr>
          <w:rFonts w:ascii="Arial" w:hAnsi="Arial" w:cs="Arial"/>
          <w:iCs/>
          <w:sz w:val="22"/>
          <w:szCs w:val="22"/>
        </w:rPr>
        <w:t>(principal instrument)</w:t>
      </w:r>
      <w:r>
        <w:rPr>
          <w:rFonts w:ascii="Arial" w:hAnsi="Arial" w:cs="Arial"/>
          <w:iCs/>
          <w:sz w:val="22"/>
          <w:szCs w:val="22"/>
        </w:rPr>
        <w:t>.</w:t>
      </w:r>
    </w:p>
    <w:p w14:paraId="583ECDAD" w14:textId="77777777" w:rsidR="00EB03FA" w:rsidRDefault="00FA4906" w:rsidP="00FA490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The principal instrument</w:t>
      </w:r>
      <w:r w:rsidR="0007549C">
        <w:rPr>
          <w:rFonts w:ascii="Arial" w:hAnsi="Arial" w:cs="Arial"/>
          <w:sz w:val="22"/>
          <w:szCs w:val="22"/>
        </w:rPr>
        <w:t xml:space="preserve"> modified the operation of subsection 355-25(2) </w:t>
      </w:r>
      <w:r w:rsidR="00422A10">
        <w:rPr>
          <w:rFonts w:ascii="Arial" w:hAnsi="Arial" w:cs="Arial"/>
          <w:sz w:val="22"/>
          <w:szCs w:val="22"/>
        </w:rPr>
        <w:t>of Schedu</w:t>
      </w:r>
      <w:r w:rsidR="004E44E1">
        <w:rPr>
          <w:rFonts w:ascii="Arial" w:hAnsi="Arial" w:cs="Arial"/>
          <w:sz w:val="22"/>
          <w:szCs w:val="22"/>
        </w:rPr>
        <w:t>l</w:t>
      </w:r>
      <w:r w:rsidR="00422A10">
        <w:rPr>
          <w:rFonts w:ascii="Arial" w:hAnsi="Arial" w:cs="Arial"/>
          <w:sz w:val="22"/>
          <w:szCs w:val="22"/>
        </w:rPr>
        <w:t xml:space="preserve">e 1 to the </w:t>
      </w:r>
      <w:r w:rsidR="00422A10" w:rsidRPr="00E819F0">
        <w:rPr>
          <w:rFonts w:ascii="Arial" w:hAnsi="Arial" w:cs="Arial"/>
          <w:i/>
          <w:iCs/>
          <w:sz w:val="22"/>
          <w:szCs w:val="22"/>
        </w:rPr>
        <w:t>Taxation Administration Act 1953</w:t>
      </w:r>
      <w:r w:rsidR="00422A10">
        <w:rPr>
          <w:rFonts w:ascii="Arial" w:hAnsi="Arial" w:cs="Arial"/>
          <w:sz w:val="22"/>
          <w:szCs w:val="22"/>
        </w:rPr>
        <w:t xml:space="preserve"> </w:t>
      </w:r>
      <w:r w:rsidR="009C0287">
        <w:rPr>
          <w:rFonts w:ascii="Arial" w:hAnsi="Arial" w:cs="Arial"/>
          <w:sz w:val="22"/>
          <w:szCs w:val="22"/>
        </w:rPr>
        <w:t xml:space="preserve">(TAA) </w:t>
      </w:r>
      <w:r w:rsidR="0007549C">
        <w:rPr>
          <w:rFonts w:ascii="Arial" w:hAnsi="Arial" w:cs="Arial"/>
          <w:sz w:val="22"/>
          <w:szCs w:val="22"/>
        </w:rPr>
        <w:t xml:space="preserve">to provide </w:t>
      </w:r>
      <w:proofErr w:type="gramStart"/>
      <w:r w:rsidR="0007549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particular </w:t>
      </w:r>
      <w:r w:rsidR="0007549C">
        <w:rPr>
          <w:rFonts w:ascii="Arial" w:hAnsi="Arial" w:cs="Arial"/>
          <w:sz w:val="22"/>
          <w:szCs w:val="22"/>
        </w:rPr>
        <w:t>representatives</w:t>
      </w:r>
      <w:proofErr w:type="gramEnd"/>
      <w:r w:rsidR="0007549C">
        <w:rPr>
          <w:rFonts w:ascii="Arial" w:hAnsi="Arial" w:cs="Arial"/>
          <w:sz w:val="22"/>
          <w:szCs w:val="22"/>
        </w:rPr>
        <w:t xml:space="preserve"> of an executor or administrator of a deceased </w:t>
      </w:r>
      <w:r>
        <w:rPr>
          <w:rFonts w:ascii="Arial" w:hAnsi="Arial" w:cs="Arial"/>
          <w:sz w:val="22"/>
          <w:szCs w:val="22"/>
        </w:rPr>
        <w:t xml:space="preserve">taxpayer’s </w:t>
      </w:r>
      <w:r w:rsidR="0007549C">
        <w:rPr>
          <w:rFonts w:ascii="Arial" w:hAnsi="Arial" w:cs="Arial"/>
          <w:sz w:val="22"/>
          <w:szCs w:val="22"/>
        </w:rPr>
        <w:t xml:space="preserve">estate </w:t>
      </w:r>
      <w:r w:rsidR="00CD2AA5">
        <w:rPr>
          <w:rFonts w:ascii="Arial" w:hAnsi="Arial" w:cs="Arial"/>
          <w:sz w:val="22"/>
          <w:szCs w:val="22"/>
        </w:rPr>
        <w:t>we</w:t>
      </w:r>
      <w:r w:rsidR="0007549C">
        <w:rPr>
          <w:rFonts w:ascii="Arial" w:hAnsi="Arial" w:cs="Arial"/>
          <w:sz w:val="22"/>
          <w:szCs w:val="22"/>
        </w:rPr>
        <w:t xml:space="preserve">re </w:t>
      </w:r>
      <w:r>
        <w:rPr>
          <w:rFonts w:ascii="Arial" w:hAnsi="Arial" w:cs="Arial"/>
          <w:sz w:val="22"/>
          <w:szCs w:val="22"/>
        </w:rPr>
        <w:t>‘</w:t>
      </w:r>
      <w:r w:rsidR="0007549C">
        <w:rPr>
          <w:rFonts w:ascii="Arial" w:hAnsi="Arial" w:cs="Arial"/>
          <w:sz w:val="22"/>
          <w:szCs w:val="22"/>
        </w:rPr>
        <w:t>covered entit</w:t>
      </w:r>
      <w:r w:rsidR="00CD2AA5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>’</w:t>
      </w:r>
      <w:r w:rsidR="0007549C">
        <w:rPr>
          <w:rFonts w:ascii="Arial" w:hAnsi="Arial" w:cs="Arial"/>
          <w:sz w:val="22"/>
          <w:szCs w:val="22"/>
        </w:rPr>
        <w:t xml:space="preserve"> for the purposes of th</w:t>
      </w:r>
      <w:r w:rsidR="004E44E1">
        <w:rPr>
          <w:rFonts w:ascii="Arial" w:hAnsi="Arial" w:cs="Arial"/>
          <w:sz w:val="22"/>
          <w:szCs w:val="22"/>
        </w:rPr>
        <w:t>at</w:t>
      </w:r>
      <w:r w:rsidR="0007549C">
        <w:rPr>
          <w:rFonts w:ascii="Arial" w:hAnsi="Arial" w:cs="Arial"/>
          <w:sz w:val="22"/>
          <w:szCs w:val="22"/>
        </w:rPr>
        <w:t xml:space="preserve"> provision</w:t>
      </w:r>
      <w:r w:rsidR="00780B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This permitted the ATO to disclose protected information about a deceased taxpayer to relevant representatives of an executor or administrator of their estate.</w:t>
      </w:r>
    </w:p>
    <w:p w14:paraId="385BBEAF" w14:textId="152F7240" w:rsidR="0007549C" w:rsidRDefault="00FA4906" w:rsidP="00E819F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modification made by the principal instrument is no longer required because subsection </w:t>
      </w:r>
      <w:r w:rsidR="0007549C">
        <w:rPr>
          <w:rFonts w:ascii="Arial" w:hAnsi="Arial" w:cs="Arial"/>
          <w:sz w:val="22"/>
          <w:szCs w:val="22"/>
        </w:rPr>
        <w:t>355-25</w:t>
      </w:r>
      <w:r w:rsidR="00422A10">
        <w:rPr>
          <w:rFonts w:ascii="Arial" w:hAnsi="Arial" w:cs="Arial"/>
          <w:sz w:val="22"/>
          <w:szCs w:val="22"/>
        </w:rPr>
        <w:t xml:space="preserve">(2) of Schedule 1 to the </w:t>
      </w:r>
      <w:r w:rsidR="009C0287">
        <w:rPr>
          <w:rFonts w:ascii="Arial" w:hAnsi="Arial" w:cs="Arial"/>
          <w:sz w:val="22"/>
          <w:szCs w:val="22"/>
        </w:rPr>
        <w:t>TAA</w:t>
      </w:r>
      <w:r w:rsidR="00422A10">
        <w:rPr>
          <w:rFonts w:ascii="Arial" w:hAnsi="Arial" w:cs="Arial"/>
          <w:sz w:val="22"/>
          <w:szCs w:val="22"/>
        </w:rPr>
        <w:t xml:space="preserve"> has </w:t>
      </w:r>
      <w:r>
        <w:rPr>
          <w:rFonts w:ascii="Arial" w:hAnsi="Arial" w:cs="Arial"/>
          <w:sz w:val="22"/>
          <w:szCs w:val="22"/>
        </w:rPr>
        <w:t xml:space="preserve">now </w:t>
      </w:r>
      <w:r w:rsidR="00422A10">
        <w:rPr>
          <w:rFonts w:ascii="Arial" w:hAnsi="Arial" w:cs="Arial"/>
          <w:sz w:val="22"/>
          <w:szCs w:val="22"/>
        </w:rPr>
        <w:t>been amended</w:t>
      </w:r>
      <w:r w:rsidR="0007549C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specifically </w:t>
      </w:r>
      <w:r w:rsidR="0007549C">
        <w:rPr>
          <w:rFonts w:ascii="Arial" w:hAnsi="Arial" w:cs="Arial"/>
          <w:sz w:val="22"/>
          <w:szCs w:val="22"/>
        </w:rPr>
        <w:t>allow for disclosure</w:t>
      </w:r>
      <w:r>
        <w:rPr>
          <w:rFonts w:ascii="Arial" w:hAnsi="Arial" w:cs="Arial"/>
          <w:sz w:val="22"/>
          <w:szCs w:val="22"/>
        </w:rPr>
        <w:t>s</w:t>
      </w:r>
      <w:r w:rsidR="0007549C">
        <w:rPr>
          <w:rFonts w:ascii="Arial" w:hAnsi="Arial" w:cs="Arial"/>
          <w:sz w:val="22"/>
          <w:szCs w:val="22"/>
        </w:rPr>
        <w:t xml:space="preserve"> to </w:t>
      </w:r>
      <w:r w:rsidR="00CD2AA5">
        <w:rPr>
          <w:rFonts w:ascii="Arial" w:hAnsi="Arial" w:cs="Arial"/>
          <w:sz w:val="22"/>
          <w:szCs w:val="22"/>
        </w:rPr>
        <w:t xml:space="preserve">relevant </w:t>
      </w:r>
      <w:r w:rsidR="0007549C">
        <w:rPr>
          <w:rFonts w:ascii="Arial" w:hAnsi="Arial" w:cs="Arial"/>
          <w:sz w:val="22"/>
          <w:szCs w:val="22"/>
        </w:rPr>
        <w:t xml:space="preserve">representatives of </w:t>
      </w:r>
      <w:r w:rsidR="00E819F0">
        <w:rPr>
          <w:rFonts w:ascii="Arial" w:hAnsi="Arial" w:cs="Arial"/>
          <w:sz w:val="22"/>
          <w:szCs w:val="22"/>
        </w:rPr>
        <w:t xml:space="preserve">an </w:t>
      </w:r>
      <w:r w:rsidR="0007549C">
        <w:rPr>
          <w:rFonts w:ascii="Arial" w:hAnsi="Arial" w:cs="Arial"/>
          <w:sz w:val="22"/>
          <w:szCs w:val="22"/>
        </w:rPr>
        <w:t>executor or administrator of</w:t>
      </w:r>
      <w:r w:rsidR="00112362">
        <w:rPr>
          <w:rFonts w:ascii="Arial" w:hAnsi="Arial" w:cs="Arial"/>
          <w:sz w:val="22"/>
          <w:szCs w:val="22"/>
        </w:rPr>
        <w:t xml:space="preserve"> a</w:t>
      </w:r>
      <w:r w:rsidR="0007549C">
        <w:rPr>
          <w:rFonts w:ascii="Arial" w:hAnsi="Arial" w:cs="Arial"/>
          <w:sz w:val="22"/>
          <w:szCs w:val="22"/>
        </w:rPr>
        <w:t xml:space="preserve"> deceased </w:t>
      </w:r>
      <w:r>
        <w:rPr>
          <w:rFonts w:ascii="Arial" w:hAnsi="Arial" w:cs="Arial"/>
          <w:sz w:val="22"/>
          <w:szCs w:val="22"/>
        </w:rPr>
        <w:t xml:space="preserve">taxpayer’s </w:t>
      </w:r>
      <w:r w:rsidR="0007549C">
        <w:rPr>
          <w:rFonts w:ascii="Arial" w:hAnsi="Arial" w:cs="Arial"/>
          <w:sz w:val="22"/>
          <w:szCs w:val="22"/>
        </w:rPr>
        <w:t>estate.</w:t>
      </w:r>
    </w:p>
    <w:p w14:paraId="0A839D6A" w14:textId="00DE8581" w:rsidR="006731AB" w:rsidRPr="00E737CE" w:rsidRDefault="006731AB" w:rsidP="00073918">
      <w:pPr>
        <w:spacing w:after="120"/>
        <w:rPr>
          <w:rFonts w:ascii="Arial" w:hAnsi="Arial" w:cs="Arial"/>
          <w:sz w:val="22"/>
          <w:szCs w:val="22"/>
        </w:rPr>
      </w:pPr>
    </w:p>
    <w:p w14:paraId="15AC1BB6" w14:textId="77777777" w:rsidR="00075B58" w:rsidRPr="00E737CE" w:rsidRDefault="00075B58" w:rsidP="00073918">
      <w:pPr>
        <w:pStyle w:val="Heading2"/>
      </w:pPr>
      <w:r w:rsidRPr="00E737CE">
        <w:t>Human rights implications</w:t>
      </w:r>
    </w:p>
    <w:p w14:paraId="54DB8281" w14:textId="77777777" w:rsidR="00EB03FA" w:rsidRDefault="00075B58" w:rsidP="003062D6">
      <w:pPr>
        <w:spacing w:after="120"/>
        <w:rPr>
          <w:rFonts w:ascii="Arial" w:hAnsi="Arial" w:cs="Arial"/>
          <w:sz w:val="22"/>
          <w:szCs w:val="22"/>
        </w:rPr>
      </w:pPr>
      <w:r w:rsidRPr="00E737CE">
        <w:rPr>
          <w:rFonts w:ascii="Arial" w:hAnsi="Arial" w:cs="Arial"/>
          <w:sz w:val="22"/>
          <w:szCs w:val="22"/>
        </w:rPr>
        <w:t xml:space="preserve">This </w:t>
      </w:r>
      <w:r w:rsidR="000C3B60">
        <w:rPr>
          <w:rFonts w:ascii="Arial" w:hAnsi="Arial" w:cs="Arial"/>
          <w:sz w:val="22"/>
          <w:szCs w:val="22"/>
        </w:rPr>
        <w:t>l</w:t>
      </w:r>
      <w:r w:rsidRPr="00E737CE">
        <w:rPr>
          <w:rFonts w:ascii="Arial" w:hAnsi="Arial" w:cs="Arial"/>
          <w:sz w:val="22"/>
          <w:szCs w:val="22"/>
        </w:rPr>
        <w:t xml:space="preserve">egislative </w:t>
      </w:r>
      <w:r w:rsidR="000C3B60">
        <w:rPr>
          <w:rFonts w:ascii="Arial" w:hAnsi="Arial" w:cs="Arial"/>
          <w:sz w:val="22"/>
          <w:szCs w:val="22"/>
        </w:rPr>
        <w:t>i</w:t>
      </w:r>
      <w:r w:rsidRPr="00E737CE">
        <w:rPr>
          <w:rFonts w:ascii="Arial" w:hAnsi="Arial" w:cs="Arial"/>
          <w:sz w:val="22"/>
          <w:szCs w:val="22"/>
        </w:rPr>
        <w:t xml:space="preserve">nstrument </w:t>
      </w:r>
      <w:r w:rsidR="009F2CD8">
        <w:rPr>
          <w:rFonts w:ascii="Arial" w:hAnsi="Arial" w:cs="Arial"/>
          <w:sz w:val="22"/>
          <w:szCs w:val="22"/>
        </w:rPr>
        <w:t xml:space="preserve">does not engage any of the applicable rights </w:t>
      </w:r>
      <w:r w:rsidR="0047363E">
        <w:rPr>
          <w:rFonts w:ascii="Arial" w:hAnsi="Arial" w:cs="Arial"/>
          <w:sz w:val="22"/>
          <w:szCs w:val="22"/>
        </w:rPr>
        <w:t>or</w:t>
      </w:r>
      <w:r w:rsidR="009F2CD8">
        <w:rPr>
          <w:rFonts w:ascii="Arial" w:hAnsi="Arial" w:cs="Arial"/>
          <w:sz w:val="22"/>
          <w:szCs w:val="22"/>
        </w:rPr>
        <w:t xml:space="preserve"> freedoms</w:t>
      </w:r>
      <w:r w:rsidR="003062D6">
        <w:rPr>
          <w:rFonts w:ascii="Arial" w:hAnsi="Arial" w:cs="Arial"/>
          <w:sz w:val="22"/>
          <w:szCs w:val="22"/>
        </w:rPr>
        <w:t xml:space="preserve">. </w:t>
      </w:r>
      <w:r w:rsidR="00CD2AA5">
        <w:rPr>
          <w:rFonts w:ascii="Arial" w:hAnsi="Arial" w:cs="Arial"/>
          <w:sz w:val="22"/>
          <w:szCs w:val="22"/>
        </w:rPr>
        <w:t xml:space="preserve">It </w:t>
      </w:r>
      <w:r w:rsidR="00FA4906">
        <w:rPr>
          <w:rFonts w:ascii="Arial" w:hAnsi="Arial" w:cs="Arial"/>
          <w:sz w:val="22"/>
          <w:szCs w:val="22"/>
        </w:rPr>
        <w:t xml:space="preserve">merely </w:t>
      </w:r>
      <w:r w:rsidR="003062D6">
        <w:rPr>
          <w:rFonts w:ascii="Arial" w:hAnsi="Arial" w:cs="Arial"/>
          <w:sz w:val="22"/>
          <w:szCs w:val="22"/>
        </w:rPr>
        <w:t>repeals the principal instrument</w:t>
      </w:r>
      <w:r w:rsidR="00FA4906">
        <w:rPr>
          <w:rFonts w:ascii="Arial" w:hAnsi="Arial" w:cs="Arial"/>
          <w:sz w:val="22"/>
          <w:szCs w:val="22"/>
        </w:rPr>
        <w:t xml:space="preserve">. This </w:t>
      </w:r>
      <w:r w:rsidR="003062D6">
        <w:rPr>
          <w:rFonts w:ascii="Arial" w:hAnsi="Arial" w:cs="Arial"/>
          <w:sz w:val="22"/>
          <w:szCs w:val="22"/>
        </w:rPr>
        <w:t>change is machinery in nature</w:t>
      </w:r>
      <w:r w:rsidR="00FA4906">
        <w:rPr>
          <w:rFonts w:ascii="Arial" w:hAnsi="Arial" w:cs="Arial"/>
          <w:sz w:val="22"/>
          <w:szCs w:val="22"/>
        </w:rPr>
        <w:t xml:space="preserve"> given that the primary law has already been amended to resolve the issue dealt with in the instrument.</w:t>
      </w:r>
    </w:p>
    <w:p w14:paraId="6D4CAA5B" w14:textId="7C654A2C" w:rsidR="00FA4906" w:rsidRPr="00E737CE" w:rsidRDefault="00FA4906" w:rsidP="00E737CE">
      <w:pPr>
        <w:spacing w:after="120"/>
        <w:rPr>
          <w:rFonts w:ascii="Arial" w:hAnsi="Arial" w:cs="Arial"/>
          <w:sz w:val="22"/>
          <w:szCs w:val="22"/>
        </w:rPr>
      </w:pPr>
    </w:p>
    <w:p w14:paraId="15AC1BB9" w14:textId="77777777" w:rsidR="00075B58" w:rsidRPr="00E737CE" w:rsidRDefault="00075B58" w:rsidP="00073918">
      <w:pPr>
        <w:pStyle w:val="Heading2"/>
      </w:pPr>
      <w:r w:rsidRPr="00E737CE">
        <w:t>Conclusion</w:t>
      </w:r>
    </w:p>
    <w:p w14:paraId="69BA962A" w14:textId="77777777" w:rsidR="00EB03FA" w:rsidRDefault="00075B58" w:rsidP="00073918">
      <w:pPr>
        <w:spacing w:after="120"/>
        <w:rPr>
          <w:rFonts w:ascii="Arial" w:hAnsi="Arial" w:cs="Arial"/>
          <w:sz w:val="22"/>
          <w:szCs w:val="22"/>
        </w:rPr>
      </w:pPr>
      <w:r w:rsidRPr="00E737CE">
        <w:rPr>
          <w:rFonts w:ascii="Arial" w:hAnsi="Arial" w:cs="Arial"/>
          <w:sz w:val="22"/>
          <w:szCs w:val="22"/>
        </w:rPr>
        <w:t xml:space="preserve">This </w:t>
      </w:r>
      <w:r w:rsidR="000C3B60">
        <w:rPr>
          <w:rFonts w:ascii="Arial" w:hAnsi="Arial" w:cs="Arial"/>
          <w:sz w:val="22"/>
          <w:szCs w:val="22"/>
        </w:rPr>
        <w:t>l</w:t>
      </w:r>
      <w:r w:rsidRPr="00E737CE">
        <w:rPr>
          <w:rFonts w:ascii="Arial" w:hAnsi="Arial" w:cs="Arial"/>
          <w:sz w:val="22"/>
          <w:szCs w:val="22"/>
        </w:rPr>
        <w:t xml:space="preserve">egislative </w:t>
      </w:r>
      <w:r w:rsidR="000C3B60">
        <w:rPr>
          <w:rFonts w:ascii="Arial" w:hAnsi="Arial" w:cs="Arial"/>
          <w:sz w:val="22"/>
          <w:szCs w:val="22"/>
        </w:rPr>
        <w:t>i</w:t>
      </w:r>
      <w:r w:rsidRPr="00E737CE">
        <w:rPr>
          <w:rFonts w:ascii="Arial" w:hAnsi="Arial" w:cs="Arial"/>
          <w:sz w:val="22"/>
          <w:szCs w:val="22"/>
        </w:rPr>
        <w:t xml:space="preserve">nstrument is compatible with human </w:t>
      </w:r>
      <w:r w:rsidR="00C71892" w:rsidRPr="00E737CE">
        <w:rPr>
          <w:rFonts w:ascii="Arial" w:hAnsi="Arial" w:cs="Arial"/>
          <w:sz w:val="22"/>
          <w:szCs w:val="22"/>
        </w:rPr>
        <w:t xml:space="preserve">rights </w:t>
      </w:r>
      <w:r w:rsidR="00FB48F2">
        <w:rPr>
          <w:rFonts w:ascii="Arial" w:hAnsi="Arial" w:cs="Arial"/>
          <w:sz w:val="22"/>
          <w:szCs w:val="22"/>
        </w:rPr>
        <w:t>as it does not raise any human rights issues.</w:t>
      </w:r>
    </w:p>
    <w:sectPr w:rsidR="00EB03FA" w:rsidSect="000815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3" w:bottom="1358" w:left="993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0B60" w14:textId="77777777" w:rsidR="00054900" w:rsidRDefault="00054900">
      <w:r>
        <w:separator/>
      </w:r>
    </w:p>
  </w:endnote>
  <w:endnote w:type="continuationSeparator" w:id="0">
    <w:p w14:paraId="1A3EF18D" w14:textId="77777777" w:rsidR="00054900" w:rsidRDefault="0005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8691" w14:textId="77777777" w:rsidR="00EB03FA" w:rsidRDefault="00EB0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C45E" w14:textId="77777777" w:rsidR="00EB03FA" w:rsidRDefault="00EB0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A01A" w14:textId="77777777" w:rsidR="00EB03FA" w:rsidRDefault="00EB0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D760" w14:textId="77777777" w:rsidR="00054900" w:rsidRDefault="00054900">
      <w:r>
        <w:separator/>
      </w:r>
    </w:p>
  </w:footnote>
  <w:footnote w:type="continuationSeparator" w:id="0">
    <w:p w14:paraId="031C0299" w14:textId="77777777" w:rsidR="00054900" w:rsidRDefault="0005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0BC0" w14:textId="77777777" w:rsidR="00EB03FA" w:rsidRDefault="00EB0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BCD" w14:textId="5FD14F9E" w:rsidR="00587C50" w:rsidRDefault="00587C50" w:rsidP="001828A4">
    <w:pPr>
      <w:pStyle w:val="Header"/>
      <w:tabs>
        <w:tab w:val="clear" w:pos="4153"/>
        <w:tab w:val="clear" w:pos="8306"/>
        <w:tab w:val="center" w:pos="1418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BCE" w14:textId="5D895A7F" w:rsidR="00146ED8" w:rsidRPr="00767CE8" w:rsidRDefault="00146ED8" w:rsidP="00767CE8">
    <w:pPr>
      <w:framePr w:w="3241" w:h="526" w:hSpace="180" w:wrap="around" w:vAnchor="page" w:hAnchor="page" w:x="7711" w:y="114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rFonts w:ascii="Arial" w:hAnsi="Arial" w:cs="Arial"/>
        <w:sz w:val="22"/>
        <w:szCs w:val="22"/>
      </w:rPr>
    </w:pPr>
    <w:r w:rsidRPr="00767CE8">
      <w:rPr>
        <w:rFonts w:ascii="Arial" w:hAnsi="Arial" w:cs="Arial"/>
        <w:b/>
        <w:sz w:val="22"/>
        <w:szCs w:val="22"/>
      </w:rPr>
      <w:t xml:space="preserve">Instrument ID: </w:t>
    </w:r>
    <w:r w:rsidR="00EB03FA">
      <w:rPr>
        <w:rFonts w:ascii="Arial" w:hAnsi="Arial" w:cs="Arial"/>
        <w:b/>
        <w:sz w:val="22"/>
        <w:szCs w:val="22"/>
      </w:rPr>
      <w:t xml:space="preserve"> </w:t>
    </w:r>
    <w:r w:rsidR="00EB03FA" w:rsidRPr="00EB03FA">
      <w:rPr>
        <w:rFonts w:ascii="Arial" w:hAnsi="Arial" w:cs="Arial"/>
        <w:b/>
        <w:sz w:val="22"/>
        <w:szCs w:val="22"/>
      </w:rPr>
      <w:t>2022/PAL/0030</w:t>
    </w:r>
  </w:p>
  <w:p w14:paraId="15AC1BCF" w14:textId="77777777" w:rsidR="00587C50" w:rsidRDefault="003D0CBA" w:rsidP="001828A4">
    <w:pPr>
      <w:pStyle w:val="Header"/>
      <w:tabs>
        <w:tab w:val="clear" w:pos="4153"/>
        <w:tab w:val="clear" w:pos="8306"/>
      </w:tabs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15AC1BD1" wp14:editId="15AC1BD2">
          <wp:extent cx="2413635" cy="701675"/>
          <wp:effectExtent l="0" t="0" r="5715" b="3175"/>
          <wp:docPr id="3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C1BD0" w14:textId="6549BAF6" w:rsidR="00CC1833" w:rsidRPr="001A6644" w:rsidRDefault="00CC1833" w:rsidP="00767CE8">
    <w:pPr>
      <w:pStyle w:val="Header"/>
      <w:tabs>
        <w:tab w:val="clear" w:pos="4153"/>
        <w:tab w:val="clear" w:pos="8306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213"/>
    <w:multiLevelType w:val="hybridMultilevel"/>
    <w:tmpl w:val="175EEA02"/>
    <w:lvl w:ilvl="0" w:tplc="5ED45BB8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555A7"/>
    <w:multiLevelType w:val="hybridMultilevel"/>
    <w:tmpl w:val="53F4446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7EC8BD2">
      <w:start w:val="1"/>
      <w:numFmt w:val="decimal"/>
      <w:lvlText w:val="(%4)"/>
      <w:lvlJc w:val="left"/>
      <w:pPr>
        <w:ind w:left="786" w:hanging="360"/>
      </w:pPr>
      <w:rPr>
        <w:rFonts w:hint="default"/>
        <w:b w:val="0"/>
        <w:i w:val="0"/>
      </w:rPr>
    </w:lvl>
    <w:lvl w:ilvl="4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3571E6"/>
    <w:multiLevelType w:val="hybridMultilevel"/>
    <w:tmpl w:val="A6F45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2A0F"/>
    <w:multiLevelType w:val="hybridMultilevel"/>
    <w:tmpl w:val="6F9C1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13C"/>
    <w:multiLevelType w:val="hybridMultilevel"/>
    <w:tmpl w:val="665413D8"/>
    <w:lvl w:ilvl="0" w:tplc="A09E3882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D2319"/>
    <w:multiLevelType w:val="hybridMultilevel"/>
    <w:tmpl w:val="599E8916"/>
    <w:lvl w:ilvl="0" w:tplc="269A6410">
      <w:start w:val="2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C3903"/>
    <w:multiLevelType w:val="hybridMultilevel"/>
    <w:tmpl w:val="7786C1A2"/>
    <w:lvl w:ilvl="0" w:tplc="19E8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24814"/>
    <w:multiLevelType w:val="hybridMultilevel"/>
    <w:tmpl w:val="B41AB65E"/>
    <w:lvl w:ilvl="0" w:tplc="073248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A6A6D340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97A0E"/>
    <w:multiLevelType w:val="hybridMultilevel"/>
    <w:tmpl w:val="A1CE09F4"/>
    <w:lvl w:ilvl="0" w:tplc="AF18A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8178D"/>
    <w:multiLevelType w:val="hybridMultilevel"/>
    <w:tmpl w:val="768C5DE4"/>
    <w:lvl w:ilvl="0" w:tplc="02224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7099B"/>
    <w:multiLevelType w:val="hybridMultilevel"/>
    <w:tmpl w:val="3DB8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933E6"/>
    <w:multiLevelType w:val="hybridMultilevel"/>
    <w:tmpl w:val="84C4C3C4"/>
    <w:lvl w:ilvl="0" w:tplc="2768432E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274B6D"/>
    <w:multiLevelType w:val="hybridMultilevel"/>
    <w:tmpl w:val="A2320008"/>
    <w:lvl w:ilvl="0" w:tplc="6BE247EC">
      <w:start w:val="2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E61D8"/>
    <w:multiLevelType w:val="hybridMultilevel"/>
    <w:tmpl w:val="3AEA9232"/>
    <w:lvl w:ilvl="0" w:tplc="A09E3882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8B0D62"/>
    <w:multiLevelType w:val="hybridMultilevel"/>
    <w:tmpl w:val="B1686522"/>
    <w:lvl w:ilvl="0" w:tplc="B16E686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8D30C7"/>
    <w:multiLevelType w:val="hybridMultilevel"/>
    <w:tmpl w:val="5E241E32"/>
    <w:lvl w:ilvl="0" w:tplc="B7C20B28">
      <w:start w:val="2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14"/>
  </w:num>
  <w:num w:numId="8">
    <w:abstractNumId w:val="8"/>
  </w:num>
  <w:num w:numId="9">
    <w:abstractNumId w:val="12"/>
  </w:num>
  <w:num w:numId="10">
    <w:abstractNumId w:val="15"/>
  </w:num>
  <w:num w:numId="11">
    <w:abstractNumId w:val="11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18"/>
    <w:rsid w:val="000020B2"/>
    <w:rsid w:val="000041C3"/>
    <w:rsid w:val="00004DAB"/>
    <w:rsid w:val="00005B2B"/>
    <w:rsid w:val="00005E5F"/>
    <w:rsid w:val="000117B2"/>
    <w:rsid w:val="000152C0"/>
    <w:rsid w:val="0001796D"/>
    <w:rsid w:val="00017BF0"/>
    <w:rsid w:val="00022C9A"/>
    <w:rsid w:val="0002568B"/>
    <w:rsid w:val="000270BB"/>
    <w:rsid w:val="00031E13"/>
    <w:rsid w:val="00031E38"/>
    <w:rsid w:val="00041ACB"/>
    <w:rsid w:val="00042A53"/>
    <w:rsid w:val="00043FA7"/>
    <w:rsid w:val="00052189"/>
    <w:rsid w:val="00054900"/>
    <w:rsid w:val="000552E8"/>
    <w:rsid w:val="00055302"/>
    <w:rsid w:val="00056585"/>
    <w:rsid w:val="0005674F"/>
    <w:rsid w:val="00061551"/>
    <w:rsid w:val="00065BE8"/>
    <w:rsid w:val="00065C6E"/>
    <w:rsid w:val="0007019D"/>
    <w:rsid w:val="0007041F"/>
    <w:rsid w:val="00072E6E"/>
    <w:rsid w:val="00073918"/>
    <w:rsid w:val="00073F1B"/>
    <w:rsid w:val="0007513D"/>
    <w:rsid w:val="0007526D"/>
    <w:rsid w:val="0007549C"/>
    <w:rsid w:val="00075B58"/>
    <w:rsid w:val="00076131"/>
    <w:rsid w:val="00076421"/>
    <w:rsid w:val="00081388"/>
    <w:rsid w:val="00081520"/>
    <w:rsid w:val="00082E63"/>
    <w:rsid w:val="000932D9"/>
    <w:rsid w:val="000A536E"/>
    <w:rsid w:val="000A6172"/>
    <w:rsid w:val="000B11DD"/>
    <w:rsid w:val="000B1785"/>
    <w:rsid w:val="000B2A09"/>
    <w:rsid w:val="000B65D0"/>
    <w:rsid w:val="000C2111"/>
    <w:rsid w:val="000C390A"/>
    <w:rsid w:val="000C3B60"/>
    <w:rsid w:val="000C718A"/>
    <w:rsid w:val="000C77DD"/>
    <w:rsid w:val="000D3464"/>
    <w:rsid w:val="000D4590"/>
    <w:rsid w:val="000E295B"/>
    <w:rsid w:val="000E45A0"/>
    <w:rsid w:val="00101CD5"/>
    <w:rsid w:val="00107460"/>
    <w:rsid w:val="00112362"/>
    <w:rsid w:val="00112415"/>
    <w:rsid w:val="001134DB"/>
    <w:rsid w:val="001175AC"/>
    <w:rsid w:val="00125587"/>
    <w:rsid w:val="001263E0"/>
    <w:rsid w:val="00127831"/>
    <w:rsid w:val="00127E27"/>
    <w:rsid w:val="0013678D"/>
    <w:rsid w:val="00140A34"/>
    <w:rsid w:val="00146ED8"/>
    <w:rsid w:val="00147222"/>
    <w:rsid w:val="0014755B"/>
    <w:rsid w:val="00156843"/>
    <w:rsid w:val="00161E3D"/>
    <w:rsid w:val="00167202"/>
    <w:rsid w:val="00173806"/>
    <w:rsid w:val="00173A90"/>
    <w:rsid w:val="001746C2"/>
    <w:rsid w:val="001828A4"/>
    <w:rsid w:val="001910C4"/>
    <w:rsid w:val="00192CC0"/>
    <w:rsid w:val="00193DD9"/>
    <w:rsid w:val="00194352"/>
    <w:rsid w:val="0019688C"/>
    <w:rsid w:val="001A2F5E"/>
    <w:rsid w:val="001A3BE2"/>
    <w:rsid w:val="001A4EBB"/>
    <w:rsid w:val="001A6727"/>
    <w:rsid w:val="001A6791"/>
    <w:rsid w:val="001A68D8"/>
    <w:rsid w:val="001A6E16"/>
    <w:rsid w:val="001C2BDB"/>
    <w:rsid w:val="001C35E7"/>
    <w:rsid w:val="001C38D0"/>
    <w:rsid w:val="001C4578"/>
    <w:rsid w:val="001D02E6"/>
    <w:rsid w:val="001E3112"/>
    <w:rsid w:val="001F0184"/>
    <w:rsid w:val="001F28A6"/>
    <w:rsid w:val="001F2A16"/>
    <w:rsid w:val="001F2C69"/>
    <w:rsid w:val="001F6921"/>
    <w:rsid w:val="001F7C3E"/>
    <w:rsid w:val="002011B4"/>
    <w:rsid w:val="00201969"/>
    <w:rsid w:val="00205D53"/>
    <w:rsid w:val="00207F11"/>
    <w:rsid w:val="00207F15"/>
    <w:rsid w:val="0021222C"/>
    <w:rsid w:val="00213FA5"/>
    <w:rsid w:val="0021496E"/>
    <w:rsid w:val="0021549A"/>
    <w:rsid w:val="0021627D"/>
    <w:rsid w:val="002225D2"/>
    <w:rsid w:val="00222ABF"/>
    <w:rsid w:val="00222AFB"/>
    <w:rsid w:val="00223032"/>
    <w:rsid w:val="002317D9"/>
    <w:rsid w:val="0023733A"/>
    <w:rsid w:val="0024044F"/>
    <w:rsid w:val="00240CFB"/>
    <w:rsid w:val="00243F7C"/>
    <w:rsid w:val="00244261"/>
    <w:rsid w:val="00245D00"/>
    <w:rsid w:val="00246C5E"/>
    <w:rsid w:val="00246D9B"/>
    <w:rsid w:val="00253A21"/>
    <w:rsid w:val="00257F2D"/>
    <w:rsid w:val="00260B6D"/>
    <w:rsid w:val="00261EDB"/>
    <w:rsid w:val="00262F9F"/>
    <w:rsid w:val="00266D2D"/>
    <w:rsid w:val="0027328A"/>
    <w:rsid w:val="0027331F"/>
    <w:rsid w:val="00275D0C"/>
    <w:rsid w:val="00276512"/>
    <w:rsid w:val="00277DBA"/>
    <w:rsid w:val="00277ECA"/>
    <w:rsid w:val="00285E76"/>
    <w:rsid w:val="0028780D"/>
    <w:rsid w:val="002910EE"/>
    <w:rsid w:val="00292B77"/>
    <w:rsid w:val="002949C3"/>
    <w:rsid w:val="002952AD"/>
    <w:rsid w:val="002A10A4"/>
    <w:rsid w:val="002A26FE"/>
    <w:rsid w:val="002A400A"/>
    <w:rsid w:val="002B1423"/>
    <w:rsid w:val="002C035D"/>
    <w:rsid w:val="002C74EE"/>
    <w:rsid w:val="002D19C2"/>
    <w:rsid w:val="002D7D7B"/>
    <w:rsid w:val="002E0595"/>
    <w:rsid w:val="002E6CDC"/>
    <w:rsid w:val="002F1257"/>
    <w:rsid w:val="002F46CC"/>
    <w:rsid w:val="002F62E1"/>
    <w:rsid w:val="003052C4"/>
    <w:rsid w:val="003062D6"/>
    <w:rsid w:val="00310C61"/>
    <w:rsid w:val="003171B3"/>
    <w:rsid w:val="0032214D"/>
    <w:rsid w:val="0032559D"/>
    <w:rsid w:val="00330DD6"/>
    <w:rsid w:val="00331616"/>
    <w:rsid w:val="00333567"/>
    <w:rsid w:val="00340601"/>
    <w:rsid w:val="00344575"/>
    <w:rsid w:val="0035113C"/>
    <w:rsid w:val="00351BF0"/>
    <w:rsid w:val="00354525"/>
    <w:rsid w:val="00360651"/>
    <w:rsid w:val="003718E1"/>
    <w:rsid w:val="00374385"/>
    <w:rsid w:val="00375C7B"/>
    <w:rsid w:val="003762A6"/>
    <w:rsid w:val="00377795"/>
    <w:rsid w:val="00380C17"/>
    <w:rsid w:val="00380CC4"/>
    <w:rsid w:val="00382C5E"/>
    <w:rsid w:val="003844DF"/>
    <w:rsid w:val="00395338"/>
    <w:rsid w:val="003A7E17"/>
    <w:rsid w:val="003A7E67"/>
    <w:rsid w:val="003B274C"/>
    <w:rsid w:val="003C0686"/>
    <w:rsid w:val="003C50A2"/>
    <w:rsid w:val="003C70EE"/>
    <w:rsid w:val="003D08CF"/>
    <w:rsid w:val="003D0AF8"/>
    <w:rsid w:val="003D0CBA"/>
    <w:rsid w:val="003D0F6A"/>
    <w:rsid w:val="003D4BA8"/>
    <w:rsid w:val="003D5C68"/>
    <w:rsid w:val="003E03DE"/>
    <w:rsid w:val="003E1E1A"/>
    <w:rsid w:val="003E1ECF"/>
    <w:rsid w:val="003E287B"/>
    <w:rsid w:val="003E5269"/>
    <w:rsid w:val="003F1634"/>
    <w:rsid w:val="003F2B9A"/>
    <w:rsid w:val="003F5FF2"/>
    <w:rsid w:val="003F6E82"/>
    <w:rsid w:val="003F770F"/>
    <w:rsid w:val="00405394"/>
    <w:rsid w:val="004066E4"/>
    <w:rsid w:val="0040680B"/>
    <w:rsid w:val="00407361"/>
    <w:rsid w:val="00413DE4"/>
    <w:rsid w:val="004148A8"/>
    <w:rsid w:val="00417C55"/>
    <w:rsid w:val="0042179E"/>
    <w:rsid w:val="00422A10"/>
    <w:rsid w:val="00424A7B"/>
    <w:rsid w:val="00425573"/>
    <w:rsid w:val="00425BDA"/>
    <w:rsid w:val="00430AE4"/>
    <w:rsid w:val="004316C4"/>
    <w:rsid w:val="00431B9B"/>
    <w:rsid w:val="00431E5E"/>
    <w:rsid w:val="004447C1"/>
    <w:rsid w:val="0044570F"/>
    <w:rsid w:val="00446AA8"/>
    <w:rsid w:val="0044752C"/>
    <w:rsid w:val="0045590D"/>
    <w:rsid w:val="00455D3D"/>
    <w:rsid w:val="0046211F"/>
    <w:rsid w:val="00466CD7"/>
    <w:rsid w:val="0046787B"/>
    <w:rsid w:val="0047363E"/>
    <w:rsid w:val="00482F0E"/>
    <w:rsid w:val="0048343C"/>
    <w:rsid w:val="00485023"/>
    <w:rsid w:val="00486653"/>
    <w:rsid w:val="00493CA7"/>
    <w:rsid w:val="00493CD9"/>
    <w:rsid w:val="004955A2"/>
    <w:rsid w:val="0049751B"/>
    <w:rsid w:val="004A19CE"/>
    <w:rsid w:val="004A24FC"/>
    <w:rsid w:val="004A3ED8"/>
    <w:rsid w:val="004A45E6"/>
    <w:rsid w:val="004A5FDA"/>
    <w:rsid w:val="004B1361"/>
    <w:rsid w:val="004B6D30"/>
    <w:rsid w:val="004B7B55"/>
    <w:rsid w:val="004C274C"/>
    <w:rsid w:val="004C403C"/>
    <w:rsid w:val="004C786A"/>
    <w:rsid w:val="004D0616"/>
    <w:rsid w:val="004D063B"/>
    <w:rsid w:val="004D098C"/>
    <w:rsid w:val="004D2125"/>
    <w:rsid w:val="004D24A9"/>
    <w:rsid w:val="004D41FE"/>
    <w:rsid w:val="004D7889"/>
    <w:rsid w:val="004E0490"/>
    <w:rsid w:val="004E0E14"/>
    <w:rsid w:val="004E1EAC"/>
    <w:rsid w:val="004E44E1"/>
    <w:rsid w:val="004E5357"/>
    <w:rsid w:val="004E5EA5"/>
    <w:rsid w:val="004F19C5"/>
    <w:rsid w:val="004F4A07"/>
    <w:rsid w:val="004F5EB1"/>
    <w:rsid w:val="004F6887"/>
    <w:rsid w:val="00501E0D"/>
    <w:rsid w:val="005030AD"/>
    <w:rsid w:val="00507749"/>
    <w:rsid w:val="0051027A"/>
    <w:rsid w:val="00510571"/>
    <w:rsid w:val="0051249C"/>
    <w:rsid w:val="005176E7"/>
    <w:rsid w:val="00520330"/>
    <w:rsid w:val="00520576"/>
    <w:rsid w:val="0052204F"/>
    <w:rsid w:val="00524B6B"/>
    <w:rsid w:val="0052564C"/>
    <w:rsid w:val="00526403"/>
    <w:rsid w:val="00530D8C"/>
    <w:rsid w:val="00533686"/>
    <w:rsid w:val="00536A72"/>
    <w:rsid w:val="005376B0"/>
    <w:rsid w:val="005413EE"/>
    <w:rsid w:val="00542EB1"/>
    <w:rsid w:val="00542F32"/>
    <w:rsid w:val="00551FC5"/>
    <w:rsid w:val="0055232D"/>
    <w:rsid w:val="0055692E"/>
    <w:rsid w:val="0055778E"/>
    <w:rsid w:val="00571A6F"/>
    <w:rsid w:val="005765FB"/>
    <w:rsid w:val="005846FC"/>
    <w:rsid w:val="00584E3C"/>
    <w:rsid w:val="00587443"/>
    <w:rsid w:val="00587C50"/>
    <w:rsid w:val="005917F3"/>
    <w:rsid w:val="0059430D"/>
    <w:rsid w:val="005A27D5"/>
    <w:rsid w:val="005A502F"/>
    <w:rsid w:val="005A6A56"/>
    <w:rsid w:val="005B0ACD"/>
    <w:rsid w:val="005B4BBD"/>
    <w:rsid w:val="005B50A2"/>
    <w:rsid w:val="005C1284"/>
    <w:rsid w:val="005C1EE5"/>
    <w:rsid w:val="005C3408"/>
    <w:rsid w:val="005C4838"/>
    <w:rsid w:val="005C4E80"/>
    <w:rsid w:val="005D611B"/>
    <w:rsid w:val="005E0989"/>
    <w:rsid w:val="005E3B60"/>
    <w:rsid w:val="005E482B"/>
    <w:rsid w:val="005E692F"/>
    <w:rsid w:val="005E77C8"/>
    <w:rsid w:val="005E7A61"/>
    <w:rsid w:val="005F1ACE"/>
    <w:rsid w:val="005F256D"/>
    <w:rsid w:val="0060183A"/>
    <w:rsid w:val="006020BF"/>
    <w:rsid w:val="00603110"/>
    <w:rsid w:val="00611C8E"/>
    <w:rsid w:val="00613017"/>
    <w:rsid w:val="006134C4"/>
    <w:rsid w:val="00622160"/>
    <w:rsid w:val="006224DC"/>
    <w:rsid w:val="006232AD"/>
    <w:rsid w:val="00625AF4"/>
    <w:rsid w:val="006302F7"/>
    <w:rsid w:val="00631F30"/>
    <w:rsid w:val="00635FB3"/>
    <w:rsid w:val="0063671B"/>
    <w:rsid w:val="00640CC2"/>
    <w:rsid w:val="00640CDE"/>
    <w:rsid w:val="00642420"/>
    <w:rsid w:val="00646158"/>
    <w:rsid w:val="006513F4"/>
    <w:rsid w:val="00657B0B"/>
    <w:rsid w:val="006634D6"/>
    <w:rsid w:val="00664EF8"/>
    <w:rsid w:val="0066622C"/>
    <w:rsid w:val="00666487"/>
    <w:rsid w:val="006708E9"/>
    <w:rsid w:val="00670B2E"/>
    <w:rsid w:val="006731AB"/>
    <w:rsid w:val="00673B37"/>
    <w:rsid w:val="00674CDC"/>
    <w:rsid w:val="00676CC6"/>
    <w:rsid w:val="00690609"/>
    <w:rsid w:val="006945EA"/>
    <w:rsid w:val="006951C1"/>
    <w:rsid w:val="00697765"/>
    <w:rsid w:val="006A2D0B"/>
    <w:rsid w:val="006B01DC"/>
    <w:rsid w:val="006B5470"/>
    <w:rsid w:val="006B74B0"/>
    <w:rsid w:val="006D0138"/>
    <w:rsid w:val="006D258D"/>
    <w:rsid w:val="006D2B12"/>
    <w:rsid w:val="006D6F52"/>
    <w:rsid w:val="006E0B70"/>
    <w:rsid w:val="006E68C2"/>
    <w:rsid w:val="0070007C"/>
    <w:rsid w:val="00701718"/>
    <w:rsid w:val="00710359"/>
    <w:rsid w:val="00711823"/>
    <w:rsid w:val="007121C4"/>
    <w:rsid w:val="00712FFF"/>
    <w:rsid w:val="007143CE"/>
    <w:rsid w:val="0071467F"/>
    <w:rsid w:val="00722DBF"/>
    <w:rsid w:val="00726CFF"/>
    <w:rsid w:val="00730416"/>
    <w:rsid w:val="00730B5F"/>
    <w:rsid w:val="007330AA"/>
    <w:rsid w:val="007345DB"/>
    <w:rsid w:val="00735157"/>
    <w:rsid w:val="00741865"/>
    <w:rsid w:val="0074544D"/>
    <w:rsid w:val="007525E3"/>
    <w:rsid w:val="0075603F"/>
    <w:rsid w:val="00756446"/>
    <w:rsid w:val="0076271C"/>
    <w:rsid w:val="00762E97"/>
    <w:rsid w:val="007653DD"/>
    <w:rsid w:val="00767C97"/>
    <w:rsid w:val="00767CE8"/>
    <w:rsid w:val="0077230D"/>
    <w:rsid w:val="0077382B"/>
    <w:rsid w:val="007749A4"/>
    <w:rsid w:val="00775490"/>
    <w:rsid w:val="007804E1"/>
    <w:rsid w:val="00780B74"/>
    <w:rsid w:val="00784605"/>
    <w:rsid w:val="0078586D"/>
    <w:rsid w:val="0078632B"/>
    <w:rsid w:val="00786AE4"/>
    <w:rsid w:val="00792F0D"/>
    <w:rsid w:val="007935B7"/>
    <w:rsid w:val="00795D0C"/>
    <w:rsid w:val="00797A9A"/>
    <w:rsid w:val="00797F42"/>
    <w:rsid w:val="007A2123"/>
    <w:rsid w:val="007A2230"/>
    <w:rsid w:val="007A3659"/>
    <w:rsid w:val="007A3F77"/>
    <w:rsid w:val="007A55BA"/>
    <w:rsid w:val="007B464C"/>
    <w:rsid w:val="007C1FBD"/>
    <w:rsid w:val="007C4DB8"/>
    <w:rsid w:val="007C54B3"/>
    <w:rsid w:val="007C5C8E"/>
    <w:rsid w:val="007D0CBD"/>
    <w:rsid w:val="007D2AF1"/>
    <w:rsid w:val="007D7EBE"/>
    <w:rsid w:val="007E0A01"/>
    <w:rsid w:val="007E22F5"/>
    <w:rsid w:val="007E2561"/>
    <w:rsid w:val="007F07A5"/>
    <w:rsid w:val="007F25F3"/>
    <w:rsid w:val="007F382B"/>
    <w:rsid w:val="007F4901"/>
    <w:rsid w:val="008125E5"/>
    <w:rsid w:val="00815EC2"/>
    <w:rsid w:val="008252D4"/>
    <w:rsid w:val="00826DEB"/>
    <w:rsid w:val="00831E3A"/>
    <w:rsid w:val="00832A78"/>
    <w:rsid w:val="00836B02"/>
    <w:rsid w:val="00840102"/>
    <w:rsid w:val="008409F2"/>
    <w:rsid w:val="00840AC3"/>
    <w:rsid w:val="0084165E"/>
    <w:rsid w:val="0084267E"/>
    <w:rsid w:val="00843317"/>
    <w:rsid w:val="008467D4"/>
    <w:rsid w:val="00850FB0"/>
    <w:rsid w:val="0085238E"/>
    <w:rsid w:val="00853428"/>
    <w:rsid w:val="008540EA"/>
    <w:rsid w:val="008554C2"/>
    <w:rsid w:val="00857084"/>
    <w:rsid w:val="00860D00"/>
    <w:rsid w:val="008617E9"/>
    <w:rsid w:val="008632FF"/>
    <w:rsid w:val="00863372"/>
    <w:rsid w:val="00866A00"/>
    <w:rsid w:val="00866A6E"/>
    <w:rsid w:val="008702A6"/>
    <w:rsid w:val="008757CE"/>
    <w:rsid w:val="0088222E"/>
    <w:rsid w:val="0088392C"/>
    <w:rsid w:val="00885AF7"/>
    <w:rsid w:val="008908FD"/>
    <w:rsid w:val="00896D25"/>
    <w:rsid w:val="00897C0E"/>
    <w:rsid w:val="00897E31"/>
    <w:rsid w:val="008A046F"/>
    <w:rsid w:val="008A405A"/>
    <w:rsid w:val="008A64CE"/>
    <w:rsid w:val="008A6A6A"/>
    <w:rsid w:val="008B04F1"/>
    <w:rsid w:val="008B0FE3"/>
    <w:rsid w:val="008B18ED"/>
    <w:rsid w:val="008B650A"/>
    <w:rsid w:val="008B6AF5"/>
    <w:rsid w:val="008B787C"/>
    <w:rsid w:val="008C0913"/>
    <w:rsid w:val="008C3898"/>
    <w:rsid w:val="008C3E53"/>
    <w:rsid w:val="008C557B"/>
    <w:rsid w:val="008C66CC"/>
    <w:rsid w:val="008D4669"/>
    <w:rsid w:val="008E01D1"/>
    <w:rsid w:val="008E17FF"/>
    <w:rsid w:val="008F1F28"/>
    <w:rsid w:val="008F483C"/>
    <w:rsid w:val="00910595"/>
    <w:rsid w:val="00910756"/>
    <w:rsid w:val="00910A2B"/>
    <w:rsid w:val="009118D2"/>
    <w:rsid w:val="009127C9"/>
    <w:rsid w:val="009128C4"/>
    <w:rsid w:val="00912D61"/>
    <w:rsid w:val="009155CB"/>
    <w:rsid w:val="00916961"/>
    <w:rsid w:val="00922DD0"/>
    <w:rsid w:val="00927E27"/>
    <w:rsid w:val="009322D7"/>
    <w:rsid w:val="00932BDE"/>
    <w:rsid w:val="009371D0"/>
    <w:rsid w:val="00941246"/>
    <w:rsid w:val="009449E2"/>
    <w:rsid w:val="00945C46"/>
    <w:rsid w:val="009461E0"/>
    <w:rsid w:val="00952AFE"/>
    <w:rsid w:val="00953215"/>
    <w:rsid w:val="009650B0"/>
    <w:rsid w:val="00967725"/>
    <w:rsid w:val="009708EB"/>
    <w:rsid w:val="00970CE0"/>
    <w:rsid w:val="009731F7"/>
    <w:rsid w:val="009736AD"/>
    <w:rsid w:val="009753E1"/>
    <w:rsid w:val="009800DE"/>
    <w:rsid w:val="00980170"/>
    <w:rsid w:val="0098195F"/>
    <w:rsid w:val="009902F8"/>
    <w:rsid w:val="00993BB8"/>
    <w:rsid w:val="0099406C"/>
    <w:rsid w:val="00994303"/>
    <w:rsid w:val="0099555F"/>
    <w:rsid w:val="009955AF"/>
    <w:rsid w:val="00996919"/>
    <w:rsid w:val="009A11DD"/>
    <w:rsid w:val="009A22A1"/>
    <w:rsid w:val="009A2E47"/>
    <w:rsid w:val="009B134A"/>
    <w:rsid w:val="009B3A1B"/>
    <w:rsid w:val="009B46A8"/>
    <w:rsid w:val="009B6332"/>
    <w:rsid w:val="009C0287"/>
    <w:rsid w:val="009C0912"/>
    <w:rsid w:val="009C0D6C"/>
    <w:rsid w:val="009C6576"/>
    <w:rsid w:val="009C7443"/>
    <w:rsid w:val="009D0377"/>
    <w:rsid w:val="009D477C"/>
    <w:rsid w:val="009D6694"/>
    <w:rsid w:val="009E7296"/>
    <w:rsid w:val="009F0300"/>
    <w:rsid w:val="009F2084"/>
    <w:rsid w:val="009F23D0"/>
    <w:rsid w:val="009F2CD8"/>
    <w:rsid w:val="009F6879"/>
    <w:rsid w:val="00A00189"/>
    <w:rsid w:val="00A00B7C"/>
    <w:rsid w:val="00A01CD8"/>
    <w:rsid w:val="00A03500"/>
    <w:rsid w:val="00A069B0"/>
    <w:rsid w:val="00A06A2F"/>
    <w:rsid w:val="00A10881"/>
    <w:rsid w:val="00A11769"/>
    <w:rsid w:val="00A167A8"/>
    <w:rsid w:val="00A21F0A"/>
    <w:rsid w:val="00A26011"/>
    <w:rsid w:val="00A26AF3"/>
    <w:rsid w:val="00A3500D"/>
    <w:rsid w:val="00A427C1"/>
    <w:rsid w:val="00A42D62"/>
    <w:rsid w:val="00A47C76"/>
    <w:rsid w:val="00A506C2"/>
    <w:rsid w:val="00A526D0"/>
    <w:rsid w:val="00A54E4A"/>
    <w:rsid w:val="00A60BC3"/>
    <w:rsid w:val="00A610EA"/>
    <w:rsid w:val="00A6167C"/>
    <w:rsid w:val="00A6203C"/>
    <w:rsid w:val="00A62886"/>
    <w:rsid w:val="00A639E8"/>
    <w:rsid w:val="00A63CD2"/>
    <w:rsid w:val="00A65775"/>
    <w:rsid w:val="00A678D1"/>
    <w:rsid w:val="00A71216"/>
    <w:rsid w:val="00A7328A"/>
    <w:rsid w:val="00A74C38"/>
    <w:rsid w:val="00A77D24"/>
    <w:rsid w:val="00A8572F"/>
    <w:rsid w:val="00A93E07"/>
    <w:rsid w:val="00A969E0"/>
    <w:rsid w:val="00A979CF"/>
    <w:rsid w:val="00A97B71"/>
    <w:rsid w:val="00AA4DE1"/>
    <w:rsid w:val="00AA4DF8"/>
    <w:rsid w:val="00AA5146"/>
    <w:rsid w:val="00AB1EAE"/>
    <w:rsid w:val="00AB48BC"/>
    <w:rsid w:val="00AB505C"/>
    <w:rsid w:val="00AB753C"/>
    <w:rsid w:val="00AB780C"/>
    <w:rsid w:val="00AC2448"/>
    <w:rsid w:val="00AC626A"/>
    <w:rsid w:val="00AD0B0B"/>
    <w:rsid w:val="00AD34C2"/>
    <w:rsid w:val="00AD3553"/>
    <w:rsid w:val="00AD3BB1"/>
    <w:rsid w:val="00AD5ADE"/>
    <w:rsid w:val="00AD6877"/>
    <w:rsid w:val="00AE4551"/>
    <w:rsid w:val="00AE7138"/>
    <w:rsid w:val="00AE773E"/>
    <w:rsid w:val="00AE7E48"/>
    <w:rsid w:val="00AF0504"/>
    <w:rsid w:val="00AF235A"/>
    <w:rsid w:val="00AF4CAF"/>
    <w:rsid w:val="00B008B8"/>
    <w:rsid w:val="00B00B49"/>
    <w:rsid w:val="00B01720"/>
    <w:rsid w:val="00B01F31"/>
    <w:rsid w:val="00B02273"/>
    <w:rsid w:val="00B10BD3"/>
    <w:rsid w:val="00B117BA"/>
    <w:rsid w:val="00B15F23"/>
    <w:rsid w:val="00B16508"/>
    <w:rsid w:val="00B20D87"/>
    <w:rsid w:val="00B21C48"/>
    <w:rsid w:val="00B24053"/>
    <w:rsid w:val="00B264E2"/>
    <w:rsid w:val="00B31550"/>
    <w:rsid w:val="00B32FAD"/>
    <w:rsid w:val="00B3628F"/>
    <w:rsid w:val="00B378A2"/>
    <w:rsid w:val="00B578AC"/>
    <w:rsid w:val="00B61AB5"/>
    <w:rsid w:val="00B62F06"/>
    <w:rsid w:val="00B6433F"/>
    <w:rsid w:val="00B64CF5"/>
    <w:rsid w:val="00B7183C"/>
    <w:rsid w:val="00B71C48"/>
    <w:rsid w:val="00B76C9B"/>
    <w:rsid w:val="00B823A1"/>
    <w:rsid w:val="00B8428B"/>
    <w:rsid w:val="00B872EF"/>
    <w:rsid w:val="00B908EC"/>
    <w:rsid w:val="00B97BDC"/>
    <w:rsid w:val="00BA41F5"/>
    <w:rsid w:val="00BA58A7"/>
    <w:rsid w:val="00BA74BC"/>
    <w:rsid w:val="00BB0715"/>
    <w:rsid w:val="00BB2011"/>
    <w:rsid w:val="00BB2958"/>
    <w:rsid w:val="00BB2B0A"/>
    <w:rsid w:val="00BB3C9C"/>
    <w:rsid w:val="00BB5A3C"/>
    <w:rsid w:val="00BC0212"/>
    <w:rsid w:val="00BD2306"/>
    <w:rsid w:val="00BD6B4A"/>
    <w:rsid w:val="00BE1B59"/>
    <w:rsid w:val="00BE49C4"/>
    <w:rsid w:val="00BE4CAC"/>
    <w:rsid w:val="00BF054A"/>
    <w:rsid w:val="00BF4822"/>
    <w:rsid w:val="00C01D22"/>
    <w:rsid w:val="00C104B6"/>
    <w:rsid w:val="00C10F02"/>
    <w:rsid w:val="00C114F4"/>
    <w:rsid w:val="00C11D03"/>
    <w:rsid w:val="00C272C3"/>
    <w:rsid w:val="00C274F7"/>
    <w:rsid w:val="00C31967"/>
    <w:rsid w:val="00C31BF1"/>
    <w:rsid w:val="00C3435E"/>
    <w:rsid w:val="00C34C96"/>
    <w:rsid w:val="00C371DE"/>
    <w:rsid w:val="00C409AE"/>
    <w:rsid w:val="00C4143E"/>
    <w:rsid w:val="00C42171"/>
    <w:rsid w:val="00C42B64"/>
    <w:rsid w:val="00C42D50"/>
    <w:rsid w:val="00C45FE2"/>
    <w:rsid w:val="00C54DCD"/>
    <w:rsid w:val="00C54DF8"/>
    <w:rsid w:val="00C5759A"/>
    <w:rsid w:val="00C60B49"/>
    <w:rsid w:val="00C6248F"/>
    <w:rsid w:val="00C6327D"/>
    <w:rsid w:val="00C71892"/>
    <w:rsid w:val="00C73822"/>
    <w:rsid w:val="00C7440A"/>
    <w:rsid w:val="00C84549"/>
    <w:rsid w:val="00C865ED"/>
    <w:rsid w:val="00C8775A"/>
    <w:rsid w:val="00C91947"/>
    <w:rsid w:val="00C92D5A"/>
    <w:rsid w:val="00C93171"/>
    <w:rsid w:val="00C95C98"/>
    <w:rsid w:val="00C97C3A"/>
    <w:rsid w:val="00CA0877"/>
    <w:rsid w:val="00CA3FF7"/>
    <w:rsid w:val="00CA6B59"/>
    <w:rsid w:val="00CB3B6C"/>
    <w:rsid w:val="00CB75F1"/>
    <w:rsid w:val="00CC068A"/>
    <w:rsid w:val="00CC1833"/>
    <w:rsid w:val="00CC189F"/>
    <w:rsid w:val="00CC2EFB"/>
    <w:rsid w:val="00CC3368"/>
    <w:rsid w:val="00CC6593"/>
    <w:rsid w:val="00CD17C6"/>
    <w:rsid w:val="00CD2634"/>
    <w:rsid w:val="00CD2AA5"/>
    <w:rsid w:val="00CD3D04"/>
    <w:rsid w:val="00CE03FF"/>
    <w:rsid w:val="00CE235C"/>
    <w:rsid w:val="00CE53C7"/>
    <w:rsid w:val="00CE6DDA"/>
    <w:rsid w:val="00CF19C4"/>
    <w:rsid w:val="00CF2B0A"/>
    <w:rsid w:val="00D0325F"/>
    <w:rsid w:val="00D12209"/>
    <w:rsid w:val="00D129E6"/>
    <w:rsid w:val="00D12C6E"/>
    <w:rsid w:val="00D13852"/>
    <w:rsid w:val="00D13C04"/>
    <w:rsid w:val="00D14C2C"/>
    <w:rsid w:val="00D14E1F"/>
    <w:rsid w:val="00D17902"/>
    <w:rsid w:val="00D20A78"/>
    <w:rsid w:val="00D20C86"/>
    <w:rsid w:val="00D20D13"/>
    <w:rsid w:val="00D217DB"/>
    <w:rsid w:val="00D22D3C"/>
    <w:rsid w:val="00D267C4"/>
    <w:rsid w:val="00D278BA"/>
    <w:rsid w:val="00D305BD"/>
    <w:rsid w:val="00D3146B"/>
    <w:rsid w:val="00D3637C"/>
    <w:rsid w:val="00D40454"/>
    <w:rsid w:val="00D4059C"/>
    <w:rsid w:val="00D4225B"/>
    <w:rsid w:val="00D5193A"/>
    <w:rsid w:val="00D53D8F"/>
    <w:rsid w:val="00D57E6F"/>
    <w:rsid w:val="00D61C76"/>
    <w:rsid w:val="00D66AAF"/>
    <w:rsid w:val="00D73B24"/>
    <w:rsid w:val="00D76E9A"/>
    <w:rsid w:val="00D77015"/>
    <w:rsid w:val="00D83679"/>
    <w:rsid w:val="00D84521"/>
    <w:rsid w:val="00D86925"/>
    <w:rsid w:val="00D8722F"/>
    <w:rsid w:val="00D92B48"/>
    <w:rsid w:val="00D93E96"/>
    <w:rsid w:val="00D95E14"/>
    <w:rsid w:val="00DA1C61"/>
    <w:rsid w:val="00DA6604"/>
    <w:rsid w:val="00DB1693"/>
    <w:rsid w:val="00DD0EAA"/>
    <w:rsid w:val="00DD5B07"/>
    <w:rsid w:val="00DD7F29"/>
    <w:rsid w:val="00DE6821"/>
    <w:rsid w:val="00DE6F8C"/>
    <w:rsid w:val="00DF1618"/>
    <w:rsid w:val="00DF2022"/>
    <w:rsid w:val="00DF2D0A"/>
    <w:rsid w:val="00DF2FD7"/>
    <w:rsid w:val="00DF34BE"/>
    <w:rsid w:val="00DF52A0"/>
    <w:rsid w:val="00DF5D59"/>
    <w:rsid w:val="00DF66EB"/>
    <w:rsid w:val="00DF70ED"/>
    <w:rsid w:val="00DF7C3E"/>
    <w:rsid w:val="00E05ACE"/>
    <w:rsid w:val="00E07A36"/>
    <w:rsid w:val="00E10B37"/>
    <w:rsid w:val="00E127E5"/>
    <w:rsid w:val="00E13D5F"/>
    <w:rsid w:val="00E2217A"/>
    <w:rsid w:val="00E22E6D"/>
    <w:rsid w:val="00E239E4"/>
    <w:rsid w:val="00E25620"/>
    <w:rsid w:val="00E26432"/>
    <w:rsid w:val="00E356DC"/>
    <w:rsid w:val="00E36A38"/>
    <w:rsid w:val="00E37961"/>
    <w:rsid w:val="00E50166"/>
    <w:rsid w:val="00E5159C"/>
    <w:rsid w:val="00E53399"/>
    <w:rsid w:val="00E54EBB"/>
    <w:rsid w:val="00E64E0F"/>
    <w:rsid w:val="00E737CE"/>
    <w:rsid w:val="00E77995"/>
    <w:rsid w:val="00E813CF"/>
    <w:rsid w:val="00E8180E"/>
    <w:rsid w:val="00E819F0"/>
    <w:rsid w:val="00E83038"/>
    <w:rsid w:val="00E84BDA"/>
    <w:rsid w:val="00E87099"/>
    <w:rsid w:val="00E972E1"/>
    <w:rsid w:val="00EA103B"/>
    <w:rsid w:val="00EA28E6"/>
    <w:rsid w:val="00EB03FA"/>
    <w:rsid w:val="00EC06E5"/>
    <w:rsid w:val="00EC1667"/>
    <w:rsid w:val="00EC1D39"/>
    <w:rsid w:val="00EE30E6"/>
    <w:rsid w:val="00EE3EB1"/>
    <w:rsid w:val="00EE6A1B"/>
    <w:rsid w:val="00EF371D"/>
    <w:rsid w:val="00EF632C"/>
    <w:rsid w:val="00EF78C4"/>
    <w:rsid w:val="00F04CD7"/>
    <w:rsid w:val="00F07843"/>
    <w:rsid w:val="00F1724B"/>
    <w:rsid w:val="00F17E3B"/>
    <w:rsid w:val="00F23E15"/>
    <w:rsid w:val="00F244A2"/>
    <w:rsid w:val="00F30174"/>
    <w:rsid w:val="00F34979"/>
    <w:rsid w:val="00F35064"/>
    <w:rsid w:val="00F374D8"/>
    <w:rsid w:val="00F40920"/>
    <w:rsid w:val="00F52040"/>
    <w:rsid w:val="00F539FB"/>
    <w:rsid w:val="00F5684D"/>
    <w:rsid w:val="00F57AB6"/>
    <w:rsid w:val="00F57BBB"/>
    <w:rsid w:val="00F60F6A"/>
    <w:rsid w:val="00F633D8"/>
    <w:rsid w:val="00F6480F"/>
    <w:rsid w:val="00F64868"/>
    <w:rsid w:val="00F708FD"/>
    <w:rsid w:val="00F70C2E"/>
    <w:rsid w:val="00F71D2F"/>
    <w:rsid w:val="00F756CB"/>
    <w:rsid w:val="00F75720"/>
    <w:rsid w:val="00F769DD"/>
    <w:rsid w:val="00F84DF2"/>
    <w:rsid w:val="00F86713"/>
    <w:rsid w:val="00F90AA0"/>
    <w:rsid w:val="00F932E0"/>
    <w:rsid w:val="00F95BB9"/>
    <w:rsid w:val="00F9744F"/>
    <w:rsid w:val="00FA0470"/>
    <w:rsid w:val="00FA2486"/>
    <w:rsid w:val="00FA4906"/>
    <w:rsid w:val="00FB2620"/>
    <w:rsid w:val="00FB3B0D"/>
    <w:rsid w:val="00FB48F2"/>
    <w:rsid w:val="00FB54E2"/>
    <w:rsid w:val="00FB63F0"/>
    <w:rsid w:val="00FB7701"/>
    <w:rsid w:val="00FC40F0"/>
    <w:rsid w:val="00FC5B89"/>
    <w:rsid w:val="00FC5C5C"/>
    <w:rsid w:val="00FC6D3B"/>
    <w:rsid w:val="00FC72CC"/>
    <w:rsid w:val="00FD0129"/>
    <w:rsid w:val="00FD3147"/>
    <w:rsid w:val="00FD3394"/>
    <w:rsid w:val="00FD621A"/>
    <w:rsid w:val="00FE17ED"/>
    <w:rsid w:val="00FE3043"/>
    <w:rsid w:val="00FE6302"/>
    <w:rsid w:val="00FE77AB"/>
    <w:rsid w:val="00FE7A20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C1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3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55F"/>
    <w:rPr>
      <w:sz w:val="24"/>
    </w:rPr>
  </w:style>
  <w:style w:type="paragraph" w:styleId="Heading2">
    <w:name w:val="heading 2"/>
    <w:basedOn w:val="Normal"/>
    <w:next w:val="Normal"/>
    <w:qFormat/>
    <w:rsid w:val="00240CFB"/>
    <w:pPr>
      <w:keepNext/>
      <w:spacing w:after="120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E53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55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555F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rsid w:val="00D4059C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qFormat/>
    <w:rsid w:val="00D4059C"/>
    <w:pPr>
      <w:spacing w:before="240" w:after="240"/>
    </w:pPr>
    <w:rPr>
      <w:rFonts w:ascii="Arial" w:hAnsi="Arial"/>
      <w:b/>
      <w:sz w:val="40"/>
      <w:lang w:eastAsia="en-US"/>
    </w:rPr>
  </w:style>
  <w:style w:type="paragraph" w:styleId="FootnoteText">
    <w:name w:val="footnote text"/>
    <w:basedOn w:val="Normal"/>
    <w:link w:val="FootnoteTextChar"/>
    <w:uiPriority w:val="13"/>
    <w:semiHidden/>
    <w:qFormat/>
    <w:rsid w:val="00F35064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F35064"/>
    <w:rPr>
      <w:vertAlign w:val="superscript"/>
    </w:rPr>
  </w:style>
  <w:style w:type="paragraph" w:styleId="BalloonText">
    <w:name w:val="Balloon Text"/>
    <w:basedOn w:val="Normal"/>
    <w:semiHidden/>
    <w:rsid w:val="005874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26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60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6011"/>
    <w:rPr>
      <w:b/>
      <w:bCs/>
    </w:rPr>
  </w:style>
  <w:style w:type="paragraph" w:customStyle="1" w:styleId="Heading1a">
    <w:name w:val="Heading 1a"/>
    <w:next w:val="Normal"/>
    <w:rsid w:val="00F86713"/>
    <w:pPr>
      <w:keepNext/>
      <w:keepLines/>
      <w:spacing w:before="480"/>
      <w:outlineLvl w:val="0"/>
    </w:pPr>
    <w:rPr>
      <w:rFonts w:ascii="Verdana" w:hAnsi="Verdana"/>
      <w:b/>
      <w:noProof/>
      <w:sz w:val="28"/>
    </w:rPr>
  </w:style>
  <w:style w:type="paragraph" w:customStyle="1" w:styleId="Char2">
    <w:name w:val="Char2"/>
    <w:basedOn w:val="Normal"/>
    <w:rsid w:val="00E53399"/>
    <w:pPr>
      <w:spacing w:after="160" w:line="240" w:lineRule="exact"/>
    </w:pPr>
    <w:rPr>
      <w:rFonts w:ascii="Verdana" w:hAnsi="Verdana"/>
      <w:sz w:val="21"/>
      <w:lang w:val="en-US" w:eastAsia="en-US"/>
    </w:rPr>
  </w:style>
  <w:style w:type="character" w:styleId="Hyperlink">
    <w:name w:val="Hyperlink"/>
    <w:basedOn w:val="DefaultParagraphFont"/>
    <w:rsid w:val="008F4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B5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C2448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CC2"/>
  </w:style>
  <w:style w:type="character" w:customStyle="1" w:styleId="FootnoteTextChar">
    <w:name w:val="Footnote Text Char"/>
    <w:basedOn w:val="DefaultParagraphFont"/>
    <w:link w:val="FootnoteText"/>
    <w:uiPriority w:val="13"/>
    <w:semiHidden/>
    <w:rsid w:val="00A3500D"/>
  </w:style>
  <w:style w:type="paragraph" w:styleId="Revision">
    <w:name w:val="Revision"/>
    <w:hidden/>
    <w:uiPriority w:val="99"/>
    <w:semiHidden/>
    <w:rsid w:val="00E64E0F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4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081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26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Expiration" staticId="0x010100A64679C44DADA04984EEB770C4791873|1060299444" UniqueId="4cb30c36-7391-4ddd-ab56-a47c5a5217a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45BFC1EB-E544-453A-B6EB-B75C6CCBD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92B523-521B-4F01-8DAB-0EC284B7888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http://www.ag.gov.au/Humanrightsandantidiscrimination/Pages/Statements-of-Compatibility-templates.aspx</vt:lpwstr>
      </vt:variant>
      <vt:variant>
        <vt:lpwstr>doesnot</vt:lpwstr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http://www.ag.gov.au/Humanrightsandantidiscrimination/Pages/Statements-of-Compatibility-templates.aspx</vt:lpwstr>
      </vt:variant>
      <vt:variant>
        <vt:lpwstr>doesnot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2022-11-23T22:46:00Z</dcterms:created>
  <dcterms:modified xsi:type="dcterms:W3CDTF">2022-11-23T22:46:00Z</dcterms:modified>
</cp:coreProperties>
</file>