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822B" w14:textId="2949A8F6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5893F9" wp14:editId="4346C66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65B94" w14:textId="77777777" w:rsidR="00F5638C" w:rsidRDefault="00F5638C" w:rsidP="00F5638C">
      <w:pPr>
        <w:rPr>
          <w:sz w:val="19"/>
        </w:rPr>
      </w:pPr>
    </w:p>
    <w:p w14:paraId="2283F9D6" w14:textId="651B36E5" w:rsidR="00F5638C" w:rsidRDefault="006A4EA6" w:rsidP="00F5638C">
      <w:pPr>
        <w:pStyle w:val="ShortT"/>
      </w:pPr>
      <w:r>
        <w:t>Treasury Laws Amendment (Miscellaneous Amendments No. 1) Instrument 2022</w:t>
      </w:r>
    </w:p>
    <w:p w14:paraId="3C143BA4" w14:textId="373F159A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AF7885">
        <w:rPr>
          <w:szCs w:val="22"/>
        </w:rPr>
        <w:t>Stephen Jones</w:t>
      </w:r>
      <w:r w:rsidRPr="00BC5754">
        <w:rPr>
          <w:szCs w:val="22"/>
        </w:rPr>
        <w:t xml:space="preserve">, </w:t>
      </w:r>
      <w:r w:rsidR="00AF7885">
        <w:rPr>
          <w:szCs w:val="22"/>
        </w:rPr>
        <w:t xml:space="preserve">Assistant Treasurer and Minister for Financial Services, </w:t>
      </w:r>
      <w:r w:rsidRPr="00BC5754">
        <w:rPr>
          <w:szCs w:val="22"/>
        </w:rPr>
        <w:t xml:space="preserve">make the following </w:t>
      </w:r>
      <w:r w:rsidR="006A4EA6">
        <w:rPr>
          <w:szCs w:val="22"/>
        </w:rPr>
        <w:t>instrument</w:t>
      </w:r>
      <w:r w:rsidRPr="00BC5754">
        <w:rPr>
          <w:szCs w:val="22"/>
        </w:rPr>
        <w:t>.</w:t>
      </w:r>
    </w:p>
    <w:p w14:paraId="6F40E58E" w14:textId="61774382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5E1B24">
        <w:rPr>
          <w:szCs w:val="22"/>
        </w:rPr>
        <w:t xml:space="preserve">23 November </w:t>
      </w:r>
      <w:r w:rsidR="006A4EA6">
        <w:rPr>
          <w:szCs w:val="22"/>
        </w:rPr>
        <w:t>2022</w:t>
      </w:r>
    </w:p>
    <w:p w14:paraId="71345A6D" w14:textId="6FF0069D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07DF213" w14:textId="192463DD" w:rsidR="00F5638C" w:rsidRPr="00BC5754" w:rsidRDefault="00AF7885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7ABC7AB8" w14:textId="48E37310" w:rsidR="00F5638C" w:rsidRPr="00BC5754" w:rsidRDefault="00AF7885" w:rsidP="00F5638C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2BBCF169" w14:textId="77777777" w:rsidR="00F5638C" w:rsidRDefault="00F5638C" w:rsidP="00F5638C"/>
    <w:p w14:paraId="0A86253C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74F2B56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33E7975" w14:textId="77777777" w:rsidR="00F5638C" w:rsidRDefault="00F5638C" w:rsidP="00F5638C">
      <w:pPr>
        <w:sectPr w:rsidR="00F5638C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EC6309A" w14:textId="7DAE3311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191AB1C" w14:textId="63F0931F" w:rsidR="00E86835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6835">
        <w:fldChar w:fldCharType="begin"/>
      </w:r>
      <w:r>
        <w:instrText xml:space="preserve"> TOC \o "1-9" </w:instrText>
      </w:r>
      <w:r w:rsidRPr="00E86835">
        <w:fldChar w:fldCharType="separate"/>
      </w:r>
      <w:r w:rsidR="00E86835">
        <w:rPr>
          <w:noProof/>
        </w:rPr>
        <w:t>1  Name</w:t>
      </w:r>
      <w:r w:rsidR="00E86835">
        <w:rPr>
          <w:noProof/>
        </w:rPr>
        <w:tab/>
      </w:r>
      <w:r w:rsidR="00E86835">
        <w:rPr>
          <w:noProof/>
        </w:rPr>
        <w:tab/>
      </w:r>
      <w:r w:rsidR="00E86835" w:rsidRPr="00E86835">
        <w:rPr>
          <w:noProof/>
        </w:rPr>
        <w:fldChar w:fldCharType="begin"/>
      </w:r>
      <w:r w:rsidR="00E86835" w:rsidRPr="00E86835">
        <w:rPr>
          <w:noProof/>
        </w:rPr>
        <w:instrText xml:space="preserve"> PAGEREF _Toc117585357 \h </w:instrText>
      </w:r>
      <w:r w:rsidR="00E86835" w:rsidRPr="00E86835">
        <w:rPr>
          <w:noProof/>
        </w:rPr>
      </w:r>
      <w:r w:rsidR="00E86835" w:rsidRPr="00E86835">
        <w:rPr>
          <w:noProof/>
        </w:rPr>
        <w:fldChar w:fldCharType="separate"/>
      </w:r>
      <w:r w:rsidR="007A1252">
        <w:rPr>
          <w:noProof/>
        </w:rPr>
        <w:t>1</w:t>
      </w:r>
      <w:r w:rsidR="00E86835" w:rsidRPr="00E86835">
        <w:rPr>
          <w:noProof/>
        </w:rPr>
        <w:fldChar w:fldCharType="end"/>
      </w:r>
    </w:p>
    <w:p w14:paraId="2C5E4802" w14:textId="4B627D19" w:rsidR="00E86835" w:rsidRDefault="00E868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E86835">
        <w:rPr>
          <w:noProof/>
        </w:rPr>
        <w:fldChar w:fldCharType="begin"/>
      </w:r>
      <w:r w:rsidRPr="00E86835">
        <w:rPr>
          <w:noProof/>
        </w:rPr>
        <w:instrText xml:space="preserve"> PAGEREF _Toc117585358 \h </w:instrText>
      </w:r>
      <w:r w:rsidRPr="00E86835">
        <w:rPr>
          <w:noProof/>
        </w:rPr>
      </w:r>
      <w:r w:rsidRPr="00E86835">
        <w:rPr>
          <w:noProof/>
        </w:rPr>
        <w:fldChar w:fldCharType="separate"/>
      </w:r>
      <w:r w:rsidR="007A1252">
        <w:rPr>
          <w:noProof/>
        </w:rPr>
        <w:t>1</w:t>
      </w:r>
      <w:r w:rsidRPr="00E86835">
        <w:rPr>
          <w:noProof/>
        </w:rPr>
        <w:fldChar w:fldCharType="end"/>
      </w:r>
    </w:p>
    <w:p w14:paraId="37FD51B7" w14:textId="124776AF" w:rsidR="00E86835" w:rsidRDefault="00E868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E86835">
        <w:rPr>
          <w:noProof/>
        </w:rPr>
        <w:fldChar w:fldCharType="begin"/>
      </w:r>
      <w:r w:rsidRPr="00E86835">
        <w:rPr>
          <w:noProof/>
        </w:rPr>
        <w:instrText xml:space="preserve"> PAGEREF _Toc117585359 \h </w:instrText>
      </w:r>
      <w:r w:rsidRPr="00E86835">
        <w:rPr>
          <w:noProof/>
        </w:rPr>
      </w:r>
      <w:r w:rsidRPr="00E86835">
        <w:rPr>
          <w:noProof/>
        </w:rPr>
        <w:fldChar w:fldCharType="separate"/>
      </w:r>
      <w:r w:rsidR="007A1252">
        <w:rPr>
          <w:noProof/>
        </w:rPr>
        <w:t>1</w:t>
      </w:r>
      <w:r w:rsidRPr="00E86835">
        <w:rPr>
          <w:noProof/>
        </w:rPr>
        <w:fldChar w:fldCharType="end"/>
      </w:r>
    </w:p>
    <w:p w14:paraId="0C349CEB" w14:textId="65444746" w:rsidR="00E86835" w:rsidRDefault="00E868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E86835">
        <w:rPr>
          <w:noProof/>
        </w:rPr>
        <w:fldChar w:fldCharType="begin"/>
      </w:r>
      <w:r w:rsidRPr="00E86835">
        <w:rPr>
          <w:noProof/>
        </w:rPr>
        <w:instrText xml:space="preserve"> PAGEREF _Toc117585360 \h </w:instrText>
      </w:r>
      <w:r w:rsidRPr="00E86835">
        <w:rPr>
          <w:noProof/>
        </w:rPr>
      </w:r>
      <w:r w:rsidRPr="00E86835">
        <w:rPr>
          <w:noProof/>
        </w:rPr>
        <w:fldChar w:fldCharType="separate"/>
      </w:r>
      <w:r w:rsidR="007A1252">
        <w:rPr>
          <w:noProof/>
        </w:rPr>
        <w:t>1</w:t>
      </w:r>
      <w:r w:rsidRPr="00E86835">
        <w:rPr>
          <w:noProof/>
        </w:rPr>
        <w:fldChar w:fldCharType="end"/>
      </w:r>
    </w:p>
    <w:p w14:paraId="5974A921" w14:textId="4EB8F4C5" w:rsidR="00E86835" w:rsidRDefault="00E868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E86835">
        <w:rPr>
          <w:b w:val="0"/>
          <w:noProof/>
          <w:sz w:val="18"/>
        </w:rPr>
        <w:fldChar w:fldCharType="begin"/>
      </w:r>
      <w:r w:rsidRPr="00E86835">
        <w:rPr>
          <w:b w:val="0"/>
          <w:noProof/>
          <w:sz w:val="18"/>
        </w:rPr>
        <w:instrText xml:space="preserve"> PAGEREF _Toc117585361 \h </w:instrText>
      </w:r>
      <w:r w:rsidRPr="00E86835">
        <w:rPr>
          <w:b w:val="0"/>
          <w:noProof/>
          <w:sz w:val="18"/>
        </w:rPr>
      </w:r>
      <w:r w:rsidRPr="00E86835">
        <w:rPr>
          <w:b w:val="0"/>
          <w:noProof/>
          <w:sz w:val="18"/>
        </w:rPr>
        <w:fldChar w:fldCharType="separate"/>
      </w:r>
      <w:r w:rsidR="007A1252">
        <w:rPr>
          <w:b w:val="0"/>
          <w:noProof/>
          <w:sz w:val="18"/>
        </w:rPr>
        <w:t>2</w:t>
      </w:r>
      <w:r w:rsidRPr="00E86835">
        <w:rPr>
          <w:b w:val="0"/>
          <w:noProof/>
          <w:sz w:val="18"/>
        </w:rPr>
        <w:fldChar w:fldCharType="end"/>
      </w:r>
    </w:p>
    <w:p w14:paraId="6B8934F2" w14:textId="2D2FA4D9" w:rsidR="00E86835" w:rsidRDefault="00E868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Business Names Registration (Availability of Names) Determination 2012</w:t>
      </w:r>
      <w:r>
        <w:rPr>
          <w:noProof/>
        </w:rPr>
        <w:tab/>
      </w:r>
      <w:r w:rsidRPr="00E86835">
        <w:rPr>
          <w:i w:val="0"/>
          <w:iCs/>
          <w:noProof/>
          <w:sz w:val="18"/>
        </w:rPr>
        <w:fldChar w:fldCharType="begin"/>
      </w:r>
      <w:r w:rsidRPr="00E86835">
        <w:rPr>
          <w:i w:val="0"/>
          <w:iCs/>
          <w:noProof/>
          <w:sz w:val="18"/>
        </w:rPr>
        <w:instrText xml:space="preserve"> PAGEREF _Toc117585362 \h </w:instrText>
      </w:r>
      <w:r w:rsidRPr="00E86835">
        <w:rPr>
          <w:i w:val="0"/>
          <w:iCs/>
          <w:noProof/>
          <w:sz w:val="18"/>
        </w:rPr>
      </w:r>
      <w:r w:rsidRPr="00E86835">
        <w:rPr>
          <w:i w:val="0"/>
          <w:iCs/>
          <w:noProof/>
          <w:sz w:val="18"/>
        </w:rPr>
        <w:fldChar w:fldCharType="separate"/>
      </w:r>
      <w:r w:rsidR="007A1252">
        <w:rPr>
          <w:i w:val="0"/>
          <w:iCs/>
          <w:noProof/>
          <w:sz w:val="18"/>
        </w:rPr>
        <w:t>2</w:t>
      </w:r>
      <w:r w:rsidRPr="00E86835">
        <w:rPr>
          <w:i w:val="0"/>
          <w:iCs/>
          <w:noProof/>
          <w:sz w:val="18"/>
        </w:rPr>
        <w:fldChar w:fldCharType="end"/>
      </w:r>
    </w:p>
    <w:p w14:paraId="09C11F94" w14:textId="377394C8" w:rsidR="00E86835" w:rsidRDefault="00E868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Business Names Registration (Availability of Names) Determination 2015</w:t>
      </w:r>
      <w:r>
        <w:rPr>
          <w:noProof/>
        </w:rPr>
        <w:tab/>
      </w:r>
      <w:r w:rsidRPr="00E86835">
        <w:rPr>
          <w:i w:val="0"/>
          <w:iCs/>
          <w:noProof/>
          <w:sz w:val="18"/>
        </w:rPr>
        <w:fldChar w:fldCharType="begin"/>
      </w:r>
      <w:r w:rsidRPr="00E86835">
        <w:rPr>
          <w:i w:val="0"/>
          <w:iCs/>
          <w:noProof/>
          <w:sz w:val="18"/>
        </w:rPr>
        <w:instrText xml:space="preserve"> PAGEREF _Toc117585363 \h </w:instrText>
      </w:r>
      <w:r w:rsidRPr="00E86835">
        <w:rPr>
          <w:i w:val="0"/>
          <w:iCs/>
          <w:noProof/>
          <w:sz w:val="18"/>
        </w:rPr>
      </w:r>
      <w:r w:rsidRPr="00E86835">
        <w:rPr>
          <w:i w:val="0"/>
          <w:iCs/>
          <w:noProof/>
          <w:sz w:val="18"/>
        </w:rPr>
        <w:fldChar w:fldCharType="separate"/>
      </w:r>
      <w:r w:rsidR="007A1252">
        <w:rPr>
          <w:i w:val="0"/>
          <w:iCs/>
          <w:noProof/>
          <w:sz w:val="18"/>
        </w:rPr>
        <w:t>2</w:t>
      </w:r>
      <w:r w:rsidRPr="00E86835">
        <w:rPr>
          <w:i w:val="0"/>
          <w:iCs/>
          <w:noProof/>
          <w:sz w:val="18"/>
        </w:rPr>
        <w:fldChar w:fldCharType="end"/>
      </w:r>
    </w:p>
    <w:p w14:paraId="50E52763" w14:textId="1BBE3BC4" w:rsidR="00E86835" w:rsidRPr="00E86835" w:rsidRDefault="00E868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Insolvency Practice Rules (Corporations) 2016</w:t>
      </w:r>
      <w:r>
        <w:rPr>
          <w:noProof/>
        </w:rPr>
        <w:tab/>
      </w:r>
      <w:r w:rsidRPr="00E86835">
        <w:rPr>
          <w:i w:val="0"/>
          <w:iCs/>
          <w:noProof/>
          <w:sz w:val="18"/>
        </w:rPr>
        <w:fldChar w:fldCharType="begin"/>
      </w:r>
      <w:r w:rsidRPr="00E86835">
        <w:rPr>
          <w:i w:val="0"/>
          <w:iCs/>
          <w:noProof/>
          <w:sz w:val="18"/>
        </w:rPr>
        <w:instrText xml:space="preserve"> PAGEREF _Toc117585364 \h </w:instrText>
      </w:r>
      <w:r w:rsidRPr="00E86835">
        <w:rPr>
          <w:i w:val="0"/>
          <w:iCs/>
          <w:noProof/>
          <w:sz w:val="18"/>
        </w:rPr>
      </w:r>
      <w:r w:rsidRPr="00E86835">
        <w:rPr>
          <w:i w:val="0"/>
          <w:iCs/>
          <w:noProof/>
          <w:sz w:val="18"/>
        </w:rPr>
        <w:fldChar w:fldCharType="separate"/>
      </w:r>
      <w:r w:rsidR="007A1252">
        <w:rPr>
          <w:i w:val="0"/>
          <w:iCs/>
          <w:noProof/>
          <w:sz w:val="18"/>
        </w:rPr>
        <w:t>2</w:t>
      </w:r>
      <w:r w:rsidRPr="00E86835">
        <w:rPr>
          <w:i w:val="0"/>
          <w:iCs/>
          <w:noProof/>
          <w:sz w:val="18"/>
        </w:rPr>
        <w:fldChar w:fldCharType="end"/>
      </w:r>
    </w:p>
    <w:p w14:paraId="03F8FFFD" w14:textId="0224EAC5" w:rsidR="00F5638C" w:rsidRDefault="00F5638C" w:rsidP="00F5638C">
      <w:r w:rsidRPr="00E86835">
        <w:rPr>
          <w:sz w:val="18"/>
        </w:rPr>
        <w:fldChar w:fldCharType="end"/>
      </w:r>
    </w:p>
    <w:p w14:paraId="02814662" w14:textId="77777777" w:rsidR="00F5638C" w:rsidRPr="007A1328" w:rsidRDefault="00F5638C" w:rsidP="00F5638C"/>
    <w:p w14:paraId="3475DD4B" w14:textId="77777777" w:rsidR="00F5638C" w:rsidRDefault="00F5638C" w:rsidP="00F5638C">
      <w:pPr>
        <w:sectPr w:rsidR="00F5638C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B748DD" w14:textId="77777777" w:rsidR="00F5638C" w:rsidRDefault="00F5638C" w:rsidP="00F5638C">
      <w:pPr>
        <w:pStyle w:val="ActHead5"/>
      </w:pPr>
      <w:bookmarkStart w:id="16" w:name="_Toc117585357"/>
      <w:r>
        <w:rPr>
          <w:rStyle w:val="CharSectno"/>
        </w:rPr>
        <w:lastRenderedPageBreak/>
        <w:t>1</w:t>
      </w:r>
      <w:r>
        <w:t xml:space="preserve">  Name</w:t>
      </w:r>
      <w:bookmarkEnd w:id="16"/>
    </w:p>
    <w:p w14:paraId="1A72FCC3" w14:textId="6AC59C2D" w:rsidR="00F5638C" w:rsidRDefault="00F5638C" w:rsidP="00F5638C">
      <w:pPr>
        <w:pStyle w:val="subsection"/>
      </w:pPr>
      <w:r>
        <w:tab/>
      </w:r>
      <w:r>
        <w:tab/>
        <w:t xml:space="preserve">This instrument is </w:t>
      </w:r>
      <w:r w:rsidRPr="004A1222">
        <w:t xml:space="preserve">the </w:t>
      </w:r>
      <w:r w:rsidR="006A4EA6" w:rsidRPr="004A1222">
        <w:rPr>
          <w:i/>
          <w:noProof/>
        </w:rPr>
        <w:t>Treasury Laws Amendment (Miscellaneous Amendments No. 1) Instrument 2022</w:t>
      </w:r>
      <w:r w:rsidRPr="004A1222">
        <w:t>.</w:t>
      </w:r>
    </w:p>
    <w:p w14:paraId="48577A57" w14:textId="77777777" w:rsidR="00F5638C" w:rsidRDefault="00F5638C" w:rsidP="00F5638C">
      <w:pPr>
        <w:pStyle w:val="ActHead5"/>
      </w:pPr>
      <w:bookmarkStart w:id="17" w:name="_Toc117585358"/>
      <w:r>
        <w:rPr>
          <w:rStyle w:val="CharSectno"/>
        </w:rPr>
        <w:t>2</w:t>
      </w:r>
      <w:r>
        <w:t xml:space="preserve">  Commencement</w:t>
      </w:r>
      <w:bookmarkEnd w:id="17"/>
    </w:p>
    <w:p w14:paraId="5EFD299B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131FC85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5EBCD6CA" w14:textId="77777777" w:rsidTr="00AF7885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5B152A8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6F8703E8" w14:textId="77777777" w:rsidTr="00AF788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88E278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64DC53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6547F9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647E9C96" w14:textId="77777777" w:rsidTr="00AF788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ADBD10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3AEA4E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3B5D7F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409659B7" w14:textId="77777777" w:rsidTr="00AF7885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416C39" w14:textId="09E9E829" w:rsidR="00F5638C" w:rsidRDefault="00AF7885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4E19D2C" w14:textId="5CC38365" w:rsidR="00F5638C" w:rsidRDefault="00AF7885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E57925A" w14:textId="77777777" w:rsidR="00F5638C" w:rsidRDefault="00F5638C" w:rsidP="00133D1C">
            <w:pPr>
              <w:pStyle w:val="Tabletext"/>
            </w:pPr>
          </w:p>
        </w:tc>
      </w:tr>
    </w:tbl>
    <w:p w14:paraId="62FCA535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115AD965" w14:textId="13976E9A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E63AEF8" w14:textId="77777777" w:rsidR="00F5638C" w:rsidRDefault="00F5638C" w:rsidP="00F5638C">
      <w:pPr>
        <w:pStyle w:val="ActHead5"/>
      </w:pPr>
      <w:bookmarkStart w:id="18" w:name="_Toc117585359"/>
      <w:r>
        <w:t>3  Authority</w:t>
      </w:r>
      <w:bookmarkEnd w:id="18"/>
    </w:p>
    <w:p w14:paraId="413C275A" w14:textId="345D19E1" w:rsidR="00F5638C" w:rsidRDefault="00F5638C" w:rsidP="00F5638C">
      <w:pPr>
        <w:pStyle w:val="subsection"/>
        <w:rPr>
          <w:i/>
        </w:rPr>
      </w:pPr>
      <w:r>
        <w:tab/>
      </w:r>
      <w:r>
        <w:tab/>
        <w:t>This instrument is made under the</w:t>
      </w:r>
      <w:r w:rsidR="00E72995">
        <w:t xml:space="preserve"> following</w:t>
      </w:r>
      <w:r w:rsidR="00E72995">
        <w:rPr>
          <w:i/>
        </w:rPr>
        <w:t>:</w:t>
      </w:r>
    </w:p>
    <w:p w14:paraId="72B68F46" w14:textId="2DC4774F" w:rsidR="00E72995" w:rsidRDefault="00E72995" w:rsidP="00E72995">
      <w:pPr>
        <w:pStyle w:val="paragraph"/>
      </w:pPr>
      <w:r>
        <w:tab/>
        <w:t>(a)</w:t>
      </w:r>
      <w:r>
        <w:tab/>
      </w:r>
      <w:r w:rsidR="00890914">
        <w:t xml:space="preserve">the </w:t>
      </w:r>
      <w:r w:rsidRPr="00E72995">
        <w:rPr>
          <w:i/>
          <w:iCs/>
        </w:rPr>
        <w:t>Business Names Registration Act 2011</w:t>
      </w:r>
      <w:r>
        <w:t>; and</w:t>
      </w:r>
    </w:p>
    <w:p w14:paraId="7798F650" w14:textId="7C24A6CA" w:rsidR="00E72995" w:rsidRDefault="00E72995" w:rsidP="00E72995">
      <w:pPr>
        <w:pStyle w:val="paragraph"/>
      </w:pPr>
      <w:r>
        <w:tab/>
        <w:t>(b)</w:t>
      </w:r>
      <w:r>
        <w:tab/>
      </w:r>
      <w:r w:rsidR="00890914">
        <w:t xml:space="preserve">the </w:t>
      </w:r>
      <w:r w:rsidRPr="00E72995">
        <w:rPr>
          <w:i/>
          <w:iCs/>
        </w:rPr>
        <w:t>Corporations Act 2001</w:t>
      </w:r>
      <w:r>
        <w:t>.</w:t>
      </w:r>
    </w:p>
    <w:p w14:paraId="3BBE7792" w14:textId="77777777" w:rsidR="00F5638C" w:rsidRDefault="00F5638C" w:rsidP="00F5638C">
      <w:pPr>
        <w:pStyle w:val="ActHead5"/>
      </w:pPr>
      <w:bookmarkStart w:id="19" w:name="_Toc117585360"/>
      <w:r>
        <w:t>4  Schedules</w:t>
      </w:r>
      <w:bookmarkEnd w:id="19"/>
    </w:p>
    <w:p w14:paraId="14FDE7A5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6BAC62FB" w14:textId="77777777" w:rsidR="00F5638C" w:rsidRDefault="00F5638C" w:rsidP="00F5638C">
      <w:pPr>
        <w:pStyle w:val="ActHead6"/>
        <w:pageBreakBefore/>
      </w:pPr>
      <w:bookmarkStart w:id="20" w:name="_Toc117585361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0"/>
    </w:p>
    <w:p w14:paraId="4F5E204F" w14:textId="77777777" w:rsidR="00F5638C" w:rsidRDefault="00F5638C" w:rsidP="00F5638C">
      <w:pPr>
        <w:pStyle w:val="Header"/>
      </w:pPr>
      <w:r>
        <w:t xml:space="preserve">  </w:t>
      </w:r>
    </w:p>
    <w:p w14:paraId="6F64AAF0" w14:textId="49D6BDB4" w:rsidR="004A1222" w:rsidRPr="004A1222" w:rsidRDefault="004A1222" w:rsidP="004A1222">
      <w:pPr>
        <w:pStyle w:val="ActHead9"/>
      </w:pPr>
      <w:bookmarkStart w:id="21" w:name="_Toc117585362"/>
      <w:r w:rsidRPr="004A1222">
        <w:t>Business Names Registration (Availability of Names) Determination</w:t>
      </w:r>
      <w:r w:rsidR="002D5B09">
        <w:t> </w:t>
      </w:r>
      <w:r w:rsidRPr="004A1222">
        <w:t>2012</w:t>
      </w:r>
      <w:bookmarkEnd w:id="21"/>
    </w:p>
    <w:p w14:paraId="690A4A8B" w14:textId="5459E185" w:rsidR="00F5638C" w:rsidRDefault="00A065E7" w:rsidP="00F5638C">
      <w:pPr>
        <w:pStyle w:val="ItemHead"/>
      </w:pPr>
      <w:r>
        <w:t>1</w:t>
      </w:r>
      <w:r w:rsidR="00F5638C">
        <w:t xml:space="preserve">  </w:t>
      </w:r>
      <w:r w:rsidR="004A1222">
        <w:t>The whole of the instrument</w:t>
      </w:r>
    </w:p>
    <w:p w14:paraId="4ADA9A26" w14:textId="2CB28519" w:rsidR="00F5638C" w:rsidRDefault="004A1222" w:rsidP="00F5638C">
      <w:pPr>
        <w:pStyle w:val="Item"/>
      </w:pPr>
      <w:r>
        <w:t>Repeal the instrument.</w:t>
      </w:r>
    </w:p>
    <w:p w14:paraId="08510D20" w14:textId="6A106AA3" w:rsidR="00E6506F" w:rsidRDefault="00E6506F" w:rsidP="00E72995">
      <w:pPr>
        <w:pStyle w:val="ActHead9"/>
      </w:pPr>
      <w:bookmarkStart w:id="22" w:name="_Toc117585363"/>
      <w:r w:rsidRPr="00E6506F">
        <w:t>Business Names Registration (Availability of Names) Determination</w:t>
      </w:r>
      <w:r w:rsidR="002D5B09">
        <w:t> </w:t>
      </w:r>
      <w:r w:rsidRPr="00E6506F">
        <w:t>2015</w:t>
      </w:r>
      <w:bookmarkEnd w:id="22"/>
    </w:p>
    <w:p w14:paraId="473A96CD" w14:textId="1CA180E4" w:rsidR="00E6506F" w:rsidRDefault="00E6506F" w:rsidP="00E6506F">
      <w:pPr>
        <w:pStyle w:val="ItemHead"/>
      </w:pPr>
      <w:r>
        <w:t>2  Schedule 1 (table item 190, column headed “Word or expression”)</w:t>
      </w:r>
    </w:p>
    <w:p w14:paraId="7ADA7B00" w14:textId="5F66A24B" w:rsidR="00E6506F" w:rsidRPr="00E6506F" w:rsidRDefault="00E6506F" w:rsidP="00E6506F">
      <w:pPr>
        <w:pStyle w:val="Item"/>
      </w:pPr>
      <w:r>
        <w:t>Omit “</w:t>
      </w:r>
      <w:proofErr w:type="spellStart"/>
      <w:r>
        <w:rPr>
          <w:color w:val="000000"/>
          <w:szCs w:val="22"/>
          <w:shd w:val="clear" w:color="auto" w:fill="FFFFFF"/>
        </w:rPr>
        <w:t>limolimousines</w:t>
      </w:r>
      <w:proofErr w:type="spellEnd"/>
      <w:r>
        <w:rPr>
          <w:color w:val="000000"/>
          <w:szCs w:val="22"/>
          <w:shd w:val="clear" w:color="auto" w:fill="FFFFFF"/>
        </w:rPr>
        <w:t>”, substitute “limo, limousines”.</w:t>
      </w:r>
    </w:p>
    <w:p w14:paraId="7256B76F" w14:textId="2E2CD0BF" w:rsidR="00251066" w:rsidRDefault="00E72995" w:rsidP="00E72995">
      <w:pPr>
        <w:pStyle w:val="ActHead9"/>
      </w:pPr>
      <w:bookmarkStart w:id="23" w:name="_Toc117585364"/>
      <w:r w:rsidRPr="00E72995">
        <w:t>Insolvency Practice Rules (Corporations) 2016</w:t>
      </w:r>
      <w:bookmarkEnd w:id="23"/>
    </w:p>
    <w:p w14:paraId="37932772" w14:textId="7429566A" w:rsidR="00E72995" w:rsidRDefault="00E6506F" w:rsidP="00E72995">
      <w:pPr>
        <w:pStyle w:val="ItemHead"/>
      </w:pPr>
      <w:r>
        <w:t>3</w:t>
      </w:r>
      <w:r w:rsidR="00E72995">
        <w:t xml:space="preserve">  </w:t>
      </w:r>
      <w:r w:rsidR="005F7B16">
        <w:t>Section 75-140 (heading)</w:t>
      </w:r>
    </w:p>
    <w:p w14:paraId="11982653" w14:textId="76ABBEBB" w:rsidR="005F7B16" w:rsidRDefault="005F7B16" w:rsidP="005F7B16">
      <w:pPr>
        <w:pStyle w:val="Item"/>
      </w:pPr>
      <w:r>
        <w:t>Omit “of creditors”.</w:t>
      </w:r>
    </w:p>
    <w:p w14:paraId="49202695" w14:textId="1DBC99AE" w:rsidR="005F7B16" w:rsidRDefault="00E6506F" w:rsidP="005F7B16">
      <w:pPr>
        <w:pStyle w:val="ItemHead"/>
      </w:pPr>
      <w:r>
        <w:t>4</w:t>
      </w:r>
      <w:r w:rsidR="005F7B16">
        <w:t xml:space="preserve">  Section 75-145 (heading)</w:t>
      </w:r>
    </w:p>
    <w:p w14:paraId="7174F0E0" w14:textId="77777777" w:rsidR="005F7B16" w:rsidRDefault="005F7B16" w:rsidP="005F7B16">
      <w:pPr>
        <w:pStyle w:val="Item"/>
      </w:pPr>
      <w:r>
        <w:t>Omit “of creditors”.</w:t>
      </w:r>
    </w:p>
    <w:p w14:paraId="73AFD51A" w14:textId="2AC891FD" w:rsidR="004F38D5" w:rsidRDefault="00E6506F" w:rsidP="004F38D5">
      <w:pPr>
        <w:pStyle w:val="ItemHead"/>
      </w:pPr>
      <w:r>
        <w:t>5</w:t>
      </w:r>
      <w:r w:rsidR="004F38D5">
        <w:t xml:space="preserve">  Subsection 75-265(2) and (3) (notes)</w:t>
      </w:r>
    </w:p>
    <w:p w14:paraId="06030F81" w14:textId="29C24FCE" w:rsidR="00FE57ED" w:rsidRPr="00FE57ED" w:rsidRDefault="00FE57ED" w:rsidP="00FE57ED">
      <w:pPr>
        <w:pStyle w:val="Item"/>
      </w:pPr>
      <w:r>
        <w:t>Repeal the notes.</w:t>
      </w:r>
    </w:p>
    <w:sectPr w:rsidR="00FE57ED" w:rsidRPr="00FE57ED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3FBA" w14:textId="77777777" w:rsidR="00133955" w:rsidRDefault="00133955" w:rsidP="00F5638C">
      <w:pPr>
        <w:spacing w:line="240" w:lineRule="auto"/>
      </w:pPr>
      <w:r>
        <w:separator/>
      </w:r>
    </w:p>
  </w:endnote>
  <w:endnote w:type="continuationSeparator" w:id="0">
    <w:p w14:paraId="2CF8463C" w14:textId="77777777" w:rsidR="00133955" w:rsidRDefault="00133955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3C45" w14:textId="37659B90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C4C7" w14:textId="6E54E012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6CD7CD61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1869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5292" w14:textId="3A2765B5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1A125A49" w14:textId="77777777" w:rsidTr="006A4EA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A66AF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221188" w14:textId="62EBB731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A1252">
            <w:rPr>
              <w:i/>
              <w:noProof/>
              <w:sz w:val="18"/>
            </w:rPr>
            <w:t>Treasury Laws Amendment (Miscellaneous Amendments No. 1)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074C9A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513D23A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C57E" w14:textId="7BB3A604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7943B873" w14:textId="77777777" w:rsidTr="006A4EA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2963130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E9E40B" w14:textId="0DDF9898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53F6B">
            <w:rPr>
              <w:i/>
              <w:noProof/>
              <w:sz w:val="18"/>
            </w:rPr>
            <w:t>Treasury Laws Amendment (Miscellaneous Amendments No. 1)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5DE3929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5CA93AEA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5E6E" w14:textId="4E7FDB3F" w:rsidR="00A136F5" w:rsidRPr="00E33C1C" w:rsidRDefault="00553F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D4FF175" w14:textId="77777777" w:rsidTr="006A4EA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5882C5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9D8D1E" w14:textId="61790429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53F6B">
            <w:rPr>
              <w:i/>
              <w:noProof/>
              <w:sz w:val="18"/>
            </w:rPr>
            <w:t>Treasury Laws Amendment (Miscellaneous Amendments No. 1)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3B91A9" w14:textId="77777777" w:rsidR="00A136F5" w:rsidRDefault="00553F6B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761C777" w14:textId="77777777" w:rsidR="00A136F5" w:rsidRPr="00ED79B6" w:rsidRDefault="00553F6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A503" w14:textId="30CCD7AB" w:rsidR="007A6863" w:rsidRPr="00E33C1C" w:rsidRDefault="00553F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5929"/>
    <w:bookmarkStart w:id="29" w:name="_Hlk26285930"/>
    <w:bookmarkStart w:id="30" w:name="_Hlk26285933"/>
    <w:bookmarkStart w:id="31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BEE7239" w14:textId="77777777" w:rsidTr="006A4E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903277" w14:textId="77777777" w:rsidR="007A6863" w:rsidRDefault="00553F6B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ECD8EC" w14:textId="5EDACF2E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53F6B">
            <w:rPr>
              <w:i/>
              <w:noProof/>
              <w:sz w:val="18"/>
            </w:rPr>
            <w:t>Treasury Laws Amendment (Miscellaneous Amendments No. 1)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4A9978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497F5C99" w14:textId="77777777" w:rsidR="007A6863" w:rsidRPr="00ED79B6" w:rsidRDefault="00553F6B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EF54" w14:textId="77777777" w:rsidR="00A136F5" w:rsidRPr="00E33C1C" w:rsidRDefault="00553F6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5931"/>
    <w:bookmarkStart w:id="35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1182456" w14:textId="77777777" w:rsidTr="006A4E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473784" w14:textId="77777777" w:rsidR="00A136F5" w:rsidRDefault="00553F6B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29A02B" w14:textId="48C9F100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1252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F2439A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0AFDD39A" w14:textId="77777777" w:rsidR="00A136F5" w:rsidRPr="00ED79B6" w:rsidRDefault="00553F6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69A3" w14:textId="77777777" w:rsidR="00133955" w:rsidRDefault="00133955" w:rsidP="00F5638C">
      <w:pPr>
        <w:spacing w:line="240" w:lineRule="auto"/>
      </w:pPr>
      <w:r>
        <w:separator/>
      </w:r>
    </w:p>
  </w:footnote>
  <w:footnote w:type="continuationSeparator" w:id="0">
    <w:p w14:paraId="38B1005D" w14:textId="77777777" w:rsidR="00133955" w:rsidRDefault="00133955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EE4B" w14:textId="4CDB2E20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08CA" w14:textId="091C513E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E471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E31D" w14:textId="12631D7C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7E97" w14:textId="3C383282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315D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C0E3" w14:textId="150C939A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53F6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53F6B">
      <w:rPr>
        <w:noProof/>
        <w:sz w:val="20"/>
      </w:rPr>
      <w:t>Amendments</w:t>
    </w:r>
    <w:r>
      <w:rPr>
        <w:sz w:val="20"/>
      </w:rPr>
      <w:fldChar w:fldCharType="end"/>
    </w:r>
  </w:p>
  <w:p w14:paraId="0B92BB14" w14:textId="02D5F530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71FB66D" w14:textId="77777777" w:rsidR="0048364F" w:rsidRPr="00A961C4" w:rsidRDefault="00553F6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4" w:name="_Hlk26285923"/>
  <w:bookmarkStart w:id="25" w:name="_Hlk26285924"/>
  <w:bookmarkStart w:id="26" w:name="_Hlk26285927"/>
  <w:bookmarkStart w:id="27" w:name="_Hlk26285928"/>
  <w:p w14:paraId="1EBFFAE1" w14:textId="416505A2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6084C46" w14:textId="0F2A9118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4"/>
  <w:bookmarkEnd w:id="25"/>
  <w:bookmarkEnd w:id="26"/>
  <w:bookmarkEnd w:id="27"/>
  <w:p w14:paraId="4762FEA8" w14:textId="77777777" w:rsidR="0048364F" w:rsidRPr="00A961C4" w:rsidRDefault="00553F6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D072" w14:textId="77777777" w:rsidR="0048364F" w:rsidRPr="00A961C4" w:rsidRDefault="00553F6B" w:rsidP="0048364F">
    <w:bookmarkStart w:id="32" w:name="_Hlk26285925"/>
    <w:bookmarkStart w:id="33" w:name="_Hlk26285926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A6"/>
    <w:rsid w:val="000319BC"/>
    <w:rsid w:val="00133955"/>
    <w:rsid w:val="00187992"/>
    <w:rsid w:val="001A02FD"/>
    <w:rsid w:val="00251066"/>
    <w:rsid w:val="002D5B09"/>
    <w:rsid w:val="003C1503"/>
    <w:rsid w:val="004A1222"/>
    <w:rsid w:val="004E2206"/>
    <w:rsid w:val="004F38D5"/>
    <w:rsid w:val="00553F6B"/>
    <w:rsid w:val="005E1B24"/>
    <w:rsid w:val="005E7BB5"/>
    <w:rsid w:val="005F7B16"/>
    <w:rsid w:val="006A4EA6"/>
    <w:rsid w:val="006B619F"/>
    <w:rsid w:val="006E1FC2"/>
    <w:rsid w:val="0076773E"/>
    <w:rsid w:val="007A1252"/>
    <w:rsid w:val="008260CA"/>
    <w:rsid w:val="00890914"/>
    <w:rsid w:val="009B15A1"/>
    <w:rsid w:val="00A065E7"/>
    <w:rsid w:val="00AF7885"/>
    <w:rsid w:val="00B74B49"/>
    <w:rsid w:val="00C30D9B"/>
    <w:rsid w:val="00C776FF"/>
    <w:rsid w:val="00C9209D"/>
    <w:rsid w:val="00C9500F"/>
    <w:rsid w:val="00D04271"/>
    <w:rsid w:val="00D47F03"/>
    <w:rsid w:val="00D74395"/>
    <w:rsid w:val="00DA5BE9"/>
    <w:rsid w:val="00E0611F"/>
    <w:rsid w:val="00E333DD"/>
    <w:rsid w:val="00E6506F"/>
    <w:rsid w:val="00E72995"/>
    <w:rsid w:val="00E86835"/>
    <w:rsid w:val="00EA5108"/>
    <w:rsid w:val="00F5638C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87EE70"/>
  <w15:chartTrackingRefBased/>
  <w15:docId w15:val="{C6C58F4B-BE17-4E2B-A489-727B5CB5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2022RG-111-26167</_dlc_DocId>
    <TaxCatchAll xmlns="0f563589-9cf9-4143-b1eb-fb0534803d38">
      <Value>7</Value>
    </TaxCatchAll>
    <_dlc_DocIdUrl xmlns="0f563589-9cf9-4143-b1eb-fb0534803d38">
      <Url>http://tweb/sites/rg/ldp/lmu/_layouts/15/DocIdRedir.aspx?ID=2022RG-111-26167</Url>
      <Description>2022RG-111-26167</Description>
    </_dlc_DocIdUrl>
    <IconOverlay xmlns="http://schemas.microsoft.com/sharepoint/v4" xsi:nil="true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51328" ma:contentTypeDescription=" " ma:contentTypeScope="" ma:versionID="068e1b611f00095fc589cd62f23b112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90714-F5FE-4C96-BFCB-2B64FD5D5BC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9f7bc583-7cbe-45b9-a2bd-8bbb6543b37e"/>
    <ds:schemaRef ds:uri="0f563589-9cf9-4143-b1eb-fb0534803d38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015864-5C55-4BAE-B6FD-A8A0F349B5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42891B-D7F4-4B2F-BA75-B5B0A478E5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F095F1-0ADB-48B8-B2A0-1A47E72681A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68E0ADA-F602-4DBA-A73B-AFA3BD54E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1216</TotalTime>
  <Pages>6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Li, Julia</cp:lastModifiedBy>
  <cp:revision>30</cp:revision>
  <cp:lastPrinted>2022-10-26T03:58:00Z</cp:lastPrinted>
  <dcterms:created xsi:type="dcterms:W3CDTF">2022-04-26T03:56:00Z</dcterms:created>
  <dcterms:modified xsi:type="dcterms:W3CDTF">2022-11-24T05:30:00Z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b8f88af5-7a61-4d41-b92b-bf016815e603</vt:lpwstr>
  </property>
  <property fmtid="{D5CDD505-2E9C-101B-9397-08002B2CF9AE}" pid="16" name="TSYTopic">
    <vt:lpwstr/>
  </property>
  <property fmtid="{D5CDD505-2E9C-101B-9397-08002B2CF9AE}" pid="17" name="SecurityClassification">
    <vt:lpwstr/>
  </property>
  <property fmtid="{D5CDD505-2E9C-101B-9397-08002B2CF9AE}" pid="18" name="DLMSecurityClassification">
    <vt:lpwstr/>
  </property>
</Properties>
</file>