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3ACD" w14:textId="77777777" w:rsidR="00FF6E25" w:rsidRPr="00166BB7" w:rsidRDefault="00FF6E25" w:rsidP="000C310A">
      <w:pPr>
        <w:pStyle w:val="Title"/>
      </w:pPr>
      <w:r w:rsidRPr="00166BB7">
        <w:t>EXPLANATORY STATEMENT</w:t>
      </w:r>
    </w:p>
    <w:p w14:paraId="145EC655" w14:textId="2C864008" w:rsidR="0088497A" w:rsidRPr="00166BB7" w:rsidRDefault="0088497A" w:rsidP="000C310A">
      <w:pPr>
        <w:pStyle w:val="Subtitle"/>
        <w:rPr>
          <w:rStyle w:val="IntenseEmphasis"/>
          <w:b w:val="0"/>
          <w:bCs/>
          <w:color w:val="auto"/>
          <w:u w:val="single"/>
        </w:rPr>
      </w:pPr>
      <w:r w:rsidRPr="00166BB7">
        <w:rPr>
          <w:rStyle w:val="IntenseEmphasis"/>
          <w:b w:val="0"/>
          <w:bCs/>
          <w:color w:val="auto"/>
          <w:u w:val="single"/>
        </w:rPr>
        <w:t xml:space="preserve">Issued by the authority of </w:t>
      </w:r>
      <w:r w:rsidR="00166BB7" w:rsidRPr="00166BB7">
        <w:rPr>
          <w:rStyle w:val="IntenseEmphasis"/>
          <w:b w:val="0"/>
          <w:bCs/>
          <w:color w:val="auto"/>
          <w:u w:val="single"/>
        </w:rPr>
        <w:t>Brendan O’Connor, Minister for Skills and Training</w:t>
      </w:r>
    </w:p>
    <w:p w14:paraId="2B92F396" w14:textId="77777777" w:rsidR="00166BB7" w:rsidRDefault="00166BB7" w:rsidP="00166BB7">
      <w:pPr>
        <w:shd w:val="clear" w:color="auto" w:fill="FFFFFF"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National Vocational Education and Training Regulator Act 2011</w:t>
      </w:r>
    </w:p>
    <w:p w14:paraId="6C026A0C" w14:textId="19446218" w:rsidR="00503218" w:rsidRPr="00166BB7" w:rsidRDefault="00166BB7" w:rsidP="00166BB7">
      <w:pPr>
        <w:pStyle w:val="Heading2"/>
        <w:shd w:val="clear" w:color="auto" w:fill="FFFFFF"/>
        <w:spacing w:before="0" w:after="0"/>
        <w:jc w:val="center"/>
        <w:rPr>
          <w:color w:val="000000"/>
        </w:rPr>
      </w:pPr>
      <w:bookmarkStart w:id="0" w:name="_Hlk89076351"/>
      <w:r>
        <w:rPr>
          <w:rFonts w:ascii="Calibri" w:hAnsi="Calibri" w:cs="Calibri"/>
          <w:b w:val="0"/>
          <w:bCs/>
          <w:i/>
          <w:iCs/>
        </w:rPr>
        <w:t>National Vocational Education and Training Regulator (Other Functions</w:t>
      </w:r>
      <w:r w:rsidR="00AB0657">
        <w:rPr>
          <w:rFonts w:ascii="Calibri" w:hAnsi="Calibri" w:cs="Calibri"/>
          <w:b w:val="0"/>
          <w:bCs/>
          <w:i/>
          <w:iCs/>
        </w:rPr>
        <w:t>)</w:t>
      </w:r>
      <w:r>
        <w:rPr>
          <w:rFonts w:ascii="Calibri" w:hAnsi="Calibri" w:cs="Calibri"/>
          <w:b w:val="0"/>
          <w:bCs/>
          <w:i/>
          <w:iCs/>
        </w:rPr>
        <w:t xml:space="preserve"> </w:t>
      </w:r>
      <w:r w:rsidR="00AB0657">
        <w:rPr>
          <w:rFonts w:ascii="Calibri" w:hAnsi="Calibri" w:cs="Calibri"/>
          <w:b w:val="0"/>
          <w:bCs/>
          <w:i/>
          <w:iCs/>
        </w:rPr>
        <w:t>(</w:t>
      </w:r>
      <w:r>
        <w:rPr>
          <w:rFonts w:ascii="Calibri" w:hAnsi="Calibri" w:cs="Calibri"/>
          <w:b w:val="0"/>
          <w:bCs/>
          <w:i/>
          <w:iCs/>
        </w:rPr>
        <w:t>Repeal) Instrument 2022</w:t>
      </w:r>
      <w:bookmarkEnd w:id="0"/>
    </w:p>
    <w:p w14:paraId="33AB2D38" w14:textId="77777777" w:rsidR="00455C2A" w:rsidRPr="009D0999" w:rsidRDefault="00144950" w:rsidP="000C310A">
      <w:pPr>
        <w:pStyle w:val="Heading1"/>
      </w:pPr>
      <w:bookmarkStart w:id="1" w:name="_Toc23942238"/>
      <w:bookmarkStart w:id="2" w:name="_Toc34293358"/>
      <w:r w:rsidRPr="009D0999">
        <w:t>AUTHORITY</w:t>
      </w:r>
    </w:p>
    <w:p w14:paraId="372FCA56" w14:textId="52E70AE0" w:rsidR="000C3482" w:rsidRDefault="00166BB7" w:rsidP="00BA2E8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>Subsection 157(1) of the </w:t>
      </w:r>
      <w:r w:rsidRPr="00166BB7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National Vocational Education and Training Regulator Act 2011 </w:t>
      </w: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>(</w:t>
      </w:r>
      <w:r w:rsidRPr="00166BB7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Act</w:t>
      </w: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>) sets out the functions of the National Vocational Education and Training (</w:t>
      </w:r>
      <w:r w:rsidRPr="00166BB7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VET</w:t>
      </w: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>) Regulator (</w:t>
      </w:r>
      <w:r w:rsidRPr="00166BB7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Regulator</w:t>
      </w: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>)</w:t>
      </w:r>
      <w:r w:rsidR="00AB0657">
        <w:rPr>
          <w:rFonts w:ascii="Calibri" w:eastAsia="Times New Roman" w:hAnsi="Calibri" w:cs="Calibri"/>
          <w:color w:val="000000"/>
          <w:szCs w:val="24"/>
          <w:lang w:eastAsia="en-AU"/>
        </w:rPr>
        <w:t>. Those functions</w:t>
      </w: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 xml:space="preserve"> includ</w:t>
      </w:r>
      <w:r w:rsidR="00AB0657">
        <w:rPr>
          <w:rFonts w:ascii="Calibri" w:eastAsia="Times New Roman" w:hAnsi="Calibri" w:cs="Calibri"/>
          <w:color w:val="000000"/>
          <w:szCs w:val="24"/>
          <w:lang w:eastAsia="en-AU"/>
        </w:rPr>
        <w:t>e</w:t>
      </w:r>
      <w:r w:rsidR="009F7BA7">
        <w:rPr>
          <w:rFonts w:ascii="Calibri" w:eastAsia="Times New Roman" w:hAnsi="Calibri" w:cs="Calibri"/>
          <w:color w:val="000000"/>
          <w:szCs w:val="24"/>
          <w:lang w:eastAsia="en-AU"/>
        </w:rPr>
        <w:t xml:space="preserve">, among other things, any other function relating to VET that is set out in a legislative instrument made under paragraph 157(1)(p) of the Act. The </w:t>
      </w:r>
      <w:r w:rsidR="009F7BA7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National Vocational Education and Training Regulator (Other Functions) Instrument 2022</w:t>
      </w:r>
      <w:r w:rsidR="009F7BA7">
        <w:rPr>
          <w:rFonts w:ascii="Calibri" w:eastAsia="Times New Roman" w:hAnsi="Calibri" w:cs="Calibri"/>
          <w:color w:val="000000"/>
          <w:szCs w:val="24"/>
          <w:lang w:eastAsia="en-AU"/>
        </w:rPr>
        <w:t xml:space="preserve"> (</w:t>
      </w:r>
      <w:r w:rsidR="009F7BA7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Other Functions Instrument</w:t>
      </w:r>
      <w:r w:rsidR="009F7BA7">
        <w:rPr>
          <w:rFonts w:ascii="Calibri" w:eastAsia="Times New Roman" w:hAnsi="Calibri" w:cs="Calibri"/>
          <w:color w:val="000000"/>
          <w:szCs w:val="24"/>
          <w:lang w:eastAsia="en-AU"/>
        </w:rPr>
        <w:t xml:space="preserve">) sets out those other functions. </w:t>
      </w:r>
    </w:p>
    <w:p w14:paraId="06CEBDA4" w14:textId="0DB29E34" w:rsidR="009F7BA7" w:rsidRPr="000C3482" w:rsidRDefault="000C3482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</w:t>
      </w:r>
      <w:r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 xml:space="preserve">National Vocational Education and Training Regulator (Other Functions) (Repeal) Instrument 2022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(</w:t>
      </w:r>
      <w:r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this Instrument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) is made under section 157(1)(p) of the Act and repeals the Other Functions Instrument.</w:t>
      </w:r>
      <w:r w:rsidRPr="000C3482">
        <w:rPr>
          <w:rFonts w:asciiTheme="minorHAnsi" w:hAnsiTheme="minorHAnsi" w:cstheme="minorHAnsi"/>
          <w:iCs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Cs/>
          <w:szCs w:val="24"/>
          <w:shd w:val="clear" w:color="auto" w:fill="FFFFFF"/>
        </w:rPr>
        <w:t xml:space="preserve">In addition to the power to make this Instrument under paragraph 157(1)(p), </w:t>
      </w:r>
      <w:r w:rsidRPr="00166BB7">
        <w:rPr>
          <w:rFonts w:asciiTheme="minorHAnsi" w:hAnsiTheme="minorHAnsi" w:cstheme="minorHAnsi"/>
          <w:iCs/>
          <w:szCs w:val="24"/>
          <w:shd w:val="clear" w:color="auto" w:fill="FFFFFF"/>
        </w:rPr>
        <w:t>subsection 33(3) of the</w:t>
      </w:r>
      <w:r w:rsidRPr="00166BB7">
        <w:rPr>
          <w:rStyle w:val="charapple-converted-space"/>
          <w:rFonts w:asciiTheme="minorHAnsi" w:hAnsiTheme="minorHAnsi" w:cstheme="minorHAnsi"/>
          <w:iCs/>
          <w:szCs w:val="24"/>
          <w:shd w:val="clear" w:color="auto" w:fill="FFFFFF"/>
        </w:rPr>
        <w:t> </w:t>
      </w:r>
      <w:r w:rsidRPr="00166BB7">
        <w:rPr>
          <w:rFonts w:asciiTheme="minorHAnsi" w:hAnsiTheme="minorHAnsi" w:cstheme="minorHAnsi"/>
          <w:i/>
          <w:szCs w:val="24"/>
          <w:shd w:val="clear" w:color="auto" w:fill="FFFFFF"/>
        </w:rPr>
        <w:t>Acts Interpretation Act 1901</w:t>
      </w:r>
      <w:r w:rsidRPr="00166BB7">
        <w:rPr>
          <w:rFonts w:asciiTheme="minorHAnsi" w:hAnsiTheme="minorHAnsi" w:cstheme="minorHAnsi"/>
          <w:iCs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Cs/>
          <w:szCs w:val="24"/>
          <w:shd w:val="clear" w:color="auto" w:fill="FFFFFF"/>
        </w:rPr>
        <w:t xml:space="preserve">provides that, </w:t>
      </w:r>
      <w:r w:rsidRPr="00166BB7">
        <w:rPr>
          <w:rFonts w:asciiTheme="minorHAnsi" w:hAnsiTheme="minorHAnsi" w:cstheme="minorHAnsi"/>
          <w:iCs/>
          <w:szCs w:val="24"/>
          <w:shd w:val="clear" w:color="auto" w:fill="FFFFFF"/>
        </w:rPr>
        <w:t>where an Act confers a</w:t>
      </w:r>
      <w:r>
        <w:rPr>
          <w:rFonts w:asciiTheme="minorHAnsi" w:hAnsiTheme="minorHAnsi" w:cstheme="minorHAnsi"/>
          <w:iCs/>
          <w:szCs w:val="24"/>
          <w:shd w:val="clear" w:color="auto" w:fill="FFFFFF"/>
        </w:rPr>
        <w:t xml:space="preserve"> </w:t>
      </w:r>
      <w:r w:rsidRPr="00166BB7">
        <w:rPr>
          <w:rFonts w:asciiTheme="minorHAnsi" w:hAnsiTheme="minorHAnsi" w:cstheme="minorHAnsi"/>
          <w:iCs/>
          <w:szCs w:val="24"/>
          <w:shd w:val="clear" w:color="auto" w:fill="FFFFFF"/>
        </w:rPr>
        <w:t>power to make, grant or issue any instrument of a legislative or administrative</w:t>
      </w:r>
      <w:r>
        <w:rPr>
          <w:rFonts w:asciiTheme="minorHAnsi" w:hAnsiTheme="minorHAnsi" w:cstheme="minorHAnsi"/>
          <w:iCs/>
          <w:szCs w:val="24"/>
          <w:shd w:val="clear" w:color="auto" w:fill="FFFFFF"/>
        </w:rPr>
        <w:t xml:space="preserve"> </w:t>
      </w:r>
      <w:r w:rsidRPr="00166BB7">
        <w:rPr>
          <w:rFonts w:asciiTheme="minorHAnsi" w:hAnsiTheme="minorHAnsi" w:cstheme="minorHAnsi"/>
          <w:iCs/>
          <w:szCs w:val="24"/>
          <w:shd w:val="clear" w:color="auto" w:fill="FFFFFF"/>
        </w:rPr>
        <w:t>character (including rules, regulations or by</w:t>
      </w:r>
      <w:r w:rsidRPr="00166BB7">
        <w:rPr>
          <w:rFonts w:asciiTheme="minorHAnsi" w:hAnsiTheme="minorHAnsi" w:cstheme="minorHAnsi"/>
          <w:iCs/>
          <w:szCs w:val="24"/>
          <w:shd w:val="clear" w:color="auto" w:fill="FFFFFF"/>
        </w:rPr>
        <w:noBreakHyphen/>
        <w:t>laws), the power shall be construed as including a power exercisable in the like manner and subject to the like conditions (if any) to repeal, rescind, revoke, amend, or vary any such instrument.</w:t>
      </w:r>
      <w:r>
        <w:rPr>
          <w:rFonts w:asciiTheme="minorHAnsi" w:hAnsiTheme="minorHAnsi" w:cstheme="minorHAnsi"/>
          <w:iCs/>
          <w:szCs w:val="24"/>
          <w:shd w:val="clear" w:color="auto" w:fill="FFFFFF"/>
        </w:rPr>
        <w:t xml:space="preserve"> </w:t>
      </w:r>
    </w:p>
    <w:p w14:paraId="01A7ADA1" w14:textId="5DEF9711" w:rsidR="00166BB7" w:rsidRPr="000C3482" w:rsidRDefault="00166BB7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 xml:space="preserve">Subsection 157(3) of the Act prohibits the Minister from setting out a function under paragraph 157(1)(p) unless the Ministerial Council has agreed to the function. </w:t>
      </w:r>
      <w:r w:rsidR="00A109B9">
        <w:rPr>
          <w:rFonts w:ascii="Calibri" w:eastAsia="Times New Roman" w:hAnsi="Calibri" w:cs="Calibri"/>
          <w:color w:val="000000"/>
          <w:szCs w:val="24"/>
          <w:lang w:eastAsia="en-AU"/>
        </w:rPr>
        <w:t xml:space="preserve">As, in accordance with subsection 33(3) of the </w:t>
      </w:r>
      <w:r w:rsidR="00A109B9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Acts Interpretation Act 1901</w:t>
      </w:r>
      <w:r w:rsidR="00A109B9">
        <w:rPr>
          <w:rFonts w:ascii="Calibri" w:eastAsia="Times New Roman" w:hAnsi="Calibri" w:cs="Calibri"/>
          <w:color w:val="000000"/>
          <w:szCs w:val="24"/>
          <w:lang w:eastAsia="en-AU"/>
        </w:rPr>
        <w:t xml:space="preserve">, the power to repeal the conferral of a function under paragraph 157(1)(p) of the Act is exercisable in a like manner as the power to confer that function, the Ministerial Council </w:t>
      </w:r>
      <w:r w:rsidR="00CB7811">
        <w:rPr>
          <w:rFonts w:ascii="Calibri" w:eastAsia="Times New Roman" w:hAnsi="Calibri" w:cs="Calibri"/>
          <w:color w:val="000000"/>
          <w:szCs w:val="24"/>
          <w:lang w:eastAsia="en-AU"/>
        </w:rPr>
        <w:t>was</w:t>
      </w:r>
      <w:r w:rsidR="00A109B9">
        <w:rPr>
          <w:rFonts w:ascii="Calibri" w:eastAsia="Times New Roman" w:hAnsi="Calibri" w:cs="Calibri"/>
          <w:color w:val="000000"/>
          <w:szCs w:val="24"/>
          <w:lang w:eastAsia="en-AU"/>
        </w:rPr>
        <w:t xml:space="preserve"> asked to </w:t>
      </w:r>
      <w:r w:rsidR="004777FA">
        <w:rPr>
          <w:rFonts w:ascii="Calibri" w:eastAsia="Times New Roman" w:hAnsi="Calibri" w:cs="Calibri"/>
          <w:color w:val="000000"/>
          <w:szCs w:val="24"/>
          <w:lang w:eastAsia="en-AU"/>
        </w:rPr>
        <w:t>agree</w:t>
      </w:r>
      <w:r w:rsidR="00CB7811">
        <w:rPr>
          <w:rFonts w:ascii="Calibri" w:eastAsia="Times New Roman" w:hAnsi="Calibri" w:cs="Calibri"/>
          <w:color w:val="000000"/>
          <w:szCs w:val="24"/>
          <w:lang w:eastAsia="en-AU"/>
        </w:rPr>
        <w:t xml:space="preserve"> to</w:t>
      </w:r>
      <w:r w:rsidR="00A109B9"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 text of this Instrument. </w:t>
      </w:r>
      <w:r w:rsidR="00CB7811">
        <w:rPr>
          <w:rFonts w:ascii="Calibri" w:eastAsia="Times New Roman" w:hAnsi="Calibri" w:cs="Calibri"/>
          <w:color w:val="000000"/>
          <w:szCs w:val="24"/>
          <w:lang w:eastAsia="en-AU"/>
        </w:rPr>
        <w:t>T</w:t>
      </w: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 xml:space="preserve">he Ministerial Council agreed to the text of </w:t>
      </w:r>
      <w:r w:rsidR="000C3482">
        <w:rPr>
          <w:rFonts w:ascii="Calibri" w:eastAsia="Times New Roman" w:hAnsi="Calibri" w:cs="Calibri"/>
          <w:color w:val="000000"/>
          <w:szCs w:val="24"/>
          <w:lang w:eastAsia="en-AU"/>
        </w:rPr>
        <w:t>this Instrument</w:t>
      </w:r>
      <w:r w:rsidR="00CB7811">
        <w:rPr>
          <w:rFonts w:ascii="Calibri" w:eastAsia="Times New Roman" w:hAnsi="Calibri" w:cs="Calibri"/>
          <w:color w:val="000000"/>
          <w:szCs w:val="24"/>
          <w:lang w:eastAsia="en-AU"/>
        </w:rPr>
        <w:t xml:space="preserve"> in accordance with section 191 of the Act</w:t>
      </w:r>
      <w:r w:rsidRPr="00166BB7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.</w:t>
      </w:r>
    </w:p>
    <w:p w14:paraId="7FFF6F7E" w14:textId="70F745AA" w:rsidR="002E6A21" w:rsidRPr="003916AC" w:rsidRDefault="00166BB7">
      <w:pPr>
        <w:shd w:val="clear" w:color="auto" w:fill="FFFFFF"/>
        <w:spacing w:after="0" w:line="276" w:lineRule="auto"/>
        <w:rPr>
          <w:rFonts w:asciiTheme="minorHAnsi" w:hAnsiTheme="minorHAnsi" w:cstheme="minorHAnsi"/>
          <w:iCs/>
          <w:szCs w:val="24"/>
          <w:shd w:val="clear" w:color="auto" w:fill="FFFFFF"/>
        </w:rPr>
      </w:pPr>
      <w:bookmarkStart w:id="3" w:name="_Hlk66722753"/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>Paragraphs 44(2)(b) and 54(2)(b) of the </w:t>
      </w:r>
      <w:r w:rsidRPr="00166BB7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Legislation Act 2003</w:t>
      </w: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> (</w:t>
      </w:r>
      <w:r w:rsidRPr="00166BB7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Legislation Act</w:t>
      </w:r>
      <w:r w:rsidRPr="00166BB7">
        <w:rPr>
          <w:rFonts w:ascii="Calibri" w:eastAsia="Times New Roman" w:hAnsi="Calibri" w:cs="Calibri"/>
          <w:color w:val="000000"/>
          <w:szCs w:val="24"/>
          <w:lang w:eastAsia="en-AU"/>
        </w:rPr>
        <w:t>) have the effect of exempting certain instruments, prescribed by regulation, from disallowance (section 42 of the Legislation Act) and sunsetting (Part 4 of the Legislation Act). Item 23A of the table in section 10 and item 44A of the table in section 12 of the </w:t>
      </w:r>
      <w:r w:rsidRPr="00166BB7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 xml:space="preserve">Legislation (Exemptions and </w:t>
      </w:r>
      <w:r w:rsidRPr="00166BB7">
        <w:rPr>
          <w:rFonts w:asciiTheme="minorHAnsi" w:eastAsia="Times New Roman" w:hAnsiTheme="minorHAnsi" w:cstheme="minorHAnsi"/>
          <w:i/>
          <w:iCs/>
          <w:color w:val="000000"/>
          <w:szCs w:val="24"/>
          <w:lang w:eastAsia="en-AU"/>
        </w:rPr>
        <w:t>Other Matters) Regulation 2015 </w:t>
      </w:r>
      <w:r w:rsidRPr="00166BB7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exempt an instrument made under paragraph 157(1)(p) of the Act from disallowance and sunsetting.</w:t>
      </w:r>
      <w:bookmarkEnd w:id="3"/>
      <w:r w:rsidRPr="00166BB7">
        <w:rPr>
          <w:rFonts w:asciiTheme="minorHAnsi" w:hAnsiTheme="minorHAnsi" w:cstheme="minorHAnsi"/>
          <w:iCs/>
          <w:szCs w:val="24"/>
          <w:shd w:val="clear" w:color="auto" w:fill="FFFFFF"/>
        </w:rPr>
        <w:t xml:space="preserve"> </w:t>
      </w:r>
    </w:p>
    <w:bookmarkEnd w:id="1"/>
    <w:bookmarkEnd w:id="2"/>
    <w:p w14:paraId="56CDA376" w14:textId="77777777" w:rsidR="00DA552F" w:rsidRPr="008134D5" w:rsidRDefault="00144950" w:rsidP="000C310A">
      <w:pPr>
        <w:pStyle w:val="Heading1"/>
      </w:pPr>
      <w:r>
        <w:t>PURPOSE AND OPERATION</w:t>
      </w:r>
    </w:p>
    <w:p w14:paraId="48541761" w14:textId="2ADADFA8" w:rsidR="002E1FEA" w:rsidRDefault="002E1FEA" w:rsidP="00BA2E85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505D01">
        <w:rPr>
          <w:rFonts w:asciiTheme="minorHAnsi" w:hAnsiTheme="minorHAnsi" w:cstheme="minorHAnsi"/>
          <w:iCs/>
          <w:szCs w:val="24"/>
        </w:rPr>
        <w:t>The purpose of the Instrument is to repeal the</w:t>
      </w:r>
      <w:r w:rsidRPr="00505D01">
        <w:rPr>
          <w:rFonts w:asciiTheme="minorHAnsi" w:hAnsiTheme="minorHAnsi" w:cstheme="minorHAnsi"/>
          <w:i/>
          <w:szCs w:val="24"/>
        </w:rPr>
        <w:t xml:space="preserve"> </w:t>
      </w:r>
      <w:r w:rsidR="006C506F">
        <w:rPr>
          <w:rFonts w:asciiTheme="minorHAnsi" w:hAnsiTheme="minorHAnsi" w:cstheme="minorHAnsi"/>
          <w:iCs/>
          <w:szCs w:val="24"/>
        </w:rPr>
        <w:t>Other Functions Instrument</w:t>
      </w:r>
      <w:r w:rsidR="006C506F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.</w:t>
      </w:r>
    </w:p>
    <w:p w14:paraId="2302BB24" w14:textId="77777777" w:rsidR="002E1FEA" w:rsidRDefault="002E1FEA" w:rsidP="00BA2E85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Act expressly contemplates a role for the Ministerial Council in endorsing the units of competency of a training package for the purposes of the definition of ‘VET course’ in </w:t>
      </w:r>
      <w:r>
        <w:rPr>
          <w:rFonts w:asciiTheme="minorHAnsi" w:hAnsiTheme="minorHAnsi" w:cstheme="minorHAnsi"/>
          <w:iCs/>
          <w:szCs w:val="24"/>
        </w:rPr>
        <w:lastRenderedPageBreak/>
        <w:t xml:space="preserve">subsection 3(1) of the Act. An endorsed training package’s units of competency are then subject to the regulatory regime the Act imposes in respect of VET courses. </w:t>
      </w:r>
    </w:p>
    <w:p w14:paraId="1E61328F" w14:textId="2D89650E" w:rsidR="002E1FEA" w:rsidRDefault="002E1FEA" w:rsidP="00BA2E85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Australian Industry and Skills Committee currently assists the Ministerial Council to perform its endorsement role. </w:t>
      </w:r>
      <w:r w:rsidR="00CE289D">
        <w:rPr>
          <w:rFonts w:asciiTheme="minorHAnsi" w:hAnsiTheme="minorHAnsi" w:cstheme="minorHAnsi"/>
          <w:iCs/>
          <w:szCs w:val="24"/>
        </w:rPr>
        <w:t>On 31 December 2022, t</w:t>
      </w:r>
      <w:r w:rsidR="00236C9D">
        <w:rPr>
          <w:rFonts w:asciiTheme="minorHAnsi" w:hAnsiTheme="minorHAnsi" w:cstheme="minorHAnsi"/>
          <w:iCs/>
          <w:szCs w:val="24"/>
        </w:rPr>
        <w:t xml:space="preserve">he </w:t>
      </w:r>
      <w:r w:rsidR="00256A38">
        <w:rPr>
          <w:rFonts w:asciiTheme="minorHAnsi" w:hAnsiTheme="minorHAnsi" w:cstheme="minorHAnsi"/>
          <w:iCs/>
          <w:szCs w:val="24"/>
        </w:rPr>
        <w:t>C</w:t>
      </w:r>
      <w:r>
        <w:rPr>
          <w:rFonts w:asciiTheme="minorHAnsi" w:hAnsiTheme="minorHAnsi" w:cstheme="minorHAnsi"/>
          <w:iCs/>
          <w:szCs w:val="24"/>
        </w:rPr>
        <w:t xml:space="preserve">ommittee will </w:t>
      </w:r>
      <w:r w:rsidR="00236C9D">
        <w:rPr>
          <w:rFonts w:asciiTheme="minorHAnsi" w:hAnsiTheme="minorHAnsi" w:cstheme="minorHAnsi"/>
          <w:iCs/>
          <w:szCs w:val="24"/>
        </w:rPr>
        <w:t xml:space="preserve">cease </w:t>
      </w:r>
      <w:r w:rsidR="00CE289D">
        <w:rPr>
          <w:rFonts w:asciiTheme="minorHAnsi" w:hAnsiTheme="minorHAnsi" w:cstheme="minorHAnsi"/>
          <w:iCs/>
          <w:szCs w:val="24"/>
        </w:rPr>
        <w:t>performing this role</w:t>
      </w:r>
      <w:r>
        <w:rPr>
          <w:rFonts w:asciiTheme="minorHAnsi" w:hAnsiTheme="minorHAnsi" w:cstheme="minorHAnsi"/>
          <w:iCs/>
          <w:szCs w:val="24"/>
        </w:rPr>
        <w:t>.</w:t>
      </w:r>
    </w:p>
    <w:p w14:paraId="320ED18D" w14:textId="4181A0D4" w:rsidR="002E1FEA" w:rsidRDefault="002E1FEA" w:rsidP="00BA2E85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Other Functions Instrument empowers the Regulator to </w:t>
      </w:r>
      <w:r w:rsidR="00157DD6">
        <w:rPr>
          <w:rFonts w:asciiTheme="minorHAnsi" w:hAnsiTheme="minorHAnsi" w:cstheme="minorHAnsi"/>
          <w:iCs/>
          <w:szCs w:val="24"/>
        </w:rPr>
        <w:t>assist the Ministerial Council to perform its endorsement role b</w:t>
      </w:r>
      <w:r>
        <w:rPr>
          <w:rFonts w:asciiTheme="minorHAnsi" w:hAnsiTheme="minorHAnsi" w:cstheme="minorHAnsi"/>
          <w:iCs/>
          <w:szCs w:val="24"/>
        </w:rPr>
        <w:t xml:space="preserve">y conferring </w:t>
      </w:r>
      <w:r w:rsidR="00157DD6">
        <w:rPr>
          <w:rFonts w:asciiTheme="minorHAnsi" w:hAnsiTheme="minorHAnsi" w:cstheme="minorHAnsi"/>
          <w:iCs/>
          <w:szCs w:val="24"/>
        </w:rPr>
        <w:t>on the Regulator the following other functions relating to VET:</w:t>
      </w:r>
    </w:p>
    <w:p w14:paraId="17F201A5" w14:textId="06B29085" w:rsidR="000C3482" w:rsidRDefault="002E6A21" w:rsidP="00BA2E85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to receive and assess proposed training </w:t>
      </w:r>
      <w:proofErr w:type="gramStart"/>
      <w:r>
        <w:rPr>
          <w:rFonts w:asciiTheme="minorHAnsi" w:hAnsiTheme="minorHAnsi" w:cstheme="minorHAnsi"/>
          <w:iCs/>
          <w:szCs w:val="24"/>
        </w:rPr>
        <w:t>packages;</w:t>
      </w:r>
      <w:proofErr w:type="gramEnd"/>
    </w:p>
    <w:p w14:paraId="0B5EEA14" w14:textId="3CF55BB7" w:rsidR="002E6A21" w:rsidRDefault="002E6A21" w:rsidP="00BA2E85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to make recommendations to the Ministerial Council about the endorsement of proposed training packages; and</w:t>
      </w:r>
    </w:p>
    <w:p w14:paraId="2BCC6162" w14:textId="22C6A052" w:rsidR="002E6A21" w:rsidRPr="004343D1" w:rsidRDefault="002E6A21" w:rsidP="00BA2E85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to educate, and engage and consult with, industry bodies about training packages.</w:t>
      </w:r>
    </w:p>
    <w:p w14:paraId="23077E77" w14:textId="0AF687AE" w:rsidR="002E6A21" w:rsidRDefault="002E6A21" w:rsidP="00BA2E85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</w:t>
      </w:r>
      <w:r w:rsidR="00607ED2">
        <w:rPr>
          <w:rFonts w:asciiTheme="minorHAnsi" w:hAnsiTheme="minorHAnsi" w:cstheme="minorHAnsi"/>
          <w:iCs/>
          <w:szCs w:val="24"/>
        </w:rPr>
        <w:t>Commonwealth</w:t>
      </w:r>
      <w:r>
        <w:rPr>
          <w:rFonts w:asciiTheme="minorHAnsi" w:hAnsiTheme="minorHAnsi" w:cstheme="minorHAnsi"/>
          <w:iCs/>
          <w:szCs w:val="24"/>
        </w:rPr>
        <w:t>, state</w:t>
      </w:r>
      <w:r w:rsidR="00607ED2">
        <w:rPr>
          <w:rFonts w:asciiTheme="minorHAnsi" w:hAnsiTheme="minorHAnsi" w:cstheme="minorHAnsi"/>
          <w:iCs/>
          <w:szCs w:val="24"/>
        </w:rPr>
        <w:t>,</w:t>
      </w:r>
      <w:r>
        <w:rPr>
          <w:rFonts w:asciiTheme="minorHAnsi" w:hAnsiTheme="minorHAnsi" w:cstheme="minorHAnsi"/>
          <w:iCs/>
          <w:szCs w:val="24"/>
        </w:rPr>
        <w:t xml:space="preserve"> and territory governments agreed</w:t>
      </w:r>
      <w:r w:rsidR="003D00E1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that the Regulator would </w:t>
      </w:r>
      <w:r w:rsidR="00157DD6">
        <w:rPr>
          <w:rFonts w:asciiTheme="minorHAnsi" w:hAnsiTheme="minorHAnsi" w:cstheme="minorHAnsi"/>
          <w:iCs/>
          <w:szCs w:val="24"/>
        </w:rPr>
        <w:t xml:space="preserve">perform </w:t>
      </w:r>
      <w:r w:rsidR="00256A38">
        <w:rPr>
          <w:rFonts w:asciiTheme="minorHAnsi" w:hAnsiTheme="minorHAnsi" w:cstheme="minorHAnsi"/>
          <w:iCs/>
          <w:szCs w:val="24"/>
        </w:rPr>
        <w:t xml:space="preserve">this </w:t>
      </w:r>
      <w:r w:rsidR="00157DD6">
        <w:rPr>
          <w:rFonts w:asciiTheme="minorHAnsi" w:hAnsiTheme="minorHAnsi" w:cstheme="minorHAnsi"/>
          <w:iCs/>
          <w:szCs w:val="24"/>
        </w:rPr>
        <w:t>assistance role on a</w:t>
      </w:r>
      <w:r w:rsidR="006562BA">
        <w:rPr>
          <w:rFonts w:asciiTheme="minorHAnsi" w:hAnsiTheme="minorHAnsi" w:cstheme="minorHAnsi"/>
          <w:iCs/>
          <w:szCs w:val="24"/>
        </w:rPr>
        <w:t>n interi</w:t>
      </w:r>
      <w:r w:rsidR="003A50C0">
        <w:rPr>
          <w:rFonts w:asciiTheme="minorHAnsi" w:hAnsiTheme="minorHAnsi" w:cstheme="minorHAnsi"/>
          <w:iCs/>
          <w:szCs w:val="24"/>
        </w:rPr>
        <w:t>m</w:t>
      </w:r>
      <w:r w:rsidR="00157DD6">
        <w:rPr>
          <w:rFonts w:asciiTheme="minorHAnsi" w:hAnsiTheme="minorHAnsi" w:cstheme="minorHAnsi"/>
          <w:iCs/>
          <w:szCs w:val="24"/>
        </w:rPr>
        <w:t xml:space="preserve"> basis.</w:t>
      </w:r>
      <w:r>
        <w:rPr>
          <w:rFonts w:asciiTheme="minorHAnsi" w:hAnsiTheme="minorHAnsi" w:cstheme="minorHAnsi"/>
          <w:iCs/>
          <w:szCs w:val="24"/>
        </w:rPr>
        <w:t xml:space="preserve"> </w:t>
      </w:r>
      <w:r w:rsidR="00157DD6">
        <w:rPr>
          <w:rFonts w:asciiTheme="minorHAnsi" w:hAnsiTheme="minorHAnsi" w:cstheme="minorHAnsi"/>
          <w:iCs/>
          <w:szCs w:val="24"/>
        </w:rPr>
        <w:t>As such, the Other Functions Instrument only confers those functions on the Regulator from 1 January 2023 until 31 December 2024.</w:t>
      </w:r>
    </w:p>
    <w:p w14:paraId="529DA0A4" w14:textId="2E3669E1" w:rsidR="006C506F" w:rsidRDefault="006C506F" w:rsidP="00BA2E85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Following </w:t>
      </w:r>
      <w:r w:rsidR="00607ED2">
        <w:rPr>
          <w:rFonts w:asciiTheme="minorHAnsi" w:hAnsiTheme="minorHAnsi" w:cstheme="minorHAnsi"/>
          <w:iCs/>
          <w:szCs w:val="24"/>
        </w:rPr>
        <w:t>a change of government at the Commonwealth level and further consultation with stakeholders, the Commonwealth, state, and territory governments agreed</w:t>
      </w:r>
      <w:r w:rsidR="003D00E1">
        <w:rPr>
          <w:rFonts w:asciiTheme="minorHAnsi" w:hAnsiTheme="minorHAnsi" w:cstheme="minorHAnsi"/>
          <w:iCs/>
          <w:szCs w:val="24"/>
        </w:rPr>
        <w:t xml:space="preserve"> </w:t>
      </w:r>
      <w:r w:rsidR="00607ED2">
        <w:rPr>
          <w:rFonts w:asciiTheme="minorHAnsi" w:hAnsiTheme="minorHAnsi" w:cstheme="minorHAnsi"/>
          <w:iCs/>
          <w:szCs w:val="24"/>
        </w:rPr>
        <w:t xml:space="preserve">that </w:t>
      </w:r>
      <w:r w:rsidR="003F36E2">
        <w:rPr>
          <w:rFonts w:asciiTheme="minorHAnsi" w:hAnsiTheme="minorHAnsi" w:cstheme="minorHAnsi"/>
          <w:iCs/>
          <w:szCs w:val="24"/>
        </w:rPr>
        <w:t xml:space="preserve">further consideration </w:t>
      </w:r>
      <w:r w:rsidR="00A04C09">
        <w:rPr>
          <w:rFonts w:asciiTheme="minorHAnsi" w:hAnsiTheme="minorHAnsi" w:cstheme="minorHAnsi"/>
          <w:iCs/>
          <w:szCs w:val="24"/>
        </w:rPr>
        <w:t>should be given to who should assist the Ministerial Council to perform its endorsement role</w:t>
      </w:r>
      <w:r w:rsidR="003F36E2">
        <w:rPr>
          <w:rFonts w:asciiTheme="minorHAnsi" w:hAnsiTheme="minorHAnsi" w:cstheme="minorHAnsi"/>
          <w:iCs/>
          <w:szCs w:val="24"/>
        </w:rPr>
        <w:t xml:space="preserve">, </w:t>
      </w:r>
      <w:r w:rsidR="00A04C09">
        <w:rPr>
          <w:rFonts w:asciiTheme="minorHAnsi" w:hAnsiTheme="minorHAnsi" w:cstheme="minorHAnsi"/>
          <w:iCs/>
          <w:szCs w:val="24"/>
        </w:rPr>
        <w:t>meaning that</w:t>
      </w:r>
      <w:r w:rsidR="003F36E2">
        <w:rPr>
          <w:rFonts w:asciiTheme="minorHAnsi" w:hAnsiTheme="minorHAnsi" w:cstheme="minorHAnsi"/>
          <w:iCs/>
          <w:szCs w:val="24"/>
        </w:rPr>
        <w:t xml:space="preserve"> the Regulator </w:t>
      </w:r>
      <w:r w:rsidR="00A04C09">
        <w:rPr>
          <w:rFonts w:asciiTheme="minorHAnsi" w:hAnsiTheme="minorHAnsi" w:cstheme="minorHAnsi"/>
          <w:iCs/>
          <w:szCs w:val="24"/>
        </w:rPr>
        <w:t xml:space="preserve">should </w:t>
      </w:r>
      <w:r w:rsidR="003F36E2">
        <w:rPr>
          <w:rFonts w:asciiTheme="minorHAnsi" w:hAnsiTheme="minorHAnsi" w:cstheme="minorHAnsi"/>
          <w:iCs/>
          <w:szCs w:val="24"/>
        </w:rPr>
        <w:t>no longer have the functions</w:t>
      </w:r>
      <w:r w:rsidR="00A04C09">
        <w:rPr>
          <w:rFonts w:asciiTheme="minorHAnsi" w:hAnsiTheme="minorHAnsi" w:cstheme="minorHAnsi"/>
          <w:iCs/>
          <w:szCs w:val="24"/>
        </w:rPr>
        <w:t xml:space="preserve"> set out in the Other Functions Instrument</w:t>
      </w:r>
      <w:r w:rsidR="00607ED2">
        <w:rPr>
          <w:rFonts w:asciiTheme="minorHAnsi" w:hAnsiTheme="minorHAnsi" w:cstheme="minorHAnsi"/>
          <w:iCs/>
          <w:szCs w:val="24"/>
        </w:rPr>
        <w:t xml:space="preserve">. </w:t>
      </w:r>
    </w:p>
    <w:p w14:paraId="626F1531" w14:textId="77777777" w:rsidR="00350779" w:rsidRPr="00350779" w:rsidRDefault="00144950" w:rsidP="000C310A">
      <w:pPr>
        <w:pStyle w:val="Heading1"/>
      </w:pPr>
      <w:r>
        <w:t>REGULATORY IMPACT</w:t>
      </w:r>
    </w:p>
    <w:p w14:paraId="35B97532" w14:textId="2E1CD588" w:rsidR="006F4C80" w:rsidRPr="006F4C80" w:rsidRDefault="006F4C80" w:rsidP="00BA2E85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Office of Best Practice Regulation (</w:t>
      </w:r>
      <w:r w:rsidRPr="006F4C80">
        <w:rPr>
          <w:rFonts w:asciiTheme="minorHAnsi" w:hAnsiTheme="minorHAnsi" w:cstheme="minorHAnsi"/>
          <w:b/>
          <w:bCs/>
          <w:szCs w:val="24"/>
        </w:rPr>
        <w:t>OBPR</w:t>
      </w:r>
      <w:r>
        <w:rPr>
          <w:rFonts w:asciiTheme="minorHAnsi" w:hAnsiTheme="minorHAnsi" w:cstheme="minorHAnsi"/>
          <w:szCs w:val="24"/>
        </w:rPr>
        <w:t>) has been consulted and advised</w:t>
      </w:r>
      <w:r w:rsidR="002334F4">
        <w:rPr>
          <w:rFonts w:asciiTheme="minorHAnsi" w:hAnsiTheme="minorHAnsi" w:cstheme="minorHAnsi"/>
          <w:szCs w:val="24"/>
        </w:rPr>
        <w:t xml:space="preserve"> that</w:t>
      </w:r>
      <w:r>
        <w:rPr>
          <w:rFonts w:asciiTheme="minorHAnsi" w:hAnsiTheme="minorHAnsi" w:cstheme="minorHAnsi"/>
          <w:szCs w:val="24"/>
        </w:rPr>
        <w:t xml:space="preserve"> </w:t>
      </w:r>
      <w:r w:rsidR="002334F4">
        <w:rPr>
          <w:rFonts w:asciiTheme="minorHAnsi" w:hAnsiTheme="minorHAnsi" w:cstheme="minorHAnsi"/>
          <w:szCs w:val="24"/>
        </w:rPr>
        <w:t>t</w:t>
      </w:r>
      <w:r w:rsidR="002334F4" w:rsidRPr="002334F4">
        <w:rPr>
          <w:rFonts w:asciiTheme="minorHAnsi" w:hAnsiTheme="minorHAnsi" w:cstheme="minorHAnsi"/>
          <w:szCs w:val="24"/>
        </w:rPr>
        <w:t xml:space="preserve">he proposal </w:t>
      </w:r>
      <w:r w:rsidR="00F51F76">
        <w:rPr>
          <w:rFonts w:asciiTheme="minorHAnsi" w:hAnsiTheme="minorHAnsi" w:cstheme="minorHAnsi"/>
          <w:szCs w:val="24"/>
        </w:rPr>
        <w:t xml:space="preserve">will have </w:t>
      </w:r>
      <w:r w:rsidR="002334F4" w:rsidRPr="002334F4">
        <w:rPr>
          <w:rFonts w:asciiTheme="minorHAnsi" w:hAnsiTheme="minorHAnsi" w:cstheme="minorHAnsi"/>
          <w:szCs w:val="24"/>
        </w:rPr>
        <w:t xml:space="preserve">no more than a minor regulatory impact </w:t>
      </w:r>
      <w:r w:rsidR="00F51F76">
        <w:rPr>
          <w:rFonts w:asciiTheme="minorHAnsi" w:hAnsiTheme="minorHAnsi" w:cstheme="minorHAnsi"/>
          <w:szCs w:val="24"/>
        </w:rPr>
        <w:t>(OBPR ID:</w:t>
      </w:r>
      <w:r w:rsidR="002334F4" w:rsidRPr="002334F4">
        <w:rPr>
          <w:rFonts w:asciiTheme="minorHAnsi" w:hAnsiTheme="minorHAnsi" w:cstheme="minorHAnsi"/>
          <w:szCs w:val="24"/>
        </w:rPr>
        <w:t> OBPR22-03204</w:t>
      </w:r>
      <w:r w:rsidR="00F51F76">
        <w:rPr>
          <w:rFonts w:asciiTheme="minorHAnsi" w:hAnsiTheme="minorHAnsi" w:cstheme="minorHAnsi"/>
          <w:szCs w:val="24"/>
        </w:rPr>
        <w:t>)</w:t>
      </w:r>
      <w:r w:rsidR="00A04C09">
        <w:rPr>
          <w:rFonts w:asciiTheme="minorHAnsi" w:hAnsiTheme="minorHAnsi" w:cstheme="minorHAnsi"/>
          <w:szCs w:val="24"/>
        </w:rPr>
        <w:t>.</w:t>
      </w:r>
    </w:p>
    <w:p w14:paraId="4818CCF0" w14:textId="77777777" w:rsidR="00696CF0" w:rsidRPr="0088497A" w:rsidRDefault="00144950" w:rsidP="000C310A">
      <w:pPr>
        <w:pStyle w:val="Heading1"/>
      </w:pPr>
      <w:r w:rsidRPr="0088497A">
        <w:t>COMMENC</w:t>
      </w:r>
      <w:r>
        <w:t>E</w:t>
      </w:r>
      <w:r w:rsidRPr="0088497A">
        <w:t>MENT</w:t>
      </w:r>
    </w:p>
    <w:p w14:paraId="7A7AF185" w14:textId="6EE9C88E" w:rsidR="00696CF0" w:rsidRPr="000D7958" w:rsidRDefault="006F4C80" w:rsidP="00BA2E85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</w:t>
      </w:r>
      <w:r w:rsidR="00DC0FA1">
        <w:rPr>
          <w:rFonts w:asciiTheme="minorHAnsi" w:hAnsiTheme="minorHAnsi" w:cstheme="minorHAnsi"/>
          <w:iCs/>
          <w:szCs w:val="24"/>
        </w:rPr>
        <w:t>is Instrument commences on the day after it is registered on the Federal Register of Legislation.</w:t>
      </w:r>
    </w:p>
    <w:p w14:paraId="59906F74" w14:textId="77777777" w:rsidR="00696CF0" w:rsidRPr="008134D5" w:rsidRDefault="00144950" w:rsidP="000C310A">
      <w:pPr>
        <w:pStyle w:val="Heading1"/>
      </w:pPr>
      <w:bookmarkStart w:id="4" w:name="_Toc34293360"/>
      <w:r w:rsidRPr="008134D5">
        <w:t>CONSULTATION</w:t>
      </w:r>
      <w:bookmarkEnd w:id="4"/>
    </w:p>
    <w:p w14:paraId="79B84039" w14:textId="40BEEDE7" w:rsidR="00686F69" w:rsidRDefault="00686F69" w:rsidP="00BA2E85">
      <w:pPr>
        <w:spacing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Between November 2020 and April 2021, the then Australian Government Department of Education, Skills and Employment consulted with </w:t>
      </w:r>
      <w:r w:rsidR="00FF0B13">
        <w:rPr>
          <w:rFonts w:asciiTheme="minorHAnsi" w:hAnsiTheme="minorHAnsi" w:cstheme="minorHAnsi"/>
          <w:iCs/>
        </w:rPr>
        <w:t>hundreds of</w:t>
      </w:r>
      <w:r>
        <w:rPr>
          <w:rFonts w:asciiTheme="minorHAnsi" w:hAnsiTheme="minorHAnsi" w:cstheme="minorHAnsi"/>
          <w:iCs/>
        </w:rPr>
        <w:t xml:space="preserve"> stakeholders (including </w:t>
      </w:r>
      <w:r w:rsidR="003D00E1">
        <w:rPr>
          <w:rFonts w:asciiTheme="minorHAnsi" w:hAnsiTheme="minorHAnsi" w:cstheme="minorHAnsi"/>
          <w:iCs/>
        </w:rPr>
        <w:t>business leaders</w:t>
      </w:r>
      <w:r w:rsidR="00FF0B13">
        <w:rPr>
          <w:rFonts w:asciiTheme="minorHAnsi" w:hAnsiTheme="minorHAnsi" w:cstheme="minorHAnsi"/>
          <w:iCs/>
        </w:rPr>
        <w:t>,</w:t>
      </w:r>
      <w:r w:rsidR="003D00E1">
        <w:rPr>
          <w:rFonts w:asciiTheme="minorHAnsi" w:hAnsiTheme="minorHAnsi" w:cstheme="minorHAnsi"/>
          <w:iCs/>
        </w:rPr>
        <w:t xml:space="preserve"> union leaders</w:t>
      </w:r>
      <w:r w:rsidR="00FF0B13">
        <w:rPr>
          <w:rFonts w:asciiTheme="minorHAnsi" w:hAnsiTheme="minorHAnsi" w:cstheme="minorHAnsi"/>
          <w:iCs/>
        </w:rPr>
        <w:t>, employers, and registered training organisations</w:t>
      </w:r>
      <w:r w:rsidR="003D00E1">
        <w:rPr>
          <w:rFonts w:asciiTheme="minorHAnsi" w:hAnsiTheme="minorHAnsi" w:cstheme="minorHAnsi"/>
          <w:iCs/>
        </w:rPr>
        <w:t>)</w:t>
      </w:r>
      <w:r w:rsidR="00FF0B13">
        <w:rPr>
          <w:rFonts w:asciiTheme="minorHAnsi" w:hAnsiTheme="minorHAnsi" w:cstheme="minorHAnsi"/>
          <w:iCs/>
        </w:rPr>
        <w:t xml:space="preserve"> on</w:t>
      </w:r>
      <w:r w:rsidR="00C504EB">
        <w:rPr>
          <w:rFonts w:asciiTheme="minorHAnsi" w:hAnsiTheme="minorHAnsi" w:cstheme="minorHAnsi"/>
          <w:iCs/>
        </w:rPr>
        <w:t xml:space="preserve"> achieving</w:t>
      </w:r>
      <w:r w:rsidR="00FF0B13">
        <w:rPr>
          <w:rFonts w:asciiTheme="minorHAnsi" w:hAnsiTheme="minorHAnsi" w:cstheme="minorHAnsi"/>
          <w:iCs/>
        </w:rPr>
        <w:t xml:space="preserve"> better </w:t>
      </w:r>
      <w:r w:rsidR="00C504EB">
        <w:rPr>
          <w:rFonts w:asciiTheme="minorHAnsi" w:hAnsiTheme="minorHAnsi" w:cstheme="minorHAnsi"/>
          <w:iCs/>
        </w:rPr>
        <w:t>industry engagement</w:t>
      </w:r>
      <w:r w:rsidR="00FF0B13">
        <w:rPr>
          <w:rFonts w:asciiTheme="minorHAnsi" w:hAnsiTheme="minorHAnsi" w:cstheme="minorHAnsi"/>
          <w:iCs/>
        </w:rPr>
        <w:t xml:space="preserve"> </w:t>
      </w:r>
      <w:r w:rsidR="00741375">
        <w:rPr>
          <w:rFonts w:asciiTheme="minorHAnsi" w:hAnsiTheme="minorHAnsi" w:cstheme="minorHAnsi"/>
          <w:iCs/>
        </w:rPr>
        <w:t xml:space="preserve">with </w:t>
      </w:r>
      <w:r w:rsidR="00FF0B13">
        <w:rPr>
          <w:rFonts w:asciiTheme="minorHAnsi" w:hAnsiTheme="minorHAnsi" w:cstheme="minorHAnsi"/>
          <w:iCs/>
        </w:rPr>
        <w:t xml:space="preserve">the VET </w:t>
      </w:r>
      <w:r w:rsidR="00741375">
        <w:rPr>
          <w:rFonts w:asciiTheme="minorHAnsi" w:hAnsiTheme="minorHAnsi" w:cstheme="minorHAnsi"/>
          <w:iCs/>
        </w:rPr>
        <w:t>sector</w:t>
      </w:r>
      <w:r w:rsidR="00FF0B13">
        <w:rPr>
          <w:rFonts w:asciiTheme="minorHAnsi" w:hAnsiTheme="minorHAnsi" w:cstheme="minorHAnsi"/>
          <w:iCs/>
        </w:rPr>
        <w:t xml:space="preserve">. As of </w:t>
      </w:r>
      <w:r w:rsidR="00580825">
        <w:rPr>
          <w:rFonts w:asciiTheme="minorHAnsi" w:hAnsiTheme="minorHAnsi" w:cstheme="minorHAnsi"/>
          <w:iCs/>
        </w:rPr>
        <w:t>October</w:t>
      </w:r>
      <w:r w:rsidR="00FF0B13">
        <w:rPr>
          <w:rFonts w:asciiTheme="minorHAnsi" w:hAnsiTheme="minorHAnsi" w:cstheme="minorHAnsi"/>
          <w:iCs/>
        </w:rPr>
        <w:t xml:space="preserve"> 2022, details </w:t>
      </w:r>
      <w:r w:rsidR="00AC37CA">
        <w:rPr>
          <w:rFonts w:asciiTheme="minorHAnsi" w:hAnsiTheme="minorHAnsi" w:cstheme="minorHAnsi"/>
          <w:iCs/>
        </w:rPr>
        <w:t>as to</w:t>
      </w:r>
      <w:r w:rsidR="00FF0B13">
        <w:rPr>
          <w:rFonts w:asciiTheme="minorHAnsi" w:hAnsiTheme="minorHAnsi" w:cstheme="minorHAnsi"/>
          <w:iCs/>
        </w:rPr>
        <w:t xml:space="preserve"> stakeholder</w:t>
      </w:r>
      <w:r w:rsidR="00AC37CA">
        <w:rPr>
          <w:rFonts w:asciiTheme="minorHAnsi" w:hAnsiTheme="minorHAnsi" w:cstheme="minorHAnsi"/>
          <w:iCs/>
        </w:rPr>
        <w:t xml:space="preserve"> views</w:t>
      </w:r>
      <w:r w:rsidR="00FF0B13">
        <w:rPr>
          <w:rFonts w:asciiTheme="minorHAnsi" w:hAnsiTheme="minorHAnsi" w:cstheme="minorHAnsi"/>
          <w:iCs/>
        </w:rPr>
        <w:t xml:space="preserve"> </w:t>
      </w:r>
      <w:r w:rsidR="00490AE0">
        <w:rPr>
          <w:rFonts w:asciiTheme="minorHAnsi" w:hAnsiTheme="minorHAnsi" w:cstheme="minorHAnsi"/>
          <w:iCs/>
        </w:rPr>
        <w:t xml:space="preserve">can </w:t>
      </w:r>
      <w:r w:rsidR="00FF0B13">
        <w:rPr>
          <w:rFonts w:asciiTheme="minorHAnsi" w:hAnsiTheme="minorHAnsi" w:cstheme="minorHAnsi"/>
          <w:iCs/>
        </w:rPr>
        <w:t xml:space="preserve">be accessed at </w:t>
      </w:r>
      <w:hyperlink r:id="rId11" w:history="1">
        <w:r w:rsidR="00FF0B13" w:rsidRPr="00036DA4">
          <w:rPr>
            <w:rStyle w:val="Hyperlink"/>
            <w:rFonts w:asciiTheme="minorHAnsi" w:hAnsiTheme="minorHAnsi" w:cstheme="minorHAnsi"/>
            <w:iCs/>
          </w:rPr>
          <w:t>https://www.skillsreform.gov.au/blog/moving-towards-better-industry-engagement-in-vet/</w:t>
        </w:r>
      </w:hyperlink>
      <w:r w:rsidR="00FF0B13">
        <w:rPr>
          <w:rFonts w:asciiTheme="minorHAnsi" w:hAnsiTheme="minorHAnsi" w:cstheme="minorHAnsi"/>
          <w:iCs/>
        </w:rPr>
        <w:t>.</w:t>
      </w:r>
    </w:p>
    <w:p w14:paraId="39DCACC2" w14:textId="40249053" w:rsidR="000A12F2" w:rsidRDefault="001911D7" w:rsidP="00BA2E85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</w:rPr>
        <w:t xml:space="preserve">Following the change of </w:t>
      </w:r>
      <w:r>
        <w:rPr>
          <w:rFonts w:asciiTheme="minorHAnsi" w:hAnsiTheme="minorHAnsi" w:cstheme="minorHAnsi"/>
          <w:iCs/>
          <w:szCs w:val="24"/>
        </w:rPr>
        <w:t xml:space="preserve">government at the Commonwealth level, stakeholders </w:t>
      </w:r>
      <w:r w:rsidR="00DC366C">
        <w:rPr>
          <w:rFonts w:asciiTheme="minorHAnsi" w:hAnsiTheme="minorHAnsi" w:cstheme="minorHAnsi"/>
          <w:iCs/>
          <w:szCs w:val="24"/>
        </w:rPr>
        <w:t xml:space="preserve">provided further feedback about </w:t>
      </w:r>
      <w:r w:rsidR="00CB434F">
        <w:rPr>
          <w:rFonts w:asciiTheme="minorHAnsi" w:hAnsiTheme="minorHAnsi" w:cstheme="minorHAnsi"/>
          <w:iCs/>
          <w:szCs w:val="24"/>
        </w:rPr>
        <w:t>who should assist the Ministerial Council to perform its endorsement role</w:t>
      </w:r>
      <w:r w:rsidR="00DC366C">
        <w:rPr>
          <w:rFonts w:asciiTheme="minorHAnsi" w:hAnsiTheme="minorHAnsi" w:cstheme="minorHAnsi"/>
          <w:iCs/>
          <w:szCs w:val="24"/>
        </w:rPr>
        <w:t xml:space="preserve">. </w:t>
      </w:r>
      <w:r w:rsidR="00B478C4">
        <w:rPr>
          <w:rFonts w:asciiTheme="minorHAnsi" w:hAnsiTheme="minorHAnsi" w:cstheme="minorHAnsi"/>
          <w:iCs/>
          <w:szCs w:val="24"/>
        </w:rPr>
        <w:t xml:space="preserve">To address </w:t>
      </w:r>
      <w:r w:rsidR="002201DE">
        <w:rPr>
          <w:rFonts w:asciiTheme="minorHAnsi" w:hAnsiTheme="minorHAnsi" w:cstheme="minorHAnsi"/>
          <w:iCs/>
          <w:szCs w:val="24"/>
        </w:rPr>
        <w:t>this feedback,</w:t>
      </w:r>
      <w:r w:rsidR="00B478C4">
        <w:rPr>
          <w:rFonts w:asciiTheme="minorHAnsi" w:hAnsiTheme="minorHAnsi" w:cstheme="minorHAnsi"/>
          <w:iCs/>
          <w:szCs w:val="24"/>
        </w:rPr>
        <w:t xml:space="preserve"> and</w:t>
      </w:r>
      <w:r w:rsidR="00CB434F">
        <w:rPr>
          <w:rFonts w:asciiTheme="minorHAnsi" w:hAnsiTheme="minorHAnsi" w:cstheme="minorHAnsi"/>
          <w:iCs/>
          <w:szCs w:val="24"/>
        </w:rPr>
        <w:t xml:space="preserve"> to</w:t>
      </w:r>
      <w:r w:rsidR="00B478C4">
        <w:rPr>
          <w:rFonts w:asciiTheme="minorHAnsi" w:hAnsiTheme="minorHAnsi" w:cstheme="minorHAnsi"/>
          <w:iCs/>
          <w:szCs w:val="24"/>
        </w:rPr>
        <w:t xml:space="preserve"> avoid any delays to the commencement </w:t>
      </w:r>
      <w:r w:rsidR="00B478C4">
        <w:rPr>
          <w:rFonts w:asciiTheme="minorHAnsi" w:hAnsiTheme="minorHAnsi" w:cstheme="minorHAnsi"/>
          <w:iCs/>
          <w:szCs w:val="24"/>
        </w:rPr>
        <w:lastRenderedPageBreak/>
        <w:t>of the VET system reforms on 1 January 2023, the Department of Employment and Workplace Relations will temporarily perform this role</w:t>
      </w:r>
      <w:r w:rsidR="002201DE">
        <w:rPr>
          <w:rFonts w:asciiTheme="minorHAnsi" w:hAnsiTheme="minorHAnsi" w:cstheme="minorHAnsi"/>
          <w:iCs/>
          <w:szCs w:val="24"/>
        </w:rPr>
        <w:t xml:space="preserve"> until </w:t>
      </w:r>
      <w:r w:rsidR="00CB434F">
        <w:rPr>
          <w:rFonts w:asciiTheme="minorHAnsi" w:hAnsiTheme="minorHAnsi" w:cstheme="minorHAnsi"/>
          <w:iCs/>
          <w:szCs w:val="24"/>
        </w:rPr>
        <w:t xml:space="preserve">further consideration is given to who should perform this role on a </w:t>
      </w:r>
      <w:r w:rsidR="000D7958">
        <w:rPr>
          <w:rFonts w:asciiTheme="minorHAnsi" w:hAnsiTheme="minorHAnsi" w:cstheme="minorHAnsi"/>
          <w:iCs/>
          <w:szCs w:val="24"/>
        </w:rPr>
        <w:t>permanent</w:t>
      </w:r>
      <w:r w:rsidR="00CB434F">
        <w:rPr>
          <w:rFonts w:asciiTheme="minorHAnsi" w:hAnsiTheme="minorHAnsi" w:cstheme="minorHAnsi"/>
          <w:iCs/>
          <w:szCs w:val="24"/>
        </w:rPr>
        <w:t xml:space="preserve"> basis</w:t>
      </w:r>
      <w:r w:rsidR="00B478C4">
        <w:rPr>
          <w:rFonts w:asciiTheme="minorHAnsi" w:hAnsiTheme="minorHAnsi" w:cstheme="minorHAnsi"/>
          <w:iCs/>
          <w:szCs w:val="24"/>
        </w:rPr>
        <w:t xml:space="preserve">. </w:t>
      </w:r>
    </w:p>
    <w:p w14:paraId="68B3636F" w14:textId="224CBCFE" w:rsidR="00FF0B13" w:rsidRPr="002F4E2F" w:rsidRDefault="000A12F2" w:rsidP="00BA2E85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Feedback from stakeholders informed the development of this </w:t>
      </w:r>
      <w:r w:rsidR="00410EDA">
        <w:rPr>
          <w:rFonts w:asciiTheme="minorHAnsi" w:hAnsiTheme="minorHAnsi" w:cstheme="minorHAnsi"/>
          <w:iCs/>
          <w:szCs w:val="24"/>
        </w:rPr>
        <w:t>I</w:t>
      </w:r>
      <w:r>
        <w:rPr>
          <w:rFonts w:asciiTheme="minorHAnsi" w:hAnsiTheme="minorHAnsi" w:cstheme="minorHAnsi"/>
          <w:iCs/>
          <w:szCs w:val="24"/>
        </w:rPr>
        <w:t xml:space="preserve">nstrument, so business leaders, union leaders, employers, and registered training organisations have not been consulted on </w:t>
      </w:r>
      <w:r w:rsidR="00410EDA">
        <w:rPr>
          <w:rFonts w:asciiTheme="minorHAnsi" w:hAnsiTheme="minorHAnsi" w:cstheme="minorHAnsi"/>
          <w:iCs/>
          <w:szCs w:val="24"/>
        </w:rPr>
        <w:t>its text</w:t>
      </w:r>
      <w:r>
        <w:rPr>
          <w:rFonts w:asciiTheme="minorHAnsi" w:hAnsiTheme="minorHAnsi" w:cstheme="minorHAnsi"/>
          <w:iCs/>
          <w:szCs w:val="24"/>
        </w:rPr>
        <w:t xml:space="preserve">. The Department of Employment and Workplace Relations </w:t>
      </w:r>
      <w:r w:rsidR="00410EDA">
        <w:rPr>
          <w:rFonts w:asciiTheme="minorHAnsi" w:hAnsiTheme="minorHAnsi" w:cstheme="minorHAnsi"/>
          <w:iCs/>
          <w:szCs w:val="24"/>
        </w:rPr>
        <w:t xml:space="preserve">will </w:t>
      </w:r>
      <w:r>
        <w:rPr>
          <w:rFonts w:asciiTheme="minorHAnsi" w:hAnsiTheme="minorHAnsi" w:cstheme="minorHAnsi"/>
          <w:iCs/>
          <w:szCs w:val="24"/>
        </w:rPr>
        <w:t>continue to consult with those stakeholders about who should assist the Ministerial Council to perform its endorsement role</w:t>
      </w:r>
      <w:r w:rsidR="00410EDA">
        <w:rPr>
          <w:rFonts w:asciiTheme="minorHAnsi" w:hAnsiTheme="minorHAnsi" w:cstheme="minorHAnsi"/>
          <w:iCs/>
          <w:szCs w:val="24"/>
        </w:rPr>
        <w:t xml:space="preserve"> on a permanent basis</w:t>
      </w:r>
      <w:r>
        <w:rPr>
          <w:rFonts w:asciiTheme="minorHAnsi" w:hAnsiTheme="minorHAnsi" w:cstheme="minorHAnsi"/>
          <w:iCs/>
          <w:szCs w:val="24"/>
        </w:rPr>
        <w:t>.</w:t>
      </w:r>
    </w:p>
    <w:p w14:paraId="5933BD3D" w14:textId="3FD1A7E7" w:rsidR="00EE173F" w:rsidRDefault="00EE173F" w:rsidP="00BA2E85">
      <w:pPr>
        <w:spacing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Skills Ministers </w:t>
      </w:r>
      <w:r w:rsidR="000D7958">
        <w:rPr>
          <w:rFonts w:asciiTheme="minorHAnsi" w:hAnsiTheme="minorHAnsi" w:cstheme="minorHAnsi"/>
          <w:iCs/>
        </w:rPr>
        <w:t>from the Commonwealth, state and territory governments have</w:t>
      </w:r>
      <w:r w:rsidR="000A12F2">
        <w:rPr>
          <w:rFonts w:asciiTheme="minorHAnsi" w:hAnsiTheme="minorHAnsi" w:cstheme="minorHAnsi"/>
          <w:iCs/>
        </w:rPr>
        <w:t xml:space="preserve"> been consulted on and have</w:t>
      </w:r>
      <w:r>
        <w:rPr>
          <w:rFonts w:asciiTheme="minorHAnsi" w:hAnsiTheme="minorHAnsi" w:cstheme="minorHAnsi"/>
          <w:iCs/>
        </w:rPr>
        <w:t xml:space="preserve"> agreed, in accordance with section 191 of the Act, to the text of this Instrument. </w:t>
      </w:r>
    </w:p>
    <w:p w14:paraId="0A117FB8" w14:textId="77777777" w:rsidR="00264B21" w:rsidRDefault="00264B21" w:rsidP="00BA2E85">
      <w:pPr>
        <w:spacing w:line="276" w:lineRule="auto"/>
        <w:rPr>
          <w:rFonts w:asciiTheme="minorHAnsi" w:hAnsiTheme="minorHAnsi" w:cstheme="minorHAnsi"/>
          <w:iCs/>
        </w:rPr>
      </w:pPr>
    </w:p>
    <w:p w14:paraId="212B95F0" w14:textId="62B5B843" w:rsidR="0088497A" w:rsidRPr="00505D01" w:rsidRDefault="00DA552F" w:rsidP="00505D01">
      <w:pPr>
        <w:rPr>
          <w:rFonts w:asciiTheme="minorHAnsi" w:hAnsiTheme="minorHAnsi" w:cstheme="minorHAnsi"/>
        </w:rPr>
      </w:pPr>
      <w:r w:rsidRPr="008134D5">
        <w:rPr>
          <w:rFonts w:asciiTheme="minorHAnsi" w:hAnsiTheme="minorHAnsi" w:cstheme="minorHAnsi"/>
        </w:rPr>
        <w:br w:type="page"/>
      </w:r>
      <w:bookmarkStart w:id="5" w:name="_Toc23942241"/>
      <w:bookmarkStart w:id="6" w:name="_Toc34293362"/>
    </w:p>
    <w:bookmarkEnd w:id="5"/>
    <w:bookmarkEnd w:id="6"/>
    <w:p w14:paraId="124DDA04" w14:textId="429EE1C2" w:rsidR="00505D01" w:rsidRDefault="00505D01" w:rsidP="00505D01">
      <w:pPr>
        <w:pStyle w:val="Heading2"/>
        <w:shd w:val="clear" w:color="auto" w:fill="FFFFFF"/>
        <w:spacing w:before="40"/>
        <w:jc w:val="center"/>
        <w:rPr>
          <w:color w:val="000000"/>
        </w:rPr>
      </w:pPr>
      <w:r>
        <w:rPr>
          <w:rFonts w:ascii="Calibri" w:hAnsi="Calibri" w:cs="Calibri"/>
          <w:caps/>
          <w:color w:val="000000"/>
        </w:rPr>
        <w:lastRenderedPageBreak/>
        <w:t>NATIONAL VOCATIONAL EDUCATION AND TRAINING REGULATOR (OTHER FUNCTIONS</w:t>
      </w:r>
      <w:r w:rsidR="003916AC">
        <w:rPr>
          <w:rFonts w:ascii="Calibri" w:hAnsi="Calibri" w:cs="Calibri"/>
          <w:caps/>
          <w:color w:val="000000"/>
        </w:rPr>
        <w:t>)</w:t>
      </w:r>
      <w:r>
        <w:rPr>
          <w:rFonts w:ascii="Calibri" w:hAnsi="Calibri" w:cs="Calibri"/>
          <w:caps/>
          <w:color w:val="000000"/>
        </w:rPr>
        <w:t xml:space="preserve"> </w:t>
      </w:r>
      <w:r w:rsidR="003916AC">
        <w:rPr>
          <w:rFonts w:ascii="Calibri" w:hAnsi="Calibri" w:cs="Calibri"/>
          <w:caps/>
          <w:color w:val="000000"/>
        </w:rPr>
        <w:t>(</w:t>
      </w:r>
      <w:r>
        <w:rPr>
          <w:rFonts w:ascii="Calibri" w:hAnsi="Calibri" w:cs="Calibri"/>
          <w:caps/>
          <w:color w:val="000000"/>
        </w:rPr>
        <w:t>Repeal) INSTRUMENT 2022</w:t>
      </w:r>
    </w:p>
    <w:p w14:paraId="518A9BE7" w14:textId="77777777" w:rsidR="00074A70" w:rsidRDefault="00074A70" w:rsidP="00074A70">
      <w:pPr>
        <w:pStyle w:val="Heading2"/>
        <w:shd w:val="clear" w:color="auto" w:fill="FFFFFF"/>
        <w:spacing w:before="40"/>
        <w:rPr>
          <w:rFonts w:ascii="Calibri" w:hAnsi="Calibri" w:cs="Calibri"/>
        </w:rPr>
      </w:pPr>
    </w:p>
    <w:p w14:paraId="4FB18A3E" w14:textId="7D8AD141" w:rsidR="00505D01" w:rsidRDefault="00505D01" w:rsidP="00074A70">
      <w:pPr>
        <w:pStyle w:val="Heading2"/>
        <w:shd w:val="clear" w:color="auto" w:fill="FFFFFF"/>
        <w:spacing w:before="40"/>
        <w:rPr>
          <w:color w:val="000000"/>
        </w:rPr>
      </w:pPr>
      <w:r>
        <w:rPr>
          <w:rFonts w:ascii="Calibri" w:hAnsi="Calibri" w:cs="Calibri"/>
        </w:rPr>
        <w:t>EXPLANATION OF PROVISIONS</w:t>
      </w:r>
    </w:p>
    <w:p w14:paraId="0377A995" w14:textId="77777777" w:rsidR="00074A70" w:rsidRDefault="00074A70">
      <w:pPr>
        <w:shd w:val="clear" w:color="auto" w:fill="FFFFFF"/>
        <w:rPr>
          <w:rFonts w:ascii="Calibri" w:hAnsi="Calibri" w:cs="Calibri"/>
          <w:b/>
          <w:bCs/>
          <w:color w:val="000000"/>
          <w:u w:val="single"/>
        </w:rPr>
      </w:pPr>
      <w:bookmarkStart w:id="7" w:name="_Toc23942243"/>
      <w:bookmarkEnd w:id="7"/>
    </w:p>
    <w:p w14:paraId="0159F9B3" w14:textId="36010A53" w:rsidR="00505D01" w:rsidRPr="00074A70" w:rsidRDefault="00505D01">
      <w:pPr>
        <w:shd w:val="clear" w:color="auto" w:fill="FFFFFF"/>
        <w:rPr>
          <w:color w:val="000000"/>
        </w:rPr>
      </w:pPr>
      <w:r w:rsidRPr="00074A70">
        <w:rPr>
          <w:rFonts w:ascii="Calibri" w:hAnsi="Calibri" w:cs="Calibri"/>
          <w:b/>
          <w:bCs/>
          <w:color w:val="000000"/>
        </w:rPr>
        <w:t>Section 1: Name</w:t>
      </w:r>
    </w:p>
    <w:p w14:paraId="73CD04DE" w14:textId="262A9234" w:rsidR="00505D01" w:rsidRDefault="00505D01" w:rsidP="00074A70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This section provides that the name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of th</w:t>
      </w:r>
      <w:r w:rsidR="00074A70">
        <w:rPr>
          <w:rFonts w:ascii="Calibri" w:hAnsi="Calibri" w:cs="Calibri"/>
          <w:color w:val="000000"/>
          <w:shd w:val="clear" w:color="auto" w:fill="FFFFFF"/>
        </w:rPr>
        <w:t>is</w:t>
      </w:r>
      <w:r>
        <w:rPr>
          <w:rFonts w:ascii="Calibri" w:hAnsi="Calibri" w:cs="Calibri"/>
          <w:color w:val="000000"/>
          <w:shd w:val="clear" w:color="auto" w:fill="FFFFFF"/>
        </w:rPr>
        <w:t xml:space="preserve"> Instrument is the</w:t>
      </w:r>
      <w:r>
        <w:rPr>
          <w:rFonts w:ascii="Calibri" w:hAnsi="Calibri" w:cs="Calibri"/>
          <w:i/>
          <w:iCs/>
          <w:color w:val="000000"/>
        </w:rPr>
        <w:t> National Vocational Education and Training Regulator (Other Functions)</w:t>
      </w:r>
      <w:r w:rsidR="003916AC">
        <w:rPr>
          <w:rFonts w:ascii="Calibri" w:hAnsi="Calibri" w:cs="Calibri"/>
          <w:i/>
          <w:iCs/>
          <w:color w:val="000000"/>
        </w:rPr>
        <w:t xml:space="preserve"> (Repeal)</w:t>
      </w:r>
      <w:r>
        <w:rPr>
          <w:rFonts w:ascii="Calibri" w:hAnsi="Calibri" w:cs="Calibri"/>
          <w:i/>
          <w:iCs/>
          <w:color w:val="000000"/>
        </w:rPr>
        <w:t xml:space="preserve"> Instrument 2022</w:t>
      </w:r>
      <w:r>
        <w:rPr>
          <w:rFonts w:ascii="Calibri" w:hAnsi="Calibri" w:cs="Calibri"/>
          <w:color w:val="000000"/>
        </w:rPr>
        <w:t>.</w:t>
      </w:r>
    </w:p>
    <w:p w14:paraId="73A76096" w14:textId="77777777" w:rsidR="00074A70" w:rsidRDefault="00074A70">
      <w:pPr>
        <w:pStyle w:val="ListParagraph"/>
        <w:shd w:val="clear" w:color="auto" w:fill="FFFFFF"/>
        <w:ind w:left="357" w:hanging="357"/>
        <w:rPr>
          <w:color w:val="000000"/>
        </w:rPr>
      </w:pPr>
    </w:p>
    <w:p w14:paraId="1B40A560" w14:textId="719EC96F" w:rsidR="00505D01" w:rsidRPr="00074A70" w:rsidRDefault="00505D01">
      <w:pPr>
        <w:shd w:val="clear" w:color="auto" w:fill="FFFFFF"/>
        <w:rPr>
          <w:color w:val="000000"/>
        </w:rPr>
      </w:pPr>
      <w:r w:rsidRPr="00074A70">
        <w:rPr>
          <w:rFonts w:ascii="Calibri" w:hAnsi="Calibri" w:cs="Calibri"/>
          <w:b/>
          <w:bCs/>
          <w:color w:val="000000"/>
        </w:rPr>
        <w:t>Section 2: Commencement</w:t>
      </w:r>
    </w:p>
    <w:p w14:paraId="1A15021C" w14:textId="5A10EAE7" w:rsidR="00505D01" w:rsidRPr="00074A70" w:rsidRDefault="00505D01" w:rsidP="00074A70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color w:val="000000"/>
        </w:rPr>
      </w:pPr>
      <w:r w:rsidRPr="00074A70">
        <w:rPr>
          <w:rFonts w:ascii="Calibri" w:hAnsi="Calibri" w:cs="Calibri"/>
          <w:color w:val="000000"/>
          <w:shd w:val="clear" w:color="auto" w:fill="FFFFFF"/>
        </w:rPr>
        <w:t>This section provides that the whole of th</w:t>
      </w:r>
      <w:r w:rsidR="00074A70" w:rsidRPr="00074A70">
        <w:rPr>
          <w:rFonts w:ascii="Calibri" w:hAnsi="Calibri" w:cs="Calibri"/>
          <w:color w:val="000000"/>
          <w:shd w:val="clear" w:color="auto" w:fill="FFFFFF"/>
        </w:rPr>
        <w:t>is</w:t>
      </w:r>
      <w:r w:rsidRPr="00074A70">
        <w:rPr>
          <w:rFonts w:ascii="Calibri" w:hAnsi="Calibri" w:cs="Calibri"/>
          <w:color w:val="000000"/>
          <w:shd w:val="clear" w:color="auto" w:fill="FFFFFF"/>
        </w:rPr>
        <w:t xml:space="preserve"> Instrument commences on</w:t>
      </w:r>
      <w:r w:rsidR="00074A70" w:rsidRPr="00074A70">
        <w:rPr>
          <w:rFonts w:ascii="Calibri" w:hAnsi="Calibri" w:cs="Calibri"/>
          <w:color w:val="000000"/>
          <w:shd w:val="clear" w:color="auto" w:fill="FFFFFF"/>
        </w:rPr>
        <w:t xml:space="preserve"> the day after this Instrument is registered</w:t>
      </w:r>
      <w:r w:rsidRPr="00074A70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369E403C" w14:textId="77777777" w:rsidR="00074A70" w:rsidRDefault="00074A70">
      <w:pPr>
        <w:pStyle w:val="ListParagraph"/>
        <w:shd w:val="clear" w:color="auto" w:fill="FFFFFF"/>
        <w:ind w:left="360" w:hanging="360"/>
        <w:rPr>
          <w:color w:val="000000"/>
        </w:rPr>
      </w:pPr>
    </w:p>
    <w:p w14:paraId="32FEA26C" w14:textId="60195127" w:rsidR="00505D01" w:rsidRDefault="00505D01">
      <w:pPr>
        <w:shd w:val="clear" w:color="auto" w:fill="FFFFFF"/>
        <w:rPr>
          <w:rFonts w:ascii="Calibri" w:hAnsi="Calibri" w:cs="Calibri"/>
          <w:b/>
          <w:bCs/>
          <w:color w:val="000000"/>
        </w:rPr>
      </w:pPr>
      <w:r w:rsidRPr="00074A70">
        <w:rPr>
          <w:rFonts w:ascii="Calibri" w:hAnsi="Calibri" w:cs="Calibri"/>
          <w:b/>
          <w:bCs/>
          <w:color w:val="000000"/>
        </w:rPr>
        <w:t>Section 3: Authority</w:t>
      </w:r>
    </w:p>
    <w:p w14:paraId="4C6150D8" w14:textId="03B44142" w:rsidR="00074A70" w:rsidRDefault="00BA2E85" w:rsidP="00074A70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color w:val="000000"/>
        </w:rPr>
      </w:pPr>
      <w:r w:rsidRPr="004A11CA">
        <w:rPr>
          <w:rFonts w:ascii="Calibri" w:hAnsi="Calibri" w:cs="Calibri"/>
          <w:color w:val="000000"/>
        </w:rPr>
        <w:t xml:space="preserve">This section provides that this Instrument is made under paragraph 157(1)(p) of the </w:t>
      </w:r>
      <w:r w:rsidR="004A11CA" w:rsidRPr="000D7958">
        <w:rPr>
          <w:rFonts w:ascii="Calibri" w:hAnsi="Calibri" w:cs="Calibri"/>
          <w:i/>
          <w:iCs/>
        </w:rPr>
        <w:t>National Vocational Education and Training Regulator Act 2011</w:t>
      </w:r>
      <w:r w:rsidR="00252DC7">
        <w:rPr>
          <w:rFonts w:ascii="Calibri" w:hAnsi="Calibri" w:cs="Calibri"/>
        </w:rPr>
        <w:t>.</w:t>
      </w:r>
    </w:p>
    <w:p w14:paraId="471FF261" w14:textId="54E42A0C" w:rsidR="00074A70" w:rsidRDefault="00074A70" w:rsidP="004B44C6">
      <w:pPr>
        <w:pStyle w:val="ListParagraph"/>
        <w:shd w:val="clear" w:color="auto" w:fill="FFFFFF"/>
        <w:ind w:left="360" w:hanging="360"/>
        <w:rPr>
          <w:color w:val="000000"/>
        </w:rPr>
      </w:pPr>
    </w:p>
    <w:p w14:paraId="0B8BEDB7" w14:textId="121AA201" w:rsidR="004B44C6" w:rsidRPr="00074A70" w:rsidRDefault="004B44C6" w:rsidP="004B44C6">
      <w:pPr>
        <w:shd w:val="clear" w:color="auto" w:fill="FFFFFF"/>
        <w:rPr>
          <w:rFonts w:eastAsia="Times New Roman" w:cs="Times New Roman"/>
          <w:color w:val="000000"/>
          <w:szCs w:val="24"/>
          <w:lang w:eastAsia="en-AU"/>
        </w:rPr>
      </w:pPr>
      <w:r w:rsidRPr="00074A70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Section 4: Schedules</w:t>
      </w:r>
    </w:p>
    <w:p w14:paraId="122B3151" w14:textId="353823D2" w:rsidR="004B44C6" w:rsidRPr="00264B21" w:rsidRDefault="004B44C6" w:rsidP="00264B21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color w:val="000000"/>
        </w:rPr>
      </w:pPr>
      <w:r w:rsidRPr="00264B21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This section provides that </w:t>
      </w:r>
      <w:r w:rsidR="002230A9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>each instrument that is</w:t>
      </w:r>
      <w:r w:rsidRPr="00264B21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 specified in a Schedule </w:t>
      </w:r>
      <w:r w:rsidR="00264B21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to this Instrument </w:t>
      </w:r>
      <w:r w:rsidRPr="00264B21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>is amended or repealed as set out in the applicable items in the Schedule</w:t>
      </w:r>
      <w:r w:rsidR="002230A9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 concerned,</w:t>
      </w:r>
      <w:r w:rsidRPr="00264B21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 and any other item in a Schedule</w:t>
      </w:r>
      <w:r w:rsidR="002230A9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 to this Instrument</w:t>
      </w:r>
      <w:r w:rsidRPr="00264B21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 has effect according to its terms.</w:t>
      </w:r>
    </w:p>
    <w:p w14:paraId="06B0CDF1" w14:textId="77777777" w:rsidR="004B44C6" w:rsidRPr="004B44C6" w:rsidRDefault="004B44C6" w:rsidP="004B44C6">
      <w:pPr>
        <w:pStyle w:val="ListParagraph"/>
        <w:shd w:val="clear" w:color="auto" w:fill="FFFFFF"/>
        <w:ind w:left="360" w:hanging="360"/>
        <w:rPr>
          <w:color w:val="000000"/>
        </w:rPr>
      </w:pPr>
    </w:p>
    <w:p w14:paraId="435703D3" w14:textId="10A25E44" w:rsidR="004B44C6" w:rsidRDefault="004B44C6">
      <w:pPr>
        <w:spacing w:after="160" w:line="259" w:lineRule="auto"/>
        <w:rPr>
          <w:rFonts w:ascii="Calibri" w:hAnsi="Calibri" w:cs="Calibri"/>
          <w:b/>
          <w:bCs/>
          <w:cap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aps/>
          <w:color w:val="000000"/>
          <w:shd w:val="clear" w:color="auto" w:fill="FFFFFF"/>
        </w:rPr>
        <w:t>Schedule 1 – repeals</w:t>
      </w:r>
    </w:p>
    <w:p w14:paraId="475E55BC" w14:textId="40071053" w:rsidR="002230A9" w:rsidRPr="002230A9" w:rsidRDefault="004B44C6" w:rsidP="004B44C6">
      <w:pPr>
        <w:shd w:val="clear" w:color="auto" w:fill="FFFFFF"/>
        <w:rPr>
          <w:rFonts w:ascii="Calibri" w:eastAsia="Times New Roman" w:hAnsi="Calibri" w:cs="Calibri"/>
          <w:b/>
          <w:bCs/>
          <w:iCs/>
          <w:color w:val="000000"/>
          <w:szCs w:val="24"/>
          <w:lang w:eastAsia="en-AU"/>
        </w:rPr>
      </w:pPr>
      <w:bookmarkStart w:id="8" w:name="_Toc112253514"/>
      <w:r w:rsidRPr="002230A9">
        <w:rPr>
          <w:rFonts w:ascii="Calibri" w:eastAsia="Times New Roman" w:hAnsi="Calibri" w:cs="Calibri"/>
          <w:b/>
          <w:bCs/>
          <w:i/>
          <w:color w:val="000000"/>
          <w:szCs w:val="24"/>
          <w:lang w:eastAsia="en-AU"/>
        </w:rPr>
        <w:t>National Vocational Education and Training Regulator (Other Functions) Instrument 2022</w:t>
      </w:r>
      <w:bookmarkEnd w:id="8"/>
      <w:r w:rsidRPr="002230A9">
        <w:rPr>
          <w:rFonts w:ascii="Calibri" w:eastAsia="Times New Roman" w:hAnsi="Calibri" w:cs="Calibri"/>
          <w:b/>
          <w:bCs/>
          <w:iCs/>
          <w:color w:val="000000"/>
          <w:szCs w:val="24"/>
          <w:lang w:eastAsia="en-AU"/>
        </w:rPr>
        <w:t xml:space="preserve"> </w:t>
      </w:r>
    </w:p>
    <w:p w14:paraId="663C3232" w14:textId="0353F368" w:rsidR="004B44C6" w:rsidRPr="002230A9" w:rsidRDefault="002230A9" w:rsidP="004B44C6">
      <w:pPr>
        <w:shd w:val="clear" w:color="auto" w:fill="FFFFFF"/>
        <w:rPr>
          <w:rFonts w:eastAsia="Times New Roman" w:cs="Times New Roman"/>
          <w:color w:val="000000"/>
          <w:szCs w:val="24"/>
          <w:lang w:eastAsia="en-AU"/>
        </w:rPr>
      </w:pPr>
      <w:r w:rsidRPr="002230A9">
        <w:rPr>
          <w:rFonts w:ascii="Calibri" w:eastAsia="Times New Roman" w:hAnsi="Calibri" w:cs="Calibri"/>
          <w:b/>
          <w:bCs/>
          <w:iCs/>
          <w:color w:val="000000"/>
          <w:szCs w:val="24"/>
          <w:lang w:eastAsia="en-AU"/>
        </w:rPr>
        <w:t>Item 1:</w:t>
      </w:r>
      <w:r w:rsidR="004B44C6" w:rsidRPr="002230A9">
        <w:rPr>
          <w:rFonts w:ascii="Calibri" w:eastAsia="Times New Roman" w:hAnsi="Calibri" w:cs="Calibri"/>
          <w:b/>
          <w:bCs/>
          <w:iCs/>
          <w:color w:val="000000"/>
          <w:szCs w:val="24"/>
          <w:lang w:eastAsia="en-AU"/>
        </w:rPr>
        <w:t xml:space="preserve"> </w:t>
      </w:r>
      <w:r w:rsidR="004B44C6" w:rsidRPr="002230A9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The whole of the instrument</w:t>
      </w:r>
    </w:p>
    <w:p w14:paraId="238B2C28" w14:textId="45C2F486" w:rsidR="002230A9" w:rsidRPr="00410EDA" w:rsidRDefault="004B44C6" w:rsidP="00410EDA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color w:val="000000"/>
        </w:rPr>
      </w:pPr>
      <w:r w:rsidRPr="00410EDA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This </w:t>
      </w:r>
      <w:r w:rsidR="002230A9" w:rsidRPr="00410EDA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item </w:t>
      </w:r>
      <w:r w:rsidRPr="00410EDA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>repeals the whole of the</w:t>
      </w:r>
      <w:r w:rsidR="002230A9" w:rsidRPr="00410EDA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 Other Functions Instrument</w:t>
      </w:r>
      <w:r w:rsidRPr="00410EDA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>.</w:t>
      </w:r>
      <w:r w:rsidR="002230A9" w:rsidRPr="00410EDA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en-AU"/>
        </w:rPr>
        <w:t xml:space="preserve"> This is because, f</w:t>
      </w:r>
      <w:r w:rsidR="002230A9" w:rsidRPr="00410EDA">
        <w:rPr>
          <w:rFonts w:asciiTheme="minorHAnsi" w:hAnsiTheme="minorHAnsi" w:cstheme="minorHAnsi"/>
          <w:iCs/>
          <w:szCs w:val="24"/>
        </w:rPr>
        <w:t xml:space="preserve">ollowing a change of government at the Commonwealth level and further consultation with stakeholders, the Commonwealth, state, and territory governments agreed that </w:t>
      </w:r>
      <w:r w:rsidR="003F36E2" w:rsidRPr="00410EDA">
        <w:rPr>
          <w:rFonts w:asciiTheme="minorHAnsi" w:hAnsiTheme="minorHAnsi" w:cstheme="minorHAnsi"/>
          <w:iCs/>
          <w:szCs w:val="24"/>
        </w:rPr>
        <w:t xml:space="preserve">further </w:t>
      </w:r>
      <w:r w:rsidR="00A04C09" w:rsidRPr="00410EDA">
        <w:rPr>
          <w:rFonts w:asciiTheme="minorHAnsi" w:hAnsiTheme="minorHAnsi" w:cstheme="minorHAnsi"/>
          <w:iCs/>
          <w:szCs w:val="24"/>
        </w:rPr>
        <w:t xml:space="preserve">consideration should be given to </w:t>
      </w:r>
      <w:r w:rsidR="00CB434F" w:rsidRPr="00410EDA">
        <w:rPr>
          <w:rFonts w:asciiTheme="minorHAnsi" w:hAnsiTheme="minorHAnsi" w:cstheme="minorHAnsi"/>
          <w:iCs/>
          <w:szCs w:val="24"/>
        </w:rPr>
        <w:t xml:space="preserve">who </w:t>
      </w:r>
      <w:r w:rsidR="00A04C09" w:rsidRPr="00410EDA">
        <w:rPr>
          <w:rFonts w:asciiTheme="minorHAnsi" w:hAnsiTheme="minorHAnsi" w:cstheme="minorHAnsi"/>
          <w:iCs/>
          <w:szCs w:val="24"/>
        </w:rPr>
        <w:t>should assist the Ministerial Council to perform its endorsement role</w:t>
      </w:r>
      <w:r w:rsidR="003F36E2" w:rsidRPr="00410EDA">
        <w:rPr>
          <w:rFonts w:asciiTheme="minorHAnsi" w:hAnsiTheme="minorHAnsi" w:cstheme="minorHAnsi"/>
          <w:iCs/>
          <w:szCs w:val="24"/>
        </w:rPr>
        <w:t xml:space="preserve">, meaning </w:t>
      </w:r>
      <w:r w:rsidR="002230A9" w:rsidRPr="00410EDA">
        <w:rPr>
          <w:rFonts w:asciiTheme="minorHAnsi" w:hAnsiTheme="minorHAnsi" w:cstheme="minorHAnsi"/>
          <w:iCs/>
          <w:szCs w:val="24"/>
        </w:rPr>
        <w:t xml:space="preserve">the </w:t>
      </w:r>
      <w:r w:rsidR="00EC5906" w:rsidRPr="00410EDA">
        <w:rPr>
          <w:rFonts w:ascii="Calibri" w:eastAsia="Times New Roman" w:hAnsi="Calibri" w:cs="Calibri"/>
          <w:color w:val="000000"/>
          <w:szCs w:val="24"/>
          <w:lang w:eastAsia="en-AU"/>
        </w:rPr>
        <w:t xml:space="preserve">National Vocational Education and Training </w:t>
      </w:r>
      <w:r w:rsidR="002230A9" w:rsidRPr="00410EDA">
        <w:rPr>
          <w:rFonts w:asciiTheme="minorHAnsi" w:hAnsiTheme="minorHAnsi" w:cstheme="minorHAnsi"/>
          <w:iCs/>
          <w:szCs w:val="24"/>
        </w:rPr>
        <w:t>Regulator will no longer have the functions set out in that instrument.</w:t>
      </w:r>
    </w:p>
    <w:p w14:paraId="3F2831F1" w14:textId="77777777" w:rsidR="00A04C09" w:rsidRDefault="00A04C09" w:rsidP="002230A9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2E5E926A" w14:textId="2D29BB45" w:rsidR="004B44C6" w:rsidRPr="004B44C6" w:rsidRDefault="004B44C6" w:rsidP="004B44C6">
      <w:pPr>
        <w:shd w:val="clear" w:color="auto" w:fill="FFFFFF"/>
        <w:ind w:left="360" w:hanging="360"/>
        <w:rPr>
          <w:rFonts w:eastAsia="Times New Roman" w:cs="Times New Roman"/>
          <w:color w:val="000000"/>
          <w:szCs w:val="24"/>
          <w:lang w:eastAsia="en-AU"/>
        </w:rPr>
      </w:pPr>
    </w:p>
    <w:p w14:paraId="0A4DD049" w14:textId="77777777" w:rsidR="004B44C6" w:rsidRDefault="004B44C6">
      <w:pPr>
        <w:spacing w:after="160" w:line="259" w:lineRule="auto"/>
        <w:rPr>
          <w:rFonts w:asciiTheme="minorHAnsi" w:hAnsiTheme="minorHAnsi" w:cstheme="minorHAnsi"/>
          <w:u w:val="single"/>
        </w:rPr>
      </w:pPr>
    </w:p>
    <w:sectPr w:rsidR="004B44C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392B" w14:textId="77777777" w:rsidR="001F383D" w:rsidRDefault="001F383D" w:rsidP="00783FAB">
      <w:pPr>
        <w:spacing w:after="0" w:line="240" w:lineRule="auto"/>
      </w:pPr>
      <w:r>
        <w:separator/>
      </w:r>
    </w:p>
  </w:endnote>
  <w:endnote w:type="continuationSeparator" w:id="0">
    <w:p w14:paraId="1B354FB0" w14:textId="77777777" w:rsidR="001F383D" w:rsidRDefault="001F383D" w:rsidP="00783FAB">
      <w:pPr>
        <w:spacing w:after="0" w:line="240" w:lineRule="auto"/>
      </w:pPr>
      <w:r>
        <w:continuationSeparator/>
      </w:r>
    </w:p>
  </w:endnote>
  <w:endnote w:type="continuationNotice" w:id="1">
    <w:p w14:paraId="7281B1CF" w14:textId="77777777" w:rsidR="001F383D" w:rsidRDefault="001F3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8C77" w14:textId="7AB24EF5" w:rsidR="008134D5" w:rsidRDefault="00AF4110">
    <w:pPr>
      <w:pStyle w:val="Footer"/>
      <w:jc w:val="center"/>
    </w:pPr>
    <w:sdt>
      <w:sdtPr>
        <w:id w:val="-20100612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34D5">
          <w:fldChar w:fldCharType="begin"/>
        </w:r>
        <w:r w:rsidR="008134D5">
          <w:instrText xml:space="preserve"> PAGE   \* MERGEFORMAT </w:instrText>
        </w:r>
        <w:r w:rsidR="008134D5">
          <w:fldChar w:fldCharType="separate"/>
        </w:r>
        <w:r w:rsidR="00EF4ACB">
          <w:rPr>
            <w:noProof/>
          </w:rPr>
          <w:t>3</w:t>
        </w:r>
        <w:r w:rsidR="008134D5">
          <w:rPr>
            <w:noProof/>
          </w:rPr>
          <w:fldChar w:fldCharType="end"/>
        </w:r>
      </w:sdtContent>
    </w:sdt>
  </w:p>
  <w:p w14:paraId="36437BB6" w14:textId="77777777" w:rsidR="008134D5" w:rsidRDefault="008134D5" w:rsidP="00785B1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27B3" w14:textId="77777777" w:rsidR="001F383D" w:rsidRDefault="001F383D" w:rsidP="00783FAB">
      <w:pPr>
        <w:spacing w:after="0" w:line="240" w:lineRule="auto"/>
      </w:pPr>
      <w:r>
        <w:separator/>
      </w:r>
    </w:p>
  </w:footnote>
  <w:footnote w:type="continuationSeparator" w:id="0">
    <w:p w14:paraId="3B3794C2" w14:textId="77777777" w:rsidR="001F383D" w:rsidRDefault="001F383D" w:rsidP="00783FAB">
      <w:pPr>
        <w:spacing w:after="0" w:line="240" w:lineRule="auto"/>
      </w:pPr>
      <w:r>
        <w:continuationSeparator/>
      </w:r>
    </w:p>
  </w:footnote>
  <w:footnote w:type="continuationNotice" w:id="1">
    <w:p w14:paraId="21F00B61" w14:textId="77777777" w:rsidR="001F383D" w:rsidRDefault="001F38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8E03" w14:textId="66B0021B" w:rsidR="00DE1334" w:rsidRDefault="00DE1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68D"/>
    <w:multiLevelType w:val="hybridMultilevel"/>
    <w:tmpl w:val="744AAA52"/>
    <w:lvl w:ilvl="0" w:tplc="D68C62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CA53B3"/>
    <w:multiLevelType w:val="hybridMultilevel"/>
    <w:tmpl w:val="77686D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4D679B5"/>
    <w:multiLevelType w:val="hybridMultilevel"/>
    <w:tmpl w:val="4F48CE3C"/>
    <w:lvl w:ilvl="0" w:tplc="E1841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F"/>
    <w:rsid w:val="000009D4"/>
    <w:rsid w:val="00000F56"/>
    <w:rsid w:val="00003184"/>
    <w:rsid w:val="000036EB"/>
    <w:rsid w:val="0000395C"/>
    <w:rsid w:val="00011E4D"/>
    <w:rsid w:val="000138CF"/>
    <w:rsid w:val="000140D5"/>
    <w:rsid w:val="000146FA"/>
    <w:rsid w:val="0001554B"/>
    <w:rsid w:val="00016AFF"/>
    <w:rsid w:val="00017F54"/>
    <w:rsid w:val="000305EA"/>
    <w:rsid w:val="00031E3C"/>
    <w:rsid w:val="00032CB3"/>
    <w:rsid w:val="00036FAE"/>
    <w:rsid w:val="00044508"/>
    <w:rsid w:val="00047668"/>
    <w:rsid w:val="00047A2A"/>
    <w:rsid w:val="0005020B"/>
    <w:rsid w:val="00057815"/>
    <w:rsid w:val="00057A1E"/>
    <w:rsid w:val="0006095F"/>
    <w:rsid w:val="0006118E"/>
    <w:rsid w:val="000614A1"/>
    <w:rsid w:val="00062794"/>
    <w:rsid w:val="0006484E"/>
    <w:rsid w:val="000668B0"/>
    <w:rsid w:val="00074A70"/>
    <w:rsid w:val="00076E76"/>
    <w:rsid w:val="00083F41"/>
    <w:rsid w:val="000846B7"/>
    <w:rsid w:val="000A12F2"/>
    <w:rsid w:val="000A2A28"/>
    <w:rsid w:val="000A2D3A"/>
    <w:rsid w:val="000A3124"/>
    <w:rsid w:val="000A35D6"/>
    <w:rsid w:val="000B1BE1"/>
    <w:rsid w:val="000B3914"/>
    <w:rsid w:val="000B6430"/>
    <w:rsid w:val="000B7C07"/>
    <w:rsid w:val="000C224C"/>
    <w:rsid w:val="000C310A"/>
    <w:rsid w:val="000C3482"/>
    <w:rsid w:val="000C34FD"/>
    <w:rsid w:val="000C4D6B"/>
    <w:rsid w:val="000D1472"/>
    <w:rsid w:val="000D5E6D"/>
    <w:rsid w:val="000D7958"/>
    <w:rsid w:val="000E3516"/>
    <w:rsid w:val="000E57DB"/>
    <w:rsid w:val="000E6FD6"/>
    <w:rsid w:val="000F1811"/>
    <w:rsid w:val="000F7A8C"/>
    <w:rsid w:val="00103015"/>
    <w:rsid w:val="00103253"/>
    <w:rsid w:val="001042BA"/>
    <w:rsid w:val="00120A34"/>
    <w:rsid w:val="00121046"/>
    <w:rsid w:val="00124260"/>
    <w:rsid w:val="00125A8E"/>
    <w:rsid w:val="00127CD8"/>
    <w:rsid w:val="001301AD"/>
    <w:rsid w:val="001334D9"/>
    <w:rsid w:val="001377D9"/>
    <w:rsid w:val="00137ACD"/>
    <w:rsid w:val="00140DAD"/>
    <w:rsid w:val="00140E3D"/>
    <w:rsid w:val="001421FE"/>
    <w:rsid w:val="001437EA"/>
    <w:rsid w:val="00144950"/>
    <w:rsid w:val="00144C9F"/>
    <w:rsid w:val="00145BE1"/>
    <w:rsid w:val="0015276C"/>
    <w:rsid w:val="00152947"/>
    <w:rsid w:val="00153999"/>
    <w:rsid w:val="0015508C"/>
    <w:rsid w:val="00157DD6"/>
    <w:rsid w:val="00160153"/>
    <w:rsid w:val="00161A1F"/>
    <w:rsid w:val="00166BB7"/>
    <w:rsid w:val="0017006A"/>
    <w:rsid w:val="00173A64"/>
    <w:rsid w:val="00173E0C"/>
    <w:rsid w:val="00184380"/>
    <w:rsid w:val="00185491"/>
    <w:rsid w:val="001911D7"/>
    <w:rsid w:val="00195030"/>
    <w:rsid w:val="00197C3F"/>
    <w:rsid w:val="001A2FE9"/>
    <w:rsid w:val="001A4389"/>
    <w:rsid w:val="001B3C7A"/>
    <w:rsid w:val="001C4990"/>
    <w:rsid w:val="001D00E3"/>
    <w:rsid w:val="001D0AF3"/>
    <w:rsid w:val="001D1D8A"/>
    <w:rsid w:val="001D36EE"/>
    <w:rsid w:val="001E07CE"/>
    <w:rsid w:val="001E52EB"/>
    <w:rsid w:val="001E5A0B"/>
    <w:rsid w:val="001F127D"/>
    <w:rsid w:val="001F3626"/>
    <w:rsid w:val="001F383D"/>
    <w:rsid w:val="001F7336"/>
    <w:rsid w:val="00200358"/>
    <w:rsid w:val="002005CD"/>
    <w:rsid w:val="00201F75"/>
    <w:rsid w:val="00202EC1"/>
    <w:rsid w:val="00204283"/>
    <w:rsid w:val="00204EEF"/>
    <w:rsid w:val="00205DBD"/>
    <w:rsid w:val="00207297"/>
    <w:rsid w:val="0021337D"/>
    <w:rsid w:val="00216A1C"/>
    <w:rsid w:val="002201DE"/>
    <w:rsid w:val="002230A9"/>
    <w:rsid w:val="00223F82"/>
    <w:rsid w:val="00224C52"/>
    <w:rsid w:val="00232304"/>
    <w:rsid w:val="002334F4"/>
    <w:rsid w:val="00236C9D"/>
    <w:rsid w:val="002378EE"/>
    <w:rsid w:val="002445E3"/>
    <w:rsid w:val="00247EBF"/>
    <w:rsid w:val="00252DC7"/>
    <w:rsid w:val="00256A38"/>
    <w:rsid w:val="00261499"/>
    <w:rsid w:val="00264B21"/>
    <w:rsid w:val="002672A4"/>
    <w:rsid w:val="002747E8"/>
    <w:rsid w:val="00274EEA"/>
    <w:rsid w:val="002759C4"/>
    <w:rsid w:val="0027686D"/>
    <w:rsid w:val="002808A9"/>
    <w:rsid w:val="00282D09"/>
    <w:rsid w:val="00284C9D"/>
    <w:rsid w:val="00290C2D"/>
    <w:rsid w:val="00292863"/>
    <w:rsid w:val="00294430"/>
    <w:rsid w:val="00296CA7"/>
    <w:rsid w:val="00296FAF"/>
    <w:rsid w:val="00297EAB"/>
    <w:rsid w:val="002A15F1"/>
    <w:rsid w:val="002A46A5"/>
    <w:rsid w:val="002A4961"/>
    <w:rsid w:val="002B313C"/>
    <w:rsid w:val="002B5C28"/>
    <w:rsid w:val="002C1F84"/>
    <w:rsid w:val="002C40FB"/>
    <w:rsid w:val="002D1504"/>
    <w:rsid w:val="002D564A"/>
    <w:rsid w:val="002E12E6"/>
    <w:rsid w:val="002E1FEA"/>
    <w:rsid w:val="002E6A21"/>
    <w:rsid w:val="002F4E2F"/>
    <w:rsid w:val="002F76C6"/>
    <w:rsid w:val="00304A88"/>
    <w:rsid w:val="00304E64"/>
    <w:rsid w:val="00307358"/>
    <w:rsid w:val="0031070C"/>
    <w:rsid w:val="00313612"/>
    <w:rsid w:val="00316053"/>
    <w:rsid w:val="003170AC"/>
    <w:rsid w:val="00326C24"/>
    <w:rsid w:val="0033070E"/>
    <w:rsid w:val="00341871"/>
    <w:rsid w:val="003440C7"/>
    <w:rsid w:val="00350779"/>
    <w:rsid w:val="00353D81"/>
    <w:rsid w:val="00354743"/>
    <w:rsid w:val="00365D2C"/>
    <w:rsid w:val="00367C2D"/>
    <w:rsid w:val="0037028F"/>
    <w:rsid w:val="003719BF"/>
    <w:rsid w:val="00375010"/>
    <w:rsid w:val="0037728A"/>
    <w:rsid w:val="00377427"/>
    <w:rsid w:val="00386B68"/>
    <w:rsid w:val="00386E17"/>
    <w:rsid w:val="0038758C"/>
    <w:rsid w:val="003913F1"/>
    <w:rsid w:val="003916AC"/>
    <w:rsid w:val="00393A61"/>
    <w:rsid w:val="00394454"/>
    <w:rsid w:val="00395655"/>
    <w:rsid w:val="003A0965"/>
    <w:rsid w:val="003A373E"/>
    <w:rsid w:val="003A3D0E"/>
    <w:rsid w:val="003A4424"/>
    <w:rsid w:val="003A50C0"/>
    <w:rsid w:val="003A530C"/>
    <w:rsid w:val="003A5841"/>
    <w:rsid w:val="003A7B17"/>
    <w:rsid w:val="003B29B0"/>
    <w:rsid w:val="003B2DA8"/>
    <w:rsid w:val="003B3044"/>
    <w:rsid w:val="003B6C2D"/>
    <w:rsid w:val="003C0D20"/>
    <w:rsid w:val="003C16A9"/>
    <w:rsid w:val="003C202D"/>
    <w:rsid w:val="003D00E1"/>
    <w:rsid w:val="003D47C4"/>
    <w:rsid w:val="003D7CE2"/>
    <w:rsid w:val="003E4413"/>
    <w:rsid w:val="003E5B26"/>
    <w:rsid w:val="003E7AA1"/>
    <w:rsid w:val="003F09F7"/>
    <w:rsid w:val="003F1AA1"/>
    <w:rsid w:val="003F24BC"/>
    <w:rsid w:val="003F36E2"/>
    <w:rsid w:val="00402CC7"/>
    <w:rsid w:val="00402D70"/>
    <w:rsid w:val="00403CE4"/>
    <w:rsid w:val="004075A3"/>
    <w:rsid w:val="00410A3F"/>
    <w:rsid w:val="00410EDA"/>
    <w:rsid w:val="0041144F"/>
    <w:rsid w:val="004143B1"/>
    <w:rsid w:val="00415A55"/>
    <w:rsid w:val="004228EE"/>
    <w:rsid w:val="00425A1E"/>
    <w:rsid w:val="00425FCB"/>
    <w:rsid w:val="00430F1B"/>
    <w:rsid w:val="004327E1"/>
    <w:rsid w:val="00434240"/>
    <w:rsid w:val="004343D1"/>
    <w:rsid w:val="00434641"/>
    <w:rsid w:val="00434CDD"/>
    <w:rsid w:val="004355D0"/>
    <w:rsid w:val="004355E8"/>
    <w:rsid w:val="00436435"/>
    <w:rsid w:val="00445460"/>
    <w:rsid w:val="00446B03"/>
    <w:rsid w:val="0044797F"/>
    <w:rsid w:val="00455C2A"/>
    <w:rsid w:val="00472F61"/>
    <w:rsid w:val="004777FA"/>
    <w:rsid w:val="00481DE1"/>
    <w:rsid w:val="00484DBC"/>
    <w:rsid w:val="00484F9E"/>
    <w:rsid w:val="00490AE0"/>
    <w:rsid w:val="00490BA0"/>
    <w:rsid w:val="00494834"/>
    <w:rsid w:val="0049486C"/>
    <w:rsid w:val="004A11CA"/>
    <w:rsid w:val="004A2F70"/>
    <w:rsid w:val="004A3F82"/>
    <w:rsid w:val="004A409F"/>
    <w:rsid w:val="004A48D9"/>
    <w:rsid w:val="004A6B2D"/>
    <w:rsid w:val="004B2C3F"/>
    <w:rsid w:val="004B3D95"/>
    <w:rsid w:val="004B44C6"/>
    <w:rsid w:val="004D5695"/>
    <w:rsid w:val="004D665B"/>
    <w:rsid w:val="004D7B86"/>
    <w:rsid w:val="004D7DA3"/>
    <w:rsid w:val="004F53E6"/>
    <w:rsid w:val="004F54FF"/>
    <w:rsid w:val="00503218"/>
    <w:rsid w:val="00505873"/>
    <w:rsid w:val="00505D01"/>
    <w:rsid w:val="00506F28"/>
    <w:rsid w:val="005146EC"/>
    <w:rsid w:val="00515BBE"/>
    <w:rsid w:val="005169CB"/>
    <w:rsid w:val="00517337"/>
    <w:rsid w:val="005173FC"/>
    <w:rsid w:val="00524226"/>
    <w:rsid w:val="00527330"/>
    <w:rsid w:val="00536596"/>
    <w:rsid w:val="005366FF"/>
    <w:rsid w:val="00537A32"/>
    <w:rsid w:val="0054166F"/>
    <w:rsid w:val="0054602B"/>
    <w:rsid w:val="00546375"/>
    <w:rsid w:val="005620CA"/>
    <w:rsid w:val="00572401"/>
    <w:rsid w:val="005732E6"/>
    <w:rsid w:val="00577C30"/>
    <w:rsid w:val="005800EB"/>
    <w:rsid w:val="00580825"/>
    <w:rsid w:val="005812FF"/>
    <w:rsid w:val="005819C8"/>
    <w:rsid w:val="0058422E"/>
    <w:rsid w:val="00584B84"/>
    <w:rsid w:val="005905A0"/>
    <w:rsid w:val="00591EC0"/>
    <w:rsid w:val="00595DDD"/>
    <w:rsid w:val="00597535"/>
    <w:rsid w:val="005A54B4"/>
    <w:rsid w:val="005A7050"/>
    <w:rsid w:val="005B3CBC"/>
    <w:rsid w:val="005B510A"/>
    <w:rsid w:val="005C0740"/>
    <w:rsid w:val="005C18D0"/>
    <w:rsid w:val="005E2026"/>
    <w:rsid w:val="005F4914"/>
    <w:rsid w:val="005F5DF6"/>
    <w:rsid w:val="005F5FA1"/>
    <w:rsid w:val="005F7D42"/>
    <w:rsid w:val="0060088C"/>
    <w:rsid w:val="00604F05"/>
    <w:rsid w:val="00607EAE"/>
    <w:rsid w:val="00607ED2"/>
    <w:rsid w:val="00611D31"/>
    <w:rsid w:val="006202A1"/>
    <w:rsid w:val="0062319E"/>
    <w:rsid w:val="00625432"/>
    <w:rsid w:val="00626E42"/>
    <w:rsid w:val="00627EDA"/>
    <w:rsid w:val="00635040"/>
    <w:rsid w:val="00636200"/>
    <w:rsid w:val="00645DC7"/>
    <w:rsid w:val="0064724F"/>
    <w:rsid w:val="006507CB"/>
    <w:rsid w:val="00651D68"/>
    <w:rsid w:val="00652D30"/>
    <w:rsid w:val="006562BA"/>
    <w:rsid w:val="00656314"/>
    <w:rsid w:val="00661BE8"/>
    <w:rsid w:val="00667B6F"/>
    <w:rsid w:val="00667F82"/>
    <w:rsid w:val="006700AA"/>
    <w:rsid w:val="00673C05"/>
    <w:rsid w:val="00677A0D"/>
    <w:rsid w:val="00683087"/>
    <w:rsid w:val="00685653"/>
    <w:rsid w:val="00686F69"/>
    <w:rsid w:val="006930D1"/>
    <w:rsid w:val="006931AD"/>
    <w:rsid w:val="006938C9"/>
    <w:rsid w:val="006940BB"/>
    <w:rsid w:val="00696CF0"/>
    <w:rsid w:val="00697001"/>
    <w:rsid w:val="006A1788"/>
    <w:rsid w:val="006A666D"/>
    <w:rsid w:val="006B2D99"/>
    <w:rsid w:val="006B6E38"/>
    <w:rsid w:val="006C506F"/>
    <w:rsid w:val="006D58E2"/>
    <w:rsid w:val="006D7B6B"/>
    <w:rsid w:val="006E3838"/>
    <w:rsid w:val="006E3C40"/>
    <w:rsid w:val="006E7699"/>
    <w:rsid w:val="006F27AC"/>
    <w:rsid w:val="006F3E5C"/>
    <w:rsid w:val="006F4C80"/>
    <w:rsid w:val="006F627D"/>
    <w:rsid w:val="00701CB8"/>
    <w:rsid w:val="00701E47"/>
    <w:rsid w:val="00707E57"/>
    <w:rsid w:val="00707F49"/>
    <w:rsid w:val="007103B5"/>
    <w:rsid w:val="007213BB"/>
    <w:rsid w:val="0072341D"/>
    <w:rsid w:val="0072758F"/>
    <w:rsid w:val="007314EF"/>
    <w:rsid w:val="0073763E"/>
    <w:rsid w:val="00741375"/>
    <w:rsid w:val="007452A0"/>
    <w:rsid w:val="00745FCA"/>
    <w:rsid w:val="00747943"/>
    <w:rsid w:val="00752BD5"/>
    <w:rsid w:val="00753090"/>
    <w:rsid w:val="0075573F"/>
    <w:rsid w:val="00756861"/>
    <w:rsid w:val="00756D99"/>
    <w:rsid w:val="00756F20"/>
    <w:rsid w:val="00760772"/>
    <w:rsid w:val="00760DDE"/>
    <w:rsid w:val="007620AE"/>
    <w:rsid w:val="00772715"/>
    <w:rsid w:val="00774144"/>
    <w:rsid w:val="0077536C"/>
    <w:rsid w:val="00782538"/>
    <w:rsid w:val="007828DD"/>
    <w:rsid w:val="00783FAB"/>
    <w:rsid w:val="00785B13"/>
    <w:rsid w:val="00791AAC"/>
    <w:rsid w:val="00795969"/>
    <w:rsid w:val="007A6AF0"/>
    <w:rsid w:val="007B44CD"/>
    <w:rsid w:val="007B4836"/>
    <w:rsid w:val="007C5020"/>
    <w:rsid w:val="007D12B2"/>
    <w:rsid w:val="007D1F16"/>
    <w:rsid w:val="007D4E08"/>
    <w:rsid w:val="007D65FD"/>
    <w:rsid w:val="007E00A8"/>
    <w:rsid w:val="007E16D6"/>
    <w:rsid w:val="007E2197"/>
    <w:rsid w:val="007E3446"/>
    <w:rsid w:val="007E3447"/>
    <w:rsid w:val="007E36E5"/>
    <w:rsid w:val="007E6EC6"/>
    <w:rsid w:val="007F563E"/>
    <w:rsid w:val="00803447"/>
    <w:rsid w:val="008035CF"/>
    <w:rsid w:val="0080510C"/>
    <w:rsid w:val="0080584E"/>
    <w:rsid w:val="00805FEB"/>
    <w:rsid w:val="00811E34"/>
    <w:rsid w:val="008128D0"/>
    <w:rsid w:val="00812C37"/>
    <w:rsid w:val="008134D5"/>
    <w:rsid w:val="00813A38"/>
    <w:rsid w:val="00823B66"/>
    <w:rsid w:val="00824A98"/>
    <w:rsid w:val="008310AA"/>
    <w:rsid w:val="00834114"/>
    <w:rsid w:val="00844D23"/>
    <w:rsid w:val="008517D8"/>
    <w:rsid w:val="00855239"/>
    <w:rsid w:val="00856BC4"/>
    <w:rsid w:val="00867101"/>
    <w:rsid w:val="00870BA7"/>
    <w:rsid w:val="008755D8"/>
    <w:rsid w:val="0088497A"/>
    <w:rsid w:val="008A1F97"/>
    <w:rsid w:val="008A6224"/>
    <w:rsid w:val="008B2454"/>
    <w:rsid w:val="008B478B"/>
    <w:rsid w:val="008B61B7"/>
    <w:rsid w:val="008C48EF"/>
    <w:rsid w:val="008C497B"/>
    <w:rsid w:val="008C5CE9"/>
    <w:rsid w:val="008C76FD"/>
    <w:rsid w:val="008D72EA"/>
    <w:rsid w:val="008D7625"/>
    <w:rsid w:val="008E30D6"/>
    <w:rsid w:val="008E30D9"/>
    <w:rsid w:val="008E68D3"/>
    <w:rsid w:val="008E79DF"/>
    <w:rsid w:val="008F002D"/>
    <w:rsid w:val="008F43E8"/>
    <w:rsid w:val="00902A26"/>
    <w:rsid w:val="00903257"/>
    <w:rsid w:val="009048A2"/>
    <w:rsid w:val="00905C61"/>
    <w:rsid w:val="00907D61"/>
    <w:rsid w:val="00910064"/>
    <w:rsid w:val="00911474"/>
    <w:rsid w:val="009114DC"/>
    <w:rsid w:val="00911D92"/>
    <w:rsid w:val="009121D3"/>
    <w:rsid w:val="009123E5"/>
    <w:rsid w:val="00914670"/>
    <w:rsid w:val="009176F5"/>
    <w:rsid w:val="00933AD6"/>
    <w:rsid w:val="009421AA"/>
    <w:rsid w:val="0094476A"/>
    <w:rsid w:val="0094774B"/>
    <w:rsid w:val="00970AAB"/>
    <w:rsid w:val="00974504"/>
    <w:rsid w:val="00975A4A"/>
    <w:rsid w:val="00976413"/>
    <w:rsid w:val="009767B4"/>
    <w:rsid w:val="00977544"/>
    <w:rsid w:val="00977D37"/>
    <w:rsid w:val="009807AE"/>
    <w:rsid w:val="00990334"/>
    <w:rsid w:val="00991158"/>
    <w:rsid w:val="0099199E"/>
    <w:rsid w:val="00995C44"/>
    <w:rsid w:val="009A04A2"/>
    <w:rsid w:val="009A04A5"/>
    <w:rsid w:val="009A1B7C"/>
    <w:rsid w:val="009A35A0"/>
    <w:rsid w:val="009A45C4"/>
    <w:rsid w:val="009A7CFA"/>
    <w:rsid w:val="009B0C51"/>
    <w:rsid w:val="009B2183"/>
    <w:rsid w:val="009B29AC"/>
    <w:rsid w:val="009B4B7F"/>
    <w:rsid w:val="009C0F35"/>
    <w:rsid w:val="009C10C1"/>
    <w:rsid w:val="009C4F55"/>
    <w:rsid w:val="009C5E5D"/>
    <w:rsid w:val="009D0999"/>
    <w:rsid w:val="009D23FB"/>
    <w:rsid w:val="009D7562"/>
    <w:rsid w:val="009E0803"/>
    <w:rsid w:val="009E3533"/>
    <w:rsid w:val="009E7C1C"/>
    <w:rsid w:val="009F13BF"/>
    <w:rsid w:val="009F1D34"/>
    <w:rsid w:val="009F4C47"/>
    <w:rsid w:val="009F528F"/>
    <w:rsid w:val="009F6AC9"/>
    <w:rsid w:val="009F7BA7"/>
    <w:rsid w:val="00A04C09"/>
    <w:rsid w:val="00A105DA"/>
    <w:rsid w:val="00A109B9"/>
    <w:rsid w:val="00A20031"/>
    <w:rsid w:val="00A202D5"/>
    <w:rsid w:val="00A206B0"/>
    <w:rsid w:val="00A23CDC"/>
    <w:rsid w:val="00A24596"/>
    <w:rsid w:val="00A24B24"/>
    <w:rsid w:val="00A25E6C"/>
    <w:rsid w:val="00A34DCB"/>
    <w:rsid w:val="00A40E3D"/>
    <w:rsid w:val="00A40EA6"/>
    <w:rsid w:val="00A46B61"/>
    <w:rsid w:val="00A47C4E"/>
    <w:rsid w:val="00A52753"/>
    <w:rsid w:val="00A550E8"/>
    <w:rsid w:val="00A556D1"/>
    <w:rsid w:val="00A56E8B"/>
    <w:rsid w:val="00A71133"/>
    <w:rsid w:val="00A7209C"/>
    <w:rsid w:val="00A761C7"/>
    <w:rsid w:val="00A77D42"/>
    <w:rsid w:val="00A82E17"/>
    <w:rsid w:val="00A85075"/>
    <w:rsid w:val="00A871B2"/>
    <w:rsid w:val="00A90245"/>
    <w:rsid w:val="00A93F1F"/>
    <w:rsid w:val="00A95D3E"/>
    <w:rsid w:val="00AA12F7"/>
    <w:rsid w:val="00AA3173"/>
    <w:rsid w:val="00AA3A3E"/>
    <w:rsid w:val="00AB0657"/>
    <w:rsid w:val="00AB19B6"/>
    <w:rsid w:val="00AC37CA"/>
    <w:rsid w:val="00AC6ABA"/>
    <w:rsid w:val="00AD1C80"/>
    <w:rsid w:val="00AD2E24"/>
    <w:rsid w:val="00AD5627"/>
    <w:rsid w:val="00AD65C9"/>
    <w:rsid w:val="00AD6639"/>
    <w:rsid w:val="00AE4A25"/>
    <w:rsid w:val="00AE5CCB"/>
    <w:rsid w:val="00AE7179"/>
    <w:rsid w:val="00AE7E2E"/>
    <w:rsid w:val="00AF4110"/>
    <w:rsid w:val="00AF58D0"/>
    <w:rsid w:val="00AF6215"/>
    <w:rsid w:val="00AF6F6E"/>
    <w:rsid w:val="00B00A18"/>
    <w:rsid w:val="00B11323"/>
    <w:rsid w:val="00B13A2F"/>
    <w:rsid w:val="00B145D2"/>
    <w:rsid w:val="00B178D3"/>
    <w:rsid w:val="00B22F73"/>
    <w:rsid w:val="00B23B19"/>
    <w:rsid w:val="00B339F8"/>
    <w:rsid w:val="00B4065C"/>
    <w:rsid w:val="00B43512"/>
    <w:rsid w:val="00B478C4"/>
    <w:rsid w:val="00B52CD8"/>
    <w:rsid w:val="00B604EB"/>
    <w:rsid w:val="00B6108C"/>
    <w:rsid w:val="00B67F7B"/>
    <w:rsid w:val="00B739E2"/>
    <w:rsid w:val="00B8151D"/>
    <w:rsid w:val="00B819AA"/>
    <w:rsid w:val="00BA2E85"/>
    <w:rsid w:val="00BA54AA"/>
    <w:rsid w:val="00BB2109"/>
    <w:rsid w:val="00BB2C6B"/>
    <w:rsid w:val="00BB38D4"/>
    <w:rsid w:val="00BB4D85"/>
    <w:rsid w:val="00BB61E4"/>
    <w:rsid w:val="00BB631E"/>
    <w:rsid w:val="00BB71A8"/>
    <w:rsid w:val="00BC4BD5"/>
    <w:rsid w:val="00BC50A3"/>
    <w:rsid w:val="00BD3026"/>
    <w:rsid w:val="00BD41D4"/>
    <w:rsid w:val="00BD465A"/>
    <w:rsid w:val="00BD47A9"/>
    <w:rsid w:val="00BD5316"/>
    <w:rsid w:val="00BD5A86"/>
    <w:rsid w:val="00BD6AC2"/>
    <w:rsid w:val="00BE214C"/>
    <w:rsid w:val="00BE68F9"/>
    <w:rsid w:val="00BF2A9B"/>
    <w:rsid w:val="00BF3DAE"/>
    <w:rsid w:val="00C02595"/>
    <w:rsid w:val="00C12197"/>
    <w:rsid w:val="00C1330A"/>
    <w:rsid w:val="00C1355C"/>
    <w:rsid w:val="00C145EB"/>
    <w:rsid w:val="00C21E21"/>
    <w:rsid w:val="00C2416A"/>
    <w:rsid w:val="00C30E45"/>
    <w:rsid w:val="00C325A5"/>
    <w:rsid w:val="00C36A15"/>
    <w:rsid w:val="00C3701B"/>
    <w:rsid w:val="00C37043"/>
    <w:rsid w:val="00C4300F"/>
    <w:rsid w:val="00C45661"/>
    <w:rsid w:val="00C5010C"/>
    <w:rsid w:val="00C504EB"/>
    <w:rsid w:val="00C574EF"/>
    <w:rsid w:val="00C62BC1"/>
    <w:rsid w:val="00C64879"/>
    <w:rsid w:val="00C66953"/>
    <w:rsid w:val="00C73133"/>
    <w:rsid w:val="00C731FA"/>
    <w:rsid w:val="00C7617C"/>
    <w:rsid w:val="00C81F23"/>
    <w:rsid w:val="00C82C91"/>
    <w:rsid w:val="00C83E9C"/>
    <w:rsid w:val="00C846A2"/>
    <w:rsid w:val="00C90EFC"/>
    <w:rsid w:val="00C90FC4"/>
    <w:rsid w:val="00C954B7"/>
    <w:rsid w:val="00C9591A"/>
    <w:rsid w:val="00CA46AC"/>
    <w:rsid w:val="00CA4F71"/>
    <w:rsid w:val="00CA7562"/>
    <w:rsid w:val="00CB337B"/>
    <w:rsid w:val="00CB434F"/>
    <w:rsid w:val="00CB45D5"/>
    <w:rsid w:val="00CB7811"/>
    <w:rsid w:val="00CB7A83"/>
    <w:rsid w:val="00CC3AE0"/>
    <w:rsid w:val="00CC3C0B"/>
    <w:rsid w:val="00CC3CD3"/>
    <w:rsid w:val="00CC4C6D"/>
    <w:rsid w:val="00CD20F8"/>
    <w:rsid w:val="00CD3705"/>
    <w:rsid w:val="00CD4FD9"/>
    <w:rsid w:val="00CD6E72"/>
    <w:rsid w:val="00CE289D"/>
    <w:rsid w:val="00CE3EA5"/>
    <w:rsid w:val="00CF1C96"/>
    <w:rsid w:val="00CF5A8C"/>
    <w:rsid w:val="00D010D3"/>
    <w:rsid w:val="00D05A8C"/>
    <w:rsid w:val="00D119DD"/>
    <w:rsid w:val="00D14A9D"/>
    <w:rsid w:val="00D17A67"/>
    <w:rsid w:val="00D17FC6"/>
    <w:rsid w:val="00D217D1"/>
    <w:rsid w:val="00D2517F"/>
    <w:rsid w:val="00D3758C"/>
    <w:rsid w:val="00D46134"/>
    <w:rsid w:val="00D468A9"/>
    <w:rsid w:val="00D50946"/>
    <w:rsid w:val="00D5387E"/>
    <w:rsid w:val="00D56A3B"/>
    <w:rsid w:val="00D61A73"/>
    <w:rsid w:val="00D63270"/>
    <w:rsid w:val="00D63CDD"/>
    <w:rsid w:val="00D6472B"/>
    <w:rsid w:val="00D66B65"/>
    <w:rsid w:val="00D70EAE"/>
    <w:rsid w:val="00D73415"/>
    <w:rsid w:val="00D74B9B"/>
    <w:rsid w:val="00D773CB"/>
    <w:rsid w:val="00D8103E"/>
    <w:rsid w:val="00D818BA"/>
    <w:rsid w:val="00D842A2"/>
    <w:rsid w:val="00D84946"/>
    <w:rsid w:val="00D8599B"/>
    <w:rsid w:val="00D93741"/>
    <w:rsid w:val="00DA1888"/>
    <w:rsid w:val="00DA552F"/>
    <w:rsid w:val="00DB1C9E"/>
    <w:rsid w:val="00DB2434"/>
    <w:rsid w:val="00DB461B"/>
    <w:rsid w:val="00DB4D35"/>
    <w:rsid w:val="00DB6247"/>
    <w:rsid w:val="00DC0FA1"/>
    <w:rsid w:val="00DC366C"/>
    <w:rsid w:val="00DC3E8C"/>
    <w:rsid w:val="00DC4B5E"/>
    <w:rsid w:val="00DD1234"/>
    <w:rsid w:val="00DD408F"/>
    <w:rsid w:val="00DD5F43"/>
    <w:rsid w:val="00DD651A"/>
    <w:rsid w:val="00DD6C2E"/>
    <w:rsid w:val="00DD7496"/>
    <w:rsid w:val="00DD7B03"/>
    <w:rsid w:val="00DE02BB"/>
    <w:rsid w:val="00DE1334"/>
    <w:rsid w:val="00DE5F92"/>
    <w:rsid w:val="00DE715E"/>
    <w:rsid w:val="00DE7C37"/>
    <w:rsid w:val="00DF0A7A"/>
    <w:rsid w:val="00DF13F3"/>
    <w:rsid w:val="00DF3683"/>
    <w:rsid w:val="00DF46B2"/>
    <w:rsid w:val="00DF61B7"/>
    <w:rsid w:val="00E01C32"/>
    <w:rsid w:val="00E01F85"/>
    <w:rsid w:val="00E1257E"/>
    <w:rsid w:val="00E21D51"/>
    <w:rsid w:val="00E24E50"/>
    <w:rsid w:val="00E251EE"/>
    <w:rsid w:val="00E271EF"/>
    <w:rsid w:val="00E302D5"/>
    <w:rsid w:val="00E33927"/>
    <w:rsid w:val="00E33FED"/>
    <w:rsid w:val="00E43542"/>
    <w:rsid w:val="00E5541C"/>
    <w:rsid w:val="00E55D04"/>
    <w:rsid w:val="00E60A2A"/>
    <w:rsid w:val="00E62C51"/>
    <w:rsid w:val="00E631F9"/>
    <w:rsid w:val="00E662FD"/>
    <w:rsid w:val="00E667EC"/>
    <w:rsid w:val="00E72FD0"/>
    <w:rsid w:val="00E757D0"/>
    <w:rsid w:val="00E767BE"/>
    <w:rsid w:val="00E8172B"/>
    <w:rsid w:val="00E8671C"/>
    <w:rsid w:val="00E90298"/>
    <w:rsid w:val="00E916A2"/>
    <w:rsid w:val="00E91930"/>
    <w:rsid w:val="00EA6D4F"/>
    <w:rsid w:val="00EA716A"/>
    <w:rsid w:val="00EA7EA8"/>
    <w:rsid w:val="00EC0A15"/>
    <w:rsid w:val="00EC5906"/>
    <w:rsid w:val="00EC61A5"/>
    <w:rsid w:val="00ED05B5"/>
    <w:rsid w:val="00ED2493"/>
    <w:rsid w:val="00ED35CB"/>
    <w:rsid w:val="00EE173F"/>
    <w:rsid w:val="00EE412B"/>
    <w:rsid w:val="00EF4ACB"/>
    <w:rsid w:val="00F00674"/>
    <w:rsid w:val="00F03635"/>
    <w:rsid w:val="00F0455E"/>
    <w:rsid w:val="00F0609A"/>
    <w:rsid w:val="00F1179C"/>
    <w:rsid w:val="00F1230D"/>
    <w:rsid w:val="00F14BCE"/>
    <w:rsid w:val="00F21042"/>
    <w:rsid w:val="00F21FAC"/>
    <w:rsid w:val="00F3264E"/>
    <w:rsid w:val="00F35E96"/>
    <w:rsid w:val="00F36014"/>
    <w:rsid w:val="00F36E18"/>
    <w:rsid w:val="00F37BC2"/>
    <w:rsid w:val="00F43DAD"/>
    <w:rsid w:val="00F45857"/>
    <w:rsid w:val="00F513EB"/>
    <w:rsid w:val="00F51F76"/>
    <w:rsid w:val="00F5236B"/>
    <w:rsid w:val="00F5252A"/>
    <w:rsid w:val="00F54266"/>
    <w:rsid w:val="00F552D2"/>
    <w:rsid w:val="00F5679F"/>
    <w:rsid w:val="00F60D6A"/>
    <w:rsid w:val="00F60F15"/>
    <w:rsid w:val="00F62708"/>
    <w:rsid w:val="00F6460E"/>
    <w:rsid w:val="00F64CB4"/>
    <w:rsid w:val="00F65889"/>
    <w:rsid w:val="00F72398"/>
    <w:rsid w:val="00F74CC9"/>
    <w:rsid w:val="00F77106"/>
    <w:rsid w:val="00F85B48"/>
    <w:rsid w:val="00F861AE"/>
    <w:rsid w:val="00F86E01"/>
    <w:rsid w:val="00F871D7"/>
    <w:rsid w:val="00F87FB6"/>
    <w:rsid w:val="00F90098"/>
    <w:rsid w:val="00F9205E"/>
    <w:rsid w:val="00F92FA5"/>
    <w:rsid w:val="00F935BD"/>
    <w:rsid w:val="00F96889"/>
    <w:rsid w:val="00FA2AD5"/>
    <w:rsid w:val="00FA6309"/>
    <w:rsid w:val="00FA6319"/>
    <w:rsid w:val="00FB14CA"/>
    <w:rsid w:val="00FB46DD"/>
    <w:rsid w:val="00FB656A"/>
    <w:rsid w:val="00FB7019"/>
    <w:rsid w:val="00FC522B"/>
    <w:rsid w:val="00FC7962"/>
    <w:rsid w:val="00FD0A30"/>
    <w:rsid w:val="00FD1A80"/>
    <w:rsid w:val="00FE2F0A"/>
    <w:rsid w:val="00FF0998"/>
    <w:rsid w:val="00FF0B13"/>
    <w:rsid w:val="00FF2A10"/>
    <w:rsid w:val="00FF4681"/>
    <w:rsid w:val="00FF557B"/>
    <w:rsid w:val="00FF57B7"/>
    <w:rsid w:val="00FF6E25"/>
    <w:rsid w:val="16F4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E09FBF"/>
  <w15:docId w15:val="{A71A134A-1A8B-49E3-841E-0AC8B0A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before="120" w:after="120" w:line="27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2F"/>
  </w:style>
  <w:style w:type="paragraph" w:styleId="Heading1">
    <w:name w:val="heading 1"/>
    <w:basedOn w:val="Heading2"/>
    <w:next w:val="Normal"/>
    <w:link w:val="Heading1Char"/>
    <w:uiPriority w:val="9"/>
    <w:qFormat/>
    <w:rsid w:val="004B3D9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D95"/>
    <w:pPr>
      <w:keepNext/>
      <w:spacing w:before="240"/>
      <w:outlineLvl w:val="1"/>
    </w:pPr>
    <w:rPr>
      <w:rFonts w:asciiTheme="minorHAnsi" w:hAnsiTheme="minorHAnsi" w:cstheme="minorHAns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D95"/>
    <w:pPr>
      <w:keepNext/>
      <w:outlineLvl w:val="2"/>
    </w:pPr>
    <w:rPr>
      <w:rFonts w:asciiTheme="minorHAnsi" w:hAnsiTheme="minorHAnsi" w:cstheme="minorHAns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B3D95"/>
    <w:rPr>
      <w:rFonts w:asciiTheme="minorHAnsi" w:hAnsiTheme="minorHAnsi" w:cstheme="minorHAnsi"/>
      <w:b/>
      <w:szCs w:val="24"/>
    </w:rPr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Explanatory Memorandum"/>
    <w:next w:val="Normal"/>
    <w:autoRedefine/>
    <w:uiPriority w:val="39"/>
    <w:unhideWhenUsed/>
    <w:qFormat/>
    <w:rsid w:val="00036FAE"/>
    <w:pPr>
      <w:spacing w:before="360" w:after="0" w:line="276" w:lineRule="auto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7427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7427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7427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7427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7427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7427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7427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7427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B3D95"/>
    <w:rPr>
      <w:rFonts w:asciiTheme="minorHAnsi" w:hAnsiTheme="minorHAnsi" w:cstheme="minorHAnsi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D95"/>
    <w:rPr>
      <w:rFonts w:asciiTheme="minorHAnsi" w:hAnsiTheme="minorHAnsi" w:cs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44D23"/>
    <w:pPr>
      <w:spacing w:line="259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00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AB"/>
  </w:style>
  <w:style w:type="paragraph" w:styleId="Footer">
    <w:name w:val="footer"/>
    <w:basedOn w:val="Normal"/>
    <w:link w:val="Foot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AB"/>
  </w:style>
  <w:style w:type="paragraph" w:styleId="Revision">
    <w:name w:val="Revision"/>
    <w:hidden/>
    <w:uiPriority w:val="99"/>
    <w:semiHidden/>
    <w:rsid w:val="00A105DA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677A0D"/>
    <w:pPr>
      <w:numPr>
        <w:numId w:val="1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677A0D"/>
    <w:pPr>
      <w:numPr>
        <w:ilvl w:val="1"/>
        <w:numId w:val="1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77A0D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77A0D"/>
    <w:pPr>
      <w:numPr>
        <w:ilvl w:val="3"/>
        <w:numId w:val="1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rsid w:val="00677A0D"/>
    <w:pPr>
      <w:numPr>
        <w:numId w:val="1"/>
      </w:numPr>
    </w:pPr>
  </w:style>
  <w:style w:type="paragraph" w:styleId="FootnoteText">
    <w:name w:val="footnote text"/>
    <w:basedOn w:val="Normal"/>
    <w:link w:val="FootnoteTextChar"/>
    <w:semiHidden/>
    <w:rsid w:val="00DB6247"/>
    <w:pPr>
      <w:overflowPunct w:val="0"/>
      <w:autoSpaceDE w:val="0"/>
      <w:autoSpaceDN w:val="0"/>
      <w:adjustRightInd w:val="0"/>
      <w:spacing w:after="0" w:line="240" w:lineRule="atLeast"/>
      <w:ind w:left="284" w:hanging="284"/>
      <w:textAlignment w:val="baseline"/>
    </w:pPr>
    <w:rPr>
      <w:rFonts w:eastAsia="Times New Roman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DB6247"/>
    <w:rPr>
      <w:rFonts w:eastAsia="Times New Roman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DB6247"/>
    <w:rPr>
      <w:vertAlign w:val="superscript"/>
    </w:rPr>
  </w:style>
  <w:style w:type="paragraph" w:styleId="Quote">
    <w:name w:val="Quote"/>
    <w:basedOn w:val="Normal"/>
    <w:link w:val="QuoteChar"/>
    <w:qFormat/>
    <w:rsid w:val="00DB6247"/>
    <w:pPr>
      <w:spacing w:after="240" w:line="240" w:lineRule="auto"/>
      <w:ind w:left="851" w:right="851"/>
      <w:jc w:val="both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DB6247"/>
    <w:rPr>
      <w:rFonts w:eastAsia="Times New Roman" w:cs="Times New Roman"/>
      <w:szCs w:val="20"/>
    </w:rPr>
  </w:style>
  <w:style w:type="character" w:customStyle="1" w:styleId="charapple-converted-space">
    <w:name w:val="charapple-converted-space"/>
    <w:rsid w:val="00DB6247"/>
  </w:style>
  <w:style w:type="paragraph" w:styleId="Title">
    <w:name w:val="Title"/>
    <w:basedOn w:val="Normal"/>
    <w:next w:val="Normal"/>
    <w:link w:val="TitleChar"/>
    <w:uiPriority w:val="10"/>
    <w:qFormat/>
    <w:rsid w:val="009D0999"/>
    <w:pPr>
      <w:jc w:val="center"/>
    </w:pPr>
    <w:rPr>
      <w:rFonts w:asciiTheme="minorHAnsi" w:hAnsiTheme="minorHAnsi" w:cstheme="minorHAnsi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D0999"/>
    <w:rPr>
      <w:rFonts w:asciiTheme="minorHAnsi" w:hAnsiTheme="minorHAnsi" w:cstheme="minorHAnsi"/>
      <w:b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999"/>
    <w:pPr>
      <w:jc w:val="center"/>
    </w:pPr>
    <w:rPr>
      <w:rFonts w:asciiTheme="minorHAnsi" w:hAnsiTheme="minorHAnsi" w:cstheme="minorHAnsi"/>
      <w:b/>
      <w:i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999"/>
    <w:rPr>
      <w:rFonts w:asciiTheme="minorHAnsi" w:hAnsiTheme="minorHAnsi" w:cstheme="minorHAnsi"/>
      <w:b/>
      <w:i/>
      <w:szCs w:val="24"/>
    </w:rPr>
  </w:style>
  <w:style w:type="character" w:styleId="IntenseEmphasis">
    <w:name w:val="Intense Emphasis"/>
    <w:basedOn w:val="DefaultParagraphFont"/>
    <w:uiPriority w:val="21"/>
    <w:qFormat/>
    <w:rsid w:val="00D6472B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6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illsreform.gov.au/blog/moving-towards-better-industry-engagement-in-ve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4E64C7E201564191B1CE2427A98389" ma:contentTypeVersion="" ma:contentTypeDescription="PDMS Document Site Content Type" ma:contentTypeScope="" ma:versionID="7da6e57bd73402b33265f2f1171e3aeb">
  <xsd:schema xmlns:xsd="http://www.w3.org/2001/XMLSchema" xmlns:xs="http://www.w3.org/2001/XMLSchema" xmlns:p="http://schemas.microsoft.com/office/2006/metadata/properties" xmlns:ns2="A557C56B-5132-443E-8B95-7A4AF4401FDD" targetNamespace="http://schemas.microsoft.com/office/2006/metadata/properties" ma:root="true" ma:fieldsID="17f272cb8314fbfcd6e4214753f285fe" ns2:_="">
    <xsd:import namespace="A557C56B-5132-443E-8B95-7A4AF4401F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7C56B-5132-443E-8B95-7A4AF4401F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557C56B-5132-443E-8B95-7A4AF4401F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C822-3273-441A-A553-8D607397A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7C56B-5132-443E-8B95-7A4AF4401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2F429-4198-4ECD-8E59-23F01B09005A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A557C56B-5132-443E-8B95-7A4AF4401FDD"/>
  </ds:schemaRefs>
</ds:datastoreItem>
</file>

<file path=customXml/itemProps3.xml><?xml version="1.0" encoding="utf-8"?>
<ds:datastoreItem xmlns:ds="http://schemas.openxmlformats.org/officeDocument/2006/customXml" ds:itemID="{F3B610EE-0F70-4F01-817A-5807EACF1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0CF8B-BF75-464D-8F5B-9FE55892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Solari, Jessica</dc:creator>
  <cp:lastModifiedBy>MANGAN,Rory</cp:lastModifiedBy>
  <cp:revision>2</cp:revision>
  <cp:lastPrinted>2019-11-17T23:12:00Z</cp:lastPrinted>
  <dcterms:created xsi:type="dcterms:W3CDTF">2022-11-28T02:08:00Z</dcterms:created>
  <dcterms:modified xsi:type="dcterms:W3CDTF">2022-11-28T02:08:00Z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0x010100266966F133664895A6EE3632470D45F5005B4E64C7E201564191B1CE2427A98389</vt:lpwstr>
  </property>
  <property fmtid="{D5CDD505-2E9C-101B-9397-08002B2CF9AE}" pid="3" name="DocHub_Year">
    <vt:lpwstr>3075;#2019|7e451fe0-4dc6-437a-a849-bab7965a9aee</vt:lpwstr>
  </property>
  <property fmtid="{D5CDD505-2E9C-101B-9397-08002B2CF9AE}" pid="4" name="DocHub_DocumentType">
    <vt:lpwstr>1456;#Explanatory Memorandum|e1baf4eb-cfb1-4562-a99a-5aebab1aca70</vt:lpwstr>
  </property>
  <property fmtid="{D5CDD505-2E9C-101B-9397-08002B2CF9AE}" pid="5" name="DocHub_SecurityClassification">
    <vt:lpwstr>1;#UNCLASSIFIED|6106d03b-a1a0-4e30-9d91-d5e9fb4314f9</vt:lpwstr>
  </property>
  <property fmtid="{D5CDD505-2E9C-101B-9397-08002B2CF9AE}" pid="6" name="DocHub_GovernmentEntities">
    <vt:lpwstr/>
  </property>
  <property fmtid="{D5CDD505-2E9C-101B-9397-08002B2CF9AE}" pid="7" name="DocHub_OrganisationEntities">
    <vt:lpwstr/>
  </property>
  <property fmtid="{D5CDD505-2E9C-101B-9397-08002B2CF9AE}" pid="8" name="DocHub_WorkActivity">
    <vt:lpwstr>102;#Legislation and Regulation|6cbc66f5-f4a2-4565-a58b-d5f2d2ac9bd0</vt:lpwstr>
  </property>
  <property fmtid="{D5CDD505-2E9C-101B-9397-08002B2CF9AE}" pid="9" name="DocHub_WorkTopic">
    <vt:lpwstr>407;#Legislative Amendments|dd198551-46f6-4185-84c8-5a26b7614e9c</vt:lpwstr>
  </property>
  <property fmtid="{D5CDD505-2E9C-101B-9397-08002B2CF9AE}" pid="10" name="_dlc_DocIdItemGuid">
    <vt:lpwstr>a6680b9a-9763-413f-a3b0-03d98c5ba8f8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2022-10-07T02:24:10Z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746f5e2a-6aa3-4629-8415-378589f61cc4</vt:lpwstr>
  </property>
  <property fmtid="{D5CDD505-2E9C-101B-9397-08002B2CF9AE}" pid="17" name="MSIP_Label_79d889eb-932f-4752-8739-64d25806ef64_ContentBits">
    <vt:lpwstr>0</vt:lpwstr>
  </property>
</Properties>
</file>