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08E3" w14:textId="77777777" w:rsidR="00031F4B" w:rsidRPr="00FE2CE7" w:rsidRDefault="00031F4B" w:rsidP="00031F4B">
      <w:pPr>
        <w:ind w:left="284"/>
        <w:jc w:val="center"/>
        <w:rPr>
          <w:b/>
          <w:szCs w:val="24"/>
          <w:u w:val="single"/>
        </w:rPr>
      </w:pPr>
      <w:r w:rsidRPr="00FE2CE7">
        <w:rPr>
          <w:b/>
          <w:szCs w:val="24"/>
          <w:u w:val="single"/>
        </w:rPr>
        <w:t>EXPLANATORY STATEMENT</w:t>
      </w:r>
    </w:p>
    <w:p w14:paraId="426DC3C2" w14:textId="77777777" w:rsidR="00031F4B" w:rsidRPr="00FE2CE7" w:rsidRDefault="00031F4B" w:rsidP="00031F4B">
      <w:pPr>
        <w:spacing w:after="120"/>
        <w:rPr>
          <w:i/>
        </w:rPr>
      </w:pPr>
    </w:p>
    <w:p w14:paraId="07FBB469" w14:textId="77777777" w:rsidR="00031F4B" w:rsidRPr="00FE2CE7" w:rsidRDefault="00B57A04" w:rsidP="00031F4B">
      <w:pPr>
        <w:spacing w:after="120"/>
        <w:jc w:val="center"/>
        <w:rPr>
          <w:i/>
        </w:rPr>
      </w:pPr>
      <w:r w:rsidRPr="00FE2CE7">
        <w:rPr>
          <w:i/>
        </w:rPr>
        <w:t>National Health Security Act 2007</w:t>
      </w:r>
    </w:p>
    <w:p w14:paraId="5E44C5D5" w14:textId="77777777" w:rsidR="00031F4B" w:rsidRPr="00FE2CE7" w:rsidRDefault="00031F4B" w:rsidP="00031F4B">
      <w:pPr>
        <w:pStyle w:val="ShortT"/>
        <w:jc w:val="center"/>
        <w:rPr>
          <w:b w:val="0"/>
          <w:i/>
          <w:sz w:val="24"/>
          <w:szCs w:val="24"/>
        </w:rPr>
      </w:pPr>
    </w:p>
    <w:p w14:paraId="0F66643C" w14:textId="488F1DDB" w:rsidR="00B57A04" w:rsidRPr="00FE2CE7" w:rsidRDefault="00B57A04" w:rsidP="00B57A04">
      <w:pPr>
        <w:spacing w:after="120"/>
        <w:jc w:val="center"/>
        <w:rPr>
          <w:i/>
        </w:rPr>
      </w:pPr>
      <w:r w:rsidRPr="00FE2CE7">
        <w:rPr>
          <w:i/>
        </w:rPr>
        <w:t>National Health Security (National Notifiable Disease List)</w:t>
      </w:r>
      <w:r w:rsidR="00981391" w:rsidRPr="00FE2CE7">
        <w:rPr>
          <w:i/>
        </w:rPr>
        <w:t xml:space="preserve"> Amendment</w:t>
      </w:r>
      <w:r w:rsidRPr="00FE2CE7">
        <w:rPr>
          <w:i/>
        </w:rPr>
        <w:t xml:space="preserve"> </w:t>
      </w:r>
      <w:r w:rsidR="003D10A9" w:rsidRPr="00FE2CE7">
        <w:rPr>
          <w:i/>
        </w:rPr>
        <w:t xml:space="preserve">(Monkeypox) </w:t>
      </w:r>
      <w:r w:rsidRPr="00FE2CE7">
        <w:rPr>
          <w:i/>
        </w:rPr>
        <w:t>Instrument 20</w:t>
      </w:r>
      <w:r w:rsidR="00BA622D" w:rsidRPr="00FE2CE7">
        <w:rPr>
          <w:i/>
        </w:rPr>
        <w:t>2</w:t>
      </w:r>
      <w:r w:rsidR="005B2FB8" w:rsidRPr="00FE2CE7">
        <w:rPr>
          <w:i/>
        </w:rPr>
        <w:t>2</w:t>
      </w:r>
    </w:p>
    <w:p w14:paraId="661FFBD4" w14:textId="0420359F" w:rsidR="006B70D4" w:rsidRPr="00FE2CE7" w:rsidRDefault="006B70D4" w:rsidP="002F31CC">
      <w:pPr>
        <w:spacing w:before="100" w:beforeAutospacing="1" w:after="100" w:afterAutospacing="1"/>
        <w:rPr>
          <w:b/>
          <w:szCs w:val="24"/>
        </w:rPr>
      </w:pPr>
      <w:r w:rsidRPr="00FE2CE7">
        <w:rPr>
          <w:b/>
          <w:szCs w:val="24"/>
        </w:rPr>
        <w:t>Authority</w:t>
      </w:r>
    </w:p>
    <w:p w14:paraId="740CF065" w14:textId="77777777" w:rsidR="00696A73" w:rsidRPr="00FE2CE7" w:rsidRDefault="00696A73" w:rsidP="00155A04">
      <w:pPr>
        <w:tabs>
          <w:tab w:val="right" w:pos="8080"/>
        </w:tabs>
      </w:pPr>
      <w:r w:rsidRPr="00FE2CE7">
        <w:t xml:space="preserve">The </w:t>
      </w:r>
      <w:r w:rsidRPr="00FE2CE7">
        <w:rPr>
          <w:i/>
        </w:rPr>
        <w:t>National Health Security Act 2007</w:t>
      </w:r>
      <w:r w:rsidRPr="00FE2CE7">
        <w:t xml:space="preserve"> (the Act) provides for a national system of public health surveillance. </w:t>
      </w:r>
    </w:p>
    <w:p w14:paraId="2F6F409D" w14:textId="77777777" w:rsidR="00696A73" w:rsidRPr="00FE2CE7" w:rsidRDefault="00696A73" w:rsidP="00155A04">
      <w:pPr>
        <w:tabs>
          <w:tab w:val="right" w:pos="8080"/>
        </w:tabs>
      </w:pPr>
    </w:p>
    <w:p w14:paraId="5A0E8C7E" w14:textId="77777777" w:rsidR="00696A73" w:rsidRPr="00FE2CE7" w:rsidRDefault="00745173" w:rsidP="00155A04">
      <w:pPr>
        <w:tabs>
          <w:tab w:val="right" w:pos="8080"/>
        </w:tabs>
        <w:rPr>
          <w:szCs w:val="24"/>
        </w:rPr>
      </w:pPr>
      <w:r w:rsidRPr="00FE2CE7">
        <w:t>Subs</w:t>
      </w:r>
      <w:r w:rsidR="000540E6" w:rsidRPr="00FE2CE7">
        <w:t>ection 11</w:t>
      </w:r>
      <w:r w:rsidR="006064CE" w:rsidRPr="00FE2CE7">
        <w:t xml:space="preserve">(1) </w:t>
      </w:r>
      <w:r w:rsidR="000540E6" w:rsidRPr="00FE2CE7">
        <w:t>of the</w:t>
      </w:r>
      <w:r w:rsidR="00475955" w:rsidRPr="00FE2CE7">
        <w:t xml:space="preserve"> Act</w:t>
      </w:r>
      <w:r w:rsidR="00696A73" w:rsidRPr="00FE2CE7">
        <w:t xml:space="preserve"> </w:t>
      </w:r>
      <w:r w:rsidR="006064CE" w:rsidRPr="00FE2CE7">
        <w:t>provides that the Minister must, by legislative instrument,</w:t>
      </w:r>
      <w:r w:rsidR="00623049" w:rsidRPr="00FE2CE7">
        <w:t xml:space="preserve"> establish </w:t>
      </w:r>
      <w:r w:rsidR="006064CE" w:rsidRPr="00FE2CE7">
        <w:t>a list of diseases</w:t>
      </w:r>
      <w:r w:rsidR="00466C7E" w:rsidRPr="00FE2CE7">
        <w:t>, to be called t</w:t>
      </w:r>
      <w:r w:rsidR="00466C7E" w:rsidRPr="00FE2CE7">
        <w:rPr>
          <w:szCs w:val="24"/>
        </w:rPr>
        <w:t xml:space="preserve">he National Notifiable Disease List (NNDL).  </w:t>
      </w:r>
    </w:p>
    <w:p w14:paraId="7B30A638" w14:textId="77777777" w:rsidR="00696A73" w:rsidRPr="00FE2CE7" w:rsidRDefault="00696A73" w:rsidP="00155A04">
      <w:pPr>
        <w:tabs>
          <w:tab w:val="right" w:pos="8080"/>
        </w:tabs>
        <w:rPr>
          <w:szCs w:val="24"/>
        </w:rPr>
      </w:pPr>
    </w:p>
    <w:p w14:paraId="032F27FF" w14:textId="77777777" w:rsidR="00487208" w:rsidRPr="00FE2CE7" w:rsidRDefault="00487208" w:rsidP="00487208">
      <w:pPr>
        <w:tabs>
          <w:tab w:val="right" w:pos="8080"/>
        </w:tabs>
        <w:rPr>
          <w:szCs w:val="24"/>
        </w:rPr>
      </w:pPr>
      <w:r w:rsidRPr="00FE2CE7">
        <w:rPr>
          <w:szCs w:val="24"/>
        </w:rPr>
        <w:t xml:space="preserve">Subsection 11(3) provides that the Minister for Health may vary the list by adding a disease if the Minister considers that an outbreak of the disease would be a public health risk. </w:t>
      </w:r>
    </w:p>
    <w:p w14:paraId="431E25BF" w14:textId="77777777" w:rsidR="00487208" w:rsidRPr="00FE2CE7" w:rsidRDefault="00487208" w:rsidP="00487208">
      <w:pPr>
        <w:tabs>
          <w:tab w:val="right" w:pos="8080"/>
        </w:tabs>
        <w:rPr>
          <w:szCs w:val="24"/>
        </w:rPr>
      </w:pPr>
    </w:p>
    <w:p w14:paraId="769AEE7F" w14:textId="77777777" w:rsidR="00487208" w:rsidRPr="00FE2CE7" w:rsidRDefault="00487208" w:rsidP="00487208">
      <w:pPr>
        <w:tabs>
          <w:tab w:val="right" w:pos="8080"/>
        </w:tabs>
        <w:rPr>
          <w:szCs w:val="24"/>
        </w:rPr>
      </w:pPr>
      <w:r w:rsidRPr="00FE2CE7">
        <w:rPr>
          <w:szCs w:val="24"/>
        </w:rPr>
        <w:t xml:space="preserve">Subsection 11(5) provides that in making or varying the list, the Minister must consult the Commonwealth Chief Medical Officer and each State or Territory Health Minister. </w:t>
      </w:r>
    </w:p>
    <w:p w14:paraId="1DB028E6" w14:textId="77777777" w:rsidR="00FB2F55" w:rsidRPr="00FE2CE7" w:rsidRDefault="00FB2F55" w:rsidP="00FB2F55">
      <w:pPr>
        <w:spacing w:before="100" w:beforeAutospacing="1" w:after="100" w:afterAutospacing="1"/>
        <w:rPr>
          <w:szCs w:val="24"/>
          <w:u w:val="single"/>
        </w:rPr>
      </w:pPr>
      <w:r w:rsidRPr="00FE2CE7">
        <w:rPr>
          <w:b/>
          <w:szCs w:val="24"/>
        </w:rPr>
        <w:t>Purpose</w:t>
      </w:r>
    </w:p>
    <w:p w14:paraId="0A1DD115" w14:textId="25862D6E" w:rsidR="00FB2F55" w:rsidRPr="00FE2CE7" w:rsidRDefault="00CB5112" w:rsidP="00FB2F55">
      <w:pPr>
        <w:spacing w:line="260" w:lineRule="exact"/>
        <w:rPr>
          <w:szCs w:val="24"/>
        </w:rPr>
      </w:pPr>
      <w:r w:rsidRPr="00FE2CE7">
        <w:rPr>
          <w:szCs w:val="24"/>
        </w:rPr>
        <w:t xml:space="preserve">The purpose of the </w:t>
      </w:r>
      <w:r w:rsidR="002015A6" w:rsidRPr="00FE2CE7">
        <w:rPr>
          <w:i/>
          <w:szCs w:val="24"/>
        </w:rPr>
        <w:t>National Health Security (National Notifiable Disease List)</w:t>
      </w:r>
      <w:r w:rsidR="00981391" w:rsidRPr="00FE2CE7">
        <w:rPr>
          <w:i/>
          <w:szCs w:val="24"/>
        </w:rPr>
        <w:t xml:space="preserve"> Amendment</w:t>
      </w:r>
      <w:r w:rsidR="002015A6" w:rsidRPr="00FE2CE7">
        <w:rPr>
          <w:i/>
          <w:szCs w:val="24"/>
        </w:rPr>
        <w:t xml:space="preserve"> </w:t>
      </w:r>
      <w:r w:rsidR="003D10A9" w:rsidRPr="00FE2CE7">
        <w:rPr>
          <w:i/>
          <w:szCs w:val="24"/>
        </w:rPr>
        <w:t xml:space="preserve">(Monkeypox) </w:t>
      </w:r>
      <w:r w:rsidR="002015A6" w:rsidRPr="00FE2CE7">
        <w:rPr>
          <w:i/>
          <w:szCs w:val="24"/>
        </w:rPr>
        <w:t>Instrument 20</w:t>
      </w:r>
      <w:r w:rsidR="00B87EB9" w:rsidRPr="00FE2CE7">
        <w:rPr>
          <w:i/>
          <w:szCs w:val="24"/>
        </w:rPr>
        <w:t>2</w:t>
      </w:r>
      <w:r w:rsidR="005B2FB8" w:rsidRPr="00FE2CE7">
        <w:rPr>
          <w:i/>
          <w:szCs w:val="24"/>
        </w:rPr>
        <w:t>2</w:t>
      </w:r>
      <w:r w:rsidR="00A76A29" w:rsidRPr="00FE2CE7">
        <w:rPr>
          <w:i/>
          <w:szCs w:val="24"/>
        </w:rPr>
        <w:t xml:space="preserve"> </w:t>
      </w:r>
      <w:r w:rsidR="00A76A29" w:rsidRPr="00FE2CE7">
        <w:rPr>
          <w:iCs/>
          <w:szCs w:val="24"/>
        </w:rPr>
        <w:t>(the Amending Instrument)</w:t>
      </w:r>
      <w:r w:rsidR="002015A6" w:rsidRPr="00FE2CE7">
        <w:rPr>
          <w:i/>
          <w:szCs w:val="24"/>
        </w:rPr>
        <w:t xml:space="preserve"> </w:t>
      </w:r>
      <w:r w:rsidRPr="00FE2CE7">
        <w:rPr>
          <w:szCs w:val="24"/>
        </w:rPr>
        <w:t xml:space="preserve">is to </w:t>
      </w:r>
      <w:r w:rsidR="00071EC4" w:rsidRPr="00FE2CE7">
        <w:rPr>
          <w:szCs w:val="24"/>
        </w:rPr>
        <w:t xml:space="preserve">amend the </w:t>
      </w:r>
      <w:r w:rsidR="00071EC4" w:rsidRPr="00FE2CE7">
        <w:rPr>
          <w:i/>
          <w:iCs/>
          <w:szCs w:val="24"/>
        </w:rPr>
        <w:t xml:space="preserve">National Health Security (National Notifiable Disease List) Instrument 2018 </w:t>
      </w:r>
      <w:r w:rsidR="00071EC4" w:rsidRPr="00FE2CE7">
        <w:rPr>
          <w:szCs w:val="24"/>
        </w:rPr>
        <w:t xml:space="preserve">to </w:t>
      </w:r>
      <w:r w:rsidR="003E446D" w:rsidRPr="00FE2CE7">
        <w:rPr>
          <w:szCs w:val="24"/>
        </w:rPr>
        <w:t>permanently</w:t>
      </w:r>
      <w:r w:rsidR="00071EC4" w:rsidRPr="00FE2CE7">
        <w:rPr>
          <w:szCs w:val="24"/>
        </w:rPr>
        <w:t xml:space="preserve"> </w:t>
      </w:r>
      <w:r w:rsidRPr="00FE2CE7">
        <w:rPr>
          <w:szCs w:val="24"/>
        </w:rPr>
        <w:t>add ‘</w:t>
      </w:r>
      <w:r w:rsidR="003E446D" w:rsidRPr="00FE2CE7">
        <w:rPr>
          <w:szCs w:val="24"/>
        </w:rPr>
        <w:t>m</w:t>
      </w:r>
      <w:r w:rsidR="005B2FB8" w:rsidRPr="00FE2CE7">
        <w:rPr>
          <w:szCs w:val="24"/>
        </w:rPr>
        <w:t>onkeypox virus infection</w:t>
      </w:r>
      <w:r w:rsidRPr="00FE2CE7">
        <w:rPr>
          <w:szCs w:val="24"/>
        </w:rPr>
        <w:t xml:space="preserve">’ to the NNDL. </w:t>
      </w:r>
    </w:p>
    <w:p w14:paraId="34EAB7B8" w14:textId="77777777" w:rsidR="00CB5112" w:rsidRPr="00FE2CE7" w:rsidRDefault="00CB5112" w:rsidP="0027152A">
      <w:pPr>
        <w:rPr>
          <w:szCs w:val="24"/>
        </w:rPr>
      </w:pPr>
    </w:p>
    <w:p w14:paraId="2B96E450" w14:textId="77777777" w:rsidR="00CB5112" w:rsidRPr="00FE2CE7" w:rsidRDefault="00CB5112" w:rsidP="0027152A">
      <w:pPr>
        <w:rPr>
          <w:b/>
          <w:szCs w:val="24"/>
        </w:rPr>
      </w:pPr>
      <w:r w:rsidRPr="00FE2CE7">
        <w:rPr>
          <w:b/>
          <w:szCs w:val="24"/>
        </w:rPr>
        <w:t xml:space="preserve">Background </w:t>
      </w:r>
    </w:p>
    <w:p w14:paraId="547D5B0F" w14:textId="35B38767" w:rsidR="00122D8F" w:rsidRPr="00FE2CE7" w:rsidRDefault="007B2AE2" w:rsidP="00122D8F">
      <w:pPr>
        <w:spacing w:before="100" w:beforeAutospacing="1" w:after="100" w:afterAutospacing="1"/>
        <w:rPr>
          <w:rFonts w:eastAsia="Arial" w:cs="Arial"/>
        </w:rPr>
      </w:pPr>
      <w:r w:rsidRPr="00FE2CE7">
        <w:rPr>
          <w:rFonts w:eastAsia="Arial" w:cs="Arial"/>
        </w:rPr>
        <w:t xml:space="preserve">Monkeypox is a viral zoonotic disease </w:t>
      </w:r>
      <w:r w:rsidR="00122D8F" w:rsidRPr="00FE2CE7">
        <w:rPr>
          <w:rFonts w:eastAsia="Arial" w:cs="Arial"/>
        </w:rPr>
        <w:t>endemic in</w:t>
      </w:r>
      <w:r w:rsidRPr="00FE2CE7">
        <w:rPr>
          <w:rFonts w:eastAsia="Arial" w:cs="Arial"/>
        </w:rPr>
        <w:t xml:space="preserve"> Central and West Africa </w:t>
      </w:r>
      <w:r w:rsidR="00062C5B" w:rsidRPr="00FE2CE7">
        <w:rPr>
          <w:rFonts w:eastAsia="Arial" w:cs="Arial"/>
        </w:rPr>
        <w:t>and occasionally</w:t>
      </w:r>
      <w:r w:rsidRPr="00FE2CE7">
        <w:rPr>
          <w:rFonts w:eastAsia="Arial" w:cs="Arial"/>
        </w:rPr>
        <w:t xml:space="preserve"> exported to other regions. The monkeypox virus is typically transmitted to people from infected animals such as rodents and primates with secondary, human-to-human transmission relatively limited.  </w:t>
      </w:r>
    </w:p>
    <w:p w14:paraId="37F07F75" w14:textId="7ADB1AB9" w:rsidR="007D67D5" w:rsidRPr="00FE2CE7" w:rsidRDefault="007D67D5" w:rsidP="005B2FB8">
      <w:pPr>
        <w:spacing w:before="100" w:beforeAutospacing="1" w:after="100" w:afterAutospacing="1"/>
        <w:rPr>
          <w:rFonts w:eastAsia="Arial" w:cs="Arial"/>
        </w:rPr>
      </w:pPr>
      <w:r w:rsidRPr="00FE2CE7">
        <w:rPr>
          <w:rFonts w:eastAsia="Arial" w:cs="Arial"/>
        </w:rPr>
        <w:t xml:space="preserve">In May 2022, cases of monkeypox were reported in </w:t>
      </w:r>
      <w:r w:rsidR="00122D8F" w:rsidRPr="00FE2CE7">
        <w:rPr>
          <w:rFonts w:eastAsia="Arial" w:cs="Arial"/>
        </w:rPr>
        <w:t xml:space="preserve">several </w:t>
      </w:r>
      <w:r w:rsidRPr="00FE2CE7">
        <w:rPr>
          <w:rFonts w:eastAsia="Arial" w:cs="Arial"/>
        </w:rPr>
        <w:t xml:space="preserve">non-endemic </w:t>
      </w:r>
      <w:r w:rsidR="00122D8F" w:rsidRPr="00FE2CE7">
        <w:rPr>
          <w:rFonts w:eastAsia="Arial" w:cs="Arial"/>
        </w:rPr>
        <w:t>regions, including Europe</w:t>
      </w:r>
      <w:r w:rsidR="00C3402D" w:rsidRPr="00FE2CE7">
        <w:rPr>
          <w:rFonts w:eastAsia="Arial" w:cs="Arial"/>
        </w:rPr>
        <w:t xml:space="preserve"> and </w:t>
      </w:r>
      <w:r w:rsidR="00122D8F" w:rsidRPr="00FE2CE7">
        <w:rPr>
          <w:rFonts w:eastAsia="Arial" w:cs="Arial"/>
        </w:rPr>
        <w:t>North America with no reported travel links to endemic countries, indicating local</w:t>
      </w:r>
      <w:r w:rsidRPr="00FE2CE7">
        <w:rPr>
          <w:rFonts w:eastAsia="Arial" w:cs="Arial"/>
        </w:rPr>
        <w:t xml:space="preserve"> </w:t>
      </w:r>
      <w:r w:rsidR="00122D8F" w:rsidRPr="00FE2CE7">
        <w:rPr>
          <w:rFonts w:eastAsia="Arial" w:cs="Arial"/>
        </w:rPr>
        <w:t>transmission</w:t>
      </w:r>
      <w:r w:rsidRPr="00FE2CE7">
        <w:rPr>
          <w:rFonts w:eastAsia="Arial" w:cs="Arial"/>
        </w:rPr>
        <w:t xml:space="preserve">. </w:t>
      </w:r>
      <w:r w:rsidR="00C3402D" w:rsidRPr="00FE2CE7">
        <w:rPr>
          <w:rFonts w:eastAsia="Arial" w:cs="Arial"/>
        </w:rPr>
        <w:t xml:space="preserve">Australia first reported cases in travellers returning from these regions on 20 May 2022. </w:t>
      </w:r>
    </w:p>
    <w:p w14:paraId="72020943" w14:textId="5D1636F4" w:rsidR="006603ED" w:rsidRPr="00FE2CE7" w:rsidRDefault="006603ED" w:rsidP="006603ED">
      <w:pPr>
        <w:spacing w:before="100" w:beforeAutospacing="1" w:after="100" w:afterAutospacing="1"/>
        <w:rPr>
          <w:rFonts w:eastAsia="Arial" w:cs="Arial"/>
        </w:rPr>
      </w:pPr>
      <w:r w:rsidRPr="00FE2CE7">
        <w:rPr>
          <w:rFonts w:eastAsia="Arial" w:cs="Arial"/>
        </w:rPr>
        <w:t>Monkeypox is usually a self-limited disease,</w:t>
      </w:r>
      <w:r w:rsidRPr="00FE2CE7">
        <w:t xml:space="preserve"> but </w:t>
      </w:r>
      <w:r w:rsidRPr="00FE2CE7">
        <w:rPr>
          <w:rFonts w:eastAsia="Arial" w:cs="Arial"/>
        </w:rPr>
        <w:t xml:space="preserve">complications such as bronchopneumonia, encephalitis, secondary bacterial infection, and blindness from corneal scarring can occur. </w:t>
      </w:r>
    </w:p>
    <w:p w14:paraId="690D5824" w14:textId="65C0BED5" w:rsidR="007B2AE2" w:rsidRPr="00FE2CE7" w:rsidRDefault="007B2AE2" w:rsidP="007B2AE2">
      <w:pPr>
        <w:spacing w:before="100" w:beforeAutospacing="1" w:after="100" w:afterAutospacing="1"/>
        <w:rPr>
          <w:rFonts w:eastAsia="Arial" w:cs="Arial"/>
        </w:rPr>
      </w:pPr>
      <w:r w:rsidRPr="00FE2CE7">
        <w:rPr>
          <w:rFonts w:eastAsia="Arial" w:cs="Arial"/>
        </w:rPr>
        <w:t xml:space="preserve">The introduction of monkeypox into Australia, the potential for human-to-human transmission and severe illness in vulnerable populations, poses a significant public health risk to Australia.  </w:t>
      </w:r>
    </w:p>
    <w:p w14:paraId="6DED03AD" w14:textId="6763D7C9" w:rsidR="003E446D" w:rsidRPr="00FE2CE7" w:rsidRDefault="007208F1" w:rsidP="005B2FB8">
      <w:pPr>
        <w:spacing w:before="100" w:beforeAutospacing="1" w:after="100" w:afterAutospacing="1"/>
        <w:rPr>
          <w:rFonts w:eastAsia="Arial" w:cs="Arial"/>
        </w:rPr>
      </w:pPr>
      <w:r w:rsidRPr="00FE2CE7">
        <w:rPr>
          <w:szCs w:val="24"/>
        </w:rPr>
        <w:lastRenderedPageBreak/>
        <w:t xml:space="preserve">‘Monkeypox virus infection’ was temporarily listed on the NNDL under subsection 12(1) of the </w:t>
      </w:r>
      <w:r w:rsidR="00867641" w:rsidRPr="00FE2CE7">
        <w:rPr>
          <w:iCs/>
          <w:szCs w:val="24"/>
        </w:rPr>
        <w:t>Act</w:t>
      </w:r>
      <w:r w:rsidRPr="00FE2CE7">
        <w:rPr>
          <w:szCs w:val="24"/>
        </w:rPr>
        <w:t xml:space="preserve">. The </w:t>
      </w:r>
      <w:r w:rsidRPr="00FE2CE7">
        <w:rPr>
          <w:i/>
          <w:szCs w:val="24"/>
        </w:rPr>
        <w:t xml:space="preserve">National Health Security (National Notifiable Disease List) Amendment Instrument 2022 </w:t>
      </w:r>
      <w:r w:rsidRPr="00FE2CE7">
        <w:rPr>
          <w:szCs w:val="24"/>
        </w:rPr>
        <w:t xml:space="preserve">provided for temporary listing of the disease and was effective from 2 June 2022 for up to six months. </w:t>
      </w:r>
      <w:r w:rsidR="003E446D" w:rsidRPr="00FE2CE7">
        <w:rPr>
          <w:rFonts w:eastAsia="Arial" w:cs="Arial"/>
        </w:rPr>
        <w:t>As there is a</w:t>
      </w:r>
      <w:r w:rsidR="008F28E9" w:rsidRPr="00FE2CE7">
        <w:rPr>
          <w:rFonts w:eastAsia="Arial" w:cs="Arial"/>
        </w:rPr>
        <w:t xml:space="preserve"> need to understand the epidemiology and pathogenesis of </w:t>
      </w:r>
      <w:r w:rsidR="00867641" w:rsidRPr="00FE2CE7">
        <w:rPr>
          <w:rFonts w:eastAsia="Arial" w:cs="Arial"/>
        </w:rPr>
        <w:t>‘</w:t>
      </w:r>
      <w:r w:rsidR="008F28E9" w:rsidRPr="00FE2CE7">
        <w:rPr>
          <w:rFonts w:eastAsia="Arial" w:cs="Arial"/>
        </w:rPr>
        <w:t>monkeypox virus infection</w:t>
      </w:r>
      <w:r w:rsidR="00867641" w:rsidRPr="00FE2CE7">
        <w:rPr>
          <w:rFonts w:eastAsia="Arial" w:cs="Arial"/>
        </w:rPr>
        <w:t>’</w:t>
      </w:r>
      <w:r w:rsidR="008F28E9" w:rsidRPr="00FE2CE7">
        <w:rPr>
          <w:rFonts w:eastAsia="Arial" w:cs="Arial"/>
        </w:rPr>
        <w:t xml:space="preserve"> to inform public health response and control measures</w:t>
      </w:r>
      <w:r w:rsidR="003E446D" w:rsidRPr="00FE2CE7">
        <w:rPr>
          <w:rFonts w:eastAsia="Arial" w:cs="Arial"/>
        </w:rPr>
        <w:t>, the ongoing listing of ‘monkeypox virus infection’ will enable notification of confirmed cases to public health authorities and ensure information is passed on quickly so that response measures can be put in place rapidly.</w:t>
      </w:r>
    </w:p>
    <w:p w14:paraId="49B39E97" w14:textId="49835D15" w:rsidR="008F28E9" w:rsidRPr="00FE2CE7" w:rsidRDefault="00BF1382" w:rsidP="005B2FB8">
      <w:pPr>
        <w:spacing w:before="100" w:beforeAutospacing="1" w:after="100" w:afterAutospacing="1"/>
        <w:rPr>
          <w:rFonts w:eastAsia="Arial" w:cs="Arial"/>
        </w:rPr>
      </w:pPr>
      <w:r w:rsidRPr="00FE2CE7">
        <w:t xml:space="preserve">Adding the disease to the NNDL enables the sharing of information about cases of the disease between States and Territories and the Commonwealth, the World Health Organization and relevant member states. Where information that is shared includes personal information, the Act provides for the use, disclosure and recording of the personal information to be restricted. </w:t>
      </w:r>
    </w:p>
    <w:p w14:paraId="78D901F6" w14:textId="77777777" w:rsidR="00B87748" w:rsidRPr="00FE2CE7" w:rsidRDefault="00031F4B" w:rsidP="00B87748">
      <w:pPr>
        <w:autoSpaceDE w:val="0"/>
        <w:autoSpaceDN w:val="0"/>
        <w:adjustRightInd w:val="0"/>
        <w:rPr>
          <w:b/>
          <w:color w:val="000000"/>
          <w:szCs w:val="24"/>
        </w:rPr>
      </w:pPr>
      <w:r w:rsidRPr="00FE2CE7">
        <w:rPr>
          <w:b/>
          <w:color w:val="000000"/>
          <w:szCs w:val="24"/>
        </w:rPr>
        <w:t xml:space="preserve">Consultation </w:t>
      </w:r>
    </w:p>
    <w:p w14:paraId="382D333A" w14:textId="3FF905BC" w:rsidR="00B87748" w:rsidRPr="00FE2CE7" w:rsidRDefault="00B87748" w:rsidP="00B87748">
      <w:pPr>
        <w:autoSpaceDE w:val="0"/>
        <w:autoSpaceDN w:val="0"/>
        <w:adjustRightInd w:val="0"/>
        <w:rPr>
          <w:color w:val="000000"/>
          <w:szCs w:val="24"/>
          <w:u w:val="single"/>
        </w:rPr>
      </w:pPr>
    </w:p>
    <w:p w14:paraId="4F5DCCCC" w14:textId="2555E362" w:rsidR="007208F1" w:rsidRPr="00FE2CE7" w:rsidRDefault="007208F1" w:rsidP="00B87748">
      <w:pPr>
        <w:autoSpaceDE w:val="0"/>
        <w:autoSpaceDN w:val="0"/>
        <w:adjustRightInd w:val="0"/>
        <w:rPr>
          <w:color w:val="000000"/>
          <w:szCs w:val="24"/>
          <w:u w:val="single"/>
        </w:rPr>
      </w:pPr>
      <w:r w:rsidRPr="00FE2CE7">
        <w:rPr>
          <w:szCs w:val="24"/>
        </w:rPr>
        <w:t>The Commonwealth Minister for Health and Aged Care has consulted the Commonwealth Chief Medical Officer and with each State and Territory Health Minister. The proposed addition has been endorsed by the Communicable Diseases Network Australia, the Australian Health Protection Principal Committee and the Health Chief Executives Forum.</w:t>
      </w:r>
    </w:p>
    <w:p w14:paraId="2B91AA18" w14:textId="7C5A21B8" w:rsidR="005557CF" w:rsidRPr="00FE2CE7" w:rsidRDefault="005557CF" w:rsidP="005557CF">
      <w:pPr>
        <w:spacing w:before="100" w:beforeAutospacing="1" w:after="100" w:afterAutospacing="1"/>
        <w:rPr>
          <w:szCs w:val="24"/>
        </w:rPr>
      </w:pPr>
      <w:r w:rsidRPr="00FE2CE7">
        <w:rPr>
          <w:szCs w:val="24"/>
        </w:rPr>
        <w:t>T</w:t>
      </w:r>
      <w:r w:rsidR="007208F1" w:rsidRPr="00FE2CE7">
        <w:rPr>
          <w:szCs w:val="24"/>
        </w:rPr>
        <w:t>h</w:t>
      </w:r>
      <w:r w:rsidR="000B6907" w:rsidRPr="00FE2CE7">
        <w:rPr>
          <w:szCs w:val="24"/>
        </w:rPr>
        <w:t>is</w:t>
      </w:r>
      <w:r w:rsidR="000777D7" w:rsidRPr="00FE2CE7">
        <w:rPr>
          <w:szCs w:val="24"/>
        </w:rPr>
        <w:t xml:space="preserve"> Amending Instrument</w:t>
      </w:r>
      <w:r w:rsidR="0069558A" w:rsidRPr="00FE2CE7">
        <w:rPr>
          <w:szCs w:val="24"/>
        </w:rPr>
        <w:t xml:space="preserve"> </w:t>
      </w:r>
      <w:r w:rsidR="000B6907" w:rsidRPr="00FE2CE7">
        <w:rPr>
          <w:szCs w:val="24"/>
        </w:rPr>
        <w:t xml:space="preserve">commences </w:t>
      </w:r>
      <w:r w:rsidR="003D10A9" w:rsidRPr="00FE2CE7">
        <w:rPr>
          <w:szCs w:val="24"/>
        </w:rPr>
        <w:t>on 2 December 2022.</w:t>
      </w:r>
    </w:p>
    <w:p w14:paraId="77111358" w14:textId="09AED7A2" w:rsidR="0037551B" w:rsidRPr="00FE2CE7" w:rsidRDefault="000B6907" w:rsidP="00E86965">
      <w:pPr>
        <w:spacing w:before="100" w:beforeAutospacing="1" w:after="100" w:afterAutospacing="1"/>
        <w:rPr>
          <w:i/>
          <w:szCs w:val="24"/>
        </w:rPr>
      </w:pPr>
      <w:r w:rsidRPr="00FE2CE7">
        <w:rPr>
          <w:szCs w:val="24"/>
        </w:rPr>
        <w:t xml:space="preserve">This </w:t>
      </w:r>
      <w:r w:rsidR="000777D7" w:rsidRPr="00FE2CE7">
        <w:rPr>
          <w:szCs w:val="24"/>
        </w:rPr>
        <w:t xml:space="preserve">Amending </w:t>
      </w:r>
      <w:r w:rsidRPr="00FE2CE7">
        <w:rPr>
          <w:szCs w:val="24"/>
        </w:rPr>
        <w:t xml:space="preserve">Instrument is a legislative instrument for the purposes of the </w:t>
      </w:r>
      <w:r w:rsidRPr="00FE2CE7">
        <w:rPr>
          <w:i/>
          <w:szCs w:val="24"/>
        </w:rPr>
        <w:t>Legislation Act 2003.</w:t>
      </w:r>
      <w:r w:rsidR="003D10A9" w:rsidRPr="00FE2CE7">
        <w:rPr>
          <w:i/>
          <w:szCs w:val="24"/>
        </w:rPr>
        <w:t xml:space="preserve"> </w:t>
      </w:r>
    </w:p>
    <w:p w14:paraId="139329B6" w14:textId="0A8BED51" w:rsidR="003D10A9" w:rsidRPr="00FE2CE7" w:rsidRDefault="003D10A9" w:rsidP="00E86965">
      <w:pPr>
        <w:spacing w:before="100" w:beforeAutospacing="1" w:after="100" w:afterAutospacing="1"/>
        <w:rPr>
          <w:szCs w:val="24"/>
        </w:rPr>
      </w:pPr>
      <w:r w:rsidRPr="00FE2CE7">
        <w:rPr>
          <w:szCs w:val="24"/>
        </w:rPr>
        <w:t>Details of this instrument are set out in the Attachment.</w:t>
      </w:r>
    </w:p>
    <w:p w14:paraId="46F5A0B5" w14:textId="77777777" w:rsidR="00031F4B" w:rsidRPr="00FE2CE7" w:rsidRDefault="00031F4B" w:rsidP="00031F4B">
      <w:pPr>
        <w:jc w:val="right"/>
        <w:rPr>
          <w:b/>
          <w:u w:val="single"/>
        </w:rPr>
      </w:pPr>
      <w:r w:rsidRPr="00FE2CE7">
        <w:rPr>
          <w:b/>
          <w:u w:val="single"/>
        </w:rPr>
        <w:br w:type="page"/>
      </w:r>
      <w:r w:rsidRPr="00FE2CE7">
        <w:rPr>
          <w:b/>
          <w:u w:val="single"/>
        </w:rPr>
        <w:lastRenderedPageBreak/>
        <w:t>ATTACHMENT</w:t>
      </w:r>
    </w:p>
    <w:p w14:paraId="58231459" w14:textId="77777777" w:rsidR="00031F4B" w:rsidRPr="00FE2CE7" w:rsidRDefault="00031F4B" w:rsidP="00031F4B">
      <w:pPr>
        <w:rPr>
          <w:b/>
        </w:rPr>
      </w:pPr>
    </w:p>
    <w:p w14:paraId="54D076F1" w14:textId="77777777" w:rsidR="005D4E3A" w:rsidRPr="00FE2CE7" w:rsidRDefault="005D4E3A" w:rsidP="005D4E3A">
      <w:pPr>
        <w:spacing w:before="100" w:beforeAutospacing="1" w:after="100" w:afterAutospacing="1"/>
        <w:rPr>
          <w:szCs w:val="24"/>
        </w:rPr>
      </w:pPr>
      <w:r w:rsidRPr="00FE2CE7">
        <w:rPr>
          <w:b/>
          <w:bCs/>
          <w:sz w:val="28"/>
          <w:szCs w:val="28"/>
        </w:rPr>
        <w:t>De</w:t>
      </w:r>
      <w:r w:rsidR="00A570E6" w:rsidRPr="00FE2CE7">
        <w:rPr>
          <w:b/>
          <w:bCs/>
          <w:sz w:val="28"/>
          <w:szCs w:val="28"/>
        </w:rPr>
        <w:t xml:space="preserve">tails </w:t>
      </w:r>
      <w:r w:rsidRPr="00FE2CE7">
        <w:rPr>
          <w:b/>
          <w:bCs/>
          <w:sz w:val="28"/>
          <w:szCs w:val="28"/>
        </w:rPr>
        <w:t>of the Instrument</w:t>
      </w:r>
    </w:p>
    <w:p w14:paraId="5C6FE8DF" w14:textId="77777777" w:rsidR="005D4E3A" w:rsidRPr="00FE2CE7" w:rsidRDefault="005D4E3A" w:rsidP="005D4E3A">
      <w:pPr>
        <w:spacing w:before="100" w:beforeAutospacing="1" w:after="100" w:afterAutospacing="1"/>
        <w:rPr>
          <w:szCs w:val="24"/>
        </w:rPr>
      </w:pPr>
      <w:r w:rsidRPr="00FE2CE7">
        <w:rPr>
          <w:szCs w:val="24"/>
        </w:rPr>
        <w:t> </w:t>
      </w:r>
      <w:r w:rsidRPr="00FE2CE7">
        <w:rPr>
          <w:b/>
          <w:bCs/>
          <w:szCs w:val="24"/>
        </w:rPr>
        <w:t>1    Name of Instrument</w:t>
      </w:r>
    </w:p>
    <w:p w14:paraId="4C458D60" w14:textId="3136587A" w:rsidR="005D4E3A" w:rsidRPr="00FE2CE7" w:rsidRDefault="00853FA9" w:rsidP="005D4E3A">
      <w:pPr>
        <w:spacing w:before="100" w:beforeAutospacing="1" w:after="100" w:afterAutospacing="1"/>
        <w:rPr>
          <w:szCs w:val="24"/>
        </w:rPr>
      </w:pPr>
      <w:r w:rsidRPr="00FE2CE7">
        <w:rPr>
          <w:szCs w:val="24"/>
        </w:rPr>
        <w:t>This s</w:t>
      </w:r>
      <w:r w:rsidR="004304C2" w:rsidRPr="00FE2CE7">
        <w:rPr>
          <w:szCs w:val="24"/>
        </w:rPr>
        <w:t xml:space="preserve">ection </w:t>
      </w:r>
      <w:r w:rsidRPr="00FE2CE7">
        <w:rPr>
          <w:szCs w:val="24"/>
        </w:rPr>
        <w:t>s</w:t>
      </w:r>
      <w:r w:rsidR="004304C2" w:rsidRPr="00FE2CE7">
        <w:rPr>
          <w:szCs w:val="24"/>
        </w:rPr>
        <w:t xml:space="preserve">tates that the </w:t>
      </w:r>
      <w:r w:rsidR="000777D7" w:rsidRPr="00FE2CE7">
        <w:rPr>
          <w:szCs w:val="24"/>
        </w:rPr>
        <w:t>A</w:t>
      </w:r>
      <w:r w:rsidR="004304C2" w:rsidRPr="00FE2CE7">
        <w:rPr>
          <w:szCs w:val="24"/>
        </w:rPr>
        <w:t xml:space="preserve">mending </w:t>
      </w:r>
      <w:r w:rsidR="000777D7" w:rsidRPr="00FE2CE7">
        <w:rPr>
          <w:szCs w:val="24"/>
        </w:rPr>
        <w:t>I</w:t>
      </w:r>
      <w:r w:rsidR="004304C2" w:rsidRPr="00FE2CE7">
        <w:rPr>
          <w:szCs w:val="24"/>
        </w:rPr>
        <w:t xml:space="preserve">nstrument is the </w:t>
      </w:r>
      <w:r w:rsidR="005D4E3A" w:rsidRPr="00FE2CE7">
        <w:rPr>
          <w:i/>
          <w:szCs w:val="24"/>
        </w:rPr>
        <w:t>National Health Security</w:t>
      </w:r>
      <w:r w:rsidR="00F22745" w:rsidRPr="00FE2CE7">
        <w:rPr>
          <w:i/>
          <w:szCs w:val="24"/>
        </w:rPr>
        <w:t xml:space="preserve"> </w:t>
      </w:r>
      <w:r w:rsidR="005D4E3A" w:rsidRPr="00FE2CE7">
        <w:rPr>
          <w:i/>
          <w:szCs w:val="24"/>
        </w:rPr>
        <w:t>(National Notifiable Disease List)</w:t>
      </w:r>
      <w:r w:rsidR="00981391" w:rsidRPr="00FE2CE7">
        <w:rPr>
          <w:i/>
          <w:szCs w:val="24"/>
        </w:rPr>
        <w:t xml:space="preserve"> Amendment</w:t>
      </w:r>
      <w:r w:rsidR="005D4E3A" w:rsidRPr="00FE2CE7">
        <w:rPr>
          <w:i/>
          <w:szCs w:val="24"/>
        </w:rPr>
        <w:t xml:space="preserve"> </w:t>
      </w:r>
      <w:r w:rsidR="003D10A9" w:rsidRPr="00FE2CE7">
        <w:rPr>
          <w:i/>
          <w:szCs w:val="24"/>
        </w:rPr>
        <w:t xml:space="preserve">(Monkeypox) </w:t>
      </w:r>
      <w:r w:rsidR="00E559C6" w:rsidRPr="00FE2CE7">
        <w:rPr>
          <w:i/>
          <w:szCs w:val="24"/>
        </w:rPr>
        <w:t>Instrument 202</w:t>
      </w:r>
      <w:r w:rsidR="00244FE9" w:rsidRPr="00FE2CE7">
        <w:rPr>
          <w:i/>
          <w:szCs w:val="24"/>
        </w:rPr>
        <w:t>2</w:t>
      </w:r>
      <w:r w:rsidR="005D4E3A" w:rsidRPr="00FE2CE7">
        <w:rPr>
          <w:szCs w:val="24"/>
        </w:rPr>
        <w:t>.</w:t>
      </w:r>
    </w:p>
    <w:p w14:paraId="234D77F7" w14:textId="77777777" w:rsidR="005D4E3A" w:rsidRPr="00FE2CE7" w:rsidRDefault="005D4E3A" w:rsidP="005D4E3A">
      <w:pPr>
        <w:spacing w:before="100" w:beforeAutospacing="1" w:after="100" w:afterAutospacing="1"/>
        <w:rPr>
          <w:szCs w:val="24"/>
        </w:rPr>
      </w:pPr>
      <w:r w:rsidRPr="00FE2CE7">
        <w:rPr>
          <w:szCs w:val="24"/>
        </w:rPr>
        <w:t> </w:t>
      </w:r>
      <w:r w:rsidRPr="00FE2CE7">
        <w:rPr>
          <w:b/>
          <w:bCs/>
          <w:szCs w:val="24"/>
        </w:rPr>
        <w:t>2    Commencement</w:t>
      </w:r>
    </w:p>
    <w:p w14:paraId="6DFFFB45" w14:textId="0350F237" w:rsidR="005D4E3A" w:rsidRPr="00FE2CE7" w:rsidRDefault="00853FA9" w:rsidP="005D4E3A">
      <w:pPr>
        <w:spacing w:before="100" w:beforeAutospacing="1" w:after="100" w:afterAutospacing="1"/>
        <w:rPr>
          <w:szCs w:val="24"/>
        </w:rPr>
      </w:pPr>
      <w:r w:rsidRPr="00FE2CE7">
        <w:rPr>
          <w:szCs w:val="24"/>
        </w:rPr>
        <w:t>This s</w:t>
      </w:r>
      <w:r w:rsidR="004304C2" w:rsidRPr="00FE2CE7">
        <w:rPr>
          <w:szCs w:val="24"/>
        </w:rPr>
        <w:t xml:space="preserve">ection </w:t>
      </w:r>
      <w:r w:rsidR="0009291D" w:rsidRPr="00FE2CE7">
        <w:rPr>
          <w:szCs w:val="24"/>
        </w:rPr>
        <w:t xml:space="preserve">provides </w:t>
      </w:r>
      <w:r w:rsidR="000777D7" w:rsidRPr="00FE2CE7">
        <w:rPr>
          <w:szCs w:val="24"/>
        </w:rPr>
        <w:t xml:space="preserve">for the Amending </w:t>
      </w:r>
      <w:r w:rsidR="0009291D" w:rsidRPr="00FE2CE7">
        <w:rPr>
          <w:szCs w:val="24"/>
        </w:rPr>
        <w:t xml:space="preserve">Instrument </w:t>
      </w:r>
      <w:r w:rsidR="000777D7" w:rsidRPr="00FE2CE7">
        <w:rPr>
          <w:szCs w:val="24"/>
        </w:rPr>
        <w:t xml:space="preserve">to </w:t>
      </w:r>
      <w:r w:rsidR="005D4E3A" w:rsidRPr="00FE2CE7">
        <w:rPr>
          <w:szCs w:val="24"/>
        </w:rPr>
        <w:t>commence</w:t>
      </w:r>
      <w:r w:rsidR="00CF525B" w:rsidRPr="00FE2CE7">
        <w:rPr>
          <w:szCs w:val="24"/>
        </w:rPr>
        <w:t xml:space="preserve"> on 2 December 2022.</w:t>
      </w:r>
    </w:p>
    <w:p w14:paraId="10577D48" w14:textId="77777777" w:rsidR="005D4E3A" w:rsidRPr="00FE2CE7" w:rsidRDefault="005D4E3A" w:rsidP="00B54413">
      <w:pPr>
        <w:spacing w:before="100" w:beforeAutospacing="1" w:after="100" w:afterAutospacing="1"/>
        <w:rPr>
          <w:b/>
          <w:bCs/>
          <w:szCs w:val="24"/>
        </w:rPr>
      </w:pPr>
      <w:r w:rsidRPr="00FE2CE7">
        <w:rPr>
          <w:szCs w:val="24"/>
        </w:rPr>
        <w:t> </w:t>
      </w:r>
      <w:r w:rsidRPr="00FE2CE7">
        <w:rPr>
          <w:b/>
          <w:bCs/>
          <w:szCs w:val="24"/>
        </w:rPr>
        <w:t>3</w:t>
      </w:r>
      <w:r w:rsidR="00B54413" w:rsidRPr="00FE2CE7">
        <w:rPr>
          <w:b/>
          <w:bCs/>
          <w:szCs w:val="24"/>
        </w:rPr>
        <w:t xml:space="preserve">    </w:t>
      </w:r>
      <w:r w:rsidRPr="00FE2CE7">
        <w:rPr>
          <w:b/>
          <w:bCs/>
          <w:szCs w:val="24"/>
        </w:rPr>
        <w:t>Authority</w:t>
      </w:r>
    </w:p>
    <w:p w14:paraId="076DE656" w14:textId="76834DEA" w:rsidR="005D4E3A" w:rsidRPr="00FE2CE7" w:rsidRDefault="005D4E3A" w:rsidP="005D4E3A">
      <w:pPr>
        <w:spacing w:before="100" w:beforeAutospacing="1" w:after="100" w:afterAutospacing="1"/>
        <w:rPr>
          <w:szCs w:val="24"/>
        </w:rPr>
      </w:pPr>
      <w:r w:rsidRPr="00FE2CE7">
        <w:rPr>
          <w:szCs w:val="24"/>
        </w:rPr>
        <w:t xml:space="preserve">This </w:t>
      </w:r>
      <w:r w:rsidR="006F5470" w:rsidRPr="00FE2CE7">
        <w:rPr>
          <w:szCs w:val="24"/>
        </w:rPr>
        <w:t xml:space="preserve">section </w:t>
      </w:r>
      <w:r w:rsidR="0009291D" w:rsidRPr="00FE2CE7">
        <w:rPr>
          <w:szCs w:val="24"/>
        </w:rPr>
        <w:t xml:space="preserve">provides </w:t>
      </w:r>
      <w:r w:rsidR="006F5470" w:rsidRPr="00FE2CE7">
        <w:rPr>
          <w:szCs w:val="24"/>
        </w:rPr>
        <w:t xml:space="preserve">that </w:t>
      </w:r>
      <w:r w:rsidR="0009291D" w:rsidRPr="00FE2CE7">
        <w:rPr>
          <w:szCs w:val="24"/>
        </w:rPr>
        <w:t>subsection 1</w:t>
      </w:r>
      <w:r w:rsidR="00867641" w:rsidRPr="00FE2CE7">
        <w:rPr>
          <w:szCs w:val="24"/>
        </w:rPr>
        <w:t>1</w:t>
      </w:r>
      <w:r w:rsidR="0009291D" w:rsidRPr="00FE2CE7">
        <w:rPr>
          <w:szCs w:val="24"/>
        </w:rPr>
        <w:t>(</w:t>
      </w:r>
      <w:r w:rsidR="00867641" w:rsidRPr="00FE2CE7">
        <w:rPr>
          <w:szCs w:val="24"/>
        </w:rPr>
        <w:t>3</w:t>
      </w:r>
      <w:r w:rsidR="0009291D" w:rsidRPr="00FE2CE7">
        <w:rPr>
          <w:szCs w:val="24"/>
        </w:rPr>
        <w:t xml:space="preserve">) of the </w:t>
      </w:r>
      <w:r w:rsidR="0009291D" w:rsidRPr="00FE2CE7">
        <w:rPr>
          <w:i/>
          <w:szCs w:val="24"/>
        </w:rPr>
        <w:t>National Health Security Act 2007</w:t>
      </w:r>
      <w:r w:rsidR="0009291D" w:rsidRPr="00FE2CE7">
        <w:rPr>
          <w:szCs w:val="24"/>
        </w:rPr>
        <w:t xml:space="preserve"> provides authority for the making of this </w:t>
      </w:r>
      <w:r w:rsidR="0069558A" w:rsidRPr="00FE2CE7">
        <w:rPr>
          <w:szCs w:val="24"/>
        </w:rPr>
        <w:t>I</w:t>
      </w:r>
      <w:r w:rsidRPr="00FE2CE7">
        <w:rPr>
          <w:szCs w:val="24"/>
        </w:rPr>
        <w:t>nstrum</w:t>
      </w:r>
      <w:r w:rsidR="00E559C6" w:rsidRPr="00FE2CE7">
        <w:rPr>
          <w:szCs w:val="24"/>
        </w:rPr>
        <w:t>ent</w:t>
      </w:r>
      <w:r w:rsidR="0009291D" w:rsidRPr="00FE2CE7">
        <w:rPr>
          <w:szCs w:val="24"/>
        </w:rPr>
        <w:t>.</w:t>
      </w:r>
    </w:p>
    <w:p w14:paraId="1E2A270B" w14:textId="77777777" w:rsidR="005D4E3A" w:rsidRPr="00FE2CE7" w:rsidRDefault="005D4E3A" w:rsidP="0069662B">
      <w:pPr>
        <w:spacing w:before="100" w:beforeAutospacing="1" w:after="100" w:afterAutospacing="1"/>
        <w:rPr>
          <w:szCs w:val="24"/>
        </w:rPr>
      </w:pPr>
      <w:r w:rsidRPr="00FE2CE7">
        <w:rPr>
          <w:szCs w:val="24"/>
        </w:rPr>
        <w:t> </w:t>
      </w:r>
      <w:r w:rsidRPr="00FE2CE7">
        <w:rPr>
          <w:b/>
          <w:bCs/>
          <w:szCs w:val="24"/>
        </w:rPr>
        <w:t>4</w:t>
      </w:r>
      <w:r w:rsidR="00B54413" w:rsidRPr="00FE2CE7">
        <w:rPr>
          <w:b/>
          <w:bCs/>
          <w:szCs w:val="24"/>
        </w:rPr>
        <w:t>   </w:t>
      </w:r>
      <w:r w:rsidRPr="00FE2CE7">
        <w:rPr>
          <w:b/>
          <w:bCs/>
          <w:szCs w:val="24"/>
        </w:rPr>
        <w:t>Schedule</w:t>
      </w:r>
    </w:p>
    <w:p w14:paraId="52289481" w14:textId="77777777" w:rsidR="00F60505" w:rsidRPr="00FE2CE7" w:rsidRDefault="005D4E3A" w:rsidP="00F60505">
      <w:pPr>
        <w:spacing w:before="100" w:beforeAutospacing="1" w:after="100" w:afterAutospacing="1"/>
        <w:rPr>
          <w:szCs w:val="24"/>
        </w:rPr>
      </w:pPr>
      <w:r w:rsidRPr="00FE2CE7">
        <w:rPr>
          <w:szCs w:val="24"/>
        </w:rPr>
        <w:t xml:space="preserve">This section </w:t>
      </w:r>
      <w:r w:rsidR="00F60505" w:rsidRPr="00FE2CE7">
        <w:rPr>
          <w:szCs w:val="24"/>
        </w:rPr>
        <w:t>provides for the amendment of th</w:t>
      </w:r>
      <w:r w:rsidR="0069558A" w:rsidRPr="00FE2CE7">
        <w:rPr>
          <w:szCs w:val="24"/>
        </w:rPr>
        <w:t>e</w:t>
      </w:r>
      <w:r w:rsidR="00F60505" w:rsidRPr="00FE2CE7">
        <w:rPr>
          <w:szCs w:val="24"/>
        </w:rPr>
        <w:t xml:space="preserve"> </w:t>
      </w:r>
      <w:r w:rsidR="0069558A" w:rsidRPr="00FE2CE7">
        <w:rPr>
          <w:szCs w:val="24"/>
        </w:rPr>
        <w:t>I</w:t>
      </w:r>
      <w:r w:rsidR="00F60505" w:rsidRPr="00FE2CE7">
        <w:rPr>
          <w:szCs w:val="24"/>
        </w:rPr>
        <w:t>nstrument</w:t>
      </w:r>
      <w:r w:rsidR="0069558A" w:rsidRPr="00FE2CE7">
        <w:rPr>
          <w:szCs w:val="24"/>
        </w:rPr>
        <w:t xml:space="preserve"> listed</w:t>
      </w:r>
      <w:r w:rsidR="00F60505" w:rsidRPr="00FE2CE7">
        <w:rPr>
          <w:szCs w:val="24"/>
        </w:rPr>
        <w:t xml:space="preserve"> in Schedule 1. </w:t>
      </w:r>
    </w:p>
    <w:p w14:paraId="79D60BF3" w14:textId="7DC259A2" w:rsidR="005D4E3A" w:rsidRPr="00FE2CE7" w:rsidRDefault="005D4E3A" w:rsidP="005D4E3A">
      <w:pPr>
        <w:spacing w:before="100" w:beforeAutospacing="1" w:after="100" w:afterAutospacing="1"/>
        <w:rPr>
          <w:b/>
          <w:bCs/>
          <w:szCs w:val="24"/>
        </w:rPr>
      </w:pPr>
      <w:r w:rsidRPr="00FE2CE7">
        <w:rPr>
          <w:b/>
          <w:bCs/>
          <w:szCs w:val="24"/>
        </w:rPr>
        <w:t xml:space="preserve">SCHEDULE 1 </w:t>
      </w:r>
      <w:r w:rsidR="00E26770" w:rsidRPr="00FE2CE7">
        <w:rPr>
          <w:b/>
          <w:bCs/>
          <w:szCs w:val="24"/>
        </w:rPr>
        <w:t>–</w:t>
      </w:r>
      <w:r w:rsidRPr="00FE2CE7">
        <w:rPr>
          <w:b/>
          <w:bCs/>
          <w:szCs w:val="24"/>
        </w:rPr>
        <w:t xml:space="preserve"> AMENDMENTS</w:t>
      </w:r>
    </w:p>
    <w:p w14:paraId="294E6DF5" w14:textId="72C208F6" w:rsidR="00E26770" w:rsidRPr="00FE2CE7" w:rsidRDefault="00E26770" w:rsidP="005D4E3A">
      <w:pPr>
        <w:spacing w:before="100" w:beforeAutospacing="1" w:after="100" w:afterAutospacing="1"/>
        <w:rPr>
          <w:i/>
          <w:iCs/>
          <w:szCs w:val="24"/>
        </w:rPr>
      </w:pPr>
      <w:r w:rsidRPr="00FE2CE7">
        <w:rPr>
          <w:i/>
          <w:iCs/>
          <w:szCs w:val="24"/>
        </w:rPr>
        <w:t>National Health Security (National Notifiable Disease List) Instrument 2018</w:t>
      </w:r>
    </w:p>
    <w:p w14:paraId="3720207F" w14:textId="77777777" w:rsidR="006204B5" w:rsidRPr="00FE2CE7" w:rsidRDefault="006204B5" w:rsidP="006F2D75">
      <w:pPr>
        <w:spacing w:line="260" w:lineRule="exact"/>
        <w:rPr>
          <w:b/>
          <w:bCs/>
          <w:szCs w:val="24"/>
        </w:rPr>
      </w:pPr>
      <w:r w:rsidRPr="00FE2CE7">
        <w:rPr>
          <w:b/>
          <w:bCs/>
          <w:szCs w:val="24"/>
        </w:rPr>
        <w:t xml:space="preserve">Item 1 </w:t>
      </w:r>
    </w:p>
    <w:p w14:paraId="2395697B" w14:textId="56DCEB8B" w:rsidR="006F2D75" w:rsidRPr="00FE2CE7" w:rsidRDefault="00D5726B" w:rsidP="006F2D75">
      <w:pPr>
        <w:spacing w:line="260" w:lineRule="exact"/>
        <w:rPr>
          <w:szCs w:val="24"/>
        </w:rPr>
      </w:pPr>
      <w:r w:rsidRPr="00FE2CE7">
        <w:rPr>
          <w:szCs w:val="24"/>
        </w:rPr>
        <w:t xml:space="preserve">Item </w:t>
      </w:r>
      <w:r w:rsidR="005D4E3A" w:rsidRPr="00FE2CE7">
        <w:rPr>
          <w:szCs w:val="24"/>
        </w:rPr>
        <w:t xml:space="preserve">1 </w:t>
      </w:r>
      <w:r w:rsidR="00867641" w:rsidRPr="00FE2CE7">
        <w:rPr>
          <w:szCs w:val="24"/>
        </w:rPr>
        <w:t xml:space="preserve">repeals subsection 6(1) (table item </w:t>
      </w:r>
      <w:r w:rsidR="009B40E7" w:rsidRPr="00FE2CE7">
        <w:rPr>
          <w:szCs w:val="24"/>
        </w:rPr>
        <w:t>38</w:t>
      </w:r>
      <w:r w:rsidR="000777D7" w:rsidRPr="00FE2CE7">
        <w:rPr>
          <w:szCs w:val="24"/>
        </w:rPr>
        <w:t>A</w:t>
      </w:r>
      <w:r w:rsidR="00867641" w:rsidRPr="00FE2CE7">
        <w:rPr>
          <w:szCs w:val="24"/>
        </w:rPr>
        <w:t>), and substitutes with</w:t>
      </w:r>
      <w:r w:rsidR="000777D7" w:rsidRPr="00FE2CE7">
        <w:rPr>
          <w:szCs w:val="24"/>
        </w:rPr>
        <w:t xml:space="preserve"> </w:t>
      </w:r>
      <w:r w:rsidR="006F710D" w:rsidRPr="00FE2CE7">
        <w:rPr>
          <w:szCs w:val="24"/>
        </w:rPr>
        <w:t>‘</w:t>
      </w:r>
      <w:r w:rsidR="00244FE9" w:rsidRPr="00FE2CE7">
        <w:rPr>
          <w:szCs w:val="24"/>
        </w:rPr>
        <w:t>Monkeypox virus infection</w:t>
      </w:r>
      <w:r w:rsidR="006F710D" w:rsidRPr="00FE2CE7">
        <w:rPr>
          <w:szCs w:val="24"/>
        </w:rPr>
        <w:t>’</w:t>
      </w:r>
      <w:r w:rsidR="006204B5" w:rsidRPr="00FE2CE7">
        <w:rPr>
          <w:szCs w:val="24"/>
        </w:rPr>
        <w:t>.</w:t>
      </w:r>
      <w:r w:rsidR="006204B5" w:rsidRPr="00FE2CE7" w:rsidDel="006204B5">
        <w:rPr>
          <w:szCs w:val="24"/>
        </w:rPr>
        <w:t xml:space="preserve"> </w:t>
      </w:r>
    </w:p>
    <w:p w14:paraId="35FC656E" w14:textId="77777777" w:rsidR="006F2D75" w:rsidRPr="00FE2CE7" w:rsidRDefault="006F2D75" w:rsidP="0080170C">
      <w:pPr>
        <w:spacing w:line="260" w:lineRule="exact"/>
        <w:rPr>
          <w:szCs w:val="24"/>
        </w:rPr>
      </w:pPr>
    </w:p>
    <w:p w14:paraId="763C2455" w14:textId="247C8F7A" w:rsidR="006204B5" w:rsidRPr="00FE2CE7" w:rsidRDefault="006204B5" w:rsidP="0080170C">
      <w:pPr>
        <w:spacing w:line="260" w:lineRule="exact"/>
        <w:rPr>
          <w:b/>
          <w:bCs/>
          <w:szCs w:val="24"/>
        </w:rPr>
      </w:pPr>
      <w:r w:rsidRPr="00FE2CE7">
        <w:rPr>
          <w:b/>
          <w:bCs/>
          <w:szCs w:val="24"/>
        </w:rPr>
        <w:t xml:space="preserve">Item </w:t>
      </w:r>
      <w:r w:rsidR="00867641" w:rsidRPr="00FE2CE7">
        <w:rPr>
          <w:b/>
          <w:bCs/>
          <w:szCs w:val="24"/>
        </w:rPr>
        <w:t>2</w:t>
      </w:r>
      <w:r w:rsidRPr="00FE2CE7">
        <w:rPr>
          <w:b/>
          <w:bCs/>
          <w:szCs w:val="24"/>
        </w:rPr>
        <w:t xml:space="preserve"> </w:t>
      </w:r>
      <w:r w:rsidR="00406E2D" w:rsidRPr="00FE2CE7">
        <w:rPr>
          <w:b/>
          <w:bCs/>
          <w:szCs w:val="24"/>
        </w:rPr>
        <w:t xml:space="preserve"> </w:t>
      </w:r>
    </w:p>
    <w:p w14:paraId="5999105D" w14:textId="0555E435" w:rsidR="00406E2D" w:rsidRPr="00FE2CE7" w:rsidRDefault="00406E2D" w:rsidP="0080170C">
      <w:pPr>
        <w:spacing w:line="260" w:lineRule="exact"/>
        <w:rPr>
          <w:szCs w:val="24"/>
        </w:rPr>
      </w:pPr>
      <w:r w:rsidRPr="00FE2CE7">
        <w:rPr>
          <w:szCs w:val="24"/>
        </w:rPr>
        <w:t xml:space="preserve">Item 2 omits ‘Note 1’ at the end of section </w:t>
      </w:r>
      <w:r w:rsidR="00062C5B" w:rsidRPr="00FE2CE7">
        <w:rPr>
          <w:szCs w:val="24"/>
        </w:rPr>
        <w:t>6 and</w:t>
      </w:r>
      <w:r w:rsidRPr="00FE2CE7">
        <w:rPr>
          <w:szCs w:val="24"/>
        </w:rPr>
        <w:t xml:space="preserve"> substitutes it with ‘Note’. This is as it will now be the only note to section 6. </w:t>
      </w:r>
    </w:p>
    <w:p w14:paraId="0900DA48" w14:textId="343E071B" w:rsidR="00406E2D" w:rsidRPr="00FE2CE7" w:rsidRDefault="00406E2D" w:rsidP="00D84E88">
      <w:pPr>
        <w:spacing w:line="260" w:lineRule="exact"/>
        <w:rPr>
          <w:szCs w:val="24"/>
        </w:rPr>
      </w:pPr>
    </w:p>
    <w:p w14:paraId="59A07D6F" w14:textId="77777777" w:rsidR="00406E2D" w:rsidRPr="00FE2CE7" w:rsidRDefault="00406E2D" w:rsidP="00D84E88">
      <w:pPr>
        <w:spacing w:line="260" w:lineRule="exact"/>
        <w:rPr>
          <w:szCs w:val="24"/>
        </w:rPr>
      </w:pPr>
    </w:p>
    <w:p w14:paraId="3F8558C7" w14:textId="6AFEB39D" w:rsidR="003D10A9" w:rsidRPr="00FE2CE7" w:rsidRDefault="003D10A9" w:rsidP="00D84E88">
      <w:pPr>
        <w:spacing w:line="260" w:lineRule="exact"/>
        <w:rPr>
          <w:szCs w:val="24"/>
        </w:rPr>
      </w:pPr>
      <w:r w:rsidRPr="00FE2CE7">
        <w:rPr>
          <w:b/>
          <w:bCs/>
          <w:szCs w:val="24"/>
        </w:rPr>
        <w:t>It</w:t>
      </w:r>
      <w:r w:rsidR="00C46A1A" w:rsidRPr="00FE2CE7">
        <w:rPr>
          <w:b/>
          <w:bCs/>
          <w:szCs w:val="24"/>
        </w:rPr>
        <w:t xml:space="preserve">em </w:t>
      </w:r>
      <w:r w:rsidR="00406E2D" w:rsidRPr="00FE2CE7">
        <w:rPr>
          <w:b/>
          <w:bCs/>
          <w:szCs w:val="24"/>
        </w:rPr>
        <w:t>3</w:t>
      </w:r>
      <w:r w:rsidRPr="00FE2CE7">
        <w:rPr>
          <w:szCs w:val="24"/>
        </w:rPr>
        <w:t xml:space="preserve"> </w:t>
      </w:r>
      <w:r w:rsidR="00406E2D" w:rsidRPr="00FE2CE7">
        <w:rPr>
          <w:szCs w:val="24"/>
        </w:rPr>
        <w:br/>
        <w:t xml:space="preserve">Item 3 </w:t>
      </w:r>
      <w:r w:rsidRPr="00FE2CE7">
        <w:rPr>
          <w:szCs w:val="24"/>
        </w:rPr>
        <w:t>repeals Note 2 at end of section 6</w:t>
      </w:r>
      <w:r w:rsidR="00BE0120" w:rsidRPr="00FE2CE7">
        <w:rPr>
          <w:szCs w:val="24"/>
        </w:rPr>
        <w:t>.</w:t>
      </w:r>
      <w:r w:rsidRPr="00FE2CE7">
        <w:rPr>
          <w:szCs w:val="24"/>
        </w:rPr>
        <w:t xml:space="preserve"> </w:t>
      </w:r>
    </w:p>
    <w:p w14:paraId="39A0ECFD" w14:textId="17CADB8E" w:rsidR="003E5BF3" w:rsidRPr="00FE2CE7" w:rsidRDefault="003E5BF3" w:rsidP="00D84E88">
      <w:pPr>
        <w:spacing w:line="260" w:lineRule="exact"/>
        <w:rPr>
          <w:szCs w:val="24"/>
        </w:rPr>
      </w:pPr>
    </w:p>
    <w:p w14:paraId="5C559BAB" w14:textId="5B41DB17" w:rsidR="00062C5B" w:rsidRPr="00FE2CE7" w:rsidRDefault="00062C5B" w:rsidP="00D84E88">
      <w:pPr>
        <w:spacing w:line="260" w:lineRule="exact"/>
        <w:rPr>
          <w:szCs w:val="24"/>
        </w:rPr>
      </w:pPr>
    </w:p>
    <w:p w14:paraId="087EF7BF" w14:textId="09F30D91" w:rsidR="00062C5B" w:rsidRPr="00FE2CE7" w:rsidRDefault="00062C5B" w:rsidP="00D84E88">
      <w:pPr>
        <w:spacing w:line="260" w:lineRule="exact"/>
        <w:rPr>
          <w:szCs w:val="24"/>
        </w:rPr>
      </w:pPr>
    </w:p>
    <w:p w14:paraId="4C5C2979" w14:textId="06AFF0D6" w:rsidR="00062C5B" w:rsidRPr="00FE2CE7" w:rsidRDefault="00062C5B" w:rsidP="00D84E88">
      <w:pPr>
        <w:spacing w:line="260" w:lineRule="exact"/>
        <w:rPr>
          <w:szCs w:val="24"/>
        </w:rPr>
      </w:pPr>
    </w:p>
    <w:p w14:paraId="26B6E81B" w14:textId="647E8844" w:rsidR="00062C5B" w:rsidRPr="00FE2CE7" w:rsidRDefault="00062C5B" w:rsidP="00D84E88">
      <w:pPr>
        <w:spacing w:line="260" w:lineRule="exact"/>
        <w:rPr>
          <w:szCs w:val="24"/>
        </w:rPr>
      </w:pPr>
    </w:p>
    <w:p w14:paraId="653E88A5" w14:textId="2B0D0A05" w:rsidR="00062C5B" w:rsidRPr="00FE2CE7" w:rsidRDefault="00062C5B" w:rsidP="00D84E88">
      <w:pPr>
        <w:spacing w:line="260" w:lineRule="exact"/>
        <w:rPr>
          <w:szCs w:val="24"/>
        </w:rPr>
      </w:pPr>
    </w:p>
    <w:p w14:paraId="2E4620C2" w14:textId="53637C21" w:rsidR="00062C5B" w:rsidRPr="00FE2CE7" w:rsidRDefault="00062C5B" w:rsidP="00D84E88">
      <w:pPr>
        <w:spacing w:line="260" w:lineRule="exact"/>
        <w:rPr>
          <w:szCs w:val="24"/>
        </w:rPr>
      </w:pPr>
    </w:p>
    <w:p w14:paraId="2A9DED09" w14:textId="079B2D18" w:rsidR="00062C5B" w:rsidRPr="00FE2CE7" w:rsidRDefault="00062C5B" w:rsidP="00D84E88">
      <w:pPr>
        <w:spacing w:line="260" w:lineRule="exact"/>
        <w:rPr>
          <w:szCs w:val="24"/>
        </w:rPr>
      </w:pPr>
    </w:p>
    <w:p w14:paraId="671D9562" w14:textId="77777777" w:rsidR="00062C5B" w:rsidRPr="00FE2CE7" w:rsidRDefault="00062C5B" w:rsidP="00D84E88">
      <w:pPr>
        <w:spacing w:line="260" w:lineRule="exact"/>
        <w:rPr>
          <w:szCs w:val="24"/>
        </w:rPr>
      </w:pPr>
    </w:p>
    <w:p w14:paraId="792B0AF9" w14:textId="77777777" w:rsidR="00062C5B" w:rsidRPr="00FE2CE7" w:rsidRDefault="00062C5B" w:rsidP="00D84E88">
      <w:pPr>
        <w:spacing w:line="260" w:lineRule="exact"/>
        <w:rPr>
          <w:szCs w:val="24"/>
        </w:rPr>
      </w:pPr>
    </w:p>
    <w:p w14:paraId="246B882A" w14:textId="77777777" w:rsidR="00031F4B" w:rsidRPr="00FE2CE7" w:rsidRDefault="00031F4B" w:rsidP="00031F4B">
      <w:pPr>
        <w:spacing w:before="360" w:after="120"/>
        <w:jc w:val="center"/>
        <w:rPr>
          <w:b/>
          <w:sz w:val="28"/>
          <w:szCs w:val="28"/>
        </w:rPr>
      </w:pPr>
      <w:r w:rsidRPr="00FE2CE7">
        <w:rPr>
          <w:b/>
          <w:sz w:val="28"/>
          <w:szCs w:val="28"/>
        </w:rPr>
        <w:lastRenderedPageBreak/>
        <w:t>Statement of Compatibility with Human Rights</w:t>
      </w:r>
    </w:p>
    <w:p w14:paraId="4C5389CD" w14:textId="77777777" w:rsidR="00031F4B" w:rsidRPr="00FE2CE7" w:rsidRDefault="00031F4B" w:rsidP="00031F4B">
      <w:pPr>
        <w:spacing w:before="120" w:after="120"/>
        <w:jc w:val="center"/>
      </w:pPr>
      <w:r w:rsidRPr="00FE2CE7">
        <w:rPr>
          <w:i/>
        </w:rPr>
        <w:t>Prepared in accordance with Part 3 of the Human Rights (Parliamentary Scrutiny) Act 2011</w:t>
      </w:r>
    </w:p>
    <w:p w14:paraId="3BDA4F72" w14:textId="77777777" w:rsidR="0071148F" w:rsidRPr="00FE2CE7" w:rsidRDefault="0071148F" w:rsidP="005D4E3A">
      <w:pPr>
        <w:spacing w:after="120"/>
        <w:jc w:val="center"/>
        <w:rPr>
          <w:i/>
        </w:rPr>
      </w:pPr>
    </w:p>
    <w:p w14:paraId="41269750" w14:textId="4B04E4D1" w:rsidR="005D4E3A" w:rsidRPr="00FE2CE7" w:rsidRDefault="005D4E3A" w:rsidP="005D4E3A">
      <w:pPr>
        <w:spacing w:after="120"/>
        <w:jc w:val="center"/>
        <w:rPr>
          <w:i/>
        </w:rPr>
      </w:pPr>
      <w:r w:rsidRPr="00FE2CE7">
        <w:rPr>
          <w:i/>
        </w:rPr>
        <w:t xml:space="preserve">National Health Security (National Notifiable Disease List) Amendment </w:t>
      </w:r>
      <w:r w:rsidR="003D10A9" w:rsidRPr="00FE2CE7">
        <w:rPr>
          <w:i/>
        </w:rPr>
        <w:t xml:space="preserve">(Monkeypox) </w:t>
      </w:r>
      <w:r w:rsidR="00AF5008" w:rsidRPr="00FE2CE7">
        <w:rPr>
          <w:i/>
        </w:rPr>
        <w:t xml:space="preserve">Instrument </w:t>
      </w:r>
      <w:r w:rsidR="00352626" w:rsidRPr="00FE2CE7">
        <w:rPr>
          <w:i/>
        </w:rPr>
        <w:t>202</w:t>
      </w:r>
      <w:r w:rsidR="00244FE9" w:rsidRPr="00FE2CE7">
        <w:rPr>
          <w:i/>
        </w:rPr>
        <w:t>2</w:t>
      </w:r>
    </w:p>
    <w:p w14:paraId="0087BC2C" w14:textId="77777777" w:rsidR="005D4E3A" w:rsidRPr="00FE2CE7" w:rsidRDefault="005D4E3A" w:rsidP="00031F4B">
      <w:pPr>
        <w:spacing w:before="120" w:after="120"/>
        <w:jc w:val="center"/>
      </w:pPr>
    </w:p>
    <w:p w14:paraId="724A8ADF" w14:textId="0BD7DF6C" w:rsidR="00031F4B" w:rsidRPr="00FE2CE7" w:rsidRDefault="00031F4B" w:rsidP="002433C0">
      <w:pPr>
        <w:spacing w:before="120" w:after="120"/>
      </w:pPr>
      <w:r w:rsidRPr="00FE2CE7">
        <w:t>Th</w:t>
      </w:r>
      <w:r w:rsidR="00BD13B6" w:rsidRPr="00FE2CE7">
        <w:t xml:space="preserve">e </w:t>
      </w:r>
      <w:r w:rsidR="00BD13B6" w:rsidRPr="00FE2CE7">
        <w:rPr>
          <w:i/>
        </w:rPr>
        <w:t xml:space="preserve">National Health Security (National Notifiable Disease List) Amendment </w:t>
      </w:r>
      <w:r w:rsidR="003D10A9" w:rsidRPr="00FE2CE7">
        <w:rPr>
          <w:i/>
        </w:rPr>
        <w:t xml:space="preserve">(Monkeypox) </w:t>
      </w:r>
      <w:r w:rsidR="00BD13B6" w:rsidRPr="00FE2CE7">
        <w:rPr>
          <w:i/>
        </w:rPr>
        <w:t xml:space="preserve">Instrument </w:t>
      </w:r>
      <w:r w:rsidR="00352626" w:rsidRPr="00FE2CE7">
        <w:rPr>
          <w:i/>
        </w:rPr>
        <w:t>202</w:t>
      </w:r>
      <w:r w:rsidR="00A76A29" w:rsidRPr="00FE2CE7">
        <w:rPr>
          <w:i/>
        </w:rPr>
        <w:t>2</w:t>
      </w:r>
      <w:r w:rsidR="00BD13B6" w:rsidRPr="00FE2CE7">
        <w:rPr>
          <w:i/>
        </w:rPr>
        <w:t xml:space="preserve"> </w:t>
      </w:r>
      <w:r w:rsidR="00BD13B6" w:rsidRPr="00FE2CE7">
        <w:t xml:space="preserve">(the </w:t>
      </w:r>
      <w:r w:rsidR="006E62E8" w:rsidRPr="00FE2CE7">
        <w:t>Amending</w:t>
      </w:r>
      <w:r w:rsidR="00BD13B6" w:rsidRPr="00FE2CE7">
        <w:t xml:space="preserve"> Inst</w:t>
      </w:r>
      <w:r w:rsidRPr="00FE2CE7">
        <w:t>rument</w:t>
      </w:r>
      <w:r w:rsidR="00BD13B6" w:rsidRPr="00FE2CE7">
        <w:t>)</w:t>
      </w:r>
      <w:r w:rsidRPr="00FE2CE7">
        <w:t xml:space="preserve"> is compatible with the human rights and freedoms recognised or declared in the international instruments listed in section 3 of the </w:t>
      </w:r>
      <w:r w:rsidRPr="00FE2CE7">
        <w:rPr>
          <w:i/>
        </w:rPr>
        <w:t>Human Rights (Parliamentary Scrutiny) Act 2011</w:t>
      </w:r>
      <w:r w:rsidRPr="00FE2CE7">
        <w:t>.</w:t>
      </w:r>
    </w:p>
    <w:p w14:paraId="30BE7145" w14:textId="77777777" w:rsidR="00E03865" w:rsidRPr="00FE2CE7" w:rsidRDefault="00E03865" w:rsidP="00031F4B">
      <w:pPr>
        <w:spacing w:before="120" w:after="120"/>
        <w:jc w:val="both"/>
        <w:rPr>
          <w:b/>
        </w:rPr>
      </w:pPr>
    </w:p>
    <w:p w14:paraId="150C246F" w14:textId="77777777" w:rsidR="00031F4B" w:rsidRPr="00FE2CE7" w:rsidRDefault="00031F4B" w:rsidP="00031F4B">
      <w:pPr>
        <w:spacing w:before="120" w:after="120"/>
        <w:jc w:val="both"/>
        <w:rPr>
          <w:b/>
        </w:rPr>
      </w:pPr>
      <w:r w:rsidRPr="00FE2CE7">
        <w:rPr>
          <w:b/>
        </w:rPr>
        <w:t xml:space="preserve">Overview of the </w:t>
      </w:r>
      <w:r w:rsidR="006E62E8" w:rsidRPr="00FE2CE7">
        <w:rPr>
          <w:b/>
        </w:rPr>
        <w:t>Amending</w:t>
      </w:r>
      <w:r w:rsidRPr="00FE2CE7">
        <w:rPr>
          <w:b/>
        </w:rPr>
        <w:t xml:space="preserve"> Instrument</w:t>
      </w:r>
    </w:p>
    <w:p w14:paraId="0DDE6AED" w14:textId="136909F2" w:rsidR="00C72ABF" w:rsidRPr="00FE2CE7" w:rsidRDefault="00C72ABF" w:rsidP="00062C5B">
      <w:pPr>
        <w:spacing w:line="260" w:lineRule="exact"/>
        <w:rPr>
          <w:szCs w:val="24"/>
        </w:rPr>
      </w:pPr>
      <w:r w:rsidRPr="00FE2CE7">
        <w:t>Th</w:t>
      </w:r>
      <w:r w:rsidR="00E148DF" w:rsidRPr="00FE2CE7">
        <w:t>e</w:t>
      </w:r>
      <w:r w:rsidRPr="00FE2CE7">
        <w:t xml:space="preserve"> </w:t>
      </w:r>
      <w:r w:rsidR="006E62E8" w:rsidRPr="00FE2CE7">
        <w:t>Amending</w:t>
      </w:r>
      <w:r w:rsidRPr="00FE2CE7">
        <w:t xml:space="preserve"> Instrument amends the </w:t>
      </w:r>
      <w:r w:rsidR="00BD13B6" w:rsidRPr="00FE2CE7">
        <w:rPr>
          <w:i/>
        </w:rPr>
        <w:t>National Health Security (National Notifiable Disease List) Instrument 20</w:t>
      </w:r>
      <w:r w:rsidR="00A76A29" w:rsidRPr="00FE2CE7">
        <w:rPr>
          <w:i/>
        </w:rPr>
        <w:t>1</w:t>
      </w:r>
      <w:r w:rsidR="00BD13B6" w:rsidRPr="00FE2CE7">
        <w:rPr>
          <w:i/>
        </w:rPr>
        <w:t xml:space="preserve">8 </w:t>
      </w:r>
      <w:r w:rsidR="00BD13B6" w:rsidRPr="00FE2CE7">
        <w:t>(the Princip</w:t>
      </w:r>
      <w:r w:rsidR="00A76A29" w:rsidRPr="00FE2CE7">
        <w:t>al</w:t>
      </w:r>
      <w:r w:rsidR="00BD13B6" w:rsidRPr="00FE2CE7">
        <w:t xml:space="preserve"> Instrument) </w:t>
      </w:r>
      <w:r w:rsidRPr="00FE2CE7">
        <w:t xml:space="preserve">to </w:t>
      </w:r>
      <w:r w:rsidR="00F87B6E" w:rsidRPr="00FE2CE7">
        <w:rPr>
          <w:szCs w:val="24"/>
        </w:rPr>
        <w:t xml:space="preserve">permanently add ‘monkeypox virus infection’. This will </w:t>
      </w:r>
      <w:r w:rsidRPr="00FE2CE7">
        <w:t>impro</w:t>
      </w:r>
      <w:r w:rsidR="00352626" w:rsidRPr="00FE2CE7">
        <w:t xml:space="preserve">ve the national surveillance of </w:t>
      </w:r>
      <w:r w:rsidR="00194899" w:rsidRPr="00FE2CE7">
        <w:t>‘</w:t>
      </w:r>
      <w:r w:rsidR="00062C5B" w:rsidRPr="00FE2CE7">
        <w:t>m</w:t>
      </w:r>
      <w:r w:rsidR="00244FE9" w:rsidRPr="00FE2CE7">
        <w:t>onkeypox virus infection’</w:t>
      </w:r>
      <w:r w:rsidR="00352626" w:rsidRPr="00FE2CE7">
        <w:t xml:space="preserve">. </w:t>
      </w:r>
      <w:r w:rsidR="00F87B6E" w:rsidRPr="00FE2CE7">
        <w:t xml:space="preserve"> </w:t>
      </w:r>
    </w:p>
    <w:p w14:paraId="2C45FDA0" w14:textId="7383B454" w:rsidR="00F87B6E" w:rsidRPr="00FE2CE7" w:rsidRDefault="00F87B6E" w:rsidP="00F87B6E">
      <w:pPr>
        <w:spacing w:before="100" w:beforeAutospacing="1" w:after="100" w:afterAutospacing="1"/>
        <w:rPr>
          <w:rFonts w:eastAsia="Arial" w:cs="Arial"/>
        </w:rPr>
      </w:pPr>
      <w:r w:rsidRPr="00FE2CE7">
        <w:rPr>
          <w:szCs w:val="24"/>
        </w:rPr>
        <w:t xml:space="preserve">‘Monkeypox virus infection’ was temporarily listed on the Principal Instrument under subsection 12(1) of the </w:t>
      </w:r>
      <w:r w:rsidRPr="00FE2CE7">
        <w:rPr>
          <w:i/>
          <w:szCs w:val="24"/>
        </w:rPr>
        <w:t>National Health Security Act 2007</w:t>
      </w:r>
      <w:r w:rsidRPr="00FE2CE7">
        <w:rPr>
          <w:szCs w:val="24"/>
        </w:rPr>
        <w:t xml:space="preserve">. The </w:t>
      </w:r>
      <w:r w:rsidRPr="00FE2CE7">
        <w:rPr>
          <w:i/>
          <w:szCs w:val="24"/>
        </w:rPr>
        <w:t xml:space="preserve">National Health Security (National Notifiable Disease List) Amendment Instrument 2022 </w:t>
      </w:r>
      <w:r w:rsidRPr="00FE2CE7">
        <w:rPr>
          <w:szCs w:val="24"/>
        </w:rPr>
        <w:t xml:space="preserve">provided for temporary listing of the disease and was effective from 2 June 2022 for up to six months. </w:t>
      </w:r>
      <w:r w:rsidRPr="00FE2CE7">
        <w:rPr>
          <w:rFonts w:eastAsia="Arial" w:cs="Arial"/>
        </w:rPr>
        <w:t>As there is a need to understand the epidemiology and pathogenesis of ‘monkeypox virus infection’ to inform public health response and control measures, the ongoing listing of ‘monkeypox virus infection’ will enable notification of confirmed cases to public health authorities and ensure information is passed on quickly so that response measures can be put in place rapidly.</w:t>
      </w:r>
    </w:p>
    <w:p w14:paraId="009697B0" w14:textId="1B82193A" w:rsidR="00F87B6E" w:rsidRPr="00FE2CE7" w:rsidRDefault="00F87B6E" w:rsidP="00062C5B">
      <w:pPr>
        <w:spacing w:before="100" w:beforeAutospacing="1" w:after="100" w:afterAutospacing="1"/>
        <w:rPr>
          <w:rFonts w:eastAsia="Arial" w:cs="Arial"/>
        </w:rPr>
      </w:pPr>
      <w:r w:rsidRPr="00FE2CE7">
        <w:t xml:space="preserve">Adding the disease to the NNDL enables the sharing of information about cases of the disease between States and Territories and the Commonwealth, the World Health Organization and relevant member states. Where information that is shared includes personal information, the Act provides for the use, disclosure and recording of the personal information to be restricted. </w:t>
      </w:r>
    </w:p>
    <w:p w14:paraId="3E4A5F63" w14:textId="77777777" w:rsidR="00031F4B" w:rsidRPr="00FE2CE7" w:rsidRDefault="00031F4B" w:rsidP="00031F4B">
      <w:pPr>
        <w:spacing w:before="120" w:after="120"/>
        <w:rPr>
          <w:b/>
        </w:rPr>
      </w:pPr>
      <w:r w:rsidRPr="00FE2CE7">
        <w:rPr>
          <w:b/>
        </w:rPr>
        <w:t>Human rights implications</w:t>
      </w:r>
    </w:p>
    <w:p w14:paraId="42857C1E" w14:textId="77777777" w:rsidR="00E760CC" w:rsidRPr="00FE2CE7" w:rsidRDefault="00E03865" w:rsidP="00B74D37">
      <w:pPr>
        <w:spacing w:before="120" w:after="120"/>
        <w:rPr>
          <w:szCs w:val="24"/>
        </w:rPr>
      </w:pPr>
      <w:r w:rsidRPr="00FE2CE7">
        <w:rPr>
          <w:szCs w:val="24"/>
        </w:rPr>
        <w:t>The Amending Instrument engages the</w:t>
      </w:r>
      <w:r w:rsidR="00E760CC" w:rsidRPr="00FE2CE7">
        <w:rPr>
          <w:szCs w:val="24"/>
        </w:rPr>
        <w:t xml:space="preserve"> following human rights:</w:t>
      </w:r>
    </w:p>
    <w:p w14:paraId="2396782D" w14:textId="790FE96C" w:rsidR="00E760CC" w:rsidRPr="00FE2CE7" w:rsidRDefault="00790F34" w:rsidP="00E760CC">
      <w:pPr>
        <w:pStyle w:val="ListParagraph"/>
        <w:numPr>
          <w:ilvl w:val="0"/>
          <w:numId w:val="5"/>
        </w:numPr>
        <w:spacing w:before="120" w:after="120"/>
        <w:rPr>
          <w:szCs w:val="24"/>
        </w:rPr>
      </w:pPr>
      <w:r w:rsidRPr="00FE2CE7">
        <w:rPr>
          <w:color w:val="000000"/>
          <w:shd w:val="clear" w:color="auto" w:fill="FFFFFF"/>
        </w:rPr>
        <w:t>the right to privacy contained in Article 17 of the International Covenant on Civil and Political Rights, related to protection from arbitrary or unlawful interference with privacy</w:t>
      </w:r>
      <w:r w:rsidR="00E760CC" w:rsidRPr="00FE2CE7">
        <w:rPr>
          <w:color w:val="262626"/>
          <w:shd w:val="clear" w:color="auto" w:fill="FFFFFF"/>
        </w:rPr>
        <w:t>;</w:t>
      </w:r>
      <w:r w:rsidR="00FD1C43" w:rsidRPr="00FE2CE7">
        <w:rPr>
          <w:color w:val="262626"/>
          <w:shd w:val="clear" w:color="auto" w:fill="FFFFFF"/>
        </w:rPr>
        <w:t xml:space="preserve"> and</w:t>
      </w:r>
    </w:p>
    <w:p w14:paraId="6DD9A5AC" w14:textId="082C8DDF" w:rsidR="00E760CC" w:rsidRPr="00FE2CE7" w:rsidRDefault="00E760CC" w:rsidP="00E760CC">
      <w:pPr>
        <w:pStyle w:val="ListParagraph"/>
        <w:numPr>
          <w:ilvl w:val="0"/>
          <w:numId w:val="5"/>
        </w:numPr>
        <w:spacing w:before="120" w:after="120"/>
        <w:rPr>
          <w:szCs w:val="24"/>
        </w:rPr>
      </w:pPr>
      <w:r w:rsidRPr="00FE2CE7">
        <w:rPr>
          <w:rFonts w:cs="Times New Roman"/>
          <w:color w:val="000000"/>
          <w:szCs w:val="24"/>
        </w:rPr>
        <w:t>the right to the enjoyment of the highest attainable standard of physical and mental health under Article 12 of the International Covenant on Economic, Social and Cultural Rights</w:t>
      </w:r>
      <w:r w:rsidR="00FD1C43" w:rsidRPr="00FE2CE7">
        <w:rPr>
          <w:rFonts w:cs="Times New Roman"/>
          <w:color w:val="000000"/>
          <w:szCs w:val="24"/>
        </w:rPr>
        <w:t>.</w:t>
      </w:r>
    </w:p>
    <w:p w14:paraId="6C4179B3" w14:textId="3748D142" w:rsidR="00746BFE" w:rsidRPr="00FE2CE7" w:rsidRDefault="00790F34" w:rsidP="00B74D37">
      <w:pPr>
        <w:spacing w:before="120" w:after="120"/>
        <w:rPr>
          <w:color w:val="262626"/>
          <w:shd w:val="clear" w:color="auto" w:fill="FFFFFF"/>
        </w:rPr>
      </w:pPr>
      <w:r w:rsidRPr="00FE2CE7">
        <w:rPr>
          <w:color w:val="262626"/>
          <w:shd w:val="clear" w:color="auto" w:fill="FFFFFF"/>
        </w:rPr>
        <w:t>Th</w:t>
      </w:r>
      <w:r w:rsidR="00DB3B99" w:rsidRPr="00FE2CE7">
        <w:rPr>
          <w:color w:val="262626"/>
          <w:shd w:val="clear" w:color="auto" w:fill="FFFFFF"/>
        </w:rPr>
        <w:t>e</w:t>
      </w:r>
      <w:r w:rsidRPr="00FE2CE7">
        <w:rPr>
          <w:color w:val="262626"/>
          <w:shd w:val="clear" w:color="auto" w:fill="FFFFFF"/>
        </w:rPr>
        <w:t xml:space="preserve"> Amending Instrument is consistent with the right to privacy, as the</w:t>
      </w:r>
      <w:r w:rsidR="00746BFE" w:rsidRPr="00FE2CE7">
        <w:rPr>
          <w:color w:val="262626"/>
          <w:shd w:val="clear" w:color="auto" w:fill="FFFFFF"/>
        </w:rPr>
        <w:t xml:space="preserve"> Act provides that personal</w:t>
      </w:r>
      <w:r w:rsidRPr="00FE2CE7">
        <w:rPr>
          <w:color w:val="262626"/>
          <w:shd w:val="clear" w:color="auto" w:fill="FFFFFF"/>
        </w:rPr>
        <w:t xml:space="preserve"> information </w:t>
      </w:r>
      <w:r w:rsidR="00746BFE" w:rsidRPr="00FE2CE7">
        <w:rPr>
          <w:color w:val="262626"/>
          <w:shd w:val="clear" w:color="auto" w:fill="FFFFFF"/>
        </w:rPr>
        <w:t>regarding</w:t>
      </w:r>
      <w:r w:rsidRPr="00FE2CE7">
        <w:rPr>
          <w:color w:val="262626"/>
          <w:shd w:val="clear" w:color="auto" w:fill="FFFFFF"/>
        </w:rPr>
        <w:t xml:space="preserve"> cases</w:t>
      </w:r>
      <w:r w:rsidR="00746BFE" w:rsidRPr="00FE2CE7">
        <w:rPr>
          <w:color w:val="262626"/>
          <w:shd w:val="clear" w:color="auto" w:fill="FFFFFF"/>
        </w:rPr>
        <w:t xml:space="preserve"> of</w:t>
      </w:r>
      <w:r w:rsidRPr="00FE2CE7">
        <w:rPr>
          <w:color w:val="262626"/>
          <w:shd w:val="clear" w:color="auto" w:fill="FFFFFF"/>
        </w:rPr>
        <w:t xml:space="preserve"> ‘</w:t>
      </w:r>
      <w:r w:rsidR="004139C7" w:rsidRPr="00FE2CE7">
        <w:rPr>
          <w:color w:val="262626"/>
          <w:shd w:val="clear" w:color="auto" w:fill="FFFFFF"/>
        </w:rPr>
        <w:t>m</w:t>
      </w:r>
      <w:r w:rsidRPr="00FE2CE7">
        <w:rPr>
          <w:color w:val="262626"/>
          <w:shd w:val="clear" w:color="auto" w:fill="FFFFFF"/>
        </w:rPr>
        <w:t>onkeypox virus infection’ is</w:t>
      </w:r>
      <w:r w:rsidR="00FD1C43" w:rsidRPr="00FE2CE7">
        <w:rPr>
          <w:color w:val="262626"/>
          <w:shd w:val="clear" w:color="auto" w:fill="FFFFFF"/>
        </w:rPr>
        <w:t xml:space="preserve"> protected </w:t>
      </w:r>
      <w:r w:rsidR="00FD1C43" w:rsidRPr="00FE2CE7">
        <w:rPr>
          <w:color w:val="000000"/>
          <w:shd w:val="clear" w:color="auto" w:fill="FFFFFF"/>
        </w:rPr>
        <w:lastRenderedPageBreak/>
        <w:t>information, with an associated offence provision</w:t>
      </w:r>
      <w:r w:rsidR="00C326E0" w:rsidRPr="00FE2CE7">
        <w:rPr>
          <w:color w:val="000000"/>
          <w:shd w:val="clear" w:color="auto" w:fill="FFFFFF"/>
        </w:rPr>
        <w:t xml:space="preserve"> for unauthorised use or disclosure</w:t>
      </w:r>
      <w:r w:rsidR="00FD1C43" w:rsidRPr="00FE2CE7">
        <w:rPr>
          <w:color w:val="262626"/>
          <w:shd w:val="clear" w:color="auto" w:fill="FFFFFF"/>
        </w:rPr>
        <w:t xml:space="preserve">. </w:t>
      </w:r>
      <w:r w:rsidR="00746BFE" w:rsidRPr="00FE2CE7">
        <w:rPr>
          <w:color w:val="000000"/>
          <w:shd w:val="clear" w:color="auto" w:fill="FFFFFF"/>
        </w:rPr>
        <w:t xml:space="preserve">The Act permits the lawful sharing of personal information to support public health surveillance. The Act ensures that the impact on individual privacy is not </w:t>
      </w:r>
      <w:r w:rsidR="00C326E0" w:rsidRPr="00FE2CE7">
        <w:rPr>
          <w:color w:val="000000"/>
          <w:shd w:val="clear" w:color="auto" w:fill="FFFFFF"/>
        </w:rPr>
        <w:t>arbitrary and</w:t>
      </w:r>
      <w:r w:rsidR="00746BFE" w:rsidRPr="00FE2CE7">
        <w:rPr>
          <w:color w:val="000000"/>
          <w:shd w:val="clear" w:color="auto" w:fill="FFFFFF"/>
        </w:rPr>
        <w:t xml:space="preserve"> is proportionate to the protection of public health.</w:t>
      </w:r>
    </w:p>
    <w:p w14:paraId="41404012" w14:textId="1672A046" w:rsidR="00E03865" w:rsidRPr="00FE2CE7" w:rsidRDefault="00E03865" w:rsidP="00B74D37">
      <w:pPr>
        <w:spacing w:before="120" w:after="120"/>
        <w:rPr>
          <w:b/>
        </w:rPr>
      </w:pPr>
      <w:r w:rsidRPr="00FE2CE7">
        <w:rPr>
          <w:szCs w:val="24"/>
        </w:rPr>
        <w:t>Th</w:t>
      </w:r>
      <w:r w:rsidR="00DB3B99" w:rsidRPr="00FE2CE7">
        <w:rPr>
          <w:szCs w:val="24"/>
        </w:rPr>
        <w:t>e</w:t>
      </w:r>
      <w:r w:rsidRPr="00FE2CE7">
        <w:rPr>
          <w:szCs w:val="24"/>
        </w:rPr>
        <w:t xml:space="preserve"> </w:t>
      </w:r>
      <w:r w:rsidR="00790F34" w:rsidRPr="00FE2CE7">
        <w:rPr>
          <w:szCs w:val="24"/>
        </w:rPr>
        <w:t xml:space="preserve">Amending Instrument </w:t>
      </w:r>
      <w:r w:rsidRPr="00FE2CE7">
        <w:rPr>
          <w:szCs w:val="24"/>
        </w:rPr>
        <w:t>promotes the right to health</w:t>
      </w:r>
      <w:r w:rsidR="00FD1C43" w:rsidRPr="00FE2CE7">
        <w:rPr>
          <w:szCs w:val="24"/>
        </w:rPr>
        <w:t xml:space="preserve"> as it</w:t>
      </w:r>
      <w:r w:rsidRPr="00FE2CE7">
        <w:rPr>
          <w:szCs w:val="24"/>
        </w:rPr>
        <w:t xml:space="preserve"> </w:t>
      </w:r>
      <w:r w:rsidR="00FD1C43" w:rsidRPr="00FE2CE7">
        <w:rPr>
          <w:color w:val="000000"/>
          <w:shd w:val="clear" w:color="auto" w:fill="FFFFFF"/>
        </w:rPr>
        <w:t>assists to protect public health in Australia by assisting with the exchange of information, including personal information</w:t>
      </w:r>
      <w:r w:rsidR="00333CB6" w:rsidRPr="00FE2CE7">
        <w:rPr>
          <w:color w:val="000000"/>
          <w:shd w:val="clear" w:color="auto" w:fill="FFFFFF"/>
        </w:rPr>
        <w:t xml:space="preserve"> in accordance with the provisions in the Act</w:t>
      </w:r>
      <w:r w:rsidR="00FD1C43" w:rsidRPr="00FE2CE7">
        <w:rPr>
          <w:color w:val="000000"/>
          <w:shd w:val="clear" w:color="auto" w:fill="FFFFFF"/>
        </w:rPr>
        <w:t xml:space="preserve">, to support public health surveillance. The Amending instrument also </w:t>
      </w:r>
      <w:r w:rsidR="0069558A" w:rsidRPr="00FE2CE7">
        <w:rPr>
          <w:szCs w:val="24"/>
        </w:rPr>
        <w:t>support</w:t>
      </w:r>
      <w:r w:rsidR="00790F34" w:rsidRPr="00FE2CE7">
        <w:rPr>
          <w:szCs w:val="24"/>
        </w:rPr>
        <w:t>s</w:t>
      </w:r>
      <w:r w:rsidR="0069558A" w:rsidRPr="00FE2CE7">
        <w:rPr>
          <w:szCs w:val="24"/>
        </w:rPr>
        <w:t xml:space="preserve"> the</w:t>
      </w:r>
      <w:r w:rsidRPr="00FE2CE7">
        <w:rPr>
          <w:szCs w:val="24"/>
        </w:rPr>
        <w:t xml:space="preserve"> rapid investigation and control of communicable disease outbreaks and other matters relating to public health.</w:t>
      </w:r>
    </w:p>
    <w:p w14:paraId="58E6BD51" w14:textId="77777777" w:rsidR="00E03865" w:rsidRPr="00FE2CE7" w:rsidRDefault="00E03865" w:rsidP="00B74D37">
      <w:pPr>
        <w:spacing w:before="120" w:after="120"/>
        <w:rPr>
          <w:b/>
        </w:rPr>
      </w:pPr>
    </w:p>
    <w:p w14:paraId="26F9B0E8" w14:textId="77777777" w:rsidR="00B855F4" w:rsidRPr="00FE2CE7" w:rsidRDefault="00B855F4" w:rsidP="00B74D37">
      <w:pPr>
        <w:spacing w:before="120" w:after="120"/>
        <w:rPr>
          <w:b/>
        </w:rPr>
      </w:pPr>
      <w:r w:rsidRPr="00FE2CE7">
        <w:rPr>
          <w:b/>
        </w:rPr>
        <w:t>Conclusion</w:t>
      </w:r>
    </w:p>
    <w:p w14:paraId="54047E03" w14:textId="467B4B83" w:rsidR="00E03865" w:rsidRPr="00FE2CE7" w:rsidRDefault="00B855F4" w:rsidP="00B74D37">
      <w:pPr>
        <w:spacing w:before="120" w:after="120"/>
      </w:pPr>
      <w:r w:rsidRPr="00FE2CE7">
        <w:t>Th</w:t>
      </w:r>
      <w:r w:rsidR="0069662B" w:rsidRPr="00FE2CE7">
        <w:t>e Amending</w:t>
      </w:r>
      <w:r w:rsidRPr="00FE2CE7">
        <w:t xml:space="preserve"> Instrument is compatible with human rights </w:t>
      </w:r>
      <w:r w:rsidR="00E03865" w:rsidRPr="00FE2CE7">
        <w:t>because it promotes the right to the enjoyment of the highest attainable standard of physical and mental health</w:t>
      </w:r>
      <w:r w:rsidR="0014010E" w:rsidRPr="00FE2CE7">
        <w:t xml:space="preserve"> </w:t>
      </w:r>
      <w:r w:rsidR="00E760CC" w:rsidRPr="00FE2CE7">
        <w:t>and is consistent with the right to privacy</w:t>
      </w:r>
      <w:r w:rsidR="00E03865" w:rsidRPr="00FE2CE7">
        <w:t>.</w:t>
      </w:r>
    </w:p>
    <w:p w14:paraId="4B6308BD" w14:textId="77777777" w:rsidR="00B855F4" w:rsidRPr="00FE2CE7" w:rsidRDefault="00B855F4" w:rsidP="00B74D37">
      <w:pPr>
        <w:spacing w:before="120" w:after="120"/>
      </w:pPr>
    </w:p>
    <w:p w14:paraId="315317B9" w14:textId="796043C0" w:rsidR="00031F4B" w:rsidRPr="00FE2CE7" w:rsidRDefault="003E5BF3" w:rsidP="00031F4B">
      <w:pPr>
        <w:jc w:val="center"/>
        <w:rPr>
          <w:b/>
        </w:rPr>
      </w:pPr>
      <w:r w:rsidRPr="00FE2CE7">
        <w:rPr>
          <w:b/>
        </w:rPr>
        <w:t>Hon Mark Butler</w:t>
      </w:r>
    </w:p>
    <w:p w14:paraId="5BC1DE9C" w14:textId="77777777" w:rsidR="00031F4B" w:rsidRPr="00FE2CE7" w:rsidRDefault="00031F4B" w:rsidP="00031F4B">
      <w:pPr>
        <w:jc w:val="center"/>
        <w:rPr>
          <w:b/>
        </w:rPr>
      </w:pPr>
    </w:p>
    <w:p w14:paraId="3785EEAC" w14:textId="3AFA3537" w:rsidR="00B42851" w:rsidRPr="0030786C" w:rsidRDefault="00194899" w:rsidP="00B74D37">
      <w:pPr>
        <w:jc w:val="center"/>
      </w:pPr>
      <w:r w:rsidRPr="00FE2CE7">
        <w:rPr>
          <w:b/>
        </w:rPr>
        <w:t xml:space="preserve">Commonwealth </w:t>
      </w:r>
      <w:r w:rsidR="003E5BF3" w:rsidRPr="00FE2CE7">
        <w:rPr>
          <w:b/>
        </w:rPr>
        <w:t>Minister for Health and Aged Care</w:t>
      </w:r>
      <w:r>
        <w:rPr>
          <w:b/>
        </w:rPr>
        <w:t xml:space="preserve"> </w:t>
      </w:r>
    </w:p>
    <w:sectPr w:rsidR="00B42851" w:rsidRPr="003078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2D93" w14:textId="77777777" w:rsidR="005D171D" w:rsidRDefault="005D171D" w:rsidP="00EA49CD">
      <w:r>
        <w:separator/>
      </w:r>
    </w:p>
  </w:endnote>
  <w:endnote w:type="continuationSeparator" w:id="0">
    <w:p w14:paraId="410044F5" w14:textId="77777777" w:rsidR="005D171D" w:rsidRDefault="005D171D" w:rsidP="00EA49CD">
      <w:r>
        <w:continuationSeparator/>
      </w:r>
    </w:p>
  </w:endnote>
  <w:endnote w:type="continuationNotice" w:id="1">
    <w:p w14:paraId="4E5CAB20" w14:textId="77777777" w:rsidR="005D171D" w:rsidRDefault="005D1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196F" w14:textId="77777777" w:rsidR="005D171D" w:rsidRDefault="005D171D" w:rsidP="00EA49CD">
      <w:r>
        <w:separator/>
      </w:r>
    </w:p>
  </w:footnote>
  <w:footnote w:type="continuationSeparator" w:id="0">
    <w:p w14:paraId="26F49625" w14:textId="77777777" w:rsidR="005D171D" w:rsidRDefault="005D171D" w:rsidP="00EA49CD">
      <w:r>
        <w:continuationSeparator/>
      </w:r>
    </w:p>
  </w:footnote>
  <w:footnote w:type="continuationNotice" w:id="1">
    <w:p w14:paraId="3BF9D072" w14:textId="77777777" w:rsidR="005D171D" w:rsidRDefault="005D17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71C"/>
    <w:multiLevelType w:val="hybridMultilevel"/>
    <w:tmpl w:val="7CA078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52D0BE5"/>
    <w:multiLevelType w:val="hybridMultilevel"/>
    <w:tmpl w:val="198EA58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1F970E68"/>
    <w:multiLevelType w:val="hybridMultilevel"/>
    <w:tmpl w:val="CE009580"/>
    <w:lvl w:ilvl="0" w:tplc="F4E0C414">
      <w:start w:val="1"/>
      <w:numFmt w:val="decimal"/>
      <w:lvlText w:val="%1."/>
      <w:lvlJc w:val="left"/>
      <w:pPr>
        <w:ind w:left="858" w:hanging="720"/>
      </w:pPr>
      <w:rPr>
        <w:rFonts w:ascii="Times New Roman" w:eastAsia="Times New Roman" w:hAnsi="Times New Roman" w:hint="default"/>
        <w:b/>
        <w:bCs/>
        <w:spacing w:val="1"/>
        <w:w w:val="99"/>
        <w:sz w:val="32"/>
        <w:szCs w:val="32"/>
      </w:rPr>
    </w:lvl>
    <w:lvl w:ilvl="1" w:tplc="DDD84580">
      <w:start w:val="1"/>
      <w:numFmt w:val="bullet"/>
      <w:lvlText w:val=""/>
      <w:lvlJc w:val="left"/>
      <w:pPr>
        <w:ind w:left="858" w:hanging="360"/>
      </w:pPr>
      <w:rPr>
        <w:rFonts w:ascii="Symbol" w:eastAsia="Symbol" w:hAnsi="Symbol" w:hint="default"/>
        <w:sz w:val="24"/>
        <w:szCs w:val="24"/>
      </w:rPr>
    </w:lvl>
    <w:lvl w:ilvl="2" w:tplc="951CB85E">
      <w:start w:val="1"/>
      <w:numFmt w:val="bullet"/>
      <w:lvlText w:val="•"/>
      <w:lvlJc w:val="left"/>
      <w:pPr>
        <w:ind w:left="1212" w:hanging="360"/>
      </w:pPr>
      <w:rPr>
        <w:rFonts w:hint="default"/>
      </w:rPr>
    </w:lvl>
    <w:lvl w:ilvl="3" w:tplc="79BC7EE8">
      <w:start w:val="1"/>
      <w:numFmt w:val="bullet"/>
      <w:lvlText w:val="•"/>
      <w:lvlJc w:val="left"/>
      <w:pPr>
        <w:ind w:left="1389" w:hanging="360"/>
      </w:pPr>
      <w:rPr>
        <w:rFonts w:hint="default"/>
      </w:rPr>
    </w:lvl>
    <w:lvl w:ilvl="4" w:tplc="175434F0">
      <w:start w:val="1"/>
      <w:numFmt w:val="bullet"/>
      <w:lvlText w:val="•"/>
      <w:lvlJc w:val="left"/>
      <w:pPr>
        <w:ind w:left="1566" w:hanging="360"/>
      </w:pPr>
      <w:rPr>
        <w:rFonts w:hint="default"/>
      </w:rPr>
    </w:lvl>
    <w:lvl w:ilvl="5" w:tplc="47DA0776">
      <w:start w:val="1"/>
      <w:numFmt w:val="bullet"/>
      <w:lvlText w:val="•"/>
      <w:lvlJc w:val="left"/>
      <w:pPr>
        <w:ind w:left="1743" w:hanging="360"/>
      </w:pPr>
      <w:rPr>
        <w:rFonts w:hint="default"/>
      </w:rPr>
    </w:lvl>
    <w:lvl w:ilvl="6" w:tplc="B9AA668E">
      <w:start w:val="1"/>
      <w:numFmt w:val="bullet"/>
      <w:lvlText w:val="•"/>
      <w:lvlJc w:val="left"/>
      <w:pPr>
        <w:ind w:left="1920" w:hanging="360"/>
      </w:pPr>
      <w:rPr>
        <w:rFonts w:hint="default"/>
      </w:rPr>
    </w:lvl>
    <w:lvl w:ilvl="7" w:tplc="CF4E63BC">
      <w:start w:val="1"/>
      <w:numFmt w:val="bullet"/>
      <w:lvlText w:val="•"/>
      <w:lvlJc w:val="left"/>
      <w:pPr>
        <w:ind w:left="2098" w:hanging="360"/>
      </w:pPr>
      <w:rPr>
        <w:rFonts w:hint="default"/>
      </w:rPr>
    </w:lvl>
    <w:lvl w:ilvl="8" w:tplc="8F4011BE">
      <w:start w:val="1"/>
      <w:numFmt w:val="bullet"/>
      <w:lvlText w:val="•"/>
      <w:lvlJc w:val="left"/>
      <w:pPr>
        <w:ind w:left="2275" w:hanging="360"/>
      </w:pPr>
      <w:rPr>
        <w:rFonts w:hint="default"/>
      </w:rPr>
    </w:lvl>
  </w:abstractNum>
  <w:abstractNum w:abstractNumId="3" w15:restartNumberingAfterBreak="0">
    <w:nsid w:val="3E730E62"/>
    <w:multiLevelType w:val="hybridMultilevel"/>
    <w:tmpl w:val="E20E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A7B40"/>
    <w:multiLevelType w:val="hybridMultilevel"/>
    <w:tmpl w:val="CEFC0EB0"/>
    <w:lvl w:ilvl="0" w:tplc="C6CAC3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4B"/>
    <w:rsid w:val="00007B7C"/>
    <w:rsid w:val="00021465"/>
    <w:rsid w:val="00031F4B"/>
    <w:rsid w:val="0003697E"/>
    <w:rsid w:val="000540E6"/>
    <w:rsid w:val="000577B1"/>
    <w:rsid w:val="00062C5B"/>
    <w:rsid w:val="00071EC4"/>
    <w:rsid w:val="000777D7"/>
    <w:rsid w:val="0009291D"/>
    <w:rsid w:val="000A4581"/>
    <w:rsid w:val="000B6907"/>
    <w:rsid w:val="000B7648"/>
    <w:rsid w:val="000C5D27"/>
    <w:rsid w:val="000D0680"/>
    <w:rsid w:val="000E0869"/>
    <w:rsid w:val="000E7139"/>
    <w:rsid w:val="000F061D"/>
    <w:rsid w:val="0010130E"/>
    <w:rsid w:val="00104F7D"/>
    <w:rsid w:val="001142F5"/>
    <w:rsid w:val="00122D8F"/>
    <w:rsid w:val="00133309"/>
    <w:rsid w:val="001336CC"/>
    <w:rsid w:val="001353A1"/>
    <w:rsid w:val="00135BC1"/>
    <w:rsid w:val="0014010E"/>
    <w:rsid w:val="00155A04"/>
    <w:rsid w:val="00156DF2"/>
    <w:rsid w:val="0016477A"/>
    <w:rsid w:val="00165BFC"/>
    <w:rsid w:val="0016689A"/>
    <w:rsid w:val="00194899"/>
    <w:rsid w:val="001B3443"/>
    <w:rsid w:val="00200DB4"/>
    <w:rsid w:val="002015A6"/>
    <w:rsid w:val="00204628"/>
    <w:rsid w:val="00205028"/>
    <w:rsid w:val="00211762"/>
    <w:rsid w:val="002176BC"/>
    <w:rsid w:val="002215CE"/>
    <w:rsid w:val="002433C0"/>
    <w:rsid w:val="00244FE9"/>
    <w:rsid w:val="0025754E"/>
    <w:rsid w:val="0027152A"/>
    <w:rsid w:val="00282E13"/>
    <w:rsid w:val="002965B8"/>
    <w:rsid w:val="002B6757"/>
    <w:rsid w:val="002D7184"/>
    <w:rsid w:val="002D7CEC"/>
    <w:rsid w:val="002E18F0"/>
    <w:rsid w:val="002F1F4E"/>
    <w:rsid w:val="002F31CC"/>
    <w:rsid w:val="0030786C"/>
    <w:rsid w:val="00327762"/>
    <w:rsid w:val="00333CB6"/>
    <w:rsid w:val="00340D2C"/>
    <w:rsid w:val="00352626"/>
    <w:rsid w:val="003724FA"/>
    <w:rsid w:val="0037551B"/>
    <w:rsid w:val="00382773"/>
    <w:rsid w:val="003A7C7C"/>
    <w:rsid w:val="003B337F"/>
    <w:rsid w:val="003C199E"/>
    <w:rsid w:val="003D10A9"/>
    <w:rsid w:val="003E446D"/>
    <w:rsid w:val="003E5BF3"/>
    <w:rsid w:val="003F72E1"/>
    <w:rsid w:val="003F72F7"/>
    <w:rsid w:val="00406E2D"/>
    <w:rsid w:val="004139C7"/>
    <w:rsid w:val="004304C2"/>
    <w:rsid w:val="00435447"/>
    <w:rsid w:val="00437F91"/>
    <w:rsid w:val="00441606"/>
    <w:rsid w:val="00451D80"/>
    <w:rsid w:val="00465DFB"/>
    <w:rsid w:val="00466C7E"/>
    <w:rsid w:val="00475955"/>
    <w:rsid w:val="004867E2"/>
    <w:rsid w:val="00487208"/>
    <w:rsid w:val="004D1820"/>
    <w:rsid w:val="004E0DC3"/>
    <w:rsid w:val="00517104"/>
    <w:rsid w:val="00537199"/>
    <w:rsid w:val="0054242E"/>
    <w:rsid w:val="00542ED6"/>
    <w:rsid w:val="0054600A"/>
    <w:rsid w:val="00546C6E"/>
    <w:rsid w:val="005557CF"/>
    <w:rsid w:val="00583880"/>
    <w:rsid w:val="00590F61"/>
    <w:rsid w:val="005A1E07"/>
    <w:rsid w:val="005A47BC"/>
    <w:rsid w:val="005B2FB8"/>
    <w:rsid w:val="005C49E0"/>
    <w:rsid w:val="005D171D"/>
    <w:rsid w:val="005D4E3A"/>
    <w:rsid w:val="005E2A2B"/>
    <w:rsid w:val="005E66C0"/>
    <w:rsid w:val="00604D8E"/>
    <w:rsid w:val="0060537A"/>
    <w:rsid w:val="006064CE"/>
    <w:rsid w:val="006204B5"/>
    <w:rsid w:val="00623049"/>
    <w:rsid w:val="00632B03"/>
    <w:rsid w:val="00653CB6"/>
    <w:rsid w:val="00656401"/>
    <w:rsid w:val="006603ED"/>
    <w:rsid w:val="006722B1"/>
    <w:rsid w:val="0067505B"/>
    <w:rsid w:val="0068121C"/>
    <w:rsid w:val="00681B20"/>
    <w:rsid w:val="006864AC"/>
    <w:rsid w:val="00692A1F"/>
    <w:rsid w:val="0069558A"/>
    <w:rsid w:val="00695D55"/>
    <w:rsid w:val="0069662B"/>
    <w:rsid w:val="00696A73"/>
    <w:rsid w:val="006B6286"/>
    <w:rsid w:val="006B70D4"/>
    <w:rsid w:val="006C752C"/>
    <w:rsid w:val="006E62E8"/>
    <w:rsid w:val="006F2D75"/>
    <w:rsid w:val="006F5470"/>
    <w:rsid w:val="006F710D"/>
    <w:rsid w:val="0070011F"/>
    <w:rsid w:val="007049E3"/>
    <w:rsid w:val="0071148F"/>
    <w:rsid w:val="00711543"/>
    <w:rsid w:val="007208F1"/>
    <w:rsid w:val="00745173"/>
    <w:rsid w:val="00746BFE"/>
    <w:rsid w:val="00754C4C"/>
    <w:rsid w:val="0076412C"/>
    <w:rsid w:val="007721CA"/>
    <w:rsid w:val="00790F34"/>
    <w:rsid w:val="007B2AE2"/>
    <w:rsid w:val="007C6E41"/>
    <w:rsid w:val="007C796A"/>
    <w:rsid w:val="007D4C95"/>
    <w:rsid w:val="007D67D5"/>
    <w:rsid w:val="0080170C"/>
    <w:rsid w:val="00806600"/>
    <w:rsid w:val="00815C80"/>
    <w:rsid w:val="008264EB"/>
    <w:rsid w:val="00835F26"/>
    <w:rsid w:val="00853FA9"/>
    <w:rsid w:val="00867616"/>
    <w:rsid w:val="00867641"/>
    <w:rsid w:val="00870AAF"/>
    <w:rsid w:val="00872751"/>
    <w:rsid w:val="008B21F5"/>
    <w:rsid w:val="008B3C82"/>
    <w:rsid w:val="008C3721"/>
    <w:rsid w:val="008D24F4"/>
    <w:rsid w:val="008D3D3F"/>
    <w:rsid w:val="008F28E9"/>
    <w:rsid w:val="008F5E49"/>
    <w:rsid w:val="00907B17"/>
    <w:rsid w:val="009125FA"/>
    <w:rsid w:val="00913C6F"/>
    <w:rsid w:val="00931A05"/>
    <w:rsid w:val="00964A79"/>
    <w:rsid w:val="00981391"/>
    <w:rsid w:val="00985F79"/>
    <w:rsid w:val="009B40E7"/>
    <w:rsid w:val="009C6C58"/>
    <w:rsid w:val="009F4D00"/>
    <w:rsid w:val="00A236B3"/>
    <w:rsid w:val="00A46567"/>
    <w:rsid w:val="00A570E6"/>
    <w:rsid w:val="00A60555"/>
    <w:rsid w:val="00A71211"/>
    <w:rsid w:val="00A71930"/>
    <w:rsid w:val="00A76A29"/>
    <w:rsid w:val="00A82603"/>
    <w:rsid w:val="00A901C5"/>
    <w:rsid w:val="00A94BF0"/>
    <w:rsid w:val="00AF44CE"/>
    <w:rsid w:val="00AF5008"/>
    <w:rsid w:val="00B15590"/>
    <w:rsid w:val="00B42851"/>
    <w:rsid w:val="00B47F8C"/>
    <w:rsid w:val="00B54413"/>
    <w:rsid w:val="00B568F2"/>
    <w:rsid w:val="00B56D3C"/>
    <w:rsid w:val="00B57A04"/>
    <w:rsid w:val="00B7488D"/>
    <w:rsid w:val="00B74D37"/>
    <w:rsid w:val="00B855F4"/>
    <w:rsid w:val="00B87748"/>
    <w:rsid w:val="00B87BBA"/>
    <w:rsid w:val="00B87EB9"/>
    <w:rsid w:val="00BA3CEA"/>
    <w:rsid w:val="00BA5ACA"/>
    <w:rsid w:val="00BA622D"/>
    <w:rsid w:val="00BB2D5C"/>
    <w:rsid w:val="00BD13B6"/>
    <w:rsid w:val="00BD4268"/>
    <w:rsid w:val="00BD6C74"/>
    <w:rsid w:val="00BE0120"/>
    <w:rsid w:val="00BF0049"/>
    <w:rsid w:val="00BF1382"/>
    <w:rsid w:val="00BF7337"/>
    <w:rsid w:val="00C001E9"/>
    <w:rsid w:val="00C12347"/>
    <w:rsid w:val="00C326E0"/>
    <w:rsid w:val="00C3402D"/>
    <w:rsid w:val="00C34F57"/>
    <w:rsid w:val="00C450D4"/>
    <w:rsid w:val="00C46A1A"/>
    <w:rsid w:val="00C63071"/>
    <w:rsid w:val="00C72ABF"/>
    <w:rsid w:val="00C95BC8"/>
    <w:rsid w:val="00CA2BB4"/>
    <w:rsid w:val="00CB5112"/>
    <w:rsid w:val="00CB5B1A"/>
    <w:rsid w:val="00CC78ED"/>
    <w:rsid w:val="00CF525B"/>
    <w:rsid w:val="00D21E3D"/>
    <w:rsid w:val="00D333E1"/>
    <w:rsid w:val="00D5726B"/>
    <w:rsid w:val="00D84E88"/>
    <w:rsid w:val="00D8685C"/>
    <w:rsid w:val="00DB3B99"/>
    <w:rsid w:val="00DB6D94"/>
    <w:rsid w:val="00DD7409"/>
    <w:rsid w:val="00E03865"/>
    <w:rsid w:val="00E04264"/>
    <w:rsid w:val="00E144D5"/>
    <w:rsid w:val="00E148DF"/>
    <w:rsid w:val="00E26770"/>
    <w:rsid w:val="00E30B93"/>
    <w:rsid w:val="00E46B14"/>
    <w:rsid w:val="00E559C6"/>
    <w:rsid w:val="00E60968"/>
    <w:rsid w:val="00E63A5B"/>
    <w:rsid w:val="00E701CE"/>
    <w:rsid w:val="00E74AC4"/>
    <w:rsid w:val="00E760CC"/>
    <w:rsid w:val="00E766A1"/>
    <w:rsid w:val="00E86965"/>
    <w:rsid w:val="00E931A6"/>
    <w:rsid w:val="00EA49CD"/>
    <w:rsid w:val="00EA5B9F"/>
    <w:rsid w:val="00EC63AC"/>
    <w:rsid w:val="00EC6536"/>
    <w:rsid w:val="00F22745"/>
    <w:rsid w:val="00F30F67"/>
    <w:rsid w:val="00F5584C"/>
    <w:rsid w:val="00F56FDC"/>
    <w:rsid w:val="00F60505"/>
    <w:rsid w:val="00F74D69"/>
    <w:rsid w:val="00F87B6E"/>
    <w:rsid w:val="00FA3B5E"/>
    <w:rsid w:val="00FA5216"/>
    <w:rsid w:val="00FA61C4"/>
    <w:rsid w:val="00FB03A8"/>
    <w:rsid w:val="00FB2F55"/>
    <w:rsid w:val="00FC62DD"/>
    <w:rsid w:val="00FD1C43"/>
    <w:rsid w:val="00FD4B4B"/>
    <w:rsid w:val="00FE2CE7"/>
    <w:rsid w:val="00FE6F2B"/>
    <w:rsid w:val="00FF7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E301E3D"/>
  <w15:docId w15:val="{D187F0E2-024D-4603-AB7C-49714C19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24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F4B"/>
    <w:pPr>
      <w:spacing w:before="0" w:after="0"/>
    </w:pPr>
    <w:rPr>
      <w:sz w:val="24"/>
    </w:rPr>
  </w:style>
  <w:style w:type="paragraph" w:styleId="Heading1">
    <w:name w:val="heading 1"/>
    <w:basedOn w:val="Normal"/>
    <w:next w:val="Normal"/>
    <w:qFormat/>
    <w:rsid w:val="008264EB"/>
    <w:pPr>
      <w:keepNext/>
      <w:outlineLvl w:val="0"/>
    </w:pPr>
    <w:rPr>
      <w:rFonts w:cs="Arial"/>
      <w:b/>
      <w:bCs/>
      <w:kern w:val="32"/>
      <w:sz w:val="32"/>
      <w:szCs w:val="32"/>
    </w:rPr>
  </w:style>
  <w:style w:type="paragraph" w:styleId="Heading2">
    <w:name w:val="heading 2"/>
    <w:basedOn w:val="Normal"/>
    <w:next w:val="Normal"/>
    <w:qFormat/>
    <w:rsid w:val="008264EB"/>
    <w:pPr>
      <w:keepNext/>
      <w:outlineLvl w:val="1"/>
    </w:pPr>
    <w:rPr>
      <w:rFonts w:cs="Arial"/>
      <w:b/>
      <w:bCs/>
      <w:i/>
      <w:iCs/>
      <w:sz w:val="28"/>
      <w:szCs w:val="28"/>
    </w:rPr>
  </w:style>
  <w:style w:type="paragraph" w:styleId="Heading3">
    <w:name w:val="heading 3"/>
    <w:basedOn w:val="Normal"/>
    <w:next w:val="Normal"/>
    <w:qFormat/>
    <w:rsid w:val="008264EB"/>
    <w:pPr>
      <w:keepNext/>
      <w:outlineLvl w:val="2"/>
    </w:pPr>
    <w:rPr>
      <w:rFonts w:cs="Arial"/>
      <w:b/>
      <w:bCs/>
      <w:sz w:val="26"/>
      <w:szCs w:val="26"/>
    </w:rPr>
  </w:style>
  <w:style w:type="paragraph" w:styleId="Heading4">
    <w:name w:val="heading 4"/>
    <w:basedOn w:val="Normal"/>
    <w:next w:val="Normal"/>
    <w:qFormat/>
    <w:rsid w:val="00CB5B1A"/>
    <w:pPr>
      <w:keepNext/>
      <w:outlineLvl w:val="3"/>
    </w:pPr>
    <w:rPr>
      <w:b/>
      <w:bCs/>
      <w:i/>
      <w:sz w:val="26"/>
      <w:szCs w:val="28"/>
    </w:rPr>
  </w:style>
  <w:style w:type="paragraph" w:styleId="Heading5">
    <w:name w:val="heading 5"/>
    <w:basedOn w:val="Normal"/>
    <w:next w:val="Normal"/>
    <w:qFormat/>
    <w:rsid w:val="00CB5B1A"/>
    <w:pPr>
      <w:outlineLvl w:val="4"/>
    </w:pPr>
    <w:rPr>
      <w:b/>
      <w:bCs/>
      <w:iCs/>
      <w:sz w:val="26"/>
      <w:szCs w:val="26"/>
    </w:rPr>
  </w:style>
  <w:style w:type="paragraph" w:styleId="Heading6">
    <w:name w:val="heading 6"/>
    <w:basedOn w:val="Normal"/>
    <w:next w:val="Normal"/>
    <w:qFormat/>
    <w:rsid w:val="00CB5B1A"/>
    <w:pPr>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031F4B"/>
    <w:pPr>
      <w:jc w:val="right"/>
    </w:pPr>
    <w:rPr>
      <w:b/>
    </w:rPr>
  </w:style>
  <w:style w:type="character" w:customStyle="1" w:styleId="AppendixCharChar">
    <w:name w:val="Appendix Char Char"/>
    <w:link w:val="Appendix"/>
    <w:rsid w:val="00031F4B"/>
    <w:rPr>
      <w:b/>
      <w:sz w:val="24"/>
    </w:rPr>
  </w:style>
  <w:style w:type="paragraph" w:styleId="BodyText">
    <w:name w:val="Body Text"/>
    <w:basedOn w:val="Normal"/>
    <w:link w:val="BodyTextChar"/>
    <w:rsid w:val="00031F4B"/>
    <w:rPr>
      <w:b/>
    </w:rPr>
  </w:style>
  <w:style w:type="character" w:customStyle="1" w:styleId="BodyTextChar">
    <w:name w:val="Body Text Char"/>
    <w:basedOn w:val="DefaultParagraphFont"/>
    <w:link w:val="BodyText"/>
    <w:rsid w:val="00031F4B"/>
    <w:rPr>
      <w:b/>
      <w:sz w:val="24"/>
    </w:rPr>
  </w:style>
  <w:style w:type="paragraph" w:customStyle="1" w:styleId="ShortT">
    <w:name w:val="ShortT"/>
    <w:basedOn w:val="Normal"/>
    <w:next w:val="Normal"/>
    <w:qFormat/>
    <w:rsid w:val="00031F4B"/>
    <w:rPr>
      <w:b/>
      <w:sz w:val="40"/>
    </w:rPr>
  </w:style>
  <w:style w:type="paragraph" w:styleId="ListParagraph">
    <w:name w:val="List Paragraph"/>
    <w:basedOn w:val="Normal"/>
    <w:uiPriority w:val="34"/>
    <w:qFormat/>
    <w:rsid w:val="00FB2F55"/>
    <w:pPr>
      <w:spacing w:after="200" w:line="276" w:lineRule="auto"/>
      <w:ind w:left="720"/>
      <w:contextualSpacing/>
    </w:pPr>
    <w:rPr>
      <w:rFonts w:eastAsiaTheme="minorHAnsi" w:cstheme="minorBidi"/>
      <w:szCs w:val="22"/>
      <w:lang w:eastAsia="en-US"/>
    </w:rPr>
  </w:style>
  <w:style w:type="character" w:styleId="CommentReference">
    <w:name w:val="annotation reference"/>
    <w:basedOn w:val="DefaultParagraphFont"/>
    <w:uiPriority w:val="99"/>
    <w:rsid w:val="00205028"/>
    <w:rPr>
      <w:sz w:val="16"/>
      <w:szCs w:val="16"/>
    </w:rPr>
  </w:style>
  <w:style w:type="paragraph" w:styleId="CommentText">
    <w:name w:val="annotation text"/>
    <w:basedOn w:val="Normal"/>
    <w:link w:val="CommentTextChar"/>
    <w:uiPriority w:val="99"/>
    <w:rsid w:val="00205028"/>
    <w:rPr>
      <w:sz w:val="20"/>
    </w:rPr>
  </w:style>
  <w:style w:type="character" w:customStyle="1" w:styleId="CommentTextChar">
    <w:name w:val="Comment Text Char"/>
    <w:basedOn w:val="DefaultParagraphFont"/>
    <w:link w:val="CommentText"/>
    <w:uiPriority w:val="99"/>
    <w:rsid w:val="00205028"/>
  </w:style>
  <w:style w:type="paragraph" w:styleId="CommentSubject">
    <w:name w:val="annotation subject"/>
    <w:basedOn w:val="CommentText"/>
    <w:next w:val="CommentText"/>
    <w:link w:val="CommentSubjectChar"/>
    <w:rsid w:val="00205028"/>
    <w:rPr>
      <w:b/>
      <w:bCs/>
    </w:rPr>
  </w:style>
  <w:style w:type="character" w:customStyle="1" w:styleId="CommentSubjectChar">
    <w:name w:val="Comment Subject Char"/>
    <w:basedOn w:val="CommentTextChar"/>
    <w:link w:val="CommentSubject"/>
    <w:rsid w:val="00205028"/>
    <w:rPr>
      <w:b/>
      <w:bCs/>
    </w:rPr>
  </w:style>
  <w:style w:type="paragraph" w:styleId="BalloonText">
    <w:name w:val="Balloon Text"/>
    <w:basedOn w:val="Normal"/>
    <w:link w:val="BalloonTextChar"/>
    <w:rsid w:val="00205028"/>
    <w:rPr>
      <w:rFonts w:ascii="Tahoma" w:hAnsi="Tahoma" w:cs="Tahoma"/>
      <w:sz w:val="16"/>
      <w:szCs w:val="16"/>
    </w:rPr>
  </w:style>
  <w:style w:type="character" w:customStyle="1" w:styleId="BalloonTextChar">
    <w:name w:val="Balloon Text Char"/>
    <w:basedOn w:val="DefaultParagraphFont"/>
    <w:link w:val="BalloonText"/>
    <w:rsid w:val="00205028"/>
    <w:rPr>
      <w:rFonts w:ascii="Tahoma" w:hAnsi="Tahoma" w:cs="Tahoma"/>
      <w:sz w:val="16"/>
      <w:szCs w:val="16"/>
    </w:rPr>
  </w:style>
  <w:style w:type="paragraph" w:styleId="Header">
    <w:name w:val="header"/>
    <w:basedOn w:val="Normal"/>
    <w:link w:val="HeaderChar"/>
    <w:rsid w:val="00EA49CD"/>
    <w:pPr>
      <w:tabs>
        <w:tab w:val="center" w:pos="4513"/>
        <w:tab w:val="right" w:pos="9026"/>
      </w:tabs>
    </w:pPr>
  </w:style>
  <w:style w:type="character" w:customStyle="1" w:styleId="HeaderChar">
    <w:name w:val="Header Char"/>
    <w:basedOn w:val="DefaultParagraphFont"/>
    <w:link w:val="Header"/>
    <w:rsid w:val="00EA49CD"/>
    <w:rPr>
      <w:sz w:val="24"/>
    </w:rPr>
  </w:style>
  <w:style w:type="paragraph" w:styleId="Footer">
    <w:name w:val="footer"/>
    <w:basedOn w:val="Normal"/>
    <w:link w:val="FooterChar"/>
    <w:rsid w:val="00EA49CD"/>
    <w:pPr>
      <w:tabs>
        <w:tab w:val="center" w:pos="4513"/>
        <w:tab w:val="right" w:pos="9026"/>
      </w:tabs>
    </w:pPr>
  </w:style>
  <w:style w:type="character" w:customStyle="1" w:styleId="FooterChar">
    <w:name w:val="Footer Char"/>
    <w:basedOn w:val="DefaultParagraphFont"/>
    <w:link w:val="Footer"/>
    <w:rsid w:val="00EA49CD"/>
    <w:rPr>
      <w:sz w:val="24"/>
    </w:rPr>
  </w:style>
  <w:style w:type="paragraph" w:styleId="Revision">
    <w:name w:val="Revision"/>
    <w:hidden/>
    <w:uiPriority w:val="99"/>
    <w:semiHidden/>
    <w:rsid w:val="00BA622D"/>
    <w:pPr>
      <w:spacing w:before="0" w:after="0"/>
    </w:pPr>
    <w:rPr>
      <w:sz w:val="24"/>
    </w:rPr>
  </w:style>
  <w:style w:type="character" w:styleId="Hyperlink">
    <w:name w:val="Hyperlink"/>
    <w:uiPriority w:val="99"/>
    <w:rsid w:val="005E2A2B"/>
    <w:rPr>
      <w:color w:val="0D6F8B"/>
      <w:u w:val="single"/>
    </w:rPr>
  </w:style>
  <w:style w:type="paragraph" w:customStyle="1" w:styleId="TableTextform">
    <w:name w:val="TableText form"/>
    <w:basedOn w:val="Normal"/>
    <w:qFormat/>
    <w:rsid w:val="005E2A2B"/>
    <w:pPr>
      <w:spacing w:before="40" w:after="240"/>
    </w:pPr>
    <w:rPr>
      <w:rFonts w:ascii="Arial" w:eastAsiaTheme="majorEastAsia" w:hAnsi="Arial" w:cs="Arial"/>
      <w:bCs/>
      <w:sz w:val="20"/>
      <w:lang w:eastAsia="en-US"/>
    </w:rPr>
  </w:style>
  <w:style w:type="character" w:styleId="Strong">
    <w:name w:val="Strong"/>
    <w:basedOn w:val="DefaultParagraphFont"/>
    <w:uiPriority w:val="22"/>
    <w:qFormat/>
    <w:rsid w:val="0037551B"/>
    <w:rPr>
      <w:b/>
      <w:bCs/>
    </w:rPr>
  </w:style>
  <w:style w:type="character" w:styleId="FollowedHyperlink">
    <w:name w:val="FollowedHyperlink"/>
    <w:basedOn w:val="DefaultParagraphFont"/>
    <w:semiHidden/>
    <w:unhideWhenUsed/>
    <w:rsid w:val="00140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6271">
      <w:bodyDiv w:val="1"/>
      <w:marLeft w:val="0"/>
      <w:marRight w:val="0"/>
      <w:marTop w:val="0"/>
      <w:marBottom w:val="0"/>
      <w:divBdr>
        <w:top w:val="none" w:sz="0" w:space="0" w:color="auto"/>
        <w:left w:val="none" w:sz="0" w:space="0" w:color="auto"/>
        <w:bottom w:val="none" w:sz="0" w:space="0" w:color="auto"/>
        <w:right w:val="none" w:sz="0" w:space="0" w:color="auto"/>
      </w:divBdr>
      <w:divsChild>
        <w:div w:id="1138648216">
          <w:marLeft w:val="0"/>
          <w:marRight w:val="0"/>
          <w:marTop w:val="0"/>
          <w:marBottom w:val="0"/>
          <w:divBdr>
            <w:top w:val="none" w:sz="0" w:space="0" w:color="auto"/>
            <w:left w:val="none" w:sz="0" w:space="0" w:color="auto"/>
            <w:bottom w:val="none" w:sz="0" w:space="0" w:color="auto"/>
            <w:right w:val="none" w:sz="0" w:space="0" w:color="auto"/>
          </w:divBdr>
          <w:divsChild>
            <w:div w:id="1327175053">
              <w:marLeft w:val="0"/>
              <w:marRight w:val="0"/>
              <w:marTop w:val="0"/>
              <w:marBottom w:val="0"/>
              <w:divBdr>
                <w:top w:val="none" w:sz="0" w:space="0" w:color="auto"/>
                <w:left w:val="none" w:sz="0" w:space="0" w:color="auto"/>
                <w:bottom w:val="none" w:sz="0" w:space="0" w:color="auto"/>
                <w:right w:val="none" w:sz="0" w:space="0" w:color="auto"/>
              </w:divBdr>
              <w:divsChild>
                <w:div w:id="834347533">
                  <w:marLeft w:val="0"/>
                  <w:marRight w:val="0"/>
                  <w:marTop w:val="0"/>
                  <w:marBottom w:val="0"/>
                  <w:divBdr>
                    <w:top w:val="none" w:sz="0" w:space="0" w:color="auto"/>
                    <w:left w:val="none" w:sz="0" w:space="0" w:color="auto"/>
                    <w:bottom w:val="none" w:sz="0" w:space="0" w:color="auto"/>
                    <w:right w:val="none" w:sz="0" w:space="0" w:color="auto"/>
                  </w:divBdr>
                  <w:divsChild>
                    <w:div w:id="1527865582">
                      <w:marLeft w:val="0"/>
                      <w:marRight w:val="0"/>
                      <w:marTop w:val="0"/>
                      <w:marBottom w:val="0"/>
                      <w:divBdr>
                        <w:top w:val="none" w:sz="0" w:space="0" w:color="auto"/>
                        <w:left w:val="none" w:sz="0" w:space="0" w:color="auto"/>
                        <w:bottom w:val="none" w:sz="0" w:space="0" w:color="auto"/>
                        <w:right w:val="none" w:sz="0" w:space="0" w:color="auto"/>
                      </w:divBdr>
                      <w:divsChild>
                        <w:div w:id="1830168681">
                          <w:marLeft w:val="0"/>
                          <w:marRight w:val="0"/>
                          <w:marTop w:val="0"/>
                          <w:marBottom w:val="0"/>
                          <w:divBdr>
                            <w:top w:val="single" w:sz="6" w:space="0" w:color="828282"/>
                            <w:left w:val="single" w:sz="6" w:space="0" w:color="828282"/>
                            <w:bottom w:val="single" w:sz="6" w:space="0" w:color="828282"/>
                            <w:right w:val="single" w:sz="6" w:space="0" w:color="828282"/>
                          </w:divBdr>
                          <w:divsChild>
                            <w:div w:id="884566486">
                              <w:marLeft w:val="0"/>
                              <w:marRight w:val="0"/>
                              <w:marTop w:val="0"/>
                              <w:marBottom w:val="0"/>
                              <w:divBdr>
                                <w:top w:val="none" w:sz="0" w:space="0" w:color="auto"/>
                                <w:left w:val="none" w:sz="0" w:space="0" w:color="auto"/>
                                <w:bottom w:val="none" w:sz="0" w:space="0" w:color="auto"/>
                                <w:right w:val="none" w:sz="0" w:space="0" w:color="auto"/>
                              </w:divBdr>
                              <w:divsChild>
                                <w:div w:id="229080291">
                                  <w:marLeft w:val="0"/>
                                  <w:marRight w:val="0"/>
                                  <w:marTop w:val="0"/>
                                  <w:marBottom w:val="0"/>
                                  <w:divBdr>
                                    <w:top w:val="none" w:sz="0" w:space="0" w:color="auto"/>
                                    <w:left w:val="none" w:sz="0" w:space="0" w:color="auto"/>
                                    <w:bottom w:val="none" w:sz="0" w:space="0" w:color="auto"/>
                                    <w:right w:val="none" w:sz="0" w:space="0" w:color="auto"/>
                                  </w:divBdr>
                                  <w:divsChild>
                                    <w:div w:id="991450678">
                                      <w:marLeft w:val="0"/>
                                      <w:marRight w:val="0"/>
                                      <w:marTop w:val="0"/>
                                      <w:marBottom w:val="0"/>
                                      <w:divBdr>
                                        <w:top w:val="none" w:sz="0" w:space="0" w:color="auto"/>
                                        <w:left w:val="none" w:sz="0" w:space="0" w:color="auto"/>
                                        <w:bottom w:val="none" w:sz="0" w:space="0" w:color="auto"/>
                                        <w:right w:val="none" w:sz="0" w:space="0" w:color="auto"/>
                                      </w:divBdr>
                                      <w:divsChild>
                                        <w:div w:id="981160780">
                                          <w:marLeft w:val="0"/>
                                          <w:marRight w:val="0"/>
                                          <w:marTop w:val="0"/>
                                          <w:marBottom w:val="0"/>
                                          <w:divBdr>
                                            <w:top w:val="none" w:sz="0" w:space="0" w:color="auto"/>
                                            <w:left w:val="none" w:sz="0" w:space="0" w:color="auto"/>
                                            <w:bottom w:val="none" w:sz="0" w:space="0" w:color="auto"/>
                                            <w:right w:val="none" w:sz="0" w:space="0" w:color="auto"/>
                                          </w:divBdr>
                                          <w:divsChild>
                                            <w:div w:id="1303270157">
                                              <w:marLeft w:val="0"/>
                                              <w:marRight w:val="0"/>
                                              <w:marTop w:val="0"/>
                                              <w:marBottom w:val="0"/>
                                              <w:divBdr>
                                                <w:top w:val="none" w:sz="0" w:space="0" w:color="auto"/>
                                                <w:left w:val="none" w:sz="0" w:space="0" w:color="auto"/>
                                                <w:bottom w:val="none" w:sz="0" w:space="0" w:color="auto"/>
                                                <w:right w:val="none" w:sz="0" w:space="0" w:color="auto"/>
                                              </w:divBdr>
                                              <w:divsChild>
                                                <w:div w:id="1960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535610">
      <w:bodyDiv w:val="1"/>
      <w:marLeft w:val="0"/>
      <w:marRight w:val="0"/>
      <w:marTop w:val="0"/>
      <w:marBottom w:val="0"/>
      <w:divBdr>
        <w:top w:val="none" w:sz="0" w:space="0" w:color="auto"/>
        <w:left w:val="none" w:sz="0" w:space="0" w:color="auto"/>
        <w:bottom w:val="none" w:sz="0" w:space="0" w:color="auto"/>
        <w:right w:val="none" w:sz="0" w:space="0" w:color="auto"/>
      </w:divBdr>
    </w:div>
    <w:div w:id="21337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1336C2BAFBBA4EA878036FAA9347D0" ma:contentTypeVersion="" ma:contentTypeDescription="PDMS Document Site Content Type" ma:contentTypeScope="" ma:versionID="fc2cf065c836d42829c39100a3ca5f42">
  <xsd:schema xmlns:xsd="http://www.w3.org/2001/XMLSchema" xmlns:xs="http://www.w3.org/2001/XMLSchema" xmlns:p="http://schemas.microsoft.com/office/2006/metadata/properties" xmlns:ns2="905F063F-ED59-455C-B548-69F27FE192FB" targetNamespace="http://schemas.microsoft.com/office/2006/metadata/properties" ma:root="true" ma:fieldsID="14328e6ec56112c4b89c076e15f44c5d" ns2:_="">
    <xsd:import namespace="905F063F-ED59-455C-B548-69F27FE192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063F-ED59-455C-B548-69F27FE192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05F063F-ED59-455C-B548-69F27FE192FB" xsi:nil="true"/>
  </documentManagement>
</p:properties>
</file>

<file path=customXml/itemProps1.xml><?xml version="1.0" encoding="utf-8"?>
<ds:datastoreItem xmlns:ds="http://schemas.openxmlformats.org/officeDocument/2006/customXml" ds:itemID="{1C2E60A1-A7B4-4FB2-ADA0-060A112A7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063F-ED59-455C-B548-69F27FE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8FC0A-9F35-49A3-92A2-952815072E4B}">
  <ds:schemaRefs>
    <ds:schemaRef ds:uri="http://schemas.microsoft.com/sharepoint/v3/contenttype/forms"/>
  </ds:schemaRefs>
</ds:datastoreItem>
</file>

<file path=customXml/itemProps3.xml><?xml version="1.0" encoding="utf-8"?>
<ds:datastoreItem xmlns:ds="http://schemas.openxmlformats.org/officeDocument/2006/customXml" ds:itemID="{4D9EF0E3-31B5-48D3-B0DD-DE24A0E4CC4F}">
  <ds:schemaRefs>
    <ds:schemaRef ds:uri="http://schemas.microsoft.com/office/infopath/2007/PartnerControls"/>
    <ds:schemaRef ds:uri="905F063F-ED59-455C-B548-69F27FE192FB"/>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1200</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Eleanor</dc:creator>
  <cp:lastModifiedBy>PANTIC, Sandra</cp:lastModifiedBy>
  <cp:revision>5</cp:revision>
  <cp:lastPrinted>2016-06-27T00:31:00Z</cp:lastPrinted>
  <dcterms:created xsi:type="dcterms:W3CDTF">2022-11-21T21:03:00Z</dcterms:created>
  <dcterms:modified xsi:type="dcterms:W3CDTF">2022-11-21T22:37:00Z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0x010100266966F133664895A6EE3632470D45F5003A1336C2BAFBBA4EA878036FAA9347D0</vt:lpwstr>
  </property>
</Properties>
</file>