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BE46" w14:textId="77777777" w:rsidR="000C1C39" w:rsidRPr="000C1C39" w:rsidRDefault="002950F0" w:rsidP="000C1C39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0C1C39">
        <w:rPr>
          <w:rFonts w:ascii="Arial" w:hAnsi="Arial" w:cs="Arial"/>
          <w:sz w:val="34"/>
          <w:szCs w:val="34"/>
        </w:rPr>
        <w:t>Legislative Instrument</w:t>
      </w:r>
    </w:p>
    <w:p w14:paraId="0B3A313C" w14:textId="2A093DFC" w:rsidR="00940579" w:rsidRPr="000C1C39" w:rsidRDefault="00166FA7" w:rsidP="000C1C39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r w:rsidRPr="000C1C39">
        <w:rPr>
          <w:rFonts w:ascii="Arial" w:hAnsi="Arial" w:cs="Arial"/>
          <w:sz w:val="34"/>
          <w:szCs w:val="34"/>
        </w:rPr>
        <w:t xml:space="preserve">Taxation Administration: </w:t>
      </w:r>
      <w:r w:rsidR="002950F0" w:rsidRPr="000C1C39">
        <w:rPr>
          <w:rFonts w:ascii="Arial" w:hAnsi="Arial" w:cs="Arial"/>
          <w:sz w:val="34"/>
          <w:szCs w:val="34"/>
        </w:rPr>
        <w:t xml:space="preserve">Classes of Electronic Payment System Transactions Exempt </w:t>
      </w:r>
      <w:r w:rsidR="006054BE" w:rsidRPr="000C1C39">
        <w:rPr>
          <w:rFonts w:ascii="Arial" w:hAnsi="Arial" w:cs="Arial"/>
          <w:sz w:val="34"/>
          <w:szCs w:val="34"/>
        </w:rPr>
        <w:t>f</w:t>
      </w:r>
      <w:r w:rsidR="002950F0" w:rsidRPr="000C1C39">
        <w:rPr>
          <w:rFonts w:ascii="Arial" w:hAnsi="Arial" w:cs="Arial"/>
          <w:sz w:val="34"/>
          <w:szCs w:val="34"/>
        </w:rPr>
        <w:t xml:space="preserve">rom Being Reported in </w:t>
      </w:r>
      <w:r w:rsidR="002950F0" w:rsidRPr="00DE4172">
        <w:rPr>
          <w:rFonts w:ascii="Arial" w:hAnsi="Arial" w:cs="Arial"/>
          <w:sz w:val="34"/>
          <w:szCs w:val="34"/>
        </w:rPr>
        <w:t>Third Party</w:t>
      </w:r>
      <w:r w:rsidR="002950F0" w:rsidRPr="000C1C39">
        <w:rPr>
          <w:rFonts w:ascii="Arial" w:hAnsi="Arial" w:cs="Arial"/>
          <w:sz w:val="34"/>
          <w:szCs w:val="34"/>
        </w:rPr>
        <w:t xml:space="preserve"> Reports Determination </w:t>
      </w:r>
      <w:r w:rsidR="001B6185" w:rsidRPr="000C1C39">
        <w:rPr>
          <w:rFonts w:ascii="Arial" w:hAnsi="Arial" w:cs="Arial"/>
          <w:sz w:val="34"/>
          <w:szCs w:val="34"/>
        </w:rPr>
        <w:t>2022</w:t>
      </w:r>
    </w:p>
    <w:p w14:paraId="52739E72" w14:textId="77777777" w:rsidR="000C1C39" w:rsidRPr="000C1C39" w:rsidRDefault="000A1078" w:rsidP="000C1C39">
      <w:pPr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I,</w:t>
      </w:r>
      <w:r w:rsidR="00354C19" w:rsidRPr="000C1C39">
        <w:rPr>
          <w:rFonts w:ascii="Arial" w:hAnsi="Arial" w:cs="Arial"/>
          <w:sz w:val="22"/>
          <w:szCs w:val="22"/>
        </w:rPr>
        <w:t xml:space="preserve"> </w:t>
      </w:r>
      <w:r w:rsidR="00956CDE" w:rsidRPr="000C1C39">
        <w:rPr>
          <w:rFonts w:ascii="Arial" w:hAnsi="Arial" w:cs="Arial"/>
          <w:sz w:val="22"/>
          <w:szCs w:val="22"/>
        </w:rPr>
        <w:t>Ben Kelly</w:t>
      </w:r>
      <w:r w:rsidR="007A326B" w:rsidRPr="000C1C39">
        <w:rPr>
          <w:rFonts w:ascii="Arial" w:hAnsi="Arial" w:cs="Arial"/>
          <w:sz w:val="22"/>
          <w:szCs w:val="22"/>
        </w:rPr>
        <w:t xml:space="preserve">, </w:t>
      </w:r>
      <w:r w:rsidR="00354C19" w:rsidRPr="000C1C39">
        <w:rPr>
          <w:rFonts w:ascii="Arial" w:hAnsi="Arial" w:cs="Arial"/>
          <w:sz w:val="22"/>
          <w:szCs w:val="22"/>
        </w:rPr>
        <w:t xml:space="preserve">Deputy Commissioner </w:t>
      </w:r>
      <w:r w:rsidR="00FE443B" w:rsidRPr="000C1C39">
        <w:rPr>
          <w:rFonts w:ascii="Arial" w:hAnsi="Arial" w:cs="Arial"/>
          <w:sz w:val="22"/>
          <w:szCs w:val="22"/>
        </w:rPr>
        <w:t>of Taxation</w:t>
      </w:r>
      <w:r w:rsidRPr="000C1C39">
        <w:rPr>
          <w:rFonts w:ascii="Arial" w:hAnsi="Arial" w:cs="Arial"/>
          <w:sz w:val="22"/>
          <w:szCs w:val="22"/>
        </w:rPr>
        <w:t xml:space="preserve">, make this </w:t>
      </w:r>
      <w:r w:rsidR="00F233B1" w:rsidRPr="000C1C39">
        <w:rPr>
          <w:rFonts w:ascii="Arial" w:hAnsi="Arial" w:cs="Arial"/>
          <w:sz w:val="22"/>
          <w:szCs w:val="22"/>
        </w:rPr>
        <w:t>d</w:t>
      </w:r>
      <w:r w:rsidR="000B2C32" w:rsidRPr="000C1C39">
        <w:rPr>
          <w:rFonts w:ascii="Arial" w:hAnsi="Arial" w:cs="Arial"/>
          <w:sz w:val="22"/>
          <w:szCs w:val="22"/>
        </w:rPr>
        <w:t>etermination</w:t>
      </w:r>
      <w:r w:rsidRPr="000C1C39">
        <w:rPr>
          <w:rFonts w:ascii="Arial" w:hAnsi="Arial" w:cs="Arial"/>
          <w:sz w:val="22"/>
          <w:szCs w:val="22"/>
        </w:rPr>
        <w:t xml:space="preserve"> under</w:t>
      </w:r>
      <w:r w:rsidR="00354C19" w:rsidRPr="000C1C39">
        <w:rPr>
          <w:rFonts w:ascii="Arial" w:hAnsi="Arial" w:cs="Arial"/>
          <w:sz w:val="22"/>
          <w:szCs w:val="22"/>
        </w:rPr>
        <w:t xml:space="preserve"> </w:t>
      </w:r>
      <w:r w:rsidR="0072336F" w:rsidRPr="000C1C39">
        <w:rPr>
          <w:rFonts w:ascii="Arial" w:hAnsi="Arial" w:cs="Arial"/>
          <w:sz w:val="22"/>
          <w:szCs w:val="22"/>
        </w:rPr>
        <w:t>subsection</w:t>
      </w:r>
      <w:r w:rsidR="00FE332D" w:rsidRPr="000C1C39">
        <w:rPr>
          <w:rFonts w:ascii="Arial" w:hAnsi="Arial" w:cs="Arial"/>
          <w:sz w:val="22"/>
          <w:szCs w:val="22"/>
        </w:rPr>
        <w:t xml:space="preserve"> 396-70(4)</w:t>
      </w:r>
      <w:r w:rsidR="0072336F" w:rsidRPr="000C1C39">
        <w:rPr>
          <w:rFonts w:ascii="Arial" w:hAnsi="Arial" w:cs="Arial"/>
          <w:sz w:val="22"/>
          <w:szCs w:val="22"/>
        </w:rPr>
        <w:t xml:space="preserve"> </w:t>
      </w:r>
      <w:r w:rsidR="00FE332D" w:rsidRPr="000C1C39">
        <w:rPr>
          <w:rFonts w:ascii="Arial" w:hAnsi="Arial" w:cs="Arial"/>
          <w:sz w:val="22"/>
          <w:szCs w:val="22"/>
        </w:rPr>
        <w:t xml:space="preserve">of Schedule 1 to the </w:t>
      </w:r>
      <w:r w:rsidR="00FE332D" w:rsidRPr="000C1C39">
        <w:rPr>
          <w:rFonts w:ascii="Arial" w:hAnsi="Arial" w:cs="Arial"/>
          <w:i/>
          <w:sz w:val="22"/>
          <w:szCs w:val="22"/>
        </w:rPr>
        <w:t>Taxation Administration Act 1953.</w:t>
      </w:r>
    </w:p>
    <w:p w14:paraId="11C28C02" w14:textId="30A203AC" w:rsidR="00F233B1" w:rsidRPr="000C1C39" w:rsidRDefault="00F233B1" w:rsidP="000C1C39">
      <w:pPr>
        <w:rPr>
          <w:rFonts w:ascii="Arial" w:hAnsi="Arial" w:cs="Arial"/>
          <w:sz w:val="22"/>
          <w:szCs w:val="22"/>
        </w:rPr>
      </w:pPr>
    </w:p>
    <w:p w14:paraId="6F81D562" w14:textId="0115BC2A" w:rsidR="00BB6DC3" w:rsidRPr="000C1C39" w:rsidRDefault="00BB6DC3" w:rsidP="000C1C39">
      <w:pPr>
        <w:rPr>
          <w:rFonts w:ascii="Arial" w:hAnsi="Arial" w:cs="Arial"/>
          <w:sz w:val="22"/>
          <w:szCs w:val="22"/>
        </w:rPr>
      </w:pPr>
    </w:p>
    <w:p w14:paraId="5E2131BA" w14:textId="77777777" w:rsidR="00992067" w:rsidRPr="000C1C39" w:rsidRDefault="000A1078" w:rsidP="000C1C39">
      <w:pPr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Deputy Commissioner of Taxation</w:t>
      </w:r>
    </w:p>
    <w:p w14:paraId="40493ADE" w14:textId="77777777" w:rsidR="00B362D6" w:rsidRPr="000C1C39" w:rsidRDefault="00B362D6" w:rsidP="000C1C39">
      <w:pPr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Policy, Analysis and Legislation</w:t>
      </w:r>
    </w:p>
    <w:p w14:paraId="54643E93" w14:textId="77777777" w:rsidR="00B362D6" w:rsidRPr="000C1C39" w:rsidRDefault="00B362D6" w:rsidP="000C1C39">
      <w:pPr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Law Design and Practice</w:t>
      </w:r>
    </w:p>
    <w:p w14:paraId="174324E5" w14:textId="55F850A2" w:rsidR="000C1C39" w:rsidRPr="000C1C39" w:rsidRDefault="00992067" w:rsidP="000C1C39">
      <w:pPr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Dated:</w:t>
      </w:r>
      <w:r w:rsidR="008E08C8">
        <w:rPr>
          <w:rFonts w:ascii="Arial" w:hAnsi="Arial" w:cs="Arial"/>
          <w:sz w:val="22"/>
          <w:szCs w:val="22"/>
        </w:rPr>
        <w:t xml:space="preserve">  25 October 2022</w:t>
      </w:r>
    </w:p>
    <w:p w14:paraId="7C8BDC76" w14:textId="49031B82" w:rsidR="00AD7346" w:rsidRPr="000C1C39" w:rsidRDefault="00AD7346" w:rsidP="00227E0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C9588DD" w14:textId="77777777" w:rsidR="005B0F08" w:rsidRPr="000C1C39" w:rsidRDefault="005B0F08" w:rsidP="000C1C39">
      <w:pPr>
        <w:spacing w:after="120"/>
        <w:rPr>
          <w:rFonts w:ascii="Arial" w:hAnsi="Arial" w:cs="Arial"/>
          <w:sz w:val="22"/>
          <w:szCs w:val="22"/>
        </w:rPr>
      </w:pPr>
    </w:p>
    <w:p w14:paraId="2FB052A3" w14:textId="77777777" w:rsidR="000A1078" w:rsidRPr="00A5310B" w:rsidRDefault="000A1078" w:rsidP="00A5310B">
      <w:pPr>
        <w:pStyle w:val="Heading2"/>
        <w:numPr>
          <w:ilvl w:val="0"/>
          <w:numId w:val="30"/>
        </w:numPr>
        <w:spacing w:before="0" w:after="120"/>
        <w:ind w:hanging="709"/>
        <w:rPr>
          <w:rFonts w:ascii="Arial" w:hAnsi="Arial" w:cs="Arial"/>
          <w:color w:val="auto"/>
          <w:sz w:val="22"/>
          <w:szCs w:val="22"/>
        </w:rPr>
      </w:pPr>
      <w:r w:rsidRPr="00A5310B">
        <w:rPr>
          <w:rFonts w:ascii="Arial" w:hAnsi="Arial" w:cs="Arial"/>
          <w:color w:val="auto"/>
          <w:sz w:val="22"/>
          <w:szCs w:val="22"/>
        </w:rPr>
        <w:t xml:space="preserve">Name of </w:t>
      </w:r>
      <w:r w:rsidR="00950E56" w:rsidRPr="00A5310B">
        <w:rPr>
          <w:rFonts w:ascii="Arial" w:hAnsi="Arial" w:cs="Arial"/>
          <w:color w:val="auto"/>
          <w:sz w:val="22"/>
          <w:szCs w:val="22"/>
        </w:rPr>
        <w:t>instrument</w:t>
      </w:r>
    </w:p>
    <w:p w14:paraId="1A5F1494" w14:textId="477A61E4" w:rsidR="000A1078" w:rsidRPr="000C1C39" w:rsidRDefault="000A1078" w:rsidP="000C1C3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This </w:t>
      </w:r>
      <w:r w:rsidR="007223F7" w:rsidRPr="000C1C39">
        <w:rPr>
          <w:rFonts w:ascii="Arial" w:hAnsi="Arial" w:cs="Arial"/>
          <w:sz w:val="22"/>
          <w:szCs w:val="22"/>
        </w:rPr>
        <w:t xml:space="preserve">instrument </w:t>
      </w:r>
      <w:r w:rsidR="001F30CF" w:rsidRPr="000C1C39">
        <w:rPr>
          <w:rFonts w:ascii="Arial" w:hAnsi="Arial" w:cs="Arial"/>
          <w:sz w:val="22"/>
          <w:szCs w:val="22"/>
        </w:rPr>
        <w:t>is</w:t>
      </w:r>
      <w:r w:rsidR="000B2C32" w:rsidRPr="000C1C39">
        <w:rPr>
          <w:rFonts w:ascii="Arial" w:hAnsi="Arial" w:cs="Arial"/>
          <w:sz w:val="22"/>
          <w:szCs w:val="22"/>
        </w:rPr>
        <w:t xml:space="preserve"> the</w:t>
      </w:r>
      <w:r w:rsidR="00D34E3D" w:rsidRPr="000C1C39">
        <w:rPr>
          <w:rFonts w:ascii="Arial" w:hAnsi="Arial" w:cs="Arial"/>
          <w:sz w:val="22"/>
          <w:szCs w:val="22"/>
        </w:rPr>
        <w:t xml:space="preserve"> </w:t>
      </w:r>
      <w:r w:rsidR="00745F59" w:rsidRPr="000C1C39">
        <w:rPr>
          <w:rFonts w:ascii="Arial" w:hAnsi="Arial" w:cs="Arial"/>
          <w:i/>
          <w:iCs/>
          <w:sz w:val="22"/>
          <w:szCs w:val="22"/>
        </w:rPr>
        <w:t>Taxation Administration:</w:t>
      </w:r>
      <w:r w:rsidR="00745F59" w:rsidRPr="000C1C39">
        <w:rPr>
          <w:rFonts w:ascii="Arial" w:hAnsi="Arial" w:cs="Arial"/>
          <w:sz w:val="22"/>
          <w:szCs w:val="22"/>
        </w:rPr>
        <w:t xml:space="preserve"> 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Classes of </w:t>
      </w:r>
      <w:r w:rsidR="002E5306" w:rsidRPr="000C1C39">
        <w:rPr>
          <w:rFonts w:ascii="Arial" w:hAnsi="Arial" w:cs="Arial"/>
          <w:i/>
          <w:sz w:val="22"/>
          <w:szCs w:val="22"/>
        </w:rPr>
        <w:t xml:space="preserve">Electronic 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Payment System </w:t>
      </w:r>
      <w:r w:rsidR="0005765C" w:rsidRPr="000C1C39">
        <w:rPr>
          <w:rFonts w:ascii="Arial" w:hAnsi="Arial" w:cs="Arial"/>
          <w:i/>
          <w:sz w:val="22"/>
          <w:szCs w:val="22"/>
        </w:rPr>
        <w:t>Transactions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 Exempt </w:t>
      </w:r>
      <w:r w:rsidR="006054BE" w:rsidRPr="000C1C39">
        <w:rPr>
          <w:rFonts w:ascii="Arial" w:hAnsi="Arial" w:cs="Arial"/>
          <w:i/>
          <w:sz w:val="22"/>
          <w:szCs w:val="22"/>
        </w:rPr>
        <w:t>f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rom </w:t>
      </w:r>
      <w:r w:rsidR="008C1C60" w:rsidRPr="000C1C39">
        <w:rPr>
          <w:rFonts w:ascii="Arial" w:hAnsi="Arial" w:cs="Arial"/>
          <w:i/>
          <w:sz w:val="22"/>
          <w:szCs w:val="22"/>
        </w:rPr>
        <w:t xml:space="preserve">Being </w:t>
      </w:r>
      <w:r w:rsidR="003D3E6D" w:rsidRPr="000C1C39">
        <w:rPr>
          <w:rFonts w:ascii="Arial" w:hAnsi="Arial" w:cs="Arial"/>
          <w:i/>
          <w:sz w:val="22"/>
          <w:szCs w:val="22"/>
        </w:rPr>
        <w:t>Reported</w:t>
      </w:r>
      <w:r w:rsidR="008C1C60" w:rsidRPr="000C1C39">
        <w:rPr>
          <w:rFonts w:ascii="Arial" w:hAnsi="Arial" w:cs="Arial"/>
          <w:i/>
          <w:sz w:val="22"/>
          <w:szCs w:val="22"/>
        </w:rPr>
        <w:t xml:space="preserve"> </w:t>
      </w:r>
      <w:r w:rsidR="003D31FA" w:rsidRPr="000C1C39">
        <w:rPr>
          <w:rFonts w:ascii="Arial" w:hAnsi="Arial" w:cs="Arial"/>
          <w:i/>
          <w:sz w:val="22"/>
          <w:szCs w:val="22"/>
        </w:rPr>
        <w:t>i</w:t>
      </w:r>
      <w:r w:rsidR="008C1C60" w:rsidRPr="000C1C39">
        <w:rPr>
          <w:rFonts w:ascii="Arial" w:hAnsi="Arial" w:cs="Arial"/>
          <w:i/>
          <w:sz w:val="22"/>
          <w:szCs w:val="22"/>
        </w:rPr>
        <w:t>n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 </w:t>
      </w:r>
      <w:r w:rsidR="00964F3F" w:rsidRPr="00DE4172">
        <w:rPr>
          <w:rFonts w:ascii="Arial" w:hAnsi="Arial" w:cs="Arial"/>
          <w:i/>
          <w:sz w:val="22"/>
          <w:szCs w:val="22"/>
        </w:rPr>
        <w:t>Third Party</w:t>
      </w:r>
      <w:r w:rsidR="00964F3F" w:rsidRPr="000C1C39">
        <w:rPr>
          <w:rFonts w:ascii="Arial" w:hAnsi="Arial" w:cs="Arial"/>
          <w:i/>
          <w:sz w:val="22"/>
          <w:szCs w:val="22"/>
        </w:rPr>
        <w:t xml:space="preserve"> Reports</w:t>
      </w:r>
      <w:r w:rsidR="00FD311E" w:rsidRPr="000C1C39">
        <w:rPr>
          <w:rFonts w:ascii="Arial" w:hAnsi="Arial" w:cs="Arial"/>
          <w:i/>
          <w:sz w:val="22"/>
          <w:szCs w:val="22"/>
        </w:rPr>
        <w:t xml:space="preserve"> Determination 20</w:t>
      </w:r>
      <w:r w:rsidR="0030086F" w:rsidRPr="000C1C39">
        <w:rPr>
          <w:rFonts w:ascii="Arial" w:hAnsi="Arial" w:cs="Arial"/>
          <w:i/>
          <w:sz w:val="22"/>
          <w:szCs w:val="22"/>
        </w:rPr>
        <w:t>2</w:t>
      </w:r>
      <w:r w:rsidR="003F0BE9" w:rsidRPr="000C1C39">
        <w:rPr>
          <w:rFonts w:ascii="Arial" w:hAnsi="Arial" w:cs="Arial"/>
          <w:i/>
          <w:sz w:val="22"/>
          <w:szCs w:val="22"/>
        </w:rPr>
        <w:t>2</w:t>
      </w:r>
      <w:r w:rsidR="00084DB2" w:rsidRPr="000C1C39">
        <w:rPr>
          <w:rFonts w:ascii="Arial" w:hAnsi="Arial" w:cs="Arial"/>
          <w:b/>
          <w:sz w:val="22"/>
          <w:szCs w:val="22"/>
        </w:rPr>
        <w:t>.</w:t>
      </w:r>
    </w:p>
    <w:p w14:paraId="4CA531AE" w14:textId="77777777" w:rsidR="000A1078" w:rsidRPr="000C1C39" w:rsidRDefault="000A1078" w:rsidP="000C1C39">
      <w:pPr>
        <w:spacing w:after="120"/>
        <w:rPr>
          <w:rFonts w:ascii="Arial" w:hAnsi="Arial" w:cs="Arial"/>
          <w:sz w:val="22"/>
          <w:szCs w:val="22"/>
        </w:rPr>
      </w:pPr>
    </w:p>
    <w:p w14:paraId="786FB7B9" w14:textId="77777777" w:rsidR="000A1078" w:rsidRPr="00A5310B" w:rsidRDefault="000A1078" w:rsidP="00A5310B">
      <w:pPr>
        <w:pStyle w:val="Heading2"/>
        <w:numPr>
          <w:ilvl w:val="0"/>
          <w:numId w:val="30"/>
        </w:numPr>
        <w:spacing w:before="0" w:after="120"/>
        <w:ind w:hanging="709"/>
        <w:rPr>
          <w:rFonts w:ascii="Arial" w:hAnsi="Arial" w:cs="Arial"/>
          <w:color w:val="auto"/>
          <w:sz w:val="22"/>
          <w:szCs w:val="22"/>
        </w:rPr>
      </w:pPr>
      <w:r w:rsidRPr="00A5310B">
        <w:rPr>
          <w:rFonts w:ascii="Arial" w:hAnsi="Arial" w:cs="Arial"/>
          <w:color w:val="auto"/>
          <w:sz w:val="22"/>
          <w:szCs w:val="22"/>
        </w:rPr>
        <w:t>Commencement</w:t>
      </w:r>
    </w:p>
    <w:p w14:paraId="68E978D1" w14:textId="7D28D5FA" w:rsidR="00EB5DB4" w:rsidRPr="000C1C39" w:rsidRDefault="000A1078" w:rsidP="000C1C3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This </w:t>
      </w:r>
      <w:r w:rsidR="00950E56" w:rsidRPr="000C1C39">
        <w:rPr>
          <w:rFonts w:ascii="Arial" w:hAnsi="Arial" w:cs="Arial"/>
          <w:sz w:val="22"/>
          <w:szCs w:val="22"/>
        </w:rPr>
        <w:t>instrument</w:t>
      </w:r>
      <w:r w:rsidR="00857716" w:rsidRPr="000C1C39">
        <w:rPr>
          <w:rFonts w:ascii="Arial" w:hAnsi="Arial" w:cs="Arial"/>
          <w:sz w:val="22"/>
          <w:szCs w:val="22"/>
        </w:rPr>
        <w:t xml:space="preserve"> </w:t>
      </w:r>
      <w:r w:rsidR="00B44643" w:rsidRPr="000C1C39">
        <w:rPr>
          <w:rFonts w:ascii="Arial" w:hAnsi="Arial" w:cs="Arial"/>
          <w:sz w:val="22"/>
          <w:szCs w:val="22"/>
        </w:rPr>
        <w:t>commences</w:t>
      </w:r>
      <w:r w:rsidR="00857716" w:rsidRPr="000C1C39">
        <w:rPr>
          <w:rFonts w:ascii="Arial" w:hAnsi="Arial" w:cs="Arial"/>
          <w:sz w:val="22"/>
          <w:szCs w:val="22"/>
        </w:rPr>
        <w:t xml:space="preserve"> </w:t>
      </w:r>
      <w:r w:rsidR="00084DB2" w:rsidRPr="000C1C39">
        <w:rPr>
          <w:rFonts w:ascii="Arial" w:hAnsi="Arial" w:cs="Arial"/>
          <w:sz w:val="22"/>
          <w:szCs w:val="22"/>
        </w:rPr>
        <w:t xml:space="preserve">on 1 </w:t>
      </w:r>
      <w:r w:rsidR="00CC4472" w:rsidRPr="000C1C39">
        <w:rPr>
          <w:rFonts w:ascii="Arial" w:hAnsi="Arial" w:cs="Arial"/>
          <w:sz w:val="22"/>
          <w:szCs w:val="22"/>
        </w:rPr>
        <w:t>July 2022</w:t>
      </w:r>
      <w:r w:rsidR="00B02FAE" w:rsidRPr="000C1C39">
        <w:rPr>
          <w:rFonts w:ascii="Arial" w:hAnsi="Arial" w:cs="Arial"/>
          <w:sz w:val="22"/>
          <w:szCs w:val="22"/>
        </w:rPr>
        <w:t>.</w:t>
      </w:r>
    </w:p>
    <w:p w14:paraId="0309EDEF" w14:textId="77777777" w:rsidR="00DC6C97" w:rsidRPr="000C1C39" w:rsidRDefault="00DC6C97" w:rsidP="000C1C39">
      <w:pPr>
        <w:spacing w:after="120"/>
        <w:rPr>
          <w:rFonts w:ascii="Arial" w:hAnsi="Arial" w:cs="Arial"/>
          <w:sz w:val="22"/>
          <w:szCs w:val="22"/>
        </w:rPr>
      </w:pPr>
    </w:p>
    <w:p w14:paraId="2EF98F5D" w14:textId="2AB970E9" w:rsidR="000A1078" w:rsidRPr="00A5310B" w:rsidRDefault="001B1582" w:rsidP="00A5310B">
      <w:pPr>
        <w:pStyle w:val="Heading2"/>
        <w:numPr>
          <w:ilvl w:val="0"/>
          <w:numId w:val="30"/>
        </w:numPr>
        <w:spacing w:before="0" w:after="120"/>
        <w:ind w:hanging="709"/>
        <w:rPr>
          <w:rFonts w:ascii="Arial" w:hAnsi="Arial" w:cs="Arial"/>
          <w:color w:val="auto"/>
          <w:sz w:val="22"/>
          <w:szCs w:val="22"/>
        </w:rPr>
      </w:pPr>
      <w:bookmarkStart w:id="0" w:name="_Hlk115785920"/>
      <w:r w:rsidRPr="00A5310B">
        <w:rPr>
          <w:rFonts w:ascii="Arial" w:hAnsi="Arial" w:cs="Arial"/>
          <w:color w:val="auto"/>
          <w:sz w:val="22"/>
          <w:szCs w:val="22"/>
        </w:rPr>
        <w:t>Reporting exemptions</w:t>
      </w:r>
    </w:p>
    <w:p w14:paraId="36FDBCB4" w14:textId="30F813BF" w:rsidR="00D36ADB" w:rsidRPr="00A5310B" w:rsidRDefault="00D36ADB" w:rsidP="00614F97">
      <w:pPr>
        <w:numPr>
          <w:ilvl w:val="0"/>
          <w:numId w:val="31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A5310B">
        <w:rPr>
          <w:rFonts w:ascii="Arial" w:hAnsi="Arial" w:cs="Arial"/>
          <w:sz w:val="22"/>
          <w:szCs w:val="22"/>
        </w:rPr>
        <w:t>An</w:t>
      </w:r>
      <w:r w:rsidR="00F37DEF" w:rsidRPr="00A5310B">
        <w:rPr>
          <w:rFonts w:ascii="Arial" w:hAnsi="Arial" w:cs="Arial"/>
          <w:lang w:val="en-US"/>
        </w:rPr>
        <w:t xml:space="preserve"> </w:t>
      </w:r>
      <w:r w:rsidR="00BC1B12" w:rsidRPr="00A5310B">
        <w:rPr>
          <w:rFonts w:ascii="Arial" w:hAnsi="Arial" w:cs="Arial"/>
          <w:sz w:val="22"/>
          <w:szCs w:val="22"/>
          <w:lang w:val="en-US"/>
        </w:rPr>
        <w:t xml:space="preserve">administrator of a payment system, within the meaning of the </w:t>
      </w:r>
      <w:r w:rsidR="00BC1B12" w:rsidRPr="00A5310B">
        <w:rPr>
          <w:rFonts w:ascii="Arial" w:hAnsi="Arial" w:cs="Arial"/>
          <w:i/>
          <w:sz w:val="22"/>
          <w:szCs w:val="22"/>
          <w:lang w:val="en-US"/>
        </w:rPr>
        <w:t>Payment Systems (Regulation) Act 1998</w:t>
      </w:r>
      <w:r w:rsidRPr="00A5310B">
        <w:rPr>
          <w:rFonts w:ascii="Arial" w:hAnsi="Arial" w:cs="Arial"/>
          <w:sz w:val="22"/>
          <w:szCs w:val="22"/>
        </w:rPr>
        <w:t>, is not required to provide information to the Commissioner</w:t>
      </w:r>
      <w:r w:rsidR="00413E03">
        <w:rPr>
          <w:rFonts w:ascii="Arial" w:hAnsi="Arial" w:cs="Arial"/>
          <w:sz w:val="22"/>
          <w:szCs w:val="22"/>
        </w:rPr>
        <w:t xml:space="preserve"> </w:t>
      </w:r>
      <w:r w:rsidRPr="00A5310B">
        <w:rPr>
          <w:rFonts w:ascii="Arial" w:hAnsi="Arial" w:cs="Arial"/>
          <w:sz w:val="22"/>
          <w:szCs w:val="22"/>
        </w:rPr>
        <w:t>of Taxation under table item 9 in section 396-55 of Schedule 1 to the</w:t>
      </w:r>
      <w:r w:rsidR="000C7CD7" w:rsidRPr="00A5310B">
        <w:rPr>
          <w:rFonts w:ascii="Arial" w:hAnsi="Arial" w:cs="Arial"/>
          <w:i/>
          <w:sz w:val="22"/>
          <w:szCs w:val="22"/>
        </w:rPr>
        <w:t xml:space="preserve"> Taxation Administration Act 1953</w:t>
      </w:r>
      <w:r w:rsidR="000C7CD7" w:rsidRPr="00A5310B">
        <w:rPr>
          <w:rFonts w:ascii="Arial" w:hAnsi="Arial" w:cs="Arial"/>
          <w:sz w:val="22"/>
          <w:szCs w:val="22"/>
        </w:rPr>
        <w:t xml:space="preserve"> (TAA)</w:t>
      </w:r>
      <w:r w:rsidRPr="00A5310B">
        <w:rPr>
          <w:rFonts w:ascii="Arial" w:hAnsi="Arial" w:cs="Arial"/>
          <w:sz w:val="22"/>
          <w:szCs w:val="22"/>
        </w:rPr>
        <w:t xml:space="preserve"> in relation to a transaction </w:t>
      </w:r>
      <w:r w:rsidR="00797ED5" w:rsidRPr="00A5310B">
        <w:rPr>
          <w:rFonts w:ascii="Arial" w:hAnsi="Arial" w:cs="Arial"/>
          <w:sz w:val="22"/>
          <w:szCs w:val="22"/>
        </w:rPr>
        <w:t>that is a payment</w:t>
      </w:r>
      <w:r w:rsidRPr="00A5310B">
        <w:rPr>
          <w:rFonts w:ascii="Arial" w:hAnsi="Arial" w:cs="Arial"/>
          <w:sz w:val="22"/>
          <w:szCs w:val="22"/>
        </w:rPr>
        <w:t>:</w:t>
      </w:r>
    </w:p>
    <w:p w14:paraId="25E1F805" w14:textId="5D1885C7" w:rsidR="000C1C39" w:rsidRPr="000C1C39" w:rsidRDefault="00D36ADB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initiated by another entity</w:t>
      </w:r>
      <w:r w:rsidR="001B1582" w:rsidRPr="000C1C39">
        <w:rPr>
          <w:rFonts w:ascii="Arial" w:hAnsi="Arial" w:cs="Arial"/>
          <w:sz w:val="22"/>
          <w:szCs w:val="22"/>
        </w:rPr>
        <w:t>,</w:t>
      </w:r>
      <w:r w:rsidR="00DB1D4A" w:rsidRPr="000C1C39">
        <w:rPr>
          <w:rFonts w:ascii="Arial" w:hAnsi="Arial" w:cs="Arial"/>
          <w:sz w:val="22"/>
          <w:szCs w:val="22"/>
        </w:rPr>
        <w:t xml:space="preserve"> </w:t>
      </w:r>
      <w:r w:rsidR="00797ED5" w:rsidRPr="000C1C39">
        <w:rPr>
          <w:rFonts w:ascii="Arial" w:hAnsi="Arial" w:cs="Arial"/>
          <w:sz w:val="22"/>
          <w:szCs w:val="22"/>
        </w:rPr>
        <w:t>where</w:t>
      </w:r>
      <w:r w:rsidR="005125F8" w:rsidRPr="000C1C39">
        <w:rPr>
          <w:rFonts w:ascii="Arial" w:hAnsi="Arial" w:cs="Arial"/>
          <w:sz w:val="22"/>
          <w:szCs w:val="22"/>
        </w:rPr>
        <w:t xml:space="preserve"> the other entity is required to provide information to the Commissioner</w:t>
      </w:r>
      <w:r w:rsidR="00413E03">
        <w:rPr>
          <w:rFonts w:ascii="Arial" w:hAnsi="Arial" w:cs="Arial"/>
          <w:sz w:val="22"/>
          <w:szCs w:val="22"/>
        </w:rPr>
        <w:t xml:space="preserve"> </w:t>
      </w:r>
      <w:r w:rsidR="005125F8" w:rsidRPr="000C1C39">
        <w:rPr>
          <w:rFonts w:ascii="Arial" w:hAnsi="Arial" w:cs="Arial"/>
          <w:sz w:val="22"/>
          <w:szCs w:val="22"/>
        </w:rPr>
        <w:t>in relation to the transaction under table item 9 in section 396-55 of Schedule 1 to the TAA</w:t>
      </w:r>
      <w:r w:rsidR="00FF1414">
        <w:rPr>
          <w:rFonts w:ascii="Arial" w:hAnsi="Arial" w:cs="Arial"/>
          <w:sz w:val="22"/>
          <w:szCs w:val="22"/>
        </w:rPr>
        <w:t>;</w:t>
      </w:r>
    </w:p>
    <w:bookmarkEnd w:id="0"/>
    <w:p w14:paraId="5A7F73C7" w14:textId="4971D076" w:rsidR="00797ED5" w:rsidRPr="000C1C39" w:rsidRDefault="00DC6C97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</w:t>
      </w:r>
      <w:r w:rsidR="00D94F1D" w:rsidRPr="000C1C39">
        <w:rPr>
          <w:rFonts w:ascii="Arial" w:hAnsi="Arial" w:cs="Arial"/>
          <w:sz w:val="22"/>
          <w:szCs w:val="22"/>
        </w:rPr>
        <w:t>a carriage service</w:t>
      </w:r>
      <w:r w:rsidR="00483664" w:rsidRPr="000C1C39">
        <w:rPr>
          <w:rFonts w:ascii="Arial" w:hAnsi="Arial" w:cs="Arial"/>
          <w:sz w:val="22"/>
          <w:szCs w:val="22"/>
        </w:rPr>
        <w:t xml:space="preserve"> provider</w:t>
      </w:r>
      <w:r w:rsidR="00D94F1D" w:rsidRPr="000C1C39">
        <w:rPr>
          <w:rFonts w:ascii="Arial" w:hAnsi="Arial" w:cs="Arial"/>
          <w:sz w:val="22"/>
          <w:szCs w:val="22"/>
        </w:rPr>
        <w:t xml:space="preserve"> (within the meaning of the </w:t>
      </w:r>
      <w:r w:rsidR="00D94F1D" w:rsidRPr="000C1C39">
        <w:rPr>
          <w:rFonts w:ascii="Arial" w:hAnsi="Arial" w:cs="Arial"/>
          <w:i/>
          <w:iCs/>
          <w:sz w:val="22"/>
          <w:szCs w:val="22"/>
        </w:rPr>
        <w:t>Telecommunications Act 1997</w:t>
      </w:r>
      <w:r w:rsidR="00D94F1D"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44BE7B3B" w14:textId="2E570D78" w:rsidR="00E31776" w:rsidRPr="000C1C39" w:rsidRDefault="003D0EB2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a utility </w:t>
      </w:r>
      <w:r w:rsidR="00AE2A83" w:rsidRPr="000C1C39">
        <w:rPr>
          <w:rFonts w:ascii="Arial" w:hAnsi="Arial" w:cs="Arial"/>
          <w:sz w:val="22"/>
          <w:szCs w:val="22"/>
        </w:rPr>
        <w:t>for the provision of</w:t>
      </w:r>
      <w:r w:rsidRPr="000C1C39">
        <w:rPr>
          <w:rFonts w:ascii="Arial" w:hAnsi="Arial" w:cs="Arial"/>
          <w:sz w:val="22"/>
          <w:szCs w:val="22"/>
        </w:rPr>
        <w:t xml:space="preserve"> electricity, water, </w:t>
      </w:r>
      <w:r w:rsidR="00D07987" w:rsidRPr="000C1C39">
        <w:rPr>
          <w:rFonts w:ascii="Arial" w:hAnsi="Arial" w:cs="Arial"/>
          <w:sz w:val="22"/>
          <w:szCs w:val="22"/>
        </w:rPr>
        <w:t>sewerage,</w:t>
      </w:r>
      <w:r w:rsidRPr="000C1C39">
        <w:rPr>
          <w:rFonts w:ascii="Arial" w:hAnsi="Arial" w:cs="Arial"/>
          <w:sz w:val="22"/>
          <w:szCs w:val="22"/>
        </w:rPr>
        <w:t xml:space="preserve"> or gas</w:t>
      </w:r>
      <w:r w:rsidR="00FF1414">
        <w:rPr>
          <w:rFonts w:ascii="Arial" w:hAnsi="Arial" w:cs="Arial"/>
          <w:sz w:val="22"/>
          <w:szCs w:val="22"/>
        </w:rPr>
        <w:t>;</w:t>
      </w:r>
    </w:p>
    <w:p w14:paraId="5661D636" w14:textId="5CAC7CD3" w:rsidR="00797ED5" w:rsidRPr="000C1C39" w:rsidRDefault="00E31776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a </w:t>
      </w:r>
      <w:r w:rsidRPr="00DE4172">
        <w:rPr>
          <w:rFonts w:ascii="Arial" w:hAnsi="Arial" w:cs="Arial"/>
          <w:sz w:val="22"/>
          <w:szCs w:val="22"/>
        </w:rPr>
        <w:t>government</w:t>
      </w:r>
      <w:r w:rsidRPr="000C1C39">
        <w:rPr>
          <w:rFonts w:ascii="Arial" w:hAnsi="Arial" w:cs="Arial"/>
          <w:sz w:val="22"/>
          <w:szCs w:val="22"/>
        </w:rPr>
        <w:t xml:space="preserve"> related entity (within the meaning of</w:t>
      </w:r>
      <w:r w:rsidR="006D6CDB" w:rsidRPr="000C1C39">
        <w:rPr>
          <w:rFonts w:ascii="Arial" w:hAnsi="Arial" w:cs="Arial"/>
          <w:sz w:val="22"/>
          <w:szCs w:val="22"/>
        </w:rPr>
        <w:t xml:space="preserve"> section 195-1 of </w:t>
      </w:r>
      <w:r w:rsidRPr="000C1C39">
        <w:rPr>
          <w:rFonts w:ascii="Arial" w:hAnsi="Arial" w:cs="Arial"/>
          <w:sz w:val="22"/>
          <w:szCs w:val="22"/>
        </w:rPr>
        <w:t xml:space="preserve">the </w:t>
      </w:r>
      <w:r w:rsidRPr="000C1C39">
        <w:rPr>
          <w:rFonts w:ascii="Arial" w:hAnsi="Arial" w:cs="Arial"/>
          <w:i/>
          <w:iCs/>
          <w:sz w:val="22"/>
          <w:szCs w:val="22"/>
        </w:rPr>
        <w:t>A</w:t>
      </w:r>
      <w:r w:rsidRPr="00DE4172">
        <w:rPr>
          <w:rFonts w:ascii="Arial" w:hAnsi="Arial" w:cs="Arial"/>
          <w:i/>
          <w:iCs/>
          <w:sz w:val="22"/>
          <w:szCs w:val="22"/>
        </w:rPr>
        <w:t xml:space="preserve"> New </w:t>
      </w:r>
      <w:r w:rsidRPr="000C1C39">
        <w:rPr>
          <w:rFonts w:ascii="Arial" w:hAnsi="Arial" w:cs="Arial"/>
          <w:i/>
          <w:iCs/>
          <w:sz w:val="22"/>
          <w:szCs w:val="22"/>
        </w:rPr>
        <w:t>Tax System (Goods and Services Tax) Act 1999</w:t>
      </w:r>
      <w:r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70B8A4F0" w14:textId="603D8863" w:rsidR="00797ED5" w:rsidRPr="000C1C39" w:rsidRDefault="007B0F9A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lastRenderedPageBreak/>
        <w:t xml:space="preserve">made to a general insurer </w:t>
      </w:r>
      <w:r w:rsidR="003D3E6D" w:rsidRPr="000C1C39">
        <w:rPr>
          <w:rFonts w:ascii="Arial" w:hAnsi="Arial" w:cs="Arial"/>
          <w:sz w:val="22"/>
          <w:szCs w:val="22"/>
        </w:rPr>
        <w:t>and</w:t>
      </w:r>
      <w:r w:rsidR="00955271" w:rsidRPr="000C1C39">
        <w:rPr>
          <w:rFonts w:ascii="Arial" w:hAnsi="Arial" w:cs="Arial"/>
          <w:sz w:val="22"/>
          <w:szCs w:val="22"/>
        </w:rPr>
        <w:t xml:space="preserve"> </w:t>
      </w:r>
      <w:r w:rsidR="00B60B05" w:rsidRPr="000C1C39">
        <w:rPr>
          <w:rFonts w:ascii="Arial" w:hAnsi="Arial" w:cs="Arial"/>
          <w:sz w:val="22"/>
          <w:szCs w:val="22"/>
        </w:rPr>
        <w:t>received</w:t>
      </w:r>
      <w:r w:rsidRPr="000C1C39">
        <w:rPr>
          <w:rFonts w:ascii="Arial" w:hAnsi="Arial" w:cs="Arial"/>
          <w:sz w:val="22"/>
          <w:szCs w:val="22"/>
        </w:rPr>
        <w:t xml:space="preserve"> in the course of the insurer’s insurance business (within the meaning of the </w:t>
      </w:r>
      <w:r w:rsidRPr="000C1C39">
        <w:rPr>
          <w:rFonts w:ascii="Arial" w:hAnsi="Arial" w:cs="Arial"/>
          <w:i/>
          <w:iCs/>
          <w:sz w:val="22"/>
          <w:szCs w:val="22"/>
        </w:rPr>
        <w:t>Insurance Act 1973</w:t>
      </w:r>
      <w:r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420678C5" w14:textId="33A620B9" w:rsidR="00797ED5" w:rsidRPr="000C1C39" w:rsidRDefault="007B0F9A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a life insurer </w:t>
      </w:r>
      <w:r w:rsidR="003D3E6D" w:rsidRPr="000C1C39">
        <w:rPr>
          <w:rFonts w:ascii="Arial" w:hAnsi="Arial" w:cs="Arial"/>
          <w:sz w:val="22"/>
          <w:szCs w:val="22"/>
        </w:rPr>
        <w:t>and</w:t>
      </w:r>
      <w:r w:rsidR="00955271" w:rsidRPr="000C1C39">
        <w:rPr>
          <w:rFonts w:ascii="Arial" w:hAnsi="Arial" w:cs="Arial"/>
          <w:sz w:val="22"/>
          <w:szCs w:val="22"/>
        </w:rPr>
        <w:t xml:space="preserve"> </w:t>
      </w:r>
      <w:r w:rsidR="00B60B05" w:rsidRPr="000C1C39">
        <w:rPr>
          <w:rFonts w:ascii="Arial" w:hAnsi="Arial" w:cs="Arial"/>
          <w:sz w:val="22"/>
          <w:szCs w:val="22"/>
        </w:rPr>
        <w:t>received</w:t>
      </w:r>
      <w:r w:rsidRPr="000C1C39">
        <w:rPr>
          <w:rFonts w:ascii="Arial" w:hAnsi="Arial" w:cs="Arial"/>
          <w:sz w:val="22"/>
          <w:szCs w:val="22"/>
        </w:rPr>
        <w:t xml:space="preserve"> in the course of the insurer’s </w:t>
      </w:r>
      <w:r w:rsidR="00FB4B07" w:rsidRPr="000C1C39">
        <w:rPr>
          <w:rFonts w:ascii="Arial" w:hAnsi="Arial" w:cs="Arial"/>
          <w:sz w:val="22"/>
          <w:szCs w:val="22"/>
        </w:rPr>
        <w:t xml:space="preserve">life </w:t>
      </w:r>
      <w:r w:rsidRPr="000C1C39">
        <w:rPr>
          <w:rFonts w:ascii="Arial" w:hAnsi="Arial" w:cs="Arial"/>
          <w:sz w:val="22"/>
          <w:szCs w:val="22"/>
        </w:rPr>
        <w:t xml:space="preserve">insurance business (within the meaning of the </w:t>
      </w:r>
      <w:r w:rsidRPr="000C1C39">
        <w:rPr>
          <w:rFonts w:ascii="Arial" w:hAnsi="Arial" w:cs="Arial"/>
          <w:i/>
          <w:iCs/>
          <w:sz w:val="22"/>
          <w:szCs w:val="22"/>
        </w:rPr>
        <w:t>Life Insurance Act</w:t>
      </w:r>
      <w:r w:rsidR="00DE4172">
        <w:rPr>
          <w:rFonts w:ascii="Arial" w:hAnsi="Arial" w:cs="Arial"/>
          <w:i/>
          <w:iCs/>
          <w:sz w:val="22"/>
          <w:szCs w:val="22"/>
        </w:rPr>
        <w:t> </w:t>
      </w:r>
      <w:r w:rsidRPr="000C1C39">
        <w:rPr>
          <w:rFonts w:ascii="Arial" w:hAnsi="Arial" w:cs="Arial"/>
          <w:i/>
          <w:iCs/>
          <w:sz w:val="22"/>
          <w:szCs w:val="22"/>
        </w:rPr>
        <w:t>1995</w:t>
      </w:r>
      <w:r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54A7AEB3" w14:textId="07421C1F" w:rsidR="00797ED5" w:rsidRPr="000C1C39" w:rsidRDefault="007B0F9A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a private health insurer </w:t>
      </w:r>
      <w:r w:rsidR="003D3E6D" w:rsidRPr="000C1C39">
        <w:rPr>
          <w:rFonts w:ascii="Arial" w:hAnsi="Arial" w:cs="Arial"/>
          <w:sz w:val="22"/>
          <w:szCs w:val="22"/>
        </w:rPr>
        <w:t>and</w:t>
      </w:r>
      <w:r w:rsidR="00955271" w:rsidRPr="000C1C39">
        <w:rPr>
          <w:rFonts w:ascii="Arial" w:hAnsi="Arial" w:cs="Arial"/>
          <w:sz w:val="22"/>
          <w:szCs w:val="22"/>
        </w:rPr>
        <w:t xml:space="preserve"> </w:t>
      </w:r>
      <w:r w:rsidR="00B60B05" w:rsidRPr="000C1C39">
        <w:rPr>
          <w:rFonts w:ascii="Arial" w:hAnsi="Arial" w:cs="Arial"/>
          <w:sz w:val="22"/>
          <w:szCs w:val="22"/>
        </w:rPr>
        <w:t xml:space="preserve">received </w:t>
      </w:r>
      <w:r w:rsidRPr="000C1C39">
        <w:rPr>
          <w:rFonts w:ascii="Arial" w:hAnsi="Arial" w:cs="Arial"/>
          <w:sz w:val="22"/>
          <w:szCs w:val="22"/>
        </w:rPr>
        <w:t xml:space="preserve">in the course of the insurer’s </w:t>
      </w:r>
      <w:r w:rsidR="00FB4B07" w:rsidRPr="000C1C39">
        <w:rPr>
          <w:rFonts w:ascii="Arial" w:hAnsi="Arial" w:cs="Arial"/>
          <w:sz w:val="22"/>
          <w:szCs w:val="22"/>
        </w:rPr>
        <w:t xml:space="preserve">health </w:t>
      </w:r>
      <w:r w:rsidRPr="000C1C39">
        <w:rPr>
          <w:rFonts w:ascii="Arial" w:hAnsi="Arial" w:cs="Arial"/>
          <w:sz w:val="22"/>
          <w:szCs w:val="22"/>
        </w:rPr>
        <w:t xml:space="preserve">insurance business (within the meaning of the </w:t>
      </w:r>
      <w:r w:rsidRPr="000C1C39">
        <w:rPr>
          <w:rFonts w:ascii="Arial" w:hAnsi="Arial" w:cs="Arial"/>
          <w:i/>
          <w:iCs/>
          <w:sz w:val="22"/>
          <w:szCs w:val="22"/>
        </w:rPr>
        <w:t>Private Health Insurance (Prudential Supervision) Act 2015</w:t>
      </w:r>
      <w:r w:rsidR="00492ED6"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4D0BC2C3" w14:textId="0E3D8C9C" w:rsidR="00797ED5" w:rsidRPr="000C1C39" w:rsidRDefault="007B0F9A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to a </w:t>
      </w:r>
      <w:r w:rsidRPr="00DE4172">
        <w:rPr>
          <w:rFonts w:ascii="Arial" w:hAnsi="Arial" w:cs="Arial"/>
          <w:sz w:val="22"/>
          <w:szCs w:val="22"/>
        </w:rPr>
        <w:t>superannuation</w:t>
      </w:r>
      <w:r w:rsidRPr="000C1C39">
        <w:rPr>
          <w:rFonts w:ascii="Arial" w:hAnsi="Arial" w:cs="Arial"/>
          <w:sz w:val="22"/>
          <w:szCs w:val="22"/>
        </w:rPr>
        <w:t xml:space="preserve"> fund</w:t>
      </w:r>
      <w:r w:rsidR="00FF1392" w:rsidRPr="000C1C39">
        <w:rPr>
          <w:rFonts w:ascii="Arial" w:hAnsi="Arial" w:cs="Arial"/>
          <w:sz w:val="22"/>
          <w:szCs w:val="22"/>
        </w:rPr>
        <w:t xml:space="preserve">, approved deposit fund, or pooled </w:t>
      </w:r>
      <w:r w:rsidR="00FF1392" w:rsidRPr="00DE4172">
        <w:rPr>
          <w:rFonts w:ascii="Arial" w:hAnsi="Arial" w:cs="Arial"/>
          <w:sz w:val="22"/>
          <w:szCs w:val="22"/>
        </w:rPr>
        <w:t>superannuation</w:t>
      </w:r>
      <w:r w:rsidR="00FF1392" w:rsidRPr="000C1C39">
        <w:rPr>
          <w:rFonts w:ascii="Arial" w:hAnsi="Arial" w:cs="Arial"/>
          <w:sz w:val="22"/>
          <w:szCs w:val="22"/>
        </w:rPr>
        <w:t xml:space="preserve"> trust</w:t>
      </w:r>
      <w:r w:rsidRPr="000C1C39">
        <w:rPr>
          <w:rFonts w:ascii="Arial" w:hAnsi="Arial" w:cs="Arial"/>
          <w:sz w:val="22"/>
          <w:szCs w:val="22"/>
        </w:rPr>
        <w:t xml:space="preserve"> </w:t>
      </w:r>
      <w:r w:rsidR="00B60B05" w:rsidRPr="000C1C39">
        <w:rPr>
          <w:rFonts w:ascii="Arial" w:hAnsi="Arial" w:cs="Arial"/>
          <w:sz w:val="22"/>
          <w:szCs w:val="22"/>
        </w:rPr>
        <w:t xml:space="preserve">(within the meaning of the </w:t>
      </w:r>
      <w:r w:rsidR="00B60B05" w:rsidRPr="00DE4172">
        <w:rPr>
          <w:rFonts w:ascii="Arial" w:hAnsi="Arial" w:cs="Arial"/>
          <w:i/>
          <w:iCs/>
          <w:sz w:val="22"/>
          <w:szCs w:val="22"/>
        </w:rPr>
        <w:t>Superannuation</w:t>
      </w:r>
      <w:r w:rsidR="00B60B05" w:rsidRPr="000C1C39">
        <w:rPr>
          <w:rFonts w:ascii="Arial" w:hAnsi="Arial" w:cs="Arial"/>
          <w:i/>
          <w:iCs/>
          <w:sz w:val="22"/>
          <w:szCs w:val="22"/>
        </w:rPr>
        <w:t xml:space="preserve"> Industry (Supervision) Act 1993</w:t>
      </w:r>
      <w:r w:rsidR="00B60B05" w:rsidRPr="000C1C39">
        <w:rPr>
          <w:rFonts w:ascii="Arial" w:hAnsi="Arial" w:cs="Arial"/>
          <w:sz w:val="22"/>
          <w:szCs w:val="22"/>
        </w:rPr>
        <w:t>) or</w:t>
      </w:r>
      <w:r w:rsidRPr="000C1C39">
        <w:rPr>
          <w:rFonts w:ascii="Arial" w:hAnsi="Arial" w:cs="Arial"/>
          <w:sz w:val="22"/>
          <w:szCs w:val="22"/>
        </w:rPr>
        <w:t xml:space="preserve"> </w:t>
      </w:r>
      <w:r w:rsidR="00FB4B07" w:rsidRPr="000C1C39">
        <w:rPr>
          <w:rFonts w:ascii="Arial" w:hAnsi="Arial" w:cs="Arial"/>
          <w:sz w:val="22"/>
          <w:szCs w:val="22"/>
        </w:rPr>
        <w:t>RSA</w:t>
      </w:r>
      <w:r w:rsidRPr="000C1C39">
        <w:rPr>
          <w:rFonts w:ascii="Arial" w:hAnsi="Arial" w:cs="Arial"/>
          <w:sz w:val="22"/>
          <w:szCs w:val="22"/>
        </w:rPr>
        <w:t xml:space="preserve"> provider</w:t>
      </w:r>
      <w:r w:rsidR="00B60B05" w:rsidRPr="000C1C39">
        <w:rPr>
          <w:rFonts w:ascii="Arial" w:hAnsi="Arial" w:cs="Arial"/>
          <w:sz w:val="22"/>
          <w:szCs w:val="22"/>
        </w:rPr>
        <w:t xml:space="preserve"> (within the meaning of the </w:t>
      </w:r>
      <w:r w:rsidR="00B60B05" w:rsidRPr="000C1C39">
        <w:rPr>
          <w:rFonts w:ascii="Arial" w:hAnsi="Arial" w:cs="Arial"/>
          <w:i/>
          <w:iCs/>
          <w:sz w:val="22"/>
          <w:szCs w:val="22"/>
        </w:rPr>
        <w:t>Retirement Savings Accounts Act 1997</w:t>
      </w:r>
      <w:r w:rsidR="00B60B05"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</w:p>
    <w:p w14:paraId="0D30D8A4" w14:textId="6A47EAC0" w:rsidR="000C1C39" w:rsidRPr="000C1C39" w:rsidRDefault="00295B22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made by</w:t>
      </w:r>
      <w:r w:rsidR="00AA4089" w:rsidRPr="000C1C39">
        <w:rPr>
          <w:rFonts w:ascii="Arial" w:hAnsi="Arial" w:cs="Arial"/>
          <w:sz w:val="22"/>
          <w:szCs w:val="22"/>
        </w:rPr>
        <w:t xml:space="preserve"> </w:t>
      </w:r>
      <w:r w:rsidR="00B917B7" w:rsidRPr="000C1C39">
        <w:rPr>
          <w:rFonts w:ascii="Arial" w:hAnsi="Arial" w:cs="Arial"/>
          <w:sz w:val="22"/>
          <w:szCs w:val="22"/>
        </w:rPr>
        <w:t xml:space="preserve">Direct Entry Direct Credit processed through the Bulk Electronic Clearing System governed by Australian Payments </w:t>
      </w:r>
      <w:r w:rsidR="00CD1B8E" w:rsidRPr="000C1C39">
        <w:rPr>
          <w:rFonts w:ascii="Arial" w:hAnsi="Arial" w:cs="Arial"/>
          <w:sz w:val="22"/>
          <w:szCs w:val="22"/>
        </w:rPr>
        <w:t>Network Limited</w:t>
      </w:r>
      <w:r w:rsidR="00FF1414">
        <w:rPr>
          <w:rFonts w:ascii="Arial" w:hAnsi="Arial" w:cs="Arial"/>
          <w:sz w:val="22"/>
          <w:szCs w:val="22"/>
        </w:rPr>
        <w:t>;</w:t>
      </w:r>
    </w:p>
    <w:p w14:paraId="6880F163" w14:textId="6405BCC9" w:rsidR="0029127F" w:rsidRPr="000C1C39" w:rsidRDefault="000F074E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processed by High Value Clearing System Framework Participants under the High Value Clearing System governed by </w:t>
      </w:r>
      <w:r w:rsidR="001A580D" w:rsidRPr="000C1C39">
        <w:rPr>
          <w:rFonts w:ascii="Arial" w:hAnsi="Arial" w:cs="Arial"/>
          <w:sz w:val="22"/>
          <w:szCs w:val="22"/>
        </w:rPr>
        <w:t>Australian Payments Network Limited</w:t>
      </w:r>
      <w:r w:rsidR="00FF1414">
        <w:rPr>
          <w:rFonts w:ascii="Arial" w:hAnsi="Arial" w:cs="Arial"/>
          <w:sz w:val="22"/>
          <w:szCs w:val="22"/>
        </w:rPr>
        <w:t>;</w:t>
      </w:r>
    </w:p>
    <w:p w14:paraId="6393FE23" w14:textId="3BEC4776" w:rsidR="00CC4472" w:rsidRPr="000C1C39" w:rsidRDefault="00CC4472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bookmarkStart w:id="1" w:name="_Hlk110413295"/>
      <w:r w:rsidRPr="000C1C39">
        <w:rPr>
          <w:rFonts w:ascii="Arial" w:hAnsi="Arial" w:cs="Arial"/>
          <w:sz w:val="22"/>
          <w:szCs w:val="22"/>
        </w:rPr>
        <w:t>processed</w:t>
      </w:r>
      <w:r w:rsidR="00413E03">
        <w:rPr>
          <w:rFonts w:ascii="Arial" w:hAnsi="Arial" w:cs="Arial"/>
          <w:sz w:val="22"/>
          <w:szCs w:val="22"/>
        </w:rPr>
        <w:t xml:space="preserve"> </w:t>
      </w:r>
      <w:r w:rsidRPr="000C1C39">
        <w:rPr>
          <w:rFonts w:ascii="Arial" w:hAnsi="Arial" w:cs="Arial"/>
          <w:sz w:val="22"/>
          <w:szCs w:val="22"/>
        </w:rPr>
        <w:t>by</w:t>
      </w:r>
      <w:r w:rsidRPr="00DE4172">
        <w:rPr>
          <w:rFonts w:ascii="Arial" w:hAnsi="Arial" w:cs="Arial"/>
          <w:sz w:val="22"/>
          <w:szCs w:val="22"/>
        </w:rPr>
        <w:t xml:space="preserve"> New </w:t>
      </w:r>
      <w:r w:rsidRPr="000C1C39">
        <w:rPr>
          <w:rFonts w:ascii="Arial" w:hAnsi="Arial" w:cs="Arial"/>
          <w:sz w:val="22"/>
          <w:szCs w:val="22"/>
        </w:rPr>
        <w:t xml:space="preserve">Payments Platform </w:t>
      </w:r>
      <w:r w:rsidR="00F72A0F" w:rsidRPr="000C1C39">
        <w:rPr>
          <w:rFonts w:ascii="Arial" w:hAnsi="Arial" w:cs="Arial"/>
          <w:sz w:val="22"/>
          <w:szCs w:val="22"/>
        </w:rPr>
        <w:t>P</w:t>
      </w:r>
      <w:r w:rsidR="00E67ED5" w:rsidRPr="000C1C39">
        <w:rPr>
          <w:rFonts w:ascii="Arial" w:hAnsi="Arial" w:cs="Arial"/>
          <w:sz w:val="22"/>
          <w:szCs w:val="22"/>
        </w:rPr>
        <w:t xml:space="preserve">articipants </w:t>
      </w:r>
      <w:r w:rsidRPr="000C1C39">
        <w:rPr>
          <w:rFonts w:ascii="Arial" w:hAnsi="Arial" w:cs="Arial"/>
          <w:sz w:val="22"/>
          <w:szCs w:val="22"/>
        </w:rPr>
        <w:t xml:space="preserve">governed </w:t>
      </w:r>
      <w:bookmarkStart w:id="2" w:name="_Hlk108082398"/>
      <w:r w:rsidRPr="000C1C39">
        <w:rPr>
          <w:rFonts w:ascii="Arial" w:hAnsi="Arial" w:cs="Arial"/>
          <w:sz w:val="22"/>
          <w:szCs w:val="22"/>
        </w:rPr>
        <w:t>by</w:t>
      </w:r>
      <w:r w:rsidRPr="00DE4172">
        <w:rPr>
          <w:rFonts w:ascii="Arial" w:hAnsi="Arial" w:cs="Arial"/>
          <w:sz w:val="22"/>
          <w:szCs w:val="22"/>
        </w:rPr>
        <w:t xml:space="preserve"> </w:t>
      </w:r>
      <w:r w:rsidR="009004DF" w:rsidRPr="00DE4172">
        <w:rPr>
          <w:rFonts w:ascii="Arial" w:hAnsi="Arial" w:cs="Arial"/>
          <w:sz w:val="22"/>
          <w:szCs w:val="22"/>
        </w:rPr>
        <w:t xml:space="preserve">New </w:t>
      </w:r>
      <w:r w:rsidR="009004DF" w:rsidRPr="000C1C39">
        <w:rPr>
          <w:rFonts w:ascii="Arial" w:hAnsi="Arial" w:cs="Arial"/>
          <w:sz w:val="22"/>
          <w:szCs w:val="22"/>
        </w:rPr>
        <w:t xml:space="preserve">Payments Platform </w:t>
      </w:r>
      <w:r w:rsidRPr="000C1C39">
        <w:rPr>
          <w:rFonts w:ascii="Arial" w:hAnsi="Arial" w:cs="Arial"/>
          <w:sz w:val="22"/>
          <w:szCs w:val="22"/>
        </w:rPr>
        <w:t>Australia Limited</w:t>
      </w:r>
      <w:r w:rsidR="00DB1D4A" w:rsidRPr="000C1C39">
        <w:rPr>
          <w:rFonts w:ascii="Arial" w:hAnsi="Arial" w:cs="Arial"/>
          <w:sz w:val="22"/>
          <w:szCs w:val="22"/>
        </w:rPr>
        <w:t>,</w:t>
      </w:r>
      <w:r w:rsidRPr="000C1C39">
        <w:rPr>
          <w:rFonts w:ascii="Arial" w:hAnsi="Arial" w:cs="Arial"/>
          <w:sz w:val="22"/>
          <w:szCs w:val="22"/>
        </w:rPr>
        <w:t xml:space="preserve"> </w:t>
      </w:r>
      <w:bookmarkEnd w:id="2"/>
      <w:r w:rsidRPr="000C1C39">
        <w:rPr>
          <w:rFonts w:ascii="Arial" w:hAnsi="Arial" w:cs="Arial"/>
          <w:sz w:val="22"/>
          <w:szCs w:val="22"/>
        </w:rPr>
        <w:t>except where</w:t>
      </w:r>
      <w:r w:rsidR="00A45B2C" w:rsidRPr="000C1C39">
        <w:rPr>
          <w:rFonts w:ascii="Arial" w:hAnsi="Arial" w:cs="Arial"/>
          <w:sz w:val="22"/>
          <w:szCs w:val="22"/>
        </w:rPr>
        <w:t xml:space="preserve"> that payment</w:t>
      </w:r>
      <w:r w:rsidRPr="000C1C39">
        <w:rPr>
          <w:rFonts w:ascii="Arial" w:hAnsi="Arial" w:cs="Arial"/>
          <w:sz w:val="22"/>
          <w:szCs w:val="22"/>
        </w:rPr>
        <w:t>:</w:t>
      </w:r>
    </w:p>
    <w:p w14:paraId="11689F9C" w14:textId="482B13CB" w:rsidR="000C1C39" w:rsidRPr="000C1C39" w:rsidRDefault="00CC4472" w:rsidP="00614F97">
      <w:pPr>
        <w:numPr>
          <w:ilvl w:val="1"/>
          <w:numId w:val="28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is received by a payee under a PayTo </w:t>
      </w:r>
      <w:r w:rsidR="006C39FA" w:rsidRPr="000C1C39">
        <w:rPr>
          <w:rFonts w:ascii="Arial" w:hAnsi="Arial" w:cs="Arial"/>
          <w:sz w:val="22"/>
          <w:szCs w:val="22"/>
        </w:rPr>
        <w:t>A</w:t>
      </w:r>
      <w:r w:rsidRPr="000C1C39">
        <w:rPr>
          <w:rFonts w:ascii="Arial" w:hAnsi="Arial" w:cs="Arial"/>
          <w:sz w:val="22"/>
          <w:szCs w:val="22"/>
        </w:rPr>
        <w:t>greement</w:t>
      </w:r>
      <w:r w:rsidR="00FF1414">
        <w:rPr>
          <w:rFonts w:ascii="Arial" w:hAnsi="Arial" w:cs="Arial"/>
          <w:sz w:val="22"/>
          <w:szCs w:val="22"/>
        </w:rPr>
        <w:t>;</w:t>
      </w:r>
    </w:p>
    <w:p w14:paraId="5A99AAE4" w14:textId="37A31C2D" w:rsidR="000C1C39" w:rsidRPr="000C1C39" w:rsidRDefault="00CC4472" w:rsidP="00614F97">
      <w:pPr>
        <w:numPr>
          <w:ilvl w:val="1"/>
          <w:numId w:val="28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is a successful payment initiation</w:t>
      </w:r>
      <w:r w:rsidR="00FF1414">
        <w:rPr>
          <w:rFonts w:ascii="Arial" w:hAnsi="Arial" w:cs="Arial"/>
          <w:sz w:val="22"/>
          <w:szCs w:val="22"/>
        </w:rPr>
        <w:t>;</w:t>
      </w:r>
      <w:r w:rsidR="00413E03">
        <w:rPr>
          <w:rFonts w:ascii="Arial" w:hAnsi="Arial" w:cs="Arial"/>
          <w:sz w:val="22"/>
          <w:szCs w:val="22"/>
        </w:rPr>
        <w:t xml:space="preserve"> </w:t>
      </w:r>
      <w:r w:rsidR="0029127F" w:rsidRPr="000C1C39">
        <w:rPr>
          <w:rFonts w:ascii="Arial" w:hAnsi="Arial" w:cs="Arial"/>
          <w:sz w:val="22"/>
          <w:szCs w:val="22"/>
        </w:rPr>
        <w:t>and</w:t>
      </w:r>
    </w:p>
    <w:p w14:paraId="22662B3C" w14:textId="21321528" w:rsidR="006C39FA" w:rsidRPr="000C1C39" w:rsidRDefault="006C39FA" w:rsidP="00614F97">
      <w:pPr>
        <w:numPr>
          <w:ilvl w:val="1"/>
          <w:numId w:val="28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is processed after 1 July 2022</w:t>
      </w:r>
      <w:r w:rsidR="00FF1414">
        <w:rPr>
          <w:rFonts w:ascii="Arial" w:hAnsi="Arial" w:cs="Arial"/>
          <w:sz w:val="22"/>
          <w:szCs w:val="22"/>
        </w:rPr>
        <w:t>;</w:t>
      </w:r>
    </w:p>
    <w:p w14:paraId="62BBCB9E" w14:textId="077CC47D" w:rsidR="000C1C39" w:rsidRPr="000C1C39" w:rsidRDefault="00B623FD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processed</w:t>
      </w:r>
      <w:r w:rsidR="00413E03">
        <w:rPr>
          <w:rFonts w:ascii="Arial" w:hAnsi="Arial" w:cs="Arial"/>
          <w:sz w:val="22"/>
          <w:szCs w:val="22"/>
        </w:rPr>
        <w:t xml:space="preserve"> </w:t>
      </w:r>
      <w:r w:rsidRPr="000C1C39">
        <w:rPr>
          <w:rFonts w:ascii="Arial" w:hAnsi="Arial" w:cs="Arial"/>
          <w:sz w:val="22"/>
          <w:szCs w:val="22"/>
        </w:rPr>
        <w:t>by</w:t>
      </w:r>
      <w:r w:rsidRPr="00DE4172">
        <w:rPr>
          <w:rFonts w:ascii="Arial" w:hAnsi="Arial" w:cs="Arial"/>
          <w:sz w:val="22"/>
          <w:szCs w:val="22"/>
        </w:rPr>
        <w:t xml:space="preserve"> New </w:t>
      </w:r>
      <w:r w:rsidRPr="000C1C39">
        <w:rPr>
          <w:rFonts w:ascii="Arial" w:hAnsi="Arial" w:cs="Arial"/>
          <w:sz w:val="22"/>
          <w:szCs w:val="22"/>
        </w:rPr>
        <w:t>Payments Platform</w:t>
      </w:r>
      <w:r w:rsidR="00B01EB7" w:rsidRPr="000C1C39">
        <w:rPr>
          <w:rFonts w:ascii="Arial" w:hAnsi="Arial" w:cs="Arial"/>
          <w:sz w:val="22"/>
          <w:szCs w:val="22"/>
        </w:rPr>
        <w:t xml:space="preserve"> </w:t>
      </w:r>
      <w:r w:rsidR="00F72A0F" w:rsidRPr="000C1C39">
        <w:rPr>
          <w:rFonts w:ascii="Arial" w:hAnsi="Arial" w:cs="Arial"/>
          <w:sz w:val="22"/>
          <w:szCs w:val="22"/>
        </w:rPr>
        <w:t>P</w:t>
      </w:r>
      <w:r w:rsidR="00B01EB7" w:rsidRPr="000C1C39">
        <w:rPr>
          <w:rFonts w:ascii="Arial" w:hAnsi="Arial" w:cs="Arial"/>
          <w:sz w:val="22"/>
          <w:szCs w:val="22"/>
        </w:rPr>
        <w:t>articipant</w:t>
      </w:r>
      <w:r w:rsidR="00F72A0F" w:rsidRPr="000C1C39">
        <w:rPr>
          <w:rFonts w:ascii="Arial" w:hAnsi="Arial" w:cs="Arial"/>
          <w:sz w:val="22"/>
          <w:szCs w:val="22"/>
        </w:rPr>
        <w:t>s</w:t>
      </w:r>
      <w:r w:rsidRPr="000C1C39">
        <w:rPr>
          <w:rFonts w:ascii="Arial" w:hAnsi="Arial" w:cs="Arial"/>
          <w:sz w:val="22"/>
          <w:szCs w:val="22"/>
        </w:rPr>
        <w:t xml:space="preserve"> governed by</w:t>
      </w:r>
      <w:r w:rsidRPr="00DE4172">
        <w:rPr>
          <w:rFonts w:ascii="Arial" w:hAnsi="Arial" w:cs="Arial"/>
          <w:sz w:val="22"/>
          <w:szCs w:val="22"/>
        </w:rPr>
        <w:t xml:space="preserve"> </w:t>
      </w:r>
      <w:r w:rsidR="000F074E" w:rsidRPr="00DE4172">
        <w:rPr>
          <w:rFonts w:ascii="Arial" w:hAnsi="Arial" w:cs="Arial"/>
          <w:sz w:val="22"/>
          <w:szCs w:val="22"/>
        </w:rPr>
        <w:t xml:space="preserve">New </w:t>
      </w:r>
      <w:r w:rsidR="000F074E" w:rsidRPr="000C1C39">
        <w:rPr>
          <w:rFonts w:ascii="Arial" w:hAnsi="Arial" w:cs="Arial"/>
          <w:sz w:val="22"/>
          <w:szCs w:val="22"/>
        </w:rPr>
        <w:t>Payment</w:t>
      </w:r>
      <w:r w:rsidR="009C12D9" w:rsidRPr="000C1C39">
        <w:rPr>
          <w:rFonts w:ascii="Arial" w:hAnsi="Arial" w:cs="Arial"/>
          <w:sz w:val="22"/>
          <w:szCs w:val="22"/>
        </w:rPr>
        <w:t>s</w:t>
      </w:r>
      <w:r w:rsidR="000F074E" w:rsidRPr="000C1C39">
        <w:rPr>
          <w:rFonts w:ascii="Arial" w:hAnsi="Arial" w:cs="Arial"/>
          <w:sz w:val="22"/>
          <w:szCs w:val="22"/>
        </w:rPr>
        <w:t xml:space="preserve"> Platform </w:t>
      </w:r>
      <w:r w:rsidRPr="000C1C39">
        <w:rPr>
          <w:rFonts w:ascii="Arial" w:hAnsi="Arial" w:cs="Arial"/>
          <w:sz w:val="22"/>
          <w:szCs w:val="22"/>
        </w:rPr>
        <w:t>Australia Limited</w:t>
      </w:r>
      <w:r w:rsidR="00235B01" w:rsidRPr="000C1C39">
        <w:rPr>
          <w:rFonts w:ascii="Arial" w:hAnsi="Arial" w:cs="Arial"/>
          <w:sz w:val="22"/>
          <w:szCs w:val="22"/>
        </w:rPr>
        <w:t>,</w:t>
      </w:r>
      <w:r w:rsidRPr="000C1C39">
        <w:rPr>
          <w:rFonts w:ascii="Arial" w:hAnsi="Arial" w:cs="Arial"/>
          <w:sz w:val="22"/>
          <w:szCs w:val="22"/>
        </w:rPr>
        <w:t xml:space="preserve"> where </w:t>
      </w:r>
      <w:r w:rsidR="00537C5B" w:rsidRPr="000C1C39">
        <w:rPr>
          <w:rFonts w:ascii="Arial" w:hAnsi="Arial" w:cs="Arial"/>
          <w:sz w:val="22"/>
          <w:szCs w:val="22"/>
        </w:rPr>
        <w:t xml:space="preserve">the administrator reasonably believes </w:t>
      </w:r>
      <w:r w:rsidRPr="000C1C39">
        <w:rPr>
          <w:rFonts w:ascii="Arial" w:hAnsi="Arial" w:cs="Arial"/>
          <w:sz w:val="22"/>
          <w:szCs w:val="22"/>
        </w:rPr>
        <w:t xml:space="preserve">that the same transaction has been reported </w:t>
      </w:r>
      <w:r w:rsidR="0003295B">
        <w:rPr>
          <w:rFonts w:ascii="Arial" w:hAnsi="Arial" w:cs="Arial"/>
          <w:sz w:val="22"/>
          <w:szCs w:val="22"/>
        </w:rPr>
        <w:t xml:space="preserve">to the Commissioner </w:t>
      </w:r>
      <w:r w:rsidRPr="000C1C39">
        <w:rPr>
          <w:rFonts w:ascii="Arial" w:hAnsi="Arial" w:cs="Arial"/>
          <w:sz w:val="22"/>
          <w:szCs w:val="22"/>
        </w:rPr>
        <w:t xml:space="preserve">by another entity under </w:t>
      </w:r>
      <w:r w:rsidR="00A24DF9">
        <w:rPr>
          <w:rFonts w:ascii="Arial" w:hAnsi="Arial" w:cs="Arial"/>
          <w:sz w:val="22"/>
          <w:szCs w:val="22"/>
        </w:rPr>
        <w:t xml:space="preserve">a reporting requirement in </w:t>
      </w:r>
      <w:r w:rsidRPr="000C1C39">
        <w:rPr>
          <w:rFonts w:ascii="Arial" w:hAnsi="Arial" w:cs="Arial"/>
          <w:sz w:val="22"/>
          <w:szCs w:val="22"/>
        </w:rPr>
        <w:t xml:space="preserve">Schedule 1 </w:t>
      </w:r>
      <w:r w:rsidR="00A24DF9">
        <w:rPr>
          <w:rFonts w:ascii="Arial" w:hAnsi="Arial" w:cs="Arial"/>
          <w:sz w:val="22"/>
          <w:szCs w:val="22"/>
        </w:rPr>
        <w:t>to</w:t>
      </w:r>
      <w:r w:rsidRPr="000C1C39">
        <w:rPr>
          <w:rFonts w:ascii="Arial" w:hAnsi="Arial" w:cs="Arial"/>
          <w:sz w:val="22"/>
          <w:szCs w:val="22"/>
        </w:rPr>
        <w:t xml:space="preserve"> the TAA</w:t>
      </w:r>
      <w:r w:rsidR="00FF1414">
        <w:rPr>
          <w:rFonts w:ascii="Arial" w:hAnsi="Arial" w:cs="Arial"/>
          <w:sz w:val="22"/>
          <w:szCs w:val="22"/>
        </w:rPr>
        <w:t>;</w:t>
      </w:r>
    </w:p>
    <w:p w14:paraId="531E0375" w14:textId="588AB697" w:rsidR="005125F8" w:rsidRPr="000C1C39" w:rsidRDefault="00626231" w:rsidP="00614F97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processed </w:t>
      </w:r>
      <w:r w:rsidR="002625AE" w:rsidRPr="000C1C39">
        <w:rPr>
          <w:rFonts w:ascii="Arial" w:hAnsi="Arial" w:cs="Arial"/>
          <w:sz w:val="22"/>
          <w:szCs w:val="22"/>
        </w:rPr>
        <w:t>by an administrator, where the payer, the payee and the administrator (which may be the payer, the payee</w:t>
      </w:r>
      <w:r w:rsidR="00060987" w:rsidRPr="000C1C39">
        <w:rPr>
          <w:rFonts w:ascii="Arial" w:hAnsi="Arial" w:cs="Arial"/>
          <w:sz w:val="22"/>
          <w:szCs w:val="22"/>
        </w:rPr>
        <w:t>,</w:t>
      </w:r>
      <w:r w:rsidR="002625AE" w:rsidRPr="000C1C39">
        <w:rPr>
          <w:rFonts w:ascii="Arial" w:hAnsi="Arial" w:cs="Arial"/>
          <w:sz w:val="22"/>
          <w:szCs w:val="22"/>
        </w:rPr>
        <w:t xml:space="preserve"> or neither) are all members of the same consolidated group (within the meaning of section 703-5 of the </w:t>
      </w:r>
      <w:r w:rsidR="002625AE" w:rsidRPr="000C1C39">
        <w:rPr>
          <w:rFonts w:ascii="Arial" w:hAnsi="Arial" w:cs="Arial"/>
          <w:i/>
          <w:iCs/>
          <w:sz w:val="22"/>
          <w:szCs w:val="22"/>
        </w:rPr>
        <w:t>Income Tax Assessment Act 1997</w:t>
      </w:r>
      <w:r w:rsidR="002625AE" w:rsidRPr="000C1C39">
        <w:rPr>
          <w:rFonts w:ascii="Arial" w:hAnsi="Arial" w:cs="Arial"/>
          <w:sz w:val="22"/>
          <w:szCs w:val="22"/>
        </w:rPr>
        <w:t xml:space="preserve">) and the same GST group (within the meaning of section 195-1 of the </w:t>
      </w:r>
      <w:r w:rsidR="002625AE" w:rsidRPr="000C1C39">
        <w:rPr>
          <w:rFonts w:ascii="Arial" w:hAnsi="Arial" w:cs="Arial"/>
          <w:i/>
          <w:iCs/>
          <w:sz w:val="22"/>
          <w:szCs w:val="22"/>
        </w:rPr>
        <w:t>A</w:t>
      </w:r>
      <w:r w:rsidR="002625AE" w:rsidRPr="00DE4172">
        <w:rPr>
          <w:rFonts w:ascii="Arial" w:hAnsi="Arial" w:cs="Arial"/>
          <w:i/>
          <w:iCs/>
          <w:sz w:val="22"/>
          <w:szCs w:val="22"/>
        </w:rPr>
        <w:t xml:space="preserve"> New </w:t>
      </w:r>
      <w:r w:rsidR="002625AE" w:rsidRPr="000C1C39">
        <w:rPr>
          <w:rFonts w:ascii="Arial" w:hAnsi="Arial" w:cs="Arial"/>
          <w:i/>
          <w:iCs/>
          <w:sz w:val="22"/>
          <w:szCs w:val="22"/>
        </w:rPr>
        <w:t>Tax System (Goods and Services Tax) Act 1999</w:t>
      </w:r>
      <w:r w:rsidR="00EB00AF" w:rsidRPr="000C1C39">
        <w:rPr>
          <w:rFonts w:ascii="Arial" w:hAnsi="Arial" w:cs="Arial"/>
          <w:sz w:val="22"/>
          <w:szCs w:val="22"/>
        </w:rPr>
        <w:t>)</w:t>
      </w:r>
      <w:r w:rsidR="00FF1414">
        <w:rPr>
          <w:rFonts w:ascii="Arial" w:hAnsi="Arial" w:cs="Arial"/>
          <w:sz w:val="22"/>
          <w:szCs w:val="22"/>
        </w:rPr>
        <w:t>;</w:t>
      </w:r>
      <w:r w:rsidR="00A91FFF" w:rsidRPr="000C1C39">
        <w:rPr>
          <w:rFonts w:ascii="Arial" w:hAnsi="Arial" w:cs="Arial"/>
          <w:sz w:val="22"/>
          <w:szCs w:val="22"/>
        </w:rPr>
        <w:t xml:space="preserve"> or</w:t>
      </w:r>
    </w:p>
    <w:p w14:paraId="3B873C58" w14:textId="15091D14" w:rsidR="003B0BAB" w:rsidRPr="00481A5B" w:rsidRDefault="005125F8" w:rsidP="00481A5B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made </w:t>
      </w:r>
      <w:r w:rsidR="002625AE" w:rsidRPr="000C1C39">
        <w:rPr>
          <w:rFonts w:ascii="Arial" w:hAnsi="Arial" w:cs="Arial"/>
          <w:sz w:val="22"/>
          <w:szCs w:val="22"/>
        </w:rPr>
        <w:t>as a loan repayment, chattel mortgage repayment, hire purchase payment or finance lease payment</w:t>
      </w:r>
      <w:r w:rsidR="00917733" w:rsidRPr="000C1C39">
        <w:rPr>
          <w:rFonts w:ascii="Arial" w:hAnsi="Arial" w:cs="Arial"/>
          <w:sz w:val="22"/>
          <w:szCs w:val="22"/>
        </w:rPr>
        <w:t>.</w:t>
      </w:r>
    </w:p>
    <w:bookmarkEnd w:id="1"/>
    <w:p w14:paraId="31895778" w14:textId="77777777" w:rsidR="002625AE" w:rsidRPr="000C1C39" w:rsidRDefault="002625AE" w:rsidP="000C1C39">
      <w:pPr>
        <w:spacing w:after="120"/>
        <w:rPr>
          <w:rFonts w:ascii="Arial" w:hAnsi="Arial" w:cs="Arial"/>
          <w:sz w:val="22"/>
          <w:szCs w:val="22"/>
        </w:rPr>
      </w:pPr>
    </w:p>
    <w:p w14:paraId="7CED65F0" w14:textId="3705E1AC" w:rsidR="003D0EB2" w:rsidRPr="00A5310B" w:rsidRDefault="003D0EB2" w:rsidP="00A5310B">
      <w:pPr>
        <w:pStyle w:val="Heading2"/>
        <w:numPr>
          <w:ilvl w:val="0"/>
          <w:numId w:val="30"/>
        </w:numPr>
        <w:spacing w:before="0" w:after="120"/>
        <w:ind w:hanging="709"/>
        <w:rPr>
          <w:rFonts w:ascii="Arial" w:hAnsi="Arial" w:cs="Arial"/>
          <w:color w:val="auto"/>
          <w:sz w:val="22"/>
          <w:szCs w:val="22"/>
        </w:rPr>
      </w:pPr>
      <w:r w:rsidRPr="00A5310B">
        <w:rPr>
          <w:rFonts w:ascii="Arial" w:hAnsi="Arial" w:cs="Arial"/>
          <w:color w:val="auto"/>
          <w:sz w:val="22"/>
          <w:szCs w:val="22"/>
        </w:rPr>
        <w:t xml:space="preserve">Additional </w:t>
      </w:r>
      <w:r w:rsidR="001B1582" w:rsidRPr="00A5310B">
        <w:rPr>
          <w:rFonts w:ascii="Arial" w:hAnsi="Arial" w:cs="Arial"/>
          <w:color w:val="auto"/>
          <w:sz w:val="22"/>
          <w:szCs w:val="22"/>
        </w:rPr>
        <w:t>i</w:t>
      </w:r>
      <w:r w:rsidRPr="00A5310B">
        <w:rPr>
          <w:rFonts w:ascii="Arial" w:hAnsi="Arial" w:cs="Arial"/>
          <w:color w:val="auto"/>
          <w:sz w:val="22"/>
          <w:szCs w:val="22"/>
        </w:rPr>
        <w:t>nformation</w:t>
      </w:r>
    </w:p>
    <w:p w14:paraId="49FD3AB8" w14:textId="6D3857EE" w:rsidR="000C1C39" w:rsidRPr="000C1C39" w:rsidRDefault="00060987" w:rsidP="00A5310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>This instrument does not prevent the reporting of information</w:t>
      </w:r>
      <w:r w:rsidR="00A9462A" w:rsidRPr="000C1C39">
        <w:rPr>
          <w:rFonts w:ascii="Arial" w:hAnsi="Arial" w:cs="Arial"/>
          <w:sz w:val="22"/>
          <w:szCs w:val="22"/>
        </w:rPr>
        <w:t>.</w:t>
      </w:r>
    </w:p>
    <w:p w14:paraId="40C489E3" w14:textId="5A3C32ED" w:rsidR="005B5B42" w:rsidRDefault="00060987" w:rsidP="00A5310B">
      <w:pPr>
        <w:pStyle w:val="Leg5Paraa"/>
        <w:spacing w:before="0" w:after="120" w:line="240" w:lineRule="auto"/>
        <w:ind w:left="1418" w:hanging="709"/>
      </w:pPr>
      <w:r w:rsidRPr="00DE4172">
        <w:t>Note:</w:t>
      </w:r>
      <w:r w:rsidR="00A5310B">
        <w:tab/>
      </w:r>
      <w:r w:rsidRPr="000C1C39">
        <w:t xml:space="preserve">For example, an entity may wish to report on transactions that are </w:t>
      </w:r>
      <w:r w:rsidR="005803C4">
        <w:t xml:space="preserve">exempted </w:t>
      </w:r>
      <w:r w:rsidRPr="000C1C39">
        <w:t xml:space="preserve">by this instrument, together with other information that it is required to report under the TAA, if </w:t>
      </w:r>
      <w:r w:rsidR="00481A5B">
        <w:t xml:space="preserve">it is </w:t>
      </w:r>
      <w:r w:rsidRPr="000C1C39">
        <w:t>administrative</w:t>
      </w:r>
      <w:r w:rsidR="00481A5B">
        <w:t>ly</w:t>
      </w:r>
      <w:r w:rsidRPr="000C1C39">
        <w:t xml:space="preserve"> efficien</w:t>
      </w:r>
      <w:r w:rsidR="00481A5B">
        <w:t>t to do so</w:t>
      </w:r>
      <w:r w:rsidRPr="000C1C39">
        <w:t>.</w:t>
      </w:r>
    </w:p>
    <w:p w14:paraId="2D180CDD" w14:textId="77777777" w:rsidR="00A5310B" w:rsidRPr="00A5310B" w:rsidRDefault="00A5310B" w:rsidP="00A5310B">
      <w:pPr>
        <w:spacing w:after="120"/>
        <w:rPr>
          <w:rFonts w:ascii="Arial" w:hAnsi="Arial" w:cs="Arial"/>
          <w:sz w:val="22"/>
          <w:szCs w:val="22"/>
        </w:rPr>
      </w:pPr>
    </w:p>
    <w:p w14:paraId="05F90EF0" w14:textId="58F33F8D" w:rsidR="00B362D6" w:rsidRPr="00A5310B" w:rsidRDefault="00B362D6" w:rsidP="00A5310B">
      <w:pPr>
        <w:pStyle w:val="Heading2"/>
        <w:numPr>
          <w:ilvl w:val="0"/>
          <w:numId w:val="30"/>
        </w:numPr>
        <w:spacing w:before="0" w:after="120"/>
        <w:ind w:hanging="709"/>
        <w:rPr>
          <w:rFonts w:ascii="Arial" w:hAnsi="Arial" w:cs="Arial"/>
          <w:color w:val="auto"/>
          <w:sz w:val="22"/>
          <w:szCs w:val="22"/>
        </w:rPr>
      </w:pPr>
      <w:r w:rsidRPr="00A5310B">
        <w:rPr>
          <w:rFonts w:ascii="Arial" w:hAnsi="Arial" w:cs="Arial"/>
          <w:color w:val="auto"/>
          <w:sz w:val="22"/>
          <w:szCs w:val="22"/>
        </w:rPr>
        <w:t>Repeal</w:t>
      </w:r>
    </w:p>
    <w:p w14:paraId="49635E2E" w14:textId="77777777" w:rsidR="000C1C39" w:rsidRPr="000C1C39" w:rsidRDefault="00DB1D4A" w:rsidP="000C1C3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sz w:val="22"/>
          <w:szCs w:val="22"/>
        </w:rPr>
        <w:t xml:space="preserve">The </w:t>
      </w:r>
      <w:r w:rsidR="00B362D6" w:rsidRPr="000C1C39">
        <w:rPr>
          <w:rFonts w:ascii="Arial" w:hAnsi="Arial" w:cs="Arial"/>
          <w:sz w:val="22"/>
          <w:szCs w:val="22"/>
        </w:rPr>
        <w:t>instrument that is specified in Schedule 1 to this instrument is repealed</w:t>
      </w:r>
      <w:r w:rsidR="00C73544" w:rsidRPr="000C1C39">
        <w:rPr>
          <w:rFonts w:ascii="Arial" w:hAnsi="Arial" w:cs="Arial"/>
          <w:sz w:val="22"/>
          <w:szCs w:val="22"/>
        </w:rPr>
        <w:t>.</w:t>
      </w:r>
    </w:p>
    <w:p w14:paraId="37CC819A" w14:textId="12C27731" w:rsidR="00B362D6" w:rsidRPr="000C1C39" w:rsidRDefault="00B362D6" w:rsidP="000C1C39">
      <w:pPr>
        <w:spacing w:after="120"/>
        <w:rPr>
          <w:rFonts w:ascii="Arial" w:hAnsi="Arial" w:cs="Arial"/>
          <w:sz w:val="22"/>
          <w:szCs w:val="22"/>
        </w:rPr>
      </w:pPr>
    </w:p>
    <w:p w14:paraId="3B94C40B" w14:textId="77777777" w:rsidR="00B362D6" w:rsidRPr="00854111" w:rsidRDefault="00B362D6" w:rsidP="00854111">
      <w:pPr>
        <w:pStyle w:val="Heading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54111">
        <w:rPr>
          <w:rFonts w:ascii="Arial" w:hAnsi="Arial" w:cs="Arial"/>
          <w:b/>
          <w:bCs/>
          <w:color w:val="auto"/>
          <w:sz w:val="28"/>
          <w:szCs w:val="28"/>
        </w:rPr>
        <w:t>Schedule 1</w:t>
      </w:r>
    </w:p>
    <w:p w14:paraId="7B6018BD" w14:textId="77777777" w:rsidR="000C1C39" w:rsidRPr="000C1C39" w:rsidRDefault="00E0223A" w:rsidP="000C1C39">
      <w:pPr>
        <w:keepNext/>
        <w:keepLines/>
        <w:spacing w:after="120"/>
        <w:outlineLvl w:val="1"/>
        <w:rPr>
          <w:rFonts w:ascii="Arial" w:hAnsi="Arial" w:cs="Arial"/>
          <w:sz w:val="22"/>
          <w:szCs w:val="22"/>
        </w:rPr>
      </w:pPr>
      <w:r w:rsidRPr="000C1C39">
        <w:rPr>
          <w:rFonts w:ascii="Arial" w:hAnsi="Arial" w:cs="Arial"/>
          <w:i/>
          <w:sz w:val="22"/>
          <w:szCs w:val="22"/>
        </w:rPr>
        <w:t xml:space="preserve">Classes of Electronic Payment System Transactions Exempt </w:t>
      </w:r>
      <w:r w:rsidR="009768AE" w:rsidRPr="000C1C39">
        <w:rPr>
          <w:rFonts w:ascii="Arial" w:hAnsi="Arial" w:cs="Arial"/>
          <w:i/>
          <w:sz w:val="22"/>
          <w:szCs w:val="22"/>
        </w:rPr>
        <w:t>f</w:t>
      </w:r>
      <w:r w:rsidRPr="000C1C39">
        <w:rPr>
          <w:rFonts w:ascii="Arial" w:hAnsi="Arial" w:cs="Arial"/>
          <w:i/>
          <w:sz w:val="22"/>
          <w:szCs w:val="22"/>
        </w:rPr>
        <w:t xml:space="preserve">rom Being Reported in </w:t>
      </w:r>
      <w:r w:rsidRPr="00DE4172">
        <w:rPr>
          <w:rFonts w:ascii="Arial" w:hAnsi="Arial" w:cs="Arial"/>
          <w:i/>
          <w:sz w:val="22"/>
          <w:szCs w:val="22"/>
        </w:rPr>
        <w:t>Third Party</w:t>
      </w:r>
      <w:r w:rsidRPr="000C1C39">
        <w:rPr>
          <w:rFonts w:ascii="Arial" w:hAnsi="Arial" w:cs="Arial"/>
          <w:i/>
          <w:sz w:val="22"/>
          <w:szCs w:val="22"/>
        </w:rPr>
        <w:t xml:space="preserve"> Reports Determination 2021 </w:t>
      </w:r>
      <w:r w:rsidRPr="000C1C39">
        <w:rPr>
          <w:rFonts w:ascii="Arial" w:hAnsi="Arial" w:cs="Arial"/>
          <w:iCs/>
          <w:sz w:val="22"/>
          <w:szCs w:val="22"/>
        </w:rPr>
        <w:t>(</w:t>
      </w:r>
      <w:r w:rsidRPr="000C1C39">
        <w:rPr>
          <w:rFonts w:ascii="Arial" w:hAnsi="Arial" w:cs="Arial"/>
          <w:sz w:val="22"/>
          <w:szCs w:val="22"/>
        </w:rPr>
        <w:t>F2021L00278)</w:t>
      </w:r>
    </w:p>
    <w:sectPr w:rsidR="000C1C39" w:rsidRPr="000C1C39" w:rsidSect="00C22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DB3F" w14:textId="77777777" w:rsidR="00293084" w:rsidRDefault="00293084">
      <w:r>
        <w:separator/>
      </w:r>
    </w:p>
  </w:endnote>
  <w:endnote w:type="continuationSeparator" w:id="0">
    <w:p w14:paraId="4B385ABB" w14:textId="77777777" w:rsidR="00293084" w:rsidRDefault="0029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5C6E" w14:textId="77777777" w:rsidR="00154794" w:rsidRDefault="0015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A812" w14:textId="77777777" w:rsidR="00154794" w:rsidRDefault="00154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E6D2" w14:textId="77777777" w:rsidR="00154794" w:rsidRDefault="00154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F93E" w14:textId="77777777" w:rsidR="00293084" w:rsidRDefault="00293084">
      <w:r>
        <w:separator/>
      </w:r>
    </w:p>
  </w:footnote>
  <w:footnote w:type="continuationSeparator" w:id="0">
    <w:p w14:paraId="44597398" w14:textId="77777777" w:rsidR="00293084" w:rsidRDefault="0029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3E06" w14:textId="77777777" w:rsidR="00154794" w:rsidRDefault="00154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42DB" w14:textId="77777777" w:rsidR="00154794" w:rsidRDefault="00154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E24" w14:textId="4AAEAEDB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176A3284" wp14:editId="4C0C3EF7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25DCE" w14:textId="429392FD" w:rsidR="00001B90" w:rsidRPr="00001B90" w:rsidRDefault="00001B90" w:rsidP="00DE417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927"/>
    <w:multiLevelType w:val="hybridMultilevel"/>
    <w:tmpl w:val="D4987B2C"/>
    <w:lvl w:ilvl="0" w:tplc="C322AB4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2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B33A1"/>
    <w:multiLevelType w:val="hybridMultilevel"/>
    <w:tmpl w:val="D1567F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B03585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8642AB"/>
    <w:multiLevelType w:val="hybridMultilevel"/>
    <w:tmpl w:val="DB8E9274"/>
    <w:lvl w:ilvl="0" w:tplc="C322A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63A0"/>
    <w:multiLevelType w:val="hybridMultilevel"/>
    <w:tmpl w:val="649C25F6"/>
    <w:lvl w:ilvl="0" w:tplc="5C92E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1B38"/>
    <w:multiLevelType w:val="hybridMultilevel"/>
    <w:tmpl w:val="9E4667E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DA6542"/>
    <w:multiLevelType w:val="hybridMultilevel"/>
    <w:tmpl w:val="E666763A"/>
    <w:lvl w:ilvl="0" w:tplc="5C92E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6868"/>
    <w:multiLevelType w:val="hybridMultilevel"/>
    <w:tmpl w:val="9E0CD3D8"/>
    <w:lvl w:ilvl="0" w:tplc="F4B207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4482C"/>
    <w:multiLevelType w:val="hybridMultilevel"/>
    <w:tmpl w:val="3274F6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B14F9"/>
    <w:multiLevelType w:val="hybridMultilevel"/>
    <w:tmpl w:val="6B8E8472"/>
    <w:lvl w:ilvl="0" w:tplc="3E4A2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86C5E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646E1D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EBE2DE1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F004F4"/>
    <w:multiLevelType w:val="hybridMultilevel"/>
    <w:tmpl w:val="60B466F6"/>
    <w:lvl w:ilvl="0" w:tplc="4A38B6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4588ECA2">
      <w:start w:val="1"/>
      <w:numFmt w:val="lowerRoman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A0021E"/>
    <w:multiLevelType w:val="hybridMultilevel"/>
    <w:tmpl w:val="477005B8"/>
    <w:lvl w:ilvl="0" w:tplc="8E54C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E20"/>
    <w:multiLevelType w:val="hybridMultilevel"/>
    <w:tmpl w:val="9E4667E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9CC6670"/>
    <w:multiLevelType w:val="hybridMultilevel"/>
    <w:tmpl w:val="47BED90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11393"/>
    <w:multiLevelType w:val="hybridMultilevel"/>
    <w:tmpl w:val="5C06E6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C45F8A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A272D94"/>
    <w:multiLevelType w:val="hybridMultilevel"/>
    <w:tmpl w:val="6310F866"/>
    <w:lvl w:ilvl="0" w:tplc="EEB89CE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D8D0B52"/>
    <w:multiLevelType w:val="hybridMultilevel"/>
    <w:tmpl w:val="B498BD4A"/>
    <w:lvl w:ilvl="0" w:tplc="056C4E4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4821E3"/>
    <w:multiLevelType w:val="hybridMultilevel"/>
    <w:tmpl w:val="7B865808"/>
    <w:lvl w:ilvl="0" w:tplc="7348F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1431F9"/>
    <w:multiLevelType w:val="hybridMultilevel"/>
    <w:tmpl w:val="DA3832B8"/>
    <w:lvl w:ilvl="0" w:tplc="5C92E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5211E"/>
    <w:multiLevelType w:val="hybridMultilevel"/>
    <w:tmpl w:val="569027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4"/>
  </w:num>
  <w:num w:numId="5">
    <w:abstractNumId w:val="5"/>
  </w:num>
  <w:num w:numId="6">
    <w:abstractNumId w:val="2"/>
  </w:num>
  <w:num w:numId="7">
    <w:abstractNumId w:val="20"/>
  </w:num>
  <w:num w:numId="8">
    <w:abstractNumId w:val="22"/>
  </w:num>
  <w:num w:numId="9">
    <w:abstractNumId w:val="23"/>
  </w:num>
  <w:num w:numId="10">
    <w:abstractNumId w:val="19"/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28"/>
  </w:num>
  <w:num w:numId="15">
    <w:abstractNumId w:val="8"/>
  </w:num>
  <w:num w:numId="16">
    <w:abstractNumId w:val="11"/>
  </w:num>
  <w:num w:numId="17">
    <w:abstractNumId w:val="18"/>
  </w:num>
  <w:num w:numId="18">
    <w:abstractNumId w:val="13"/>
  </w:num>
  <w:num w:numId="19">
    <w:abstractNumId w:val="25"/>
  </w:num>
  <w:num w:numId="20">
    <w:abstractNumId w:val="9"/>
  </w:num>
  <w:num w:numId="21">
    <w:abstractNumId w:val="29"/>
  </w:num>
  <w:num w:numId="22">
    <w:abstractNumId w:val="16"/>
  </w:num>
  <w:num w:numId="23">
    <w:abstractNumId w:val="6"/>
  </w:num>
  <w:num w:numId="24">
    <w:abstractNumId w:val="24"/>
  </w:num>
  <w:num w:numId="25">
    <w:abstractNumId w:val="15"/>
  </w:num>
  <w:num w:numId="26">
    <w:abstractNumId w:val="14"/>
  </w:num>
  <w:num w:numId="27">
    <w:abstractNumId w:val="7"/>
  </w:num>
  <w:num w:numId="28">
    <w:abstractNumId w:val="17"/>
  </w:num>
  <w:num w:numId="29">
    <w:abstractNumId w:val="26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245"/>
    <w:rsid w:val="00001B90"/>
    <w:rsid w:val="0000370C"/>
    <w:rsid w:val="00007147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0488"/>
    <w:rsid w:val="0003261F"/>
    <w:rsid w:val="0003295B"/>
    <w:rsid w:val="00034883"/>
    <w:rsid w:val="00034DF2"/>
    <w:rsid w:val="00035397"/>
    <w:rsid w:val="00036F54"/>
    <w:rsid w:val="00044893"/>
    <w:rsid w:val="00045F14"/>
    <w:rsid w:val="00053761"/>
    <w:rsid w:val="00053842"/>
    <w:rsid w:val="00055878"/>
    <w:rsid w:val="0005765C"/>
    <w:rsid w:val="00060987"/>
    <w:rsid w:val="00061054"/>
    <w:rsid w:val="0006112D"/>
    <w:rsid w:val="00061910"/>
    <w:rsid w:val="0007143A"/>
    <w:rsid w:val="00072E3D"/>
    <w:rsid w:val="000745A8"/>
    <w:rsid w:val="0007527F"/>
    <w:rsid w:val="00075AC1"/>
    <w:rsid w:val="000761BD"/>
    <w:rsid w:val="00082A4A"/>
    <w:rsid w:val="00083C8E"/>
    <w:rsid w:val="00083FAC"/>
    <w:rsid w:val="00084DB2"/>
    <w:rsid w:val="00087C21"/>
    <w:rsid w:val="00090B7A"/>
    <w:rsid w:val="0009111F"/>
    <w:rsid w:val="00096865"/>
    <w:rsid w:val="000A0909"/>
    <w:rsid w:val="000A0B93"/>
    <w:rsid w:val="000A1078"/>
    <w:rsid w:val="000A3297"/>
    <w:rsid w:val="000A524C"/>
    <w:rsid w:val="000A6CE4"/>
    <w:rsid w:val="000A70C6"/>
    <w:rsid w:val="000B2C32"/>
    <w:rsid w:val="000B2DD7"/>
    <w:rsid w:val="000B68A0"/>
    <w:rsid w:val="000B6F6B"/>
    <w:rsid w:val="000C1C39"/>
    <w:rsid w:val="000C7CD7"/>
    <w:rsid w:val="000D01F7"/>
    <w:rsid w:val="000D13BC"/>
    <w:rsid w:val="000D1B5B"/>
    <w:rsid w:val="000D3A57"/>
    <w:rsid w:val="000D3CC6"/>
    <w:rsid w:val="000D40A4"/>
    <w:rsid w:val="000D6A3C"/>
    <w:rsid w:val="000D6E5B"/>
    <w:rsid w:val="000E0270"/>
    <w:rsid w:val="000E2EB8"/>
    <w:rsid w:val="000E354E"/>
    <w:rsid w:val="000E44B8"/>
    <w:rsid w:val="000F074E"/>
    <w:rsid w:val="000F3E93"/>
    <w:rsid w:val="000F52DE"/>
    <w:rsid w:val="001051FA"/>
    <w:rsid w:val="00106686"/>
    <w:rsid w:val="00110ACA"/>
    <w:rsid w:val="00110E46"/>
    <w:rsid w:val="00110F37"/>
    <w:rsid w:val="00114408"/>
    <w:rsid w:val="001163AA"/>
    <w:rsid w:val="00116B15"/>
    <w:rsid w:val="00117FF5"/>
    <w:rsid w:val="001243A8"/>
    <w:rsid w:val="00126EED"/>
    <w:rsid w:val="00131447"/>
    <w:rsid w:val="001336F1"/>
    <w:rsid w:val="00134D4D"/>
    <w:rsid w:val="001361C6"/>
    <w:rsid w:val="0014340D"/>
    <w:rsid w:val="00146086"/>
    <w:rsid w:val="001463BA"/>
    <w:rsid w:val="00150830"/>
    <w:rsid w:val="00151F9D"/>
    <w:rsid w:val="00154159"/>
    <w:rsid w:val="00154794"/>
    <w:rsid w:val="00155E7A"/>
    <w:rsid w:val="00156D4B"/>
    <w:rsid w:val="001605B9"/>
    <w:rsid w:val="00162281"/>
    <w:rsid w:val="00163373"/>
    <w:rsid w:val="00165CC9"/>
    <w:rsid w:val="00165DC1"/>
    <w:rsid w:val="00166FA7"/>
    <w:rsid w:val="0017078D"/>
    <w:rsid w:val="00172075"/>
    <w:rsid w:val="00172C69"/>
    <w:rsid w:val="00173050"/>
    <w:rsid w:val="00174735"/>
    <w:rsid w:val="00175FFF"/>
    <w:rsid w:val="00176815"/>
    <w:rsid w:val="00181212"/>
    <w:rsid w:val="00182322"/>
    <w:rsid w:val="00182888"/>
    <w:rsid w:val="00184610"/>
    <w:rsid w:val="00184795"/>
    <w:rsid w:val="00185C45"/>
    <w:rsid w:val="00187C71"/>
    <w:rsid w:val="00191798"/>
    <w:rsid w:val="001958EE"/>
    <w:rsid w:val="00197136"/>
    <w:rsid w:val="001A09BD"/>
    <w:rsid w:val="001A271F"/>
    <w:rsid w:val="001A34E7"/>
    <w:rsid w:val="001A5431"/>
    <w:rsid w:val="001A580D"/>
    <w:rsid w:val="001A67BD"/>
    <w:rsid w:val="001A6A10"/>
    <w:rsid w:val="001A71C9"/>
    <w:rsid w:val="001B0FC5"/>
    <w:rsid w:val="001B1582"/>
    <w:rsid w:val="001B1C8D"/>
    <w:rsid w:val="001B33A3"/>
    <w:rsid w:val="001B6185"/>
    <w:rsid w:val="001C0007"/>
    <w:rsid w:val="001C1A91"/>
    <w:rsid w:val="001C6316"/>
    <w:rsid w:val="001C6C9F"/>
    <w:rsid w:val="001C7B01"/>
    <w:rsid w:val="001D0C43"/>
    <w:rsid w:val="001D1628"/>
    <w:rsid w:val="001D4C15"/>
    <w:rsid w:val="001D5B6F"/>
    <w:rsid w:val="001E32EA"/>
    <w:rsid w:val="001E4F85"/>
    <w:rsid w:val="001E5A7D"/>
    <w:rsid w:val="001E72C7"/>
    <w:rsid w:val="001F30CF"/>
    <w:rsid w:val="001F4720"/>
    <w:rsid w:val="00200593"/>
    <w:rsid w:val="00200CD4"/>
    <w:rsid w:val="002025B9"/>
    <w:rsid w:val="00203F0E"/>
    <w:rsid w:val="00204EFB"/>
    <w:rsid w:val="0020543A"/>
    <w:rsid w:val="00205811"/>
    <w:rsid w:val="002112A9"/>
    <w:rsid w:val="0021318A"/>
    <w:rsid w:val="00215A42"/>
    <w:rsid w:val="00216C38"/>
    <w:rsid w:val="002213F3"/>
    <w:rsid w:val="00222180"/>
    <w:rsid w:val="00223B13"/>
    <w:rsid w:val="00223D79"/>
    <w:rsid w:val="00224B20"/>
    <w:rsid w:val="00225B5B"/>
    <w:rsid w:val="00227E0F"/>
    <w:rsid w:val="002309BC"/>
    <w:rsid w:val="00232923"/>
    <w:rsid w:val="00234388"/>
    <w:rsid w:val="00235B01"/>
    <w:rsid w:val="00237D14"/>
    <w:rsid w:val="00242CCE"/>
    <w:rsid w:val="002449E3"/>
    <w:rsid w:val="00246081"/>
    <w:rsid w:val="002476E9"/>
    <w:rsid w:val="002504EE"/>
    <w:rsid w:val="00252E5B"/>
    <w:rsid w:val="00255A9D"/>
    <w:rsid w:val="00255AB5"/>
    <w:rsid w:val="00256024"/>
    <w:rsid w:val="002605AB"/>
    <w:rsid w:val="002607DB"/>
    <w:rsid w:val="002625AE"/>
    <w:rsid w:val="00267123"/>
    <w:rsid w:val="00270137"/>
    <w:rsid w:val="00274BCD"/>
    <w:rsid w:val="00286620"/>
    <w:rsid w:val="0029127F"/>
    <w:rsid w:val="00292E75"/>
    <w:rsid w:val="00293084"/>
    <w:rsid w:val="002944AD"/>
    <w:rsid w:val="002950F0"/>
    <w:rsid w:val="00295B22"/>
    <w:rsid w:val="002A1515"/>
    <w:rsid w:val="002A2CD1"/>
    <w:rsid w:val="002A6D63"/>
    <w:rsid w:val="002A7FB3"/>
    <w:rsid w:val="002B014D"/>
    <w:rsid w:val="002B0B63"/>
    <w:rsid w:val="002B16A7"/>
    <w:rsid w:val="002B5AF6"/>
    <w:rsid w:val="002B5B41"/>
    <w:rsid w:val="002C1214"/>
    <w:rsid w:val="002C1E82"/>
    <w:rsid w:val="002C5784"/>
    <w:rsid w:val="002C7A81"/>
    <w:rsid w:val="002D066A"/>
    <w:rsid w:val="002D144F"/>
    <w:rsid w:val="002D16F4"/>
    <w:rsid w:val="002D1CBA"/>
    <w:rsid w:val="002D6902"/>
    <w:rsid w:val="002D6EC7"/>
    <w:rsid w:val="002D7B6D"/>
    <w:rsid w:val="002D7DD0"/>
    <w:rsid w:val="002E0495"/>
    <w:rsid w:val="002E0EC2"/>
    <w:rsid w:val="002E5306"/>
    <w:rsid w:val="002F18CB"/>
    <w:rsid w:val="002F3447"/>
    <w:rsid w:val="002F4ED8"/>
    <w:rsid w:val="0030086F"/>
    <w:rsid w:val="00303F72"/>
    <w:rsid w:val="003052A7"/>
    <w:rsid w:val="003107EF"/>
    <w:rsid w:val="00312725"/>
    <w:rsid w:val="00313128"/>
    <w:rsid w:val="00314A4E"/>
    <w:rsid w:val="003150E0"/>
    <w:rsid w:val="0032158A"/>
    <w:rsid w:val="00321665"/>
    <w:rsid w:val="003229FB"/>
    <w:rsid w:val="00322E62"/>
    <w:rsid w:val="00325660"/>
    <w:rsid w:val="00325692"/>
    <w:rsid w:val="0033381F"/>
    <w:rsid w:val="0033478D"/>
    <w:rsid w:val="0033482D"/>
    <w:rsid w:val="00335D7F"/>
    <w:rsid w:val="00337DA3"/>
    <w:rsid w:val="00340433"/>
    <w:rsid w:val="00342135"/>
    <w:rsid w:val="0034580A"/>
    <w:rsid w:val="003462FD"/>
    <w:rsid w:val="00347B2A"/>
    <w:rsid w:val="00354999"/>
    <w:rsid w:val="00354C19"/>
    <w:rsid w:val="00360A0A"/>
    <w:rsid w:val="00361A02"/>
    <w:rsid w:val="003651A6"/>
    <w:rsid w:val="00365B82"/>
    <w:rsid w:val="00367704"/>
    <w:rsid w:val="00367E7D"/>
    <w:rsid w:val="00372F98"/>
    <w:rsid w:val="00372FF9"/>
    <w:rsid w:val="00373E8D"/>
    <w:rsid w:val="0037526B"/>
    <w:rsid w:val="00377BCC"/>
    <w:rsid w:val="00377E2A"/>
    <w:rsid w:val="00380717"/>
    <w:rsid w:val="00381779"/>
    <w:rsid w:val="003819B3"/>
    <w:rsid w:val="003830FE"/>
    <w:rsid w:val="00391A9C"/>
    <w:rsid w:val="003926AC"/>
    <w:rsid w:val="00397383"/>
    <w:rsid w:val="003A067D"/>
    <w:rsid w:val="003A14B9"/>
    <w:rsid w:val="003A1C6C"/>
    <w:rsid w:val="003A48AF"/>
    <w:rsid w:val="003A54B9"/>
    <w:rsid w:val="003A58BC"/>
    <w:rsid w:val="003A5A04"/>
    <w:rsid w:val="003A64FC"/>
    <w:rsid w:val="003B0BAB"/>
    <w:rsid w:val="003B123A"/>
    <w:rsid w:val="003B5EDB"/>
    <w:rsid w:val="003B6971"/>
    <w:rsid w:val="003B6B0B"/>
    <w:rsid w:val="003B71E0"/>
    <w:rsid w:val="003C0157"/>
    <w:rsid w:val="003C1811"/>
    <w:rsid w:val="003C18B4"/>
    <w:rsid w:val="003C564E"/>
    <w:rsid w:val="003C7C74"/>
    <w:rsid w:val="003D0EB2"/>
    <w:rsid w:val="003D31FA"/>
    <w:rsid w:val="003D3335"/>
    <w:rsid w:val="003D354B"/>
    <w:rsid w:val="003D3E6D"/>
    <w:rsid w:val="003D5A34"/>
    <w:rsid w:val="003D633A"/>
    <w:rsid w:val="003D7778"/>
    <w:rsid w:val="003E3E74"/>
    <w:rsid w:val="003E52ED"/>
    <w:rsid w:val="003F0BE9"/>
    <w:rsid w:val="003F71AF"/>
    <w:rsid w:val="003F71CC"/>
    <w:rsid w:val="004007F2"/>
    <w:rsid w:val="00407E0A"/>
    <w:rsid w:val="00411530"/>
    <w:rsid w:val="00412B77"/>
    <w:rsid w:val="00413E03"/>
    <w:rsid w:val="00413F42"/>
    <w:rsid w:val="00414405"/>
    <w:rsid w:val="00415653"/>
    <w:rsid w:val="0041691C"/>
    <w:rsid w:val="0042007E"/>
    <w:rsid w:val="00424F2B"/>
    <w:rsid w:val="00426390"/>
    <w:rsid w:val="00431F92"/>
    <w:rsid w:val="0043366F"/>
    <w:rsid w:val="00436E40"/>
    <w:rsid w:val="00437A2E"/>
    <w:rsid w:val="00441AC4"/>
    <w:rsid w:val="00443355"/>
    <w:rsid w:val="00443EC2"/>
    <w:rsid w:val="00444608"/>
    <w:rsid w:val="00446E2A"/>
    <w:rsid w:val="00447072"/>
    <w:rsid w:val="00447D82"/>
    <w:rsid w:val="00451EE1"/>
    <w:rsid w:val="00452C78"/>
    <w:rsid w:val="00453A50"/>
    <w:rsid w:val="00453FB4"/>
    <w:rsid w:val="0045428E"/>
    <w:rsid w:val="0045461F"/>
    <w:rsid w:val="004618EA"/>
    <w:rsid w:val="00461FBC"/>
    <w:rsid w:val="00466FCB"/>
    <w:rsid w:val="004745E2"/>
    <w:rsid w:val="00475A2F"/>
    <w:rsid w:val="00480A1F"/>
    <w:rsid w:val="00481A5B"/>
    <w:rsid w:val="00483664"/>
    <w:rsid w:val="00484715"/>
    <w:rsid w:val="004850CE"/>
    <w:rsid w:val="00486E49"/>
    <w:rsid w:val="004870DE"/>
    <w:rsid w:val="00490C14"/>
    <w:rsid w:val="00492ED6"/>
    <w:rsid w:val="004975A9"/>
    <w:rsid w:val="004A18D0"/>
    <w:rsid w:val="004A1F42"/>
    <w:rsid w:val="004A30EE"/>
    <w:rsid w:val="004A3AB0"/>
    <w:rsid w:val="004B0651"/>
    <w:rsid w:val="004B1977"/>
    <w:rsid w:val="004B4F84"/>
    <w:rsid w:val="004B7906"/>
    <w:rsid w:val="004C1116"/>
    <w:rsid w:val="004C1BDB"/>
    <w:rsid w:val="004C3B01"/>
    <w:rsid w:val="004C68AA"/>
    <w:rsid w:val="004C7883"/>
    <w:rsid w:val="004D0B9D"/>
    <w:rsid w:val="004D22B9"/>
    <w:rsid w:val="004E04F8"/>
    <w:rsid w:val="004E1866"/>
    <w:rsid w:val="004E2A09"/>
    <w:rsid w:val="004E3A27"/>
    <w:rsid w:val="004E4117"/>
    <w:rsid w:val="004E660F"/>
    <w:rsid w:val="004F6872"/>
    <w:rsid w:val="005032B8"/>
    <w:rsid w:val="005037ED"/>
    <w:rsid w:val="0050473D"/>
    <w:rsid w:val="00506840"/>
    <w:rsid w:val="00507465"/>
    <w:rsid w:val="00507C1E"/>
    <w:rsid w:val="00510446"/>
    <w:rsid w:val="00510B32"/>
    <w:rsid w:val="00510E8B"/>
    <w:rsid w:val="005125F8"/>
    <w:rsid w:val="00513891"/>
    <w:rsid w:val="00513A8B"/>
    <w:rsid w:val="00515786"/>
    <w:rsid w:val="00520DD6"/>
    <w:rsid w:val="005251FD"/>
    <w:rsid w:val="005272E2"/>
    <w:rsid w:val="00527EC7"/>
    <w:rsid w:val="005312F5"/>
    <w:rsid w:val="00532AC5"/>
    <w:rsid w:val="00534894"/>
    <w:rsid w:val="005361C9"/>
    <w:rsid w:val="005364C0"/>
    <w:rsid w:val="00536822"/>
    <w:rsid w:val="00537C5B"/>
    <w:rsid w:val="00537D5D"/>
    <w:rsid w:val="00541C30"/>
    <w:rsid w:val="005435F2"/>
    <w:rsid w:val="00545171"/>
    <w:rsid w:val="0055072D"/>
    <w:rsid w:val="005518A6"/>
    <w:rsid w:val="00552490"/>
    <w:rsid w:val="00554CFA"/>
    <w:rsid w:val="005605BE"/>
    <w:rsid w:val="0056163C"/>
    <w:rsid w:val="00564D84"/>
    <w:rsid w:val="00567854"/>
    <w:rsid w:val="00570631"/>
    <w:rsid w:val="00573DFB"/>
    <w:rsid w:val="0057609B"/>
    <w:rsid w:val="00576A15"/>
    <w:rsid w:val="005803C4"/>
    <w:rsid w:val="00582467"/>
    <w:rsid w:val="005848C1"/>
    <w:rsid w:val="005849D8"/>
    <w:rsid w:val="00585124"/>
    <w:rsid w:val="0058722D"/>
    <w:rsid w:val="005903F3"/>
    <w:rsid w:val="00595C40"/>
    <w:rsid w:val="005A1DFC"/>
    <w:rsid w:val="005A3791"/>
    <w:rsid w:val="005B0F08"/>
    <w:rsid w:val="005B110F"/>
    <w:rsid w:val="005B118C"/>
    <w:rsid w:val="005B331E"/>
    <w:rsid w:val="005B4F0F"/>
    <w:rsid w:val="005B51FF"/>
    <w:rsid w:val="005B556C"/>
    <w:rsid w:val="005B5B42"/>
    <w:rsid w:val="005B6BBF"/>
    <w:rsid w:val="005C13A2"/>
    <w:rsid w:val="005C5D9A"/>
    <w:rsid w:val="005D2382"/>
    <w:rsid w:val="005D357E"/>
    <w:rsid w:val="005D55A1"/>
    <w:rsid w:val="005D7217"/>
    <w:rsid w:val="005E214D"/>
    <w:rsid w:val="005E49E3"/>
    <w:rsid w:val="005E5665"/>
    <w:rsid w:val="005E6E25"/>
    <w:rsid w:val="005F0683"/>
    <w:rsid w:val="005F0688"/>
    <w:rsid w:val="005F1A16"/>
    <w:rsid w:val="005F2226"/>
    <w:rsid w:val="005F223B"/>
    <w:rsid w:val="005F26B6"/>
    <w:rsid w:val="005F501B"/>
    <w:rsid w:val="005F5CFA"/>
    <w:rsid w:val="006001AD"/>
    <w:rsid w:val="006005F4"/>
    <w:rsid w:val="00600A5F"/>
    <w:rsid w:val="006054BE"/>
    <w:rsid w:val="0061078B"/>
    <w:rsid w:val="00612328"/>
    <w:rsid w:val="006127B8"/>
    <w:rsid w:val="00613DA2"/>
    <w:rsid w:val="00614F97"/>
    <w:rsid w:val="00621779"/>
    <w:rsid w:val="00622FAC"/>
    <w:rsid w:val="006230F5"/>
    <w:rsid w:val="006245B8"/>
    <w:rsid w:val="00626231"/>
    <w:rsid w:val="00627741"/>
    <w:rsid w:val="00635DE4"/>
    <w:rsid w:val="0063701F"/>
    <w:rsid w:val="0064195A"/>
    <w:rsid w:val="00644EDE"/>
    <w:rsid w:val="0064758C"/>
    <w:rsid w:val="00650F86"/>
    <w:rsid w:val="00650FDC"/>
    <w:rsid w:val="00654B29"/>
    <w:rsid w:val="00657558"/>
    <w:rsid w:val="006577D8"/>
    <w:rsid w:val="0067114A"/>
    <w:rsid w:val="00671B7E"/>
    <w:rsid w:val="00673BA4"/>
    <w:rsid w:val="00673C52"/>
    <w:rsid w:val="00675FA6"/>
    <w:rsid w:val="00680968"/>
    <w:rsid w:val="00682021"/>
    <w:rsid w:val="0068234C"/>
    <w:rsid w:val="006841E8"/>
    <w:rsid w:val="006910C8"/>
    <w:rsid w:val="00691409"/>
    <w:rsid w:val="006919FF"/>
    <w:rsid w:val="00691DA3"/>
    <w:rsid w:val="0069258C"/>
    <w:rsid w:val="00694CA4"/>
    <w:rsid w:val="00696C29"/>
    <w:rsid w:val="006A5B73"/>
    <w:rsid w:val="006B38B0"/>
    <w:rsid w:val="006B5F47"/>
    <w:rsid w:val="006B76E1"/>
    <w:rsid w:val="006C008D"/>
    <w:rsid w:val="006C285A"/>
    <w:rsid w:val="006C344E"/>
    <w:rsid w:val="006C39FA"/>
    <w:rsid w:val="006D5EF2"/>
    <w:rsid w:val="006D6CDB"/>
    <w:rsid w:val="006E27F8"/>
    <w:rsid w:val="006E2B6D"/>
    <w:rsid w:val="006E3DDC"/>
    <w:rsid w:val="006E6EF2"/>
    <w:rsid w:val="006F00D4"/>
    <w:rsid w:val="006F0AC8"/>
    <w:rsid w:val="006F3F34"/>
    <w:rsid w:val="006F3FB3"/>
    <w:rsid w:val="006F44E4"/>
    <w:rsid w:val="006F4E8C"/>
    <w:rsid w:val="00703C5E"/>
    <w:rsid w:val="007047B7"/>
    <w:rsid w:val="00704877"/>
    <w:rsid w:val="0070498F"/>
    <w:rsid w:val="00705A23"/>
    <w:rsid w:val="00706ACB"/>
    <w:rsid w:val="00710B9B"/>
    <w:rsid w:val="00711825"/>
    <w:rsid w:val="0071393F"/>
    <w:rsid w:val="00713A82"/>
    <w:rsid w:val="007153AD"/>
    <w:rsid w:val="00717787"/>
    <w:rsid w:val="00721FB3"/>
    <w:rsid w:val="007223F7"/>
    <w:rsid w:val="0072336F"/>
    <w:rsid w:val="00723917"/>
    <w:rsid w:val="007270F4"/>
    <w:rsid w:val="007271D6"/>
    <w:rsid w:val="0072721F"/>
    <w:rsid w:val="00732F35"/>
    <w:rsid w:val="00740968"/>
    <w:rsid w:val="00741721"/>
    <w:rsid w:val="00744464"/>
    <w:rsid w:val="00745F59"/>
    <w:rsid w:val="00746FFF"/>
    <w:rsid w:val="007478FC"/>
    <w:rsid w:val="00753596"/>
    <w:rsid w:val="00756301"/>
    <w:rsid w:val="0076476D"/>
    <w:rsid w:val="00771758"/>
    <w:rsid w:val="0077436F"/>
    <w:rsid w:val="00776EC3"/>
    <w:rsid w:val="00777F89"/>
    <w:rsid w:val="0078091A"/>
    <w:rsid w:val="00781AF8"/>
    <w:rsid w:val="00782943"/>
    <w:rsid w:val="007848AB"/>
    <w:rsid w:val="00784A59"/>
    <w:rsid w:val="007853B5"/>
    <w:rsid w:val="00786871"/>
    <w:rsid w:val="00786AC9"/>
    <w:rsid w:val="007949CB"/>
    <w:rsid w:val="00797788"/>
    <w:rsid w:val="00797ED5"/>
    <w:rsid w:val="007A1722"/>
    <w:rsid w:val="007A190A"/>
    <w:rsid w:val="007A326B"/>
    <w:rsid w:val="007A5ABF"/>
    <w:rsid w:val="007A5F78"/>
    <w:rsid w:val="007A6D51"/>
    <w:rsid w:val="007B044F"/>
    <w:rsid w:val="007B0972"/>
    <w:rsid w:val="007B0DF6"/>
    <w:rsid w:val="007B0F9A"/>
    <w:rsid w:val="007B2B77"/>
    <w:rsid w:val="007B6064"/>
    <w:rsid w:val="007C5463"/>
    <w:rsid w:val="007C70AF"/>
    <w:rsid w:val="007D05B9"/>
    <w:rsid w:val="007D143D"/>
    <w:rsid w:val="007D3B7A"/>
    <w:rsid w:val="007E2ADE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6ED7"/>
    <w:rsid w:val="00807A75"/>
    <w:rsid w:val="00811B5B"/>
    <w:rsid w:val="00812B6D"/>
    <w:rsid w:val="00813040"/>
    <w:rsid w:val="00813A0C"/>
    <w:rsid w:val="008163F0"/>
    <w:rsid w:val="00816C72"/>
    <w:rsid w:val="00820311"/>
    <w:rsid w:val="0082246B"/>
    <w:rsid w:val="008253E6"/>
    <w:rsid w:val="008256D3"/>
    <w:rsid w:val="00826833"/>
    <w:rsid w:val="008322A4"/>
    <w:rsid w:val="00834760"/>
    <w:rsid w:val="00841E3C"/>
    <w:rsid w:val="00842451"/>
    <w:rsid w:val="008430FE"/>
    <w:rsid w:val="0084367E"/>
    <w:rsid w:val="00843877"/>
    <w:rsid w:val="00844FBE"/>
    <w:rsid w:val="00851389"/>
    <w:rsid w:val="00854111"/>
    <w:rsid w:val="008571FF"/>
    <w:rsid w:val="00857716"/>
    <w:rsid w:val="00857A86"/>
    <w:rsid w:val="008615C0"/>
    <w:rsid w:val="00864E5E"/>
    <w:rsid w:val="008668E1"/>
    <w:rsid w:val="00866B27"/>
    <w:rsid w:val="00866BB5"/>
    <w:rsid w:val="0086713F"/>
    <w:rsid w:val="00870155"/>
    <w:rsid w:val="00874B25"/>
    <w:rsid w:val="00876316"/>
    <w:rsid w:val="00877DC5"/>
    <w:rsid w:val="00880A93"/>
    <w:rsid w:val="00883938"/>
    <w:rsid w:val="008875E1"/>
    <w:rsid w:val="008906E9"/>
    <w:rsid w:val="0089182B"/>
    <w:rsid w:val="00895212"/>
    <w:rsid w:val="008962B4"/>
    <w:rsid w:val="00896CED"/>
    <w:rsid w:val="008B0F40"/>
    <w:rsid w:val="008B17C7"/>
    <w:rsid w:val="008B283D"/>
    <w:rsid w:val="008B32F6"/>
    <w:rsid w:val="008C1C60"/>
    <w:rsid w:val="008D1043"/>
    <w:rsid w:val="008D10DC"/>
    <w:rsid w:val="008D1796"/>
    <w:rsid w:val="008D27B9"/>
    <w:rsid w:val="008D2F8A"/>
    <w:rsid w:val="008D41BF"/>
    <w:rsid w:val="008D764D"/>
    <w:rsid w:val="008E08C8"/>
    <w:rsid w:val="008E7713"/>
    <w:rsid w:val="008F2728"/>
    <w:rsid w:val="008F6245"/>
    <w:rsid w:val="009004DF"/>
    <w:rsid w:val="00906516"/>
    <w:rsid w:val="009079A5"/>
    <w:rsid w:val="009105C1"/>
    <w:rsid w:val="00911F3A"/>
    <w:rsid w:val="00912F99"/>
    <w:rsid w:val="0091304C"/>
    <w:rsid w:val="00915BA5"/>
    <w:rsid w:val="00917733"/>
    <w:rsid w:val="0093325B"/>
    <w:rsid w:val="00933619"/>
    <w:rsid w:val="00936C08"/>
    <w:rsid w:val="00940579"/>
    <w:rsid w:val="00941A33"/>
    <w:rsid w:val="00941D54"/>
    <w:rsid w:val="00945DBF"/>
    <w:rsid w:val="00950E56"/>
    <w:rsid w:val="00951288"/>
    <w:rsid w:val="00954ADE"/>
    <w:rsid w:val="00955271"/>
    <w:rsid w:val="00955D35"/>
    <w:rsid w:val="00956CDE"/>
    <w:rsid w:val="00957E39"/>
    <w:rsid w:val="00960417"/>
    <w:rsid w:val="00962392"/>
    <w:rsid w:val="009647D1"/>
    <w:rsid w:val="00964BBB"/>
    <w:rsid w:val="00964F3F"/>
    <w:rsid w:val="009655C5"/>
    <w:rsid w:val="0096645F"/>
    <w:rsid w:val="009665E1"/>
    <w:rsid w:val="0097053C"/>
    <w:rsid w:val="00974B4A"/>
    <w:rsid w:val="009761F0"/>
    <w:rsid w:val="009768AE"/>
    <w:rsid w:val="00976E43"/>
    <w:rsid w:val="00981F0A"/>
    <w:rsid w:val="00985810"/>
    <w:rsid w:val="009915EB"/>
    <w:rsid w:val="00991819"/>
    <w:rsid w:val="009918FB"/>
    <w:rsid w:val="00992067"/>
    <w:rsid w:val="00994E47"/>
    <w:rsid w:val="0099547A"/>
    <w:rsid w:val="009A0E79"/>
    <w:rsid w:val="009A1992"/>
    <w:rsid w:val="009A287E"/>
    <w:rsid w:val="009A423F"/>
    <w:rsid w:val="009A5297"/>
    <w:rsid w:val="009A7096"/>
    <w:rsid w:val="009A7880"/>
    <w:rsid w:val="009B01E8"/>
    <w:rsid w:val="009B1BA0"/>
    <w:rsid w:val="009B6975"/>
    <w:rsid w:val="009C073F"/>
    <w:rsid w:val="009C12D9"/>
    <w:rsid w:val="009C1634"/>
    <w:rsid w:val="009C20DD"/>
    <w:rsid w:val="009C4448"/>
    <w:rsid w:val="009C547B"/>
    <w:rsid w:val="009C5AB4"/>
    <w:rsid w:val="009C5BD3"/>
    <w:rsid w:val="009D3BCB"/>
    <w:rsid w:val="009D69A1"/>
    <w:rsid w:val="009E163F"/>
    <w:rsid w:val="009E31AD"/>
    <w:rsid w:val="009F1842"/>
    <w:rsid w:val="009F3B86"/>
    <w:rsid w:val="009F4AC1"/>
    <w:rsid w:val="009F55FC"/>
    <w:rsid w:val="009F75AB"/>
    <w:rsid w:val="00A00A3E"/>
    <w:rsid w:val="00A06441"/>
    <w:rsid w:val="00A07DDD"/>
    <w:rsid w:val="00A11638"/>
    <w:rsid w:val="00A12200"/>
    <w:rsid w:val="00A136ED"/>
    <w:rsid w:val="00A13C4F"/>
    <w:rsid w:val="00A1616E"/>
    <w:rsid w:val="00A16341"/>
    <w:rsid w:val="00A1744D"/>
    <w:rsid w:val="00A23A72"/>
    <w:rsid w:val="00A24DF9"/>
    <w:rsid w:val="00A262DA"/>
    <w:rsid w:val="00A27A0F"/>
    <w:rsid w:val="00A403AC"/>
    <w:rsid w:val="00A45272"/>
    <w:rsid w:val="00A45B2C"/>
    <w:rsid w:val="00A46445"/>
    <w:rsid w:val="00A46C70"/>
    <w:rsid w:val="00A47300"/>
    <w:rsid w:val="00A51360"/>
    <w:rsid w:val="00A5310B"/>
    <w:rsid w:val="00A5679B"/>
    <w:rsid w:val="00A625BA"/>
    <w:rsid w:val="00A62C52"/>
    <w:rsid w:val="00A71E14"/>
    <w:rsid w:val="00A72E01"/>
    <w:rsid w:val="00A73020"/>
    <w:rsid w:val="00A7731F"/>
    <w:rsid w:val="00A80B02"/>
    <w:rsid w:val="00A80D6E"/>
    <w:rsid w:val="00A83945"/>
    <w:rsid w:val="00A85D08"/>
    <w:rsid w:val="00A86204"/>
    <w:rsid w:val="00A8660B"/>
    <w:rsid w:val="00A90DDD"/>
    <w:rsid w:val="00A91FFF"/>
    <w:rsid w:val="00A93940"/>
    <w:rsid w:val="00A9462A"/>
    <w:rsid w:val="00A95452"/>
    <w:rsid w:val="00A967C1"/>
    <w:rsid w:val="00A971F3"/>
    <w:rsid w:val="00A974AA"/>
    <w:rsid w:val="00A97580"/>
    <w:rsid w:val="00AA4089"/>
    <w:rsid w:val="00AA7AF9"/>
    <w:rsid w:val="00AA7B18"/>
    <w:rsid w:val="00AA7C1F"/>
    <w:rsid w:val="00AB311A"/>
    <w:rsid w:val="00AB7531"/>
    <w:rsid w:val="00AC416A"/>
    <w:rsid w:val="00AC449B"/>
    <w:rsid w:val="00AC5A7A"/>
    <w:rsid w:val="00AC5E42"/>
    <w:rsid w:val="00AC60C6"/>
    <w:rsid w:val="00AC7C1E"/>
    <w:rsid w:val="00AD1237"/>
    <w:rsid w:val="00AD1D26"/>
    <w:rsid w:val="00AD7346"/>
    <w:rsid w:val="00AE12C7"/>
    <w:rsid w:val="00AE160A"/>
    <w:rsid w:val="00AE2A83"/>
    <w:rsid w:val="00AE2B6B"/>
    <w:rsid w:val="00AE442E"/>
    <w:rsid w:val="00AE62C7"/>
    <w:rsid w:val="00AE65E4"/>
    <w:rsid w:val="00AE7FDD"/>
    <w:rsid w:val="00AF2F40"/>
    <w:rsid w:val="00AF5E7A"/>
    <w:rsid w:val="00AF64D8"/>
    <w:rsid w:val="00AF6D3E"/>
    <w:rsid w:val="00B012C9"/>
    <w:rsid w:val="00B01EB7"/>
    <w:rsid w:val="00B02FAE"/>
    <w:rsid w:val="00B10241"/>
    <w:rsid w:val="00B125A6"/>
    <w:rsid w:val="00B167F3"/>
    <w:rsid w:val="00B16DE2"/>
    <w:rsid w:val="00B17AF3"/>
    <w:rsid w:val="00B17EBE"/>
    <w:rsid w:val="00B2143E"/>
    <w:rsid w:val="00B2146A"/>
    <w:rsid w:val="00B22034"/>
    <w:rsid w:val="00B2235F"/>
    <w:rsid w:val="00B239FE"/>
    <w:rsid w:val="00B24C21"/>
    <w:rsid w:val="00B262B2"/>
    <w:rsid w:val="00B27132"/>
    <w:rsid w:val="00B273CD"/>
    <w:rsid w:val="00B304DB"/>
    <w:rsid w:val="00B31757"/>
    <w:rsid w:val="00B362D6"/>
    <w:rsid w:val="00B371C4"/>
    <w:rsid w:val="00B4057E"/>
    <w:rsid w:val="00B44643"/>
    <w:rsid w:val="00B46090"/>
    <w:rsid w:val="00B501D6"/>
    <w:rsid w:val="00B518BE"/>
    <w:rsid w:val="00B60B05"/>
    <w:rsid w:val="00B61D10"/>
    <w:rsid w:val="00B623FD"/>
    <w:rsid w:val="00B629B9"/>
    <w:rsid w:val="00B62DB9"/>
    <w:rsid w:val="00B66C91"/>
    <w:rsid w:val="00B67050"/>
    <w:rsid w:val="00B67298"/>
    <w:rsid w:val="00B734E6"/>
    <w:rsid w:val="00B73CFD"/>
    <w:rsid w:val="00B748C2"/>
    <w:rsid w:val="00B7511B"/>
    <w:rsid w:val="00B75411"/>
    <w:rsid w:val="00B76A2D"/>
    <w:rsid w:val="00B76BA4"/>
    <w:rsid w:val="00B7723C"/>
    <w:rsid w:val="00B77691"/>
    <w:rsid w:val="00B81B35"/>
    <w:rsid w:val="00B825B8"/>
    <w:rsid w:val="00B82758"/>
    <w:rsid w:val="00B85DF9"/>
    <w:rsid w:val="00B85E2A"/>
    <w:rsid w:val="00B86322"/>
    <w:rsid w:val="00B917B7"/>
    <w:rsid w:val="00B93E7D"/>
    <w:rsid w:val="00B96D7A"/>
    <w:rsid w:val="00BB0565"/>
    <w:rsid w:val="00BB32F2"/>
    <w:rsid w:val="00BB49A2"/>
    <w:rsid w:val="00BB5BFA"/>
    <w:rsid w:val="00BB6DC3"/>
    <w:rsid w:val="00BB6FB8"/>
    <w:rsid w:val="00BC0F5E"/>
    <w:rsid w:val="00BC1B12"/>
    <w:rsid w:val="00BC2526"/>
    <w:rsid w:val="00BC5CFD"/>
    <w:rsid w:val="00BC6E02"/>
    <w:rsid w:val="00BC7610"/>
    <w:rsid w:val="00BD2E15"/>
    <w:rsid w:val="00BD646A"/>
    <w:rsid w:val="00BD7390"/>
    <w:rsid w:val="00BE101F"/>
    <w:rsid w:val="00BE4FA0"/>
    <w:rsid w:val="00BE5AA7"/>
    <w:rsid w:val="00BF1798"/>
    <w:rsid w:val="00BF28F5"/>
    <w:rsid w:val="00BF2C4D"/>
    <w:rsid w:val="00BF3DB1"/>
    <w:rsid w:val="00BF57CA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085A"/>
    <w:rsid w:val="00C11A89"/>
    <w:rsid w:val="00C12A1A"/>
    <w:rsid w:val="00C20B8E"/>
    <w:rsid w:val="00C22AC5"/>
    <w:rsid w:val="00C27BBB"/>
    <w:rsid w:val="00C32B65"/>
    <w:rsid w:val="00C339D8"/>
    <w:rsid w:val="00C35411"/>
    <w:rsid w:val="00C356EE"/>
    <w:rsid w:val="00C376F7"/>
    <w:rsid w:val="00C37FDC"/>
    <w:rsid w:val="00C40BE8"/>
    <w:rsid w:val="00C44870"/>
    <w:rsid w:val="00C50AA2"/>
    <w:rsid w:val="00C51A9D"/>
    <w:rsid w:val="00C52E83"/>
    <w:rsid w:val="00C54C30"/>
    <w:rsid w:val="00C5538B"/>
    <w:rsid w:val="00C70C26"/>
    <w:rsid w:val="00C70D0A"/>
    <w:rsid w:val="00C717BF"/>
    <w:rsid w:val="00C7339E"/>
    <w:rsid w:val="00C73544"/>
    <w:rsid w:val="00C770F6"/>
    <w:rsid w:val="00C80EF7"/>
    <w:rsid w:val="00C906B0"/>
    <w:rsid w:val="00C91206"/>
    <w:rsid w:val="00C93DC7"/>
    <w:rsid w:val="00C94FA8"/>
    <w:rsid w:val="00CA247C"/>
    <w:rsid w:val="00CC0732"/>
    <w:rsid w:val="00CC21AB"/>
    <w:rsid w:val="00CC2EFC"/>
    <w:rsid w:val="00CC2F04"/>
    <w:rsid w:val="00CC4472"/>
    <w:rsid w:val="00CD1B8E"/>
    <w:rsid w:val="00CD22C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2643"/>
    <w:rsid w:val="00D02B82"/>
    <w:rsid w:val="00D0327F"/>
    <w:rsid w:val="00D0404A"/>
    <w:rsid w:val="00D05351"/>
    <w:rsid w:val="00D0547D"/>
    <w:rsid w:val="00D07216"/>
    <w:rsid w:val="00D07987"/>
    <w:rsid w:val="00D11652"/>
    <w:rsid w:val="00D13789"/>
    <w:rsid w:val="00D20C3F"/>
    <w:rsid w:val="00D22FD4"/>
    <w:rsid w:val="00D25C53"/>
    <w:rsid w:val="00D30875"/>
    <w:rsid w:val="00D329F5"/>
    <w:rsid w:val="00D34E3D"/>
    <w:rsid w:val="00D36ADB"/>
    <w:rsid w:val="00D37B75"/>
    <w:rsid w:val="00D37FDF"/>
    <w:rsid w:val="00D44A06"/>
    <w:rsid w:val="00D45696"/>
    <w:rsid w:val="00D4641D"/>
    <w:rsid w:val="00D466F0"/>
    <w:rsid w:val="00D509DF"/>
    <w:rsid w:val="00D526CE"/>
    <w:rsid w:val="00D623DD"/>
    <w:rsid w:val="00D6391F"/>
    <w:rsid w:val="00D6438C"/>
    <w:rsid w:val="00D65065"/>
    <w:rsid w:val="00D655A4"/>
    <w:rsid w:val="00D67554"/>
    <w:rsid w:val="00D675E1"/>
    <w:rsid w:val="00D67B60"/>
    <w:rsid w:val="00D709F0"/>
    <w:rsid w:val="00D720D2"/>
    <w:rsid w:val="00D734B3"/>
    <w:rsid w:val="00D800DC"/>
    <w:rsid w:val="00D81805"/>
    <w:rsid w:val="00D87EA8"/>
    <w:rsid w:val="00D9272C"/>
    <w:rsid w:val="00D92A57"/>
    <w:rsid w:val="00D94F1D"/>
    <w:rsid w:val="00D967A5"/>
    <w:rsid w:val="00D977E8"/>
    <w:rsid w:val="00DA0198"/>
    <w:rsid w:val="00DA141D"/>
    <w:rsid w:val="00DA15A1"/>
    <w:rsid w:val="00DA1B8E"/>
    <w:rsid w:val="00DA48EF"/>
    <w:rsid w:val="00DA56F1"/>
    <w:rsid w:val="00DA60C0"/>
    <w:rsid w:val="00DB1D4A"/>
    <w:rsid w:val="00DB25FA"/>
    <w:rsid w:val="00DC4C20"/>
    <w:rsid w:val="00DC6C97"/>
    <w:rsid w:val="00DD147B"/>
    <w:rsid w:val="00DD3766"/>
    <w:rsid w:val="00DD3997"/>
    <w:rsid w:val="00DD3DBC"/>
    <w:rsid w:val="00DD5520"/>
    <w:rsid w:val="00DD6050"/>
    <w:rsid w:val="00DD7C37"/>
    <w:rsid w:val="00DE154B"/>
    <w:rsid w:val="00DE39EB"/>
    <w:rsid w:val="00DE4172"/>
    <w:rsid w:val="00DE6889"/>
    <w:rsid w:val="00DE73D9"/>
    <w:rsid w:val="00DE7704"/>
    <w:rsid w:val="00DF03A8"/>
    <w:rsid w:val="00DF0AC8"/>
    <w:rsid w:val="00DF3A95"/>
    <w:rsid w:val="00DF4958"/>
    <w:rsid w:val="00DF4EC9"/>
    <w:rsid w:val="00DF5AAA"/>
    <w:rsid w:val="00DF663F"/>
    <w:rsid w:val="00E01F5A"/>
    <w:rsid w:val="00E0223A"/>
    <w:rsid w:val="00E0250D"/>
    <w:rsid w:val="00E0571A"/>
    <w:rsid w:val="00E05893"/>
    <w:rsid w:val="00E07DB3"/>
    <w:rsid w:val="00E1034C"/>
    <w:rsid w:val="00E119BD"/>
    <w:rsid w:val="00E124C3"/>
    <w:rsid w:val="00E12B7B"/>
    <w:rsid w:val="00E12C94"/>
    <w:rsid w:val="00E136A7"/>
    <w:rsid w:val="00E15B1B"/>
    <w:rsid w:val="00E27F1F"/>
    <w:rsid w:val="00E31776"/>
    <w:rsid w:val="00E3200A"/>
    <w:rsid w:val="00E35F55"/>
    <w:rsid w:val="00E37101"/>
    <w:rsid w:val="00E4484F"/>
    <w:rsid w:val="00E45D2A"/>
    <w:rsid w:val="00E47037"/>
    <w:rsid w:val="00E50922"/>
    <w:rsid w:val="00E531FD"/>
    <w:rsid w:val="00E55DFA"/>
    <w:rsid w:val="00E567BB"/>
    <w:rsid w:val="00E60F52"/>
    <w:rsid w:val="00E62BC8"/>
    <w:rsid w:val="00E67ED5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46"/>
    <w:rsid w:val="00E94CEB"/>
    <w:rsid w:val="00E94FEA"/>
    <w:rsid w:val="00EA0215"/>
    <w:rsid w:val="00EA450D"/>
    <w:rsid w:val="00EA61A2"/>
    <w:rsid w:val="00EA6978"/>
    <w:rsid w:val="00EA7646"/>
    <w:rsid w:val="00EB00AF"/>
    <w:rsid w:val="00EB16F9"/>
    <w:rsid w:val="00EB1AAB"/>
    <w:rsid w:val="00EB2B65"/>
    <w:rsid w:val="00EB5DB4"/>
    <w:rsid w:val="00EB7AAF"/>
    <w:rsid w:val="00EC1EE3"/>
    <w:rsid w:val="00EC2BBB"/>
    <w:rsid w:val="00EC4311"/>
    <w:rsid w:val="00EC6129"/>
    <w:rsid w:val="00ED283D"/>
    <w:rsid w:val="00ED6BCD"/>
    <w:rsid w:val="00EE2AA7"/>
    <w:rsid w:val="00EE67AD"/>
    <w:rsid w:val="00EF0F5B"/>
    <w:rsid w:val="00EF1614"/>
    <w:rsid w:val="00EF18FD"/>
    <w:rsid w:val="00EF1F54"/>
    <w:rsid w:val="00EF2771"/>
    <w:rsid w:val="00EF6B56"/>
    <w:rsid w:val="00EF6E31"/>
    <w:rsid w:val="00EF74F9"/>
    <w:rsid w:val="00F00B6C"/>
    <w:rsid w:val="00F01677"/>
    <w:rsid w:val="00F175C6"/>
    <w:rsid w:val="00F233B1"/>
    <w:rsid w:val="00F23501"/>
    <w:rsid w:val="00F25005"/>
    <w:rsid w:val="00F252F6"/>
    <w:rsid w:val="00F25FA9"/>
    <w:rsid w:val="00F30A9A"/>
    <w:rsid w:val="00F361C6"/>
    <w:rsid w:val="00F37DEF"/>
    <w:rsid w:val="00F40632"/>
    <w:rsid w:val="00F443AD"/>
    <w:rsid w:val="00F44BAB"/>
    <w:rsid w:val="00F4596B"/>
    <w:rsid w:val="00F46528"/>
    <w:rsid w:val="00F474AE"/>
    <w:rsid w:val="00F5040D"/>
    <w:rsid w:val="00F50DA5"/>
    <w:rsid w:val="00F50DD0"/>
    <w:rsid w:val="00F52270"/>
    <w:rsid w:val="00F533D6"/>
    <w:rsid w:val="00F536A1"/>
    <w:rsid w:val="00F544CD"/>
    <w:rsid w:val="00F5726E"/>
    <w:rsid w:val="00F60C72"/>
    <w:rsid w:val="00F60D00"/>
    <w:rsid w:val="00F6226D"/>
    <w:rsid w:val="00F62C68"/>
    <w:rsid w:val="00F64F6C"/>
    <w:rsid w:val="00F65AB3"/>
    <w:rsid w:val="00F72A0F"/>
    <w:rsid w:val="00F74767"/>
    <w:rsid w:val="00F74AB0"/>
    <w:rsid w:val="00F75FD3"/>
    <w:rsid w:val="00F76254"/>
    <w:rsid w:val="00F816AE"/>
    <w:rsid w:val="00F85EE8"/>
    <w:rsid w:val="00F86555"/>
    <w:rsid w:val="00F90F9C"/>
    <w:rsid w:val="00F93B9A"/>
    <w:rsid w:val="00F94842"/>
    <w:rsid w:val="00F97997"/>
    <w:rsid w:val="00F97FDF"/>
    <w:rsid w:val="00FA0610"/>
    <w:rsid w:val="00FA499E"/>
    <w:rsid w:val="00FA4ADC"/>
    <w:rsid w:val="00FA4F75"/>
    <w:rsid w:val="00FA59BF"/>
    <w:rsid w:val="00FA7A50"/>
    <w:rsid w:val="00FB0005"/>
    <w:rsid w:val="00FB0AD5"/>
    <w:rsid w:val="00FB1FB8"/>
    <w:rsid w:val="00FB3C59"/>
    <w:rsid w:val="00FB4B07"/>
    <w:rsid w:val="00FB7367"/>
    <w:rsid w:val="00FB7399"/>
    <w:rsid w:val="00FC1C66"/>
    <w:rsid w:val="00FC49BE"/>
    <w:rsid w:val="00FC57D2"/>
    <w:rsid w:val="00FC5942"/>
    <w:rsid w:val="00FC60DB"/>
    <w:rsid w:val="00FC6866"/>
    <w:rsid w:val="00FC6B03"/>
    <w:rsid w:val="00FC7296"/>
    <w:rsid w:val="00FD311E"/>
    <w:rsid w:val="00FD3DB8"/>
    <w:rsid w:val="00FD68E8"/>
    <w:rsid w:val="00FE0FE1"/>
    <w:rsid w:val="00FE24B1"/>
    <w:rsid w:val="00FE30E8"/>
    <w:rsid w:val="00FE332D"/>
    <w:rsid w:val="00FE360E"/>
    <w:rsid w:val="00FE443B"/>
    <w:rsid w:val="00FE5A86"/>
    <w:rsid w:val="00FE7B6F"/>
    <w:rsid w:val="00FF1045"/>
    <w:rsid w:val="00FF11FB"/>
    <w:rsid w:val="00FF1392"/>
    <w:rsid w:val="00FF1414"/>
    <w:rsid w:val="00FF18EB"/>
    <w:rsid w:val="00FF33C7"/>
    <w:rsid w:val="00FF3A42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2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35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customStyle="1" w:styleId="Introtext">
    <w:name w:val="Intro text"/>
    <w:basedOn w:val="Heading2"/>
    <w:uiPriority w:val="9"/>
    <w:qFormat/>
    <w:rsid w:val="00335D7F"/>
    <w:pPr>
      <w:framePr w:w="9072" w:wrap="notBeside" w:vAnchor="text" w:hAnchor="text" w:y="1"/>
      <w:spacing w:before="120" w:line="460" w:lineRule="exact"/>
    </w:pPr>
    <w:rPr>
      <w:b w:val="0"/>
      <w:color w:val="4D4D4D"/>
      <w:sz w:val="42"/>
      <w:lang w:eastAsia="en-US"/>
    </w:rPr>
  </w:style>
  <w:style w:type="paragraph" w:customStyle="1" w:styleId="Tabletext">
    <w:name w:val="Table text"/>
    <w:basedOn w:val="Normal"/>
    <w:uiPriority w:val="19"/>
    <w:qFormat/>
    <w:rsid w:val="00335D7F"/>
    <w:pPr>
      <w:spacing w:before="120" w:line="240" w:lineRule="atLeast"/>
      <w:ind w:left="227" w:right="227"/>
    </w:pPr>
    <w:rPr>
      <w:rFonts w:asciiTheme="minorHAnsi" w:eastAsiaTheme="minorHAnsi" w:hAnsiTheme="minorHAnsi"/>
      <w:color w:val="000000" w:themeColor="text1"/>
      <w:sz w:val="20"/>
      <w:szCs w:val="20"/>
      <w:lang w:eastAsia="en-US"/>
    </w:rPr>
  </w:style>
  <w:style w:type="paragraph" w:customStyle="1" w:styleId="definition">
    <w:name w:val="definition"/>
    <w:basedOn w:val="Normal"/>
    <w:rsid w:val="00335D7F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rsid w:val="00335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37FD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86AC9"/>
    <w:rPr>
      <w:color w:val="800080" w:themeColor="followedHyperlink"/>
      <w:u w:val="single"/>
    </w:rPr>
  </w:style>
  <w:style w:type="paragraph" w:customStyle="1" w:styleId="Leg5Paraa">
    <w:name w:val="Leg5 Para: (a)"/>
    <w:aliases w:val="L5"/>
    <w:basedOn w:val="Normal"/>
    <w:uiPriority w:val="5"/>
    <w:qFormat/>
    <w:rsid w:val="00060987"/>
    <w:pPr>
      <w:spacing w:before="60" w:after="60" w:line="260" w:lineRule="atLeast"/>
      <w:ind w:left="1843" w:right="567" w:hanging="567"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797ED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4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3DF5-1FA2-4141-9ADA-22AD08B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2022-11-29T01:46:00Z</dcterms:created>
  <dcterms:modified xsi:type="dcterms:W3CDTF">2022-11-29T02:06:00Z</dcterms:modified>
</cp:coreProperties>
</file>