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023" w14:textId="1645DB9A" w:rsidR="002436BD" w:rsidRPr="002C6D26" w:rsidRDefault="00F401C2" w:rsidP="00DF7DA0">
      <w:pPr>
        <w:pStyle w:val="Heading"/>
        <w:spacing w:after="240"/>
        <w:jc w:val="center"/>
        <w:rPr>
          <w:rFonts w:ascii="Times New Roman" w:hAnsi="Times New Roman"/>
          <w:sz w:val="24"/>
          <w:szCs w:val="24"/>
        </w:rPr>
      </w:pPr>
      <w:r>
        <w:rPr>
          <w:rFonts w:ascii="Times New Roman" w:hAnsi="Times New Roman"/>
          <w:sz w:val="24"/>
          <w:szCs w:val="24"/>
        </w:rPr>
        <w:t>Superannuation</w:t>
      </w:r>
      <w:r w:rsidR="002436BD" w:rsidRPr="002C6D26">
        <w:rPr>
          <w:rFonts w:ascii="Times New Roman" w:hAnsi="Times New Roman"/>
          <w:sz w:val="24"/>
          <w:szCs w:val="24"/>
        </w:rPr>
        <w:t xml:space="preserve"> (prudential standard) determination </w:t>
      </w:r>
      <w:r w:rsidR="002436BD" w:rsidRPr="0008604B">
        <w:rPr>
          <w:rFonts w:ascii="Times New Roman" w:hAnsi="Times New Roman"/>
          <w:sz w:val="24"/>
          <w:szCs w:val="24"/>
        </w:rPr>
        <w:t xml:space="preserve">No. </w:t>
      </w:r>
      <w:r w:rsidR="00BC25C9">
        <w:rPr>
          <w:rFonts w:ascii="Times New Roman" w:hAnsi="Times New Roman"/>
          <w:sz w:val="24"/>
          <w:szCs w:val="24"/>
        </w:rPr>
        <w:t>4</w:t>
      </w:r>
      <w:r w:rsidR="00226FF7" w:rsidRPr="0008604B">
        <w:rPr>
          <w:rFonts w:ascii="Times New Roman" w:hAnsi="Times New Roman"/>
          <w:sz w:val="24"/>
          <w:szCs w:val="24"/>
        </w:rPr>
        <w:t xml:space="preserve"> </w:t>
      </w:r>
      <w:r w:rsidR="002436BD" w:rsidRPr="0008604B">
        <w:rPr>
          <w:rFonts w:ascii="Times New Roman" w:hAnsi="Times New Roman"/>
          <w:sz w:val="24"/>
          <w:szCs w:val="24"/>
        </w:rPr>
        <w:t>of 20</w:t>
      </w:r>
      <w:r w:rsidRPr="0008604B">
        <w:rPr>
          <w:rFonts w:ascii="Times New Roman" w:hAnsi="Times New Roman"/>
          <w:sz w:val="24"/>
          <w:szCs w:val="24"/>
        </w:rPr>
        <w:t>22</w:t>
      </w:r>
    </w:p>
    <w:p w14:paraId="070AD857" w14:textId="77777777" w:rsidR="002436BD" w:rsidRPr="002C6D26" w:rsidRDefault="002436BD" w:rsidP="00DF7DA0">
      <w:pPr>
        <w:pStyle w:val="Heading"/>
        <w:tabs>
          <w:tab w:val="left" w:pos="360"/>
        </w:tabs>
        <w:spacing w:after="240"/>
        <w:jc w:val="center"/>
        <w:rPr>
          <w:rFonts w:ascii="Times New Roman" w:hAnsi="Times New Roman"/>
          <w:sz w:val="24"/>
          <w:szCs w:val="24"/>
          <w:u w:val="single"/>
        </w:rPr>
      </w:pPr>
      <w:bookmarkStart w:id="0" w:name="bkInstrumentSubTitle"/>
      <w:bookmarkEnd w:id="0"/>
      <w:r w:rsidRPr="002C6D26">
        <w:rPr>
          <w:rFonts w:ascii="Times New Roman" w:hAnsi="Times New Roman"/>
          <w:sz w:val="24"/>
          <w:szCs w:val="24"/>
          <w:u w:val="single"/>
        </w:rPr>
        <w:t>EXPLANATORY STATEMENT</w:t>
      </w:r>
    </w:p>
    <w:p w14:paraId="461A28DE" w14:textId="77777777" w:rsidR="002436BD" w:rsidRPr="002C6D26" w:rsidRDefault="002436BD" w:rsidP="00DF7DA0">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749EAD61" w14:textId="0C7A9536" w:rsidR="002436BD" w:rsidRPr="002C6D26" w:rsidRDefault="00F401C2" w:rsidP="00DF7DA0">
      <w:pPr>
        <w:pStyle w:val="Heading"/>
        <w:tabs>
          <w:tab w:val="left" w:pos="360"/>
        </w:tabs>
        <w:spacing w:after="240"/>
        <w:jc w:val="center"/>
        <w:rPr>
          <w:rFonts w:ascii="Times New Roman" w:hAnsi="Times New Roman"/>
          <w:b w:val="0"/>
          <w:sz w:val="24"/>
          <w:szCs w:val="24"/>
        </w:rPr>
      </w:pPr>
      <w:r w:rsidRPr="00F401C2">
        <w:rPr>
          <w:rFonts w:ascii="Times New Roman" w:hAnsi="Times New Roman"/>
          <w:b w:val="0"/>
          <w:i/>
          <w:sz w:val="24"/>
          <w:szCs w:val="24"/>
        </w:rPr>
        <w:t>Superannuation Industry (Supervision) Act 1993</w:t>
      </w:r>
      <w:r w:rsidR="002436BD" w:rsidRPr="002C6D26">
        <w:rPr>
          <w:rFonts w:ascii="Times New Roman" w:hAnsi="Times New Roman"/>
          <w:b w:val="0"/>
          <w:sz w:val="24"/>
          <w:szCs w:val="24"/>
        </w:rPr>
        <w:t xml:space="preserve">, </w:t>
      </w:r>
      <w:r w:rsidR="002436BD" w:rsidRPr="002C6D26">
        <w:rPr>
          <w:rFonts w:ascii="Times New Roman" w:hAnsi="Times New Roman"/>
          <w:b w:val="0"/>
          <w:color w:val="000000"/>
          <w:sz w:val="24"/>
          <w:szCs w:val="24"/>
        </w:rPr>
        <w:t xml:space="preserve">section </w:t>
      </w:r>
      <w:r>
        <w:rPr>
          <w:rFonts w:ascii="Times New Roman" w:hAnsi="Times New Roman"/>
          <w:b w:val="0"/>
          <w:color w:val="000000"/>
          <w:sz w:val="24"/>
          <w:szCs w:val="24"/>
        </w:rPr>
        <w:t>34C</w:t>
      </w:r>
    </w:p>
    <w:p w14:paraId="066E4F30" w14:textId="19B635C8" w:rsidR="002436BD" w:rsidRPr="002C6D26" w:rsidRDefault="002436BD" w:rsidP="00DF7DA0">
      <w:pPr>
        <w:widowControl w:val="0"/>
        <w:spacing w:after="240"/>
        <w:jc w:val="both"/>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sidR="00F401C2">
        <w:rPr>
          <w:rFonts w:ascii="Times New Roman" w:hAnsi="Times New Roman"/>
          <w:sz w:val="24"/>
          <w:szCs w:val="24"/>
        </w:rPr>
        <w:t>34</w:t>
      </w:r>
      <w:proofErr w:type="gramStart"/>
      <w:r w:rsidR="00F401C2">
        <w:rPr>
          <w:rFonts w:ascii="Times New Roman" w:hAnsi="Times New Roman"/>
          <w:sz w:val="24"/>
          <w:szCs w:val="24"/>
        </w:rPr>
        <w:t>C</w:t>
      </w:r>
      <w:r w:rsidRPr="002C6D26">
        <w:rPr>
          <w:rFonts w:ascii="Times New Roman" w:hAnsi="Times New Roman"/>
          <w:sz w:val="24"/>
          <w:szCs w:val="24"/>
        </w:rPr>
        <w:t>(</w:t>
      </w:r>
      <w:proofErr w:type="gramEnd"/>
      <w:r w:rsidRPr="002C6D26">
        <w:rPr>
          <w:rFonts w:ascii="Times New Roman" w:hAnsi="Times New Roman"/>
          <w:sz w:val="24"/>
          <w:szCs w:val="24"/>
        </w:rPr>
        <w:t xml:space="preserve">1) of the </w:t>
      </w:r>
      <w:r w:rsidR="00F401C2" w:rsidRPr="00F401C2">
        <w:rPr>
          <w:rFonts w:ascii="Times New Roman" w:hAnsi="Times New Roman"/>
          <w:i/>
          <w:sz w:val="24"/>
          <w:szCs w:val="24"/>
        </w:rPr>
        <w:t>Superannuation Industry (Supervision) Act 1993</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has the power to determine standards </w:t>
      </w:r>
      <w:r w:rsidRPr="007428D4">
        <w:rPr>
          <w:rFonts w:ascii="Times New Roman" w:hAnsi="Times New Roman"/>
          <w:sz w:val="24"/>
          <w:szCs w:val="24"/>
        </w:rPr>
        <w:t>(prudential standards),</w:t>
      </w:r>
      <w:r w:rsidRPr="002C6D26">
        <w:rPr>
          <w:rFonts w:ascii="Times New Roman" w:hAnsi="Times New Roman"/>
          <w:sz w:val="24"/>
          <w:szCs w:val="24"/>
        </w:rPr>
        <w:t xml:space="preserve"> in writing, in relation to prudential matters to be complied with by </w:t>
      </w:r>
      <w:r w:rsidR="00F401C2" w:rsidRPr="00F401C2">
        <w:rPr>
          <w:rFonts w:ascii="Times New Roman" w:hAnsi="Times New Roman"/>
          <w:sz w:val="24"/>
          <w:szCs w:val="24"/>
        </w:rPr>
        <w:t>all RSE licensees of registrable superannuation entities (RSEs</w:t>
      </w:r>
      <w:r w:rsidR="00F401C2">
        <w:rPr>
          <w:rFonts w:ascii="Times New Roman" w:hAnsi="Times New Roman"/>
          <w:sz w:val="24"/>
          <w:szCs w:val="24"/>
        </w:rPr>
        <w:t xml:space="preserve">). </w:t>
      </w:r>
      <w:r w:rsidR="00F30C81" w:rsidRPr="00F30C81">
        <w:rPr>
          <w:rFonts w:ascii="Times New Roman" w:hAnsi="Times New Roman"/>
          <w:sz w:val="24"/>
          <w:szCs w:val="24"/>
        </w:rPr>
        <w:t xml:space="preserve">Under subsection </w:t>
      </w:r>
      <w:r w:rsidR="00E93589">
        <w:rPr>
          <w:rFonts w:ascii="Times New Roman" w:hAnsi="Times New Roman"/>
          <w:sz w:val="24"/>
          <w:szCs w:val="24"/>
        </w:rPr>
        <w:t>34</w:t>
      </w:r>
      <w:proofErr w:type="gramStart"/>
      <w:r w:rsidR="00E93589">
        <w:rPr>
          <w:rFonts w:ascii="Times New Roman" w:hAnsi="Times New Roman"/>
          <w:sz w:val="24"/>
          <w:szCs w:val="24"/>
        </w:rPr>
        <w:t>C(</w:t>
      </w:r>
      <w:proofErr w:type="gramEnd"/>
      <w:r w:rsidR="00E93589">
        <w:rPr>
          <w:rFonts w:ascii="Times New Roman" w:hAnsi="Times New Roman"/>
          <w:sz w:val="24"/>
          <w:szCs w:val="24"/>
        </w:rPr>
        <w:t xml:space="preserve">6) </w:t>
      </w:r>
      <w:r w:rsidR="00F30C81" w:rsidRPr="00F30C81">
        <w:rPr>
          <w:rFonts w:ascii="Times New Roman" w:hAnsi="Times New Roman"/>
          <w:sz w:val="24"/>
          <w:szCs w:val="24"/>
        </w:rPr>
        <w:t>of the Act, APRA may, in writing, vary or revoke a prudential standard.</w:t>
      </w:r>
    </w:p>
    <w:p w14:paraId="50E09C1C" w14:textId="1DD7C095" w:rsidR="00246723" w:rsidRDefault="002436BD" w:rsidP="00DF7DA0">
      <w:pPr>
        <w:widowControl w:val="0"/>
        <w:spacing w:after="240"/>
        <w:jc w:val="both"/>
        <w:rPr>
          <w:rFonts w:ascii="Times New Roman" w:hAnsi="Times New Roman"/>
          <w:sz w:val="24"/>
          <w:szCs w:val="24"/>
        </w:rPr>
      </w:pPr>
      <w:r>
        <w:rPr>
          <w:rFonts w:ascii="Times New Roman" w:hAnsi="Times New Roman"/>
          <w:sz w:val="24"/>
          <w:szCs w:val="24"/>
        </w:rPr>
        <w:t>On</w:t>
      </w:r>
      <w:r w:rsidR="00A87DEE">
        <w:rPr>
          <w:rFonts w:ascii="Times New Roman" w:hAnsi="Times New Roman"/>
          <w:sz w:val="24"/>
          <w:szCs w:val="24"/>
        </w:rPr>
        <w:t xml:space="preserve"> </w:t>
      </w:r>
      <w:r w:rsidR="00522BA9">
        <w:rPr>
          <w:rFonts w:ascii="Times New Roman" w:hAnsi="Times New Roman"/>
          <w:sz w:val="24"/>
          <w:szCs w:val="24"/>
        </w:rPr>
        <w:t xml:space="preserve">1 December </w:t>
      </w:r>
      <w:r w:rsidR="00E93589">
        <w:rPr>
          <w:rFonts w:ascii="Times New Roman" w:hAnsi="Times New Roman"/>
          <w:sz w:val="24"/>
          <w:szCs w:val="24"/>
        </w:rPr>
        <w:t>2022</w:t>
      </w:r>
      <w:r>
        <w:rPr>
          <w:rFonts w:ascii="Times New Roman" w:hAnsi="Times New Roman"/>
          <w:sz w:val="24"/>
          <w:szCs w:val="24"/>
        </w:rPr>
        <w:t xml:space="preserve">, APRA made </w:t>
      </w:r>
      <w:r w:rsidR="00E93589">
        <w:rPr>
          <w:rFonts w:ascii="Times New Roman" w:hAnsi="Times New Roman"/>
          <w:sz w:val="24"/>
          <w:szCs w:val="24"/>
        </w:rPr>
        <w:t xml:space="preserve">Superannuation </w:t>
      </w:r>
      <w:r w:rsidRPr="002C6D26">
        <w:rPr>
          <w:rFonts w:ascii="Times New Roman" w:hAnsi="Times New Roman"/>
          <w:sz w:val="24"/>
          <w:szCs w:val="24"/>
        </w:rPr>
        <w:t xml:space="preserve">(prudential standard) determination </w:t>
      </w:r>
      <w:r w:rsidRPr="0008604B">
        <w:rPr>
          <w:rFonts w:ascii="Times New Roman" w:hAnsi="Times New Roman"/>
          <w:sz w:val="24"/>
          <w:szCs w:val="24"/>
        </w:rPr>
        <w:t>No</w:t>
      </w:r>
      <w:r w:rsidRPr="00BC25C9">
        <w:rPr>
          <w:rFonts w:ascii="Times New Roman" w:hAnsi="Times New Roman"/>
          <w:sz w:val="24"/>
          <w:szCs w:val="24"/>
        </w:rPr>
        <w:t xml:space="preserve">. </w:t>
      </w:r>
      <w:r w:rsidR="00BC25C9" w:rsidRPr="00BC25C9">
        <w:rPr>
          <w:rFonts w:ascii="Times New Roman" w:hAnsi="Times New Roman"/>
          <w:sz w:val="24"/>
          <w:szCs w:val="24"/>
        </w:rPr>
        <w:t>4</w:t>
      </w:r>
      <w:r w:rsidRPr="00BC25C9">
        <w:rPr>
          <w:rFonts w:ascii="Times New Roman" w:hAnsi="Times New Roman"/>
          <w:sz w:val="24"/>
          <w:szCs w:val="24"/>
        </w:rPr>
        <w:t xml:space="preserve"> of</w:t>
      </w:r>
      <w:r w:rsidRPr="0008604B">
        <w:rPr>
          <w:rFonts w:ascii="Times New Roman" w:hAnsi="Times New Roman"/>
          <w:sz w:val="24"/>
          <w:szCs w:val="24"/>
        </w:rPr>
        <w:t xml:space="preserve"> 20</w:t>
      </w:r>
      <w:r w:rsidR="00E93589" w:rsidRPr="0008604B">
        <w:rPr>
          <w:rFonts w:ascii="Times New Roman" w:hAnsi="Times New Roman"/>
          <w:sz w:val="24"/>
          <w:szCs w:val="24"/>
        </w:rPr>
        <w:t>22</w:t>
      </w:r>
      <w:r w:rsidRPr="002C6D26">
        <w:rPr>
          <w:rFonts w:ascii="Times New Roman" w:hAnsi="Times New Roman"/>
          <w:sz w:val="24"/>
          <w:szCs w:val="24"/>
        </w:rPr>
        <w:t xml:space="preserve"> </w:t>
      </w:r>
      <w:r>
        <w:rPr>
          <w:rFonts w:ascii="Times New Roman" w:hAnsi="Times New Roman"/>
          <w:sz w:val="24"/>
          <w:szCs w:val="24"/>
        </w:rPr>
        <w:t xml:space="preserve">(the </w:t>
      </w:r>
      <w:r w:rsidR="009A2ACA">
        <w:rPr>
          <w:rFonts w:ascii="Times New Roman" w:hAnsi="Times New Roman"/>
          <w:sz w:val="24"/>
          <w:szCs w:val="24"/>
        </w:rPr>
        <w:t>I</w:t>
      </w:r>
      <w:r>
        <w:rPr>
          <w:rFonts w:ascii="Times New Roman" w:hAnsi="Times New Roman"/>
          <w:sz w:val="24"/>
          <w:szCs w:val="24"/>
        </w:rPr>
        <w:t xml:space="preserve">nstrument) which </w:t>
      </w:r>
      <w:r w:rsidR="009927BF">
        <w:rPr>
          <w:rFonts w:ascii="Times New Roman" w:hAnsi="Times New Roman"/>
          <w:sz w:val="24"/>
          <w:szCs w:val="24"/>
        </w:rPr>
        <w:t xml:space="preserve">revokes </w:t>
      </w:r>
      <w:r w:rsidR="009927BF" w:rsidRPr="009927BF">
        <w:rPr>
          <w:rFonts w:ascii="Times New Roman" w:hAnsi="Times New Roman"/>
          <w:i/>
          <w:sz w:val="24"/>
          <w:szCs w:val="24"/>
        </w:rPr>
        <w:t xml:space="preserve">Prudential Standard </w:t>
      </w:r>
      <w:r w:rsidR="00E93589">
        <w:rPr>
          <w:rFonts w:ascii="Times New Roman" w:hAnsi="Times New Roman"/>
          <w:i/>
          <w:sz w:val="24"/>
          <w:szCs w:val="24"/>
        </w:rPr>
        <w:t xml:space="preserve">SPS </w:t>
      </w:r>
      <w:r w:rsidR="0008604B">
        <w:rPr>
          <w:rFonts w:ascii="Times New Roman" w:hAnsi="Times New Roman"/>
          <w:i/>
          <w:sz w:val="24"/>
          <w:szCs w:val="24"/>
        </w:rPr>
        <w:t>310 Audit and Related Matters</w:t>
      </w:r>
      <w:r w:rsidR="009927BF" w:rsidRPr="009927BF">
        <w:rPr>
          <w:rFonts w:ascii="Times New Roman" w:hAnsi="Times New Roman"/>
          <w:sz w:val="24"/>
          <w:szCs w:val="24"/>
        </w:rPr>
        <w:t xml:space="preserve"> </w:t>
      </w:r>
      <w:r w:rsidR="00BF660A">
        <w:rPr>
          <w:rFonts w:ascii="Times New Roman" w:hAnsi="Times New Roman"/>
          <w:sz w:val="24"/>
          <w:szCs w:val="24"/>
        </w:rPr>
        <w:t xml:space="preserve">(existing SPS </w:t>
      </w:r>
      <w:r w:rsidR="0008604B">
        <w:rPr>
          <w:rFonts w:ascii="Times New Roman" w:hAnsi="Times New Roman"/>
          <w:sz w:val="24"/>
          <w:szCs w:val="24"/>
        </w:rPr>
        <w:t>310</w:t>
      </w:r>
      <w:r w:rsidR="00BF660A">
        <w:rPr>
          <w:rFonts w:ascii="Times New Roman" w:hAnsi="Times New Roman"/>
          <w:sz w:val="24"/>
          <w:szCs w:val="24"/>
        </w:rPr>
        <w:t xml:space="preserve">) </w:t>
      </w:r>
      <w:r w:rsidR="009927BF">
        <w:rPr>
          <w:rFonts w:ascii="Times New Roman" w:hAnsi="Times New Roman"/>
          <w:sz w:val="24"/>
          <w:szCs w:val="24"/>
        </w:rPr>
        <w:t xml:space="preserve">made </w:t>
      </w:r>
      <w:r w:rsidR="009927BF" w:rsidRPr="009927BF">
        <w:rPr>
          <w:rFonts w:ascii="Times New Roman" w:hAnsi="Times New Roman"/>
          <w:sz w:val="24"/>
          <w:szCs w:val="24"/>
        </w:rPr>
        <w:t xml:space="preserve">under </w:t>
      </w:r>
      <w:r w:rsidR="003A0CC1">
        <w:rPr>
          <w:rFonts w:ascii="Times New Roman" w:hAnsi="Times New Roman"/>
          <w:sz w:val="24"/>
          <w:szCs w:val="24"/>
        </w:rPr>
        <w:t xml:space="preserve">Superannuation </w:t>
      </w:r>
      <w:r w:rsidR="009927BF" w:rsidRPr="009927BF">
        <w:rPr>
          <w:rFonts w:ascii="Times New Roman" w:hAnsi="Times New Roman"/>
          <w:sz w:val="24"/>
          <w:szCs w:val="24"/>
        </w:rPr>
        <w:t xml:space="preserve">(prudential standard) determination No. </w:t>
      </w:r>
      <w:r w:rsidR="00C54856">
        <w:rPr>
          <w:rFonts w:ascii="Times New Roman" w:hAnsi="Times New Roman"/>
          <w:sz w:val="24"/>
          <w:szCs w:val="24"/>
        </w:rPr>
        <w:t>1</w:t>
      </w:r>
      <w:r w:rsidR="009927BF" w:rsidRPr="009927BF">
        <w:rPr>
          <w:rFonts w:ascii="Times New Roman" w:hAnsi="Times New Roman"/>
          <w:sz w:val="24"/>
          <w:szCs w:val="24"/>
        </w:rPr>
        <w:t xml:space="preserve"> of 20</w:t>
      </w:r>
      <w:r w:rsidR="003A0CC1">
        <w:rPr>
          <w:rFonts w:ascii="Times New Roman" w:hAnsi="Times New Roman"/>
          <w:sz w:val="24"/>
          <w:szCs w:val="24"/>
        </w:rPr>
        <w:t>1</w:t>
      </w:r>
      <w:r w:rsidR="00C54856">
        <w:rPr>
          <w:rFonts w:ascii="Times New Roman" w:hAnsi="Times New Roman"/>
          <w:sz w:val="24"/>
          <w:szCs w:val="24"/>
        </w:rPr>
        <w:t>8</w:t>
      </w:r>
      <w:r w:rsidR="009927BF">
        <w:rPr>
          <w:rFonts w:ascii="Times New Roman" w:hAnsi="Times New Roman"/>
          <w:sz w:val="24"/>
          <w:szCs w:val="24"/>
        </w:rPr>
        <w:t xml:space="preserve"> and </w:t>
      </w:r>
      <w:r w:rsidRPr="002C6D26">
        <w:rPr>
          <w:rFonts w:ascii="Times New Roman" w:hAnsi="Times New Roman"/>
          <w:sz w:val="24"/>
          <w:szCs w:val="24"/>
        </w:rPr>
        <w:t xml:space="preserve">determines </w:t>
      </w:r>
      <w:r w:rsidR="00E758B5">
        <w:rPr>
          <w:rFonts w:ascii="Times New Roman" w:hAnsi="Times New Roman"/>
          <w:sz w:val="24"/>
          <w:szCs w:val="24"/>
        </w:rPr>
        <w:t xml:space="preserve">a new </w:t>
      </w:r>
      <w:r>
        <w:rPr>
          <w:rFonts w:ascii="Times New Roman" w:hAnsi="Times New Roman"/>
          <w:i/>
          <w:sz w:val="24"/>
          <w:szCs w:val="24"/>
        </w:rPr>
        <w:t>Prudential Standard</w:t>
      </w:r>
      <w:r w:rsidRPr="00246723">
        <w:rPr>
          <w:rFonts w:ascii="Times New Roman" w:hAnsi="Times New Roman"/>
          <w:sz w:val="24"/>
          <w:szCs w:val="24"/>
        </w:rPr>
        <w:t xml:space="preserve"> </w:t>
      </w:r>
      <w:r w:rsidR="003A0CC1">
        <w:rPr>
          <w:rFonts w:ascii="Times New Roman" w:hAnsi="Times New Roman"/>
          <w:i/>
          <w:sz w:val="24"/>
          <w:szCs w:val="24"/>
        </w:rPr>
        <w:t>S</w:t>
      </w:r>
      <w:r w:rsidR="0040175E" w:rsidRPr="0040175E">
        <w:rPr>
          <w:rFonts w:ascii="Times New Roman" w:hAnsi="Times New Roman"/>
          <w:i/>
          <w:sz w:val="24"/>
          <w:szCs w:val="24"/>
        </w:rPr>
        <w:t xml:space="preserve">PS </w:t>
      </w:r>
      <w:r w:rsidR="0008604B">
        <w:rPr>
          <w:rFonts w:ascii="Times New Roman" w:hAnsi="Times New Roman"/>
          <w:i/>
          <w:sz w:val="24"/>
          <w:szCs w:val="24"/>
        </w:rPr>
        <w:t>310</w:t>
      </w:r>
      <w:r w:rsidR="00BF1C50">
        <w:rPr>
          <w:rFonts w:ascii="Times New Roman" w:hAnsi="Times New Roman"/>
          <w:i/>
          <w:sz w:val="24"/>
          <w:szCs w:val="24"/>
        </w:rPr>
        <w:t xml:space="preserve"> </w:t>
      </w:r>
      <w:r w:rsidR="0008604B">
        <w:rPr>
          <w:rFonts w:ascii="Times New Roman" w:hAnsi="Times New Roman"/>
          <w:i/>
          <w:sz w:val="24"/>
          <w:szCs w:val="24"/>
        </w:rPr>
        <w:t>Audit and Related Matters</w:t>
      </w:r>
      <w:r>
        <w:rPr>
          <w:rFonts w:ascii="Times New Roman" w:hAnsi="Times New Roman"/>
          <w:i/>
          <w:sz w:val="24"/>
          <w:szCs w:val="24"/>
        </w:rPr>
        <w:t xml:space="preserve"> </w:t>
      </w:r>
      <w:r>
        <w:rPr>
          <w:rFonts w:ascii="Times New Roman" w:hAnsi="Times New Roman"/>
          <w:sz w:val="24"/>
          <w:szCs w:val="24"/>
        </w:rPr>
        <w:t>(</w:t>
      </w:r>
      <w:r w:rsidR="003A0CC1">
        <w:rPr>
          <w:rFonts w:ascii="Times New Roman" w:hAnsi="Times New Roman"/>
          <w:sz w:val="24"/>
          <w:szCs w:val="24"/>
        </w:rPr>
        <w:t xml:space="preserve">SPS </w:t>
      </w:r>
      <w:r w:rsidR="0008604B">
        <w:rPr>
          <w:rFonts w:ascii="Times New Roman" w:hAnsi="Times New Roman"/>
          <w:sz w:val="24"/>
          <w:szCs w:val="24"/>
        </w:rPr>
        <w:t>310</w:t>
      </w:r>
      <w:r>
        <w:rPr>
          <w:rFonts w:ascii="Times New Roman" w:hAnsi="Times New Roman"/>
          <w:sz w:val="24"/>
          <w:szCs w:val="24"/>
        </w:rPr>
        <w:t>)</w:t>
      </w:r>
      <w:r w:rsidR="00BB3649">
        <w:rPr>
          <w:rFonts w:ascii="Times New Roman" w:hAnsi="Times New Roman"/>
          <w:sz w:val="24"/>
          <w:szCs w:val="24"/>
        </w:rPr>
        <w:t xml:space="preserve">, </w:t>
      </w:r>
      <w:r w:rsidR="00CE21A2">
        <w:rPr>
          <w:rFonts w:ascii="Times New Roman" w:hAnsi="Times New Roman"/>
          <w:sz w:val="24"/>
          <w:szCs w:val="24"/>
        </w:rPr>
        <w:t>Superannuation (prudential standard) determination No</w:t>
      </w:r>
      <w:r w:rsidR="00CE21A2" w:rsidRPr="00BC25C9">
        <w:rPr>
          <w:rFonts w:ascii="Times New Roman" w:hAnsi="Times New Roman"/>
          <w:sz w:val="24"/>
          <w:szCs w:val="24"/>
        </w:rPr>
        <w:t xml:space="preserve">. </w:t>
      </w:r>
      <w:r w:rsidR="00BC25C9" w:rsidRPr="00BC25C9">
        <w:rPr>
          <w:rFonts w:ascii="Times New Roman" w:hAnsi="Times New Roman"/>
          <w:sz w:val="24"/>
          <w:szCs w:val="24"/>
        </w:rPr>
        <w:t xml:space="preserve">4 </w:t>
      </w:r>
      <w:r w:rsidR="00CE21A2" w:rsidRPr="00BC25C9">
        <w:rPr>
          <w:rFonts w:ascii="Times New Roman" w:hAnsi="Times New Roman"/>
          <w:sz w:val="24"/>
          <w:szCs w:val="24"/>
        </w:rPr>
        <w:t>of</w:t>
      </w:r>
      <w:r w:rsidR="00CE21A2">
        <w:rPr>
          <w:rFonts w:ascii="Times New Roman" w:hAnsi="Times New Roman"/>
          <w:sz w:val="24"/>
          <w:szCs w:val="24"/>
        </w:rPr>
        <w:t xml:space="preserve"> 2022</w:t>
      </w:r>
      <w:r w:rsidR="00246723">
        <w:rPr>
          <w:rFonts w:ascii="Times New Roman" w:hAnsi="Times New Roman"/>
          <w:sz w:val="24"/>
          <w:szCs w:val="24"/>
        </w:rPr>
        <w:t>.</w:t>
      </w:r>
      <w:r w:rsidR="00003D3A" w:rsidRPr="00003D3A">
        <w:t xml:space="preserve"> </w:t>
      </w:r>
    </w:p>
    <w:p w14:paraId="5E4C06BF" w14:textId="2A0D47AF" w:rsidR="00246723" w:rsidRDefault="00246723" w:rsidP="00DF7DA0">
      <w:pPr>
        <w:widowControl w:val="0"/>
        <w:spacing w:after="240"/>
        <w:jc w:val="both"/>
        <w:rPr>
          <w:rFonts w:ascii="Times New Roman" w:hAnsi="Times New Roman"/>
          <w:sz w:val="24"/>
          <w:szCs w:val="24"/>
        </w:rPr>
      </w:pPr>
      <w:r>
        <w:rPr>
          <w:rFonts w:ascii="Times New Roman" w:hAnsi="Times New Roman"/>
          <w:sz w:val="24"/>
          <w:szCs w:val="24"/>
        </w:rPr>
        <w:t>The instrument commences on</w:t>
      </w:r>
      <w:r w:rsidR="003A0CC1">
        <w:rPr>
          <w:rFonts w:ascii="Times New Roman" w:hAnsi="Times New Roman"/>
          <w:sz w:val="24"/>
          <w:szCs w:val="24"/>
        </w:rPr>
        <w:t xml:space="preserve"> </w:t>
      </w:r>
      <w:r w:rsidR="001962F7">
        <w:rPr>
          <w:rFonts w:ascii="Times New Roman" w:hAnsi="Times New Roman"/>
          <w:sz w:val="24"/>
          <w:szCs w:val="24"/>
        </w:rPr>
        <w:t xml:space="preserve">30 </w:t>
      </w:r>
      <w:r w:rsidR="001962F7" w:rsidRPr="001E64AB">
        <w:rPr>
          <w:rFonts w:ascii="Times New Roman" w:hAnsi="Times New Roman"/>
          <w:sz w:val="24"/>
          <w:szCs w:val="24"/>
        </w:rPr>
        <w:t>June</w:t>
      </w:r>
      <w:r w:rsidR="00BF1C50" w:rsidRPr="001E64AB">
        <w:rPr>
          <w:rFonts w:ascii="Times New Roman" w:hAnsi="Times New Roman"/>
          <w:sz w:val="24"/>
          <w:szCs w:val="24"/>
        </w:rPr>
        <w:t xml:space="preserve"> </w:t>
      </w:r>
      <w:r w:rsidR="003A0CC1" w:rsidRPr="001E64AB">
        <w:rPr>
          <w:rFonts w:ascii="Times New Roman" w:hAnsi="Times New Roman"/>
          <w:sz w:val="24"/>
          <w:szCs w:val="24"/>
        </w:rPr>
        <w:t>202</w:t>
      </w:r>
      <w:r w:rsidR="00BF1C50" w:rsidRPr="001E64AB">
        <w:rPr>
          <w:rFonts w:ascii="Times New Roman" w:hAnsi="Times New Roman"/>
          <w:sz w:val="24"/>
          <w:szCs w:val="24"/>
        </w:rPr>
        <w:t>3</w:t>
      </w:r>
      <w:r w:rsidR="002436BD" w:rsidRPr="002C6D26">
        <w:rPr>
          <w:rFonts w:ascii="Times New Roman" w:hAnsi="Times New Roman"/>
          <w:sz w:val="24"/>
          <w:szCs w:val="24"/>
        </w:rPr>
        <w:t xml:space="preserve">. </w:t>
      </w:r>
    </w:p>
    <w:p w14:paraId="25ABAD4C" w14:textId="77777777"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2E7C9D2E" w14:textId="62B9A332" w:rsidR="002F61FF" w:rsidRDefault="002F61FF" w:rsidP="002F61FF">
      <w:pPr>
        <w:pStyle w:val="Heading"/>
        <w:keepNext/>
        <w:spacing w:after="240"/>
        <w:outlineLvl w:val="0"/>
        <w:rPr>
          <w:rFonts w:ascii="Times New Roman" w:hAnsi="Times New Roman"/>
          <w:b w:val="0"/>
          <w:sz w:val="24"/>
          <w:szCs w:val="24"/>
        </w:rPr>
      </w:pPr>
      <w:r w:rsidRPr="002F61FF">
        <w:rPr>
          <w:rFonts w:ascii="Times New Roman" w:hAnsi="Times New Roman"/>
          <w:b w:val="0"/>
          <w:sz w:val="24"/>
          <w:szCs w:val="24"/>
        </w:rPr>
        <w:t xml:space="preserve">APRA’s mandate is to ensure the safety and soundness of prudentially regulated financial institutions so that they can meet their financial promises to depositors, </w:t>
      </w:r>
      <w:proofErr w:type="gramStart"/>
      <w:r w:rsidRPr="002F61FF">
        <w:rPr>
          <w:rFonts w:ascii="Times New Roman" w:hAnsi="Times New Roman"/>
          <w:b w:val="0"/>
          <w:sz w:val="24"/>
          <w:szCs w:val="24"/>
        </w:rPr>
        <w:t>policyholders</w:t>
      </w:r>
      <w:proofErr w:type="gramEnd"/>
      <w:r w:rsidRPr="002F61FF">
        <w:rPr>
          <w:rFonts w:ascii="Times New Roman" w:hAnsi="Times New Roman"/>
          <w:b w:val="0"/>
          <w:sz w:val="24"/>
          <w:szCs w:val="24"/>
        </w:rPr>
        <w:t xml:space="preserve"> and fund </w:t>
      </w:r>
      <w:r w:rsidR="002B709F">
        <w:rPr>
          <w:rFonts w:ascii="Times New Roman" w:hAnsi="Times New Roman"/>
          <w:b w:val="0"/>
          <w:sz w:val="24"/>
          <w:szCs w:val="24"/>
        </w:rPr>
        <w:t>beneficiaries</w:t>
      </w:r>
      <w:r w:rsidRPr="002F61FF">
        <w:rPr>
          <w:rFonts w:ascii="Times New Roman" w:hAnsi="Times New Roman"/>
          <w:b w:val="0"/>
          <w:sz w:val="24"/>
          <w:szCs w:val="24"/>
        </w:rPr>
        <w:t xml:space="preserve"> within a stable, efficient and competitive financial system</w:t>
      </w:r>
      <w:r>
        <w:rPr>
          <w:rFonts w:ascii="Times New Roman" w:hAnsi="Times New Roman"/>
          <w:b w:val="0"/>
          <w:sz w:val="24"/>
          <w:szCs w:val="24"/>
        </w:rPr>
        <w:t xml:space="preserve">. </w:t>
      </w:r>
    </w:p>
    <w:p w14:paraId="12B9E717" w14:textId="0676C68D" w:rsidR="00FA1EA0" w:rsidRDefault="00255C5E" w:rsidP="00255C5E">
      <w:pPr>
        <w:pStyle w:val="Heading"/>
        <w:keepNext/>
        <w:spacing w:after="240"/>
        <w:outlineLvl w:val="0"/>
        <w:rPr>
          <w:rFonts w:ascii="Times New Roman" w:hAnsi="Times New Roman"/>
          <w:b w:val="0"/>
          <w:sz w:val="24"/>
          <w:szCs w:val="24"/>
        </w:rPr>
      </w:pPr>
      <w:r w:rsidRPr="00255C5E">
        <w:rPr>
          <w:rFonts w:ascii="Times New Roman" w:hAnsi="Times New Roman"/>
          <w:b w:val="0"/>
          <w:sz w:val="24"/>
          <w:szCs w:val="24"/>
        </w:rPr>
        <w:t>APRA carries out this mandate through a multi-layered prudential framework</w:t>
      </w:r>
      <w:r>
        <w:rPr>
          <w:rFonts w:ascii="Times New Roman" w:hAnsi="Times New Roman"/>
          <w:b w:val="0"/>
          <w:sz w:val="24"/>
          <w:szCs w:val="24"/>
        </w:rPr>
        <w:t xml:space="preserve"> that encompasses </w:t>
      </w:r>
      <w:r w:rsidRPr="00255C5E">
        <w:rPr>
          <w:rFonts w:ascii="Times New Roman" w:hAnsi="Times New Roman"/>
          <w:b w:val="0"/>
          <w:sz w:val="24"/>
          <w:szCs w:val="24"/>
        </w:rPr>
        <w:t xml:space="preserve">licensing and supervision of institutions. APRA is empowered under the Act to </w:t>
      </w:r>
      <w:r w:rsidR="002B709F">
        <w:rPr>
          <w:rFonts w:ascii="Times New Roman" w:hAnsi="Times New Roman"/>
          <w:b w:val="0"/>
          <w:sz w:val="24"/>
          <w:szCs w:val="24"/>
        </w:rPr>
        <w:t>determine</w:t>
      </w:r>
      <w:r w:rsidR="002B709F" w:rsidRPr="00255C5E">
        <w:rPr>
          <w:rFonts w:ascii="Times New Roman" w:hAnsi="Times New Roman"/>
          <w:b w:val="0"/>
          <w:sz w:val="24"/>
          <w:szCs w:val="24"/>
        </w:rPr>
        <w:t xml:space="preserve"> </w:t>
      </w:r>
      <w:r w:rsidRPr="00255C5E">
        <w:rPr>
          <w:rFonts w:ascii="Times New Roman" w:hAnsi="Times New Roman"/>
          <w:b w:val="0"/>
          <w:sz w:val="24"/>
          <w:szCs w:val="24"/>
        </w:rPr>
        <w:t xml:space="preserve">legally binding prudential standards that set out specific prudential requirements </w:t>
      </w:r>
      <w:r w:rsidR="00622863">
        <w:rPr>
          <w:rFonts w:ascii="Times New Roman" w:hAnsi="Times New Roman"/>
          <w:b w:val="0"/>
          <w:sz w:val="24"/>
          <w:szCs w:val="24"/>
        </w:rPr>
        <w:t xml:space="preserve">for </w:t>
      </w:r>
      <w:r w:rsidR="001711F5">
        <w:rPr>
          <w:rFonts w:ascii="Times New Roman" w:hAnsi="Times New Roman"/>
          <w:b w:val="0"/>
          <w:sz w:val="24"/>
          <w:szCs w:val="24"/>
        </w:rPr>
        <w:t>RSE licensees</w:t>
      </w:r>
      <w:r>
        <w:rPr>
          <w:rFonts w:ascii="Times New Roman" w:hAnsi="Times New Roman"/>
          <w:b w:val="0"/>
          <w:sz w:val="24"/>
          <w:szCs w:val="24"/>
        </w:rPr>
        <w:t xml:space="preserve">. </w:t>
      </w:r>
      <w:r w:rsidRPr="00255C5E">
        <w:rPr>
          <w:rFonts w:ascii="Times New Roman" w:hAnsi="Times New Roman"/>
          <w:b w:val="0"/>
          <w:sz w:val="24"/>
          <w:szCs w:val="24"/>
        </w:rPr>
        <w:t xml:space="preserve">These standards are supported by prudential practice guides which </w:t>
      </w:r>
      <w:r w:rsidR="002B709F">
        <w:rPr>
          <w:rFonts w:ascii="Times New Roman" w:hAnsi="Times New Roman"/>
          <w:b w:val="0"/>
          <w:sz w:val="24"/>
          <w:szCs w:val="24"/>
        </w:rPr>
        <w:t xml:space="preserve">set out </w:t>
      </w:r>
      <w:r w:rsidRPr="00255C5E">
        <w:rPr>
          <w:rFonts w:ascii="Times New Roman" w:hAnsi="Times New Roman"/>
          <w:b w:val="0"/>
          <w:sz w:val="24"/>
          <w:szCs w:val="24"/>
        </w:rPr>
        <w:t xml:space="preserve">APRA’s expectations </w:t>
      </w:r>
      <w:r w:rsidR="00BB3649">
        <w:rPr>
          <w:rFonts w:ascii="Times New Roman" w:hAnsi="Times New Roman"/>
          <w:b w:val="0"/>
          <w:sz w:val="24"/>
          <w:szCs w:val="24"/>
        </w:rPr>
        <w:t>in</w:t>
      </w:r>
      <w:r w:rsidR="00BB3649" w:rsidRPr="00255C5E">
        <w:rPr>
          <w:rFonts w:ascii="Times New Roman" w:hAnsi="Times New Roman"/>
          <w:b w:val="0"/>
          <w:sz w:val="24"/>
          <w:szCs w:val="24"/>
        </w:rPr>
        <w:t xml:space="preserve"> </w:t>
      </w:r>
      <w:r w:rsidRPr="00255C5E">
        <w:rPr>
          <w:rFonts w:ascii="Times New Roman" w:hAnsi="Times New Roman"/>
          <w:b w:val="0"/>
          <w:sz w:val="24"/>
          <w:szCs w:val="24"/>
        </w:rPr>
        <w:t>re</w:t>
      </w:r>
      <w:r w:rsidR="00BB3649">
        <w:rPr>
          <w:rFonts w:ascii="Times New Roman" w:hAnsi="Times New Roman"/>
          <w:b w:val="0"/>
          <w:sz w:val="24"/>
          <w:szCs w:val="24"/>
        </w:rPr>
        <w:t xml:space="preserve">spect of </w:t>
      </w:r>
      <w:r w:rsidRPr="00255C5E">
        <w:rPr>
          <w:rFonts w:ascii="Times New Roman" w:hAnsi="Times New Roman"/>
          <w:b w:val="0"/>
          <w:sz w:val="24"/>
          <w:szCs w:val="24"/>
        </w:rPr>
        <w:t>prudential requirements</w:t>
      </w:r>
      <w:r>
        <w:rPr>
          <w:rFonts w:ascii="Times New Roman" w:hAnsi="Times New Roman"/>
          <w:b w:val="0"/>
          <w:sz w:val="24"/>
          <w:szCs w:val="24"/>
        </w:rPr>
        <w:t xml:space="preserve">. </w:t>
      </w:r>
    </w:p>
    <w:p w14:paraId="65707D31" w14:textId="30D7493D" w:rsidR="0011568C" w:rsidRDefault="0011568C" w:rsidP="00255C5E">
      <w:pPr>
        <w:pStyle w:val="Heading"/>
        <w:keepNext/>
        <w:spacing w:after="240"/>
        <w:outlineLvl w:val="0"/>
        <w:rPr>
          <w:rFonts w:ascii="Times New Roman" w:hAnsi="Times New Roman"/>
          <w:b w:val="0"/>
          <w:sz w:val="24"/>
          <w:szCs w:val="24"/>
        </w:rPr>
      </w:pPr>
      <w:r w:rsidRPr="008046ED">
        <w:rPr>
          <w:rFonts w:ascii="Times New Roman" w:hAnsi="Times New Roman"/>
          <w:b w:val="0"/>
          <w:sz w:val="24"/>
          <w:szCs w:val="24"/>
        </w:rPr>
        <w:t>In November 2012,</w:t>
      </w:r>
      <w:r>
        <w:rPr>
          <w:rFonts w:ascii="Times New Roman" w:hAnsi="Times New Roman"/>
          <w:b w:val="0"/>
          <w:sz w:val="24"/>
          <w:szCs w:val="24"/>
        </w:rPr>
        <w:t xml:space="preserve"> APRA issued a package of prudential standards related to superannuation. This </w:t>
      </w:r>
      <w:r w:rsidR="00D34303">
        <w:rPr>
          <w:rFonts w:ascii="Times New Roman" w:hAnsi="Times New Roman"/>
          <w:b w:val="0"/>
          <w:sz w:val="24"/>
          <w:szCs w:val="24"/>
        </w:rPr>
        <w:t xml:space="preserve">introduced </w:t>
      </w:r>
      <w:r w:rsidRPr="00DA2C8B">
        <w:rPr>
          <w:rFonts w:ascii="Times New Roman" w:hAnsi="Times New Roman"/>
          <w:b w:val="0"/>
          <w:sz w:val="24"/>
          <w:szCs w:val="24"/>
        </w:rPr>
        <w:t xml:space="preserve">SPS </w:t>
      </w:r>
      <w:r>
        <w:rPr>
          <w:rFonts w:ascii="Times New Roman" w:hAnsi="Times New Roman"/>
          <w:b w:val="0"/>
          <w:sz w:val="24"/>
          <w:szCs w:val="24"/>
        </w:rPr>
        <w:t>310</w:t>
      </w:r>
      <w:r w:rsidRPr="00DA2C8B">
        <w:rPr>
          <w:rFonts w:ascii="Times New Roman" w:hAnsi="Times New Roman"/>
          <w:b w:val="0"/>
          <w:sz w:val="24"/>
          <w:szCs w:val="24"/>
        </w:rPr>
        <w:t xml:space="preserve"> which was effective from 1 July 2013. </w:t>
      </w:r>
    </w:p>
    <w:p w14:paraId="674E57BB" w14:textId="57CBA831" w:rsidR="005F7AB7" w:rsidRDefault="005F7AB7" w:rsidP="00255C5E">
      <w:pPr>
        <w:pStyle w:val="Heading"/>
        <w:keepNext/>
        <w:spacing w:after="240"/>
        <w:outlineLvl w:val="0"/>
        <w:rPr>
          <w:rFonts w:ascii="Times New Roman" w:hAnsi="Times New Roman"/>
          <w:b w:val="0"/>
          <w:sz w:val="24"/>
          <w:szCs w:val="24"/>
        </w:rPr>
      </w:pPr>
      <w:r w:rsidRPr="00FD7037">
        <w:rPr>
          <w:rFonts w:ascii="Times New Roman" w:hAnsi="Times New Roman"/>
          <w:b w:val="0"/>
          <w:sz w:val="24"/>
          <w:szCs w:val="24"/>
        </w:rPr>
        <w:t>SPS 310 outlines the roles and responsibilities of the RSE auditor of an RSE licensee</w:t>
      </w:r>
      <w:r w:rsidR="000B6364" w:rsidRPr="000B6364">
        <w:t xml:space="preserve"> </w:t>
      </w:r>
      <w:r w:rsidR="000B6364" w:rsidRPr="000B6364">
        <w:rPr>
          <w:rFonts w:ascii="Times New Roman" w:hAnsi="Times New Roman"/>
          <w:b w:val="0"/>
          <w:sz w:val="24"/>
          <w:szCs w:val="24"/>
        </w:rPr>
        <w:t xml:space="preserve">and the obligations of an RSE licensee to </w:t>
      </w:r>
      <w:proofErr w:type="gramStart"/>
      <w:r w:rsidR="000B6364" w:rsidRPr="000B6364">
        <w:rPr>
          <w:rFonts w:ascii="Times New Roman" w:hAnsi="Times New Roman"/>
          <w:b w:val="0"/>
          <w:sz w:val="24"/>
          <w:szCs w:val="24"/>
        </w:rPr>
        <w:t>make arrangements</w:t>
      </w:r>
      <w:proofErr w:type="gramEnd"/>
      <w:r w:rsidR="000B6364" w:rsidRPr="000B6364">
        <w:rPr>
          <w:rFonts w:ascii="Times New Roman" w:hAnsi="Times New Roman"/>
          <w:b w:val="0"/>
          <w:sz w:val="24"/>
          <w:szCs w:val="24"/>
        </w:rPr>
        <w:t xml:space="preserve"> to enable an RSE auditor to fulfil its responsibilities</w:t>
      </w:r>
      <w:r w:rsidRPr="00FD7037">
        <w:rPr>
          <w:rFonts w:ascii="Times New Roman" w:hAnsi="Times New Roman"/>
          <w:b w:val="0"/>
          <w:sz w:val="24"/>
          <w:szCs w:val="24"/>
        </w:rPr>
        <w:t xml:space="preserve">. This includes </w:t>
      </w:r>
      <w:r w:rsidR="00AD3AC8">
        <w:rPr>
          <w:rFonts w:ascii="Times New Roman" w:hAnsi="Times New Roman"/>
          <w:b w:val="0"/>
          <w:sz w:val="24"/>
          <w:szCs w:val="24"/>
        </w:rPr>
        <w:t>a list of the</w:t>
      </w:r>
      <w:r w:rsidRPr="00FD7037">
        <w:rPr>
          <w:rFonts w:ascii="Times New Roman" w:hAnsi="Times New Roman"/>
          <w:b w:val="0"/>
          <w:sz w:val="24"/>
          <w:szCs w:val="24"/>
        </w:rPr>
        <w:t xml:space="preserve"> reporting standards that the </w:t>
      </w:r>
      <w:r>
        <w:rPr>
          <w:rFonts w:ascii="Times New Roman" w:hAnsi="Times New Roman"/>
          <w:b w:val="0"/>
          <w:sz w:val="24"/>
          <w:szCs w:val="24"/>
        </w:rPr>
        <w:t xml:space="preserve">RSE </w:t>
      </w:r>
      <w:r w:rsidRPr="00FD7037">
        <w:rPr>
          <w:rFonts w:ascii="Times New Roman" w:hAnsi="Times New Roman"/>
          <w:b w:val="0"/>
          <w:sz w:val="24"/>
          <w:szCs w:val="24"/>
        </w:rPr>
        <w:t xml:space="preserve">auditor’s report must address, </w:t>
      </w:r>
      <w:r w:rsidR="00AD3AC8">
        <w:rPr>
          <w:rFonts w:ascii="Times New Roman" w:hAnsi="Times New Roman"/>
          <w:b w:val="0"/>
          <w:sz w:val="24"/>
          <w:szCs w:val="24"/>
        </w:rPr>
        <w:t>with</w:t>
      </w:r>
      <w:r w:rsidR="00AD3AC8" w:rsidRPr="00FD7037">
        <w:rPr>
          <w:rFonts w:ascii="Times New Roman" w:hAnsi="Times New Roman"/>
          <w:b w:val="0"/>
          <w:sz w:val="24"/>
          <w:szCs w:val="24"/>
        </w:rPr>
        <w:t xml:space="preserve"> </w:t>
      </w:r>
      <w:r w:rsidRPr="00FD7037">
        <w:rPr>
          <w:rFonts w:ascii="Times New Roman" w:hAnsi="Times New Roman"/>
          <w:b w:val="0"/>
          <w:sz w:val="24"/>
          <w:szCs w:val="24"/>
        </w:rPr>
        <w:t xml:space="preserve">the level of assurance that must be provided for each specified reporting standard. </w:t>
      </w:r>
    </w:p>
    <w:p w14:paraId="6386038E" w14:textId="4DF306CE" w:rsidR="00787EB5" w:rsidRDefault="00787EB5" w:rsidP="00FD7037">
      <w:pPr>
        <w:pStyle w:val="Heading"/>
        <w:keepNext/>
        <w:spacing w:after="240"/>
        <w:outlineLvl w:val="0"/>
        <w:rPr>
          <w:rFonts w:ascii="Times New Roman" w:hAnsi="Times New Roman"/>
          <w:b w:val="0"/>
          <w:sz w:val="24"/>
          <w:szCs w:val="24"/>
        </w:rPr>
      </w:pPr>
      <w:r w:rsidRPr="008046ED">
        <w:rPr>
          <w:rFonts w:ascii="Times New Roman" w:hAnsi="Times New Roman"/>
          <w:b w:val="0"/>
          <w:sz w:val="24"/>
          <w:szCs w:val="24"/>
        </w:rPr>
        <w:t xml:space="preserve">In </w:t>
      </w:r>
      <w:r>
        <w:rPr>
          <w:rFonts w:ascii="Times New Roman" w:hAnsi="Times New Roman"/>
          <w:b w:val="0"/>
          <w:sz w:val="24"/>
          <w:szCs w:val="24"/>
        </w:rPr>
        <w:t>April</w:t>
      </w:r>
      <w:r w:rsidRPr="008046ED">
        <w:rPr>
          <w:rFonts w:ascii="Times New Roman" w:hAnsi="Times New Roman"/>
          <w:b w:val="0"/>
          <w:sz w:val="24"/>
          <w:szCs w:val="24"/>
        </w:rPr>
        <w:t xml:space="preserve"> 201</w:t>
      </w:r>
      <w:r>
        <w:rPr>
          <w:rFonts w:ascii="Times New Roman" w:hAnsi="Times New Roman"/>
          <w:b w:val="0"/>
          <w:sz w:val="24"/>
          <w:szCs w:val="24"/>
        </w:rPr>
        <w:t>8</w:t>
      </w:r>
      <w:r w:rsidRPr="008046ED">
        <w:rPr>
          <w:rFonts w:ascii="Times New Roman" w:hAnsi="Times New Roman"/>
          <w:b w:val="0"/>
          <w:sz w:val="24"/>
          <w:szCs w:val="24"/>
        </w:rPr>
        <w:t>,</w:t>
      </w:r>
      <w:r>
        <w:rPr>
          <w:rFonts w:ascii="Times New Roman" w:hAnsi="Times New Roman"/>
          <w:b w:val="0"/>
          <w:sz w:val="24"/>
          <w:szCs w:val="24"/>
        </w:rPr>
        <w:t xml:space="preserve"> APRA </w:t>
      </w:r>
      <w:r w:rsidR="0011568C">
        <w:rPr>
          <w:rFonts w:ascii="Times New Roman" w:hAnsi="Times New Roman"/>
          <w:b w:val="0"/>
          <w:sz w:val="24"/>
          <w:szCs w:val="24"/>
        </w:rPr>
        <w:t xml:space="preserve">revoked and replaced SPS 310 to </w:t>
      </w:r>
      <w:r w:rsidR="008554BE" w:rsidRPr="008554BE">
        <w:rPr>
          <w:rFonts w:ascii="Times New Roman" w:hAnsi="Times New Roman"/>
          <w:b w:val="0"/>
          <w:sz w:val="24"/>
          <w:szCs w:val="24"/>
        </w:rPr>
        <w:t>remove the limited assurance review requirement in paragraph 19(b)(iv) of SPS 310 and the equivalent provision in the approved form of the audit report which must comply with SPS 310</w:t>
      </w:r>
      <w:r>
        <w:rPr>
          <w:rFonts w:ascii="Times New Roman" w:hAnsi="Times New Roman"/>
          <w:b w:val="0"/>
          <w:sz w:val="24"/>
          <w:szCs w:val="24"/>
        </w:rPr>
        <w:t xml:space="preserve">. </w:t>
      </w:r>
      <w:r w:rsidR="0011568C">
        <w:rPr>
          <w:rFonts w:ascii="Times New Roman" w:hAnsi="Times New Roman"/>
          <w:b w:val="0"/>
          <w:sz w:val="24"/>
          <w:szCs w:val="24"/>
        </w:rPr>
        <w:t>SPS 310</w:t>
      </w:r>
      <w:r w:rsidR="00265730">
        <w:rPr>
          <w:rFonts w:ascii="Times New Roman" w:hAnsi="Times New Roman"/>
          <w:b w:val="0"/>
          <w:sz w:val="24"/>
          <w:szCs w:val="24"/>
        </w:rPr>
        <w:t>, as amended,</w:t>
      </w:r>
      <w:r w:rsidR="0011568C">
        <w:rPr>
          <w:rFonts w:ascii="Times New Roman" w:hAnsi="Times New Roman"/>
          <w:b w:val="0"/>
          <w:sz w:val="24"/>
          <w:szCs w:val="24"/>
        </w:rPr>
        <w:t xml:space="preserve"> </w:t>
      </w:r>
      <w:r w:rsidRPr="00DA2C8B">
        <w:rPr>
          <w:rFonts w:ascii="Times New Roman" w:hAnsi="Times New Roman"/>
          <w:b w:val="0"/>
          <w:sz w:val="24"/>
          <w:szCs w:val="24"/>
        </w:rPr>
        <w:t xml:space="preserve">was effective from 1 </w:t>
      </w:r>
      <w:r>
        <w:rPr>
          <w:rFonts w:ascii="Times New Roman" w:hAnsi="Times New Roman"/>
          <w:b w:val="0"/>
          <w:sz w:val="24"/>
          <w:szCs w:val="24"/>
        </w:rPr>
        <w:t>May</w:t>
      </w:r>
      <w:r w:rsidRPr="00DA2C8B">
        <w:rPr>
          <w:rFonts w:ascii="Times New Roman" w:hAnsi="Times New Roman"/>
          <w:b w:val="0"/>
          <w:sz w:val="24"/>
          <w:szCs w:val="24"/>
        </w:rPr>
        <w:t xml:space="preserve"> 201</w:t>
      </w:r>
      <w:r>
        <w:rPr>
          <w:rFonts w:ascii="Times New Roman" w:hAnsi="Times New Roman"/>
          <w:b w:val="0"/>
          <w:sz w:val="24"/>
          <w:szCs w:val="24"/>
        </w:rPr>
        <w:t>8</w:t>
      </w:r>
      <w:r w:rsidRPr="00DA2C8B">
        <w:rPr>
          <w:rFonts w:ascii="Times New Roman" w:hAnsi="Times New Roman"/>
          <w:b w:val="0"/>
          <w:sz w:val="24"/>
          <w:szCs w:val="24"/>
        </w:rPr>
        <w:t xml:space="preserve">. </w:t>
      </w:r>
    </w:p>
    <w:p w14:paraId="5084CDBA" w14:textId="5B1DAE4C" w:rsidR="00B334CA" w:rsidRDefault="008C6D53" w:rsidP="00FD7037">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APRA is </w:t>
      </w:r>
      <w:r w:rsidR="00AD3AC8">
        <w:rPr>
          <w:rFonts w:ascii="Times New Roman" w:hAnsi="Times New Roman"/>
          <w:b w:val="0"/>
          <w:sz w:val="24"/>
          <w:szCs w:val="24"/>
        </w:rPr>
        <w:t>currently</w:t>
      </w:r>
      <w:r w:rsidR="00F96711">
        <w:rPr>
          <w:rFonts w:ascii="Times New Roman" w:hAnsi="Times New Roman"/>
          <w:b w:val="0"/>
          <w:sz w:val="24"/>
          <w:szCs w:val="24"/>
        </w:rPr>
        <w:t xml:space="preserve"> undertaking a </w:t>
      </w:r>
      <w:r>
        <w:rPr>
          <w:rFonts w:ascii="Times New Roman" w:hAnsi="Times New Roman"/>
          <w:b w:val="0"/>
          <w:sz w:val="24"/>
          <w:szCs w:val="24"/>
        </w:rPr>
        <w:t xml:space="preserve">Superannuation Data Transformation project (SDT) to drive better industry practices and improve member outcomes by enhancing the </w:t>
      </w:r>
      <w:r>
        <w:rPr>
          <w:rFonts w:ascii="Times New Roman" w:hAnsi="Times New Roman"/>
          <w:b w:val="0"/>
          <w:sz w:val="24"/>
          <w:szCs w:val="24"/>
        </w:rPr>
        <w:lastRenderedPageBreak/>
        <w:t>comparability and consistency of reported data.</w:t>
      </w:r>
      <w:r w:rsidR="00F96711">
        <w:rPr>
          <w:rFonts w:ascii="Times New Roman" w:hAnsi="Times New Roman"/>
          <w:b w:val="0"/>
          <w:sz w:val="24"/>
          <w:szCs w:val="24"/>
        </w:rPr>
        <w:t xml:space="preserve"> </w:t>
      </w:r>
      <w:r w:rsidR="005F7AB7">
        <w:rPr>
          <w:rFonts w:ascii="Times New Roman" w:hAnsi="Times New Roman"/>
          <w:b w:val="0"/>
          <w:sz w:val="24"/>
          <w:szCs w:val="24"/>
        </w:rPr>
        <w:t>The SDT expan</w:t>
      </w:r>
      <w:r w:rsidR="00F27FE6">
        <w:rPr>
          <w:rFonts w:ascii="Times New Roman" w:hAnsi="Times New Roman"/>
          <w:b w:val="0"/>
          <w:sz w:val="24"/>
          <w:szCs w:val="24"/>
        </w:rPr>
        <w:t>ds</w:t>
      </w:r>
      <w:r w:rsidR="005F7AB7">
        <w:rPr>
          <w:rFonts w:ascii="Times New Roman" w:hAnsi="Times New Roman"/>
          <w:b w:val="0"/>
          <w:sz w:val="24"/>
          <w:szCs w:val="24"/>
        </w:rPr>
        <w:t xml:space="preserve"> APRA’s data collection across a wider </w:t>
      </w:r>
      <w:r w:rsidR="00F27FE6">
        <w:rPr>
          <w:rFonts w:ascii="Times New Roman" w:hAnsi="Times New Roman"/>
          <w:b w:val="0"/>
          <w:sz w:val="24"/>
          <w:szCs w:val="24"/>
        </w:rPr>
        <w:t xml:space="preserve">range of </w:t>
      </w:r>
      <w:r w:rsidR="00ED68D2">
        <w:rPr>
          <w:rFonts w:ascii="Times New Roman" w:hAnsi="Times New Roman"/>
          <w:b w:val="0"/>
          <w:sz w:val="24"/>
          <w:szCs w:val="24"/>
        </w:rPr>
        <w:t xml:space="preserve">RSE </w:t>
      </w:r>
      <w:r w:rsidR="00F27FE6">
        <w:rPr>
          <w:rFonts w:ascii="Times New Roman" w:hAnsi="Times New Roman"/>
          <w:b w:val="0"/>
          <w:sz w:val="24"/>
          <w:szCs w:val="24"/>
        </w:rPr>
        <w:t xml:space="preserve">investment options and collects more granular data. </w:t>
      </w:r>
    </w:p>
    <w:p w14:paraId="3B75ACCE" w14:textId="1CB47DDE" w:rsidR="008C6D53" w:rsidRPr="00FD7037" w:rsidRDefault="00016BD3" w:rsidP="00FD7037">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Under the SDT, APRA has </w:t>
      </w:r>
      <w:r w:rsidR="008C6D53" w:rsidRPr="00FD7037">
        <w:rPr>
          <w:rFonts w:ascii="Times New Roman" w:hAnsi="Times New Roman"/>
          <w:b w:val="0"/>
          <w:sz w:val="24"/>
          <w:szCs w:val="24"/>
        </w:rPr>
        <w:t>introduce</w:t>
      </w:r>
      <w:r>
        <w:rPr>
          <w:rFonts w:ascii="Times New Roman" w:hAnsi="Times New Roman"/>
          <w:b w:val="0"/>
          <w:sz w:val="24"/>
          <w:szCs w:val="24"/>
        </w:rPr>
        <w:t>d</w:t>
      </w:r>
      <w:r w:rsidR="008C6D53" w:rsidRPr="00FD7037">
        <w:rPr>
          <w:rFonts w:ascii="Times New Roman" w:hAnsi="Times New Roman"/>
          <w:b w:val="0"/>
          <w:sz w:val="24"/>
          <w:szCs w:val="24"/>
        </w:rPr>
        <w:t xml:space="preserve"> new reporting standards</w:t>
      </w:r>
      <w:r w:rsidR="00F27FE6">
        <w:rPr>
          <w:rFonts w:ascii="Times New Roman" w:hAnsi="Times New Roman"/>
          <w:b w:val="0"/>
          <w:sz w:val="24"/>
          <w:szCs w:val="24"/>
        </w:rPr>
        <w:t xml:space="preserve">. In some instances, the new reporting standards </w:t>
      </w:r>
      <w:r w:rsidR="008C6D53" w:rsidRPr="00FD7037">
        <w:rPr>
          <w:rFonts w:ascii="Times New Roman" w:hAnsi="Times New Roman"/>
          <w:b w:val="0"/>
          <w:sz w:val="24"/>
          <w:szCs w:val="24"/>
        </w:rPr>
        <w:t>have replaced, or will replace, existing reporting standards</w:t>
      </w:r>
      <w:r w:rsidR="00B334CA">
        <w:rPr>
          <w:rFonts w:ascii="Times New Roman" w:hAnsi="Times New Roman"/>
          <w:b w:val="0"/>
          <w:sz w:val="24"/>
          <w:szCs w:val="24"/>
        </w:rPr>
        <w:t>. Amendments to SPS 310 are necessary to reflect the</w:t>
      </w:r>
      <w:r w:rsidR="00AD3AC8">
        <w:rPr>
          <w:rFonts w:ascii="Times New Roman" w:hAnsi="Times New Roman"/>
          <w:b w:val="0"/>
          <w:sz w:val="24"/>
          <w:szCs w:val="24"/>
        </w:rPr>
        <w:t>se</w:t>
      </w:r>
      <w:r w:rsidR="00B334CA">
        <w:rPr>
          <w:rFonts w:ascii="Times New Roman" w:hAnsi="Times New Roman"/>
          <w:b w:val="0"/>
          <w:sz w:val="24"/>
          <w:szCs w:val="24"/>
        </w:rPr>
        <w:t xml:space="preserve"> changes and </w:t>
      </w:r>
      <w:r w:rsidR="00AD3AC8">
        <w:rPr>
          <w:rFonts w:ascii="Times New Roman" w:hAnsi="Times New Roman"/>
          <w:b w:val="0"/>
          <w:sz w:val="24"/>
          <w:szCs w:val="24"/>
        </w:rPr>
        <w:t xml:space="preserve">to </w:t>
      </w:r>
      <w:r w:rsidR="004F27C7">
        <w:rPr>
          <w:rFonts w:ascii="Times New Roman" w:hAnsi="Times New Roman"/>
          <w:b w:val="0"/>
          <w:sz w:val="24"/>
          <w:szCs w:val="24"/>
        </w:rPr>
        <w:t xml:space="preserve">provide an additional review mechanism to </w:t>
      </w:r>
      <w:r w:rsidR="00B334CA">
        <w:rPr>
          <w:rFonts w:ascii="Times New Roman" w:hAnsi="Times New Roman"/>
          <w:b w:val="0"/>
          <w:sz w:val="24"/>
          <w:szCs w:val="24"/>
        </w:rPr>
        <w:t xml:space="preserve">support the provision of </w:t>
      </w:r>
      <w:r w:rsidR="008A2C86">
        <w:rPr>
          <w:rFonts w:ascii="Times New Roman" w:hAnsi="Times New Roman"/>
          <w:b w:val="0"/>
          <w:sz w:val="24"/>
          <w:szCs w:val="24"/>
        </w:rPr>
        <w:t>accurate data reporting in accordance with APRA’s reporting standards</w:t>
      </w:r>
      <w:r w:rsidR="00B334CA">
        <w:rPr>
          <w:rFonts w:ascii="Times New Roman" w:hAnsi="Times New Roman"/>
          <w:b w:val="0"/>
          <w:sz w:val="24"/>
          <w:szCs w:val="24"/>
        </w:rPr>
        <w:t>.</w:t>
      </w:r>
    </w:p>
    <w:p w14:paraId="3A120C18" w14:textId="2F9687C8" w:rsidR="00D43215" w:rsidRPr="00D43215" w:rsidRDefault="002436BD" w:rsidP="00FD7037">
      <w:pPr>
        <w:pStyle w:val="Heading"/>
        <w:keepNext/>
        <w:spacing w:after="240"/>
        <w:outlineLvl w:val="0"/>
        <w:rPr>
          <w:rFonts w:ascii="Times New Roman" w:hAnsi="Times New Roman"/>
          <w:sz w:val="24"/>
          <w:szCs w:val="24"/>
        </w:rPr>
      </w:pPr>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p>
    <w:p w14:paraId="7102AFDF" w14:textId="3E51A294" w:rsidR="00F465AC" w:rsidRDefault="00D43215" w:rsidP="008B6FFB">
      <w:pPr>
        <w:pStyle w:val="Heading"/>
        <w:spacing w:after="240"/>
        <w:rPr>
          <w:rFonts w:ascii="Times New Roman" w:hAnsi="Times New Roman"/>
          <w:b w:val="0"/>
          <w:sz w:val="24"/>
          <w:szCs w:val="24"/>
        </w:rPr>
      </w:pPr>
      <w:bookmarkStart w:id="3" w:name="bkPurpose"/>
      <w:bookmarkEnd w:id="3"/>
      <w:r w:rsidRPr="00D43215">
        <w:rPr>
          <w:rFonts w:ascii="Times New Roman" w:hAnsi="Times New Roman"/>
          <w:b w:val="0"/>
          <w:sz w:val="24"/>
          <w:szCs w:val="24"/>
        </w:rPr>
        <w:t xml:space="preserve">The purpose of Superannuation (prudential standard) determination </w:t>
      </w:r>
      <w:r w:rsidRPr="00FA76A4">
        <w:rPr>
          <w:rFonts w:ascii="Times New Roman" w:hAnsi="Times New Roman"/>
          <w:b w:val="0"/>
          <w:sz w:val="24"/>
          <w:szCs w:val="24"/>
        </w:rPr>
        <w:t>No</w:t>
      </w:r>
      <w:r w:rsidRPr="00BC25C9">
        <w:rPr>
          <w:rFonts w:ascii="Times New Roman" w:hAnsi="Times New Roman"/>
          <w:b w:val="0"/>
          <w:sz w:val="24"/>
          <w:szCs w:val="24"/>
        </w:rPr>
        <w:t xml:space="preserve">. </w:t>
      </w:r>
      <w:r w:rsidR="00BC25C9" w:rsidRPr="00BC25C9">
        <w:rPr>
          <w:rFonts w:ascii="Times New Roman" w:hAnsi="Times New Roman"/>
          <w:b w:val="0"/>
          <w:sz w:val="24"/>
          <w:szCs w:val="24"/>
        </w:rPr>
        <w:t>4</w:t>
      </w:r>
      <w:r w:rsidRPr="00FA76A4">
        <w:rPr>
          <w:rFonts w:ascii="Times New Roman" w:hAnsi="Times New Roman"/>
          <w:b w:val="0"/>
          <w:sz w:val="24"/>
          <w:szCs w:val="24"/>
        </w:rPr>
        <w:t xml:space="preserve"> of 2022</w:t>
      </w:r>
      <w:r w:rsidRPr="00D43215">
        <w:rPr>
          <w:rFonts w:ascii="Times New Roman" w:hAnsi="Times New Roman"/>
          <w:b w:val="0"/>
          <w:sz w:val="24"/>
          <w:szCs w:val="24"/>
        </w:rPr>
        <w:t xml:space="preserve"> is to</w:t>
      </w:r>
      <w:r w:rsidR="008B6FFB">
        <w:rPr>
          <w:rFonts w:ascii="Times New Roman" w:hAnsi="Times New Roman"/>
          <w:b w:val="0"/>
          <w:sz w:val="24"/>
          <w:szCs w:val="24"/>
        </w:rPr>
        <w:t xml:space="preserve"> </w:t>
      </w:r>
      <w:r w:rsidR="008B6FFB" w:rsidRPr="008B6FFB">
        <w:rPr>
          <w:rFonts w:ascii="Times New Roman" w:hAnsi="Times New Roman"/>
          <w:b w:val="0"/>
          <w:sz w:val="24"/>
          <w:szCs w:val="24"/>
        </w:rPr>
        <w:t xml:space="preserve">revoke and replace existing SPS </w:t>
      </w:r>
      <w:r w:rsidR="0049096E">
        <w:rPr>
          <w:rFonts w:ascii="Times New Roman" w:hAnsi="Times New Roman"/>
          <w:b w:val="0"/>
          <w:sz w:val="24"/>
          <w:szCs w:val="24"/>
        </w:rPr>
        <w:t>31</w:t>
      </w:r>
      <w:r w:rsidR="000C30E3">
        <w:rPr>
          <w:rFonts w:ascii="Times New Roman" w:hAnsi="Times New Roman"/>
          <w:b w:val="0"/>
          <w:sz w:val="24"/>
          <w:szCs w:val="24"/>
        </w:rPr>
        <w:t>0</w:t>
      </w:r>
      <w:r w:rsidR="008B6FFB" w:rsidRPr="008B6FFB">
        <w:rPr>
          <w:rFonts w:ascii="Times New Roman" w:hAnsi="Times New Roman"/>
          <w:b w:val="0"/>
          <w:sz w:val="24"/>
          <w:szCs w:val="24"/>
        </w:rPr>
        <w:t xml:space="preserve"> with a new version of the standard</w:t>
      </w:r>
      <w:r w:rsidRPr="00D43215">
        <w:rPr>
          <w:rFonts w:ascii="Times New Roman" w:hAnsi="Times New Roman"/>
          <w:b w:val="0"/>
          <w:sz w:val="24"/>
          <w:szCs w:val="24"/>
        </w:rPr>
        <w:t xml:space="preserve"> and set out</w:t>
      </w:r>
      <w:r w:rsidR="001711F5">
        <w:rPr>
          <w:rFonts w:ascii="Times New Roman" w:hAnsi="Times New Roman"/>
          <w:b w:val="0"/>
          <w:sz w:val="24"/>
          <w:szCs w:val="24"/>
        </w:rPr>
        <w:t>,</w:t>
      </w:r>
      <w:r w:rsidRPr="00D43215">
        <w:rPr>
          <w:rFonts w:ascii="Times New Roman" w:hAnsi="Times New Roman"/>
          <w:b w:val="0"/>
          <w:sz w:val="24"/>
          <w:szCs w:val="24"/>
        </w:rPr>
        <w:t xml:space="preserve"> in </w:t>
      </w:r>
      <w:r w:rsidR="008A2C86">
        <w:rPr>
          <w:rFonts w:ascii="Times New Roman" w:hAnsi="Times New Roman"/>
          <w:b w:val="0"/>
          <w:sz w:val="24"/>
          <w:szCs w:val="24"/>
        </w:rPr>
        <w:t xml:space="preserve">Attachment A of </w:t>
      </w:r>
      <w:r w:rsidRPr="00D43215">
        <w:rPr>
          <w:rFonts w:ascii="Times New Roman" w:hAnsi="Times New Roman"/>
          <w:b w:val="0"/>
          <w:sz w:val="24"/>
          <w:szCs w:val="24"/>
        </w:rPr>
        <w:t xml:space="preserve">SPS </w:t>
      </w:r>
      <w:r w:rsidR="0049096E">
        <w:rPr>
          <w:rFonts w:ascii="Times New Roman" w:hAnsi="Times New Roman"/>
          <w:b w:val="0"/>
          <w:sz w:val="24"/>
          <w:szCs w:val="24"/>
        </w:rPr>
        <w:t>310</w:t>
      </w:r>
      <w:r w:rsidR="009E3460">
        <w:rPr>
          <w:rFonts w:ascii="Times New Roman" w:hAnsi="Times New Roman"/>
          <w:b w:val="0"/>
          <w:sz w:val="24"/>
          <w:szCs w:val="24"/>
        </w:rPr>
        <w:t>,</w:t>
      </w:r>
      <w:r w:rsidRPr="00D43215">
        <w:rPr>
          <w:rFonts w:ascii="Times New Roman" w:hAnsi="Times New Roman"/>
          <w:b w:val="0"/>
          <w:sz w:val="24"/>
          <w:szCs w:val="24"/>
        </w:rPr>
        <w:t xml:space="preserve"> </w:t>
      </w:r>
      <w:r w:rsidR="008A2C86">
        <w:rPr>
          <w:rFonts w:ascii="Times New Roman" w:hAnsi="Times New Roman"/>
          <w:b w:val="0"/>
          <w:sz w:val="24"/>
          <w:szCs w:val="24"/>
        </w:rPr>
        <w:t xml:space="preserve">an updated schedule of the </w:t>
      </w:r>
      <w:r w:rsidR="00F465AC">
        <w:rPr>
          <w:rFonts w:ascii="Times New Roman" w:hAnsi="Times New Roman"/>
          <w:b w:val="0"/>
          <w:sz w:val="24"/>
          <w:szCs w:val="24"/>
        </w:rPr>
        <w:t xml:space="preserve">reporting standards that must be addressed in the </w:t>
      </w:r>
      <w:r w:rsidR="00A070BE">
        <w:rPr>
          <w:rFonts w:ascii="Times New Roman" w:hAnsi="Times New Roman"/>
          <w:b w:val="0"/>
          <w:sz w:val="24"/>
          <w:szCs w:val="24"/>
        </w:rPr>
        <w:t xml:space="preserve">RSE </w:t>
      </w:r>
      <w:r w:rsidR="00F465AC">
        <w:rPr>
          <w:rFonts w:ascii="Times New Roman" w:hAnsi="Times New Roman"/>
          <w:b w:val="0"/>
          <w:sz w:val="24"/>
          <w:szCs w:val="24"/>
        </w:rPr>
        <w:t xml:space="preserve">auditor’s report for the year under review. </w:t>
      </w:r>
    </w:p>
    <w:p w14:paraId="356DB16D" w14:textId="18A54A28" w:rsidR="00B334CA" w:rsidRDefault="00B334CA" w:rsidP="00B334CA">
      <w:pPr>
        <w:pStyle w:val="Heading"/>
        <w:keepNext/>
        <w:spacing w:after="240"/>
        <w:outlineLvl w:val="0"/>
        <w:rPr>
          <w:rFonts w:ascii="Times New Roman" w:hAnsi="Times New Roman"/>
          <w:b w:val="0"/>
          <w:sz w:val="24"/>
          <w:szCs w:val="24"/>
        </w:rPr>
      </w:pPr>
      <w:r>
        <w:rPr>
          <w:rFonts w:ascii="Times New Roman" w:hAnsi="Times New Roman"/>
          <w:b w:val="0"/>
          <w:sz w:val="24"/>
          <w:szCs w:val="24"/>
        </w:rPr>
        <w:t>The amendments to SPS 310 remove audit requirements for revoked reporting standards and specify the content of selected new reporting standards</w:t>
      </w:r>
      <w:r w:rsidR="004F27C7">
        <w:rPr>
          <w:rFonts w:ascii="Times New Roman" w:hAnsi="Times New Roman"/>
          <w:b w:val="0"/>
          <w:sz w:val="24"/>
          <w:szCs w:val="24"/>
        </w:rPr>
        <w:t xml:space="preserve">, including whether </w:t>
      </w:r>
      <w:r>
        <w:rPr>
          <w:rFonts w:ascii="Times New Roman" w:hAnsi="Times New Roman"/>
          <w:b w:val="0"/>
          <w:sz w:val="24"/>
          <w:szCs w:val="24"/>
        </w:rPr>
        <w:t>reasonable assurance audit</w:t>
      </w:r>
      <w:r w:rsidR="00A070BE">
        <w:rPr>
          <w:rFonts w:ascii="Times New Roman" w:hAnsi="Times New Roman"/>
          <w:b w:val="0"/>
          <w:sz w:val="24"/>
          <w:szCs w:val="24"/>
        </w:rPr>
        <w:t>,</w:t>
      </w:r>
      <w:r>
        <w:rPr>
          <w:rFonts w:ascii="Times New Roman" w:hAnsi="Times New Roman"/>
          <w:b w:val="0"/>
          <w:sz w:val="24"/>
          <w:szCs w:val="24"/>
        </w:rPr>
        <w:t xml:space="preserve"> or limited assurance review</w:t>
      </w:r>
      <w:r w:rsidR="00A070BE">
        <w:rPr>
          <w:rFonts w:ascii="Times New Roman" w:hAnsi="Times New Roman"/>
          <w:b w:val="0"/>
          <w:sz w:val="24"/>
          <w:szCs w:val="24"/>
        </w:rPr>
        <w:t>,</w:t>
      </w:r>
      <w:r>
        <w:rPr>
          <w:rFonts w:ascii="Times New Roman" w:hAnsi="Times New Roman"/>
          <w:b w:val="0"/>
          <w:sz w:val="24"/>
          <w:szCs w:val="24"/>
        </w:rPr>
        <w:t xml:space="preserve"> is required</w:t>
      </w:r>
      <w:r w:rsidR="00A34B68">
        <w:rPr>
          <w:rFonts w:ascii="Times New Roman" w:hAnsi="Times New Roman"/>
          <w:b w:val="0"/>
          <w:sz w:val="24"/>
          <w:szCs w:val="24"/>
        </w:rPr>
        <w:t xml:space="preserve"> in respect of the reporting standard</w:t>
      </w:r>
      <w:r>
        <w:rPr>
          <w:rFonts w:ascii="Times New Roman" w:hAnsi="Times New Roman"/>
          <w:b w:val="0"/>
          <w:sz w:val="24"/>
          <w:szCs w:val="24"/>
        </w:rPr>
        <w:t>.</w:t>
      </w:r>
      <w:r w:rsidR="00190FA5">
        <w:rPr>
          <w:rFonts w:ascii="Times New Roman" w:hAnsi="Times New Roman"/>
          <w:b w:val="0"/>
          <w:sz w:val="24"/>
          <w:szCs w:val="24"/>
        </w:rPr>
        <w:t xml:space="preserve"> APRA has also amended </w:t>
      </w:r>
      <w:r w:rsidR="003E74BF">
        <w:rPr>
          <w:rFonts w:ascii="Times New Roman" w:hAnsi="Times New Roman"/>
          <w:b w:val="0"/>
          <w:sz w:val="24"/>
          <w:szCs w:val="24"/>
        </w:rPr>
        <w:t>provisions</w:t>
      </w:r>
      <w:r w:rsidR="00D15D53">
        <w:rPr>
          <w:rFonts w:ascii="Times New Roman" w:hAnsi="Times New Roman"/>
          <w:b w:val="0"/>
          <w:sz w:val="24"/>
          <w:szCs w:val="24"/>
        </w:rPr>
        <w:t xml:space="preserve"> of</w:t>
      </w:r>
      <w:r w:rsidR="003E74BF">
        <w:rPr>
          <w:rFonts w:ascii="Times New Roman" w:hAnsi="Times New Roman"/>
          <w:b w:val="0"/>
          <w:sz w:val="24"/>
          <w:szCs w:val="24"/>
        </w:rPr>
        <w:t xml:space="preserve"> SPS 310</w:t>
      </w:r>
      <w:r w:rsidR="00D15D53">
        <w:rPr>
          <w:rFonts w:ascii="Times New Roman" w:hAnsi="Times New Roman"/>
          <w:b w:val="0"/>
          <w:sz w:val="24"/>
          <w:szCs w:val="24"/>
        </w:rPr>
        <w:t>, relating to the exercise of APRA’s discretion under the standard</w:t>
      </w:r>
      <w:r w:rsidR="003E74BF">
        <w:rPr>
          <w:rFonts w:ascii="Times New Roman" w:hAnsi="Times New Roman"/>
          <w:b w:val="0"/>
          <w:sz w:val="24"/>
          <w:szCs w:val="24"/>
        </w:rPr>
        <w:t xml:space="preserve"> to </w:t>
      </w:r>
      <w:r w:rsidR="00D15D53">
        <w:rPr>
          <w:rFonts w:ascii="Times New Roman" w:hAnsi="Times New Roman"/>
          <w:b w:val="0"/>
          <w:sz w:val="24"/>
          <w:szCs w:val="24"/>
        </w:rPr>
        <w:t xml:space="preserve">ensure consistency with equivalent provisions in other </w:t>
      </w:r>
      <w:r w:rsidR="003E74BF">
        <w:rPr>
          <w:rFonts w:ascii="Times New Roman" w:hAnsi="Times New Roman"/>
          <w:b w:val="0"/>
          <w:sz w:val="24"/>
          <w:szCs w:val="24"/>
        </w:rPr>
        <w:t xml:space="preserve">recently </w:t>
      </w:r>
      <w:r w:rsidR="00D15D53">
        <w:rPr>
          <w:rFonts w:ascii="Times New Roman" w:hAnsi="Times New Roman"/>
          <w:b w:val="0"/>
          <w:sz w:val="24"/>
          <w:szCs w:val="24"/>
        </w:rPr>
        <w:t xml:space="preserve">updated </w:t>
      </w:r>
      <w:r w:rsidR="003E74BF">
        <w:rPr>
          <w:rFonts w:ascii="Times New Roman" w:hAnsi="Times New Roman"/>
          <w:b w:val="0"/>
          <w:sz w:val="24"/>
          <w:szCs w:val="24"/>
        </w:rPr>
        <w:t xml:space="preserve">prudential standards. </w:t>
      </w:r>
    </w:p>
    <w:p w14:paraId="7704EC47" w14:textId="08F9F69C" w:rsidR="003C31CC" w:rsidRDefault="00AD3AC8" w:rsidP="00417D9C">
      <w:pPr>
        <w:pStyle w:val="Heading"/>
        <w:spacing w:after="240"/>
        <w:rPr>
          <w:rFonts w:ascii="Times New Roman" w:hAnsi="Times New Roman"/>
          <w:b w:val="0"/>
          <w:sz w:val="24"/>
          <w:szCs w:val="24"/>
        </w:rPr>
      </w:pPr>
      <w:r>
        <w:rPr>
          <w:rFonts w:ascii="Times New Roman" w:hAnsi="Times New Roman"/>
          <w:b w:val="0"/>
          <w:sz w:val="24"/>
          <w:szCs w:val="24"/>
        </w:rPr>
        <w:t xml:space="preserve">On 10 December 2021, </w:t>
      </w:r>
      <w:r w:rsidR="00B334CA" w:rsidRPr="00FD7037">
        <w:rPr>
          <w:rFonts w:ascii="Times New Roman" w:hAnsi="Times New Roman"/>
          <w:b w:val="0"/>
          <w:sz w:val="24"/>
          <w:szCs w:val="24"/>
        </w:rPr>
        <w:t xml:space="preserve">APRA consulted on proposed amendments to SPS 310 </w:t>
      </w:r>
      <w:r>
        <w:rPr>
          <w:rFonts w:ascii="Times New Roman" w:hAnsi="Times New Roman"/>
          <w:b w:val="0"/>
          <w:sz w:val="24"/>
          <w:szCs w:val="24"/>
        </w:rPr>
        <w:t xml:space="preserve">to adjust </w:t>
      </w:r>
      <w:r w:rsidR="00B334CA" w:rsidRPr="00FD7037">
        <w:rPr>
          <w:rFonts w:ascii="Times New Roman" w:hAnsi="Times New Roman"/>
          <w:b w:val="0"/>
          <w:sz w:val="24"/>
          <w:szCs w:val="24"/>
        </w:rPr>
        <w:t>the specified reporting standards to be audited</w:t>
      </w:r>
      <w:r>
        <w:rPr>
          <w:rFonts w:ascii="Times New Roman" w:hAnsi="Times New Roman"/>
          <w:b w:val="0"/>
          <w:sz w:val="24"/>
          <w:szCs w:val="24"/>
        </w:rPr>
        <w:t xml:space="preserve"> consistent with the first phase of the </w:t>
      </w:r>
      <w:r w:rsidR="00B334CA" w:rsidRPr="00FD7037">
        <w:rPr>
          <w:rFonts w:ascii="Times New Roman" w:hAnsi="Times New Roman"/>
          <w:b w:val="0"/>
          <w:sz w:val="24"/>
          <w:szCs w:val="24"/>
        </w:rPr>
        <w:t xml:space="preserve">SDT </w:t>
      </w:r>
      <w:r>
        <w:rPr>
          <w:rFonts w:ascii="Times New Roman" w:hAnsi="Times New Roman"/>
          <w:b w:val="0"/>
          <w:sz w:val="24"/>
          <w:szCs w:val="24"/>
        </w:rPr>
        <w:t xml:space="preserve">project. </w:t>
      </w:r>
      <w:r w:rsidR="00DB3886">
        <w:rPr>
          <w:rFonts w:ascii="Times New Roman" w:hAnsi="Times New Roman"/>
          <w:b w:val="0"/>
          <w:sz w:val="24"/>
          <w:szCs w:val="24"/>
        </w:rPr>
        <w:t>The</w:t>
      </w:r>
      <w:r>
        <w:rPr>
          <w:rFonts w:ascii="Times New Roman" w:hAnsi="Times New Roman"/>
          <w:b w:val="0"/>
          <w:sz w:val="24"/>
          <w:szCs w:val="24"/>
        </w:rPr>
        <w:t>se</w:t>
      </w:r>
      <w:r w:rsidR="004B184C" w:rsidRPr="003C31CC">
        <w:rPr>
          <w:rFonts w:ascii="Times New Roman" w:hAnsi="Times New Roman"/>
          <w:b w:val="0"/>
          <w:sz w:val="24"/>
          <w:szCs w:val="24"/>
        </w:rPr>
        <w:t xml:space="preserve"> </w:t>
      </w:r>
      <w:r w:rsidR="003C31CC" w:rsidRPr="003C31CC">
        <w:rPr>
          <w:rFonts w:ascii="Times New Roman" w:hAnsi="Times New Roman"/>
          <w:b w:val="0"/>
          <w:sz w:val="24"/>
          <w:szCs w:val="24"/>
        </w:rPr>
        <w:t>changes ensur</w:t>
      </w:r>
      <w:r w:rsidR="00DB3886">
        <w:rPr>
          <w:rFonts w:ascii="Times New Roman" w:hAnsi="Times New Roman"/>
          <w:b w:val="0"/>
          <w:sz w:val="24"/>
          <w:szCs w:val="24"/>
        </w:rPr>
        <w:t>e</w:t>
      </w:r>
      <w:r w:rsidR="003C31CC" w:rsidRPr="003C31CC">
        <w:rPr>
          <w:rFonts w:ascii="Times New Roman" w:hAnsi="Times New Roman"/>
          <w:b w:val="0"/>
          <w:sz w:val="24"/>
          <w:szCs w:val="24"/>
        </w:rPr>
        <w:t xml:space="preserve"> </w:t>
      </w:r>
      <w:r w:rsidR="00DB3886">
        <w:rPr>
          <w:rFonts w:ascii="Times New Roman" w:hAnsi="Times New Roman"/>
          <w:b w:val="0"/>
          <w:sz w:val="24"/>
          <w:szCs w:val="24"/>
        </w:rPr>
        <w:t xml:space="preserve">RSE </w:t>
      </w:r>
      <w:r w:rsidR="003C31CC" w:rsidRPr="003C31CC">
        <w:rPr>
          <w:rFonts w:ascii="Times New Roman" w:hAnsi="Times New Roman"/>
          <w:b w:val="0"/>
          <w:sz w:val="24"/>
          <w:szCs w:val="24"/>
        </w:rPr>
        <w:t xml:space="preserve">auditors are not required to </w:t>
      </w:r>
      <w:r w:rsidR="00DB3886">
        <w:rPr>
          <w:rFonts w:ascii="Times New Roman" w:hAnsi="Times New Roman"/>
          <w:b w:val="0"/>
          <w:sz w:val="24"/>
          <w:szCs w:val="24"/>
        </w:rPr>
        <w:t xml:space="preserve">include </w:t>
      </w:r>
      <w:r w:rsidR="003C31CC" w:rsidRPr="003C31CC">
        <w:rPr>
          <w:rFonts w:ascii="Times New Roman" w:hAnsi="Times New Roman"/>
          <w:b w:val="0"/>
          <w:sz w:val="24"/>
          <w:szCs w:val="24"/>
        </w:rPr>
        <w:t xml:space="preserve">revoked forms </w:t>
      </w:r>
      <w:r w:rsidR="00DB3886">
        <w:rPr>
          <w:rFonts w:ascii="Times New Roman" w:hAnsi="Times New Roman"/>
          <w:b w:val="0"/>
          <w:sz w:val="24"/>
          <w:szCs w:val="24"/>
        </w:rPr>
        <w:t xml:space="preserve">within </w:t>
      </w:r>
      <w:r w:rsidR="00655939">
        <w:rPr>
          <w:rFonts w:ascii="Times New Roman" w:hAnsi="Times New Roman"/>
          <w:b w:val="0"/>
          <w:sz w:val="24"/>
          <w:szCs w:val="24"/>
        </w:rPr>
        <w:t xml:space="preserve">their </w:t>
      </w:r>
      <w:r w:rsidR="00DB3886">
        <w:rPr>
          <w:rFonts w:ascii="Times New Roman" w:hAnsi="Times New Roman"/>
          <w:b w:val="0"/>
          <w:sz w:val="24"/>
          <w:szCs w:val="24"/>
        </w:rPr>
        <w:t xml:space="preserve">audit scope </w:t>
      </w:r>
      <w:r w:rsidR="003C31CC" w:rsidRPr="003C31CC">
        <w:rPr>
          <w:rFonts w:ascii="Times New Roman" w:hAnsi="Times New Roman"/>
          <w:b w:val="0"/>
          <w:sz w:val="24"/>
          <w:szCs w:val="24"/>
        </w:rPr>
        <w:t>and that data</w:t>
      </w:r>
      <w:r w:rsidR="00DB3886">
        <w:rPr>
          <w:rFonts w:ascii="Times New Roman" w:hAnsi="Times New Roman"/>
          <w:b w:val="0"/>
          <w:sz w:val="24"/>
          <w:szCs w:val="24"/>
        </w:rPr>
        <w:t xml:space="preserve"> items which APRA considers to be critical</w:t>
      </w:r>
      <w:r w:rsidR="003C31CC" w:rsidRPr="003C31CC">
        <w:rPr>
          <w:rFonts w:ascii="Times New Roman" w:hAnsi="Times New Roman"/>
          <w:b w:val="0"/>
          <w:sz w:val="24"/>
          <w:szCs w:val="24"/>
        </w:rPr>
        <w:t xml:space="preserve"> are captured.</w:t>
      </w:r>
    </w:p>
    <w:p w14:paraId="51022C95" w14:textId="61E32B6B" w:rsidR="003C31CC" w:rsidRDefault="003C31CC" w:rsidP="003C31CC">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The </w:t>
      </w:r>
      <w:r w:rsidR="000E542D">
        <w:rPr>
          <w:rFonts w:ascii="Times New Roman" w:hAnsi="Times New Roman"/>
          <w:b w:val="0"/>
          <w:sz w:val="24"/>
          <w:szCs w:val="24"/>
        </w:rPr>
        <w:t xml:space="preserve">amendments to SPS 310, which are contained within Attachment A of </w:t>
      </w:r>
      <w:r w:rsidR="00AD3AC8">
        <w:rPr>
          <w:rFonts w:ascii="Times New Roman" w:hAnsi="Times New Roman"/>
          <w:b w:val="0"/>
          <w:sz w:val="24"/>
          <w:szCs w:val="24"/>
        </w:rPr>
        <w:t>SPS 310</w:t>
      </w:r>
      <w:r w:rsidR="000E542D">
        <w:rPr>
          <w:rFonts w:ascii="Times New Roman" w:hAnsi="Times New Roman"/>
          <w:b w:val="0"/>
          <w:sz w:val="24"/>
          <w:szCs w:val="24"/>
        </w:rPr>
        <w:t xml:space="preserve">, </w:t>
      </w:r>
      <w:r w:rsidR="00CB0BE6">
        <w:rPr>
          <w:rFonts w:ascii="Times New Roman" w:hAnsi="Times New Roman"/>
          <w:b w:val="0"/>
          <w:sz w:val="24"/>
          <w:szCs w:val="24"/>
        </w:rPr>
        <w:t>are summarised below:</w:t>
      </w:r>
    </w:p>
    <w:p w14:paraId="1F80B5AF" w14:textId="34548387" w:rsidR="003C31CC" w:rsidRPr="003C31CC" w:rsidRDefault="003C31CC" w:rsidP="00CB0BE6">
      <w:pPr>
        <w:pStyle w:val="Heading"/>
        <w:keepNext/>
        <w:numPr>
          <w:ilvl w:val="0"/>
          <w:numId w:val="18"/>
        </w:numPr>
        <w:spacing w:after="240"/>
        <w:outlineLvl w:val="0"/>
        <w:rPr>
          <w:rFonts w:ascii="Times New Roman" w:hAnsi="Times New Roman"/>
          <w:b w:val="0"/>
          <w:sz w:val="24"/>
          <w:szCs w:val="24"/>
        </w:rPr>
      </w:pPr>
      <w:r w:rsidRPr="00152D94">
        <w:rPr>
          <w:rFonts w:ascii="Times New Roman" w:hAnsi="Times New Roman"/>
          <w:b w:val="0"/>
          <w:i/>
          <w:sz w:val="24"/>
          <w:szCs w:val="24"/>
        </w:rPr>
        <w:t xml:space="preserve">Reporting Standard SRS </w:t>
      </w:r>
      <w:r w:rsidR="008D073D" w:rsidRPr="00152D94">
        <w:rPr>
          <w:rFonts w:ascii="Times New Roman" w:hAnsi="Times New Roman"/>
          <w:b w:val="0"/>
          <w:i/>
          <w:sz w:val="24"/>
          <w:szCs w:val="24"/>
        </w:rPr>
        <w:t>330.2 Statement of Financial Performance</w:t>
      </w:r>
      <w:r w:rsidR="008D073D">
        <w:rPr>
          <w:rFonts w:ascii="Times New Roman" w:hAnsi="Times New Roman"/>
          <w:b w:val="0"/>
          <w:sz w:val="24"/>
          <w:szCs w:val="24"/>
        </w:rPr>
        <w:t xml:space="preserve">, </w:t>
      </w:r>
      <w:r w:rsidR="00E67A7C" w:rsidRPr="00152D94">
        <w:rPr>
          <w:rFonts w:ascii="Times New Roman" w:hAnsi="Times New Roman"/>
          <w:b w:val="0"/>
          <w:i/>
          <w:sz w:val="24"/>
          <w:szCs w:val="24"/>
        </w:rPr>
        <w:t xml:space="preserve">Reporting Standard </w:t>
      </w:r>
      <w:r w:rsidR="008D073D" w:rsidRPr="00152D94">
        <w:rPr>
          <w:rFonts w:ascii="Times New Roman" w:hAnsi="Times New Roman"/>
          <w:b w:val="0"/>
          <w:i/>
          <w:sz w:val="24"/>
          <w:szCs w:val="24"/>
        </w:rPr>
        <w:t>SRS 530.0 Investments</w:t>
      </w:r>
      <w:r w:rsidR="008D073D">
        <w:rPr>
          <w:rFonts w:ascii="Times New Roman" w:hAnsi="Times New Roman"/>
          <w:b w:val="0"/>
          <w:sz w:val="24"/>
          <w:szCs w:val="24"/>
        </w:rPr>
        <w:t xml:space="preserve">, </w:t>
      </w:r>
      <w:r w:rsidR="00E67A7C" w:rsidRPr="00152D94">
        <w:rPr>
          <w:rFonts w:ascii="Times New Roman" w:hAnsi="Times New Roman"/>
          <w:b w:val="0"/>
          <w:i/>
          <w:sz w:val="24"/>
          <w:szCs w:val="24"/>
        </w:rPr>
        <w:t xml:space="preserve">Reporting Standard </w:t>
      </w:r>
      <w:r w:rsidR="008D073D" w:rsidRPr="00152D94">
        <w:rPr>
          <w:rFonts w:ascii="Times New Roman" w:hAnsi="Times New Roman"/>
          <w:b w:val="0"/>
          <w:i/>
          <w:sz w:val="24"/>
          <w:szCs w:val="24"/>
        </w:rPr>
        <w:t>SRS 531.0 Investment Flows</w:t>
      </w:r>
      <w:r w:rsidR="008D073D">
        <w:rPr>
          <w:rFonts w:ascii="Times New Roman" w:hAnsi="Times New Roman"/>
          <w:b w:val="0"/>
          <w:sz w:val="24"/>
          <w:szCs w:val="24"/>
        </w:rPr>
        <w:t>,</w:t>
      </w:r>
      <w:r w:rsidR="00AD3AC8">
        <w:rPr>
          <w:rFonts w:ascii="Times New Roman" w:hAnsi="Times New Roman"/>
          <w:b w:val="0"/>
          <w:sz w:val="24"/>
          <w:szCs w:val="24"/>
        </w:rPr>
        <w:t xml:space="preserve"> </w:t>
      </w:r>
      <w:r w:rsidR="00E67A7C" w:rsidRPr="00152D94">
        <w:rPr>
          <w:rFonts w:ascii="Times New Roman" w:hAnsi="Times New Roman"/>
          <w:b w:val="0"/>
          <w:i/>
          <w:sz w:val="24"/>
          <w:szCs w:val="24"/>
        </w:rPr>
        <w:t>Reporting Standard SRS 540.0 Fees</w:t>
      </w:r>
      <w:r w:rsidR="00430689">
        <w:rPr>
          <w:rFonts w:ascii="Times New Roman" w:hAnsi="Times New Roman"/>
          <w:b w:val="0"/>
          <w:sz w:val="24"/>
          <w:szCs w:val="24"/>
        </w:rPr>
        <w:t xml:space="preserve"> and </w:t>
      </w:r>
      <w:r w:rsidR="00430689" w:rsidRPr="00152D94">
        <w:rPr>
          <w:rFonts w:ascii="Times New Roman" w:hAnsi="Times New Roman"/>
          <w:b w:val="0"/>
          <w:i/>
          <w:sz w:val="24"/>
          <w:szCs w:val="24"/>
        </w:rPr>
        <w:t>Reporting Standard SRS 703.0 Fees Disclosed</w:t>
      </w:r>
      <w:r w:rsidRPr="003C31CC">
        <w:rPr>
          <w:rFonts w:ascii="Times New Roman" w:hAnsi="Times New Roman"/>
          <w:b w:val="0"/>
          <w:sz w:val="24"/>
          <w:szCs w:val="24"/>
        </w:rPr>
        <w:t xml:space="preserve"> </w:t>
      </w:r>
      <w:r w:rsidR="00AD3AC8">
        <w:rPr>
          <w:rFonts w:ascii="Times New Roman" w:hAnsi="Times New Roman"/>
          <w:b w:val="0"/>
          <w:sz w:val="24"/>
          <w:szCs w:val="24"/>
        </w:rPr>
        <w:t xml:space="preserve">have been </w:t>
      </w:r>
      <w:r w:rsidRPr="003C31CC">
        <w:rPr>
          <w:rFonts w:ascii="Times New Roman" w:hAnsi="Times New Roman"/>
          <w:b w:val="0"/>
          <w:sz w:val="24"/>
          <w:szCs w:val="24"/>
        </w:rPr>
        <w:t>re</w:t>
      </w:r>
      <w:r w:rsidR="00E67A7C">
        <w:rPr>
          <w:rFonts w:ascii="Times New Roman" w:hAnsi="Times New Roman"/>
          <w:b w:val="0"/>
          <w:sz w:val="24"/>
          <w:szCs w:val="24"/>
        </w:rPr>
        <w:t>moved from the audit scope</w:t>
      </w:r>
      <w:r w:rsidR="00430689">
        <w:rPr>
          <w:rFonts w:ascii="Times New Roman" w:hAnsi="Times New Roman"/>
          <w:b w:val="0"/>
          <w:sz w:val="24"/>
          <w:szCs w:val="24"/>
        </w:rPr>
        <w:t xml:space="preserve"> as these </w:t>
      </w:r>
      <w:r w:rsidR="00AD3AC8">
        <w:rPr>
          <w:rFonts w:ascii="Times New Roman" w:hAnsi="Times New Roman"/>
          <w:b w:val="0"/>
          <w:sz w:val="24"/>
          <w:szCs w:val="24"/>
        </w:rPr>
        <w:t>r</w:t>
      </w:r>
      <w:r w:rsidR="00430689">
        <w:rPr>
          <w:rFonts w:ascii="Times New Roman" w:hAnsi="Times New Roman"/>
          <w:b w:val="0"/>
          <w:sz w:val="24"/>
          <w:szCs w:val="24"/>
        </w:rPr>
        <w:t xml:space="preserve">eporting </w:t>
      </w:r>
      <w:r w:rsidR="00AD3AC8">
        <w:rPr>
          <w:rFonts w:ascii="Times New Roman" w:hAnsi="Times New Roman"/>
          <w:b w:val="0"/>
          <w:sz w:val="24"/>
          <w:szCs w:val="24"/>
        </w:rPr>
        <w:t>s</w:t>
      </w:r>
      <w:r w:rsidR="00430689">
        <w:rPr>
          <w:rFonts w:ascii="Times New Roman" w:hAnsi="Times New Roman"/>
          <w:b w:val="0"/>
          <w:sz w:val="24"/>
          <w:szCs w:val="24"/>
        </w:rPr>
        <w:t>tandards have</w:t>
      </w:r>
      <w:r w:rsidR="00AD3AC8">
        <w:rPr>
          <w:rFonts w:ascii="Times New Roman" w:hAnsi="Times New Roman"/>
          <w:b w:val="0"/>
          <w:sz w:val="24"/>
          <w:szCs w:val="24"/>
        </w:rPr>
        <w:t xml:space="preserve"> been</w:t>
      </w:r>
      <w:r w:rsidR="000E542D">
        <w:rPr>
          <w:rFonts w:ascii="Times New Roman" w:hAnsi="Times New Roman"/>
          <w:b w:val="0"/>
          <w:sz w:val="24"/>
          <w:szCs w:val="24"/>
        </w:rPr>
        <w:t xml:space="preserve">, or will be, </w:t>
      </w:r>
      <w:r w:rsidR="00430689">
        <w:rPr>
          <w:rFonts w:ascii="Times New Roman" w:hAnsi="Times New Roman"/>
          <w:b w:val="0"/>
          <w:sz w:val="24"/>
          <w:szCs w:val="24"/>
        </w:rPr>
        <w:t>revoked by APRA</w:t>
      </w:r>
      <w:r w:rsidR="000E542D">
        <w:rPr>
          <w:rFonts w:ascii="Times New Roman" w:hAnsi="Times New Roman"/>
          <w:b w:val="0"/>
          <w:sz w:val="24"/>
          <w:szCs w:val="24"/>
        </w:rPr>
        <w:t xml:space="preserve"> by 30 June </w:t>
      </w:r>
      <w:proofErr w:type="gramStart"/>
      <w:r w:rsidR="000E542D">
        <w:rPr>
          <w:rFonts w:ascii="Times New Roman" w:hAnsi="Times New Roman"/>
          <w:b w:val="0"/>
          <w:sz w:val="24"/>
          <w:szCs w:val="24"/>
        </w:rPr>
        <w:t>2023</w:t>
      </w:r>
      <w:r w:rsidRPr="003C31CC">
        <w:rPr>
          <w:rFonts w:ascii="Times New Roman" w:hAnsi="Times New Roman"/>
          <w:b w:val="0"/>
          <w:sz w:val="24"/>
          <w:szCs w:val="24"/>
        </w:rPr>
        <w:t>;</w:t>
      </w:r>
      <w:proofErr w:type="gramEnd"/>
      <w:r w:rsidRPr="003C31CC">
        <w:rPr>
          <w:rFonts w:ascii="Times New Roman" w:hAnsi="Times New Roman"/>
          <w:b w:val="0"/>
          <w:sz w:val="24"/>
          <w:szCs w:val="24"/>
        </w:rPr>
        <w:t xml:space="preserve"> </w:t>
      </w:r>
      <w:r w:rsidR="00C971DD">
        <w:rPr>
          <w:rFonts w:ascii="Times New Roman" w:hAnsi="Times New Roman"/>
          <w:b w:val="0"/>
          <w:sz w:val="24"/>
          <w:szCs w:val="24"/>
        </w:rPr>
        <w:t>and</w:t>
      </w:r>
    </w:p>
    <w:p w14:paraId="23D584A6" w14:textId="12D55B52" w:rsidR="00CB0BE6" w:rsidRPr="00B54923" w:rsidRDefault="003C31CC" w:rsidP="003C2644">
      <w:pPr>
        <w:pStyle w:val="Heading"/>
        <w:keepNext/>
        <w:numPr>
          <w:ilvl w:val="0"/>
          <w:numId w:val="18"/>
        </w:numPr>
        <w:spacing w:after="240"/>
        <w:outlineLvl w:val="0"/>
        <w:rPr>
          <w:rFonts w:ascii="Times New Roman" w:hAnsi="Times New Roman"/>
          <w:b w:val="0"/>
          <w:sz w:val="24"/>
          <w:szCs w:val="24"/>
        </w:rPr>
      </w:pPr>
      <w:r w:rsidRPr="00152D94">
        <w:rPr>
          <w:rFonts w:ascii="Times New Roman" w:hAnsi="Times New Roman"/>
          <w:b w:val="0"/>
          <w:i/>
          <w:sz w:val="24"/>
          <w:szCs w:val="24"/>
        </w:rPr>
        <w:t>Reporting Standard SRS 706.0 Fees and Costs Disclosed</w:t>
      </w:r>
      <w:r w:rsidRPr="00B54923">
        <w:rPr>
          <w:rFonts w:ascii="Times New Roman" w:hAnsi="Times New Roman"/>
          <w:b w:val="0"/>
          <w:sz w:val="24"/>
          <w:szCs w:val="24"/>
        </w:rPr>
        <w:t xml:space="preserve"> (for </w:t>
      </w:r>
      <w:proofErr w:type="spellStart"/>
      <w:r w:rsidRPr="00B54923">
        <w:rPr>
          <w:rFonts w:ascii="Times New Roman" w:hAnsi="Times New Roman"/>
          <w:b w:val="0"/>
          <w:sz w:val="24"/>
          <w:szCs w:val="24"/>
        </w:rPr>
        <w:t>MySuper</w:t>
      </w:r>
      <w:proofErr w:type="spellEnd"/>
      <w:r w:rsidRPr="00B54923">
        <w:rPr>
          <w:rFonts w:ascii="Times New Roman" w:hAnsi="Times New Roman"/>
          <w:b w:val="0"/>
          <w:sz w:val="24"/>
          <w:szCs w:val="24"/>
        </w:rPr>
        <w:t xml:space="preserve"> only)</w:t>
      </w:r>
      <w:r w:rsidR="00DF644F" w:rsidRPr="00B54923">
        <w:rPr>
          <w:rFonts w:ascii="Times New Roman" w:hAnsi="Times New Roman"/>
          <w:b w:val="0"/>
          <w:sz w:val="24"/>
          <w:szCs w:val="24"/>
        </w:rPr>
        <w:t xml:space="preserve"> and </w:t>
      </w:r>
      <w:r w:rsidR="006D1987" w:rsidRPr="00152D94">
        <w:rPr>
          <w:rFonts w:ascii="Times New Roman" w:hAnsi="Times New Roman"/>
          <w:b w:val="0"/>
          <w:i/>
          <w:sz w:val="24"/>
          <w:szCs w:val="24"/>
        </w:rPr>
        <w:t>Reporting Form SRF 550.1 Investments and Currency Exposure</w:t>
      </w:r>
      <w:r w:rsidR="006D1987" w:rsidRPr="00B54923">
        <w:rPr>
          <w:rFonts w:ascii="Times New Roman" w:hAnsi="Times New Roman"/>
          <w:b w:val="0"/>
          <w:sz w:val="24"/>
          <w:szCs w:val="24"/>
        </w:rPr>
        <w:t xml:space="preserve"> </w:t>
      </w:r>
      <w:r w:rsidR="00DF644F" w:rsidRPr="00B54923">
        <w:rPr>
          <w:rFonts w:ascii="Times New Roman" w:hAnsi="Times New Roman"/>
          <w:b w:val="0"/>
          <w:sz w:val="24"/>
          <w:szCs w:val="24"/>
        </w:rPr>
        <w:t>(Table 1, columns 1-5 and 9-12</w:t>
      </w:r>
      <w:r w:rsidR="006D1987">
        <w:rPr>
          <w:rFonts w:ascii="Times New Roman" w:hAnsi="Times New Roman"/>
          <w:b w:val="0"/>
          <w:sz w:val="24"/>
          <w:szCs w:val="24"/>
        </w:rPr>
        <w:t>)</w:t>
      </w:r>
      <w:r w:rsidR="00DF644F" w:rsidRPr="00B54923">
        <w:rPr>
          <w:rFonts w:ascii="Times New Roman" w:hAnsi="Times New Roman"/>
          <w:b w:val="0"/>
          <w:sz w:val="24"/>
          <w:szCs w:val="24"/>
        </w:rPr>
        <w:t xml:space="preserve"> of</w:t>
      </w:r>
      <w:r w:rsidR="006D1987" w:rsidRPr="006D1987">
        <w:rPr>
          <w:rFonts w:ascii="Times New Roman" w:hAnsi="Times New Roman"/>
          <w:b w:val="0"/>
          <w:sz w:val="24"/>
          <w:szCs w:val="24"/>
        </w:rPr>
        <w:t xml:space="preserve"> </w:t>
      </w:r>
      <w:r w:rsidR="006D1987" w:rsidRPr="00152D94">
        <w:rPr>
          <w:rFonts w:ascii="Times New Roman" w:hAnsi="Times New Roman"/>
          <w:b w:val="0"/>
          <w:i/>
          <w:sz w:val="24"/>
          <w:szCs w:val="24"/>
        </w:rPr>
        <w:t>Reporting Standard SRS 550.0 Asset Allocation</w:t>
      </w:r>
      <w:r w:rsidR="00DF644F" w:rsidRPr="00B54923">
        <w:rPr>
          <w:rFonts w:ascii="Times New Roman" w:hAnsi="Times New Roman"/>
          <w:b w:val="0"/>
          <w:sz w:val="24"/>
          <w:szCs w:val="24"/>
        </w:rPr>
        <w:t xml:space="preserve"> </w:t>
      </w:r>
      <w:r w:rsidR="00AD3AC8">
        <w:rPr>
          <w:rFonts w:ascii="Times New Roman" w:hAnsi="Times New Roman"/>
          <w:b w:val="0"/>
          <w:sz w:val="24"/>
          <w:szCs w:val="24"/>
        </w:rPr>
        <w:t xml:space="preserve">have been </w:t>
      </w:r>
      <w:r w:rsidR="00430689" w:rsidRPr="00B54923">
        <w:rPr>
          <w:rFonts w:ascii="Times New Roman" w:hAnsi="Times New Roman"/>
          <w:b w:val="0"/>
          <w:sz w:val="24"/>
          <w:szCs w:val="24"/>
        </w:rPr>
        <w:t>added to</w:t>
      </w:r>
      <w:r w:rsidR="00E67A7C" w:rsidRPr="00B54923">
        <w:rPr>
          <w:rFonts w:ascii="Times New Roman" w:hAnsi="Times New Roman"/>
          <w:b w:val="0"/>
          <w:sz w:val="24"/>
          <w:szCs w:val="24"/>
        </w:rPr>
        <w:t xml:space="preserve"> the audit scope</w:t>
      </w:r>
      <w:r w:rsidR="00DF644F" w:rsidRPr="00B54923">
        <w:rPr>
          <w:rFonts w:ascii="Times New Roman" w:hAnsi="Times New Roman"/>
          <w:b w:val="0"/>
          <w:sz w:val="24"/>
          <w:szCs w:val="24"/>
        </w:rPr>
        <w:t xml:space="preserve">. These </w:t>
      </w:r>
      <w:r w:rsidR="006D1987">
        <w:rPr>
          <w:rFonts w:ascii="Times New Roman" w:hAnsi="Times New Roman"/>
          <w:b w:val="0"/>
          <w:sz w:val="24"/>
          <w:szCs w:val="24"/>
        </w:rPr>
        <w:t xml:space="preserve">reporting standards include </w:t>
      </w:r>
      <w:r w:rsidR="00DF644F" w:rsidRPr="00B54923">
        <w:rPr>
          <w:rFonts w:ascii="Times New Roman" w:hAnsi="Times New Roman"/>
          <w:b w:val="0"/>
          <w:sz w:val="24"/>
          <w:szCs w:val="24"/>
        </w:rPr>
        <w:t xml:space="preserve">data items </w:t>
      </w:r>
      <w:r w:rsidR="006D1987">
        <w:rPr>
          <w:rFonts w:ascii="Times New Roman" w:hAnsi="Times New Roman"/>
          <w:b w:val="0"/>
          <w:sz w:val="24"/>
          <w:szCs w:val="24"/>
        </w:rPr>
        <w:t xml:space="preserve">that APRA considers to be critical for purposes including </w:t>
      </w:r>
      <w:r w:rsidR="00DF644F" w:rsidRPr="00B54923">
        <w:rPr>
          <w:rFonts w:ascii="Times New Roman" w:hAnsi="Times New Roman"/>
          <w:b w:val="0"/>
          <w:sz w:val="24"/>
          <w:szCs w:val="24"/>
        </w:rPr>
        <w:t xml:space="preserve">APRA’s administration of the </w:t>
      </w:r>
      <w:r w:rsidR="001E5699">
        <w:rPr>
          <w:rFonts w:ascii="Times New Roman" w:hAnsi="Times New Roman"/>
          <w:b w:val="0"/>
          <w:sz w:val="24"/>
          <w:szCs w:val="24"/>
        </w:rPr>
        <w:t xml:space="preserve">legislated </w:t>
      </w:r>
      <w:proofErr w:type="spellStart"/>
      <w:r w:rsidR="00DF644F" w:rsidRPr="00B54923">
        <w:rPr>
          <w:rFonts w:ascii="Times New Roman" w:hAnsi="Times New Roman"/>
          <w:b w:val="0"/>
          <w:sz w:val="24"/>
          <w:szCs w:val="24"/>
        </w:rPr>
        <w:t>MySuper</w:t>
      </w:r>
      <w:proofErr w:type="spellEnd"/>
      <w:r w:rsidR="00DF644F" w:rsidRPr="00B54923">
        <w:rPr>
          <w:rFonts w:ascii="Times New Roman" w:hAnsi="Times New Roman"/>
          <w:b w:val="0"/>
          <w:sz w:val="24"/>
          <w:szCs w:val="24"/>
        </w:rPr>
        <w:t xml:space="preserve"> Performance Test and Heatmap</w:t>
      </w:r>
      <w:r w:rsidR="00C971DD">
        <w:rPr>
          <w:rFonts w:ascii="Times New Roman" w:hAnsi="Times New Roman"/>
          <w:b w:val="0"/>
          <w:sz w:val="24"/>
          <w:szCs w:val="24"/>
        </w:rPr>
        <w:t>.</w:t>
      </w:r>
    </w:p>
    <w:p w14:paraId="1736154D" w14:textId="7D768D64" w:rsidR="00CB0BE6" w:rsidRDefault="001E5699" w:rsidP="00C971DD">
      <w:pPr>
        <w:pStyle w:val="Heading"/>
        <w:keepNext/>
        <w:spacing w:after="240"/>
        <w:outlineLvl w:val="0"/>
        <w:rPr>
          <w:rFonts w:ascii="Times New Roman" w:hAnsi="Times New Roman"/>
          <w:b w:val="0"/>
          <w:sz w:val="24"/>
          <w:szCs w:val="24"/>
        </w:rPr>
      </w:pPr>
      <w:r>
        <w:rPr>
          <w:rFonts w:ascii="Times New Roman" w:hAnsi="Times New Roman"/>
          <w:b w:val="0"/>
          <w:sz w:val="24"/>
          <w:szCs w:val="24"/>
        </w:rPr>
        <w:t>F</w:t>
      </w:r>
      <w:r w:rsidR="00CB0BE6">
        <w:rPr>
          <w:rFonts w:ascii="Times New Roman" w:hAnsi="Times New Roman"/>
          <w:b w:val="0"/>
          <w:sz w:val="24"/>
          <w:szCs w:val="24"/>
        </w:rPr>
        <w:t xml:space="preserve">ootnote </w:t>
      </w:r>
      <w:r w:rsidR="00C971DD">
        <w:rPr>
          <w:rFonts w:ascii="Times New Roman" w:hAnsi="Times New Roman"/>
          <w:b w:val="0"/>
          <w:sz w:val="24"/>
          <w:szCs w:val="24"/>
        </w:rPr>
        <w:t xml:space="preserve">13 </w:t>
      </w:r>
      <w:r>
        <w:rPr>
          <w:rFonts w:ascii="Times New Roman" w:hAnsi="Times New Roman"/>
          <w:b w:val="0"/>
          <w:sz w:val="24"/>
          <w:szCs w:val="24"/>
        </w:rPr>
        <w:t xml:space="preserve">has also been added </w:t>
      </w:r>
      <w:r w:rsidR="004F27C7">
        <w:rPr>
          <w:rFonts w:ascii="Times New Roman" w:hAnsi="Times New Roman"/>
          <w:b w:val="0"/>
          <w:sz w:val="24"/>
          <w:szCs w:val="24"/>
        </w:rPr>
        <w:t>to SPS 310</w:t>
      </w:r>
      <w:r>
        <w:rPr>
          <w:rFonts w:ascii="Times New Roman" w:hAnsi="Times New Roman"/>
          <w:b w:val="0"/>
          <w:sz w:val="24"/>
          <w:szCs w:val="24"/>
        </w:rPr>
        <w:t xml:space="preserve">, </w:t>
      </w:r>
      <w:r w:rsidR="00CB0BE6">
        <w:rPr>
          <w:rFonts w:ascii="Times New Roman" w:hAnsi="Times New Roman"/>
          <w:b w:val="0"/>
          <w:sz w:val="24"/>
          <w:szCs w:val="24"/>
        </w:rPr>
        <w:t>specif</w:t>
      </w:r>
      <w:r>
        <w:rPr>
          <w:rFonts w:ascii="Times New Roman" w:hAnsi="Times New Roman"/>
          <w:b w:val="0"/>
          <w:sz w:val="24"/>
          <w:szCs w:val="24"/>
        </w:rPr>
        <w:t>ying</w:t>
      </w:r>
      <w:r w:rsidR="00CB0BE6">
        <w:rPr>
          <w:rFonts w:ascii="Times New Roman" w:hAnsi="Times New Roman"/>
          <w:b w:val="0"/>
          <w:sz w:val="24"/>
          <w:szCs w:val="24"/>
        </w:rPr>
        <w:t xml:space="preserve"> that if a </w:t>
      </w:r>
      <w:r w:rsidR="00E67A7C">
        <w:rPr>
          <w:rFonts w:ascii="Times New Roman" w:hAnsi="Times New Roman"/>
          <w:b w:val="0"/>
          <w:sz w:val="24"/>
          <w:szCs w:val="24"/>
        </w:rPr>
        <w:t>reporting standard</w:t>
      </w:r>
      <w:r w:rsidR="00CB0BE6">
        <w:rPr>
          <w:rFonts w:ascii="Times New Roman" w:hAnsi="Times New Roman"/>
          <w:b w:val="0"/>
          <w:sz w:val="24"/>
          <w:szCs w:val="24"/>
        </w:rPr>
        <w:t xml:space="preserve"> </w:t>
      </w:r>
      <w:r w:rsidR="00C971DD">
        <w:rPr>
          <w:rFonts w:ascii="Times New Roman" w:hAnsi="Times New Roman"/>
          <w:b w:val="0"/>
          <w:sz w:val="24"/>
          <w:szCs w:val="24"/>
        </w:rPr>
        <w:t xml:space="preserve">has been revoked prior to or during a year of income, the RSE auditor’s report for that year of income does not need to address the annual information required by that reporting </w:t>
      </w:r>
      <w:r w:rsidR="00C971DD">
        <w:rPr>
          <w:rFonts w:ascii="Times New Roman" w:hAnsi="Times New Roman"/>
          <w:b w:val="0"/>
          <w:sz w:val="24"/>
          <w:szCs w:val="24"/>
        </w:rPr>
        <w:lastRenderedPageBreak/>
        <w:t>standard</w:t>
      </w:r>
      <w:r w:rsidR="00CB0BE6">
        <w:rPr>
          <w:rFonts w:ascii="Times New Roman" w:hAnsi="Times New Roman"/>
          <w:b w:val="0"/>
          <w:sz w:val="24"/>
          <w:szCs w:val="24"/>
        </w:rPr>
        <w:t>.</w:t>
      </w:r>
      <w:r w:rsidR="00C971DD">
        <w:rPr>
          <w:rFonts w:ascii="Times New Roman" w:hAnsi="Times New Roman"/>
          <w:b w:val="0"/>
          <w:sz w:val="24"/>
          <w:szCs w:val="24"/>
        </w:rPr>
        <w:t xml:space="preserve"> Th</w:t>
      </w:r>
      <w:r w:rsidR="004F27C7">
        <w:rPr>
          <w:rFonts w:ascii="Times New Roman" w:hAnsi="Times New Roman"/>
          <w:b w:val="0"/>
          <w:sz w:val="24"/>
          <w:szCs w:val="24"/>
        </w:rPr>
        <w:t>is</w:t>
      </w:r>
      <w:r w:rsidR="00C971DD">
        <w:rPr>
          <w:rFonts w:ascii="Times New Roman" w:hAnsi="Times New Roman"/>
          <w:b w:val="0"/>
          <w:sz w:val="24"/>
          <w:szCs w:val="24"/>
        </w:rPr>
        <w:t xml:space="preserve"> footnote re</w:t>
      </w:r>
      <w:r w:rsidR="004F27C7">
        <w:rPr>
          <w:rFonts w:ascii="Times New Roman" w:hAnsi="Times New Roman"/>
          <w:b w:val="0"/>
          <w:sz w:val="24"/>
          <w:szCs w:val="24"/>
        </w:rPr>
        <w:t xml:space="preserve">moves the need for future </w:t>
      </w:r>
      <w:r w:rsidR="00C971DD">
        <w:rPr>
          <w:rFonts w:ascii="Times New Roman" w:hAnsi="Times New Roman"/>
          <w:b w:val="0"/>
          <w:sz w:val="24"/>
          <w:szCs w:val="24"/>
        </w:rPr>
        <w:t>amendment to SPS 310 sole</w:t>
      </w:r>
      <w:r>
        <w:rPr>
          <w:rFonts w:ascii="Times New Roman" w:hAnsi="Times New Roman"/>
          <w:b w:val="0"/>
          <w:sz w:val="24"/>
          <w:szCs w:val="24"/>
        </w:rPr>
        <w:t>ly</w:t>
      </w:r>
      <w:r w:rsidR="00C971DD">
        <w:rPr>
          <w:rFonts w:ascii="Times New Roman" w:hAnsi="Times New Roman"/>
          <w:b w:val="0"/>
          <w:sz w:val="24"/>
          <w:szCs w:val="24"/>
        </w:rPr>
        <w:t xml:space="preserve"> </w:t>
      </w:r>
      <w:r>
        <w:rPr>
          <w:rFonts w:ascii="Times New Roman" w:hAnsi="Times New Roman"/>
          <w:b w:val="0"/>
          <w:sz w:val="24"/>
          <w:szCs w:val="24"/>
        </w:rPr>
        <w:t>to</w:t>
      </w:r>
      <w:r w:rsidR="00C971DD">
        <w:rPr>
          <w:rFonts w:ascii="Times New Roman" w:hAnsi="Times New Roman"/>
          <w:b w:val="0"/>
          <w:sz w:val="24"/>
          <w:szCs w:val="24"/>
        </w:rPr>
        <w:t xml:space="preserve"> remov</w:t>
      </w:r>
      <w:r>
        <w:rPr>
          <w:rFonts w:ascii="Times New Roman" w:hAnsi="Times New Roman"/>
          <w:b w:val="0"/>
          <w:sz w:val="24"/>
          <w:szCs w:val="24"/>
        </w:rPr>
        <w:t>e</w:t>
      </w:r>
      <w:r w:rsidR="00C971DD">
        <w:rPr>
          <w:rFonts w:ascii="Times New Roman" w:hAnsi="Times New Roman"/>
          <w:b w:val="0"/>
          <w:sz w:val="24"/>
          <w:szCs w:val="24"/>
        </w:rPr>
        <w:t xml:space="preserve"> audit requirements for a revoked reporting standard.</w:t>
      </w:r>
      <w:r w:rsidR="00AD3AC8">
        <w:rPr>
          <w:rFonts w:ascii="Times New Roman" w:hAnsi="Times New Roman"/>
          <w:b w:val="0"/>
          <w:sz w:val="24"/>
          <w:szCs w:val="24"/>
        </w:rPr>
        <w:t xml:space="preserve"> </w:t>
      </w:r>
    </w:p>
    <w:p w14:paraId="1463057C" w14:textId="13D96CF8" w:rsidR="00A1494E" w:rsidRPr="009A6A46" w:rsidRDefault="00A1494E" w:rsidP="00152D94">
      <w:pPr>
        <w:pStyle w:val="Heading"/>
        <w:keepNext/>
        <w:spacing w:after="240"/>
        <w:rPr>
          <w:rFonts w:ascii="Times New Roman" w:hAnsi="Times New Roman"/>
          <w:b w:val="0"/>
          <w:i/>
          <w:sz w:val="24"/>
          <w:szCs w:val="24"/>
        </w:rPr>
      </w:pPr>
      <w:r w:rsidRPr="009A6A46">
        <w:rPr>
          <w:rFonts w:ascii="Times New Roman" w:hAnsi="Times New Roman"/>
          <w:b w:val="0"/>
          <w:i/>
          <w:sz w:val="24"/>
          <w:szCs w:val="24"/>
        </w:rPr>
        <w:t xml:space="preserve">Merits review </w:t>
      </w:r>
    </w:p>
    <w:p w14:paraId="311A0C04" w14:textId="77150DE6" w:rsidR="00A1494E" w:rsidRDefault="00A1494E" w:rsidP="0029627F">
      <w:pPr>
        <w:pStyle w:val="Heading"/>
        <w:keepNext/>
        <w:spacing w:after="240"/>
        <w:rPr>
          <w:rFonts w:ascii="Times New Roman" w:hAnsi="Times New Roman"/>
          <w:b w:val="0"/>
          <w:sz w:val="24"/>
          <w:szCs w:val="24"/>
        </w:rPr>
      </w:pPr>
      <w:r w:rsidRPr="00A1494E">
        <w:rPr>
          <w:rFonts w:ascii="Times New Roman" w:hAnsi="Times New Roman"/>
          <w:b w:val="0"/>
          <w:sz w:val="24"/>
          <w:szCs w:val="24"/>
        </w:rPr>
        <w:t>The prudential standards provide for APRA to exercise various discretions. Decisions made by APRA exercising those discretions are not subject to merits review. This is because these decisions are preliminary decisions that may facilitate or lead to substantive decisions which are subject to merits review</w:t>
      </w:r>
      <w:r w:rsidR="00D86FF2">
        <w:rPr>
          <w:rFonts w:ascii="Times New Roman" w:hAnsi="Times New Roman"/>
          <w:b w:val="0"/>
          <w:sz w:val="24"/>
          <w:szCs w:val="24"/>
        </w:rPr>
        <w:t>.</w:t>
      </w:r>
    </w:p>
    <w:p w14:paraId="2ACC5CE0" w14:textId="67E94EDD" w:rsidR="00A1494E" w:rsidRDefault="009A6A46" w:rsidP="009A6A46">
      <w:pPr>
        <w:pStyle w:val="Heading"/>
        <w:spacing w:after="240"/>
        <w:rPr>
          <w:rFonts w:ascii="Times New Roman" w:hAnsi="Times New Roman"/>
          <w:b w:val="0"/>
          <w:sz w:val="24"/>
          <w:szCs w:val="24"/>
        </w:rPr>
      </w:pPr>
      <w:r w:rsidRPr="009A6A46">
        <w:rPr>
          <w:rFonts w:ascii="Times New Roman" w:hAnsi="Times New Roman"/>
          <w:b w:val="0"/>
          <w:sz w:val="24"/>
          <w:szCs w:val="24"/>
        </w:rPr>
        <w:t>Under the Act, it is a condition on all RSE licences that the RSE licensee must comply with the RSE licensee law, which includes prudential standards. However</w:t>
      </w:r>
      <w:r w:rsidR="0029627F">
        <w:rPr>
          <w:rFonts w:ascii="Times New Roman" w:hAnsi="Times New Roman"/>
          <w:b w:val="0"/>
          <w:sz w:val="24"/>
          <w:szCs w:val="24"/>
        </w:rPr>
        <w:t>,</w:t>
      </w:r>
      <w:r w:rsidRPr="009A6A46">
        <w:rPr>
          <w:rFonts w:ascii="Times New Roman" w:hAnsi="Times New Roman"/>
          <w:b w:val="0"/>
          <w:sz w:val="24"/>
          <w:szCs w:val="24"/>
        </w:rPr>
        <w:t xml:space="preserve"> there are no penalties prescribed for breach of the prudential standards under the Act. Instead</w:t>
      </w:r>
      <w:r w:rsidR="00EC3163">
        <w:rPr>
          <w:rFonts w:ascii="Times New Roman" w:hAnsi="Times New Roman"/>
          <w:b w:val="0"/>
          <w:sz w:val="24"/>
          <w:szCs w:val="24"/>
        </w:rPr>
        <w:t>,</w:t>
      </w:r>
      <w:r w:rsidRPr="009A6A46">
        <w:rPr>
          <w:rFonts w:ascii="Times New Roman" w:hAnsi="Times New Roman"/>
          <w:b w:val="0"/>
          <w:sz w:val="24"/>
          <w:szCs w:val="24"/>
        </w:rPr>
        <w:t xml:space="preserve"> an RSE licensee’s</w:t>
      </w:r>
      <w:r>
        <w:rPr>
          <w:rFonts w:ascii="Times New Roman" w:hAnsi="Times New Roman"/>
          <w:b w:val="0"/>
          <w:sz w:val="24"/>
          <w:szCs w:val="24"/>
        </w:rPr>
        <w:t xml:space="preserve"> </w:t>
      </w:r>
      <w:r w:rsidRPr="009A6A46">
        <w:rPr>
          <w:rFonts w:ascii="Times New Roman" w:hAnsi="Times New Roman"/>
          <w:b w:val="0"/>
          <w:sz w:val="24"/>
          <w:szCs w:val="24"/>
        </w:rPr>
        <w:t xml:space="preserve">breach of an RSE licence condition is </w:t>
      </w:r>
      <w:r w:rsidR="005A7892">
        <w:rPr>
          <w:rFonts w:ascii="Times New Roman" w:hAnsi="Times New Roman"/>
          <w:b w:val="0"/>
          <w:sz w:val="24"/>
          <w:szCs w:val="24"/>
        </w:rPr>
        <w:t xml:space="preserve">a </w:t>
      </w:r>
      <w:r w:rsidRPr="009A6A46">
        <w:rPr>
          <w:rFonts w:ascii="Times New Roman" w:hAnsi="Times New Roman"/>
          <w:b w:val="0"/>
          <w:sz w:val="24"/>
          <w:szCs w:val="24"/>
        </w:rPr>
        <w:t>ground for APRA to make further, substantive decisions under the Act in relation to the RSE licensee. Those decisions are</w:t>
      </w:r>
      <w:proofErr w:type="gramStart"/>
      <w:r w:rsidRPr="009A6A46">
        <w:rPr>
          <w:rFonts w:ascii="Times New Roman" w:hAnsi="Times New Roman"/>
          <w:b w:val="0"/>
          <w:sz w:val="24"/>
          <w:szCs w:val="24"/>
        </w:rPr>
        <w:t>, as the case may be</w:t>
      </w:r>
      <w:r w:rsidR="005A7892">
        <w:rPr>
          <w:rFonts w:ascii="Times New Roman" w:hAnsi="Times New Roman"/>
          <w:b w:val="0"/>
          <w:sz w:val="24"/>
          <w:szCs w:val="24"/>
        </w:rPr>
        <w:t>, decisions</w:t>
      </w:r>
      <w:proofErr w:type="gramEnd"/>
      <w:r w:rsidR="005A7892">
        <w:rPr>
          <w:rFonts w:ascii="Times New Roman" w:hAnsi="Times New Roman"/>
          <w:b w:val="0"/>
          <w:sz w:val="24"/>
          <w:szCs w:val="24"/>
        </w:rPr>
        <w:t xml:space="preserve"> to</w:t>
      </w:r>
      <w:r>
        <w:rPr>
          <w:rFonts w:ascii="Times New Roman" w:hAnsi="Times New Roman"/>
          <w:b w:val="0"/>
          <w:sz w:val="24"/>
          <w:szCs w:val="24"/>
        </w:rPr>
        <w:t>:</w:t>
      </w:r>
    </w:p>
    <w:p w14:paraId="1DD0DA1C" w14:textId="7480E63D" w:rsidR="009A6A46" w:rsidRDefault="009A6A46" w:rsidP="009A6A46">
      <w:pPr>
        <w:pStyle w:val="Heading"/>
        <w:numPr>
          <w:ilvl w:val="0"/>
          <w:numId w:val="7"/>
        </w:numPr>
        <w:spacing w:after="240"/>
        <w:rPr>
          <w:rFonts w:ascii="Times New Roman" w:hAnsi="Times New Roman"/>
          <w:b w:val="0"/>
          <w:sz w:val="24"/>
          <w:szCs w:val="24"/>
        </w:rPr>
      </w:pPr>
      <w:r w:rsidRPr="009A6A46">
        <w:rPr>
          <w:rFonts w:ascii="Times New Roman" w:hAnsi="Times New Roman"/>
          <w:b w:val="0"/>
          <w:sz w:val="24"/>
          <w:szCs w:val="24"/>
        </w:rPr>
        <w:t>cancel a licence to operate an APRA-regulated superannuation fund (section 29G</w:t>
      </w:r>
      <w:r>
        <w:rPr>
          <w:rFonts w:ascii="Times New Roman" w:hAnsi="Times New Roman"/>
          <w:b w:val="0"/>
          <w:sz w:val="24"/>
          <w:szCs w:val="24"/>
        </w:rPr>
        <w:t xml:space="preserve"> </w:t>
      </w:r>
      <w:r w:rsidRPr="009A6A46">
        <w:rPr>
          <w:rFonts w:ascii="Times New Roman" w:hAnsi="Times New Roman"/>
          <w:b w:val="0"/>
          <w:sz w:val="24"/>
          <w:szCs w:val="24"/>
        </w:rPr>
        <w:t>of the Act);</w:t>
      </w:r>
      <w:r>
        <w:rPr>
          <w:rFonts w:ascii="Times New Roman" w:hAnsi="Times New Roman"/>
          <w:b w:val="0"/>
          <w:sz w:val="24"/>
          <w:szCs w:val="24"/>
        </w:rPr>
        <w:t xml:space="preserve"> and</w:t>
      </w:r>
    </w:p>
    <w:p w14:paraId="4A77C28B" w14:textId="133668EC" w:rsidR="009A6A46" w:rsidRPr="009A6A46" w:rsidRDefault="009A6A46" w:rsidP="009A6A46">
      <w:pPr>
        <w:pStyle w:val="Heading"/>
        <w:numPr>
          <w:ilvl w:val="0"/>
          <w:numId w:val="7"/>
        </w:numPr>
        <w:spacing w:after="240"/>
        <w:rPr>
          <w:rFonts w:ascii="Times New Roman" w:hAnsi="Times New Roman"/>
          <w:b w:val="0"/>
          <w:sz w:val="24"/>
          <w:szCs w:val="24"/>
        </w:rPr>
      </w:pPr>
      <w:r w:rsidRPr="009A6A46">
        <w:rPr>
          <w:rFonts w:ascii="Times New Roman" w:hAnsi="Times New Roman"/>
          <w:b w:val="0"/>
          <w:sz w:val="24"/>
          <w:szCs w:val="24"/>
        </w:rPr>
        <w:t>issue a direction to the RSE licensee, including a direction to comply with the whole or part of a prudential standard (section 131D of the Act</w:t>
      </w:r>
      <w:r>
        <w:rPr>
          <w:rFonts w:ascii="Times New Roman" w:hAnsi="Times New Roman"/>
          <w:b w:val="0"/>
          <w:sz w:val="24"/>
          <w:szCs w:val="24"/>
        </w:rPr>
        <w:t>).</w:t>
      </w:r>
    </w:p>
    <w:p w14:paraId="740DBF49" w14:textId="39F1B942" w:rsidR="00A1494E" w:rsidRDefault="009A6A46" w:rsidP="009A6A46">
      <w:pPr>
        <w:pStyle w:val="Heading"/>
        <w:spacing w:after="240"/>
        <w:rPr>
          <w:rFonts w:ascii="Times New Roman" w:hAnsi="Times New Roman"/>
          <w:b w:val="0"/>
          <w:sz w:val="24"/>
          <w:szCs w:val="24"/>
        </w:rPr>
      </w:pPr>
      <w:r w:rsidRPr="009A6A46">
        <w:rPr>
          <w:rFonts w:ascii="Times New Roman" w:hAnsi="Times New Roman"/>
          <w:b w:val="0"/>
          <w:sz w:val="24"/>
          <w:szCs w:val="24"/>
        </w:rPr>
        <w:t>It is only at this stage that an RSE licensee is exposed to a penalty: loss of licence or 100 penalty units each day if it breaches the direction (section 131DD of the Act).</w:t>
      </w:r>
      <w:r>
        <w:rPr>
          <w:rStyle w:val="FootnoteReference"/>
          <w:rFonts w:ascii="Times New Roman" w:hAnsi="Times New Roman"/>
          <w:b w:val="0"/>
          <w:sz w:val="24"/>
          <w:szCs w:val="24"/>
        </w:rPr>
        <w:footnoteReference w:id="2"/>
      </w:r>
      <w:r w:rsidRPr="009A6A46">
        <w:rPr>
          <w:rFonts w:ascii="Times New Roman" w:hAnsi="Times New Roman"/>
          <w:b w:val="0"/>
          <w:sz w:val="24"/>
          <w:szCs w:val="24"/>
        </w:rPr>
        <w:t xml:space="preserve"> </w:t>
      </w:r>
      <w:r w:rsidR="00796929">
        <w:rPr>
          <w:rFonts w:ascii="Times New Roman" w:hAnsi="Times New Roman"/>
          <w:b w:val="0"/>
          <w:sz w:val="24"/>
          <w:szCs w:val="24"/>
        </w:rPr>
        <w:t>A</w:t>
      </w:r>
      <w:r w:rsidR="00796929" w:rsidRPr="009A6A46">
        <w:rPr>
          <w:rFonts w:ascii="Times New Roman" w:hAnsi="Times New Roman"/>
          <w:b w:val="0"/>
          <w:sz w:val="24"/>
          <w:szCs w:val="24"/>
        </w:rPr>
        <w:t xml:space="preserve"> </w:t>
      </w:r>
      <w:r w:rsidRPr="009A6A46">
        <w:rPr>
          <w:rFonts w:ascii="Times New Roman" w:hAnsi="Times New Roman"/>
          <w:b w:val="0"/>
          <w:sz w:val="24"/>
          <w:szCs w:val="24"/>
        </w:rPr>
        <w:t xml:space="preserve">subsequent substantive decisions of APRA to </w:t>
      </w:r>
      <w:r w:rsidR="00796929">
        <w:rPr>
          <w:rFonts w:ascii="Times New Roman" w:hAnsi="Times New Roman"/>
          <w:b w:val="0"/>
          <w:sz w:val="24"/>
          <w:szCs w:val="24"/>
        </w:rPr>
        <w:t xml:space="preserve">cancel the licence and </w:t>
      </w:r>
      <w:r w:rsidRPr="009A6A46">
        <w:rPr>
          <w:rFonts w:ascii="Times New Roman" w:hAnsi="Times New Roman"/>
          <w:b w:val="0"/>
          <w:sz w:val="24"/>
          <w:szCs w:val="24"/>
        </w:rPr>
        <w:t>impose a direction are subject to merits review</w:t>
      </w:r>
      <w:r>
        <w:rPr>
          <w:rFonts w:ascii="Times New Roman" w:hAnsi="Times New Roman"/>
          <w:b w:val="0"/>
          <w:sz w:val="24"/>
          <w:szCs w:val="24"/>
        </w:rPr>
        <w:t>.</w:t>
      </w:r>
    </w:p>
    <w:p w14:paraId="322E7C1C" w14:textId="386374D2" w:rsidR="005F0C94" w:rsidRDefault="001A5DBF" w:rsidP="000B61D2">
      <w:pPr>
        <w:pStyle w:val="Heading"/>
        <w:spacing w:after="240"/>
        <w:rPr>
          <w:rFonts w:ascii="Times New Roman" w:hAnsi="Times New Roman"/>
          <w:b w:val="0"/>
          <w:i/>
          <w:sz w:val="24"/>
          <w:szCs w:val="24"/>
        </w:rPr>
      </w:pPr>
      <w:r w:rsidRPr="00787FB9">
        <w:rPr>
          <w:rFonts w:ascii="Times New Roman" w:hAnsi="Times New Roman"/>
          <w:b w:val="0"/>
          <w:i/>
          <w:sz w:val="24"/>
          <w:szCs w:val="24"/>
        </w:rPr>
        <w:t xml:space="preserve">Exemption from sunsetting </w:t>
      </w:r>
      <w:r w:rsidR="00753B5D">
        <w:rPr>
          <w:rFonts w:ascii="Times New Roman" w:hAnsi="Times New Roman"/>
          <w:b w:val="0"/>
          <w:i/>
          <w:sz w:val="24"/>
          <w:szCs w:val="24"/>
        </w:rPr>
        <w:t xml:space="preserve">and disallowance </w:t>
      </w:r>
    </w:p>
    <w:p w14:paraId="0C414584" w14:textId="3EF5C13A" w:rsidR="00753B5D" w:rsidRPr="00D356CE" w:rsidRDefault="00A11B8F" w:rsidP="0008604B">
      <w:pPr>
        <w:pStyle w:val="Heading"/>
        <w:spacing w:after="240"/>
        <w:rPr>
          <w:rFonts w:ascii="Times New Roman" w:hAnsi="Times New Roman"/>
          <w:b w:val="0"/>
          <w:sz w:val="24"/>
          <w:szCs w:val="24"/>
        </w:rPr>
      </w:pPr>
      <w:r>
        <w:rPr>
          <w:rFonts w:ascii="Times New Roman" w:hAnsi="Times New Roman"/>
          <w:b w:val="0"/>
          <w:sz w:val="24"/>
          <w:szCs w:val="24"/>
        </w:rPr>
        <w:t xml:space="preserve">SPS </w:t>
      </w:r>
      <w:r w:rsidR="0049096E">
        <w:rPr>
          <w:rFonts w:ascii="Times New Roman" w:hAnsi="Times New Roman"/>
          <w:b w:val="0"/>
          <w:sz w:val="24"/>
          <w:szCs w:val="24"/>
        </w:rPr>
        <w:t>310</w:t>
      </w:r>
      <w:r w:rsidR="00753B5D" w:rsidRPr="00D356CE">
        <w:rPr>
          <w:rFonts w:ascii="Times New Roman" w:hAnsi="Times New Roman"/>
          <w:b w:val="0"/>
          <w:sz w:val="24"/>
          <w:szCs w:val="24"/>
        </w:rPr>
        <w:t xml:space="preserve"> is exempt from disallowance in accordance with section 44(2)(b) of the </w:t>
      </w:r>
      <w:r w:rsidR="00753B5D" w:rsidRPr="001D0BC8">
        <w:rPr>
          <w:rFonts w:ascii="Times New Roman" w:hAnsi="Times New Roman"/>
          <w:b w:val="0"/>
          <w:i/>
          <w:sz w:val="24"/>
          <w:szCs w:val="24"/>
        </w:rPr>
        <w:t>Legi</w:t>
      </w:r>
      <w:r w:rsidR="00753B5D" w:rsidRPr="00831858">
        <w:rPr>
          <w:rFonts w:ascii="Times New Roman" w:hAnsi="Times New Roman"/>
          <w:b w:val="0"/>
          <w:i/>
          <w:sz w:val="24"/>
          <w:szCs w:val="24"/>
        </w:rPr>
        <w:t>slation Act 2003</w:t>
      </w:r>
      <w:r w:rsidR="00753B5D" w:rsidRPr="00D356CE">
        <w:rPr>
          <w:rFonts w:ascii="Times New Roman" w:hAnsi="Times New Roman"/>
          <w:b w:val="0"/>
          <w:sz w:val="24"/>
          <w:szCs w:val="24"/>
        </w:rPr>
        <w:t xml:space="preserve"> (Legi</w:t>
      </w:r>
      <w:r w:rsidR="00753B5D" w:rsidRPr="00C42AEB">
        <w:rPr>
          <w:rFonts w:ascii="Times New Roman" w:hAnsi="Times New Roman"/>
          <w:b w:val="0"/>
          <w:sz w:val="24"/>
          <w:szCs w:val="24"/>
        </w:rPr>
        <w:t xml:space="preserve">slation Act) </w:t>
      </w:r>
      <w:r w:rsidR="00753B5D" w:rsidRPr="00096AC5">
        <w:rPr>
          <w:rFonts w:ascii="Times New Roman" w:hAnsi="Times New Roman"/>
          <w:b w:val="0"/>
          <w:sz w:val="24"/>
          <w:szCs w:val="24"/>
        </w:rPr>
        <w:t xml:space="preserve">and </w:t>
      </w:r>
      <w:r w:rsidR="00AD4285" w:rsidRPr="00096AC5">
        <w:rPr>
          <w:rFonts w:ascii="Times New Roman" w:hAnsi="Times New Roman"/>
          <w:b w:val="0"/>
          <w:sz w:val="24"/>
          <w:szCs w:val="24"/>
        </w:rPr>
        <w:t xml:space="preserve">regulation 9 </w:t>
      </w:r>
      <w:r w:rsidR="00AD4285" w:rsidRPr="00962548">
        <w:rPr>
          <w:rFonts w:ascii="Times New Roman" w:hAnsi="Times New Roman"/>
          <w:b w:val="0"/>
          <w:sz w:val="24"/>
          <w:szCs w:val="24"/>
        </w:rPr>
        <w:t xml:space="preserve">of the </w:t>
      </w:r>
      <w:r w:rsidR="00AD4285" w:rsidRPr="00787FB9">
        <w:rPr>
          <w:rFonts w:ascii="Times New Roman" w:hAnsi="Times New Roman"/>
          <w:b w:val="0"/>
          <w:i/>
          <w:sz w:val="24"/>
          <w:szCs w:val="24"/>
        </w:rPr>
        <w:t>Legislation (Exemptions and Other Matters) Regulations 2015</w:t>
      </w:r>
      <w:r w:rsidR="00AD4285" w:rsidRPr="00962548">
        <w:rPr>
          <w:rFonts w:ascii="Times New Roman" w:hAnsi="Times New Roman"/>
          <w:b w:val="0"/>
          <w:sz w:val="24"/>
          <w:szCs w:val="24"/>
        </w:rPr>
        <w:t xml:space="preserve"> (Legislation Reg</w:t>
      </w:r>
      <w:r w:rsidR="00AD4285" w:rsidRPr="000F79BD">
        <w:rPr>
          <w:rFonts w:ascii="Times New Roman" w:hAnsi="Times New Roman"/>
          <w:b w:val="0"/>
          <w:sz w:val="24"/>
          <w:szCs w:val="24"/>
        </w:rPr>
        <w:t>ulations)</w:t>
      </w:r>
      <w:r w:rsidR="00AD4285" w:rsidRPr="000F79BD">
        <w:rPr>
          <w:rStyle w:val="FootnoteReference"/>
          <w:rFonts w:ascii="Times New Roman" w:hAnsi="Times New Roman"/>
          <w:b w:val="0"/>
          <w:sz w:val="24"/>
          <w:szCs w:val="24"/>
        </w:rPr>
        <w:t xml:space="preserve"> </w:t>
      </w:r>
      <w:r w:rsidR="00AD4285" w:rsidRPr="000F79BD">
        <w:rPr>
          <w:rFonts w:ascii="Times New Roman" w:hAnsi="Times New Roman"/>
          <w:b w:val="0"/>
          <w:sz w:val="24"/>
          <w:szCs w:val="24"/>
        </w:rPr>
        <w:t>a</w:t>
      </w:r>
      <w:r w:rsidR="00AD4285" w:rsidRPr="00DB32F2">
        <w:rPr>
          <w:rFonts w:ascii="Times New Roman" w:hAnsi="Times New Roman"/>
          <w:b w:val="0"/>
          <w:sz w:val="24"/>
          <w:szCs w:val="24"/>
        </w:rPr>
        <w:t xml:space="preserve">s </w:t>
      </w:r>
      <w:r w:rsidR="00A85FF7">
        <w:rPr>
          <w:rFonts w:ascii="Times New Roman" w:hAnsi="Times New Roman"/>
          <w:b w:val="0"/>
          <w:sz w:val="24"/>
          <w:szCs w:val="24"/>
        </w:rPr>
        <w:t xml:space="preserve">SPS </w:t>
      </w:r>
      <w:r w:rsidR="0049096E">
        <w:rPr>
          <w:rFonts w:ascii="Times New Roman" w:hAnsi="Times New Roman"/>
          <w:b w:val="0"/>
          <w:sz w:val="24"/>
          <w:szCs w:val="24"/>
        </w:rPr>
        <w:t>310</w:t>
      </w:r>
      <w:r w:rsidR="00571E11" w:rsidRPr="00DB32F2">
        <w:rPr>
          <w:rFonts w:ascii="Times New Roman" w:hAnsi="Times New Roman"/>
          <w:b w:val="0"/>
          <w:sz w:val="24"/>
          <w:szCs w:val="24"/>
        </w:rPr>
        <w:t xml:space="preserve"> is</w:t>
      </w:r>
      <w:r w:rsidR="00AD4285" w:rsidRPr="00DB32F2">
        <w:rPr>
          <w:rFonts w:ascii="Times New Roman" w:hAnsi="Times New Roman"/>
          <w:b w:val="0"/>
          <w:sz w:val="24"/>
          <w:szCs w:val="24"/>
        </w:rPr>
        <w:t xml:space="preserve"> a</w:t>
      </w:r>
      <w:r w:rsidR="00571E11" w:rsidRPr="00DB32F2">
        <w:rPr>
          <w:rFonts w:ascii="Times New Roman" w:hAnsi="Times New Roman"/>
          <w:b w:val="0"/>
          <w:sz w:val="24"/>
          <w:szCs w:val="24"/>
        </w:rPr>
        <w:t>n</w:t>
      </w:r>
      <w:r w:rsidR="00AD4285" w:rsidRPr="00122D99">
        <w:rPr>
          <w:rFonts w:ascii="Times New Roman" w:hAnsi="Times New Roman"/>
          <w:b w:val="0"/>
          <w:sz w:val="24"/>
          <w:szCs w:val="24"/>
        </w:rPr>
        <w:t xml:space="preserve"> </w:t>
      </w:r>
      <w:r w:rsidR="00571E11" w:rsidRPr="001D0BC8">
        <w:rPr>
          <w:rFonts w:ascii="Times New Roman" w:hAnsi="Times New Roman"/>
          <w:b w:val="0"/>
          <w:sz w:val="24"/>
          <w:szCs w:val="24"/>
        </w:rPr>
        <w:t>‘</w:t>
      </w:r>
      <w:r w:rsidR="00AD4285" w:rsidRPr="001D0BC8">
        <w:rPr>
          <w:rFonts w:ascii="Times New Roman" w:hAnsi="Times New Roman"/>
          <w:b w:val="0"/>
          <w:sz w:val="24"/>
          <w:szCs w:val="24"/>
        </w:rPr>
        <w:t>instrument</w:t>
      </w:r>
      <w:r w:rsidR="00571E11" w:rsidRPr="001D0BC8">
        <w:rPr>
          <w:rFonts w:ascii="Times New Roman" w:hAnsi="Times New Roman"/>
          <w:b w:val="0"/>
          <w:sz w:val="24"/>
          <w:szCs w:val="24"/>
        </w:rPr>
        <w:t xml:space="preserve"> (other than a regulation)</w:t>
      </w:r>
      <w:r w:rsidR="007A0703" w:rsidRPr="001D0BC8">
        <w:rPr>
          <w:rFonts w:ascii="Times New Roman" w:hAnsi="Times New Roman"/>
          <w:b w:val="0"/>
          <w:sz w:val="24"/>
          <w:szCs w:val="24"/>
        </w:rPr>
        <w:t xml:space="preserve"> relating to superannuation</w:t>
      </w:r>
      <w:r w:rsidR="007A0703" w:rsidRPr="00831858">
        <w:rPr>
          <w:rFonts w:ascii="Times New Roman" w:hAnsi="Times New Roman"/>
          <w:b w:val="0"/>
          <w:sz w:val="24"/>
          <w:szCs w:val="24"/>
        </w:rPr>
        <w:t>’.</w:t>
      </w:r>
      <w:r w:rsidR="007A0703" w:rsidRPr="00D356CE">
        <w:rPr>
          <w:rStyle w:val="FootnoteReference"/>
          <w:rFonts w:ascii="Times New Roman" w:hAnsi="Times New Roman"/>
          <w:b w:val="0"/>
          <w:sz w:val="24"/>
          <w:szCs w:val="24"/>
        </w:rPr>
        <w:footnoteReference w:id="3"/>
      </w:r>
    </w:p>
    <w:p w14:paraId="46A297F2" w14:textId="1C9BCEEF" w:rsidR="00D356CE" w:rsidRDefault="00A11B8F" w:rsidP="0008604B">
      <w:pPr>
        <w:pStyle w:val="Heading"/>
        <w:spacing w:after="240"/>
        <w:rPr>
          <w:rFonts w:ascii="Times New Roman" w:hAnsi="Times New Roman"/>
          <w:b w:val="0"/>
          <w:sz w:val="24"/>
          <w:szCs w:val="24"/>
        </w:rPr>
      </w:pPr>
      <w:r>
        <w:rPr>
          <w:rFonts w:ascii="Times New Roman" w:hAnsi="Times New Roman"/>
          <w:b w:val="0"/>
          <w:sz w:val="24"/>
          <w:szCs w:val="24"/>
        </w:rPr>
        <w:t xml:space="preserve">SPS </w:t>
      </w:r>
      <w:r w:rsidR="0049096E">
        <w:rPr>
          <w:rFonts w:ascii="Times New Roman" w:hAnsi="Times New Roman"/>
          <w:b w:val="0"/>
          <w:sz w:val="24"/>
          <w:szCs w:val="24"/>
        </w:rPr>
        <w:t>310</w:t>
      </w:r>
      <w:r w:rsidR="00571E11">
        <w:rPr>
          <w:rFonts w:ascii="Times New Roman" w:hAnsi="Times New Roman"/>
          <w:b w:val="0"/>
          <w:sz w:val="24"/>
          <w:szCs w:val="24"/>
        </w:rPr>
        <w:t xml:space="preserve"> is exempt from sunsetting in accordance with section 54(2)(b) of the Legislation Act and regulation 11 of the Legislation Regulations as this </w:t>
      </w:r>
      <w:r w:rsidR="00831858">
        <w:rPr>
          <w:rFonts w:ascii="Times New Roman" w:hAnsi="Times New Roman"/>
          <w:b w:val="0"/>
          <w:sz w:val="24"/>
          <w:szCs w:val="24"/>
        </w:rPr>
        <w:t>L</w:t>
      </w:r>
      <w:r w:rsidR="00571E11">
        <w:rPr>
          <w:rFonts w:ascii="Times New Roman" w:hAnsi="Times New Roman"/>
          <w:b w:val="0"/>
          <w:sz w:val="24"/>
          <w:szCs w:val="24"/>
        </w:rPr>
        <w:t xml:space="preserve">egislative </w:t>
      </w:r>
      <w:r w:rsidR="00831858">
        <w:rPr>
          <w:rFonts w:ascii="Times New Roman" w:hAnsi="Times New Roman"/>
          <w:b w:val="0"/>
          <w:sz w:val="24"/>
          <w:szCs w:val="24"/>
        </w:rPr>
        <w:t>I</w:t>
      </w:r>
      <w:r w:rsidR="00571E11">
        <w:rPr>
          <w:rFonts w:ascii="Times New Roman" w:hAnsi="Times New Roman"/>
          <w:b w:val="0"/>
          <w:sz w:val="24"/>
          <w:szCs w:val="24"/>
        </w:rPr>
        <w:t>nstrument is ‘an instrument</w:t>
      </w:r>
      <w:r w:rsidR="001D0BC8">
        <w:rPr>
          <w:rFonts w:ascii="Times New Roman" w:hAnsi="Times New Roman"/>
          <w:b w:val="0"/>
          <w:sz w:val="24"/>
          <w:szCs w:val="24"/>
        </w:rPr>
        <w:t xml:space="preserve"> (other than a regulation)</w:t>
      </w:r>
      <w:r w:rsidR="00571E11">
        <w:rPr>
          <w:rFonts w:ascii="Times New Roman" w:hAnsi="Times New Roman"/>
          <w:b w:val="0"/>
          <w:sz w:val="24"/>
          <w:szCs w:val="24"/>
        </w:rPr>
        <w:t xml:space="preserve"> relating to superannuation’.</w:t>
      </w:r>
      <w:r w:rsidR="00571E11">
        <w:rPr>
          <w:rStyle w:val="FootnoteReference"/>
          <w:rFonts w:ascii="Times New Roman" w:hAnsi="Times New Roman"/>
          <w:b w:val="0"/>
          <w:sz w:val="24"/>
          <w:szCs w:val="24"/>
        </w:rPr>
        <w:footnoteReference w:id="4"/>
      </w:r>
    </w:p>
    <w:p w14:paraId="3E1E0165" w14:textId="36CD3A7D" w:rsidR="00D356CE" w:rsidRDefault="00C42AEB" w:rsidP="000B61D2">
      <w:pPr>
        <w:pStyle w:val="Heading"/>
        <w:spacing w:after="240"/>
        <w:rPr>
          <w:rFonts w:ascii="Times New Roman" w:hAnsi="Times New Roman"/>
          <w:b w:val="0"/>
          <w:sz w:val="24"/>
          <w:szCs w:val="24"/>
        </w:rPr>
      </w:pPr>
      <w:r>
        <w:rPr>
          <w:rFonts w:ascii="Times New Roman" w:hAnsi="Times New Roman"/>
          <w:b w:val="0"/>
          <w:sz w:val="24"/>
          <w:szCs w:val="24"/>
        </w:rPr>
        <w:t xml:space="preserve">As </w:t>
      </w:r>
      <w:r w:rsidR="00A85FF7">
        <w:rPr>
          <w:rFonts w:ascii="Times New Roman" w:hAnsi="Times New Roman"/>
          <w:b w:val="0"/>
          <w:sz w:val="24"/>
          <w:szCs w:val="24"/>
        </w:rPr>
        <w:t xml:space="preserve">SPS </w:t>
      </w:r>
      <w:r w:rsidR="0049096E">
        <w:rPr>
          <w:rFonts w:ascii="Times New Roman" w:hAnsi="Times New Roman"/>
          <w:b w:val="0"/>
          <w:sz w:val="24"/>
          <w:szCs w:val="24"/>
        </w:rPr>
        <w:t>310</w:t>
      </w:r>
      <w:r>
        <w:rPr>
          <w:rFonts w:ascii="Times New Roman" w:hAnsi="Times New Roman"/>
          <w:b w:val="0"/>
          <w:sz w:val="24"/>
          <w:szCs w:val="24"/>
        </w:rPr>
        <w:t xml:space="preserve"> falls within the above-mentioned exemptions to disallowance and sunsetting, APRA does not have discretion to subject </w:t>
      </w:r>
      <w:r w:rsidR="00A85FF7">
        <w:rPr>
          <w:rFonts w:ascii="Times New Roman" w:hAnsi="Times New Roman"/>
          <w:b w:val="0"/>
          <w:sz w:val="24"/>
          <w:szCs w:val="24"/>
        </w:rPr>
        <w:t xml:space="preserve">SPS </w:t>
      </w:r>
      <w:r w:rsidR="0049096E">
        <w:rPr>
          <w:rFonts w:ascii="Times New Roman" w:hAnsi="Times New Roman"/>
          <w:b w:val="0"/>
          <w:sz w:val="24"/>
          <w:szCs w:val="24"/>
        </w:rPr>
        <w:t>310</w:t>
      </w:r>
      <w:r>
        <w:rPr>
          <w:rFonts w:ascii="Times New Roman" w:hAnsi="Times New Roman"/>
          <w:b w:val="0"/>
          <w:sz w:val="24"/>
          <w:szCs w:val="24"/>
        </w:rPr>
        <w:t xml:space="preserve"> to disallowance and sunsetting. To mitigate against any adverse impact arising from the above-mentioned </w:t>
      </w:r>
      <w:r>
        <w:rPr>
          <w:rFonts w:ascii="Times New Roman" w:hAnsi="Times New Roman"/>
          <w:b w:val="0"/>
          <w:sz w:val="24"/>
          <w:szCs w:val="24"/>
        </w:rPr>
        <w:lastRenderedPageBreak/>
        <w:t xml:space="preserve">exemptions </w:t>
      </w:r>
      <w:r w:rsidR="005548B1">
        <w:rPr>
          <w:rFonts w:ascii="Times New Roman" w:hAnsi="Times New Roman"/>
          <w:b w:val="0"/>
          <w:sz w:val="24"/>
          <w:szCs w:val="24"/>
        </w:rPr>
        <w:t>from</w:t>
      </w:r>
      <w:r>
        <w:rPr>
          <w:rFonts w:ascii="Times New Roman" w:hAnsi="Times New Roman"/>
          <w:b w:val="0"/>
          <w:sz w:val="24"/>
          <w:szCs w:val="24"/>
        </w:rPr>
        <w:t xml:space="preserve"> disallowance and sunsetting, APRA undertook consultation </w:t>
      </w:r>
      <w:r w:rsidR="00962548">
        <w:rPr>
          <w:rFonts w:ascii="Times New Roman" w:hAnsi="Times New Roman"/>
          <w:b w:val="0"/>
          <w:sz w:val="24"/>
          <w:szCs w:val="24"/>
        </w:rPr>
        <w:t xml:space="preserve">on the proposed revisions to existing SPS </w:t>
      </w:r>
      <w:r w:rsidR="0049096E">
        <w:rPr>
          <w:rFonts w:ascii="Times New Roman" w:hAnsi="Times New Roman"/>
          <w:b w:val="0"/>
          <w:sz w:val="24"/>
          <w:szCs w:val="24"/>
        </w:rPr>
        <w:t>310</w:t>
      </w:r>
      <w:r w:rsidR="00962548">
        <w:rPr>
          <w:rFonts w:ascii="Times New Roman" w:hAnsi="Times New Roman"/>
          <w:b w:val="0"/>
          <w:sz w:val="24"/>
          <w:szCs w:val="24"/>
        </w:rPr>
        <w:t xml:space="preserve"> and will continue to conduct regular reviews of SPS </w:t>
      </w:r>
      <w:r w:rsidR="0049096E">
        <w:rPr>
          <w:rFonts w:ascii="Times New Roman" w:hAnsi="Times New Roman"/>
          <w:b w:val="0"/>
          <w:sz w:val="24"/>
          <w:szCs w:val="24"/>
        </w:rPr>
        <w:t>310</w:t>
      </w:r>
      <w:r w:rsidR="00962548">
        <w:rPr>
          <w:rFonts w:ascii="Times New Roman" w:hAnsi="Times New Roman"/>
          <w:b w:val="0"/>
          <w:sz w:val="24"/>
          <w:szCs w:val="24"/>
        </w:rPr>
        <w:t xml:space="preserve"> </w:t>
      </w:r>
      <w:r w:rsidR="00A43169">
        <w:rPr>
          <w:rFonts w:ascii="Times New Roman" w:hAnsi="Times New Roman"/>
          <w:b w:val="0"/>
          <w:sz w:val="24"/>
          <w:szCs w:val="24"/>
        </w:rPr>
        <w:t>as APRA’s SDT</w:t>
      </w:r>
      <w:r w:rsidR="001E5699">
        <w:rPr>
          <w:rFonts w:ascii="Times New Roman" w:hAnsi="Times New Roman"/>
          <w:b w:val="0"/>
          <w:sz w:val="24"/>
          <w:szCs w:val="24"/>
        </w:rPr>
        <w:t xml:space="preserve"> project</w:t>
      </w:r>
      <w:r w:rsidR="00A43169">
        <w:rPr>
          <w:rFonts w:ascii="Times New Roman" w:hAnsi="Times New Roman"/>
          <w:b w:val="0"/>
          <w:sz w:val="24"/>
          <w:szCs w:val="24"/>
        </w:rPr>
        <w:t xml:space="preserve"> progresses</w:t>
      </w:r>
      <w:r w:rsidR="00F46143">
        <w:rPr>
          <w:rFonts w:ascii="Times New Roman" w:hAnsi="Times New Roman"/>
          <w:b w:val="0"/>
          <w:sz w:val="24"/>
          <w:szCs w:val="24"/>
        </w:rPr>
        <w:t>,</w:t>
      </w:r>
      <w:r w:rsidR="00A43169">
        <w:rPr>
          <w:rFonts w:ascii="Times New Roman" w:hAnsi="Times New Roman"/>
          <w:b w:val="0"/>
          <w:sz w:val="24"/>
          <w:szCs w:val="24"/>
        </w:rPr>
        <w:t xml:space="preserve"> and further changes are made to reporting standards.</w:t>
      </w:r>
      <w:r w:rsidR="00AD3AC8">
        <w:rPr>
          <w:rFonts w:ascii="Times New Roman" w:hAnsi="Times New Roman"/>
          <w:b w:val="0"/>
          <w:sz w:val="24"/>
          <w:szCs w:val="24"/>
        </w:rPr>
        <w:t xml:space="preserve"> </w:t>
      </w:r>
    </w:p>
    <w:p w14:paraId="0D0F33F2" w14:textId="703F6AD1" w:rsidR="00537603" w:rsidRPr="0008604B" w:rsidRDefault="00537603" w:rsidP="000B61D2">
      <w:pPr>
        <w:pStyle w:val="Heading"/>
        <w:spacing w:after="240"/>
        <w:rPr>
          <w:rFonts w:ascii="Times New Roman" w:hAnsi="Times New Roman"/>
          <w:b w:val="0"/>
          <w:i/>
          <w:sz w:val="24"/>
          <w:szCs w:val="24"/>
        </w:rPr>
      </w:pPr>
      <w:r w:rsidRPr="0008604B">
        <w:rPr>
          <w:rFonts w:ascii="Times New Roman" w:hAnsi="Times New Roman"/>
          <w:b w:val="0"/>
          <w:i/>
          <w:sz w:val="24"/>
          <w:szCs w:val="24"/>
        </w:rPr>
        <w:t xml:space="preserve">Incorporation by reference </w:t>
      </w:r>
    </w:p>
    <w:p w14:paraId="18E47241" w14:textId="1EBF6003" w:rsidR="00113281" w:rsidRPr="00DF3FD2" w:rsidRDefault="009A2ACA" w:rsidP="00113281">
      <w:pPr>
        <w:spacing w:after="240"/>
        <w:jc w:val="both"/>
        <w:rPr>
          <w:rFonts w:ascii="Times New Roman" w:hAnsi="Times New Roman"/>
          <w:bCs/>
          <w:sz w:val="24"/>
          <w:szCs w:val="24"/>
        </w:rPr>
      </w:pPr>
      <w:r w:rsidRPr="000D2E99">
        <w:rPr>
          <w:rFonts w:ascii="Times New Roman" w:hAnsi="Times New Roman"/>
          <w:bCs/>
          <w:sz w:val="24"/>
          <w:szCs w:val="24"/>
        </w:rPr>
        <w:t xml:space="preserve">Where SPS </w:t>
      </w:r>
      <w:r w:rsidR="0049096E">
        <w:rPr>
          <w:rFonts w:ascii="Times New Roman" w:hAnsi="Times New Roman"/>
          <w:bCs/>
          <w:sz w:val="24"/>
          <w:szCs w:val="24"/>
        </w:rPr>
        <w:t>310</w:t>
      </w:r>
      <w:r w:rsidRPr="000D2E99">
        <w:rPr>
          <w:rFonts w:ascii="Times New Roman" w:hAnsi="Times New Roman"/>
          <w:bCs/>
          <w:sz w:val="24"/>
          <w:szCs w:val="24"/>
        </w:rPr>
        <w:t xml:space="preserve"> refers to </w:t>
      </w:r>
      <w:r>
        <w:rPr>
          <w:rFonts w:ascii="Times New Roman" w:hAnsi="Times New Roman"/>
          <w:bCs/>
          <w:sz w:val="24"/>
          <w:szCs w:val="24"/>
        </w:rPr>
        <w:t xml:space="preserve">provisions in </w:t>
      </w:r>
      <w:r w:rsidR="00E916FE">
        <w:rPr>
          <w:rFonts w:ascii="Times New Roman" w:hAnsi="Times New Roman"/>
          <w:bCs/>
          <w:sz w:val="24"/>
          <w:szCs w:val="24"/>
        </w:rPr>
        <w:t>an</w:t>
      </w:r>
      <w:r w:rsidRPr="000D2E99">
        <w:rPr>
          <w:rFonts w:ascii="Times New Roman" w:hAnsi="Times New Roman"/>
          <w:bCs/>
          <w:sz w:val="24"/>
          <w:szCs w:val="24"/>
        </w:rPr>
        <w:t xml:space="preserve"> Act, this is a reference to </w:t>
      </w:r>
      <w:r w:rsidR="00E916FE">
        <w:rPr>
          <w:rFonts w:ascii="Times New Roman" w:hAnsi="Times New Roman"/>
          <w:bCs/>
          <w:sz w:val="24"/>
          <w:szCs w:val="24"/>
        </w:rPr>
        <w:t xml:space="preserve">an </w:t>
      </w:r>
      <w:r>
        <w:rPr>
          <w:rFonts w:ascii="Times New Roman" w:hAnsi="Times New Roman"/>
          <w:bCs/>
          <w:sz w:val="24"/>
          <w:szCs w:val="24"/>
        </w:rPr>
        <w:t xml:space="preserve">Act </w:t>
      </w:r>
      <w:r w:rsidRPr="000D2E99">
        <w:rPr>
          <w:rFonts w:ascii="Times New Roman" w:hAnsi="Times New Roman"/>
          <w:bCs/>
          <w:sz w:val="24"/>
          <w:szCs w:val="24"/>
        </w:rPr>
        <w:t xml:space="preserve">as it exists </w:t>
      </w:r>
      <w:r w:rsidRPr="000D2E99">
        <w:rPr>
          <w:rFonts w:ascii="Times New Roman" w:hAnsi="Times New Roman"/>
          <w:bCs/>
          <w:i/>
          <w:sz w:val="24"/>
          <w:szCs w:val="24"/>
        </w:rPr>
        <w:t>from time to time</w:t>
      </w:r>
      <w:r w:rsidRPr="000D2E99">
        <w:rPr>
          <w:rFonts w:ascii="Times New Roman" w:hAnsi="Times New Roman"/>
          <w:bCs/>
          <w:sz w:val="24"/>
          <w:szCs w:val="24"/>
        </w:rPr>
        <w:t>, and which is available on the Federal Register of Legislation</w:t>
      </w:r>
      <w:r>
        <w:rPr>
          <w:rFonts w:ascii="Times New Roman" w:hAnsi="Times New Roman"/>
          <w:bCs/>
          <w:sz w:val="24"/>
          <w:szCs w:val="24"/>
        </w:rPr>
        <w:t xml:space="preserve"> </w:t>
      </w:r>
      <w:r w:rsidRPr="000D2E99">
        <w:rPr>
          <w:rFonts w:ascii="Times New Roman" w:hAnsi="Times New Roman"/>
          <w:bCs/>
          <w:sz w:val="24"/>
          <w:szCs w:val="24"/>
        </w:rPr>
        <w:t xml:space="preserve">at </w:t>
      </w:r>
      <w:hyperlink r:id="rId13" w:history="1">
        <w:r w:rsidRPr="000D2E99">
          <w:rPr>
            <w:rStyle w:val="Hyperlink"/>
            <w:rFonts w:ascii="Times New Roman" w:hAnsi="Times New Roman"/>
            <w:bCs/>
            <w:sz w:val="24"/>
            <w:szCs w:val="24"/>
          </w:rPr>
          <w:t>www.legislation.gov.au</w:t>
        </w:r>
      </w:hyperlink>
      <w:r w:rsidRPr="000D2E99">
        <w:rPr>
          <w:rFonts w:ascii="Times New Roman" w:hAnsi="Times New Roman"/>
          <w:bCs/>
          <w:sz w:val="24"/>
          <w:szCs w:val="24"/>
        </w:rPr>
        <w:t xml:space="preserve">. Where SPS </w:t>
      </w:r>
      <w:r w:rsidR="0049096E">
        <w:rPr>
          <w:rFonts w:ascii="Times New Roman" w:hAnsi="Times New Roman"/>
          <w:bCs/>
          <w:sz w:val="24"/>
          <w:szCs w:val="24"/>
        </w:rPr>
        <w:t>310</w:t>
      </w:r>
      <w:r w:rsidRPr="000D2E99">
        <w:rPr>
          <w:rFonts w:ascii="Times New Roman" w:hAnsi="Times New Roman"/>
          <w:bCs/>
          <w:sz w:val="24"/>
          <w:szCs w:val="24"/>
        </w:rPr>
        <w:t xml:space="preserve"> refers to another superannuation prudential standard</w:t>
      </w:r>
      <w:r w:rsidR="0049096E">
        <w:rPr>
          <w:rFonts w:ascii="Times New Roman" w:hAnsi="Times New Roman"/>
          <w:bCs/>
          <w:sz w:val="24"/>
          <w:szCs w:val="24"/>
        </w:rPr>
        <w:t xml:space="preserve"> or reporting standard</w:t>
      </w:r>
      <w:r w:rsidRPr="000D2E99">
        <w:rPr>
          <w:rFonts w:ascii="Times New Roman" w:hAnsi="Times New Roman"/>
          <w:bCs/>
          <w:sz w:val="24"/>
          <w:szCs w:val="24"/>
        </w:rPr>
        <w:t xml:space="preserve">, the </w:t>
      </w:r>
      <w:r>
        <w:rPr>
          <w:rFonts w:ascii="Times New Roman" w:hAnsi="Times New Roman"/>
          <w:bCs/>
          <w:sz w:val="24"/>
          <w:szCs w:val="24"/>
        </w:rPr>
        <w:t>superannuation</w:t>
      </w:r>
      <w:r w:rsidR="00E916FE">
        <w:rPr>
          <w:rFonts w:ascii="Times New Roman" w:hAnsi="Times New Roman"/>
          <w:bCs/>
          <w:sz w:val="24"/>
          <w:szCs w:val="24"/>
        </w:rPr>
        <w:t xml:space="preserve"> prudential</w:t>
      </w:r>
      <w:r>
        <w:rPr>
          <w:rFonts w:ascii="Times New Roman" w:hAnsi="Times New Roman"/>
          <w:bCs/>
          <w:sz w:val="24"/>
          <w:szCs w:val="24"/>
        </w:rPr>
        <w:t xml:space="preserve"> </w:t>
      </w:r>
      <w:r w:rsidRPr="000D2E99">
        <w:rPr>
          <w:rFonts w:ascii="Times New Roman" w:hAnsi="Times New Roman"/>
          <w:bCs/>
          <w:sz w:val="24"/>
          <w:szCs w:val="24"/>
        </w:rPr>
        <w:t>standard</w:t>
      </w:r>
      <w:r w:rsidR="0049096E">
        <w:rPr>
          <w:rFonts w:ascii="Times New Roman" w:hAnsi="Times New Roman"/>
          <w:bCs/>
          <w:sz w:val="24"/>
          <w:szCs w:val="24"/>
        </w:rPr>
        <w:t xml:space="preserve"> or reporting standard</w:t>
      </w:r>
      <w:r w:rsidRPr="000D2E99">
        <w:rPr>
          <w:rFonts w:ascii="Times New Roman" w:hAnsi="Times New Roman"/>
          <w:bCs/>
          <w:sz w:val="24"/>
          <w:szCs w:val="24"/>
        </w:rPr>
        <w:t xml:space="preserve"> </w:t>
      </w:r>
      <w:r w:rsidRPr="000D2E99">
        <w:rPr>
          <w:rFonts w:ascii="Times New Roman" w:hAnsi="Times New Roman"/>
          <w:sz w:val="24"/>
          <w:szCs w:val="24"/>
          <w:lang w:eastAsia="en-US"/>
        </w:rPr>
        <w:t>referred to is the version that exists</w:t>
      </w:r>
      <w:r w:rsidRPr="000D2E99">
        <w:rPr>
          <w:rFonts w:ascii="Arial" w:hAnsi="Arial" w:cs="Arial"/>
          <w:lang w:eastAsia="en-US"/>
        </w:rPr>
        <w:t xml:space="preserve"> </w:t>
      </w:r>
      <w:r w:rsidRPr="000D2E99">
        <w:rPr>
          <w:rFonts w:ascii="Times New Roman" w:hAnsi="Times New Roman"/>
          <w:i/>
          <w:sz w:val="24"/>
          <w:szCs w:val="24"/>
          <w:lang w:eastAsia="en-US"/>
        </w:rPr>
        <w:t>at the time</w:t>
      </w:r>
      <w:r w:rsidRPr="000D2E99">
        <w:rPr>
          <w:rFonts w:ascii="Times New Roman" w:hAnsi="Times New Roman"/>
          <w:sz w:val="24"/>
          <w:szCs w:val="24"/>
          <w:lang w:eastAsia="en-US"/>
        </w:rPr>
        <w:t xml:space="preserve"> </w:t>
      </w:r>
      <w:r>
        <w:rPr>
          <w:rFonts w:ascii="Times New Roman" w:hAnsi="Times New Roman"/>
          <w:sz w:val="24"/>
          <w:szCs w:val="24"/>
          <w:lang w:eastAsia="en-US"/>
        </w:rPr>
        <w:t xml:space="preserve">the Instrument was determined, also </w:t>
      </w:r>
      <w:r w:rsidRPr="000D2E99">
        <w:rPr>
          <w:rFonts w:ascii="Times New Roman" w:hAnsi="Times New Roman"/>
          <w:bCs/>
          <w:sz w:val="24"/>
          <w:szCs w:val="24"/>
        </w:rPr>
        <w:t>available on the Federal Register of Legislation</w:t>
      </w:r>
      <w:r>
        <w:rPr>
          <w:rFonts w:ascii="Times New Roman" w:hAnsi="Times New Roman"/>
          <w:bCs/>
          <w:sz w:val="24"/>
          <w:szCs w:val="24"/>
        </w:rPr>
        <w:t xml:space="preserve"> website.</w:t>
      </w:r>
      <w:r w:rsidR="00D547C8">
        <w:rPr>
          <w:rFonts w:ascii="Times New Roman" w:hAnsi="Times New Roman"/>
          <w:bCs/>
          <w:sz w:val="24"/>
          <w:szCs w:val="24"/>
        </w:rPr>
        <w:t xml:space="preserve"> </w:t>
      </w:r>
      <w:bookmarkStart w:id="4" w:name="bkoperation"/>
      <w:bookmarkStart w:id="5" w:name="bkConsultationNo"/>
      <w:bookmarkEnd w:id="4"/>
      <w:bookmarkEnd w:id="5"/>
      <w:r w:rsidR="00113281" w:rsidRPr="00DF3FD2">
        <w:rPr>
          <w:rFonts w:ascii="Times New Roman" w:hAnsi="Times New Roman"/>
          <w:bCs/>
          <w:sz w:val="24"/>
          <w:szCs w:val="24"/>
        </w:rPr>
        <w:t xml:space="preserve">Where </w:t>
      </w:r>
      <w:r w:rsidR="00113281">
        <w:rPr>
          <w:rFonts w:ascii="Times New Roman" w:hAnsi="Times New Roman"/>
          <w:bCs/>
          <w:sz w:val="24"/>
          <w:szCs w:val="24"/>
        </w:rPr>
        <w:t>S</w:t>
      </w:r>
      <w:r w:rsidR="00113281" w:rsidRPr="00DF3FD2">
        <w:rPr>
          <w:rFonts w:ascii="Times New Roman" w:hAnsi="Times New Roman"/>
          <w:bCs/>
          <w:sz w:val="24"/>
          <w:szCs w:val="24"/>
        </w:rPr>
        <w:t xml:space="preserve">PS </w:t>
      </w:r>
      <w:r w:rsidR="00113281">
        <w:rPr>
          <w:rFonts w:ascii="Times New Roman" w:hAnsi="Times New Roman"/>
          <w:bCs/>
          <w:sz w:val="24"/>
          <w:szCs w:val="24"/>
        </w:rPr>
        <w:t>3</w:t>
      </w:r>
      <w:r w:rsidR="00113281" w:rsidRPr="00DF3FD2">
        <w:rPr>
          <w:rFonts w:ascii="Times New Roman" w:hAnsi="Times New Roman"/>
          <w:bCs/>
          <w:sz w:val="24"/>
          <w:szCs w:val="24"/>
        </w:rPr>
        <w:t xml:space="preserve">10 refers to </w:t>
      </w:r>
      <w:r w:rsidR="00113281" w:rsidRPr="00020E2B">
        <w:rPr>
          <w:rFonts w:ascii="Times New Roman" w:hAnsi="Times New Roman"/>
          <w:bCs/>
          <w:sz w:val="24"/>
          <w:szCs w:val="24"/>
        </w:rPr>
        <w:t xml:space="preserve">standards </w:t>
      </w:r>
      <w:r w:rsidR="002434C1">
        <w:rPr>
          <w:rFonts w:ascii="Times New Roman" w:hAnsi="Times New Roman"/>
          <w:bCs/>
          <w:sz w:val="24"/>
          <w:szCs w:val="24"/>
        </w:rPr>
        <w:t xml:space="preserve">or </w:t>
      </w:r>
      <w:r w:rsidR="00113281" w:rsidRPr="00020E2B">
        <w:rPr>
          <w:rFonts w:ascii="Times New Roman" w:hAnsi="Times New Roman"/>
          <w:bCs/>
          <w:sz w:val="24"/>
          <w:szCs w:val="24"/>
        </w:rPr>
        <w:t>statements issued by the Auditing and Assurance Standards</w:t>
      </w:r>
      <w:r w:rsidR="00113281">
        <w:rPr>
          <w:rFonts w:ascii="Times New Roman" w:hAnsi="Times New Roman"/>
          <w:bCs/>
          <w:sz w:val="24"/>
          <w:szCs w:val="24"/>
        </w:rPr>
        <w:t xml:space="preserve"> or </w:t>
      </w:r>
      <w:r w:rsidR="00113281" w:rsidRPr="00020E2B">
        <w:rPr>
          <w:rFonts w:ascii="Times New Roman" w:hAnsi="Times New Roman"/>
          <w:bCs/>
          <w:sz w:val="24"/>
          <w:szCs w:val="24"/>
        </w:rPr>
        <w:t>Australian Accounting Standards issued by the Australian Accounting Standards Board</w:t>
      </w:r>
      <w:r w:rsidR="00113281" w:rsidRPr="00DF3FD2">
        <w:rPr>
          <w:rFonts w:ascii="Times New Roman" w:hAnsi="Times New Roman"/>
          <w:bCs/>
          <w:sz w:val="24"/>
          <w:szCs w:val="24"/>
        </w:rPr>
        <w:t>, it is a reference to th</w:t>
      </w:r>
      <w:r w:rsidR="00113281">
        <w:rPr>
          <w:rFonts w:ascii="Times New Roman" w:hAnsi="Times New Roman"/>
          <w:bCs/>
          <w:sz w:val="24"/>
          <w:szCs w:val="24"/>
        </w:rPr>
        <w:t>e</w:t>
      </w:r>
      <w:r w:rsidR="00113281" w:rsidRPr="00DF3FD2">
        <w:rPr>
          <w:rFonts w:ascii="Times New Roman" w:hAnsi="Times New Roman"/>
          <w:bCs/>
          <w:sz w:val="24"/>
          <w:szCs w:val="24"/>
        </w:rPr>
        <w:t xml:space="preserve"> </w:t>
      </w:r>
      <w:r w:rsidR="00113281">
        <w:rPr>
          <w:rFonts w:ascii="Times New Roman" w:hAnsi="Times New Roman"/>
          <w:bCs/>
          <w:sz w:val="24"/>
          <w:szCs w:val="24"/>
        </w:rPr>
        <w:t>standards</w:t>
      </w:r>
      <w:r w:rsidR="00113281" w:rsidRPr="00DF3FD2">
        <w:rPr>
          <w:rFonts w:ascii="Times New Roman" w:hAnsi="Times New Roman"/>
          <w:bCs/>
          <w:sz w:val="24"/>
          <w:szCs w:val="24"/>
        </w:rPr>
        <w:t xml:space="preserve"> </w:t>
      </w:r>
      <w:r w:rsidR="002434C1">
        <w:rPr>
          <w:rFonts w:ascii="Times New Roman" w:hAnsi="Times New Roman"/>
          <w:bCs/>
          <w:sz w:val="24"/>
          <w:szCs w:val="24"/>
        </w:rPr>
        <w:t xml:space="preserve">or statements </w:t>
      </w:r>
      <w:r w:rsidR="00113281">
        <w:rPr>
          <w:rFonts w:ascii="Times New Roman" w:hAnsi="Times New Roman"/>
          <w:bCs/>
          <w:sz w:val="24"/>
          <w:szCs w:val="24"/>
        </w:rPr>
        <w:t xml:space="preserve">that </w:t>
      </w:r>
      <w:r w:rsidR="00113281" w:rsidRPr="00DF3FD2">
        <w:rPr>
          <w:rFonts w:ascii="Times New Roman" w:hAnsi="Times New Roman"/>
          <w:bCs/>
          <w:sz w:val="24"/>
          <w:szCs w:val="24"/>
        </w:rPr>
        <w:t>exist</w:t>
      </w:r>
      <w:r w:rsidR="00113281">
        <w:rPr>
          <w:rFonts w:ascii="Times New Roman" w:hAnsi="Times New Roman"/>
          <w:bCs/>
          <w:sz w:val="24"/>
          <w:szCs w:val="24"/>
        </w:rPr>
        <w:t xml:space="preserve">ed </w:t>
      </w:r>
      <w:r w:rsidR="00113281" w:rsidRPr="002434C1">
        <w:rPr>
          <w:rFonts w:ascii="Times New Roman" w:hAnsi="Times New Roman"/>
          <w:bCs/>
          <w:i/>
          <w:sz w:val="24"/>
          <w:szCs w:val="24"/>
        </w:rPr>
        <w:t>at the time</w:t>
      </w:r>
      <w:r w:rsidR="00113281">
        <w:rPr>
          <w:rFonts w:ascii="Times New Roman" w:hAnsi="Times New Roman"/>
          <w:bCs/>
          <w:sz w:val="24"/>
          <w:szCs w:val="24"/>
        </w:rPr>
        <w:t xml:space="preserve"> this instrument was determined. </w:t>
      </w:r>
    </w:p>
    <w:p w14:paraId="03BE545C" w14:textId="740FD1C1" w:rsidR="002436BD" w:rsidRPr="00B772C2" w:rsidRDefault="002436BD" w:rsidP="00DF7DA0">
      <w:pPr>
        <w:pStyle w:val="Heading"/>
        <w:numPr>
          <w:ilvl w:val="0"/>
          <w:numId w:val="2"/>
        </w:numPr>
        <w:spacing w:after="240"/>
        <w:rPr>
          <w:rFonts w:ascii="Times New Roman" w:hAnsi="Times New Roman"/>
          <w:sz w:val="24"/>
          <w:szCs w:val="24"/>
        </w:rPr>
      </w:pPr>
      <w:r w:rsidRPr="00B772C2">
        <w:rPr>
          <w:rFonts w:ascii="Times New Roman" w:hAnsi="Times New Roman"/>
          <w:sz w:val="24"/>
          <w:szCs w:val="24"/>
        </w:rPr>
        <w:t>Consultation</w:t>
      </w:r>
    </w:p>
    <w:p w14:paraId="24B867D1" w14:textId="77777777" w:rsidR="008620B8" w:rsidRPr="00F56DE5" w:rsidRDefault="008620B8" w:rsidP="008620B8">
      <w:pPr>
        <w:pStyle w:val="Heading"/>
        <w:tabs>
          <w:tab w:val="left" w:pos="360"/>
        </w:tabs>
        <w:spacing w:after="240"/>
        <w:rPr>
          <w:rFonts w:ascii="Times New Roman" w:hAnsi="Times New Roman"/>
          <w:b w:val="0"/>
          <w:sz w:val="24"/>
          <w:szCs w:val="24"/>
        </w:rPr>
      </w:pPr>
      <w:r w:rsidRPr="00F56DE5">
        <w:rPr>
          <w:rFonts w:ascii="Times New Roman" w:hAnsi="Times New Roman"/>
          <w:b w:val="0"/>
          <w:sz w:val="24"/>
          <w:szCs w:val="24"/>
        </w:rPr>
        <w:t>The consultation on SPS 310 consisted of the following releases:</w:t>
      </w:r>
    </w:p>
    <w:p w14:paraId="5C0E360C" w14:textId="28639143" w:rsidR="008620B8" w:rsidRDefault="00D76F5D" w:rsidP="008620B8">
      <w:pPr>
        <w:pStyle w:val="Heading"/>
        <w:numPr>
          <w:ilvl w:val="0"/>
          <w:numId w:val="17"/>
        </w:numPr>
        <w:tabs>
          <w:tab w:val="left" w:pos="360"/>
        </w:tabs>
        <w:spacing w:after="240"/>
        <w:rPr>
          <w:rFonts w:ascii="Times New Roman" w:hAnsi="Times New Roman"/>
          <w:b w:val="0"/>
          <w:sz w:val="24"/>
          <w:szCs w:val="24"/>
        </w:rPr>
      </w:pPr>
      <w:r>
        <w:rPr>
          <w:rFonts w:ascii="Times New Roman" w:hAnsi="Times New Roman"/>
          <w:b w:val="0"/>
          <w:sz w:val="24"/>
          <w:szCs w:val="24"/>
        </w:rPr>
        <w:t xml:space="preserve">On </w:t>
      </w:r>
      <w:r w:rsidR="008620B8">
        <w:rPr>
          <w:rFonts w:ascii="Times New Roman" w:hAnsi="Times New Roman"/>
          <w:b w:val="0"/>
          <w:sz w:val="24"/>
          <w:szCs w:val="24"/>
        </w:rPr>
        <w:t>10 December</w:t>
      </w:r>
      <w:r w:rsidR="008620B8" w:rsidRPr="00F56DE5">
        <w:rPr>
          <w:rFonts w:ascii="Times New Roman" w:hAnsi="Times New Roman"/>
          <w:b w:val="0"/>
          <w:sz w:val="24"/>
          <w:szCs w:val="24"/>
        </w:rPr>
        <w:t xml:space="preserve"> 2021</w:t>
      </w:r>
      <w:r w:rsidR="001E5699">
        <w:rPr>
          <w:rFonts w:ascii="Times New Roman" w:hAnsi="Times New Roman"/>
          <w:b w:val="0"/>
          <w:sz w:val="24"/>
          <w:szCs w:val="24"/>
        </w:rPr>
        <w:t>:</w:t>
      </w:r>
      <w:r w:rsidR="008620B8">
        <w:rPr>
          <w:rFonts w:ascii="Times New Roman" w:hAnsi="Times New Roman"/>
          <w:b w:val="0"/>
          <w:sz w:val="24"/>
          <w:szCs w:val="24"/>
        </w:rPr>
        <w:t xml:space="preserve"> APRA released </w:t>
      </w:r>
      <w:r w:rsidR="001E5699" w:rsidRPr="00152D94">
        <w:rPr>
          <w:rFonts w:ascii="Times New Roman" w:hAnsi="Times New Roman"/>
          <w:b w:val="0"/>
          <w:i/>
          <w:sz w:val="24"/>
          <w:szCs w:val="24"/>
        </w:rPr>
        <w:t>P</w:t>
      </w:r>
      <w:r w:rsidR="008620B8" w:rsidRPr="00152D94">
        <w:rPr>
          <w:rFonts w:ascii="Times New Roman" w:hAnsi="Times New Roman"/>
          <w:b w:val="0"/>
          <w:i/>
          <w:sz w:val="24"/>
          <w:szCs w:val="24"/>
        </w:rPr>
        <w:t xml:space="preserve">roposed revisions to </w:t>
      </w:r>
      <w:r w:rsidR="008620B8" w:rsidRPr="001E5699">
        <w:rPr>
          <w:rFonts w:ascii="Times New Roman" w:hAnsi="Times New Roman"/>
          <w:b w:val="0"/>
          <w:i/>
          <w:sz w:val="24"/>
          <w:szCs w:val="24"/>
        </w:rPr>
        <w:t>Prudential Standard SPS 310 Audit and Related Matters</w:t>
      </w:r>
      <w:r w:rsidR="008620B8" w:rsidRPr="00152D94">
        <w:rPr>
          <w:rFonts w:ascii="Times New Roman" w:hAnsi="Times New Roman"/>
          <w:b w:val="0"/>
          <w:i/>
          <w:sz w:val="24"/>
          <w:szCs w:val="24"/>
        </w:rPr>
        <w:t>: letter</w:t>
      </w:r>
      <w:r w:rsidR="008620B8" w:rsidRPr="00F56DE5">
        <w:rPr>
          <w:rFonts w:ascii="Times New Roman" w:hAnsi="Times New Roman"/>
          <w:b w:val="0"/>
          <w:sz w:val="24"/>
          <w:szCs w:val="24"/>
        </w:rPr>
        <w:t xml:space="preserve"> and proposed revisions to draft Attachment A of SPS </w:t>
      </w:r>
      <w:proofErr w:type="gramStart"/>
      <w:r w:rsidR="008620B8" w:rsidRPr="00F56DE5">
        <w:rPr>
          <w:rFonts w:ascii="Times New Roman" w:hAnsi="Times New Roman"/>
          <w:b w:val="0"/>
          <w:sz w:val="24"/>
          <w:szCs w:val="24"/>
        </w:rPr>
        <w:t>310;</w:t>
      </w:r>
      <w:proofErr w:type="gramEnd"/>
      <w:r w:rsidR="008620B8" w:rsidRPr="00F56DE5">
        <w:rPr>
          <w:rFonts w:ascii="Times New Roman" w:hAnsi="Times New Roman"/>
          <w:b w:val="0"/>
          <w:sz w:val="24"/>
          <w:szCs w:val="24"/>
        </w:rPr>
        <w:t xml:space="preserve"> </w:t>
      </w:r>
    </w:p>
    <w:p w14:paraId="51739258" w14:textId="6EC9F107" w:rsidR="008620B8" w:rsidRPr="00F56DE5" w:rsidRDefault="008620B8" w:rsidP="008620B8">
      <w:pPr>
        <w:pStyle w:val="Heading"/>
        <w:numPr>
          <w:ilvl w:val="0"/>
          <w:numId w:val="17"/>
        </w:numPr>
        <w:tabs>
          <w:tab w:val="left" w:pos="360"/>
        </w:tabs>
        <w:spacing w:after="240"/>
        <w:rPr>
          <w:rFonts w:ascii="Times New Roman" w:hAnsi="Times New Roman"/>
          <w:b w:val="0"/>
          <w:sz w:val="24"/>
          <w:szCs w:val="24"/>
        </w:rPr>
      </w:pPr>
      <w:r w:rsidRPr="008620B8">
        <w:rPr>
          <w:rFonts w:ascii="Times New Roman" w:hAnsi="Times New Roman"/>
          <w:b w:val="0"/>
          <w:sz w:val="24"/>
          <w:szCs w:val="24"/>
        </w:rPr>
        <w:t>On 9 June 2021</w:t>
      </w:r>
      <w:r w:rsidR="001E5699">
        <w:rPr>
          <w:rFonts w:ascii="Times New Roman" w:hAnsi="Times New Roman"/>
          <w:b w:val="0"/>
          <w:sz w:val="24"/>
          <w:szCs w:val="24"/>
        </w:rPr>
        <w:t>:</w:t>
      </w:r>
      <w:r w:rsidRPr="008620B8">
        <w:rPr>
          <w:rFonts w:ascii="Times New Roman" w:hAnsi="Times New Roman"/>
          <w:b w:val="0"/>
          <w:sz w:val="24"/>
          <w:szCs w:val="24"/>
        </w:rPr>
        <w:t xml:space="preserve"> APRA released </w:t>
      </w:r>
      <w:r w:rsidR="001E64AB" w:rsidRPr="001E64AB">
        <w:rPr>
          <w:rFonts w:ascii="Times New Roman" w:hAnsi="Times New Roman"/>
          <w:b w:val="0"/>
          <w:i/>
          <w:sz w:val="24"/>
          <w:szCs w:val="24"/>
        </w:rPr>
        <w:t>Response to submissions - Minor amendments to Prudential Standard SPS 310 Audit and Related matters</w:t>
      </w:r>
      <w:r w:rsidR="001E64AB">
        <w:rPr>
          <w:rFonts w:ascii="Times New Roman" w:hAnsi="Times New Roman"/>
          <w:b w:val="0"/>
          <w:i/>
          <w:sz w:val="24"/>
          <w:szCs w:val="24"/>
        </w:rPr>
        <w:t>: letter</w:t>
      </w:r>
      <w:r>
        <w:rPr>
          <w:rFonts w:ascii="Times New Roman" w:hAnsi="Times New Roman"/>
          <w:b w:val="0"/>
          <w:sz w:val="24"/>
          <w:szCs w:val="24"/>
        </w:rPr>
        <w:t>; and</w:t>
      </w:r>
    </w:p>
    <w:p w14:paraId="252B6BF7" w14:textId="63863012" w:rsidR="008620B8" w:rsidRDefault="00D76F5D" w:rsidP="008620B8">
      <w:pPr>
        <w:pStyle w:val="Heading"/>
        <w:numPr>
          <w:ilvl w:val="0"/>
          <w:numId w:val="17"/>
        </w:numPr>
        <w:tabs>
          <w:tab w:val="left" w:pos="360"/>
        </w:tabs>
        <w:spacing w:after="240"/>
        <w:rPr>
          <w:rFonts w:ascii="Times New Roman" w:hAnsi="Times New Roman"/>
          <w:b w:val="0"/>
          <w:sz w:val="24"/>
          <w:szCs w:val="24"/>
        </w:rPr>
      </w:pPr>
      <w:r>
        <w:rPr>
          <w:rFonts w:ascii="Times New Roman" w:hAnsi="Times New Roman"/>
          <w:b w:val="0"/>
          <w:sz w:val="24"/>
          <w:szCs w:val="24"/>
        </w:rPr>
        <w:t xml:space="preserve">On </w:t>
      </w:r>
      <w:r w:rsidR="00947FDA">
        <w:rPr>
          <w:rFonts w:ascii="Times New Roman" w:hAnsi="Times New Roman"/>
          <w:b w:val="0"/>
          <w:sz w:val="24"/>
          <w:szCs w:val="24"/>
        </w:rPr>
        <w:t>7</w:t>
      </w:r>
      <w:r>
        <w:rPr>
          <w:rFonts w:ascii="Times New Roman" w:hAnsi="Times New Roman"/>
          <w:b w:val="0"/>
          <w:sz w:val="24"/>
          <w:szCs w:val="24"/>
        </w:rPr>
        <w:t xml:space="preserve"> </w:t>
      </w:r>
      <w:r w:rsidR="008620B8" w:rsidRPr="00F56DE5">
        <w:rPr>
          <w:rFonts w:ascii="Times New Roman" w:hAnsi="Times New Roman"/>
          <w:b w:val="0"/>
          <w:sz w:val="24"/>
          <w:szCs w:val="24"/>
        </w:rPr>
        <w:t xml:space="preserve">December 2022: </w:t>
      </w:r>
      <w:r w:rsidR="008620B8" w:rsidRPr="00152D94">
        <w:rPr>
          <w:rFonts w:ascii="Times New Roman" w:hAnsi="Times New Roman"/>
          <w:b w:val="0"/>
          <w:i/>
          <w:sz w:val="24"/>
          <w:szCs w:val="24"/>
        </w:rPr>
        <w:t>Final revisions to SPS 310: letter</w:t>
      </w:r>
      <w:r w:rsidR="008620B8" w:rsidRPr="00F56DE5">
        <w:rPr>
          <w:rFonts w:ascii="Times New Roman" w:hAnsi="Times New Roman"/>
          <w:b w:val="0"/>
          <w:sz w:val="24"/>
          <w:szCs w:val="24"/>
        </w:rPr>
        <w:t xml:space="preserve"> and final SPS 3</w:t>
      </w:r>
      <w:r w:rsidR="004500A1">
        <w:rPr>
          <w:rFonts w:ascii="Times New Roman" w:hAnsi="Times New Roman"/>
          <w:b w:val="0"/>
          <w:sz w:val="24"/>
          <w:szCs w:val="24"/>
        </w:rPr>
        <w:t>1</w:t>
      </w:r>
      <w:r w:rsidR="008620B8" w:rsidRPr="00F56DE5">
        <w:rPr>
          <w:rFonts w:ascii="Times New Roman" w:hAnsi="Times New Roman"/>
          <w:b w:val="0"/>
          <w:sz w:val="24"/>
          <w:szCs w:val="24"/>
        </w:rPr>
        <w:t>0</w:t>
      </w:r>
      <w:r w:rsidR="008620B8">
        <w:rPr>
          <w:rFonts w:ascii="Times New Roman" w:hAnsi="Times New Roman"/>
          <w:b w:val="0"/>
          <w:sz w:val="24"/>
          <w:szCs w:val="24"/>
        </w:rPr>
        <w:t>.</w:t>
      </w:r>
    </w:p>
    <w:p w14:paraId="3BE99259" w14:textId="6CEE4417" w:rsidR="00987A56" w:rsidRDefault="00FC2F1B" w:rsidP="00DF7DA0">
      <w:pPr>
        <w:pStyle w:val="Heading"/>
        <w:tabs>
          <w:tab w:val="left" w:pos="360"/>
        </w:tabs>
        <w:spacing w:after="240"/>
        <w:rPr>
          <w:rFonts w:ascii="Times New Roman" w:hAnsi="Times New Roman"/>
          <w:b w:val="0"/>
          <w:sz w:val="24"/>
          <w:szCs w:val="24"/>
        </w:rPr>
      </w:pPr>
      <w:r w:rsidRPr="00E760EF">
        <w:rPr>
          <w:rFonts w:ascii="Times New Roman" w:hAnsi="Times New Roman"/>
          <w:b w:val="0"/>
          <w:sz w:val="24"/>
          <w:szCs w:val="24"/>
        </w:rPr>
        <w:t>APRA</w:t>
      </w:r>
      <w:r w:rsidRPr="008620B8">
        <w:rPr>
          <w:rFonts w:ascii="Times New Roman" w:hAnsi="Times New Roman"/>
          <w:b w:val="0"/>
          <w:sz w:val="24"/>
          <w:szCs w:val="24"/>
        </w:rPr>
        <w:t xml:space="preserve"> </w:t>
      </w:r>
      <w:r w:rsidR="002436BD" w:rsidRPr="00E760EF">
        <w:rPr>
          <w:rFonts w:ascii="Times New Roman" w:hAnsi="Times New Roman"/>
          <w:b w:val="0"/>
          <w:sz w:val="24"/>
          <w:szCs w:val="24"/>
        </w:rPr>
        <w:t>undertook</w:t>
      </w:r>
      <w:r w:rsidR="00E760EF" w:rsidRPr="00E760EF">
        <w:rPr>
          <w:rFonts w:ascii="Times New Roman" w:hAnsi="Times New Roman"/>
          <w:b w:val="0"/>
          <w:sz w:val="24"/>
          <w:szCs w:val="24"/>
        </w:rPr>
        <w:t xml:space="preserve"> three</w:t>
      </w:r>
      <w:r w:rsidR="00D57303" w:rsidRPr="00E760EF">
        <w:rPr>
          <w:rFonts w:ascii="Times New Roman" w:hAnsi="Times New Roman"/>
          <w:b w:val="0"/>
          <w:sz w:val="24"/>
          <w:szCs w:val="24"/>
        </w:rPr>
        <w:t xml:space="preserve"> months of </w:t>
      </w:r>
      <w:r w:rsidR="001D1759" w:rsidRPr="00E760EF">
        <w:rPr>
          <w:rFonts w:ascii="Times New Roman" w:hAnsi="Times New Roman"/>
          <w:b w:val="0"/>
          <w:sz w:val="24"/>
          <w:szCs w:val="24"/>
        </w:rPr>
        <w:t xml:space="preserve">public </w:t>
      </w:r>
      <w:r w:rsidR="002436BD" w:rsidRPr="00E760EF">
        <w:rPr>
          <w:rFonts w:ascii="Times New Roman" w:hAnsi="Times New Roman"/>
          <w:b w:val="0"/>
          <w:sz w:val="24"/>
          <w:szCs w:val="24"/>
        </w:rPr>
        <w:t>consultation</w:t>
      </w:r>
      <w:r w:rsidR="00D57303" w:rsidRPr="00E760EF">
        <w:rPr>
          <w:rFonts w:ascii="Times New Roman" w:hAnsi="Times New Roman"/>
          <w:b w:val="0"/>
          <w:sz w:val="24"/>
          <w:szCs w:val="24"/>
        </w:rPr>
        <w:t xml:space="preserve"> between </w:t>
      </w:r>
      <w:r w:rsidR="00E760EF" w:rsidRPr="00E760EF">
        <w:rPr>
          <w:rFonts w:ascii="Times New Roman" w:hAnsi="Times New Roman"/>
          <w:b w:val="0"/>
          <w:sz w:val="24"/>
          <w:szCs w:val="24"/>
        </w:rPr>
        <w:t>December</w:t>
      </w:r>
      <w:r w:rsidR="0027160A" w:rsidRPr="00E760EF">
        <w:rPr>
          <w:rFonts w:ascii="Times New Roman" w:hAnsi="Times New Roman"/>
          <w:b w:val="0"/>
          <w:sz w:val="24"/>
          <w:szCs w:val="24"/>
        </w:rPr>
        <w:t xml:space="preserve"> 2021</w:t>
      </w:r>
      <w:r w:rsidR="002436BD" w:rsidRPr="00E760EF">
        <w:rPr>
          <w:rFonts w:ascii="Times New Roman" w:hAnsi="Times New Roman"/>
          <w:b w:val="0"/>
          <w:sz w:val="24"/>
          <w:szCs w:val="24"/>
        </w:rPr>
        <w:t xml:space="preserve"> </w:t>
      </w:r>
      <w:r w:rsidR="00D57303" w:rsidRPr="00E760EF">
        <w:rPr>
          <w:rFonts w:ascii="Times New Roman" w:hAnsi="Times New Roman"/>
          <w:b w:val="0"/>
          <w:sz w:val="24"/>
          <w:szCs w:val="24"/>
        </w:rPr>
        <w:t xml:space="preserve">and </w:t>
      </w:r>
      <w:r w:rsidR="00E760EF" w:rsidRPr="00E760EF">
        <w:rPr>
          <w:rFonts w:ascii="Times New Roman" w:hAnsi="Times New Roman"/>
          <w:b w:val="0"/>
          <w:sz w:val="24"/>
          <w:szCs w:val="24"/>
        </w:rPr>
        <w:t>March</w:t>
      </w:r>
      <w:r w:rsidR="00D57303" w:rsidRPr="00E760EF">
        <w:rPr>
          <w:rFonts w:ascii="Times New Roman" w:hAnsi="Times New Roman"/>
          <w:b w:val="0"/>
          <w:sz w:val="24"/>
          <w:szCs w:val="24"/>
        </w:rPr>
        <w:t xml:space="preserve"> 2022 </w:t>
      </w:r>
      <w:r w:rsidR="002436BD" w:rsidRPr="00E760EF">
        <w:rPr>
          <w:rFonts w:ascii="Times New Roman" w:hAnsi="Times New Roman"/>
          <w:b w:val="0"/>
          <w:sz w:val="24"/>
          <w:szCs w:val="24"/>
        </w:rPr>
        <w:t xml:space="preserve">on </w:t>
      </w:r>
      <w:r w:rsidR="00D57303" w:rsidRPr="00E760EF">
        <w:rPr>
          <w:rFonts w:ascii="Times New Roman" w:hAnsi="Times New Roman"/>
          <w:b w:val="0"/>
          <w:sz w:val="24"/>
          <w:szCs w:val="24"/>
        </w:rPr>
        <w:t xml:space="preserve">the </w:t>
      </w:r>
      <w:r w:rsidR="002436BD" w:rsidRPr="00E760EF">
        <w:rPr>
          <w:rFonts w:ascii="Times New Roman" w:hAnsi="Times New Roman"/>
          <w:b w:val="0"/>
          <w:sz w:val="24"/>
          <w:szCs w:val="24"/>
        </w:rPr>
        <w:t xml:space="preserve">proposed </w:t>
      </w:r>
      <w:r w:rsidRPr="00E760EF">
        <w:rPr>
          <w:rFonts w:ascii="Times New Roman" w:hAnsi="Times New Roman"/>
          <w:b w:val="0"/>
          <w:sz w:val="24"/>
          <w:szCs w:val="24"/>
        </w:rPr>
        <w:t xml:space="preserve">revisions to </w:t>
      </w:r>
      <w:r w:rsidR="007069EA" w:rsidRPr="00E760EF">
        <w:rPr>
          <w:rFonts w:ascii="Times New Roman" w:hAnsi="Times New Roman"/>
          <w:b w:val="0"/>
          <w:sz w:val="24"/>
          <w:szCs w:val="24"/>
        </w:rPr>
        <w:t xml:space="preserve">existing </w:t>
      </w:r>
      <w:r w:rsidRPr="00E760EF">
        <w:rPr>
          <w:rFonts w:ascii="Times New Roman" w:hAnsi="Times New Roman"/>
          <w:b w:val="0"/>
          <w:sz w:val="24"/>
          <w:szCs w:val="24"/>
        </w:rPr>
        <w:t xml:space="preserve">SPS </w:t>
      </w:r>
      <w:r w:rsidR="004137FF" w:rsidRPr="00E760EF">
        <w:rPr>
          <w:rFonts w:ascii="Times New Roman" w:hAnsi="Times New Roman"/>
          <w:b w:val="0"/>
          <w:sz w:val="24"/>
          <w:szCs w:val="24"/>
        </w:rPr>
        <w:t>310</w:t>
      </w:r>
      <w:r w:rsidR="009833A8" w:rsidRPr="00F56DE5">
        <w:rPr>
          <w:rFonts w:ascii="Times New Roman" w:hAnsi="Times New Roman"/>
          <w:b w:val="0"/>
          <w:sz w:val="24"/>
          <w:szCs w:val="24"/>
        </w:rPr>
        <w:t xml:space="preserve">. </w:t>
      </w:r>
      <w:r w:rsidR="00B772C2" w:rsidRPr="00535EF1">
        <w:rPr>
          <w:rFonts w:ascii="Times New Roman" w:hAnsi="Times New Roman"/>
          <w:b w:val="0"/>
          <w:sz w:val="24"/>
          <w:szCs w:val="24"/>
        </w:rPr>
        <w:t>Four</w:t>
      </w:r>
      <w:r w:rsidR="0084478C" w:rsidRPr="00535EF1">
        <w:rPr>
          <w:rFonts w:ascii="Times New Roman" w:hAnsi="Times New Roman"/>
          <w:b w:val="0"/>
          <w:sz w:val="24"/>
          <w:szCs w:val="24"/>
        </w:rPr>
        <w:t xml:space="preserve"> submissions </w:t>
      </w:r>
      <w:r w:rsidR="00E72EBA" w:rsidRPr="00535EF1">
        <w:rPr>
          <w:rFonts w:ascii="Times New Roman" w:hAnsi="Times New Roman"/>
          <w:b w:val="0"/>
          <w:sz w:val="24"/>
          <w:szCs w:val="24"/>
        </w:rPr>
        <w:t xml:space="preserve">were </w:t>
      </w:r>
      <w:proofErr w:type="gramStart"/>
      <w:r w:rsidR="00E72EBA" w:rsidRPr="00535EF1">
        <w:rPr>
          <w:rFonts w:ascii="Times New Roman" w:hAnsi="Times New Roman"/>
          <w:b w:val="0"/>
          <w:sz w:val="24"/>
          <w:szCs w:val="24"/>
        </w:rPr>
        <w:t>received</w:t>
      </w:r>
      <w:proofErr w:type="gramEnd"/>
      <w:r w:rsidR="00535EF1">
        <w:rPr>
          <w:rFonts w:ascii="Times New Roman" w:hAnsi="Times New Roman"/>
          <w:b w:val="0"/>
          <w:sz w:val="24"/>
          <w:szCs w:val="24"/>
        </w:rPr>
        <w:t xml:space="preserve"> and a meeting of the </w:t>
      </w:r>
      <w:r w:rsidR="00535EF1" w:rsidRPr="00535EF1">
        <w:rPr>
          <w:rFonts w:ascii="Times New Roman" w:hAnsi="Times New Roman"/>
          <w:b w:val="0"/>
          <w:sz w:val="24"/>
          <w:szCs w:val="24"/>
        </w:rPr>
        <w:t>Superannuation National Audit Consultative Committee</w:t>
      </w:r>
      <w:r w:rsidR="00535EF1">
        <w:rPr>
          <w:rFonts w:ascii="Times New Roman" w:hAnsi="Times New Roman"/>
          <w:b w:val="0"/>
          <w:sz w:val="24"/>
          <w:szCs w:val="24"/>
        </w:rPr>
        <w:t xml:space="preserve"> (SNACC) was held </w:t>
      </w:r>
      <w:r w:rsidR="00CF264C">
        <w:rPr>
          <w:rFonts w:ascii="Times New Roman" w:hAnsi="Times New Roman"/>
          <w:b w:val="0"/>
          <w:sz w:val="24"/>
          <w:szCs w:val="24"/>
        </w:rPr>
        <w:t xml:space="preserve">to </w:t>
      </w:r>
      <w:r w:rsidR="00E72EBA" w:rsidRPr="00535EF1">
        <w:rPr>
          <w:rFonts w:ascii="Times New Roman" w:hAnsi="Times New Roman"/>
          <w:b w:val="0"/>
          <w:sz w:val="24"/>
          <w:szCs w:val="24"/>
        </w:rPr>
        <w:t>consult</w:t>
      </w:r>
      <w:r w:rsidR="008236F9" w:rsidRPr="00535EF1">
        <w:rPr>
          <w:rFonts w:ascii="Times New Roman" w:hAnsi="Times New Roman"/>
          <w:b w:val="0"/>
          <w:sz w:val="24"/>
          <w:szCs w:val="24"/>
        </w:rPr>
        <w:t xml:space="preserve"> on the initial draft of SPS 310</w:t>
      </w:r>
      <w:r w:rsidR="00535EF1">
        <w:rPr>
          <w:rFonts w:ascii="Times New Roman" w:hAnsi="Times New Roman"/>
          <w:b w:val="0"/>
          <w:sz w:val="24"/>
          <w:szCs w:val="24"/>
        </w:rPr>
        <w:t>.</w:t>
      </w:r>
      <w:r w:rsidR="00D57303" w:rsidRPr="00535EF1">
        <w:rPr>
          <w:rFonts w:ascii="Times New Roman" w:hAnsi="Times New Roman"/>
          <w:b w:val="0"/>
          <w:sz w:val="24"/>
          <w:szCs w:val="24"/>
        </w:rPr>
        <w:t xml:space="preserve"> </w:t>
      </w:r>
    </w:p>
    <w:p w14:paraId="78C17825" w14:textId="3332669A" w:rsidR="00987A56" w:rsidRDefault="00535EF1" w:rsidP="00DF7DA0">
      <w:pPr>
        <w:pStyle w:val="Heading"/>
        <w:tabs>
          <w:tab w:val="left" w:pos="360"/>
        </w:tabs>
        <w:spacing w:after="240"/>
        <w:rPr>
          <w:rFonts w:ascii="Times New Roman" w:hAnsi="Times New Roman"/>
          <w:b w:val="0"/>
          <w:sz w:val="24"/>
          <w:szCs w:val="24"/>
        </w:rPr>
      </w:pPr>
      <w:r>
        <w:rPr>
          <w:rFonts w:ascii="Times New Roman" w:hAnsi="Times New Roman"/>
          <w:b w:val="0"/>
          <w:sz w:val="24"/>
          <w:szCs w:val="24"/>
        </w:rPr>
        <w:t>The</w:t>
      </w:r>
      <w:r w:rsidR="00E72EBA" w:rsidRPr="00535EF1">
        <w:rPr>
          <w:rFonts w:ascii="Times New Roman" w:hAnsi="Times New Roman"/>
          <w:b w:val="0"/>
          <w:sz w:val="24"/>
          <w:szCs w:val="24"/>
        </w:rPr>
        <w:t xml:space="preserve"> submissions</w:t>
      </w:r>
      <w:r>
        <w:rPr>
          <w:rFonts w:ascii="Times New Roman" w:hAnsi="Times New Roman"/>
          <w:b w:val="0"/>
          <w:sz w:val="24"/>
          <w:szCs w:val="24"/>
        </w:rPr>
        <w:t xml:space="preserve"> and SNACC</w:t>
      </w:r>
      <w:r w:rsidR="00DD5332" w:rsidRPr="00535EF1">
        <w:rPr>
          <w:rFonts w:ascii="Times New Roman" w:hAnsi="Times New Roman"/>
          <w:b w:val="0"/>
          <w:sz w:val="24"/>
          <w:szCs w:val="24"/>
        </w:rPr>
        <w:t xml:space="preserve"> were broadly supportive of the</w:t>
      </w:r>
      <w:r>
        <w:rPr>
          <w:rFonts w:ascii="Times New Roman" w:hAnsi="Times New Roman"/>
          <w:b w:val="0"/>
          <w:sz w:val="24"/>
          <w:szCs w:val="24"/>
        </w:rPr>
        <w:t xml:space="preserve"> intent of the proposed</w:t>
      </w:r>
      <w:r w:rsidR="00DD5332" w:rsidRPr="00535EF1">
        <w:rPr>
          <w:rFonts w:ascii="Times New Roman" w:hAnsi="Times New Roman"/>
          <w:b w:val="0"/>
          <w:sz w:val="24"/>
          <w:szCs w:val="24"/>
        </w:rPr>
        <w:t xml:space="preserve"> amendments</w:t>
      </w:r>
      <w:r>
        <w:rPr>
          <w:rFonts w:ascii="Times New Roman" w:hAnsi="Times New Roman"/>
          <w:b w:val="0"/>
          <w:sz w:val="24"/>
          <w:szCs w:val="24"/>
        </w:rPr>
        <w:t xml:space="preserve">, but </w:t>
      </w:r>
      <w:r w:rsidR="00B772C2" w:rsidRPr="00535EF1">
        <w:rPr>
          <w:rFonts w:ascii="Times New Roman" w:hAnsi="Times New Roman"/>
          <w:b w:val="0"/>
          <w:sz w:val="24"/>
          <w:szCs w:val="24"/>
        </w:rPr>
        <w:t>issues</w:t>
      </w:r>
      <w:r>
        <w:rPr>
          <w:rFonts w:ascii="Times New Roman" w:hAnsi="Times New Roman"/>
          <w:b w:val="0"/>
          <w:sz w:val="24"/>
          <w:szCs w:val="24"/>
        </w:rPr>
        <w:t xml:space="preserve"> were raised</w:t>
      </w:r>
      <w:r w:rsidR="00B772C2" w:rsidRPr="00535EF1">
        <w:rPr>
          <w:rFonts w:ascii="Times New Roman" w:hAnsi="Times New Roman"/>
          <w:b w:val="0"/>
          <w:sz w:val="24"/>
          <w:szCs w:val="24"/>
        </w:rPr>
        <w:t xml:space="preserve"> in relation to imple</w:t>
      </w:r>
      <w:r w:rsidR="00F56DE5" w:rsidRPr="00535EF1">
        <w:rPr>
          <w:rFonts w:ascii="Times New Roman" w:hAnsi="Times New Roman"/>
          <w:b w:val="0"/>
          <w:sz w:val="24"/>
          <w:szCs w:val="24"/>
        </w:rPr>
        <w:t>mentation.</w:t>
      </w:r>
      <w:r w:rsidR="005231C8" w:rsidRPr="00535EF1">
        <w:rPr>
          <w:rFonts w:ascii="Times New Roman" w:hAnsi="Times New Roman"/>
          <w:b w:val="0"/>
          <w:sz w:val="24"/>
          <w:szCs w:val="24"/>
        </w:rPr>
        <w:t xml:space="preserve"> The core issue was the proposed timing of the introduction of the changes </w:t>
      </w:r>
      <w:r w:rsidR="001E5699">
        <w:rPr>
          <w:rFonts w:ascii="Times New Roman" w:hAnsi="Times New Roman"/>
          <w:b w:val="0"/>
          <w:sz w:val="24"/>
          <w:szCs w:val="24"/>
        </w:rPr>
        <w:t>and lack of certainty about elements of APRA</w:t>
      </w:r>
      <w:r w:rsidR="00152D94">
        <w:rPr>
          <w:rFonts w:ascii="Times New Roman" w:hAnsi="Times New Roman"/>
          <w:b w:val="0"/>
          <w:sz w:val="24"/>
          <w:szCs w:val="24"/>
        </w:rPr>
        <w:t>’</w:t>
      </w:r>
      <w:r w:rsidR="001E5699">
        <w:rPr>
          <w:rFonts w:ascii="Times New Roman" w:hAnsi="Times New Roman"/>
          <w:b w:val="0"/>
          <w:sz w:val="24"/>
          <w:szCs w:val="24"/>
        </w:rPr>
        <w:t>s data collection</w:t>
      </w:r>
      <w:r w:rsidR="005231C8" w:rsidRPr="00535EF1">
        <w:rPr>
          <w:rFonts w:ascii="Times New Roman" w:hAnsi="Times New Roman"/>
          <w:b w:val="0"/>
          <w:sz w:val="24"/>
          <w:szCs w:val="24"/>
        </w:rPr>
        <w:t>.</w:t>
      </w:r>
      <w:r w:rsidR="00AD3AC8">
        <w:rPr>
          <w:rFonts w:ascii="Times New Roman" w:hAnsi="Times New Roman"/>
          <w:b w:val="0"/>
          <w:sz w:val="24"/>
          <w:szCs w:val="24"/>
        </w:rPr>
        <w:t xml:space="preserve"> </w:t>
      </w:r>
    </w:p>
    <w:p w14:paraId="2255F3D7" w14:textId="6F0D53B9" w:rsidR="004B4167" w:rsidRDefault="00987A56" w:rsidP="004B4167">
      <w:pPr>
        <w:pStyle w:val="Heading"/>
        <w:tabs>
          <w:tab w:val="left" w:pos="360"/>
        </w:tabs>
        <w:spacing w:after="240"/>
        <w:rPr>
          <w:rFonts w:ascii="Times New Roman" w:hAnsi="Times New Roman"/>
          <w:b w:val="0"/>
          <w:sz w:val="24"/>
          <w:szCs w:val="24"/>
        </w:rPr>
      </w:pPr>
      <w:r>
        <w:rPr>
          <w:rFonts w:ascii="Times New Roman" w:hAnsi="Times New Roman"/>
          <w:b w:val="0"/>
          <w:sz w:val="24"/>
          <w:szCs w:val="24"/>
        </w:rPr>
        <w:t>APRA released a</w:t>
      </w:r>
      <w:r w:rsidR="00DE1637">
        <w:rPr>
          <w:rFonts w:ascii="Times New Roman" w:hAnsi="Times New Roman"/>
          <w:b w:val="0"/>
          <w:sz w:val="24"/>
          <w:szCs w:val="24"/>
        </w:rPr>
        <w:t xml:space="preserve"> </w:t>
      </w:r>
      <w:r w:rsidR="002B6CED">
        <w:rPr>
          <w:rFonts w:ascii="Times New Roman" w:hAnsi="Times New Roman"/>
          <w:b w:val="0"/>
          <w:sz w:val="24"/>
          <w:szCs w:val="24"/>
        </w:rPr>
        <w:t>response</w:t>
      </w:r>
      <w:r w:rsidR="00DE1637">
        <w:rPr>
          <w:rFonts w:ascii="Times New Roman" w:hAnsi="Times New Roman"/>
          <w:b w:val="0"/>
          <w:sz w:val="24"/>
          <w:szCs w:val="24"/>
        </w:rPr>
        <w:t xml:space="preserve"> letter in June 2022</w:t>
      </w:r>
      <w:r w:rsidR="002B6CED">
        <w:rPr>
          <w:rFonts w:ascii="Times New Roman" w:hAnsi="Times New Roman"/>
          <w:b w:val="0"/>
          <w:sz w:val="24"/>
          <w:szCs w:val="24"/>
        </w:rPr>
        <w:t xml:space="preserve"> </w:t>
      </w:r>
      <w:r w:rsidR="00964615">
        <w:rPr>
          <w:rFonts w:ascii="Times New Roman" w:hAnsi="Times New Roman"/>
          <w:b w:val="0"/>
          <w:sz w:val="24"/>
          <w:szCs w:val="24"/>
        </w:rPr>
        <w:t xml:space="preserve">to </w:t>
      </w:r>
      <w:r>
        <w:rPr>
          <w:rFonts w:ascii="Times New Roman" w:hAnsi="Times New Roman"/>
          <w:b w:val="0"/>
          <w:sz w:val="24"/>
          <w:szCs w:val="24"/>
        </w:rPr>
        <w:t xml:space="preserve">confirm </w:t>
      </w:r>
      <w:r w:rsidR="00964615">
        <w:rPr>
          <w:rFonts w:ascii="Times New Roman" w:hAnsi="Times New Roman"/>
          <w:b w:val="0"/>
          <w:sz w:val="24"/>
          <w:szCs w:val="24"/>
        </w:rPr>
        <w:t xml:space="preserve">that the </w:t>
      </w:r>
      <w:r>
        <w:rPr>
          <w:rFonts w:ascii="Times New Roman" w:hAnsi="Times New Roman"/>
          <w:b w:val="0"/>
          <w:sz w:val="24"/>
          <w:szCs w:val="24"/>
        </w:rPr>
        <w:t xml:space="preserve">proposed changes </w:t>
      </w:r>
      <w:r w:rsidR="005231C8" w:rsidRPr="00535EF1">
        <w:rPr>
          <w:rFonts w:ascii="Times New Roman" w:hAnsi="Times New Roman"/>
          <w:b w:val="0"/>
          <w:sz w:val="24"/>
          <w:szCs w:val="24"/>
        </w:rPr>
        <w:t xml:space="preserve">to </w:t>
      </w:r>
      <w:r w:rsidR="002B6CED">
        <w:rPr>
          <w:rFonts w:ascii="Times New Roman" w:hAnsi="Times New Roman"/>
          <w:b w:val="0"/>
          <w:sz w:val="24"/>
          <w:szCs w:val="24"/>
        </w:rPr>
        <w:t>SPS 310</w:t>
      </w:r>
      <w:r>
        <w:rPr>
          <w:rFonts w:ascii="Times New Roman" w:hAnsi="Times New Roman"/>
          <w:b w:val="0"/>
          <w:sz w:val="24"/>
          <w:szCs w:val="24"/>
        </w:rPr>
        <w:t xml:space="preserve"> would be deferred</w:t>
      </w:r>
      <w:r w:rsidR="002B6CED">
        <w:rPr>
          <w:rFonts w:ascii="Times New Roman" w:hAnsi="Times New Roman"/>
          <w:b w:val="0"/>
          <w:sz w:val="24"/>
          <w:szCs w:val="24"/>
        </w:rPr>
        <w:t xml:space="preserve"> until </w:t>
      </w:r>
      <w:r w:rsidR="00F339B5">
        <w:rPr>
          <w:rFonts w:ascii="Times New Roman" w:hAnsi="Times New Roman"/>
          <w:b w:val="0"/>
          <w:sz w:val="24"/>
          <w:szCs w:val="24"/>
        </w:rPr>
        <w:t>30 June</w:t>
      </w:r>
      <w:r w:rsidR="002B6CED">
        <w:rPr>
          <w:rFonts w:ascii="Times New Roman" w:hAnsi="Times New Roman"/>
          <w:b w:val="0"/>
          <w:sz w:val="24"/>
          <w:szCs w:val="24"/>
        </w:rPr>
        <w:t xml:space="preserve"> 2023. </w:t>
      </w:r>
      <w:r w:rsidR="00DE1637">
        <w:rPr>
          <w:rFonts w:ascii="Times New Roman" w:hAnsi="Times New Roman"/>
          <w:b w:val="0"/>
          <w:sz w:val="24"/>
          <w:szCs w:val="24"/>
        </w:rPr>
        <w:t>Since the issue of the response letter</w:t>
      </w:r>
      <w:r>
        <w:rPr>
          <w:rFonts w:ascii="Times New Roman" w:hAnsi="Times New Roman"/>
          <w:b w:val="0"/>
          <w:sz w:val="24"/>
          <w:szCs w:val="24"/>
        </w:rPr>
        <w:t xml:space="preserve">, APRA </w:t>
      </w:r>
      <w:r w:rsidR="00866FE6">
        <w:rPr>
          <w:rFonts w:ascii="Times New Roman" w:hAnsi="Times New Roman"/>
          <w:b w:val="0"/>
          <w:sz w:val="24"/>
          <w:szCs w:val="24"/>
        </w:rPr>
        <w:t xml:space="preserve">has </w:t>
      </w:r>
      <w:r>
        <w:rPr>
          <w:rFonts w:ascii="Times New Roman" w:hAnsi="Times New Roman"/>
          <w:b w:val="0"/>
          <w:sz w:val="24"/>
          <w:szCs w:val="24"/>
        </w:rPr>
        <w:t xml:space="preserve">further reviewed </w:t>
      </w:r>
      <w:r w:rsidR="00866FE6">
        <w:rPr>
          <w:rFonts w:ascii="Times New Roman" w:hAnsi="Times New Roman"/>
          <w:b w:val="0"/>
          <w:sz w:val="24"/>
          <w:szCs w:val="24"/>
        </w:rPr>
        <w:t xml:space="preserve">the </w:t>
      </w:r>
      <w:r>
        <w:rPr>
          <w:rFonts w:ascii="Times New Roman" w:hAnsi="Times New Roman"/>
          <w:b w:val="0"/>
          <w:sz w:val="24"/>
          <w:szCs w:val="24"/>
        </w:rPr>
        <w:t xml:space="preserve">proposal </w:t>
      </w:r>
      <w:r w:rsidR="00CF264C">
        <w:rPr>
          <w:rFonts w:ascii="Times New Roman" w:hAnsi="Times New Roman"/>
          <w:b w:val="0"/>
          <w:sz w:val="24"/>
          <w:szCs w:val="24"/>
        </w:rPr>
        <w:t>noting</w:t>
      </w:r>
      <w:r w:rsidR="00DE1637">
        <w:rPr>
          <w:rFonts w:ascii="Times New Roman" w:hAnsi="Times New Roman"/>
          <w:b w:val="0"/>
          <w:sz w:val="24"/>
          <w:szCs w:val="24"/>
        </w:rPr>
        <w:t xml:space="preserve">: </w:t>
      </w:r>
    </w:p>
    <w:p w14:paraId="47714145" w14:textId="1AC18667" w:rsidR="004B4167" w:rsidRPr="004B4167" w:rsidRDefault="004B4167" w:rsidP="004B4167">
      <w:pPr>
        <w:pStyle w:val="Heading"/>
        <w:numPr>
          <w:ilvl w:val="0"/>
          <w:numId w:val="20"/>
        </w:numPr>
        <w:tabs>
          <w:tab w:val="left" w:pos="360"/>
        </w:tabs>
        <w:spacing w:after="240"/>
        <w:rPr>
          <w:rFonts w:ascii="Times New Roman" w:hAnsi="Times New Roman"/>
          <w:b w:val="0"/>
          <w:sz w:val="24"/>
          <w:szCs w:val="24"/>
        </w:rPr>
      </w:pPr>
      <w:r>
        <w:rPr>
          <w:rFonts w:ascii="Times New Roman" w:hAnsi="Times New Roman"/>
          <w:b w:val="0"/>
          <w:sz w:val="24"/>
          <w:szCs w:val="24"/>
        </w:rPr>
        <w:t>0</w:t>
      </w:r>
      <w:r w:rsidRPr="004B4167">
        <w:rPr>
          <w:rFonts w:ascii="Times New Roman" w:hAnsi="Times New Roman"/>
          <w:b w:val="0"/>
          <w:sz w:val="24"/>
          <w:szCs w:val="24"/>
        </w:rPr>
        <w:t xml:space="preserve">n 7 July 2022, the Government announced a review of Your Future, Your Super Measures (YFYS). This review could lead to changes to APRA’s data collection in relation to the Performance Test, which may delay the retirement and replacement of reporting standards that are within scope of the proposed SPS 310 </w:t>
      </w:r>
      <w:proofErr w:type="gramStart"/>
      <w:r w:rsidRPr="004B4167">
        <w:rPr>
          <w:rFonts w:ascii="Times New Roman" w:hAnsi="Times New Roman"/>
          <w:b w:val="0"/>
          <w:sz w:val="24"/>
          <w:szCs w:val="24"/>
        </w:rPr>
        <w:t>changes</w:t>
      </w:r>
      <w:r>
        <w:rPr>
          <w:rFonts w:ascii="Times New Roman" w:hAnsi="Times New Roman"/>
          <w:b w:val="0"/>
          <w:sz w:val="24"/>
          <w:szCs w:val="24"/>
        </w:rPr>
        <w:t>;</w:t>
      </w:r>
      <w:proofErr w:type="gramEnd"/>
      <w:r>
        <w:rPr>
          <w:rFonts w:ascii="Times New Roman" w:hAnsi="Times New Roman"/>
          <w:b w:val="0"/>
          <w:sz w:val="24"/>
          <w:szCs w:val="24"/>
        </w:rPr>
        <w:t xml:space="preserve"> and</w:t>
      </w:r>
    </w:p>
    <w:p w14:paraId="5DC03A08" w14:textId="74D0DF4A" w:rsidR="004B4167" w:rsidRDefault="002B6CED" w:rsidP="004B4167">
      <w:pPr>
        <w:pStyle w:val="Heading"/>
        <w:numPr>
          <w:ilvl w:val="0"/>
          <w:numId w:val="20"/>
        </w:numPr>
        <w:tabs>
          <w:tab w:val="left" w:pos="360"/>
        </w:tabs>
        <w:spacing w:after="240"/>
        <w:rPr>
          <w:rFonts w:ascii="Times New Roman" w:hAnsi="Times New Roman"/>
          <w:b w:val="0"/>
          <w:sz w:val="24"/>
          <w:szCs w:val="24"/>
        </w:rPr>
      </w:pPr>
      <w:r>
        <w:rPr>
          <w:rFonts w:ascii="Times New Roman" w:hAnsi="Times New Roman"/>
          <w:b w:val="0"/>
          <w:sz w:val="24"/>
          <w:szCs w:val="24"/>
        </w:rPr>
        <w:lastRenderedPageBreak/>
        <w:t xml:space="preserve">APRA </w:t>
      </w:r>
      <w:r w:rsidR="005231C8" w:rsidRPr="00535EF1">
        <w:rPr>
          <w:rFonts w:ascii="Times New Roman" w:hAnsi="Times New Roman"/>
          <w:b w:val="0"/>
          <w:sz w:val="24"/>
          <w:szCs w:val="24"/>
        </w:rPr>
        <w:t xml:space="preserve">continued to </w:t>
      </w:r>
      <w:r w:rsidR="00DE1637">
        <w:rPr>
          <w:rFonts w:ascii="Times New Roman" w:hAnsi="Times New Roman"/>
          <w:b w:val="0"/>
          <w:sz w:val="24"/>
          <w:szCs w:val="24"/>
        </w:rPr>
        <w:t xml:space="preserve">receive feedback through the </w:t>
      </w:r>
      <w:r w:rsidR="00535EF1">
        <w:rPr>
          <w:rFonts w:ascii="Times New Roman" w:hAnsi="Times New Roman"/>
          <w:b w:val="0"/>
          <w:sz w:val="24"/>
          <w:szCs w:val="24"/>
        </w:rPr>
        <w:t>SNACC</w:t>
      </w:r>
      <w:r w:rsidR="00DE1637">
        <w:rPr>
          <w:rFonts w:ascii="Times New Roman" w:hAnsi="Times New Roman"/>
          <w:b w:val="0"/>
          <w:sz w:val="24"/>
          <w:szCs w:val="24"/>
        </w:rPr>
        <w:t xml:space="preserve"> regarding industry readiness, highlighting </w:t>
      </w:r>
      <w:r w:rsidR="007230BF">
        <w:rPr>
          <w:rFonts w:ascii="Times New Roman" w:hAnsi="Times New Roman"/>
          <w:b w:val="0"/>
          <w:sz w:val="24"/>
          <w:szCs w:val="24"/>
        </w:rPr>
        <w:t xml:space="preserve">that </w:t>
      </w:r>
      <w:r w:rsidR="00DE1637">
        <w:rPr>
          <w:rFonts w:ascii="Times New Roman" w:hAnsi="Times New Roman"/>
          <w:b w:val="0"/>
          <w:sz w:val="24"/>
          <w:szCs w:val="24"/>
        </w:rPr>
        <w:t xml:space="preserve">the transition to new reporting standards continued and </w:t>
      </w:r>
      <w:r w:rsidR="007230BF">
        <w:rPr>
          <w:rFonts w:ascii="Times New Roman" w:hAnsi="Times New Roman"/>
          <w:b w:val="0"/>
          <w:sz w:val="24"/>
          <w:szCs w:val="24"/>
        </w:rPr>
        <w:t xml:space="preserve">that </w:t>
      </w:r>
      <w:r w:rsidR="00DE1637">
        <w:rPr>
          <w:rFonts w:ascii="Times New Roman" w:hAnsi="Times New Roman"/>
          <w:b w:val="0"/>
          <w:sz w:val="24"/>
          <w:szCs w:val="24"/>
        </w:rPr>
        <w:t>interim reporting processes remain prevalent</w:t>
      </w:r>
      <w:r w:rsidR="005231C8" w:rsidRPr="00535EF1">
        <w:rPr>
          <w:rFonts w:ascii="Times New Roman" w:hAnsi="Times New Roman"/>
          <w:b w:val="0"/>
          <w:sz w:val="24"/>
          <w:szCs w:val="24"/>
        </w:rPr>
        <w:t xml:space="preserve">. </w:t>
      </w:r>
    </w:p>
    <w:p w14:paraId="6D16C35E" w14:textId="78AAFE6D" w:rsidR="002B2FA6" w:rsidRPr="00F56DE5" w:rsidRDefault="006070E4" w:rsidP="002E5004">
      <w:pPr>
        <w:pStyle w:val="Heading"/>
        <w:tabs>
          <w:tab w:val="left" w:pos="360"/>
        </w:tabs>
        <w:spacing w:after="240"/>
        <w:rPr>
          <w:rFonts w:ascii="Times New Roman" w:hAnsi="Times New Roman"/>
          <w:b w:val="0"/>
          <w:sz w:val="24"/>
          <w:szCs w:val="24"/>
        </w:rPr>
      </w:pPr>
      <w:r w:rsidRPr="00411555">
        <w:rPr>
          <w:rFonts w:ascii="Times New Roman" w:hAnsi="Times New Roman"/>
          <w:b w:val="0"/>
          <w:sz w:val="24"/>
          <w:szCs w:val="24"/>
        </w:rPr>
        <w:t xml:space="preserve">As a result of </w:t>
      </w:r>
      <w:proofErr w:type="gramStart"/>
      <w:r w:rsidRPr="00411555">
        <w:rPr>
          <w:rFonts w:ascii="Times New Roman" w:hAnsi="Times New Roman"/>
          <w:b w:val="0"/>
          <w:sz w:val="24"/>
          <w:szCs w:val="24"/>
        </w:rPr>
        <w:t>consultation</w:t>
      </w:r>
      <w:proofErr w:type="gramEnd"/>
      <w:r w:rsidRPr="00411555">
        <w:rPr>
          <w:rFonts w:ascii="Times New Roman" w:hAnsi="Times New Roman"/>
          <w:b w:val="0"/>
          <w:sz w:val="24"/>
          <w:szCs w:val="24"/>
        </w:rPr>
        <w:t xml:space="preserve"> t</w:t>
      </w:r>
      <w:r w:rsidR="000948F3" w:rsidRPr="00411555">
        <w:rPr>
          <w:rFonts w:ascii="Times New Roman" w:hAnsi="Times New Roman"/>
          <w:b w:val="0"/>
          <w:sz w:val="24"/>
          <w:szCs w:val="24"/>
        </w:rPr>
        <w:t xml:space="preserve">he amendments to SPS 310 </w:t>
      </w:r>
      <w:r w:rsidRPr="00411555">
        <w:rPr>
          <w:rFonts w:ascii="Times New Roman" w:hAnsi="Times New Roman"/>
          <w:b w:val="0"/>
          <w:sz w:val="24"/>
          <w:szCs w:val="24"/>
        </w:rPr>
        <w:t>we</w:t>
      </w:r>
      <w:r w:rsidR="000948F3" w:rsidRPr="00411555">
        <w:rPr>
          <w:rFonts w:ascii="Times New Roman" w:hAnsi="Times New Roman"/>
          <w:b w:val="0"/>
          <w:sz w:val="24"/>
          <w:szCs w:val="24"/>
        </w:rPr>
        <w:t xml:space="preserve">re </w:t>
      </w:r>
      <w:r w:rsidR="005231C8" w:rsidRPr="00411555">
        <w:rPr>
          <w:rFonts w:ascii="Times New Roman" w:hAnsi="Times New Roman"/>
          <w:b w:val="0"/>
          <w:sz w:val="24"/>
          <w:szCs w:val="24"/>
        </w:rPr>
        <w:t>reduc</w:t>
      </w:r>
      <w:r w:rsidR="00987A56" w:rsidRPr="00411555">
        <w:rPr>
          <w:rFonts w:ascii="Times New Roman" w:hAnsi="Times New Roman"/>
          <w:b w:val="0"/>
          <w:sz w:val="24"/>
          <w:szCs w:val="24"/>
        </w:rPr>
        <w:t xml:space="preserve">ed </w:t>
      </w:r>
      <w:r w:rsidR="000948F3" w:rsidRPr="00411555">
        <w:rPr>
          <w:rFonts w:ascii="Times New Roman" w:hAnsi="Times New Roman"/>
          <w:b w:val="0"/>
          <w:sz w:val="24"/>
          <w:szCs w:val="24"/>
        </w:rPr>
        <w:t xml:space="preserve">in </w:t>
      </w:r>
      <w:r w:rsidR="005231C8" w:rsidRPr="00411555">
        <w:rPr>
          <w:rFonts w:ascii="Times New Roman" w:hAnsi="Times New Roman"/>
          <w:b w:val="0"/>
          <w:sz w:val="24"/>
          <w:szCs w:val="24"/>
        </w:rPr>
        <w:t xml:space="preserve">scope </w:t>
      </w:r>
      <w:r w:rsidR="002E5004" w:rsidRPr="00411555">
        <w:rPr>
          <w:rFonts w:ascii="Times New Roman" w:hAnsi="Times New Roman"/>
          <w:b w:val="0"/>
          <w:sz w:val="24"/>
          <w:szCs w:val="24"/>
        </w:rPr>
        <w:t xml:space="preserve">from those </w:t>
      </w:r>
      <w:r w:rsidR="00964615" w:rsidRPr="00411555">
        <w:rPr>
          <w:rFonts w:ascii="Times New Roman" w:hAnsi="Times New Roman"/>
          <w:b w:val="0"/>
          <w:sz w:val="24"/>
          <w:szCs w:val="24"/>
        </w:rPr>
        <w:t xml:space="preserve">initially proposed </w:t>
      </w:r>
      <w:r w:rsidR="000948F3" w:rsidRPr="00411555">
        <w:rPr>
          <w:rFonts w:ascii="Times New Roman" w:hAnsi="Times New Roman"/>
          <w:b w:val="0"/>
          <w:sz w:val="24"/>
          <w:szCs w:val="24"/>
        </w:rPr>
        <w:t>t</w:t>
      </w:r>
      <w:r w:rsidR="002E5004" w:rsidRPr="00411555">
        <w:rPr>
          <w:rFonts w:ascii="Times New Roman" w:hAnsi="Times New Roman"/>
          <w:b w:val="0"/>
          <w:sz w:val="24"/>
          <w:szCs w:val="24"/>
        </w:rPr>
        <w:t>o</w:t>
      </w:r>
      <w:r w:rsidR="000948F3" w:rsidRPr="00411555">
        <w:rPr>
          <w:rFonts w:ascii="Times New Roman" w:hAnsi="Times New Roman"/>
          <w:b w:val="0"/>
          <w:sz w:val="24"/>
          <w:szCs w:val="24"/>
        </w:rPr>
        <w:t xml:space="preserve"> changes</w:t>
      </w:r>
      <w:r w:rsidR="002E5004" w:rsidRPr="00411555">
        <w:rPr>
          <w:rFonts w:ascii="Times New Roman" w:hAnsi="Times New Roman"/>
          <w:b w:val="0"/>
          <w:sz w:val="24"/>
          <w:szCs w:val="24"/>
        </w:rPr>
        <w:t xml:space="preserve"> that APRA view as time-critical</w:t>
      </w:r>
      <w:r w:rsidR="000948F3" w:rsidRPr="00411555">
        <w:rPr>
          <w:rFonts w:ascii="Times New Roman" w:hAnsi="Times New Roman"/>
          <w:b w:val="0"/>
          <w:sz w:val="24"/>
          <w:szCs w:val="24"/>
        </w:rPr>
        <w:t>. This means that references to reporting standards that have</w:t>
      </w:r>
      <w:r w:rsidR="00964615" w:rsidRPr="00411555">
        <w:rPr>
          <w:rFonts w:ascii="Times New Roman" w:hAnsi="Times New Roman"/>
          <w:b w:val="0"/>
          <w:sz w:val="24"/>
          <w:szCs w:val="24"/>
        </w:rPr>
        <w:t xml:space="preserve"> been</w:t>
      </w:r>
      <w:r w:rsidR="000948F3" w:rsidRPr="00411555">
        <w:rPr>
          <w:rFonts w:ascii="Times New Roman" w:hAnsi="Times New Roman"/>
          <w:b w:val="0"/>
          <w:sz w:val="24"/>
          <w:szCs w:val="24"/>
        </w:rPr>
        <w:t xml:space="preserve">, or will be, revoked are removed from SPS 310, reporting standards expected to be used for APRA’s administration of the </w:t>
      </w:r>
      <w:r w:rsidR="002E5004" w:rsidRPr="00411555">
        <w:rPr>
          <w:rFonts w:ascii="Times New Roman" w:hAnsi="Times New Roman"/>
          <w:b w:val="0"/>
          <w:sz w:val="24"/>
          <w:szCs w:val="24"/>
        </w:rPr>
        <w:t xml:space="preserve">next </w:t>
      </w:r>
      <w:proofErr w:type="spellStart"/>
      <w:r w:rsidR="000948F3" w:rsidRPr="00411555">
        <w:rPr>
          <w:rFonts w:ascii="Times New Roman" w:hAnsi="Times New Roman"/>
          <w:b w:val="0"/>
          <w:sz w:val="24"/>
          <w:szCs w:val="24"/>
        </w:rPr>
        <w:t>MySuper</w:t>
      </w:r>
      <w:proofErr w:type="spellEnd"/>
      <w:r w:rsidR="000948F3" w:rsidRPr="00411555">
        <w:rPr>
          <w:rFonts w:ascii="Times New Roman" w:hAnsi="Times New Roman"/>
          <w:b w:val="0"/>
          <w:sz w:val="24"/>
          <w:szCs w:val="24"/>
        </w:rPr>
        <w:t xml:space="preserve"> Performance Test and Heatmap are retained, and </w:t>
      </w:r>
      <w:r w:rsidR="002E5004" w:rsidRPr="00411555">
        <w:rPr>
          <w:rFonts w:ascii="Times New Roman" w:hAnsi="Times New Roman"/>
          <w:b w:val="0"/>
          <w:sz w:val="24"/>
          <w:szCs w:val="24"/>
        </w:rPr>
        <w:t xml:space="preserve">new </w:t>
      </w:r>
      <w:r w:rsidR="000948F3" w:rsidRPr="00411555">
        <w:rPr>
          <w:rFonts w:ascii="Times New Roman" w:hAnsi="Times New Roman"/>
          <w:b w:val="0"/>
          <w:sz w:val="24"/>
          <w:szCs w:val="24"/>
        </w:rPr>
        <w:t xml:space="preserve">reporting standards that </w:t>
      </w:r>
      <w:r w:rsidR="002E5004" w:rsidRPr="00411555">
        <w:rPr>
          <w:rFonts w:ascii="Times New Roman" w:hAnsi="Times New Roman"/>
          <w:b w:val="0"/>
          <w:sz w:val="24"/>
          <w:szCs w:val="24"/>
        </w:rPr>
        <w:t xml:space="preserve">provide key data and </w:t>
      </w:r>
      <w:r w:rsidR="000948F3" w:rsidRPr="00411555">
        <w:rPr>
          <w:rFonts w:ascii="Times New Roman" w:hAnsi="Times New Roman"/>
          <w:b w:val="0"/>
          <w:sz w:val="24"/>
          <w:szCs w:val="24"/>
        </w:rPr>
        <w:t xml:space="preserve">are in-force with settled content </w:t>
      </w:r>
      <w:r w:rsidR="002E5004" w:rsidRPr="00411555">
        <w:rPr>
          <w:rFonts w:ascii="Times New Roman" w:hAnsi="Times New Roman"/>
          <w:b w:val="0"/>
          <w:sz w:val="24"/>
          <w:szCs w:val="24"/>
        </w:rPr>
        <w:t xml:space="preserve">have been </w:t>
      </w:r>
      <w:r w:rsidR="000948F3" w:rsidRPr="00411555">
        <w:rPr>
          <w:rFonts w:ascii="Times New Roman" w:hAnsi="Times New Roman"/>
          <w:b w:val="0"/>
          <w:sz w:val="24"/>
          <w:szCs w:val="24"/>
        </w:rPr>
        <w:t>added.</w:t>
      </w:r>
    </w:p>
    <w:p w14:paraId="7214CE46" w14:textId="41CBF8DC" w:rsidR="002436BD" w:rsidRPr="0008604B" w:rsidRDefault="00DF524E" w:rsidP="00DF7DA0">
      <w:pPr>
        <w:pStyle w:val="Heading"/>
        <w:tabs>
          <w:tab w:val="left" w:pos="360"/>
        </w:tabs>
        <w:spacing w:after="240"/>
        <w:rPr>
          <w:rFonts w:ascii="Times New Roman" w:hAnsi="Times New Roman"/>
          <w:b w:val="0"/>
          <w:sz w:val="24"/>
          <w:szCs w:val="24"/>
        </w:rPr>
      </w:pPr>
      <w:bookmarkStart w:id="6" w:name="bkConsultation"/>
      <w:bookmarkStart w:id="7" w:name="bkRISNO"/>
      <w:bookmarkStart w:id="8" w:name="bkRIS"/>
      <w:bookmarkEnd w:id="6"/>
      <w:bookmarkEnd w:id="7"/>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8"/>
    <w:p w14:paraId="16FE9823" w14:textId="55D332C4" w:rsidR="00885F41" w:rsidRDefault="00885F41" w:rsidP="00197636">
      <w:pPr>
        <w:jc w:val="both"/>
        <w:rPr>
          <w:rFonts w:ascii="Times New Roman" w:hAnsi="Times New Roman"/>
          <w:sz w:val="24"/>
          <w:szCs w:val="24"/>
        </w:rPr>
      </w:pPr>
      <w:r w:rsidRPr="007924FE">
        <w:rPr>
          <w:rFonts w:ascii="Times New Roman" w:hAnsi="Times New Roman"/>
          <w:sz w:val="24"/>
          <w:szCs w:val="24"/>
        </w:rPr>
        <w:t xml:space="preserve">The Office of </w:t>
      </w:r>
      <w:r w:rsidR="00190FA5">
        <w:rPr>
          <w:rFonts w:ascii="Times New Roman" w:hAnsi="Times New Roman"/>
          <w:sz w:val="24"/>
          <w:szCs w:val="24"/>
        </w:rPr>
        <w:t>Impact Analysis</w:t>
      </w:r>
      <w:r w:rsidRPr="007924FE">
        <w:rPr>
          <w:rFonts w:ascii="Times New Roman" w:hAnsi="Times New Roman"/>
          <w:sz w:val="24"/>
          <w:szCs w:val="24"/>
        </w:rPr>
        <w:t xml:space="preserve"> has advised that </w:t>
      </w:r>
      <w:r w:rsidR="00675FC7">
        <w:rPr>
          <w:rFonts w:ascii="Times New Roman" w:hAnsi="Times New Roman"/>
          <w:sz w:val="24"/>
          <w:szCs w:val="24"/>
        </w:rPr>
        <w:t xml:space="preserve">they consider the amendments to SPS </w:t>
      </w:r>
      <w:r w:rsidR="0049096E">
        <w:rPr>
          <w:rFonts w:ascii="Times New Roman" w:hAnsi="Times New Roman"/>
          <w:sz w:val="24"/>
          <w:szCs w:val="24"/>
        </w:rPr>
        <w:t>310</w:t>
      </w:r>
      <w:r w:rsidR="00675FC7">
        <w:rPr>
          <w:rFonts w:ascii="Times New Roman" w:hAnsi="Times New Roman"/>
          <w:sz w:val="24"/>
          <w:szCs w:val="24"/>
        </w:rPr>
        <w:t xml:space="preserve"> are </w:t>
      </w:r>
      <w:r w:rsidR="00675FC7" w:rsidRPr="00675FC7">
        <w:rPr>
          <w:rFonts w:ascii="Times New Roman" w:hAnsi="Times New Roman"/>
          <w:sz w:val="24"/>
          <w:szCs w:val="24"/>
        </w:rPr>
        <w:t>unlikely to have a more than minor regulatory impact, and</w:t>
      </w:r>
      <w:r w:rsidR="00675FC7">
        <w:rPr>
          <w:rFonts w:ascii="Times New Roman" w:hAnsi="Times New Roman"/>
          <w:sz w:val="24"/>
          <w:szCs w:val="24"/>
        </w:rPr>
        <w:t xml:space="preserve"> </w:t>
      </w:r>
      <w:r w:rsidR="00675FC7" w:rsidRPr="00675FC7">
        <w:rPr>
          <w:rFonts w:ascii="Times New Roman" w:hAnsi="Times New Roman"/>
          <w:sz w:val="24"/>
          <w:szCs w:val="24"/>
        </w:rPr>
        <w:t xml:space="preserve">therefore the preparation of </w:t>
      </w:r>
      <w:r w:rsidRPr="007924FE">
        <w:rPr>
          <w:rFonts w:ascii="Times New Roman" w:hAnsi="Times New Roman"/>
          <w:sz w:val="24"/>
          <w:szCs w:val="24"/>
        </w:rPr>
        <w:t xml:space="preserve">a Regulation Impact Statement is not required for this </w:t>
      </w:r>
      <w:r w:rsidR="00831858">
        <w:rPr>
          <w:rFonts w:ascii="Times New Roman" w:hAnsi="Times New Roman"/>
          <w:sz w:val="24"/>
          <w:szCs w:val="24"/>
        </w:rPr>
        <w:t>L</w:t>
      </w:r>
      <w:r w:rsidRPr="007924FE">
        <w:rPr>
          <w:rFonts w:ascii="Times New Roman" w:hAnsi="Times New Roman"/>
          <w:sz w:val="24"/>
          <w:szCs w:val="24"/>
        </w:rPr>
        <w:t xml:space="preserve">egislative </w:t>
      </w:r>
      <w:r w:rsidR="00831858">
        <w:rPr>
          <w:rFonts w:ascii="Times New Roman" w:hAnsi="Times New Roman"/>
          <w:sz w:val="24"/>
          <w:szCs w:val="24"/>
        </w:rPr>
        <w:t>I</w:t>
      </w:r>
      <w:r w:rsidRPr="007924FE">
        <w:rPr>
          <w:rFonts w:ascii="Times New Roman" w:hAnsi="Times New Roman"/>
          <w:sz w:val="24"/>
          <w:szCs w:val="24"/>
        </w:rPr>
        <w:t>nstrument</w:t>
      </w:r>
      <w:r w:rsidR="00DD5332" w:rsidRPr="007924FE">
        <w:rPr>
          <w:rFonts w:ascii="Times New Roman" w:hAnsi="Times New Roman"/>
          <w:sz w:val="24"/>
          <w:szCs w:val="24"/>
        </w:rPr>
        <w:t>.</w:t>
      </w:r>
    </w:p>
    <w:p w14:paraId="51471479" w14:textId="77777777" w:rsidR="00675FC7" w:rsidRPr="0021033D" w:rsidRDefault="00675FC7" w:rsidP="00675FC7">
      <w:pPr>
        <w:rPr>
          <w:rFonts w:ascii="Times New Roman" w:hAnsi="Times New Roman"/>
          <w:b/>
          <w:sz w:val="24"/>
          <w:szCs w:val="24"/>
        </w:rPr>
      </w:pPr>
    </w:p>
    <w:p w14:paraId="401F3907" w14:textId="77777777" w:rsidR="002436BD" w:rsidRPr="00B3165F" w:rsidRDefault="00DF524E" w:rsidP="00DF7DA0">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Statement of compatibility prepared in accordance with Part 3 of the Human Rights (Parliamentary Scrutiny) Act 2011</w:t>
      </w:r>
    </w:p>
    <w:p w14:paraId="08DB91DF" w14:textId="3907AFD4" w:rsidR="002436BD" w:rsidRDefault="0030506B" w:rsidP="00DF7DA0">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w:t>
      </w:r>
      <w:r w:rsidR="000B3CB4">
        <w:rPr>
          <w:rFonts w:ascii="Times New Roman" w:hAnsi="Times New Roman"/>
          <w:b w:val="0"/>
          <w:sz w:val="24"/>
          <w:szCs w:val="24"/>
        </w:rPr>
        <w:t>s</w:t>
      </w:r>
      <w:r w:rsidRPr="0030506B">
        <w:rPr>
          <w:rFonts w:ascii="Times New Roman" w:hAnsi="Times New Roman"/>
          <w:b w:val="0"/>
          <w:sz w:val="24"/>
          <w:szCs w:val="24"/>
        </w:rPr>
        <w:t xml:space="preserve">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r w:rsidR="0076259B">
        <w:rPr>
          <w:rStyle w:val="FootnoteReference"/>
          <w:rFonts w:ascii="Times New Roman" w:hAnsi="Times New Roman"/>
          <w:b w:val="0"/>
          <w:sz w:val="24"/>
          <w:szCs w:val="24"/>
        </w:rPr>
        <w:footnoteReference w:id="5"/>
      </w:r>
    </w:p>
    <w:p w14:paraId="4602AF9E" w14:textId="7018289F" w:rsidR="00E279A1" w:rsidRDefault="00E279A1">
      <w:r>
        <w:br w:type="page"/>
      </w:r>
    </w:p>
    <w:p w14:paraId="1D729AEE" w14:textId="77777777" w:rsidR="00E279A1" w:rsidRPr="003D41D3" w:rsidRDefault="00E279A1" w:rsidP="00E279A1">
      <w:pPr>
        <w:shd w:val="clear" w:color="auto" w:fill="FFFFFF"/>
        <w:spacing w:after="240"/>
        <w:rPr>
          <w:rFonts w:ascii="Times New Roman" w:hAnsi="Times New Roman"/>
          <w:b/>
          <w:sz w:val="19"/>
          <w:szCs w:val="19"/>
          <w:lang w:val="en-US"/>
        </w:rPr>
      </w:pPr>
      <w:r w:rsidRPr="003D41D3">
        <w:rPr>
          <w:rFonts w:ascii="Times New Roman" w:hAnsi="Times New Roman"/>
          <w:b/>
          <w:sz w:val="24"/>
          <w:szCs w:val="24"/>
          <w:lang w:val="en-GB"/>
        </w:rPr>
        <w:lastRenderedPageBreak/>
        <w:t>ATTACHMENT A</w:t>
      </w:r>
    </w:p>
    <w:p w14:paraId="50AE4D77" w14:textId="77777777" w:rsidR="00E279A1" w:rsidRPr="003D41D3" w:rsidRDefault="00E279A1" w:rsidP="00E279A1">
      <w:pPr>
        <w:shd w:val="clear" w:color="auto" w:fill="FFFFFF"/>
        <w:spacing w:after="240"/>
        <w:jc w:val="center"/>
        <w:rPr>
          <w:rFonts w:ascii="Times New Roman" w:hAnsi="Times New Roman"/>
          <w:sz w:val="19"/>
          <w:szCs w:val="19"/>
          <w:lang w:val="en-US"/>
        </w:rPr>
      </w:pPr>
      <w:r w:rsidRPr="003D41D3">
        <w:rPr>
          <w:rFonts w:ascii="Times New Roman" w:hAnsi="Times New Roman"/>
          <w:sz w:val="24"/>
          <w:szCs w:val="24"/>
        </w:rPr>
        <w:t>Statement of Compatibility with Human Rights</w:t>
      </w:r>
    </w:p>
    <w:p w14:paraId="49DEA020" w14:textId="77777777" w:rsidR="00E279A1" w:rsidRPr="00FE5D7D" w:rsidRDefault="00E279A1" w:rsidP="00E279A1">
      <w:pPr>
        <w:shd w:val="clear" w:color="auto" w:fill="FFFFFF"/>
        <w:spacing w:before="100" w:beforeAutospacing="1" w:after="240"/>
        <w:jc w:val="center"/>
        <w:outlineLvl w:val="0"/>
        <w:rPr>
          <w:rFonts w:ascii="Arial" w:hAnsi="Arial" w:cs="Arial"/>
          <w:b/>
          <w:bCs/>
          <w:kern w:val="36"/>
          <w:sz w:val="48"/>
          <w:szCs w:val="48"/>
          <w:lang w:val="en-US"/>
        </w:rPr>
      </w:pPr>
      <w:r w:rsidRPr="00FE5D7D">
        <w:rPr>
          <w:rFonts w:ascii="Times New Roman" w:hAnsi="Times New Roman"/>
          <w:kern w:val="36"/>
          <w:sz w:val="24"/>
          <w:szCs w:val="24"/>
        </w:rPr>
        <w:t xml:space="preserve">Prepared in accordance with Part 3 of the </w:t>
      </w:r>
      <w:r w:rsidRPr="00FE5D7D">
        <w:rPr>
          <w:rFonts w:ascii="Times New Roman" w:hAnsi="Times New Roman"/>
          <w:i/>
          <w:iCs/>
          <w:kern w:val="36"/>
          <w:sz w:val="24"/>
          <w:szCs w:val="24"/>
        </w:rPr>
        <w:t>Human Rights (Parliamentary Scrutiny) Act 2011</w:t>
      </w:r>
    </w:p>
    <w:p w14:paraId="7CB1D9EB" w14:textId="181A9535" w:rsidR="00E279A1" w:rsidRPr="00FE5D7D" w:rsidRDefault="00E279A1" w:rsidP="00E279A1">
      <w:pPr>
        <w:shd w:val="clear" w:color="auto" w:fill="FFFFFF"/>
        <w:spacing w:before="100" w:beforeAutospacing="1" w:after="240"/>
        <w:jc w:val="center"/>
        <w:rPr>
          <w:rFonts w:ascii="Times New Roman" w:hAnsi="Times New Roman"/>
          <w:sz w:val="24"/>
          <w:szCs w:val="24"/>
          <w:lang w:val="en-US"/>
        </w:rPr>
      </w:pPr>
      <w:r>
        <w:rPr>
          <w:rFonts w:ascii="Times New Roman" w:hAnsi="Times New Roman"/>
          <w:b/>
          <w:bCs/>
          <w:sz w:val="24"/>
          <w:szCs w:val="24"/>
        </w:rPr>
        <w:t>Superannuation</w:t>
      </w:r>
      <w:r w:rsidRPr="00FE5D7D">
        <w:rPr>
          <w:rFonts w:ascii="Times New Roman" w:hAnsi="Times New Roman"/>
          <w:b/>
          <w:bCs/>
          <w:sz w:val="24"/>
          <w:szCs w:val="24"/>
        </w:rPr>
        <w:t xml:space="preserve"> (prudential standard) determination </w:t>
      </w:r>
      <w:r w:rsidRPr="00BC25C9">
        <w:rPr>
          <w:rFonts w:ascii="Times New Roman" w:hAnsi="Times New Roman"/>
          <w:b/>
          <w:bCs/>
          <w:sz w:val="24"/>
          <w:szCs w:val="24"/>
        </w:rPr>
        <w:t xml:space="preserve">No. </w:t>
      </w:r>
      <w:r w:rsidR="00BC25C9" w:rsidRPr="00BC25C9">
        <w:rPr>
          <w:rFonts w:ascii="Times New Roman" w:hAnsi="Times New Roman"/>
          <w:b/>
          <w:bCs/>
          <w:sz w:val="24"/>
          <w:szCs w:val="24"/>
        </w:rPr>
        <w:t>4</w:t>
      </w:r>
      <w:r w:rsidR="00A2736E" w:rsidRPr="00BC25C9">
        <w:rPr>
          <w:rFonts w:ascii="Times New Roman" w:hAnsi="Times New Roman"/>
          <w:b/>
          <w:bCs/>
          <w:sz w:val="24"/>
          <w:szCs w:val="24"/>
        </w:rPr>
        <w:t xml:space="preserve"> </w:t>
      </w:r>
      <w:r w:rsidRPr="00BC25C9">
        <w:rPr>
          <w:rFonts w:ascii="Times New Roman" w:hAnsi="Times New Roman"/>
          <w:b/>
          <w:bCs/>
          <w:sz w:val="24"/>
          <w:szCs w:val="24"/>
        </w:rPr>
        <w:t>of 2022</w:t>
      </w:r>
    </w:p>
    <w:p w14:paraId="4E01F499" w14:textId="40EE709B"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sz w:val="24"/>
          <w:szCs w:val="24"/>
        </w:rPr>
        <w:t>Th</w:t>
      </w:r>
      <w:r>
        <w:rPr>
          <w:rFonts w:ascii="Times New Roman" w:hAnsi="Times New Roman"/>
          <w:sz w:val="24"/>
          <w:szCs w:val="24"/>
        </w:rPr>
        <w:t>is</w:t>
      </w:r>
      <w:r w:rsidRPr="00FE5D7D">
        <w:rPr>
          <w:rFonts w:ascii="Times New Roman" w:hAnsi="Times New Roman"/>
          <w:sz w:val="24"/>
          <w:szCs w:val="24"/>
        </w:rPr>
        <w:t xml:space="preserve"> Legislative Instrument</w:t>
      </w:r>
      <w:r>
        <w:rPr>
          <w:rFonts w:ascii="Times New Roman" w:hAnsi="Times New Roman"/>
          <w:sz w:val="24"/>
          <w:szCs w:val="24"/>
        </w:rPr>
        <w:t xml:space="preserve"> is </w:t>
      </w:r>
      <w:r w:rsidRPr="00FE5D7D">
        <w:rPr>
          <w:rFonts w:ascii="Times New Roman" w:hAnsi="Times New Roman"/>
          <w:sz w:val="24"/>
          <w:szCs w:val="24"/>
        </w:rPr>
        <w:t>compatible with the human rights and freedoms recognised or declared in the international instrument</w:t>
      </w:r>
      <w:r>
        <w:rPr>
          <w:rFonts w:ascii="Times New Roman" w:hAnsi="Times New Roman"/>
          <w:sz w:val="24"/>
          <w:szCs w:val="24"/>
        </w:rPr>
        <w:t>s</w:t>
      </w:r>
      <w:r w:rsidRPr="00FE5D7D">
        <w:rPr>
          <w:rFonts w:ascii="Times New Roman" w:hAnsi="Times New Roman"/>
          <w:sz w:val="24"/>
          <w:szCs w:val="24"/>
        </w:rPr>
        <w:t xml:space="preserve"> listed in section 3 of the </w:t>
      </w:r>
      <w:r w:rsidRPr="00FE5D7D">
        <w:rPr>
          <w:rFonts w:ascii="Times New Roman" w:hAnsi="Times New Roman"/>
          <w:i/>
          <w:iCs/>
          <w:sz w:val="24"/>
          <w:szCs w:val="24"/>
        </w:rPr>
        <w:t>Human Rights (Parliamentary Scrutiny) Act 2011</w:t>
      </w:r>
      <w:r w:rsidRPr="00FE5D7D">
        <w:rPr>
          <w:rFonts w:ascii="Times New Roman" w:hAnsi="Times New Roman"/>
          <w:sz w:val="24"/>
          <w:szCs w:val="24"/>
        </w:rPr>
        <w:t xml:space="preserve"> (HRPS Act).</w:t>
      </w:r>
    </w:p>
    <w:p w14:paraId="3C115E89" w14:textId="6847BDBD"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b/>
          <w:bCs/>
          <w:sz w:val="24"/>
          <w:szCs w:val="24"/>
        </w:rPr>
        <w:t>Overview of the Legislative Instrument</w:t>
      </w:r>
      <w:r>
        <w:rPr>
          <w:rFonts w:ascii="Times New Roman" w:hAnsi="Times New Roman"/>
          <w:b/>
          <w:bCs/>
          <w:sz w:val="24"/>
          <w:szCs w:val="24"/>
        </w:rPr>
        <w:t xml:space="preserve"> </w:t>
      </w:r>
    </w:p>
    <w:p w14:paraId="01647628" w14:textId="26683207" w:rsidR="00E279A1" w:rsidRPr="00BF6F81" w:rsidRDefault="00E279A1" w:rsidP="00800CFB">
      <w:pPr>
        <w:spacing w:before="100" w:beforeAutospacing="1" w:after="240"/>
        <w:jc w:val="both"/>
        <w:rPr>
          <w:rFonts w:ascii="Times New Roman" w:hAnsi="Times New Roman"/>
          <w:sz w:val="24"/>
          <w:szCs w:val="24"/>
        </w:rPr>
      </w:pPr>
      <w:r w:rsidRPr="00BF6F81">
        <w:rPr>
          <w:rFonts w:ascii="Times New Roman" w:hAnsi="Times New Roman"/>
          <w:sz w:val="24"/>
          <w:szCs w:val="24"/>
        </w:rPr>
        <w:t xml:space="preserve">The purpose of this instrument is to revoke </w:t>
      </w:r>
      <w:r w:rsidRPr="00BF6F81">
        <w:rPr>
          <w:rFonts w:ascii="Times New Roman" w:hAnsi="Times New Roman"/>
          <w:i/>
          <w:iCs/>
          <w:sz w:val="24"/>
          <w:szCs w:val="24"/>
        </w:rPr>
        <w:t xml:space="preserve">Prudential Standard SPS </w:t>
      </w:r>
      <w:r w:rsidR="00796547">
        <w:rPr>
          <w:rFonts w:ascii="Times New Roman" w:hAnsi="Times New Roman"/>
          <w:i/>
          <w:iCs/>
          <w:sz w:val="24"/>
          <w:szCs w:val="24"/>
        </w:rPr>
        <w:t>310 Audit and Related Matters</w:t>
      </w:r>
      <w:r w:rsidR="000C30E3">
        <w:rPr>
          <w:rFonts w:ascii="Times New Roman" w:hAnsi="Times New Roman"/>
          <w:i/>
          <w:iCs/>
          <w:sz w:val="24"/>
          <w:szCs w:val="24"/>
        </w:rPr>
        <w:t xml:space="preserve"> </w:t>
      </w:r>
      <w:r w:rsidRPr="00BF6F81">
        <w:rPr>
          <w:rFonts w:ascii="Times New Roman" w:hAnsi="Times New Roman"/>
          <w:iCs/>
          <w:sz w:val="24"/>
          <w:szCs w:val="24"/>
          <w:lang w:val="en-US"/>
        </w:rPr>
        <w:t>determined by APRA in 201</w:t>
      </w:r>
      <w:r w:rsidR="00796547">
        <w:rPr>
          <w:rFonts w:ascii="Times New Roman" w:hAnsi="Times New Roman"/>
          <w:iCs/>
          <w:sz w:val="24"/>
          <w:szCs w:val="24"/>
          <w:lang w:val="en-US"/>
        </w:rPr>
        <w:t>8</w:t>
      </w:r>
      <w:r w:rsidRPr="00BF6F81">
        <w:rPr>
          <w:rFonts w:ascii="Times New Roman" w:hAnsi="Times New Roman"/>
          <w:iCs/>
          <w:sz w:val="24"/>
          <w:szCs w:val="24"/>
          <w:lang w:val="en-US"/>
        </w:rPr>
        <w:t xml:space="preserve"> and replace it with a new </w:t>
      </w:r>
      <w:r w:rsidRPr="00BF6F81">
        <w:rPr>
          <w:rFonts w:ascii="Times New Roman" w:hAnsi="Times New Roman"/>
          <w:i/>
          <w:iCs/>
          <w:sz w:val="24"/>
          <w:szCs w:val="24"/>
        </w:rPr>
        <w:t xml:space="preserve">Prudential Standard SPS </w:t>
      </w:r>
      <w:r w:rsidR="00796547">
        <w:rPr>
          <w:rFonts w:ascii="Times New Roman" w:hAnsi="Times New Roman"/>
          <w:i/>
          <w:iCs/>
          <w:sz w:val="24"/>
          <w:szCs w:val="24"/>
        </w:rPr>
        <w:t>310 Audit and Related Matters</w:t>
      </w:r>
      <w:r w:rsidR="000C30E3">
        <w:rPr>
          <w:rFonts w:ascii="Times New Roman" w:hAnsi="Times New Roman"/>
          <w:i/>
          <w:iCs/>
          <w:sz w:val="24"/>
          <w:szCs w:val="24"/>
        </w:rPr>
        <w:t xml:space="preserve"> </w:t>
      </w:r>
      <w:r w:rsidRPr="00BF6F81">
        <w:rPr>
          <w:rFonts w:ascii="Times New Roman" w:hAnsi="Times New Roman"/>
          <w:iCs/>
          <w:sz w:val="24"/>
          <w:szCs w:val="24"/>
          <w:lang w:val="en-US"/>
        </w:rPr>
        <w:t xml:space="preserve">(SPS </w:t>
      </w:r>
      <w:r w:rsidR="00796547">
        <w:rPr>
          <w:rFonts w:ascii="Times New Roman" w:hAnsi="Times New Roman"/>
          <w:iCs/>
          <w:sz w:val="24"/>
          <w:szCs w:val="24"/>
          <w:lang w:val="en-US"/>
        </w:rPr>
        <w:t>310</w:t>
      </w:r>
      <w:r w:rsidRPr="00BF6F81">
        <w:rPr>
          <w:rFonts w:ascii="Times New Roman" w:hAnsi="Times New Roman"/>
          <w:iCs/>
          <w:sz w:val="24"/>
          <w:szCs w:val="24"/>
          <w:lang w:val="en-US"/>
        </w:rPr>
        <w:t>)</w:t>
      </w:r>
      <w:r w:rsidRPr="00BF6F81">
        <w:rPr>
          <w:rFonts w:ascii="Times New Roman" w:hAnsi="Times New Roman"/>
          <w:iCs/>
          <w:sz w:val="24"/>
          <w:szCs w:val="24"/>
        </w:rPr>
        <w:t xml:space="preserve">. </w:t>
      </w:r>
      <w:r w:rsidRPr="00485A83">
        <w:rPr>
          <w:rFonts w:ascii="Times New Roman" w:hAnsi="Times New Roman"/>
          <w:sz w:val="24"/>
          <w:szCs w:val="24"/>
        </w:rPr>
        <w:t xml:space="preserve">The instrument </w:t>
      </w:r>
      <w:r w:rsidR="00485A83" w:rsidRPr="00485A83">
        <w:rPr>
          <w:rFonts w:ascii="Times New Roman" w:hAnsi="Times New Roman"/>
          <w:sz w:val="24"/>
          <w:szCs w:val="24"/>
        </w:rPr>
        <w:t xml:space="preserve">outlines the roles and responsibilities of the RSE auditor of an RSE licensee, and it also outlines the obligations of an RSE licensee to </w:t>
      </w:r>
      <w:proofErr w:type="gramStart"/>
      <w:r w:rsidR="00485A83" w:rsidRPr="00485A83">
        <w:rPr>
          <w:rFonts w:ascii="Times New Roman" w:hAnsi="Times New Roman"/>
          <w:sz w:val="24"/>
          <w:szCs w:val="24"/>
        </w:rPr>
        <w:t>make arrangements</w:t>
      </w:r>
      <w:proofErr w:type="gramEnd"/>
      <w:r w:rsidR="00485A83" w:rsidRPr="00485A83">
        <w:rPr>
          <w:rFonts w:ascii="Times New Roman" w:hAnsi="Times New Roman"/>
          <w:sz w:val="24"/>
          <w:szCs w:val="24"/>
        </w:rPr>
        <w:t xml:space="preserve"> to enable an RSE auditor to fulfil </w:t>
      </w:r>
      <w:r w:rsidR="00E3587C">
        <w:rPr>
          <w:rFonts w:ascii="Times New Roman" w:hAnsi="Times New Roman"/>
          <w:sz w:val="24"/>
          <w:szCs w:val="24"/>
        </w:rPr>
        <w:t>its</w:t>
      </w:r>
      <w:r w:rsidR="00485A83" w:rsidRPr="00485A83">
        <w:rPr>
          <w:rFonts w:ascii="Times New Roman" w:hAnsi="Times New Roman"/>
          <w:sz w:val="24"/>
          <w:szCs w:val="24"/>
        </w:rPr>
        <w:t xml:space="preserve"> responsibilities.</w:t>
      </w:r>
      <w:r w:rsidR="00485A83">
        <w:rPr>
          <w:color w:val="000000"/>
          <w:shd w:val="clear" w:color="auto" w:fill="FFFFFF"/>
        </w:rPr>
        <w:t> </w:t>
      </w:r>
    </w:p>
    <w:p w14:paraId="012ED1D7" w14:textId="782F60D1" w:rsidR="00E279A1" w:rsidRPr="00BF6F81" w:rsidRDefault="00485A83" w:rsidP="00E279A1">
      <w:pPr>
        <w:shd w:val="clear" w:color="auto" w:fill="FFFFFF"/>
        <w:spacing w:before="100" w:beforeAutospacing="1" w:after="240"/>
        <w:jc w:val="both"/>
        <w:rPr>
          <w:rFonts w:ascii="Times New Roman" w:hAnsi="Times New Roman"/>
          <w:sz w:val="24"/>
          <w:szCs w:val="24"/>
        </w:rPr>
      </w:pPr>
      <w:r w:rsidRPr="001E64AB">
        <w:rPr>
          <w:rFonts w:ascii="Times New Roman" w:hAnsi="Times New Roman"/>
          <w:sz w:val="24"/>
          <w:szCs w:val="24"/>
        </w:rPr>
        <w:t>The amendments being made to SPS 310 are minor; their purpose is to</w:t>
      </w:r>
      <w:r w:rsidR="00964615" w:rsidRPr="001E64AB">
        <w:rPr>
          <w:rFonts w:ascii="Times New Roman" w:hAnsi="Times New Roman"/>
          <w:sz w:val="24"/>
          <w:szCs w:val="24"/>
        </w:rPr>
        <w:t xml:space="preserve"> ensure that only relevant reporting standards are included in the audit scope for an RSE.</w:t>
      </w:r>
    </w:p>
    <w:p w14:paraId="7C34CDE5" w14:textId="77777777" w:rsidR="00E279A1" w:rsidRPr="001C1877" w:rsidRDefault="00E279A1" w:rsidP="00E279A1">
      <w:pPr>
        <w:shd w:val="clear" w:color="auto" w:fill="FFFFFF"/>
        <w:spacing w:before="100" w:beforeAutospacing="1" w:after="240"/>
        <w:jc w:val="both"/>
        <w:rPr>
          <w:rFonts w:ascii="Times New Roman" w:hAnsi="Times New Roman"/>
          <w:b/>
          <w:sz w:val="24"/>
          <w:szCs w:val="24"/>
          <w:lang w:val="en-US"/>
        </w:rPr>
      </w:pPr>
      <w:r w:rsidRPr="00FE5D7D">
        <w:rPr>
          <w:rFonts w:ascii="Times New Roman" w:hAnsi="Times New Roman"/>
          <w:b/>
          <w:bCs/>
          <w:sz w:val="24"/>
          <w:szCs w:val="24"/>
        </w:rPr>
        <w:t>Human rights implications</w:t>
      </w:r>
    </w:p>
    <w:p w14:paraId="10CBD23E" w14:textId="736BEA49"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3769C">
        <w:rPr>
          <w:rFonts w:ascii="Times New Roman" w:hAnsi="Times New Roman"/>
          <w:sz w:val="24"/>
          <w:szCs w:val="24"/>
        </w:rPr>
        <w:t>APRA has assessed the instrument against the international instruments listed in section 3 of the HRPS Act and has determined that the instrument do</w:t>
      </w:r>
      <w:r w:rsidR="00BB18AB">
        <w:rPr>
          <w:rFonts w:ascii="Times New Roman" w:hAnsi="Times New Roman"/>
          <w:sz w:val="24"/>
          <w:szCs w:val="24"/>
        </w:rPr>
        <w:t>es</w:t>
      </w:r>
      <w:r w:rsidRPr="00F3769C">
        <w:rPr>
          <w:rFonts w:ascii="Times New Roman" w:hAnsi="Times New Roman"/>
          <w:sz w:val="24"/>
          <w:szCs w:val="24"/>
        </w:rPr>
        <w:t xml:space="preserve"> not engage any of the applicable rights or freedoms.</w:t>
      </w:r>
      <w:r>
        <w:rPr>
          <w:rFonts w:ascii="Times New Roman" w:hAnsi="Times New Roman"/>
          <w:sz w:val="24"/>
          <w:szCs w:val="24"/>
        </w:rPr>
        <w:t xml:space="preserve"> Accordingly, in APRA’s assessment, the instrument </w:t>
      </w:r>
      <w:r w:rsidR="00BB18AB">
        <w:rPr>
          <w:rFonts w:ascii="Times New Roman" w:hAnsi="Times New Roman"/>
          <w:sz w:val="24"/>
          <w:szCs w:val="24"/>
        </w:rPr>
        <w:t>is</w:t>
      </w:r>
      <w:r>
        <w:rPr>
          <w:rFonts w:ascii="Times New Roman" w:hAnsi="Times New Roman"/>
          <w:sz w:val="24"/>
          <w:szCs w:val="24"/>
        </w:rPr>
        <w:t xml:space="preserve"> compatible with human rights.</w:t>
      </w:r>
    </w:p>
    <w:p w14:paraId="764D4E71" w14:textId="77777777"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b/>
          <w:bCs/>
          <w:sz w:val="24"/>
          <w:szCs w:val="24"/>
        </w:rPr>
        <w:t>Conclusion</w:t>
      </w:r>
    </w:p>
    <w:p w14:paraId="0EC72E8E" w14:textId="51336F76"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sz w:val="24"/>
          <w:szCs w:val="24"/>
        </w:rPr>
        <w:t>Th</w:t>
      </w:r>
      <w:r w:rsidR="00CF7C91">
        <w:rPr>
          <w:rFonts w:ascii="Times New Roman" w:hAnsi="Times New Roman"/>
          <w:sz w:val="24"/>
          <w:szCs w:val="24"/>
        </w:rPr>
        <w:t>is</w:t>
      </w:r>
      <w:r w:rsidRPr="00FE5D7D">
        <w:rPr>
          <w:rFonts w:ascii="Times New Roman" w:hAnsi="Times New Roman"/>
          <w:sz w:val="24"/>
          <w:szCs w:val="24"/>
        </w:rPr>
        <w:t xml:space="preserve"> Legislative Instrument</w:t>
      </w:r>
      <w:r w:rsidR="00CF7C91">
        <w:rPr>
          <w:rFonts w:ascii="Times New Roman" w:hAnsi="Times New Roman"/>
          <w:sz w:val="24"/>
          <w:szCs w:val="24"/>
        </w:rPr>
        <w:t xml:space="preserve"> is</w:t>
      </w:r>
      <w:r w:rsidRPr="00FE5D7D">
        <w:rPr>
          <w:rFonts w:ascii="Times New Roman" w:hAnsi="Times New Roman"/>
          <w:sz w:val="24"/>
          <w:szCs w:val="24"/>
        </w:rPr>
        <w:t xml:space="preserve"> compatible with human rights as </w:t>
      </w:r>
      <w:r w:rsidR="00CF7C91">
        <w:rPr>
          <w:rFonts w:ascii="Times New Roman" w:hAnsi="Times New Roman"/>
          <w:sz w:val="24"/>
          <w:szCs w:val="24"/>
        </w:rPr>
        <w:t xml:space="preserve">it does not </w:t>
      </w:r>
      <w:r w:rsidRPr="00FE5D7D">
        <w:rPr>
          <w:rFonts w:ascii="Times New Roman" w:hAnsi="Times New Roman"/>
          <w:sz w:val="24"/>
          <w:szCs w:val="24"/>
        </w:rPr>
        <w:t>raise any human rights issues.</w:t>
      </w:r>
    </w:p>
    <w:p w14:paraId="0A51A779" w14:textId="77777777" w:rsidR="00E279A1" w:rsidRDefault="00E279A1" w:rsidP="00E279A1"/>
    <w:p w14:paraId="69DB4F00" w14:textId="77777777" w:rsidR="00E279A1" w:rsidRPr="00FA5345" w:rsidRDefault="00E279A1" w:rsidP="00DF7DA0">
      <w:pPr>
        <w:spacing w:after="240"/>
      </w:pPr>
    </w:p>
    <w:sectPr w:rsidR="00E279A1" w:rsidRPr="00FA5345" w:rsidSect="003D5032">
      <w:footerReference w:type="default" r:id="rId14"/>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B9A4" w14:textId="77777777" w:rsidR="00F5607A" w:rsidRDefault="00F5607A" w:rsidP="00DF7DA0">
      <w:r>
        <w:separator/>
      </w:r>
    </w:p>
  </w:endnote>
  <w:endnote w:type="continuationSeparator" w:id="0">
    <w:p w14:paraId="6641F6FB" w14:textId="77777777" w:rsidR="00F5607A" w:rsidRDefault="00F5607A" w:rsidP="00DF7DA0">
      <w:r>
        <w:continuationSeparator/>
      </w:r>
    </w:p>
  </w:endnote>
  <w:endnote w:type="continuationNotice" w:id="1">
    <w:p w14:paraId="05602036" w14:textId="77777777" w:rsidR="002C3CD9" w:rsidRDefault="002C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rPr>
        <w:rFonts w:ascii="Times New Roman" w:hAnsi="Times New Roman"/>
        <w:sz w:val="24"/>
        <w:szCs w:val="24"/>
      </w:rPr>
    </w:sdtEndPr>
    <w:sdtContent>
      <w:p w14:paraId="1A705CBD" w14:textId="77777777" w:rsidR="00DF7DA0" w:rsidRPr="00DF7DA0" w:rsidRDefault="00DF7DA0" w:rsidP="00DF7DA0">
        <w:pPr>
          <w:pStyle w:val="Footer"/>
          <w:jc w:val="center"/>
          <w:rPr>
            <w:rFonts w:ascii="Times New Roman" w:hAnsi="Times New Roman"/>
            <w:sz w:val="24"/>
            <w:szCs w:val="24"/>
          </w:rPr>
        </w:pPr>
        <w:r w:rsidRPr="00DF7DA0">
          <w:rPr>
            <w:rFonts w:ascii="Times New Roman" w:hAnsi="Times New Roman"/>
            <w:bCs/>
            <w:sz w:val="24"/>
            <w:szCs w:val="24"/>
          </w:rPr>
          <w:fldChar w:fldCharType="begin"/>
        </w:r>
        <w:r w:rsidRPr="00DF7DA0">
          <w:rPr>
            <w:rFonts w:ascii="Times New Roman" w:hAnsi="Times New Roman"/>
            <w:bCs/>
            <w:sz w:val="24"/>
            <w:szCs w:val="24"/>
          </w:rPr>
          <w:instrText xml:space="preserve"> PAGE </w:instrText>
        </w:r>
        <w:r w:rsidRPr="00DF7DA0">
          <w:rPr>
            <w:rFonts w:ascii="Times New Roman" w:hAnsi="Times New Roman"/>
            <w:bCs/>
            <w:sz w:val="24"/>
            <w:szCs w:val="24"/>
          </w:rPr>
          <w:fldChar w:fldCharType="separate"/>
        </w:r>
        <w:r w:rsidR="000B3CB4">
          <w:rPr>
            <w:rFonts w:ascii="Times New Roman" w:hAnsi="Times New Roman"/>
            <w:bCs/>
            <w:noProof/>
            <w:sz w:val="24"/>
            <w:szCs w:val="24"/>
          </w:rPr>
          <w:t>2</w:t>
        </w:r>
        <w:r w:rsidRPr="00DF7DA0">
          <w:rPr>
            <w:rFonts w:ascii="Times New Roman" w:hAnsi="Times New Roman"/>
            <w:bCs/>
            <w:sz w:val="24"/>
            <w:szCs w:val="24"/>
          </w:rPr>
          <w:fldChar w:fldCharType="end"/>
        </w:r>
      </w:p>
    </w:sdtContent>
  </w:sdt>
  <w:p w14:paraId="63A27E33" w14:textId="77777777" w:rsidR="00DF7DA0" w:rsidRDefault="00DF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EE60" w14:textId="77777777" w:rsidR="00F5607A" w:rsidRDefault="00F5607A" w:rsidP="00DF7DA0">
      <w:r>
        <w:separator/>
      </w:r>
    </w:p>
  </w:footnote>
  <w:footnote w:type="continuationSeparator" w:id="0">
    <w:p w14:paraId="79CB030D" w14:textId="77777777" w:rsidR="00F5607A" w:rsidRDefault="00F5607A" w:rsidP="00DF7DA0">
      <w:r>
        <w:continuationSeparator/>
      </w:r>
    </w:p>
  </w:footnote>
  <w:footnote w:type="continuationNotice" w:id="1">
    <w:p w14:paraId="624F8712" w14:textId="77777777" w:rsidR="002C3CD9" w:rsidRDefault="002C3CD9"/>
  </w:footnote>
  <w:footnote w:id="2">
    <w:p w14:paraId="7760CE60" w14:textId="037F4725" w:rsidR="009A6A46" w:rsidRPr="001E5699" w:rsidRDefault="009A6A46">
      <w:pPr>
        <w:pStyle w:val="FootnoteText"/>
        <w:rPr>
          <w:rFonts w:ascii="Times New Roman" w:hAnsi="Times New Roman"/>
          <w:sz w:val="18"/>
          <w:szCs w:val="18"/>
        </w:rPr>
      </w:pPr>
      <w:r w:rsidRPr="00197636">
        <w:rPr>
          <w:rStyle w:val="FootnoteReference"/>
          <w:rFonts w:ascii="Times New Roman" w:hAnsi="Times New Roman"/>
        </w:rPr>
        <w:footnoteRef/>
      </w:r>
      <w:r w:rsidRPr="00197636">
        <w:rPr>
          <w:rFonts w:ascii="Times New Roman" w:hAnsi="Times New Roman"/>
        </w:rPr>
        <w:t xml:space="preserve"> </w:t>
      </w:r>
      <w:r w:rsidR="00A11B8F" w:rsidRPr="001E5699">
        <w:rPr>
          <w:rFonts w:ascii="Times New Roman" w:hAnsi="Times New Roman"/>
          <w:sz w:val="18"/>
          <w:szCs w:val="18"/>
        </w:rPr>
        <w:t>S</w:t>
      </w:r>
      <w:r w:rsidR="00A404F4" w:rsidRPr="001E5699">
        <w:rPr>
          <w:rFonts w:ascii="Times New Roman" w:hAnsi="Times New Roman"/>
          <w:sz w:val="18"/>
          <w:szCs w:val="18"/>
        </w:rPr>
        <w:t xml:space="preserve">ection 54B of the Act, provides that breach of a covenant under sections 52 or 52A is a civil penalty provision. </w:t>
      </w:r>
    </w:p>
  </w:footnote>
  <w:footnote w:id="3">
    <w:p w14:paraId="7D14FBB1" w14:textId="1C0B30A7" w:rsidR="007A0703" w:rsidRPr="001E5699" w:rsidRDefault="007A0703">
      <w:pPr>
        <w:pStyle w:val="FootnoteText"/>
        <w:rPr>
          <w:rFonts w:ascii="Times New Roman" w:hAnsi="Times New Roman"/>
          <w:sz w:val="18"/>
          <w:szCs w:val="18"/>
        </w:rPr>
      </w:pPr>
      <w:r w:rsidRPr="001E5699">
        <w:rPr>
          <w:rStyle w:val="FootnoteReference"/>
          <w:rFonts w:ascii="Times New Roman" w:hAnsi="Times New Roman"/>
          <w:sz w:val="18"/>
          <w:szCs w:val="18"/>
        </w:rPr>
        <w:footnoteRef/>
      </w:r>
      <w:r w:rsidRPr="001E5699">
        <w:rPr>
          <w:rFonts w:ascii="Times New Roman" w:hAnsi="Times New Roman"/>
          <w:sz w:val="18"/>
          <w:szCs w:val="18"/>
        </w:rPr>
        <w:t xml:space="preserve"> For paragraph 44(2)(b) of the Legislation Act, section 42 of the </w:t>
      </w:r>
      <w:r w:rsidR="00923DDC" w:rsidRPr="001E5699">
        <w:rPr>
          <w:rFonts w:ascii="Times New Roman" w:hAnsi="Times New Roman"/>
          <w:sz w:val="18"/>
          <w:szCs w:val="18"/>
        </w:rPr>
        <w:t xml:space="preserve">Legislation </w:t>
      </w:r>
      <w:r w:rsidRPr="001E5699">
        <w:rPr>
          <w:rFonts w:ascii="Times New Roman" w:hAnsi="Times New Roman"/>
          <w:sz w:val="18"/>
          <w:szCs w:val="18"/>
        </w:rPr>
        <w:t>Act (disallowance of legislative instruments) does not apply to a legislative instrument in a class of legislative instrument referred to in an item of the table contained in regulation 9 of the Legislation Regulations. Item 3 of the table contained in regulation 9 of the Legislation Regulations provides that ‘an instrument (other than a regulation) relating to superannuation’ is a class of legislative instrument not subject to disallowance.</w:t>
      </w:r>
      <w:r w:rsidR="00AD3AC8" w:rsidRPr="001E5699">
        <w:rPr>
          <w:rFonts w:ascii="Times New Roman" w:hAnsi="Times New Roman"/>
          <w:sz w:val="18"/>
          <w:szCs w:val="18"/>
        </w:rPr>
        <w:t xml:space="preserve"> </w:t>
      </w:r>
      <w:r w:rsidRPr="001E5699">
        <w:rPr>
          <w:rFonts w:ascii="Times New Roman" w:hAnsi="Times New Roman"/>
          <w:sz w:val="18"/>
          <w:szCs w:val="18"/>
        </w:rPr>
        <w:t xml:space="preserve"> </w:t>
      </w:r>
    </w:p>
  </w:footnote>
  <w:footnote w:id="4">
    <w:p w14:paraId="406152DC" w14:textId="4F33C970" w:rsidR="00571E11" w:rsidRPr="00197636" w:rsidRDefault="00571E11">
      <w:pPr>
        <w:pStyle w:val="FootnoteText"/>
        <w:rPr>
          <w:rFonts w:ascii="Times New Roman" w:hAnsi="Times New Roman"/>
          <w:sz w:val="18"/>
          <w:szCs w:val="18"/>
        </w:rPr>
      </w:pPr>
      <w:r w:rsidRPr="001E5699">
        <w:rPr>
          <w:rStyle w:val="FootnoteReference"/>
          <w:rFonts w:ascii="Times New Roman" w:hAnsi="Times New Roman"/>
          <w:sz w:val="18"/>
          <w:szCs w:val="18"/>
        </w:rPr>
        <w:footnoteRef/>
      </w:r>
      <w:r w:rsidRPr="001E5699">
        <w:rPr>
          <w:rFonts w:ascii="Times New Roman" w:hAnsi="Times New Roman"/>
          <w:sz w:val="18"/>
          <w:szCs w:val="18"/>
        </w:rPr>
        <w:t xml:space="preserve"> For paragraph 54(2)(b) of the Legislation Act, Part 4 of Chapter 3 of the Legislation Act (sunsetting of legislative instruments) does not apply to a legislative instrument in a </w:t>
      </w:r>
      <w:r w:rsidR="007D52E3" w:rsidRPr="001E5699">
        <w:rPr>
          <w:rFonts w:ascii="Times New Roman" w:hAnsi="Times New Roman"/>
          <w:sz w:val="18"/>
          <w:szCs w:val="18"/>
        </w:rPr>
        <w:t>class of legislative instruments referred to in an item of the table contained in regulation 11 of the Legislation Regulations. Item 6 of the table contained in regulation 11 of the Legislation Regulations provides that ‘an instrument (other than a regulation) relating to superannuation’ is a class of legislative instrument not subject to sunsetting.</w:t>
      </w:r>
      <w:r w:rsidR="00AD3AC8" w:rsidRPr="001E5699">
        <w:rPr>
          <w:rFonts w:ascii="Times New Roman" w:hAnsi="Times New Roman"/>
          <w:sz w:val="18"/>
          <w:szCs w:val="18"/>
        </w:rPr>
        <w:t xml:space="preserve"> </w:t>
      </w:r>
    </w:p>
  </w:footnote>
  <w:footnote w:id="5">
    <w:p w14:paraId="1D51CF69" w14:textId="521EA60F" w:rsidR="0076259B" w:rsidRDefault="0076259B">
      <w:pPr>
        <w:pStyle w:val="FootnoteText"/>
      </w:pPr>
      <w:r w:rsidRPr="0076259B">
        <w:rPr>
          <w:rStyle w:val="FootnoteReference"/>
          <w:sz w:val="18"/>
          <w:szCs w:val="18"/>
        </w:rPr>
        <w:footnoteRef/>
      </w:r>
      <w:r w:rsidRPr="0076259B">
        <w:rPr>
          <w:sz w:val="18"/>
          <w:szCs w:val="18"/>
        </w:rPr>
        <w:t xml:space="preserve"> </w:t>
      </w:r>
      <w:r w:rsidRPr="0076259B">
        <w:rPr>
          <w:rFonts w:ascii="Times New Roman" w:hAnsi="Times New Roman"/>
          <w:sz w:val="18"/>
          <w:szCs w:val="18"/>
        </w:rPr>
        <w:t xml:space="preserve">APRA is not obliged to prepare a statement given SPS </w:t>
      </w:r>
      <w:r w:rsidR="00995C74">
        <w:rPr>
          <w:rFonts w:ascii="Times New Roman" w:hAnsi="Times New Roman"/>
          <w:sz w:val="18"/>
          <w:szCs w:val="18"/>
        </w:rPr>
        <w:t>310</w:t>
      </w:r>
      <w:r w:rsidRPr="0076259B">
        <w:rPr>
          <w:rFonts w:ascii="Times New Roman" w:hAnsi="Times New Roman"/>
          <w:sz w:val="18"/>
          <w:szCs w:val="18"/>
        </w:rPr>
        <w:t xml:space="preserve"> is exempt from disallowance, however, has nonetheless prepared one: see section 9(1) of the </w:t>
      </w:r>
      <w:r w:rsidRPr="0076259B">
        <w:rPr>
          <w:rFonts w:ascii="Times New Roman" w:hAnsi="Times New Roman"/>
          <w:i/>
          <w:sz w:val="18"/>
          <w:szCs w:val="18"/>
        </w:rPr>
        <w:t>Human Rights (Parliamentary Scrutiny) Act 2011</w:t>
      </w:r>
      <w:r w:rsidRPr="0076259B">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68"/>
    <w:multiLevelType w:val="hybridMultilevel"/>
    <w:tmpl w:val="712AC2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0B05EA"/>
    <w:multiLevelType w:val="hybridMultilevel"/>
    <w:tmpl w:val="13C6D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B8E5B9A"/>
    <w:multiLevelType w:val="hybridMultilevel"/>
    <w:tmpl w:val="537669BE"/>
    <w:lvl w:ilvl="0" w:tplc="2876A41C">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B2036"/>
    <w:multiLevelType w:val="hybridMultilevel"/>
    <w:tmpl w:val="3D54394A"/>
    <w:lvl w:ilvl="0" w:tplc="64A0EC0C">
      <w:start w:val="3"/>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80F2F"/>
    <w:multiLevelType w:val="hybridMultilevel"/>
    <w:tmpl w:val="0BCC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4677E"/>
    <w:multiLevelType w:val="hybridMultilevel"/>
    <w:tmpl w:val="2700A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7C6E49"/>
    <w:multiLevelType w:val="hybridMultilevel"/>
    <w:tmpl w:val="F70A06DA"/>
    <w:lvl w:ilvl="0" w:tplc="771E19C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F46AD"/>
    <w:multiLevelType w:val="hybridMultilevel"/>
    <w:tmpl w:val="21B6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7550E3"/>
    <w:multiLevelType w:val="hybridMultilevel"/>
    <w:tmpl w:val="ED36B4FC"/>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F897051"/>
    <w:multiLevelType w:val="hybridMultilevel"/>
    <w:tmpl w:val="3992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9F540D"/>
    <w:multiLevelType w:val="hybridMultilevel"/>
    <w:tmpl w:val="66EC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272816"/>
    <w:multiLevelType w:val="hybridMultilevel"/>
    <w:tmpl w:val="339A1CD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56775EDE"/>
    <w:multiLevelType w:val="hybridMultilevel"/>
    <w:tmpl w:val="1A9A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3F12FF"/>
    <w:multiLevelType w:val="multilevel"/>
    <w:tmpl w:val="ED7A05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A3D61"/>
    <w:multiLevelType w:val="hybridMultilevel"/>
    <w:tmpl w:val="11C899CC"/>
    <w:lvl w:ilvl="0" w:tplc="CA305248">
      <w:start w:val="1"/>
      <w:numFmt w:val="bullet"/>
      <w:lvlText w:val=""/>
      <w:lvlJc w:val="left"/>
      <w:pPr>
        <w:tabs>
          <w:tab w:val="num" w:pos="567"/>
        </w:tabs>
        <w:ind w:left="567" w:hanging="567"/>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B336A"/>
    <w:multiLevelType w:val="hybridMultilevel"/>
    <w:tmpl w:val="2F2E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300AF"/>
    <w:multiLevelType w:val="hybridMultilevel"/>
    <w:tmpl w:val="BA30648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9"/>
  </w:num>
  <w:num w:numId="2">
    <w:abstractNumId w:val="2"/>
  </w:num>
  <w:num w:numId="3">
    <w:abstractNumId w:val="17"/>
  </w:num>
  <w:num w:numId="4">
    <w:abstractNumId w:val="7"/>
  </w:num>
  <w:num w:numId="5">
    <w:abstractNumId w:val="8"/>
  </w:num>
  <w:num w:numId="6">
    <w:abstractNumId w:val="18"/>
  </w:num>
  <w:num w:numId="7">
    <w:abstractNumId w:val="0"/>
  </w:num>
  <w:num w:numId="8">
    <w:abstractNumId w:val="12"/>
  </w:num>
  <w:num w:numId="9">
    <w:abstractNumId w:val="13"/>
  </w:num>
  <w:num w:numId="10">
    <w:abstractNumId w:val="16"/>
  </w:num>
  <w:num w:numId="11">
    <w:abstractNumId w:val="3"/>
  </w:num>
  <w:num w:numId="12">
    <w:abstractNumId w:val="1"/>
  </w:num>
  <w:num w:numId="13">
    <w:abstractNumId w:val="11"/>
  </w:num>
  <w:num w:numId="14">
    <w:abstractNumId w:val="19"/>
  </w:num>
  <w:num w:numId="15">
    <w:abstractNumId w:val="14"/>
  </w:num>
  <w:num w:numId="16">
    <w:abstractNumId w:val="4"/>
  </w:num>
  <w:num w:numId="17">
    <w:abstractNumId w:val="5"/>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7A"/>
    <w:rsid w:val="0000211E"/>
    <w:rsid w:val="00003D3A"/>
    <w:rsid w:val="00004D34"/>
    <w:rsid w:val="00006985"/>
    <w:rsid w:val="000069AE"/>
    <w:rsid w:val="00016BD3"/>
    <w:rsid w:val="00016D0F"/>
    <w:rsid w:val="0001722A"/>
    <w:rsid w:val="00020E2B"/>
    <w:rsid w:val="00025A42"/>
    <w:rsid w:val="000338D0"/>
    <w:rsid w:val="00035520"/>
    <w:rsid w:val="00037061"/>
    <w:rsid w:val="000401FC"/>
    <w:rsid w:val="00040F1E"/>
    <w:rsid w:val="0004133C"/>
    <w:rsid w:val="00044BCB"/>
    <w:rsid w:val="0006663F"/>
    <w:rsid w:val="00075E9E"/>
    <w:rsid w:val="000855A3"/>
    <w:rsid w:val="0008604B"/>
    <w:rsid w:val="000948F3"/>
    <w:rsid w:val="00096AC5"/>
    <w:rsid w:val="0009745C"/>
    <w:rsid w:val="000A37CE"/>
    <w:rsid w:val="000A6540"/>
    <w:rsid w:val="000B1FBB"/>
    <w:rsid w:val="000B3CB4"/>
    <w:rsid w:val="000B56E7"/>
    <w:rsid w:val="000B61D2"/>
    <w:rsid w:val="000B6364"/>
    <w:rsid w:val="000B6A84"/>
    <w:rsid w:val="000C08C8"/>
    <w:rsid w:val="000C30E3"/>
    <w:rsid w:val="000C37FB"/>
    <w:rsid w:val="000D7812"/>
    <w:rsid w:val="000E369C"/>
    <w:rsid w:val="000E542D"/>
    <w:rsid w:val="000F2E25"/>
    <w:rsid w:val="000F79BD"/>
    <w:rsid w:val="00106E67"/>
    <w:rsid w:val="00107606"/>
    <w:rsid w:val="00111E49"/>
    <w:rsid w:val="00113281"/>
    <w:rsid w:val="0011568C"/>
    <w:rsid w:val="00120CB0"/>
    <w:rsid w:val="00122D99"/>
    <w:rsid w:val="00125B9D"/>
    <w:rsid w:val="00133122"/>
    <w:rsid w:val="00135220"/>
    <w:rsid w:val="001360B0"/>
    <w:rsid w:val="00137803"/>
    <w:rsid w:val="00152D94"/>
    <w:rsid w:val="001552ED"/>
    <w:rsid w:val="00155C61"/>
    <w:rsid w:val="0016350D"/>
    <w:rsid w:val="00163E20"/>
    <w:rsid w:val="0016538C"/>
    <w:rsid w:val="00165AA4"/>
    <w:rsid w:val="00166735"/>
    <w:rsid w:val="001668DE"/>
    <w:rsid w:val="001711F5"/>
    <w:rsid w:val="00172045"/>
    <w:rsid w:val="0017243A"/>
    <w:rsid w:val="0017247E"/>
    <w:rsid w:val="00172A72"/>
    <w:rsid w:val="0017321F"/>
    <w:rsid w:val="001772AE"/>
    <w:rsid w:val="0018169D"/>
    <w:rsid w:val="00182FA1"/>
    <w:rsid w:val="00190FA5"/>
    <w:rsid w:val="00192509"/>
    <w:rsid w:val="00195547"/>
    <w:rsid w:val="001962F7"/>
    <w:rsid w:val="00197636"/>
    <w:rsid w:val="001A5DBF"/>
    <w:rsid w:val="001C1877"/>
    <w:rsid w:val="001C24B0"/>
    <w:rsid w:val="001C45A1"/>
    <w:rsid w:val="001D0BC8"/>
    <w:rsid w:val="001D1759"/>
    <w:rsid w:val="001E5699"/>
    <w:rsid w:val="001E64AB"/>
    <w:rsid w:val="001E6F23"/>
    <w:rsid w:val="001F7867"/>
    <w:rsid w:val="00202081"/>
    <w:rsid w:val="0021033D"/>
    <w:rsid w:val="00211025"/>
    <w:rsid w:val="00212B1D"/>
    <w:rsid w:val="00223ADB"/>
    <w:rsid w:val="00226FF7"/>
    <w:rsid w:val="00233413"/>
    <w:rsid w:val="00234A38"/>
    <w:rsid w:val="00235F0C"/>
    <w:rsid w:val="002434C1"/>
    <w:rsid w:val="002436BD"/>
    <w:rsid w:val="00246723"/>
    <w:rsid w:val="00255C5E"/>
    <w:rsid w:val="00255F6C"/>
    <w:rsid w:val="00261E60"/>
    <w:rsid w:val="00263F20"/>
    <w:rsid w:val="00264CD9"/>
    <w:rsid w:val="00265730"/>
    <w:rsid w:val="0027160A"/>
    <w:rsid w:val="00277DF0"/>
    <w:rsid w:val="0029627F"/>
    <w:rsid w:val="002A73BD"/>
    <w:rsid w:val="002A73C5"/>
    <w:rsid w:val="002B2FA6"/>
    <w:rsid w:val="002B65E6"/>
    <w:rsid w:val="002B6CED"/>
    <w:rsid w:val="002B709F"/>
    <w:rsid w:val="002C3CD9"/>
    <w:rsid w:val="002C4F7F"/>
    <w:rsid w:val="002C52D7"/>
    <w:rsid w:val="002C55A3"/>
    <w:rsid w:val="002C64DE"/>
    <w:rsid w:val="002D2D17"/>
    <w:rsid w:val="002D3FF9"/>
    <w:rsid w:val="002E34A7"/>
    <w:rsid w:val="002E5004"/>
    <w:rsid w:val="002E79E6"/>
    <w:rsid w:val="002F61FF"/>
    <w:rsid w:val="002F7A66"/>
    <w:rsid w:val="003023BD"/>
    <w:rsid w:val="0030506B"/>
    <w:rsid w:val="00311EE7"/>
    <w:rsid w:val="0031781F"/>
    <w:rsid w:val="003265A2"/>
    <w:rsid w:val="00344EAB"/>
    <w:rsid w:val="00354CB8"/>
    <w:rsid w:val="003609BC"/>
    <w:rsid w:val="003749D1"/>
    <w:rsid w:val="00380F98"/>
    <w:rsid w:val="003852E9"/>
    <w:rsid w:val="003866AD"/>
    <w:rsid w:val="0039405E"/>
    <w:rsid w:val="0039621F"/>
    <w:rsid w:val="003A0CC1"/>
    <w:rsid w:val="003A50C1"/>
    <w:rsid w:val="003A5643"/>
    <w:rsid w:val="003B4EF4"/>
    <w:rsid w:val="003C13E2"/>
    <w:rsid w:val="003C1F77"/>
    <w:rsid w:val="003C31CC"/>
    <w:rsid w:val="003D5032"/>
    <w:rsid w:val="003E64E6"/>
    <w:rsid w:val="003E74BF"/>
    <w:rsid w:val="003F7616"/>
    <w:rsid w:val="0040175E"/>
    <w:rsid w:val="00405D70"/>
    <w:rsid w:val="00411555"/>
    <w:rsid w:val="004137FF"/>
    <w:rsid w:val="00417D9C"/>
    <w:rsid w:val="004220C0"/>
    <w:rsid w:val="00422164"/>
    <w:rsid w:val="00430689"/>
    <w:rsid w:val="00430E26"/>
    <w:rsid w:val="00436C11"/>
    <w:rsid w:val="00442030"/>
    <w:rsid w:val="00443A02"/>
    <w:rsid w:val="00444FCF"/>
    <w:rsid w:val="004500A1"/>
    <w:rsid w:val="004521F3"/>
    <w:rsid w:val="00457C57"/>
    <w:rsid w:val="00460C21"/>
    <w:rsid w:val="00462C7E"/>
    <w:rsid w:val="00470375"/>
    <w:rsid w:val="00481258"/>
    <w:rsid w:val="00485A83"/>
    <w:rsid w:val="00487A77"/>
    <w:rsid w:val="0049096E"/>
    <w:rsid w:val="004A18C4"/>
    <w:rsid w:val="004B184C"/>
    <w:rsid w:val="004B4167"/>
    <w:rsid w:val="004C3D07"/>
    <w:rsid w:val="004C459E"/>
    <w:rsid w:val="004D0F0E"/>
    <w:rsid w:val="004D4296"/>
    <w:rsid w:val="004D55F9"/>
    <w:rsid w:val="004E2008"/>
    <w:rsid w:val="004F27C7"/>
    <w:rsid w:val="00500D34"/>
    <w:rsid w:val="00512533"/>
    <w:rsid w:val="00522BA9"/>
    <w:rsid w:val="005231C8"/>
    <w:rsid w:val="00531D87"/>
    <w:rsid w:val="005332F9"/>
    <w:rsid w:val="00535987"/>
    <w:rsid w:val="00535EF1"/>
    <w:rsid w:val="00537603"/>
    <w:rsid w:val="00546BFD"/>
    <w:rsid w:val="005548B1"/>
    <w:rsid w:val="0056141D"/>
    <w:rsid w:val="005628F9"/>
    <w:rsid w:val="00565E81"/>
    <w:rsid w:val="00571E11"/>
    <w:rsid w:val="00577D6D"/>
    <w:rsid w:val="00593C4C"/>
    <w:rsid w:val="005A456C"/>
    <w:rsid w:val="005A7892"/>
    <w:rsid w:val="005A7E85"/>
    <w:rsid w:val="005D4FB9"/>
    <w:rsid w:val="005E5910"/>
    <w:rsid w:val="005F0C94"/>
    <w:rsid w:val="005F0EB1"/>
    <w:rsid w:val="005F7AB7"/>
    <w:rsid w:val="00605C29"/>
    <w:rsid w:val="006070E4"/>
    <w:rsid w:val="00613CBF"/>
    <w:rsid w:val="00616459"/>
    <w:rsid w:val="00616A26"/>
    <w:rsid w:val="00622480"/>
    <w:rsid w:val="00622863"/>
    <w:rsid w:val="00633D81"/>
    <w:rsid w:val="00644AEA"/>
    <w:rsid w:val="00647D58"/>
    <w:rsid w:val="0065408F"/>
    <w:rsid w:val="00655939"/>
    <w:rsid w:val="00657678"/>
    <w:rsid w:val="00664225"/>
    <w:rsid w:val="00675FC7"/>
    <w:rsid w:val="00677173"/>
    <w:rsid w:val="00680283"/>
    <w:rsid w:val="00682865"/>
    <w:rsid w:val="00684F73"/>
    <w:rsid w:val="006906D0"/>
    <w:rsid w:val="00694691"/>
    <w:rsid w:val="006A1ED9"/>
    <w:rsid w:val="006B093F"/>
    <w:rsid w:val="006B1B0D"/>
    <w:rsid w:val="006C2116"/>
    <w:rsid w:val="006D1987"/>
    <w:rsid w:val="006D2106"/>
    <w:rsid w:val="006E3B76"/>
    <w:rsid w:val="007006BD"/>
    <w:rsid w:val="007029D7"/>
    <w:rsid w:val="007031F4"/>
    <w:rsid w:val="007049CF"/>
    <w:rsid w:val="007059C3"/>
    <w:rsid w:val="007069EA"/>
    <w:rsid w:val="00716876"/>
    <w:rsid w:val="007230BF"/>
    <w:rsid w:val="007255AF"/>
    <w:rsid w:val="007368AD"/>
    <w:rsid w:val="0074164E"/>
    <w:rsid w:val="00741A6C"/>
    <w:rsid w:val="007428D4"/>
    <w:rsid w:val="00744467"/>
    <w:rsid w:val="00747AFF"/>
    <w:rsid w:val="00753B5D"/>
    <w:rsid w:val="007548D7"/>
    <w:rsid w:val="0076259B"/>
    <w:rsid w:val="00785CDC"/>
    <w:rsid w:val="00787EB5"/>
    <w:rsid w:val="00787FB9"/>
    <w:rsid w:val="007924FE"/>
    <w:rsid w:val="00794F82"/>
    <w:rsid w:val="00795768"/>
    <w:rsid w:val="00796547"/>
    <w:rsid w:val="00796929"/>
    <w:rsid w:val="00796D0C"/>
    <w:rsid w:val="007A0703"/>
    <w:rsid w:val="007B22CE"/>
    <w:rsid w:val="007B2DBD"/>
    <w:rsid w:val="007C00BD"/>
    <w:rsid w:val="007C4986"/>
    <w:rsid w:val="007C5F2A"/>
    <w:rsid w:val="007C6D43"/>
    <w:rsid w:val="007D1E35"/>
    <w:rsid w:val="007D52E3"/>
    <w:rsid w:val="007E1208"/>
    <w:rsid w:val="007E4B2A"/>
    <w:rsid w:val="00800CFB"/>
    <w:rsid w:val="00803AC4"/>
    <w:rsid w:val="008046ED"/>
    <w:rsid w:val="008236F9"/>
    <w:rsid w:val="0082631A"/>
    <w:rsid w:val="00826AD4"/>
    <w:rsid w:val="00830F66"/>
    <w:rsid w:val="00831858"/>
    <w:rsid w:val="008412DB"/>
    <w:rsid w:val="00842C5B"/>
    <w:rsid w:val="0084439D"/>
    <w:rsid w:val="008446C6"/>
    <w:rsid w:val="0084478C"/>
    <w:rsid w:val="0085167F"/>
    <w:rsid w:val="008554BE"/>
    <w:rsid w:val="008620B8"/>
    <w:rsid w:val="00865895"/>
    <w:rsid w:val="00866FE6"/>
    <w:rsid w:val="00885F41"/>
    <w:rsid w:val="008A2C86"/>
    <w:rsid w:val="008A2F07"/>
    <w:rsid w:val="008A6E40"/>
    <w:rsid w:val="008B6FFB"/>
    <w:rsid w:val="008C0101"/>
    <w:rsid w:val="008C0C2E"/>
    <w:rsid w:val="008C6D53"/>
    <w:rsid w:val="008C7C92"/>
    <w:rsid w:val="008D073D"/>
    <w:rsid w:val="008D7075"/>
    <w:rsid w:val="008D7C49"/>
    <w:rsid w:val="008F5BAC"/>
    <w:rsid w:val="00923DDC"/>
    <w:rsid w:val="00927AEE"/>
    <w:rsid w:val="00927C4F"/>
    <w:rsid w:val="00932EFA"/>
    <w:rsid w:val="00943B66"/>
    <w:rsid w:val="00947FDA"/>
    <w:rsid w:val="009571CD"/>
    <w:rsid w:val="00962548"/>
    <w:rsid w:val="0096284F"/>
    <w:rsid w:val="00962A09"/>
    <w:rsid w:val="00964615"/>
    <w:rsid w:val="009669EA"/>
    <w:rsid w:val="00967D16"/>
    <w:rsid w:val="00971995"/>
    <w:rsid w:val="00975A5C"/>
    <w:rsid w:val="00977A86"/>
    <w:rsid w:val="009833A8"/>
    <w:rsid w:val="00983C17"/>
    <w:rsid w:val="00985C45"/>
    <w:rsid w:val="00987A56"/>
    <w:rsid w:val="009927BF"/>
    <w:rsid w:val="00993547"/>
    <w:rsid w:val="00995B88"/>
    <w:rsid w:val="00995C74"/>
    <w:rsid w:val="009965A4"/>
    <w:rsid w:val="009A2ACA"/>
    <w:rsid w:val="009A2C39"/>
    <w:rsid w:val="009A6A46"/>
    <w:rsid w:val="009B04E6"/>
    <w:rsid w:val="009B0B2F"/>
    <w:rsid w:val="009B247E"/>
    <w:rsid w:val="009C1DC7"/>
    <w:rsid w:val="009C5368"/>
    <w:rsid w:val="009D2C44"/>
    <w:rsid w:val="009D6E44"/>
    <w:rsid w:val="009E0216"/>
    <w:rsid w:val="009E3447"/>
    <w:rsid w:val="009E3460"/>
    <w:rsid w:val="009F1483"/>
    <w:rsid w:val="009F46D3"/>
    <w:rsid w:val="00A0403E"/>
    <w:rsid w:val="00A070BE"/>
    <w:rsid w:val="00A10FE9"/>
    <w:rsid w:val="00A11B8F"/>
    <w:rsid w:val="00A1494E"/>
    <w:rsid w:val="00A25FDF"/>
    <w:rsid w:val="00A26788"/>
    <w:rsid w:val="00A2736E"/>
    <w:rsid w:val="00A279AF"/>
    <w:rsid w:val="00A32F55"/>
    <w:rsid w:val="00A34B68"/>
    <w:rsid w:val="00A37E81"/>
    <w:rsid w:val="00A404F4"/>
    <w:rsid w:val="00A4133B"/>
    <w:rsid w:val="00A43169"/>
    <w:rsid w:val="00A44E24"/>
    <w:rsid w:val="00A502BE"/>
    <w:rsid w:val="00A502DA"/>
    <w:rsid w:val="00A573C7"/>
    <w:rsid w:val="00A6325C"/>
    <w:rsid w:val="00A63A2B"/>
    <w:rsid w:val="00A82D08"/>
    <w:rsid w:val="00A85FF7"/>
    <w:rsid w:val="00A87DEE"/>
    <w:rsid w:val="00A90B1C"/>
    <w:rsid w:val="00A94110"/>
    <w:rsid w:val="00A94C9A"/>
    <w:rsid w:val="00AA57E0"/>
    <w:rsid w:val="00AC151B"/>
    <w:rsid w:val="00AC21F0"/>
    <w:rsid w:val="00AC2517"/>
    <w:rsid w:val="00AC61D6"/>
    <w:rsid w:val="00AC7A56"/>
    <w:rsid w:val="00AD22B1"/>
    <w:rsid w:val="00AD3AC8"/>
    <w:rsid w:val="00AD4285"/>
    <w:rsid w:val="00AD4EA9"/>
    <w:rsid w:val="00AD7979"/>
    <w:rsid w:val="00AE31D2"/>
    <w:rsid w:val="00AE3C14"/>
    <w:rsid w:val="00B04B20"/>
    <w:rsid w:val="00B06385"/>
    <w:rsid w:val="00B21718"/>
    <w:rsid w:val="00B249D5"/>
    <w:rsid w:val="00B334CA"/>
    <w:rsid w:val="00B37BFC"/>
    <w:rsid w:val="00B50E32"/>
    <w:rsid w:val="00B54923"/>
    <w:rsid w:val="00B64B2E"/>
    <w:rsid w:val="00B7245C"/>
    <w:rsid w:val="00B772C2"/>
    <w:rsid w:val="00B77512"/>
    <w:rsid w:val="00B77FF9"/>
    <w:rsid w:val="00B85B6E"/>
    <w:rsid w:val="00B90301"/>
    <w:rsid w:val="00B909C2"/>
    <w:rsid w:val="00B90C62"/>
    <w:rsid w:val="00B9424E"/>
    <w:rsid w:val="00BA5D5C"/>
    <w:rsid w:val="00BA6A69"/>
    <w:rsid w:val="00BB1309"/>
    <w:rsid w:val="00BB1678"/>
    <w:rsid w:val="00BB18AB"/>
    <w:rsid w:val="00BB3649"/>
    <w:rsid w:val="00BB63CC"/>
    <w:rsid w:val="00BB7685"/>
    <w:rsid w:val="00BC25C9"/>
    <w:rsid w:val="00BD248E"/>
    <w:rsid w:val="00BD50DB"/>
    <w:rsid w:val="00BE28FB"/>
    <w:rsid w:val="00BF1C50"/>
    <w:rsid w:val="00BF2953"/>
    <w:rsid w:val="00BF58CD"/>
    <w:rsid w:val="00BF660A"/>
    <w:rsid w:val="00BF6F81"/>
    <w:rsid w:val="00C153BC"/>
    <w:rsid w:val="00C302FA"/>
    <w:rsid w:val="00C317FE"/>
    <w:rsid w:val="00C34364"/>
    <w:rsid w:val="00C4187A"/>
    <w:rsid w:val="00C42AEB"/>
    <w:rsid w:val="00C45112"/>
    <w:rsid w:val="00C54856"/>
    <w:rsid w:val="00C72076"/>
    <w:rsid w:val="00C7269E"/>
    <w:rsid w:val="00C72ED1"/>
    <w:rsid w:val="00C74348"/>
    <w:rsid w:val="00C81B04"/>
    <w:rsid w:val="00C948AA"/>
    <w:rsid w:val="00C971DD"/>
    <w:rsid w:val="00C97AB3"/>
    <w:rsid w:val="00CA2AE6"/>
    <w:rsid w:val="00CA6CB3"/>
    <w:rsid w:val="00CA73AF"/>
    <w:rsid w:val="00CB0BE6"/>
    <w:rsid w:val="00CB1C00"/>
    <w:rsid w:val="00CB384A"/>
    <w:rsid w:val="00CB4EDD"/>
    <w:rsid w:val="00CB61C1"/>
    <w:rsid w:val="00CD1947"/>
    <w:rsid w:val="00CD46E4"/>
    <w:rsid w:val="00CD5A56"/>
    <w:rsid w:val="00CE1BB4"/>
    <w:rsid w:val="00CE21A2"/>
    <w:rsid w:val="00CF17FC"/>
    <w:rsid w:val="00CF264C"/>
    <w:rsid w:val="00CF7C91"/>
    <w:rsid w:val="00D1368C"/>
    <w:rsid w:val="00D15D53"/>
    <w:rsid w:val="00D17ABC"/>
    <w:rsid w:val="00D32150"/>
    <w:rsid w:val="00D34303"/>
    <w:rsid w:val="00D356CE"/>
    <w:rsid w:val="00D37089"/>
    <w:rsid w:val="00D43215"/>
    <w:rsid w:val="00D52898"/>
    <w:rsid w:val="00D5417E"/>
    <w:rsid w:val="00D547C8"/>
    <w:rsid w:val="00D57303"/>
    <w:rsid w:val="00D64906"/>
    <w:rsid w:val="00D66375"/>
    <w:rsid w:val="00D76F5D"/>
    <w:rsid w:val="00D81CC2"/>
    <w:rsid w:val="00D86FF2"/>
    <w:rsid w:val="00D87E36"/>
    <w:rsid w:val="00DA2C8B"/>
    <w:rsid w:val="00DA40EC"/>
    <w:rsid w:val="00DB026F"/>
    <w:rsid w:val="00DB32F2"/>
    <w:rsid w:val="00DB3886"/>
    <w:rsid w:val="00DC3AB3"/>
    <w:rsid w:val="00DC5B1E"/>
    <w:rsid w:val="00DD5332"/>
    <w:rsid w:val="00DE1637"/>
    <w:rsid w:val="00DE1A6F"/>
    <w:rsid w:val="00DE4FCB"/>
    <w:rsid w:val="00DE792A"/>
    <w:rsid w:val="00DF524E"/>
    <w:rsid w:val="00DF531C"/>
    <w:rsid w:val="00DF644F"/>
    <w:rsid w:val="00DF6C4E"/>
    <w:rsid w:val="00DF7DA0"/>
    <w:rsid w:val="00E02A2C"/>
    <w:rsid w:val="00E142C6"/>
    <w:rsid w:val="00E15497"/>
    <w:rsid w:val="00E16789"/>
    <w:rsid w:val="00E201A8"/>
    <w:rsid w:val="00E279A1"/>
    <w:rsid w:val="00E3587C"/>
    <w:rsid w:val="00E43F07"/>
    <w:rsid w:val="00E52DFE"/>
    <w:rsid w:val="00E56E99"/>
    <w:rsid w:val="00E67A7C"/>
    <w:rsid w:val="00E72EBA"/>
    <w:rsid w:val="00E756D8"/>
    <w:rsid w:val="00E758B5"/>
    <w:rsid w:val="00E760EF"/>
    <w:rsid w:val="00E87227"/>
    <w:rsid w:val="00E90C89"/>
    <w:rsid w:val="00E9156E"/>
    <w:rsid w:val="00E916FE"/>
    <w:rsid w:val="00E93589"/>
    <w:rsid w:val="00E95C79"/>
    <w:rsid w:val="00E96828"/>
    <w:rsid w:val="00E96C66"/>
    <w:rsid w:val="00EA18A4"/>
    <w:rsid w:val="00EB0383"/>
    <w:rsid w:val="00EB273C"/>
    <w:rsid w:val="00EB47CD"/>
    <w:rsid w:val="00EC3163"/>
    <w:rsid w:val="00EC5653"/>
    <w:rsid w:val="00ED68D2"/>
    <w:rsid w:val="00EF1CBC"/>
    <w:rsid w:val="00EF1D29"/>
    <w:rsid w:val="00EF31F6"/>
    <w:rsid w:val="00F03305"/>
    <w:rsid w:val="00F0488B"/>
    <w:rsid w:val="00F16B73"/>
    <w:rsid w:val="00F27FE6"/>
    <w:rsid w:val="00F30C81"/>
    <w:rsid w:val="00F339B5"/>
    <w:rsid w:val="00F401C2"/>
    <w:rsid w:val="00F436BC"/>
    <w:rsid w:val="00F44E7F"/>
    <w:rsid w:val="00F46143"/>
    <w:rsid w:val="00F465AC"/>
    <w:rsid w:val="00F5607A"/>
    <w:rsid w:val="00F56DE5"/>
    <w:rsid w:val="00F62416"/>
    <w:rsid w:val="00F63F18"/>
    <w:rsid w:val="00F77009"/>
    <w:rsid w:val="00F7706D"/>
    <w:rsid w:val="00F96711"/>
    <w:rsid w:val="00FA1EA0"/>
    <w:rsid w:val="00FA5345"/>
    <w:rsid w:val="00FA76A4"/>
    <w:rsid w:val="00FB21BC"/>
    <w:rsid w:val="00FC2F1B"/>
    <w:rsid w:val="00FC3885"/>
    <w:rsid w:val="00FC44AC"/>
    <w:rsid w:val="00FC4CA5"/>
    <w:rsid w:val="00FD2EBE"/>
    <w:rsid w:val="00FD5004"/>
    <w:rsid w:val="00FD7037"/>
    <w:rsid w:val="00FD728F"/>
    <w:rsid w:val="00FE38B9"/>
    <w:rsid w:val="00FE3BCD"/>
    <w:rsid w:val="00FE3C9F"/>
    <w:rsid w:val="00FF1BB2"/>
    <w:rsid w:val="00FF1F8D"/>
    <w:rsid w:val="00FF4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2A69A6A"/>
  <w15:docId w15:val="{639DA553-8A30-4A57-B94F-F536F2A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F7DA0"/>
    <w:pPr>
      <w:tabs>
        <w:tab w:val="center" w:pos="4513"/>
        <w:tab w:val="right" w:pos="9026"/>
      </w:tabs>
    </w:pPr>
  </w:style>
  <w:style w:type="character" w:customStyle="1" w:styleId="HeaderChar">
    <w:name w:val="Header Char"/>
    <w:basedOn w:val="DefaultParagraphFont"/>
    <w:link w:val="Header"/>
    <w:uiPriority w:val="99"/>
    <w:rsid w:val="00DF7DA0"/>
    <w:rPr>
      <w:rFonts w:ascii="Trebuchet MS" w:eastAsia="Times New Roman" w:hAnsi="Trebuchet MS"/>
      <w:sz w:val="22"/>
    </w:rPr>
  </w:style>
  <w:style w:type="paragraph" w:styleId="Footer">
    <w:name w:val="footer"/>
    <w:basedOn w:val="Normal"/>
    <w:link w:val="FooterChar"/>
    <w:uiPriority w:val="99"/>
    <w:unhideWhenUsed/>
    <w:rsid w:val="00DF7DA0"/>
    <w:pPr>
      <w:tabs>
        <w:tab w:val="center" w:pos="4513"/>
        <w:tab w:val="right" w:pos="9026"/>
      </w:tabs>
    </w:pPr>
  </w:style>
  <w:style w:type="character" w:customStyle="1" w:styleId="FooterChar">
    <w:name w:val="Footer Char"/>
    <w:basedOn w:val="DefaultParagraphFont"/>
    <w:link w:val="Footer"/>
    <w:uiPriority w:val="99"/>
    <w:rsid w:val="00DF7DA0"/>
    <w:rPr>
      <w:rFonts w:ascii="Trebuchet MS" w:eastAsia="Times New Roman" w:hAnsi="Trebuchet MS"/>
      <w:sz w:val="22"/>
    </w:rPr>
  </w:style>
  <w:style w:type="paragraph" w:styleId="FootnoteText">
    <w:name w:val="footnote text"/>
    <w:basedOn w:val="Normal"/>
    <w:link w:val="FootnoteTextChar"/>
    <w:uiPriority w:val="99"/>
    <w:semiHidden/>
    <w:unhideWhenUsed/>
    <w:rsid w:val="000B6A84"/>
    <w:rPr>
      <w:sz w:val="20"/>
    </w:rPr>
  </w:style>
  <w:style w:type="character" w:customStyle="1" w:styleId="FootnoteTextChar">
    <w:name w:val="Footnote Text Char"/>
    <w:basedOn w:val="DefaultParagraphFont"/>
    <w:link w:val="FootnoteText"/>
    <w:uiPriority w:val="99"/>
    <w:semiHidden/>
    <w:rsid w:val="000B6A84"/>
    <w:rPr>
      <w:rFonts w:ascii="Trebuchet MS" w:eastAsia="Times New Roman" w:hAnsi="Trebuchet MS"/>
    </w:rPr>
  </w:style>
  <w:style w:type="character" w:styleId="FootnoteReference">
    <w:name w:val="footnote reference"/>
    <w:basedOn w:val="DefaultParagraphFont"/>
    <w:uiPriority w:val="99"/>
    <w:semiHidden/>
    <w:unhideWhenUsed/>
    <w:rsid w:val="000B6A84"/>
    <w:rPr>
      <w:vertAlign w:val="superscript"/>
    </w:rPr>
  </w:style>
  <w:style w:type="character" w:styleId="UnresolvedMention">
    <w:name w:val="Unresolved Mention"/>
    <w:basedOn w:val="DefaultParagraphFont"/>
    <w:uiPriority w:val="99"/>
    <w:semiHidden/>
    <w:unhideWhenUsed/>
    <w:rsid w:val="00106E67"/>
    <w:rPr>
      <w:color w:val="605E5C"/>
      <w:shd w:val="clear" w:color="auto" w:fill="E1DFDD"/>
    </w:rPr>
  </w:style>
  <w:style w:type="character" w:styleId="FollowedHyperlink">
    <w:name w:val="FollowedHyperlink"/>
    <w:basedOn w:val="DefaultParagraphFont"/>
    <w:uiPriority w:val="99"/>
    <w:semiHidden/>
    <w:unhideWhenUsed/>
    <w:rsid w:val="00BD50DB"/>
    <w:rPr>
      <w:color w:val="800080" w:themeColor="followedHyperlink"/>
      <w:u w:val="single"/>
    </w:rPr>
  </w:style>
  <w:style w:type="paragraph" w:styleId="NormalWeb">
    <w:name w:val="Normal (Web)"/>
    <w:basedOn w:val="Normal"/>
    <w:uiPriority w:val="99"/>
    <w:unhideWhenUsed/>
    <w:rsid w:val="00803AC4"/>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6259B"/>
    <w:rPr>
      <w:rFonts w:ascii="Trebuchet MS" w:eastAsia="Times New Roman" w:hAnsi="Trebuchet MS"/>
      <w:sz w:val="22"/>
    </w:rPr>
  </w:style>
  <w:style w:type="paragraph" w:customStyle="1" w:styleId="BULLET1">
    <w:name w:val="BULLET 1"/>
    <w:basedOn w:val="Normal"/>
    <w:link w:val="BULLET1Char"/>
    <w:qFormat/>
    <w:rsid w:val="004B4167"/>
    <w:pPr>
      <w:numPr>
        <w:numId w:val="19"/>
      </w:numPr>
      <w:spacing w:after="240"/>
      <w:jc w:val="both"/>
    </w:pPr>
    <w:rPr>
      <w:rFonts w:ascii="Arial" w:eastAsiaTheme="minorEastAsia" w:hAnsi="Arial" w:cstheme="minorBidi"/>
      <w:szCs w:val="22"/>
    </w:rPr>
  </w:style>
  <w:style w:type="character" w:customStyle="1" w:styleId="BULLET1Char">
    <w:name w:val="BULLET 1 Char"/>
    <w:basedOn w:val="DefaultParagraphFont"/>
    <w:link w:val="BULLET1"/>
    <w:rsid w:val="004B4167"/>
    <w:rPr>
      <w:rFonts w:ascii="Arial" w:eastAsiaTheme="minorEastAsia"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15">
      <w:bodyDiv w:val="1"/>
      <w:marLeft w:val="0"/>
      <w:marRight w:val="0"/>
      <w:marTop w:val="0"/>
      <w:marBottom w:val="0"/>
      <w:divBdr>
        <w:top w:val="none" w:sz="0" w:space="0" w:color="auto"/>
        <w:left w:val="none" w:sz="0" w:space="0" w:color="auto"/>
        <w:bottom w:val="none" w:sz="0" w:space="0" w:color="auto"/>
        <w:right w:val="none" w:sz="0" w:space="0" w:color="auto"/>
      </w:divBdr>
    </w:div>
    <w:div w:id="180707732">
      <w:bodyDiv w:val="1"/>
      <w:marLeft w:val="0"/>
      <w:marRight w:val="0"/>
      <w:marTop w:val="0"/>
      <w:marBottom w:val="0"/>
      <w:divBdr>
        <w:top w:val="none" w:sz="0" w:space="0" w:color="auto"/>
        <w:left w:val="none" w:sz="0" w:space="0" w:color="auto"/>
        <w:bottom w:val="none" w:sz="0" w:space="0" w:color="auto"/>
        <w:right w:val="none" w:sz="0" w:space="0" w:color="auto"/>
      </w:divBdr>
    </w:div>
    <w:div w:id="298846832">
      <w:bodyDiv w:val="1"/>
      <w:marLeft w:val="0"/>
      <w:marRight w:val="0"/>
      <w:marTop w:val="0"/>
      <w:marBottom w:val="0"/>
      <w:divBdr>
        <w:top w:val="none" w:sz="0" w:space="0" w:color="auto"/>
        <w:left w:val="none" w:sz="0" w:space="0" w:color="auto"/>
        <w:bottom w:val="none" w:sz="0" w:space="0" w:color="auto"/>
        <w:right w:val="none" w:sz="0" w:space="0" w:color="auto"/>
      </w:divBdr>
    </w:div>
    <w:div w:id="9808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APRAOwner xmlns="814d62cb-2db6-4c25-ab62-b9075facbc11">
      <UserInfo>
        <DisplayName/>
        <AccountId xsi:nil="true"/>
        <AccountType/>
      </UserInfo>
    </APRAOwner>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APRAKeywords xmlns="814d62cb-2db6-4c25-ab62-b9075facbc11">Explanatory statement; revoke and replace; prudential standard</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Superannuation (prudential standard) determination No. 4 of 2022</APRADescription>
    <APRAActivityID xmlns="814d62cb-2db6-4c25-ab62-b9075facbc11" xsi:nil="true"/>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5JENXJJSCC7A-445999044-11878</_dlc_DocId>
    <_dlc_DocIdUrl xmlns="814d62cb-2db6-4c25-ab62-b9075facbc11">
      <Url>https://im/teams/LEGAL/_layouts/15/DocIdRedir.aspx?ID=5JENXJJSCC7A-445999044-11878</Url>
      <Description>5JENXJJSCC7A-445999044-11878</Description>
    </_dlc_DocIdUrl>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ic4067bd02f14cf3a95ad35878404a71 xmlns="814d62cb-2db6-4c25-ab62-b9075facbc11">
      <Terms xmlns="http://schemas.microsoft.com/office/infopath/2007/PartnerControls"/>
    </ic4067bd02f14cf3a95ad35878404a71>
    <k4bcc0d734474fea9fb713d9c415b4b0 xmlns="814d62cb-2db6-4c25-ab62-b9075facbc11">
      <Terms xmlns="http://schemas.microsoft.com/office/infopath/2007/PartnerControls"/>
    </k4bcc0d734474fea9fb713d9c415b4b0>
    <pa005173035e41c3986b37b8e650f3ef xmlns="814d62cb-2db6-4c25-ab62-b9075facbc11">
      <Terms xmlns="http://schemas.microsoft.com/office/infopath/2007/PartnerControls"/>
    </pa005173035e41c3986b37b8e650f3ef>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aef97a4-ded2-4e4a-9fbc-e666dae3ecd2" ContentTypeId="0x0101008CA7A4F8331B45C7B0D3158B4994D0CA02" PreviousValue="false"/>
</file>

<file path=customXml/itemProps1.xml><?xml version="1.0" encoding="utf-8"?>
<ds:datastoreItem xmlns:ds="http://schemas.openxmlformats.org/officeDocument/2006/customXml" ds:itemID="{DEBBE7FF-85D3-4545-BC77-4BFD36BC3B67}">
  <ds:schemaRefs>
    <ds:schemaRef ds:uri="http://schemas.microsoft.com/sharepoint/v3/contenttype/forms"/>
  </ds:schemaRefs>
</ds:datastoreItem>
</file>

<file path=customXml/itemProps2.xml><?xml version="1.0" encoding="utf-8"?>
<ds:datastoreItem xmlns:ds="http://schemas.openxmlformats.org/officeDocument/2006/customXml" ds:itemID="{96291FE8-E96A-4BE6-9C6D-75FC6CD4CDD3}">
  <ds:schemaRefs>
    <ds:schemaRef ds:uri="http://schemas.openxmlformats.org/officeDocument/2006/bibliography"/>
  </ds:schemaRefs>
</ds:datastoreItem>
</file>

<file path=customXml/itemProps3.xml><?xml version="1.0" encoding="utf-8"?>
<ds:datastoreItem xmlns:ds="http://schemas.openxmlformats.org/officeDocument/2006/customXml" ds:itemID="{6AD1B70D-A6A8-4556-B7C1-F94206C4A61B}">
  <ds:schemaRefs>
    <ds:schemaRef ds:uri="http://schemas.microsoft.com/office/2006/metadata/properties"/>
    <ds:schemaRef ds:uri="http://schemas.openxmlformats.org/package/2006/metadata/core-properties"/>
    <ds:schemaRef ds:uri="http://purl.org/dc/terms/"/>
    <ds:schemaRef ds:uri="814d62cb-2db6-4c25-ab62-b9075facbc11"/>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76EAF7C-C054-456D-BB6F-9A71CE16A5D9}">
  <ds:schemaRefs>
    <ds:schemaRef ds:uri="http://schemas.microsoft.com/sharepoint/events"/>
  </ds:schemaRefs>
</ds:datastoreItem>
</file>

<file path=customXml/itemProps5.xml><?xml version="1.0" encoding="utf-8"?>
<ds:datastoreItem xmlns:ds="http://schemas.openxmlformats.org/officeDocument/2006/customXml" ds:itemID="{031A5CD9-9943-40EB-97CD-49E7C047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0E0F4A-B2C2-4F80-B025-40708436D9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11396</Characters>
  <Application>Microsoft Office Word</Application>
  <DocSecurity>0</DocSecurity>
  <Lines>199</Lines>
  <Paragraphs>73</Paragraphs>
  <ScaleCrop>false</ScaleCrop>
  <HeadingPairs>
    <vt:vector size="2" baseType="variant">
      <vt:variant>
        <vt:lpstr>Title</vt:lpstr>
      </vt:variant>
      <vt:variant>
        <vt:i4>1</vt:i4>
      </vt:variant>
    </vt:vector>
  </HeadingPairs>
  <TitlesOfParts>
    <vt:vector size="1" baseType="lpstr">
      <vt:lpstr>ES - SPS 250 Insurance in Super - July 2022</vt:lpstr>
    </vt:vector>
  </TitlesOfParts>
  <Company>APRA</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Superannuation (prudential standard) determination No. 4 of 2022</dc:title>
  <dc:creator>Sullivan, David</dc:creator>
  <cp:keywords>[SEC=OFFICIAL]</cp:keywords>
  <cp:lastModifiedBy>Toni Michalis</cp:lastModifiedBy>
  <cp:revision>2</cp:revision>
  <cp:lastPrinted>2012-11-13T01:53:00Z</cp:lastPrinted>
  <dcterms:created xsi:type="dcterms:W3CDTF">2022-12-01T08:28:00Z</dcterms:created>
  <dcterms:modified xsi:type="dcterms:W3CDTF">2022-12-01T08:28:00Z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Hash_SHA1">
    <vt:lpwstr>615A91A2355E18C6F98E8C2A2718D1CCB611EB51</vt:lpwstr>
  </property>
  <property fmtid="{D5CDD505-2E9C-101B-9397-08002B2CF9AE}" pid="8" name="PM_ProtectiveMarkingImage_Header">
    <vt:lpwstr>C:\Program Files\Common Files\janusNET Shared\janusSEAL\Images\DocumentSlashBlue.png</vt:lpwstr>
  </property>
  <property fmtid="{D5CDD505-2E9C-101B-9397-08002B2CF9AE}" pid="9" name="PM_InsertionValue">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Originating_FileId">
    <vt:lpwstr>21ED1FDBCD7D4344A20D6AFD8053454A</vt:lpwstr>
  </property>
  <property fmtid="{D5CDD505-2E9C-101B-9397-08002B2CF9AE}" pid="15" name="PM_OriginationTimeStamp">
    <vt:lpwstr>2022-12-01T08:28:19Z</vt:lpwstr>
  </property>
  <property fmtid="{D5CDD505-2E9C-101B-9397-08002B2CF9AE}" pid="16" name="PM_Hash_Version">
    <vt:lpwstr>2018.0</vt:lpwstr>
  </property>
  <property fmtid="{D5CDD505-2E9C-101B-9397-08002B2CF9AE}" pid="17" name="PM_Hash_Salt_Prev">
    <vt:lpwstr>5DA6EF097023E732893E9844B6078B8E</vt:lpwstr>
  </property>
  <property fmtid="{D5CDD505-2E9C-101B-9397-08002B2CF9AE}" pid="18" name="PM_Hash_Salt">
    <vt:lpwstr>B0D8AEF2028B7506DFA68B553340472A</vt:lpwstr>
  </property>
  <property fmtid="{D5CDD505-2E9C-101B-9397-08002B2CF9AE}" pid="19" name="PM_MinimumSecurityClassification">
    <vt:lpwstr/>
  </property>
  <property fmtid="{D5CDD505-2E9C-101B-9397-08002B2CF9AE}" pid="20" name="ContentTypeId">
    <vt:lpwstr>0x0101008CA7A4F8331B45C7B0D3158B4994D0CA0200577EC0F5A1FBFC498F9A8436B963F8A6</vt:lpwstr>
  </property>
  <property fmtid="{D5CDD505-2E9C-101B-9397-08002B2CF9AE}" pid="21" name="APRAPeriod">
    <vt:lpwstr/>
  </property>
  <property fmtid="{D5CDD505-2E9C-101B-9397-08002B2CF9AE}" pid="22"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3" name="APRAYear">
    <vt:lpwstr/>
  </property>
  <property fmtid="{D5CDD505-2E9C-101B-9397-08002B2CF9AE}" pid="24" name="APRAIndustry">
    <vt:lpwstr/>
  </property>
  <property fmtid="{D5CDD505-2E9C-101B-9397-08002B2CF9AE}" pid="25" name="APRAPRSG">
    <vt:lpwstr/>
  </property>
  <property fmtid="{D5CDD505-2E9C-101B-9397-08002B2CF9AE}" pid="26" name="_dlc_DocIdItemGuid">
    <vt:lpwstr>540e4d0c-c504-4907-840b-114f2886b49a</vt:lpwstr>
  </property>
  <property fmtid="{D5CDD505-2E9C-101B-9397-08002B2CF9AE}" pid="27" name="IsLocked">
    <vt:lpwstr>False</vt:lpwstr>
  </property>
  <property fmtid="{D5CDD505-2E9C-101B-9397-08002B2CF9AE}" pid="28" name="IT system type">
    <vt:lpwstr/>
  </property>
  <property fmtid="{D5CDD505-2E9C-101B-9397-08002B2CF9AE}" pid="29" name="APRACategory">
    <vt:lpwstr/>
  </property>
  <property fmtid="{D5CDD505-2E9C-101B-9397-08002B2CF9AE}" pid="30" name="APRADocumentType">
    <vt:lpwstr>234;#Explanatory statement|b22f2e2f-3f73-411b-9a7c-34264d26fa25</vt:lpwstr>
  </property>
  <property fmtid="{D5CDD505-2E9C-101B-9397-08002B2CF9AE}" pid="31" name="APRAStatus">
    <vt:lpwstr>19;#Final|84d6b2d0-8498-4d62-bf46-bab38babbe9e</vt:lpwstr>
  </property>
  <property fmtid="{D5CDD505-2E9C-101B-9397-08002B2CF9AE}" pid="32" name="APRAActivity">
    <vt:lpwstr>10;#Registration|390476ce-d76d-4e8d-905f-28e32d2df127;#109;#Statutory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WebId">
    <vt:lpwstr>{75a71c27-8d66-4282-ae60-1bfc22a83be1}</vt:lpwstr>
  </property>
  <property fmtid="{D5CDD505-2E9C-101B-9397-08002B2CF9AE}" pid="39" name="RecordPoint_ActiveItemSiteId">
    <vt:lpwstr>{88691c01-5bbb-4215-adc0-66cb7065b0af}</vt:lpwstr>
  </property>
  <property fmtid="{D5CDD505-2E9C-101B-9397-08002B2CF9AE}" pid="40" name="RecordPoint_ActiveItemListId">
    <vt:lpwstr>{0e59e171-09d8-4401-800a-327154450cb3}</vt:lpwstr>
  </property>
  <property fmtid="{D5CDD505-2E9C-101B-9397-08002B2CF9AE}" pid="41" name="RecordPoint_ActiveItemUniqueId">
    <vt:lpwstr>{540e4d0c-c504-4907-840b-114f2886b49a}</vt:lpwstr>
  </property>
  <property fmtid="{D5CDD505-2E9C-101B-9397-08002B2CF9AE}" pid="42" name="RecordPoint_RecordNumberSubmitted">
    <vt:lpwstr/>
  </property>
  <property fmtid="{D5CDD505-2E9C-101B-9397-08002B2CF9AE}" pid="43" name="_docset_NoMedatataSyncRequired">
    <vt:lpwstr>False</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PM_Note">
    <vt:lpwstr/>
  </property>
  <property fmtid="{D5CDD505-2E9C-101B-9397-08002B2CF9AE}" pid="47" name="PM_Markers">
    <vt:lpwstr/>
  </property>
  <property fmtid="{D5CDD505-2E9C-101B-9397-08002B2CF9AE}" pid="48" name="PM_Display">
    <vt:lpwstr>OFFICIAL</vt:lpwstr>
  </property>
  <property fmtid="{D5CDD505-2E9C-101B-9397-08002B2CF9AE}" pid="49" name="PM_OriginatorDomainName_SHA256">
    <vt:lpwstr>ECBDE2B44A971754412B3FB70606937A119CC0D4B6C1B658A40FBD41C30BE3EC</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PMUuid">
    <vt:lpwstr>ABBFF5E2-9674-55C9-B08D-C9980002FD58</vt:lpwstr>
  </property>
  <property fmtid="{D5CDD505-2E9C-101B-9397-08002B2CF9AE}" pid="54" name="PMUuidVer">
    <vt:lpwstr>2022.1</vt:lpwstr>
  </property>
  <property fmtid="{D5CDD505-2E9C-101B-9397-08002B2CF9AE}" pid="55" name="RecordPoint_SubmissionCompleted">
    <vt:lpwstr/>
  </property>
  <property fmtid="{D5CDD505-2E9C-101B-9397-08002B2CF9AE}" pid="56" name="MSIP_Label_c0129afb-6481-4f92-bc9f-5a4a6346364d_Name">
    <vt:lpwstr>OFFICIAL</vt:lpwstr>
  </property>
  <property fmtid="{D5CDD505-2E9C-101B-9397-08002B2CF9AE}" pid="57" name="MSIP_Label_c0129afb-6481-4f92-bc9f-5a4a6346364d_SiteId">
    <vt:lpwstr>c05e3ffd-b491-4431-9809-e61d4dc78816</vt:lpwstr>
  </property>
  <property fmtid="{D5CDD505-2E9C-101B-9397-08002B2CF9AE}" pid="58" name="MSIP_Label_c0129afb-6481-4f92-bc9f-5a4a6346364d_Enabled">
    <vt:lpwstr>true</vt:lpwstr>
  </property>
  <property fmtid="{D5CDD505-2E9C-101B-9397-08002B2CF9AE}" pid="59" name="p10c80fc2da942ae8f2ea9b33b6ea0ba">
    <vt:lpwstr/>
  </property>
  <property fmtid="{D5CDD505-2E9C-101B-9397-08002B2CF9AE}" pid="60" name="pa005173035e41c3986b37b8e650f3ef">
    <vt:lpwstr/>
  </property>
  <property fmtid="{D5CDD505-2E9C-101B-9397-08002B2CF9AE}" pid="61" name="ic4067bd02f14cf3a95ad35878404a71">
    <vt:lpwstr/>
  </property>
  <property fmtid="{D5CDD505-2E9C-101B-9397-08002B2CF9AE}" pid="62" name="k4bcc0d734474fea9fb713d9c415b4b0">
    <vt:lpwstr/>
  </property>
  <property fmtid="{D5CDD505-2E9C-101B-9397-08002B2CF9AE}" pid="63" name="b37d8d7e823543f58f89056343a9035c">
    <vt:lpwstr/>
  </property>
  <property fmtid="{D5CDD505-2E9C-101B-9397-08002B2CF9AE}" pid="64" name="d9a849fd1b8e46ada0321eb0681a10ee">
    <vt:lpwstr/>
  </property>
  <property fmtid="{D5CDD505-2E9C-101B-9397-08002B2CF9AE}" pid="65" name="PM_Originator_Hash_SHA1">
    <vt:lpwstr>C3AD57350F36D8E1BD75F8F67CB06D435C9C43CA</vt:lpwstr>
  </property>
  <property fmtid="{D5CDD505-2E9C-101B-9397-08002B2CF9AE}" pid="66" name="PM_OriginatorUserAccountName_SHA256">
    <vt:lpwstr>6E3018F28A186D2E5FF5207C041E7A82E907C3008E071057026A53705873B72E</vt:lpwstr>
  </property>
  <property fmtid="{D5CDD505-2E9C-101B-9397-08002B2CF9AE}" pid="67" name="MSIP_Label_c0129afb-6481-4f92-bc9f-5a4a6346364d_SetDate">
    <vt:lpwstr>2022-12-01T05:48:30Z</vt:lpwstr>
  </property>
</Properties>
</file>