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711400" w:rsidRDefault="001F2A16" w:rsidP="00241CF1">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711400">
        <w:rPr>
          <w:rFonts w:ascii="Arial" w:hAnsi="Arial" w:cs="Arial"/>
          <w:sz w:val="34"/>
          <w:szCs w:val="34"/>
        </w:rPr>
        <w:t>Explanatory Statement</w:t>
      </w:r>
    </w:p>
    <w:p w14:paraId="2E0A12EB" w14:textId="49DC40D0" w:rsidR="007F0810" w:rsidRPr="00711400" w:rsidRDefault="001112FF" w:rsidP="00241CF1">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711400">
        <w:rPr>
          <w:rFonts w:ascii="Arial" w:hAnsi="Arial" w:cs="Arial"/>
          <w:sz w:val="34"/>
          <w:szCs w:val="34"/>
        </w:rPr>
        <w:t>Taxation Administration – Single Touch Payroll – Amounts to be Notified Amendment (Australian Apprentice</w:t>
      </w:r>
      <w:r w:rsidR="00AE48B4" w:rsidRPr="00711400">
        <w:rPr>
          <w:rFonts w:ascii="Arial" w:hAnsi="Arial" w:cs="Arial"/>
          <w:sz w:val="34"/>
          <w:szCs w:val="34"/>
        </w:rPr>
        <w:t>ships</w:t>
      </w:r>
      <w:r w:rsidRPr="00711400">
        <w:rPr>
          <w:rFonts w:ascii="Arial" w:hAnsi="Arial" w:cs="Arial"/>
          <w:sz w:val="34"/>
          <w:szCs w:val="34"/>
        </w:rPr>
        <w:t xml:space="preserve"> Incentive</w:t>
      </w:r>
      <w:r w:rsidR="0075126A" w:rsidRPr="00711400">
        <w:rPr>
          <w:rFonts w:ascii="Arial" w:hAnsi="Arial" w:cs="Arial"/>
          <w:sz w:val="34"/>
          <w:szCs w:val="34"/>
        </w:rPr>
        <w:t>s</w:t>
      </w:r>
      <w:r w:rsidRPr="00711400">
        <w:rPr>
          <w:rFonts w:ascii="Arial" w:hAnsi="Arial" w:cs="Arial"/>
          <w:sz w:val="34"/>
          <w:szCs w:val="34"/>
        </w:rPr>
        <w:t>) Determination 2022</w:t>
      </w:r>
    </w:p>
    <w:p w14:paraId="15AC1B52" w14:textId="5B65CDA8" w:rsidR="0099555F" w:rsidRPr="00711400" w:rsidRDefault="0099555F" w:rsidP="00241CF1">
      <w:pPr>
        <w:pStyle w:val="Header"/>
        <w:tabs>
          <w:tab w:val="clear" w:pos="4153"/>
          <w:tab w:val="clear" w:pos="8306"/>
        </w:tabs>
        <w:jc w:val="center"/>
        <w:rPr>
          <w:rFonts w:ascii="Arial" w:hAnsi="Arial" w:cs="Arial"/>
          <w:szCs w:val="24"/>
        </w:rPr>
      </w:pPr>
    </w:p>
    <w:p w14:paraId="15AC1B53" w14:textId="77777777" w:rsidR="001F2A16" w:rsidRPr="00711400" w:rsidRDefault="001F2A16" w:rsidP="00241CF1">
      <w:pPr>
        <w:pStyle w:val="Header"/>
        <w:tabs>
          <w:tab w:val="clear" w:pos="4153"/>
          <w:tab w:val="clear" w:pos="8306"/>
        </w:tabs>
        <w:jc w:val="center"/>
        <w:rPr>
          <w:rFonts w:ascii="Arial" w:hAnsi="Arial" w:cs="Arial"/>
          <w:szCs w:val="24"/>
        </w:rPr>
      </w:pPr>
    </w:p>
    <w:p w14:paraId="15AC1B54" w14:textId="5D9C063D" w:rsidR="00486653" w:rsidRPr="00711400" w:rsidRDefault="00486653" w:rsidP="00241CF1">
      <w:pPr>
        <w:pStyle w:val="Heading2"/>
      </w:pPr>
      <w:r w:rsidRPr="00711400">
        <w:t xml:space="preserve">General </w:t>
      </w:r>
      <w:r w:rsidR="008A44FA" w:rsidRPr="00711400">
        <w:t>o</w:t>
      </w:r>
      <w:r w:rsidRPr="00711400">
        <w:t xml:space="preserve">utline of </w:t>
      </w:r>
      <w:r w:rsidR="00953DE1">
        <w:t>i</w:t>
      </w:r>
      <w:r w:rsidRPr="00711400">
        <w:t>nstrument</w:t>
      </w:r>
    </w:p>
    <w:p w14:paraId="15AC1B56" w14:textId="31302773" w:rsidR="00486653" w:rsidRPr="00711400" w:rsidRDefault="007F0810"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This instrument is made under subsection 389-5(3) of Schedule 1 to the </w:t>
      </w:r>
      <w:r w:rsidRPr="00711400">
        <w:rPr>
          <w:rFonts w:ascii="Arial" w:hAnsi="Arial" w:cs="Arial"/>
          <w:i/>
          <w:iCs/>
          <w:sz w:val="22"/>
          <w:szCs w:val="22"/>
        </w:rPr>
        <w:t>Taxation Administration Act 1953</w:t>
      </w:r>
      <w:r w:rsidRPr="00711400">
        <w:rPr>
          <w:rFonts w:ascii="Arial" w:hAnsi="Arial" w:cs="Arial"/>
          <w:sz w:val="22"/>
          <w:szCs w:val="22"/>
        </w:rPr>
        <w:t xml:space="preserve"> (TAA).</w:t>
      </w:r>
    </w:p>
    <w:p w14:paraId="652393C8" w14:textId="166D9182" w:rsidR="009371D0" w:rsidRPr="00711400" w:rsidRDefault="007F0810"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This instrument amends the </w:t>
      </w:r>
      <w:r w:rsidRPr="00711400">
        <w:rPr>
          <w:rFonts w:ascii="Arial" w:hAnsi="Arial" w:cs="Arial"/>
          <w:i/>
          <w:iCs/>
          <w:sz w:val="22"/>
          <w:szCs w:val="22"/>
        </w:rPr>
        <w:t>Taxation Administration – Single Touch Payroll – Amounts to be Notified Determination 2021</w:t>
      </w:r>
      <w:r w:rsidRPr="00711400">
        <w:rPr>
          <w:rFonts w:ascii="Arial" w:hAnsi="Arial" w:cs="Arial"/>
          <w:sz w:val="22"/>
          <w:szCs w:val="22"/>
        </w:rPr>
        <w:t xml:space="preserve"> (F2021L00094)</w:t>
      </w:r>
      <w:r w:rsidR="00D1721F" w:rsidRPr="00711400">
        <w:rPr>
          <w:rFonts w:ascii="Arial" w:hAnsi="Arial" w:cs="Arial"/>
          <w:sz w:val="22"/>
          <w:szCs w:val="22"/>
        </w:rPr>
        <w:t>. That instrument</w:t>
      </w:r>
      <w:r w:rsidRPr="00711400">
        <w:rPr>
          <w:rFonts w:ascii="Arial" w:hAnsi="Arial" w:cs="Arial"/>
          <w:sz w:val="22"/>
          <w:szCs w:val="22"/>
        </w:rPr>
        <w:t xml:space="preserve"> determines the information which the approved form may require to be reported through Single Touch Payroll (STP) for the purposes of paragraph 389-5(2)(b) of Schedule 1 to the TAA.</w:t>
      </w:r>
    </w:p>
    <w:p w14:paraId="15AC1B5F" w14:textId="77C09E1D" w:rsidR="00486653" w:rsidRPr="00711400" w:rsidRDefault="00486653"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The instrument is a legislative instrument for the purposes of the </w:t>
      </w:r>
      <w:r w:rsidR="00C4143E" w:rsidRPr="00711400">
        <w:rPr>
          <w:rFonts w:ascii="Arial" w:hAnsi="Arial" w:cs="Arial"/>
          <w:i/>
          <w:sz w:val="22"/>
          <w:szCs w:val="22"/>
        </w:rPr>
        <w:t xml:space="preserve">Legislation </w:t>
      </w:r>
      <w:r w:rsidRPr="00711400">
        <w:rPr>
          <w:rFonts w:ascii="Arial" w:hAnsi="Arial" w:cs="Arial"/>
          <w:i/>
          <w:sz w:val="22"/>
          <w:szCs w:val="22"/>
        </w:rPr>
        <w:t>Act 2003</w:t>
      </w:r>
      <w:r w:rsidRPr="00711400">
        <w:rPr>
          <w:rFonts w:ascii="Arial" w:hAnsi="Arial" w:cs="Arial"/>
          <w:sz w:val="22"/>
          <w:szCs w:val="22"/>
        </w:rPr>
        <w:t>.</w:t>
      </w:r>
    </w:p>
    <w:p w14:paraId="15AC1B61" w14:textId="2042CC2A" w:rsidR="00B31550" w:rsidRPr="00711400" w:rsidRDefault="00B31550"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Under subsection 33(3) of the </w:t>
      </w:r>
      <w:r w:rsidRPr="00711400">
        <w:rPr>
          <w:rFonts w:ascii="Arial" w:hAnsi="Arial" w:cs="Arial"/>
          <w:i/>
          <w:sz w:val="22"/>
          <w:szCs w:val="22"/>
        </w:rPr>
        <w:t>Acts Interpretation Act 1901</w:t>
      </w:r>
      <w:r w:rsidRPr="00711400">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711400" w:rsidRDefault="006302F7" w:rsidP="00241CF1">
      <w:pPr>
        <w:spacing w:after="120"/>
        <w:rPr>
          <w:rFonts w:ascii="Arial" w:hAnsi="Arial" w:cs="Arial"/>
          <w:sz w:val="22"/>
          <w:szCs w:val="22"/>
        </w:rPr>
      </w:pPr>
    </w:p>
    <w:p w14:paraId="15AC1B63" w14:textId="77777777" w:rsidR="001D02E6" w:rsidRPr="00711400" w:rsidRDefault="001D02E6" w:rsidP="00241CF1">
      <w:pPr>
        <w:pStyle w:val="Heading2"/>
      </w:pPr>
      <w:r w:rsidRPr="00711400">
        <w:t>Date of effect</w:t>
      </w:r>
    </w:p>
    <w:p w14:paraId="1BDF0B54" w14:textId="77777777" w:rsidR="00711400" w:rsidRDefault="00222AFB"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This instrument commences on </w:t>
      </w:r>
      <w:r w:rsidR="00C91A0B" w:rsidRPr="00711400">
        <w:rPr>
          <w:rFonts w:ascii="Arial" w:hAnsi="Arial" w:cs="Arial"/>
          <w:sz w:val="22"/>
          <w:szCs w:val="22"/>
        </w:rPr>
        <w:t>1 July 2022</w:t>
      </w:r>
      <w:r w:rsidRPr="00711400">
        <w:rPr>
          <w:rFonts w:ascii="Arial" w:hAnsi="Arial" w:cs="Arial"/>
          <w:sz w:val="22"/>
          <w:szCs w:val="22"/>
        </w:rPr>
        <w:t>.</w:t>
      </w:r>
    </w:p>
    <w:p w14:paraId="6CB8707B" w14:textId="1E0E0B95" w:rsidR="00F96F8C" w:rsidRPr="00711400" w:rsidRDefault="00F96F8C"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This instrument applies retrospectively to provide certainty</w:t>
      </w:r>
      <w:r w:rsidR="00D1721F" w:rsidRPr="00711400">
        <w:rPr>
          <w:rFonts w:ascii="Arial" w:hAnsi="Arial" w:cs="Arial"/>
          <w:sz w:val="22"/>
          <w:szCs w:val="22"/>
        </w:rPr>
        <w:t>,</w:t>
      </w:r>
      <w:r w:rsidRPr="00711400">
        <w:rPr>
          <w:rFonts w:ascii="Arial" w:hAnsi="Arial" w:cs="Arial"/>
          <w:sz w:val="22"/>
          <w:szCs w:val="22"/>
        </w:rPr>
        <w:t xml:space="preserve"> by ensuring the amendments made by this instrument apply to complete financial years.</w:t>
      </w:r>
    </w:p>
    <w:p w14:paraId="77CA3AAF" w14:textId="77777777" w:rsidR="00711400" w:rsidRDefault="001D02E6"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Under section 12(2) of the </w:t>
      </w:r>
      <w:r w:rsidR="00B31550" w:rsidRPr="00711400">
        <w:rPr>
          <w:rFonts w:ascii="Arial" w:hAnsi="Arial" w:cs="Arial"/>
          <w:i/>
          <w:sz w:val="22"/>
          <w:szCs w:val="22"/>
        </w:rPr>
        <w:t xml:space="preserve">Legislation </w:t>
      </w:r>
      <w:r w:rsidRPr="00711400">
        <w:rPr>
          <w:rFonts w:ascii="Arial" w:hAnsi="Arial" w:cs="Arial"/>
          <w:i/>
          <w:sz w:val="22"/>
          <w:szCs w:val="22"/>
        </w:rPr>
        <w:t>Act 2003</w:t>
      </w:r>
      <w:r w:rsidRPr="00711400">
        <w:rPr>
          <w:rFonts w:ascii="Arial" w:hAnsi="Arial" w:cs="Arial"/>
          <w:sz w:val="22"/>
          <w:szCs w:val="22"/>
        </w:rPr>
        <w:t xml:space="preserve"> this instrument does not adversely affect the rights or liabilities of any person other than the Commonwealth.</w:t>
      </w:r>
      <w:r w:rsidR="00D1721F" w:rsidRPr="00711400">
        <w:rPr>
          <w:rFonts w:ascii="Arial" w:hAnsi="Arial" w:cs="Arial"/>
          <w:sz w:val="22"/>
          <w:szCs w:val="22"/>
        </w:rPr>
        <w:t xml:space="preserve"> It only relates to the reporting of information by the Commonwealth.</w:t>
      </w:r>
    </w:p>
    <w:p w14:paraId="15AC1B6B" w14:textId="56C251D5" w:rsidR="00486653" w:rsidRPr="00711400" w:rsidRDefault="00486653" w:rsidP="00241CF1">
      <w:pPr>
        <w:spacing w:after="120"/>
        <w:rPr>
          <w:rFonts w:ascii="Arial" w:hAnsi="Arial" w:cs="Arial"/>
          <w:sz w:val="22"/>
          <w:szCs w:val="22"/>
        </w:rPr>
      </w:pPr>
    </w:p>
    <w:p w14:paraId="15AC1B6C" w14:textId="52E74DE2" w:rsidR="00486653" w:rsidRPr="00711400" w:rsidRDefault="00486653" w:rsidP="00241CF1">
      <w:pPr>
        <w:pStyle w:val="Heading2"/>
      </w:pPr>
      <w:r w:rsidRPr="00711400">
        <w:t>What is the effect of this instrument</w:t>
      </w:r>
    </w:p>
    <w:p w14:paraId="3074961C" w14:textId="47F8851B" w:rsidR="009371D0" w:rsidRPr="00711400" w:rsidRDefault="00486653"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This instrument </w:t>
      </w:r>
      <w:r w:rsidR="00CE6FED" w:rsidRPr="00711400">
        <w:rPr>
          <w:rFonts w:ascii="Arial" w:hAnsi="Arial" w:cs="Arial"/>
          <w:sz w:val="22"/>
          <w:szCs w:val="22"/>
        </w:rPr>
        <w:t>amends the existing determination to</w:t>
      </w:r>
      <w:r w:rsidR="001B6770" w:rsidRPr="00711400">
        <w:rPr>
          <w:rFonts w:ascii="Arial" w:hAnsi="Arial" w:cs="Arial"/>
          <w:sz w:val="22"/>
          <w:szCs w:val="22"/>
        </w:rPr>
        <w:t xml:space="preserve"> enable the Commissioner of Taxation to</w:t>
      </w:r>
      <w:r w:rsidR="00CE6FED" w:rsidRPr="00711400">
        <w:rPr>
          <w:rFonts w:ascii="Arial" w:hAnsi="Arial" w:cs="Arial"/>
          <w:sz w:val="22"/>
          <w:szCs w:val="22"/>
        </w:rPr>
        <w:t xml:space="preserve"> </w:t>
      </w:r>
      <w:r w:rsidR="009912F8" w:rsidRPr="00711400">
        <w:rPr>
          <w:rFonts w:ascii="Arial" w:hAnsi="Arial" w:cs="Arial"/>
          <w:sz w:val="22"/>
          <w:szCs w:val="22"/>
        </w:rPr>
        <w:t>require</w:t>
      </w:r>
      <w:r w:rsidR="004911D2" w:rsidRPr="00711400">
        <w:rPr>
          <w:rFonts w:ascii="Arial" w:hAnsi="Arial" w:cs="Arial"/>
          <w:sz w:val="22"/>
          <w:szCs w:val="22"/>
        </w:rPr>
        <w:t xml:space="preserve"> </w:t>
      </w:r>
      <w:r w:rsidR="0075126A" w:rsidRPr="00711400">
        <w:rPr>
          <w:rFonts w:ascii="Arial" w:hAnsi="Arial" w:cs="Arial"/>
          <w:sz w:val="22"/>
          <w:szCs w:val="22"/>
        </w:rPr>
        <w:t xml:space="preserve">STP </w:t>
      </w:r>
      <w:r w:rsidR="00CE6FED" w:rsidRPr="00711400">
        <w:rPr>
          <w:rFonts w:ascii="Arial" w:hAnsi="Arial" w:cs="Arial"/>
          <w:sz w:val="22"/>
          <w:szCs w:val="22"/>
        </w:rPr>
        <w:t xml:space="preserve">be used </w:t>
      </w:r>
      <w:r w:rsidR="006A182B" w:rsidRPr="00711400">
        <w:rPr>
          <w:rFonts w:ascii="Arial" w:hAnsi="Arial" w:cs="Arial"/>
          <w:sz w:val="22"/>
          <w:szCs w:val="22"/>
        </w:rPr>
        <w:t xml:space="preserve">for </w:t>
      </w:r>
      <w:r w:rsidR="008B48FE" w:rsidRPr="00711400">
        <w:rPr>
          <w:rFonts w:ascii="Arial" w:hAnsi="Arial" w:cs="Arial"/>
          <w:sz w:val="22"/>
          <w:szCs w:val="22"/>
        </w:rPr>
        <w:t xml:space="preserve">the </w:t>
      </w:r>
      <w:r w:rsidR="006A182B" w:rsidRPr="00711400">
        <w:rPr>
          <w:rFonts w:ascii="Arial" w:hAnsi="Arial" w:cs="Arial"/>
          <w:sz w:val="22"/>
          <w:szCs w:val="22"/>
        </w:rPr>
        <w:t xml:space="preserve">reporting </w:t>
      </w:r>
      <w:r w:rsidR="004911D2" w:rsidRPr="00711400">
        <w:rPr>
          <w:rFonts w:ascii="Arial" w:hAnsi="Arial" w:cs="Arial"/>
          <w:sz w:val="22"/>
          <w:szCs w:val="22"/>
        </w:rPr>
        <w:t xml:space="preserve">of </w:t>
      </w:r>
      <w:r w:rsidR="006752BD" w:rsidRPr="00711400">
        <w:rPr>
          <w:rFonts w:ascii="Arial" w:hAnsi="Arial" w:cs="Arial"/>
          <w:sz w:val="22"/>
          <w:szCs w:val="22"/>
        </w:rPr>
        <w:t xml:space="preserve">support </w:t>
      </w:r>
      <w:r w:rsidR="004911D2" w:rsidRPr="00711400">
        <w:rPr>
          <w:rFonts w:ascii="Arial" w:hAnsi="Arial" w:cs="Arial"/>
          <w:sz w:val="22"/>
          <w:szCs w:val="22"/>
        </w:rPr>
        <w:t xml:space="preserve">payments made </w:t>
      </w:r>
      <w:r w:rsidR="0075126A" w:rsidRPr="00711400">
        <w:rPr>
          <w:rFonts w:ascii="Arial" w:hAnsi="Arial" w:cs="Arial"/>
          <w:sz w:val="22"/>
          <w:szCs w:val="22"/>
        </w:rPr>
        <w:t xml:space="preserve">to </w:t>
      </w:r>
      <w:r w:rsidR="0080582E" w:rsidRPr="00711400">
        <w:rPr>
          <w:rFonts w:ascii="Arial" w:hAnsi="Arial" w:cs="Arial"/>
          <w:sz w:val="22"/>
          <w:szCs w:val="22"/>
        </w:rPr>
        <w:t>an ‘</w:t>
      </w:r>
      <w:r w:rsidR="00860DDD" w:rsidRPr="00711400">
        <w:rPr>
          <w:rFonts w:ascii="Arial" w:hAnsi="Arial" w:cs="Arial"/>
          <w:sz w:val="22"/>
          <w:szCs w:val="22"/>
        </w:rPr>
        <w:t>Australian A</w:t>
      </w:r>
      <w:r w:rsidR="0075126A" w:rsidRPr="00711400">
        <w:rPr>
          <w:rFonts w:ascii="Arial" w:hAnsi="Arial" w:cs="Arial"/>
          <w:sz w:val="22"/>
          <w:szCs w:val="22"/>
        </w:rPr>
        <w:t>pprentice</w:t>
      </w:r>
      <w:r w:rsidR="0080582E" w:rsidRPr="00711400">
        <w:rPr>
          <w:rFonts w:ascii="Arial" w:hAnsi="Arial" w:cs="Arial"/>
          <w:sz w:val="22"/>
          <w:szCs w:val="22"/>
        </w:rPr>
        <w:t>’</w:t>
      </w:r>
      <w:r w:rsidR="0075126A" w:rsidRPr="00711400">
        <w:rPr>
          <w:rFonts w:ascii="Arial" w:hAnsi="Arial" w:cs="Arial"/>
          <w:sz w:val="22"/>
          <w:szCs w:val="22"/>
        </w:rPr>
        <w:t xml:space="preserve"> by the Department </w:t>
      </w:r>
      <w:r w:rsidR="005E642F" w:rsidRPr="00711400">
        <w:rPr>
          <w:rFonts w:ascii="Arial" w:hAnsi="Arial" w:cs="Arial"/>
          <w:sz w:val="22"/>
          <w:szCs w:val="22"/>
        </w:rPr>
        <w:t xml:space="preserve">responsible for administering programs with the purpose of encouraging training and continued development of skills within the </w:t>
      </w:r>
      <w:r w:rsidR="00B14A99" w:rsidRPr="00711400">
        <w:rPr>
          <w:rFonts w:ascii="Arial" w:hAnsi="Arial" w:cs="Arial"/>
          <w:sz w:val="22"/>
          <w:szCs w:val="22"/>
        </w:rPr>
        <w:t xml:space="preserve">Australian </w:t>
      </w:r>
      <w:r w:rsidR="005E642F" w:rsidRPr="00711400">
        <w:rPr>
          <w:rFonts w:ascii="Arial" w:hAnsi="Arial" w:cs="Arial"/>
          <w:sz w:val="22"/>
          <w:szCs w:val="22"/>
        </w:rPr>
        <w:t xml:space="preserve">apprenticeships system. </w:t>
      </w:r>
      <w:r w:rsidR="00F30393" w:rsidRPr="00711400">
        <w:rPr>
          <w:rFonts w:ascii="Arial" w:hAnsi="Arial" w:cs="Arial"/>
          <w:sz w:val="22"/>
          <w:szCs w:val="22"/>
        </w:rPr>
        <w:t>On 1 August 2022, t</w:t>
      </w:r>
      <w:r w:rsidR="005E642F" w:rsidRPr="00711400">
        <w:rPr>
          <w:rFonts w:ascii="Arial" w:hAnsi="Arial" w:cs="Arial"/>
          <w:sz w:val="22"/>
          <w:szCs w:val="22"/>
        </w:rPr>
        <w:t>h</w:t>
      </w:r>
      <w:r w:rsidR="00CE6FED" w:rsidRPr="00711400">
        <w:rPr>
          <w:rFonts w:ascii="Arial" w:hAnsi="Arial" w:cs="Arial"/>
          <w:sz w:val="22"/>
          <w:szCs w:val="22"/>
        </w:rPr>
        <w:t xml:space="preserve">e </w:t>
      </w:r>
      <w:r w:rsidR="00F30393" w:rsidRPr="00711400">
        <w:rPr>
          <w:rFonts w:ascii="Arial" w:hAnsi="Arial" w:cs="Arial"/>
          <w:sz w:val="22"/>
          <w:szCs w:val="22"/>
        </w:rPr>
        <w:t xml:space="preserve">responsible </w:t>
      </w:r>
      <w:r w:rsidR="00CE6FED" w:rsidRPr="00711400">
        <w:rPr>
          <w:rFonts w:ascii="Arial" w:hAnsi="Arial" w:cs="Arial"/>
          <w:sz w:val="22"/>
          <w:szCs w:val="22"/>
        </w:rPr>
        <w:t xml:space="preserve">Department </w:t>
      </w:r>
      <w:r w:rsidR="00F30393" w:rsidRPr="00711400">
        <w:rPr>
          <w:rFonts w:ascii="Arial" w:hAnsi="Arial" w:cs="Arial"/>
          <w:sz w:val="22"/>
          <w:szCs w:val="22"/>
        </w:rPr>
        <w:t xml:space="preserve">was </w:t>
      </w:r>
      <w:r w:rsidR="005E642F" w:rsidRPr="00711400">
        <w:rPr>
          <w:rFonts w:ascii="Arial" w:hAnsi="Arial" w:cs="Arial"/>
          <w:sz w:val="22"/>
          <w:szCs w:val="22"/>
        </w:rPr>
        <w:t xml:space="preserve">the Department </w:t>
      </w:r>
      <w:r w:rsidR="0075126A" w:rsidRPr="00711400">
        <w:rPr>
          <w:rFonts w:ascii="Arial" w:hAnsi="Arial" w:cs="Arial"/>
          <w:sz w:val="22"/>
          <w:szCs w:val="22"/>
        </w:rPr>
        <w:t>of Employment and Workplace Relations</w:t>
      </w:r>
      <w:r w:rsidR="00860DDD" w:rsidRPr="00711400">
        <w:rPr>
          <w:rFonts w:ascii="Arial" w:hAnsi="Arial" w:cs="Arial"/>
          <w:sz w:val="22"/>
          <w:szCs w:val="22"/>
        </w:rPr>
        <w:t xml:space="preserve"> (DEWR)</w:t>
      </w:r>
      <w:r w:rsidR="00E10B37" w:rsidRPr="00711400">
        <w:rPr>
          <w:rFonts w:ascii="Arial" w:hAnsi="Arial" w:cs="Arial"/>
          <w:sz w:val="22"/>
          <w:szCs w:val="22"/>
        </w:rPr>
        <w:t>.</w:t>
      </w:r>
    </w:p>
    <w:p w14:paraId="4620A44F" w14:textId="60AB5177" w:rsidR="0080582E" w:rsidRPr="00711400" w:rsidRDefault="0080582E"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 xml:space="preserve">The instrument defines an ‘Australian Apprentice’ as a person who is employed as an apprentice or trainee under a training contract approved by the government body responsible for the operation of the </w:t>
      </w:r>
      <w:r w:rsidR="00502FBA" w:rsidRPr="00711400">
        <w:rPr>
          <w:rFonts w:ascii="Arial" w:hAnsi="Arial" w:cs="Arial"/>
          <w:sz w:val="22"/>
          <w:szCs w:val="22"/>
        </w:rPr>
        <w:t>v</w:t>
      </w:r>
      <w:r w:rsidRPr="00711400">
        <w:rPr>
          <w:rFonts w:ascii="Arial" w:hAnsi="Arial" w:cs="Arial"/>
          <w:sz w:val="22"/>
          <w:szCs w:val="22"/>
        </w:rPr>
        <w:t xml:space="preserve">ocational </w:t>
      </w:r>
      <w:r w:rsidR="00502FBA" w:rsidRPr="00711400">
        <w:rPr>
          <w:rFonts w:ascii="Arial" w:hAnsi="Arial" w:cs="Arial"/>
          <w:sz w:val="22"/>
          <w:szCs w:val="22"/>
        </w:rPr>
        <w:t>e</w:t>
      </w:r>
      <w:r w:rsidRPr="00711400">
        <w:rPr>
          <w:rFonts w:ascii="Arial" w:hAnsi="Arial" w:cs="Arial"/>
          <w:sz w:val="22"/>
          <w:szCs w:val="22"/>
        </w:rPr>
        <w:t xml:space="preserve">ducation and </w:t>
      </w:r>
      <w:r w:rsidR="00C56B4C" w:rsidRPr="00711400">
        <w:rPr>
          <w:rFonts w:ascii="Arial" w:hAnsi="Arial" w:cs="Arial"/>
          <w:sz w:val="22"/>
          <w:szCs w:val="22"/>
        </w:rPr>
        <w:t>t</w:t>
      </w:r>
      <w:r w:rsidRPr="00711400">
        <w:rPr>
          <w:rFonts w:ascii="Arial" w:hAnsi="Arial" w:cs="Arial"/>
          <w:sz w:val="22"/>
          <w:szCs w:val="22"/>
        </w:rPr>
        <w:t>raining system within a State or Territory.</w:t>
      </w:r>
    </w:p>
    <w:p w14:paraId="6786108F" w14:textId="77777777" w:rsidR="00711400" w:rsidRDefault="0075126A" w:rsidP="00241CF1">
      <w:pPr>
        <w:numPr>
          <w:ilvl w:val="0"/>
          <w:numId w:val="16"/>
        </w:numPr>
        <w:tabs>
          <w:tab w:val="clear" w:pos="360"/>
        </w:tabs>
        <w:spacing w:after="120"/>
        <w:ind w:left="0" w:firstLine="0"/>
        <w:rPr>
          <w:rFonts w:ascii="Arial" w:hAnsi="Arial" w:cs="Arial"/>
          <w:sz w:val="22"/>
          <w:szCs w:val="22"/>
        </w:rPr>
      </w:pPr>
      <w:r w:rsidRPr="00711400">
        <w:rPr>
          <w:rFonts w:ascii="Arial" w:hAnsi="Arial" w:cs="Arial"/>
          <w:sz w:val="22"/>
          <w:szCs w:val="22"/>
        </w:rPr>
        <w:t>This instrument does not affect the existing structure</w:t>
      </w:r>
      <w:r w:rsidR="00860DDD" w:rsidRPr="00711400">
        <w:rPr>
          <w:rFonts w:ascii="Arial" w:hAnsi="Arial" w:cs="Arial"/>
          <w:sz w:val="22"/>
          <w:szCs w:val="22"/>
        </w:rPr>
        <w:t>, function, or obligations</w:t>
      </w:r>
      <w:r w:rsidRPr="00711400">
        <w:rPr>
          <w:rFonts w:ascii="Arial" w:hAnsi="Arial" w:cs="Arial"/>
          <w:sz w:val="22"/>
          <w:szCs w:val="22"/>
        </w:rPr>
        <w:t xml:space="preserve"> of STP reporting</w:t>
      </w:r>
      <w:r w:rsidR="00860DDD" w:rsidRPr="00711400">
        <w:rPr>
          <w:rFonts w:ascii="Arial" w:hAnsi="Arial" w:cs="Arial"/>
          <w:sz w:val="22"/>
          <w:szCs w:val="22"/>
        </w:rPr>
        <w:t xml:space="preserve"> for employers.</w:t>
      </w:r>
    </w:p>
    <w:p w14:paraId="48E501A4" w14:textId="243A3167" w:rsidR="004911D2" w:rsidRPr="00711400" w:rsidRDefault="004911D2" w:rsidP="00241CF1">
      <w:pPr>
        <w:spacing w:after="120"/>
        <w:rPr>
          <w:rFonts w:ascii="Arial" w:hAnsi="Arial" w:cs="Arial"/>
          <w:sz w:val="22"/>
          <w:szCs w:val="22"/>
        </w:rPr>
      </w:pPr>
    </w:p>
    <w:p w14:paraId="44E15101" w14:textId="77777777" w:rsidR="00711400" w:rsidRDefault="00640CC2" w:rsidP="00241CF1">
      <w:pPr>
        <w:pStyle w:val="Heading2"/>
      </w:pPr>
      <w:r w:rsidRPr="00711400">
        <w:lastRenderedPageBreak/>
        <w:t>Compliance cost assessment</w:t>
      </w:r>
    </w:p>
    <w:p w14:paraId="15AC1B72" w14:textId="1D363D7B" w:rsidR="00493CA7" w:rsidRPr="00241CF1" w:rsidRDefault="001B6770" w:rsidP="00241CF1">
      <w:pPr>
        <w:numPr>
          <w:ilvl w:val="0"/>
          <w:numId w:val="16"/>
        </w:numPr>
        <w:tabs>
          <w:tab w:val="clear" w:pos="360"/>
        </w:tabs>
        <w:spacing w:after="120"/>
        <w:ind w:left="0" w:firstLine="0"/>
        <w:rPr>
          <w:rFonts w:ascii="Arial" w:hAnsi="Arial" w:cs="Arial"/>
          <w:sz w:val="22"/>
          <w:szCs w:val="18"/>
        </w:rPr>
      </w:pPr>
      <w:r w:rsidRPr="00241CF1">
        <w:rPr>
          <w:rFonts w:ascii="Arial" w:hAnsi="Arial" w:cs="Arial"/>
          <w:sz w:val="22"/>
          <w:szCs w:val="18"/>
        </w:rPr>
        <w:t xml:space="preserve">Compliance cost impact: Minor – There will be no additional regulatory impacts as the instrument is minor and machinery in nature </w:t>
      </w:r>
      <w:r w:rsidR="00FC5C3E" w:rsidRPr="00241CF1">
        <w:rPr>
          <w:rFonts w:ascii="Arial" w:hAnsi="Arial" w:cs="Arial"/>
          <w:sz w:val="22"/>
          <w:szCs w:val="18"/>
        </w:rPr>
        <w:t>(</w:t>
      </w:r>
      <w:r w:rsidRPr="00241CF1">
        <w:rPr>
          <w:rFonts w:ascii="Arial" w:hAnsi="Arial" w:cs="Arial"/>
          <w:sz w:val="22"/>
          <w:szCs w:val="18"/>
        </w:rPr>
        <w:t>OBPR22-03001</w:t>
      </w:r>
      <w:r w:rsidR="00FC5C3E" w:rsidRPr="00241CF1">
        <w:rPr>
          <w:rFonts w:ascii="Arial" w:hAnsi="Arial" w:cs="Arial"/>
          <w:sz w:val="22"/>
          <w:szCs w:val="18"/>
        </w:rPr>
        <w:t>)</w:t>
      </w:r>
      <w:r w:rsidRPr="00241CF1">
        <w:rPr>
          <w:rFonts w:ascii="Arial" w:hAnsi="Arial" w:cs="Arial"/>
          <w:sz w:val="22"/>
          <w:szCs w:val="18"/>
        </w:rPr>
        <w:t>.</w:t>
      </w:r>
    </w:p>
    <w:p w14:paraId="2D38090E" w14:textId="77777777" w:rsidR="00711400" w:rsidRPr="00711400" w:rsidRDefault="00711400" w:rsidP="00241CF1">
      <w:pPr>
        <w:spacing w:after="120"/>
        <w:rPr>
          <w:rFonts w:ascii="Arial" w:hAnsi="Arial" w:cs="Arial"/>
          <w:sz w:val="22"/>
          <w:szCs w:val="22"/>
        </w:rPr>
      </w:pPr>
    </w:p>
    <w:p w14:paraId="15AC1B73" w14:textId="77777777" w:rsidR="00486653" w:rsidRPr="00711400" w:rsidRDefault="00486653" w:rsidP="00241CF1">
      <w:pPr>
        <w:pStyle w:val="Heading2"/>
      </w:pPr>
      <w:r w:rsidRPr="00711400">
        <w:t>Background</w:t>
      </w:r>
    </w:p>
    <w:p w14:paraId="082DFD6C" w14:textId="2D64BC60" w:rsidR="009371D0" w:rsidRPr="00711400" w:rsidRDefault="004911D2"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hAnsi="Arial" w:cs="Arial"/>
          <w:sz w:val="22"/>
          <w:szCs w:val="22"/>
        </w:rPr>
        <w:t>Division 389 of Schedule 1 to the TAA provides for STP reporting</w:t>
      </w:r>
      <w:r w:rsidR="00D1721F" w:rsidRPr="00711400">
        <w:rPr>
          <w:rFonts w:ascii="Arial" w:hAnsi="Arial" w:cs="Arial"/>
          <w:sz w:val="22"/>
          <w:szCs w:val="22"/>
        </w:rPr>
        <w:t xml:space="preserve">. It requires employers (unless they are exempt) to </w:t>
      </w:r>
      <w:r w:rsidRPr="00711400">
        <w:rPr>
          <w:rFonts w:ascii="Arial" w:hAnsi="Arial" w:cs="Arial"/>
          <w:sz w:val="22"/>
          <w:szCs w:val="22"/>
        </w:rPr>
        <w:t>report certain amounts to the Commissioner</w:t>
      </w:r>
      <w:r w:rsidR="00E10B37" w:rsidRPr="00711400">
        <w:rPr>
          <w:rFonts w:ascii="Arial" w:eastAsia="Calibri" w:hAnsi="Arial" w:cs="Arial"/>
          <w:sz w:val="22"/>
          <w:szCs w:val="22"/>
          <w:lang w:eastAsia="en-US"/>
        </w:rPr>
        <w:t>.</w:t>
      </w:r>
    </w:p>
    <w:p w14:paraId="3941188A" w14:textId="77777777" w:rsidR="00711400" w:rsidRDefault="004911D2"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Section 389-5 of Schedule 1 to the TAA provides that STP reporting must be in the approved form. It also provides that the approved form may only require information about an amount if it is either:</w:t>
      </w:r>
    </w:p>
    <w:p w14:paraId="022DB11E" w14:textId="12ED6B7B" w:rsidR="004911D2" w:rsidRPr="00711400" w:rsidRDefault="004911D2" w:rsidP="00241CF1">
      <w:pPr>
        <w:numPr>
          <w:ilvl w:val="1"/>
          <w:numId w:val="49"/>
        </w:numPr>
        <w:tabs>
          <w:tab w:val="clear" w:pos="1440"/>
        </w:tabs>
        <w:spacing w:after="120"/>
        <w:ind w:left="1418" w:hanging="709"/>
        <w:rPr>
          <w:rFonts w:ascii="Arial" w:eastAsia="Calibri" w:hAnsi="Arial" w:cs="Arial"/>
          <w:sz w:val="22"/>
          <w:szCs w:val="22"/>
          <w:lang w:eastAsia="en-US"/>
        </w:rPr>
      </w:pPr>
      <w:r w:rsidRPr="00711400">
        <w:rPr>
          <w:rFonts w:ascii="Arial" w:eastAsia="Calibri" w:hAnsi="Arial" w:cs="Arial"/>
          <w:sz w:val="22"/>
          <w:szCs w:val="22"/>
          <w:lang w:eastAsia="en-US"/>
        </w:rPr>
        <w:t>an amount to be notified under subsection 389-5(1) of Schedule 1 to the TAA, or</w:t>
      </w:r>
    </w:p>
    <w:p w14:paraId="5EA9148A" w14:textId="0D373005" w:rsidR="004911D2" w:rsidRPr="00711400" w:rsidRDefault="004911D2" w:rsidP="00241CF1">
      <w:pPr>
        <w:numPr>
          <w:ilvl w:val="1"/>
          <w:numId w:val="49"/>
        </w:numPr>
        <w:tabs>
          <w:tab w:val="clear" w:pos="1440"/>
        </w:tabs>
        <w:spacing w:after="120"/>
        <w:ind w:left="1418" w:hanging="709"/>
        <w:rPr>
          <w:rFonts w:ascii="Arial" w:eastAsia="Calibri" w:hAnsi="Arial" w:cs="Arial"/>
          <w:sz w:val="22"/>
          <w:szCs w:val="22"/>
          <w:lang w:eastAsia="en-US"/>
        </w:rPr>
      </w:pPr>
      <w:r w:rsidRPr="00711400">
        <w:rPr>
          <w:rFonts w:ascii="Arial" w:eastAsia="Calibri" w:hAnsi="Arial" w:cs="Arial"/>
          <w:sz w:val="22"/>
          <w:szCs w:val="22"/>
          <w:lang w:eastAsia="en-US"/>
        </w:rPr>
        <w:t>an amount of a kind that is determined by the Commissioner by legislative instrument.</w:t>
      </w:r>
    </w:p>
    <w:p w14:paraId="5821C8F3" w14:textId="77777777" w:rsidR="00711400" w:rsidRDefault="006331A0"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Various government departments have administered</w:t>
      </w:r>
      <w:r w:rsidR="00D1721F" w:rsidRPr="00711400">
        <w:rPr>
          <w:rFonts w:ascii="Arial" w:eastAsia="Calibri" w:hAnsi="Arial" w:cs="Arial"/>
          <w:sz w:val="22"/>
          <w:szCs w:val="22"/>
          <w:lang w:eastAsia="en-US"/>
        </w:rPr>
        <w:t xml:space="preserve"> </w:t>
      </w:r>
      <w:r w:rsidR="00860DDD" w:rsidRPr="00711400">
        <w:rPr>
          <w:rFonts w:ascii="Arial" w:eastAsia="Calibri" w:hAnsi="Arial" w:cs="Arial"/>
          <w:sz w:val="22"/>
          <w:szCs w:val="22"/>
          <w:lang w:eastAsia="en-US"/>
        </w:rPr>
        <w:t>programs which a</w:t>
      </w:r>
      <w:r w:rsidR="00736E69" w:rsidRPr="00711400">
        <w:rPr>
          <w:rFonts w:ascii="Arial" w:eastAsia="Calibri" w:hAnsi="Arial" w:cs="Arial"/>
          <w:sz w:val="22"/>
          <w:szCs w:val="22"/>
          <w:lang w:eastAsia="en-US"/>
        </w:rPr>
        <w:t>im to encourage training and continued development of a highly skilled Australian workforce by connecting industries and occupations traditionally associated with the apprenticeships system.</w:t>
      </w:r>
    </w:p>
    <w:p w14:paraId="362BAB42" w14:textId="11572B38" w:rsidR="00736E69" w:rsidRPr="00711400" w:rsidRDefault="00384CC2"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A</w:t>
      </w:r>
      <w:r w:rsidR="00736E69" w:rsidRPr="00711400">
        <w:rPr>
          <w:rFonts w:ascii="Arial" w:eastAsia="Calibri" w:hAnsi="Arial" w:cs="Arial"/>
          <w:sz w:val="22"/>
          <w:szCs w:val="22"/>
          <w:lang w:eastAsia="en-US"/>
        </w:rPr>
        <w:t xml:space="preserve">n </w:t>
      </w:r>
      <w:r w:rsidR="00860DDD" w:rsidRPr="00711400">
        <w:rPr>
          <w:rFonts w:ascii="Arial" w:eastAsia="Calibri" w:hAnsi="Arial" w:cs="Arial"/>
          <w:sz w:val="22"/>
          <w:szCs w:val="22"/>
          <w:lang w:eastAsia="en-US"/>
        </w:rPr>
        <w:t xml:space="preserve">eligible </w:t>
      </w:r>
      <w:r w:rsidRPr="00711400">
        <w:rPr>
          <w:rFonts w:ascii="Arial" w:eastAsia="Calibri" w:hAnsi="Arial" w:cs="Arial"/>
          <w:sz w:val="22"/>
          <w:szCs w:val="22"/>
          <w:lang w:eastAsia="en-US"/>
        </w:rPr>
        <w:t xml:space="preserve">Australian </w:t>
      </w:r>
      <w:r w:rsidR="00257773" w:rsidRPr="00711400">
        <w:rPr>
          <w:rFonts w:ascii="Arial" w:eastAsia="Calibri" w:hAnsi="Arial" w:cs="Arial"/>
          <w:sz w:val="22"/>
          <w:szCs w:val="22"/>
          <w:lang w:eastAsia="en-US"/>
        </w:rPr>
        <w:t>a</w:t>
      </w:r>
      <w:r w:rsidR="00736E69" w:rsidRPr="00711400">
        <w:rPr>
          <w:rFonts w:ascii="Arial" w:eastAsia="Calibri" w:hAnsi="Arial" w:cs="Arial"/>
          <w:sz w:val="22"/>
          <w:szCs w:val="22"/>
          <w:lang w:eastAsia="en-US"/>
        </w:rPr>
        <w:t xml:space="preserve">pprentice </w:t>
      </w:r>
      <w:r w:rsidR="00860DDD" w:rsidRPr="00711400">
        <w:rPr>
          <w:rFonts w:ascii="Arial" w:eastAsia="Calibri" w:hAnsi="Arial" w:cs="Arial"/>
          <w:sz w:val="22"/>
          <w:szCs w:val="22"/>
          <w:lang w:eastAsia="en-US"/>
        </w:rPr>
        <w:t xml:space="preserve">who is undertaking an </w:t>
      </w:r>
      <w:r w:rsidR="00257773" w:rsidRPr="00711400">
        <w:rPr>
          <w:rFonts w:ascii="Arial" w:eastAsia="Calibri" w:hAnsi="Arial" w:cs="Arial"/>
          <w:sz w:val="22"/>
          <w:szCs w:val="22"/>
          <w:lang w:eastAsia="en-US"/>
        </w:rPr>
        <w:t xml:space="preserve">Australian </w:t>
      </w:r>
      <w:r w:rsidR="00860DDD" w:rsidRPr="00711400">
        <w:rPr>
          <w:rFonts w:ascii="Arial" w:eastAsia="Calibri" w:hAnsi="Arial" w:cs="Arial"/>
          <w:sz w:val="22"/>
          <w:szCs w:val="22"/>
          <w:lang w:eastAsia="en-US"/>
        </w:rPr>
        <w:t>Apprenticeship in a priority occupation</w:t>
      </w:r>
      <w:r w:rsidR="00736E69" w:rsidRPr="00711400">
        <w:rPr>
          <w:rFonts w:ascii="Arial" w:eastAsia="Calibri" w:hAnsi="Arial" w:cs="Arial"/>
          <w:sz w:val="22"/>
          <w:szCs w:val="22"/>
          <w:lang w:eastAsia="en-US"/>
        </w:rPr>
        <w:t xml:space="preserve"> receives:</w:t>
      </w:r>
    </w:p>
    <w:p w14:paraId="2B843B4C" w14:textId="77777777" w:rsidR="00711400" w:rsidRDefault="008A44FA" w:rsidP="00241CF1">
      <w:pPr>
        <w:numPr>
          <w:ilvl w:val="1"/>
          <w:numId w:val="50"/>
        </w:numPr>
        <w:tabs>
          <w:tab w:val="clear" w:pos="1440"/>
        </w:tabs>
        <w:spacing w:after="120"/>
        <w:ind w:left="1418" w:hanging="709"/>
        <w:rPr>
          <w:rFonts w:ascii="Arial" w:eastAsia="Calibri" w:hAnsi="Arial" w:cs="Arial"/>
          <w:sz w:val="22"/>
          <w:szCs w:val="22"/>
          <w:lang w:eastAsia="en-US"/>
        </w:rPr>
      </w:pPr>
      <w:r w:rsidRPr="00711400">
        <w:rPr>
          <w:rFonts w:ascii="Arial" w:eastAsia="Calibri" w:hAnsi="Arial" w:cs="Arial"/>
          <w:sz w:val="22"/>
          <w:szCs w:val="22"/>
          <w:lang w:eastAsia="en-US"/>
        </w:rPr>
        <w:t>s</w:t>
      </w:r>
      <w:r w:rsidR="00736E69" w:rsidRPr="00711400">
        <w:rPr>
          <w:rFonts w:ascii="Arial" w:eastAsia="Calibri" w:hAnsi="Arial" w:cs="Arial"/>
          <w:sz w:val="22"/>
          <w:szCs w:val="22"/>
          <w:lang w:eastAsia="en-US"/>
        </w:rPr>
        <w:t>alary or wages for their work paid by their employer</w:t>
      </w:r>
      <w:r w:rsidRPr="00711400">
        <w:rPr>
          <w:rFonts w:ascii="Arial" w:eastAsia="Calibri" w:hAnsi="Arial" w:cs="Arial"/>
          <w:sz w:val="22"/>
          <w:szCs w:val="22"/>
          <w:lang w:eastAsia="en-US"/>
        </w:rPr>
        <w:t>, and</w:t>
      </w:r>
    </w:p>
    <w:p w14:paraId="2695E4B5" w14:textId="232708AB" w:rsidR="00736E69" w:rsidRPr="00711400" w:rsidRDefault="00D1721F" w:rsidP="00241CF1">
      <w:pPr>
        <w:numPr>
          <w:ilvl w:val="1"/>
          <w:numId w:val="50"/>
        </w:numPr>
        <w:tabs>
          <w:tab w:val="clear" w:pos="1440"/>
        </w:tabs>
        <w:spacing w:after="120"/>
        <w:ind w:left="1418" w:hanging="709"/>
        <w:rPr>
          <w:rFonts w:ascii="Arial" w:eastAsia="Calibri" w:hAnsi="Arial" w:cs="Arial"/>
          <w:sz w:val="22"/>
          <w:szCs w:val="22"/>
          <w:lang w:eastAsia="en-US"/>
        </w:rPr>
      </w:pPr>
      <w:r w:rsidRPr="00711400">
        <w:rPr>
          <w:rFonts w:ascii="Arial" w:eastAsia="Calibri" w:hAnsi="Arial" w:cs="Arial"/>
          <w:sz w:val="22"/>
          <w:szCs w:val="22"/>
          <w:lang w:eastAsia="en-US"/>
        </w:rPr>
        <w:t>s</w:t>
      </w:r>
      <w:r w:rsidR="00860DDD" w:rsidRPr="00711400">
        <w:rPr>
          <w:rFonts w:ascii="Arial" w:eastAsia="Calibri" w:hAnsi="Arial" w:cs="Arial"/>
          <w:sz w:val="22"/>
          <w:szCs w:val="22"/>
          <w:lang w:eastAsia="en-US"/>
        </w:rPr>
        <w:t>upport p</w:t>
      </w:r>
      <w:r w:rsidR="00736E69" w:rsidRPr="00711400">
        <w:rPr>
          <w:rFonts w:ascii="Arial" w:eastAsia="Calibri" w:hAnsi="Arial" w:cs="Arial"/>
          <w:sz w:val="22"/>
          <w:szCs w:val="22"/>
          <w:lang w:eastAsia="en-US"/>
        </w:rPr>
        <w:t xml:space="preserve">ayments </w:t>
      </w:r>
      <w:r w:rsidR="00860DDD" w:rsidRPr="00711400">
        <w:rPr>
          <w:rFonts w:ascii="Arial" w:eastAsia="Calibri" w:hAnsi="Arial" w:cs="Arial"/>
          <w:sz w:val="22"/>
          <w:szCs w:val="22"/>
          <w:lang w:eastAsia="en-US"/>
        </w:rPr>
        <w:t>made by the DEWR</w:t>
      </w:r>
      <w:r w:rsidR="00736E69" w:rsidRPr="00711400">
        <w:rPr>
          <w:rFonts w:ascii="Arial" w:eastAsia="Calibri" w:hAnsi="Arial" w:cs="Arial"/>
          <w:sz w:val="22"/>
          <w:szCs w:val="22"/>
          <w:lang w:eastAsia="en-US"/>
        </w:rPr>
        <w:t>.</w:t>
      </w:r>
    </w:p>
    <w:p w14:paraId="5BB4A570" w14:textId="77777777" w:rsidR="00711400" w:rsidRDefault="00736E69"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 xml:space="preserve">Salary or wages paid by employers are reported </w:t>
      </w:r>
      <w:r w:rsidR="006741B2" w:rsidRPr="00711400">
        <w:rPr>
          <w:rFonts w:ascii="Arial" w:eastAsia="Calibri" w:hAnsi="Arial" w:cs="Arial"/>
          <w:sz w:val="22"/>
          <w:szCs w:val="22"/>
          <w:lang w:eastAsia="en-US"/>
        </w:rPr>
        <w:t xml:space="preserve">to the Australian Taxation Office (ATO) </w:t>
      </w:r>
      <w:r w:rsidRPr="00711400">
        <w:rPr>
          <w:rFonts w:ascii="Arial" w:eastAsia="Calibri" w:hAnsi="Arial" w:cs="Arial"/>
          <w:sz w:val="22"/>
          <w:szCs w:val="22"/>
          <w:lang w:eastAsia="en-US"/>
        </w:rPr>
        <w:t>through STP.</w:t>
      </w:r>
    </w:p>
    <w:p w14:paraId="2BC791BD" w14:textId="0AE3AEC6" w:rsidR="00736E69" w:rsidRPr="00711400" w:rsidRDefault="00860DDD"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 xml:space="preserve">DEWR </w:t>
      </w:r>
      <w:r w:rsidR="00384CC2" w:rsidRPr="00711400">
        <w:rPr>
          <w:rFonts w:ascii="Arial" w:eastAsia="Calibri" w:hAnsi="Arial" w:cs="Arial"/>
          <w:sz w:val="22"/>
          <w:szCs w:val="22"/>
          <w:lang w:eastAsia="en-US"/>
        </w:rPr>
        <w:t>is required</w:t>
      </w:r>
      <w:r w:rsidR="006741B2" w:rsidRPr="00711400">
        <w:rPr>
          <w:rFonts w:ascii="Arial" w:eastAsia="Calibri" w:hAnsi="Arial" w:cs="Arial"/>
          <w:sz w:val="22"/>
          <w:szCs w:val="22"/>
          <w:lang w:eastAsia="en-US"/>
        </w:rPr>
        <w:t xml:space="preserve"> to</w:t>
      </w:r>
      <w:r w:rsidR="00D12229" w:rsidRPr="00711400">
        <w:rPr>
          <w:rFonts w:ascii="Arial" w:eastAsia="Calibri" w:hAnsi="Arial" w:cs="Arial"/>
          <w:sz w:val="22"/>
          <w:szCs w:val="22"/>
          <w:lang w:eastAsia="en-US"/>
        </w:rPr>
        <w:t xml:space="preserve"> report the support payments</w:t>
      </w:r>
      <w:r w:rsidR="000C231B" w:rsidRPr="00711400">
        <w:rPr>
          <w:rFonts w:ascii="Arial" w:eastAsia="Calibri" w:hAnsi="Arial" w:cs="Arial"/>
          <w:sz w:val="22"/>
          <w:szCs w:val="22"/>
          <w:lang w:eastAsia="en-US"/>
        </w:rPr>
        <w:t xml:space="preserve"> to the </w:t>
      </w:r>
      <w:r w:rsidR="00FC5C3E" w:rsidRPr="00711400">
        <w:rPr>
          <w:rFonts w:ascii="Arial" w:eastAsia="Calibri" w:hAnsi="Arial" w:cs="Arial"/>
          <w:sz w:val="22"/>
          <w:szCs w:val="22"/>
          <w:lang w:eastAsia="en-US"/>
        </w:rPr>
        <w:t>ATO but</w:t>
      </w:r>
      <w:r w:rsidR="009912F8" w:rsidRPr="00711400">
        <w:rPr>
          <w:rFonts w:ascii="Arial" w:eastAsia="Calibri" w:hAnsi="Arial" w:cs="Arial"/>
          <w:sz w:val="22"/>
          <w:szCs w:val="22"/>
          <w:lang w:eastAsia="en-US"/>
        </w:rPr>
        <w:t xml:space="preserve"> </w:t>
      </w:r>
      <w:r w:rsidR="00614D51" w:rsidRPr="00711400">
        <w:rPr>
          <w:rFonts w:ascii="Arial" w:eastAsia="Calibri" w:hAnsi="Arial" w:cs="Arial"/>
          <w:sz w:val="22"/>
          <w:szCs w:val="22"/>
          <w:lang w:eastAsia="en-US"/>
        </w:rPr>
        <w:t>is</w:t>
      </w:r>
      <w:r w:rsidR="006741B2" w:rsidRPr="00711400">
        <w:rPr>
          <w:rFonts w:ascii="Arial" w:eastAsia="Calibri" w:hAnsi="Arial" w:cs="Arial"/>
          <w:sz w:val="22"/>
          <w:szCs w:val="22"/>
          <w:lang w:eastAsia="en-US"/>
        </w:rPr>
        <w:t xml:space="preserve"> </w:t>
      </w:r>
      <w:r w:rsidR="006A182B" w:rsidRPr="00711400">
        <w:rPr>
          <w:rFonts w:ascii="Arial" w:eastAsia="Calibri" w:hAnsi="Arial" w:cs="Arial"/>
          <w:sz w:val="22"/>
          <w:szCs w:val="22"/>
          <w:lang w:eastAsia="en-US"/>
        </w:rPr>
        <w:t xml:space="preserve">not currently required </w:t>
      </w:r>
      <w:r w:rsidR="005E642F" w:rsidRPr="00711400">
        <w:rPr>
          <w:rFonts w:ascii="Arial" w:eastAsia="Calibri" w:hAnsi="Arial" w:cs="Arial"/>
          <w:sz w:val="22"/>
          <w:szCs w:val="22"/>
          <w:lang w:eastAsia="en-US"/>
        </w:rPr>
        <w:t xml:space="preserve">to </w:t>
      </w:r>
      <w:r w:rsidR="006741B2" w:rsidRPr="00711400">
        <w:rPr>
          <w:rFonts w:ascii="Arial" w:eastAsia="Calibri" w:hAnsi="Arial" w:cs="Arial"/>
          <w:sz w:val="22"/>
          <w:szCs w:val="22"/>
          <w:lang w:eastAsia="en-US"/>
        </w:rPr>
        <w:t>do so</w:t>
      </w:r>
      <w:r w:rsidR="00736E69" w:rsidRPr="00711400">
        <w:rPr>
          <w:rFonts w:ascii="Arial" w:eastAsia="Calibri" w:hAnsi="Arial" w:cs="Arial"/>
          <w:sz w:val="22"/>
          <w:szCs w:val="22"/>
          <w:lang w:eastAsia="en-US"/>
        </w:rPr>
        <w:t xml:space="preserve"> through STP. </w:t>
      </w:r>
      <w:r w:rsidR="00384CC2" w:rsidRPr="00711400">
        <w:rPr>
          <w:rFonts w:ascii="Arial" w:eastAsia="Calibri" w:hAnsi="Arial" w:cs="Arial"/>
          <w:sz w:val="22"/>
          <w:szCs w:val="22"/>
          <w:lang w:eastAsia="en-US"/>
        </w:rPr>
        <w:t xml:space="preserve">Instead, </w:t>
      </w:r>
      <w:r w:rsidR="00D12229" w:rsidRPr="00711400">
        <w:rPr>
          <w:rFonts w:ascii="Arial" w:eastAsia="Calibri" w:hAnsi="Arial" w:cs="Arial"/>
          <w:sz w:val="22"/>
          <w:szCs w:val="22"/>
          <w:lang w:eastAsia="en-US"/>
        </w:rPr>
        <w:t xml:space="preserve">DEWR </w:t>
      </w:r>
      <w:r w:rsidR="00384CC2" w:rsidRPr="00711400">
        <w:rPr>
          <w:rFonts w:ascii="Arial" w:eastAsia="Calibri" w:hAnsi="Arial" w:cs="Arial"/>
          <w:sz w:val="22"/>
          <w:szCs w:val="22"/>
          <w:lang w:eastAsia="en-US"/>
        </w:rPr>
        <w:t xml:space="preserve">provides a payment summary to each Australian Apprentice and </w:t>
      </w:r>
      <w:r w:rsidR="00A04290" w:rsidRPr="00711400">
        <w:rPr>
          <w:rFonts w:ascii="Arial" w:eastAsia="Calibri" w:hAnsi="Arial" w:cs="Arial"/>
          <w:sz w:val="22"/>
          <w:szCs w:val="22"/>
          <w:lang w:eastAsia="en-US"/>
        </w:rPr>
        <w:t>must provide a report of those payment summaries to the ATO.</w:t>
      </w:r>
    </w:p>
    <w:p w14:paraId="046620A7" w14:textId="55451C37" w:rsidR="00736E69" w:rsidRPr="00711400" w:rsidRDefault="00736E69"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 xml:space="preserve">As a result, participating </w:t>
      </w:r>
      <w:r w:rsidR="00860DDD" w:rsidRPr="00711400">
        <w:rPr>
          <w:rFonts w:ascii="Arial" w:eastAsia="Calibri" w:hAnsi="Arial" w:cs="Arial"/>
          <w:sz w:val="22"/>
          <w:szCs w:val="22"/>
          <w:lang w:eastAsia="en-US"/>
        </w:rPr>
        <w:t>Australian A</w:t>
      </w:r>
      <w:r w:rsidRPr="00711400">
        <w:rPr>
          <w:rFonts w:ascii="Arial" w:eastAsia="Calibri" w:hAnsi="Arial" w:cs="Arial"/>
          <w:sz w:val="22"/>
          <w:szCs w:val="22"/>
          <w:lang w:eastAsia="en-US"/>
        </w:rPr>
        <w:t>pprentices receive information</w:t>
      </w:r>
      <w:r w:rsidR="002917E4" w:rsidRPr="00711400">
        <w:rPr>
          <w:rFonts w:ascii="Arial" w:eastAsia="Calibri" w:hAnsi="Arial" w:cs="Arial"/>
          <w:sz w:val="22"/>
          <w:szCs w:val="22"/>
          <w:lang w:eastAsia="en-US"/>
        </w:rPr>
        <w:t xml:space="preserve"> from their employers and DE</w:t>
      </w:r>
      <w:r w:rsidR="00D1721F" w:rsidRPr="00711400">
        <w:rPr>
          <w:rFonts w:ascii="Arial" w:eastAsia="Calibri" w:hAnsi="Arial" w:cs="Arial"/>
          <w:sz w:val="22"/>
          <w:szCs w:val="22"/>
          <w:lang w:eastAsia="en-US"/>
        </w:rPr>
        <w:t>W</w:t>
      </w:r>
      <w:r w:rsidR="002917E4" w:rsidRPr="00711400">
        <w:rPr>
          <w:rFonts w:ascii="Arial" w:eastAsia="Calibri" w:hAnsi="Arial" w:cs="Arial"/>
          <w:sz w:val="22"/>
          <w:szCs w:val="22"/>
          <w:lang w:eastAsia="en-US"/>
        </w:rPr>
        <w:t>R</w:t>
      </w:r>
      <w:r w:rsidRPr="00711400">
        <w:rPr>
          <w:rFonts w:ascii="Arial" w:eastAsia="Calibri" w:hAnsi="Arial" w:cs="Arial"/>
          <w:sz w:val="22"/>
          <w:szCs w:val="22"/>
          <w:lang w:eastAsia="en-US"/>
        </w:rPr>
        <w:t xml:space="preserve"> about the</w:t>
      </w:r>
      <w:r w:rsidR="00860DDD" w:rsidRPr="00711400">
        <w:rPr>
          <w:rFonts w:ascii="Arial" w:eastAsia="Calibri" w:hAnsi="Arial" w:cs="Arial"/>
          <w:sz w:val="22"/>
          <w:szCs w:val="22"/>
          <w:lang w:eastAsia="en-US"/>
        </w:rPr>
        <w:t>ir income</w:t>
      </w:r>
      <w:r w:rsidRPr="00711400">
        <w:rPr>
          <w:rFonts w:ascii="Arial" w:eastAsia="Calibri" w:hAnsi="Arial" w:cs="Arial"/>
          <w:sz w:val="22"/>
          <w:szCs w:val="22"/>
          <w:lang w:eastAsia="en-US"/>
        </w:rPr>
        <w:t xml:space="preserve"> and tax withheld in different ways</w:t>
      </w:r>
      <w:r w:rsidR="00D1721F" w:rsidRPr="00711400">
        <w:rPr>
          <w:rFonts w:ascii="Arial" w:eastAsia="Calibri" w:hAnsi="Arial" w:cs="Arial"/>
          <w:sz w:val="22"/>
          <w:szCs w:val="22"/>
          <w:lang w:eastAsia="en-US"/>
        </w:rPr>
        <w:t>,</w:t>
      </w:r>
      <w:r w:rsidRPr="00711400">
        <w:rPr>
          <w:rFonts w:ascii="Arial" w:eastAsia="Calibri" w:hAnsi="Arial" w:cs="Arial"/>
          <w:sz w:val="22"/>
          <w:szCs w:val="22"/>
          <w:lang w:eastAsia="en-US"/>
        </w:rPr>
        <w:t xml:space="preserve"> despite the payments relating to the same </w:t>
      </w:r>
      <w:r w:rsidR="00860DDD" w:rsidRPr="00711400">
        <w:rPr>
          <w:rFonts w:ascii="Arial" w:eastAsia="Calibri" w:hAnsi="Arial" w:cs="Arial"/>
          <w:sz w:val="22"/>
          <w:szCs w:val="22"/>
          <w:lang w:eastAsia="en-US"/>
        </w:rPr>
        <w:t>Australian A</w:t>
      </w:r>
      <w:r w:rsidRPr="00711400">
        <w:rPr>
          <w:rFonts w:ascii="Arial" w:eastAsia="Calibri" w:hAnsi="Arial" w:cs="Arial"/>
          <w:sz w:val="22"/>
          <w:szCs w:val="22"/>
          <w:lang w:eastAsia="en-US"/>
        </w:rPr>
        <w:t>pprenticeship.</w:t>
      </w:r>
    </w:p>
    <w:p w14:paraId="0D0B8613" w14:textId="3E98D69C" w:rsidR="00521EDA" w:rsidRPr="00711400" w:rsidRDefault="00280050"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 xml:space="preserve">As </w:t>
      </w:r>
      <w:r w:rsidR="006741B2" w:rsidRPr="00711400">
        <w:rPr>
          <w:rFonts w:ascii="Arial" w:eastAsia="Calibri" w:hAnsi="Arial" w:cs="Arial"/>
          <w:sz w:val="22"/>
          <w:szCs w:val="22"/>
          <w:lang w:eastAsia="en-US"/>
        </w:rPr>
        <w:t xml:space="preserve">the DEWR-administered </w:t>
      </w:r>
      <w:r w:rsidRPr="00711400">
        <w:rPr>
          <w:rFonts w:ascii="Arial" w:eastAsia="Calibri" w:hAnsi="Arial" w:cs="Arial"/>
          <w:sz w:val="22"/>
          <w:szCs w:val="22"/>
          <w:lang w:eastAsia="en-US"/>
        </w:rPr>
        <w:t>s</w:t>
      </w:r>
      <w:r w:rsidR="00860DDD" w:rsidRPr="00711400">
        <w:rPr>
          <w:rFonts w:ascii="Arial" w:eastAsia="Calibri" w:hAnsi="Arial" w:cs="Arial"/>
          <w:sz w:val="22"/>
          <w:szCs w:val="22"/>
          <w:lang w:eastAsia="en-US"/>
        </w:rPr>
        <w:t>upport payment</w:t>
      </w:r>
      <w:r w:rsidRPr="00711400">
        <w:rPr>
          <w:rFonts w:ascii="Arial" w:eastAsia="Calibri" w:hAnsi="Arial" w:cs="Arial"/>
          <w:sz w:val="22"/>
          <w:szCs w:val="22"/>
          <w:lang w:eastAsia="en-US"/>
        </w:rPr>
        <w:t>s</w:t>
      </w:r>
      <w:r w:rsidR="00860DDD" w:rsidRPr="00711400">
        <w:rPr>
          <w:rFonts w:ascii="Arial" w:eastAsia="Calibri" w:hAnsi="Arial" w:cs="Arial"/>
          <w:sz w:val="22"/>
          <w:szCs w:val="22"/>
          <w:lang w:eastAsia="en-US"/>
        </w:rPr>
        <w:t xml:space="preserve"> </w:t>
      </w:r>
      <w:r w:rsidR="00C91A0B" w:rsidRPr="00711400">
        <w:rPr>
          <w:rFonts w:ascii="Arial" w:eastAsia="Calibri" w:hAnsi="Arial" w:cs="Arial"/>
          <w:sz w:val="22"/>
          <w:szCs w:val="22"/>
          <w:lang w:eastAsia="en-US"/>
        </w:rPr>
        <w:t xml:space="preserve">are not </w:t>
      </w:r>
      <w:r w:rsidR="005E642F" w:rsidRPr="00711400">
        <w:rPr>
          <w:rFonts w:ascii="Arial" w:eastAsia="Calibri" w:hAnsi="Arial" w:cs="Arial"/>
          <w:sz w:val="22"/>
          <w:szCs w:val="22"/>
          <w:lang w:eastAsia="en-US"/>
        </w:rPr>
        <w:t xml:space="preserve">currently </w:t>
      </w:r>
      <w:r w:rsidR="00C91A0B" w:rsidRPr="00711400">
        <w:rPr>
          <w:rFonts w:ascii="Arial" w:eastAsia="Calibri" w:hAnsi="Arial" w:cs="Arial"/>
          <w:sz w:val="22"/>
          <w:szCs w:val="22"/>
          <w:lang w:eastAsia="en-US"/>
        </w:rPr>
        <w:t xml:space="preserve">required to be notified under subsection 389-5(1) of Schedule 1 to the TAA, </w:t>
      </w:r>
      <w:r w:rsidRPr="00711400">
        <w:rPr>
          <w:rFonts w:ascii="Arial" w:eastAsia="Calibri" w:hAnsi="Arial" w:cs="Arial"/>
          <w:sz w:val="22"/>
          <w:szCs w:val="22"/>
          <w:lang w:eastAsia="en-US"/>
        </w:rPr>
        <w:t>they</w:t>
      </w:r>
      <w:r w:rsidR="00C91A0B" w:rsidRPr="00711400">
        <w:rPr>
          <w:rFonts w:ascii="Arial" w:eastAsia="Calibri" w:hAnsi="Arial" w:cs="Arial"/>
          <w:sz w:val="22"/>
          <w:szCs w:val="22"/>
          <w:lang w:eastAsia="en-US"/>
        </w:rPr>
        <w:t xml:space="preserve"> </w:t>
      </w:r>
      <w:r w:rsidR="009912F8" w:rsidRPr="00711400">
        <w:rPr>
          <w:rFonts w:ascii="Arial" w:eastAsia="Calibri" w:hAnsi="Arial" w:cs="Arial"/>
          <w:sz w:val="22"/>
          <w:szCs w:val="22"/>
          <w:lang w:eastAsia="en-US"/>
        </w:rPr>
        <w:t>could</w:t>
      </w:r>
      <w:r w:rsidR="00C91A0B" w:rsidRPr="00711400">
        <w:rPr>
          <w:rFonts w:ascii="Arial" w:eastAsia="Calibri" w:hAnsi="Arial" w:cs="Arial"/>
          <w:sz w:val="22"/>
          <w:szCs w:val="22"/>
          <w:lang w:eastAsia="en-US"/>
        </w:rPr>
        <w:t xml:space="preserve"> only be required to be reported through STP if determined by legislative instrument</w:t>
      </w:r>
      <w:r w:rsidR="00614D51" w:rsidRPr="00711400">
        <w:rPr>
          <w:rFonts w:ascii="Arial" w:eastAsia="Calibri" w:hAnsi="Arial" w:cs="Arial"/>
          <w:sz w:val="22"/>
          <w:szCs w:val="22"/>
          <w:lang w:eastAsia="en-US"/>
        </w:rPr>
        <w:t xml:space="preserve"> made under </w:t>
      </w:r>
      <w:r w:rsidR="00614D51" w:rsidRPr="00711400">
        <w:rPr>
          <w:rFonts w:ascii="Arial" w:hAnsi="Arial" w:cs="Arial"/>
          <w:sz w:val="22"/>
          <w:szCs w:val="22"/>
        </w:rPr>
        <w:t xml:space="preserve">subsection 389-5(3) of Schedule 1 </w:t>
      </w:r>
      <w:r w:rsidR="00614D51" w:rsidRPr="00711400">
        <w:rPr>
          <w:rFonts w:ascii="Arial" w:eastAsia="Calibri" w:hAnsi="Arial" w:cs="Arial"/>
          <w:sz w:val="22"/>
          <w:szCs w:val="22"/>
          <w:lang w:eastAsia="en-US"/>
        </w:rPr>
        <w:t>to the TAA</w:t>
      </w:r>
      <w:r w:rsidR="00C91A0B" w:rsidRPr="00711400">
        <w:rPr>
          <w:rFonts w:ascii="Arial" w:eastAsia="Calibri" w:hAnsi="Arial" w:cs="Arial"/>
          <w:sz w:val="22"/>
          <w:szCs w:val="22"/>
          <w:lang w:eastAsia="en-US"/>
        </w:rPr>
        <w:t>.</w:t>
      </w:r>
    </w:p>
    <w:p w14:paraId="07D63EBB" w14:textId="1AA5C517" w:rsidR="00736E69" w:rsidRPr="00711400" w:rsidRDefault="006162C0" w:rsidP="00241CF1">
      <w:pPr>
        <w:numPr>
          <w:ilvl w:val="0"/>
          <w:numId w:val="16"/>
        </w:numPr>
        <w:tabs>
          <w:tab w:val="clear" w:pos="360"/>
        </w:tabs>
        <w:spacing w:after="120"/>
        <w:ind w:left="0" w:firstLine="0"/>
        <w:rPr>
          <w:rFonts w:ascii="Arial" w:eastAsia="Calibri" w:hAnsi="Arial" w:cs="Arial"/>
          <w:sz w:val="22"/>
          <w:szCs w:val="22"/>
          <w:lang w:eastAsia="en-US"/>
        </w:rPr>
      </w:pPr>
      <w:r w:rsidRPr="00711400">
        <w:rPr>
          <w:rFonts w:ascii="Arial" w:eastAsia="Calibri" w:hAnsi="Arial" w:cs="Arial"/>
          <w:sz w:val="22"/>
          <w:szCs w:val="22"/>
          <w:lang w:eastAsia="en-US"/>
        </w:rPr>
        <w:t>Th</w:t>
      </w:r>
      <w:r w:rsidR="00F30393" w:rsidRPr="00711400">
        <w:rPr>
          <w:rFonts w:ascii="Arial" w:eastAsia="Calibri" w:hAnsi="Arial" w:cs="Arial"/>
          <w:sz w:val="22"/>
          <w:szCs w:val="22"/>
          <w:lang w:eastAsia="en-US"/>
        </w:rPr>
        <w:t>e</w:t>
      </w:r>
      <w:r w:rsidRPr="00711400">
        <w:rPr>
          <w:rFonts w:ascii="Arial" w:eastAsia="Calibri" w:hAnsi="Arial" w:cs="Arial"/>
          <w:sz w:val="22"/>
          <w:szCs w:val="22"/>
          <w:lang w:eastAsia="en-US"/>
        </w:rPr>
        <w:t xml:space="preserve"> </w:t>
      </w:r>
      <w:r w:rsidR="00F30393" w:rsidRPr="00711400">
        <w:rPr>
          <w:rFonts w:ascii="Arial" w:eastAsia="Calibri" w:hAnsi="Arial" w:cs="Arial"/>
          <w:sz w:val="22"/>
          <w:szCs w:val="22"/>
          <w:lang w:eastAsia="en-US"/>
        </w:rPr>
        <w:t>amendment in th</w:t>
      </w:r>
      <w:r w:rsidR="00614D51" w:rsidRPr="00711400">
        <w:rPr>
          <w:rFonts w:ascii="Arial" w:eastAsia="Calibri" w:hAnsi="Arial" w:cs="Arial"/>
          <w:sz w:val="22"/>
          <w:szCs w:val="22"/>
          <w:lang w:eastAsia="en-US"/>
        </w:rPr>
        <w:t>is</w:t>
      </w:r>
      <w:r w:rsidR="00F30393" w:rsidRPr="00711400">
        <w:rPr>
          <w:rFonts w:ascii="Arial" w:eastAsia="Calibri" w:hAnsi="Arial" w:cs="Arial"/>
          <w:sz w:val="22"/>
          <w:szCs w:val="22"/>
          <w:lang w:eastAsia="en-US"/>
        </w:rPr>
        <w:t xml:space="preserve"> instrument </w:t>
      </w:r>
      <w:r w:rsidRPr="00711400">
        <w:rPr>
          <w:rFonts w:ascii="Arial" w:eastAsia="Calibri" w:hAnsi="Arial" w:cs="Arial"/>
          <w:sz w:val="22"/>
          <w:szCs w:val="22"/>
          <w:lang w:eastAsia="en-US"/>
        </w:rPr>
        <w:t>will</w:t>
      </w:r>
      <w:r w:rsidR="00C91A0B" w:rsidRPr="00711400">
        <w:rPr>
          <w:rFonts w:ascii="Arial" w:eastAsia="Calibri" w:hAnsi="Arial" w:cs="Arial"/>
          <w:sz w:val="22"/>
          <w:szCs w:val="22"/>
          <w:lang w:eastAsia="en-US"/>
        </w:rPr>
        <w:t xml:space="preserve"> ensure </w:t>
      </w:r>
      <w:r w:rsidR="000C231B" w:rsidRPr="00711400">
        <w:rPr>
          <w:rFonts w:ascii="Arial" w:eastAsia="Calibri" w:hAnsi="Arial" w:cs="Arial"/>
          <w:sz w:val="22"/>
          <w:szCs w:val="22"/>
          <w:lang w:eastAsia="en-US"/>
        </w:rPr>
        <w:t xml:space="preserve">that the </w:t>
      </w:r>
      <w:r w:rsidR="006741B2" w:rsidRPr="00711400">
        <w:rPr>
          <w:rFonts w:ascii="Arial" w:eastAsia="Calibri" w:hAnsi="Arial" w:cs="Arial"/>
          <w:sz w:val="22"/>
          <w:szCs w:val="22"/>
          <w:lang w:eastAsia="en-US"/>
        </w:rPr>
        <w:t xml:space="preserve">DEWR-administered </w:t>
      </w:r>
      <w:r w:rsidR="00C91A0B" w:rsidRPr="00711400">
        <w:rPr>
          <w:rFonts w:ascii="Arial" w:eastAsia="Calibri" w:hAnsi="Arial" w:cs="Arial"/>
          <w:sz w:val="22"/>
          <w:szCs w:val="22"/>
          <w:lang w:eastAsia="en-US"/>
        </w:rPr>
        <w:t xml:space="preserve">payments relating to </w:t>
      </w:r>
      <w:r w:rsidR="00C22979" w:rsidRPr="00711400">
        <w:rPr>
          <w:rFonts w:ascii="Arial" w:eastAsia="Calibri" w:hAnsi="Arial" w:cs="Arial"/>
          <w:sz w:val="22"/>
          <w:szCs w:val="22"/>
          <w:lang w:eastAsia="en-US"/>
        </w:rPr>
        <w:t>an</w:t>
      </w:r>
      <w:r w:rsidR="00C91A0B" w:rsidRPr="00711400">
        <w:rPr>
          <w:rFonts w:ascii="Arial" w:eastAsia="Calibri" w:hAnsi="Arial" w:cs="Arial"/>
          <w:sz w:val="22"/>
          <w:szCs w:val="22"/>
          <w:lang w:eastAsia="en-US"/>
        </w:rPr>
        <w:t xml:space="preserve"> </w:t>
      </w:r>
      <w:r w:rsidR="00860DDD" w:rsidRPr="00711400">
        <w:rPr>
          <w:rFonts w:ascii="Arial" w:eastAsia="Calibri" w:hAnsi="Arial" w:cs="Arial"/>
          <w:sz w:val="22"/>
          <w:szCs w:val="22"/>
          <w:lang w:eastAsia="en-US"/>
        </w:rPr>
        <w:t>Australian A</w:t>
      </w:r>
      <w:r w:rsidR="00C91A0B" w:rsidRPr="00711400">
        <w:rPr>
          <w:rFonts w:ascii="Arial" w:eastAsia="Calibri" w:hAnsi="Arial" w:cs="Arial"/>
          <w:sz w:val="22"/>
          <w:szCs w:val="22"/>
          <w:lang w:eastAsia="en-US"/>
        </w:rPr>
        <w:t xml:space="preserve">pprenticeship </w:t>
      </w:r>
      <w:r w:rsidR="00384CC2" w:rsidRPr="00711400">
        <w:rPr>
          <w:rFonts w:ascii="Arial" w:eastAsia="Calibri" w:hAnsi="Arial" w:cs="Arial"/>
          <w:sz w:val="22"/>
          <w:szCs w:val="22"/>
          <w:lang w:eastAsia="en-US"/>
        </w:rPr>
        <w:t xml:space="preserve">can be </w:t>
      </w:r>
      <w:r w:rsidR="00C91A0B" w:rsidRPr="00711400">
        <w:rPr>
          <w:rFonts w:ascii="Arial" w:eastAsia="Calibri" w:hAnsi="Arial" w:cs="Arial"/>
          <w:sz w:val="22"/>
          <w:szCs w:val="22"/>
          <w:lang w:eastAsia="en-US"/>
        </w:rPr>
        <w:t>reported</w:t>
      </w:r>
      <w:r w:rsidR="000C231B" w:rsidRPr="00711400">
        <w:rPr>
          <w:rFonts w:ascii="Arial" w:eastAsia="Calibri" w:hAnsi="Arial" w:cs="Arial"/>
          <w:sz w:val="22"/>
          <w:szCs w:val="22"/>
          <w:lang w:eastAsia="en-US"/>
        </w:rPr>
        <w:t xml:space="preserve"> </w:t>
      </w:r>
      <w:r w:rsidR="00384CC2" w:rsidRPr="00711400">
        <w:rPr>
          <w:rFonts w:ascii="Arial" w:eastAsia="Calibri" w:hAnsi="Arial" w:cs="Arial"/>
          <w:sz w:val="22"/>
          <w:szCs w:val="22"/>
          <w:lang w:eastAsia="en-US"/>
        </w:rPr>
        <w:t>through</w:t>
      </w:r>
      <w:r w:rsidR="000C231B" w:rsidRPr="00711400">
        <w:rPr>
          <w:rFonts w:ascii="Arial" w:eastAsia="Calibri" w:hAnsi="Arial" w:cs="Arial"/>
          <w:sz w:val="22"/>
          <w:szCs w:val="22"/>
          <w:lang w:eastAsia="en-US"/>
        </w:rPr>
        <w:t xml:space="preserve"> STP</w:t>
      </w:r>
      <w:r w:rsidR="008A44FA" w:rsidRPr="00711400">
        <w:rPr>
          <w:rFonts w:ascii="Arial" w:eastAsia="Calibri" w:hAnsi="Arial" w:cs="Arial"/>
          <w:sz w:val="22"/>
          <w:szCs w:val="22"/>
          <w:lang w:eastAsia="en-US"/>
        </w:rPr>
        <w:t>,</w:t>
      </w:r>
      <w:r w:rsidR="00C91A0B" w:rsidRPr="00711400">
        <w:rPr>
          <w:rFonts w:ascii="Arial" w:eastAsia="Calibri" w:hAnsi="Arial" w:cs="Arial"/>
          <w:sz w:val="22"/>
          <w:szCs w:val="22"/>
          <w:lang w:eastAsia="en-US"/>
        </w:rPr>
        <w:t xml:space="preserve"> </w:t>
      </w:r>
      <w:r w:rsidR="000C231B" w:rsidRPr="00711400">
        <w:rPr>
          <w:rFonts w:ascii="Arial" w:eastAsia="Calibri" w:hAnsi="Arial" w:cs="Arial"/>
          <w:sz w:val="22"/>
          <w:szCs w:val="22"/>
          <w:lang w:eastAsia="en-US"/>
        </w:rPr>
        <w:t>to ensure consistenc</w:t>
      </w:r>
      <w:r w:rsidR="002917E4" w:rsidRPr="00711400">
        <w:rPr>
          <w:rFonts w:ascii="Arial" w:eastAsia="Calibri" w:hAnsi="Arial" w:cs="Arial"/>
          <w:sz w:val="22"/>
          <w:szCs w:val="22"/>
          <w:lang w:eastAsia="en-US"/>
        </w:rPr>
        <w:t xml:space="preserve">y with </w:t>
      </w:r>
      <w:r w:rsidR="00C91A0B" w:rsidRPr="00711400">
        <w:rPr>
          <w:rFonts w:ascii="Arial" w:eastAsia="Calibri" w:hAnsi="Arial" w:cs="Arial"/>
          <w:sz w:val="22"/>
          <w:szCs w:val="22"/>
          <w:lang w:eastAsia="en-US"/>
        </w:rPr>
        <w:t>the way</w:t>
      </w:r>
      <w:r w:rsidR="002917E4" w:rsidRPr="00711400">
        <w:rPr>
          <w:rFonts w:ascii="Arial" w:eastAsia="Calibri" w:hAnsi="Arial" w:cs="Arial"/>
          <w:sz w:val="22"/>
          <w:szCs w:val="22"/>
          <w:lang w:eastAsia="en-US"/>
        </w:rPr>
        <w:t xml:space="preserve"> </w:t>
      </w:r>
      <w:r w:rsidR="00C22979" w:rsidRPr="00711400">
        <w:rPr>
          <w:rFonts w:ascii="Arial" w:eastAsia="Calibri" w:hAnsi="Arial" w:cs="Arial"/>
          <w:sz w:val="22"/>
          <w:szCs w:val="22"/>
          <w:lang w:eastAsia="en-US"/>
        </w:rPr>
        <w:t xml:space="preserve">employers report </w:t>
      </w:r>
      <w:r w:rsidR="00384CC2" w:rsidRPr="00711400">
        <w:rPr>
          <w:rFonts w:ascii="Arial" w:eastAsia="Calibri" w:hAnsi="Arial" w:cs="Arial"/>
          <w:sz w:val="22"/>
          <w:szCs w:val="22"/>
          <w:lang w:eastAsia="en-US"/>
        </w:rPr>
        <w:t>payments made in relation to</w:t>
      </w:r>
      <w:r w:rsidR="00C22979" w:rsidRPr="00711400">
        <w:rPr>
          <w:rFonts w:ascii="Arial" w:eastAsia="Calibri" w:hAnsi="Arial" w:cs="Arial"/>
          <w:sz w:val="22"/>
          <w:szCs w:val="22"/>
          <w:lang w:eastAsia="en-US"/>
        </w:rPr>
        <w:t xml:space="preserve"> the same Australian Apprenticeship</w:t>
      </w:r>
      <w:r w:rsidR="00C91A0B" w:rsidRPr="00711400">
        <w:rPr>
          <w:rFonts w:ascii="Arial" w:eastAsia="Calibri" w:hAnsi="Arial" w:cs="Arial"/>
          <w:sz w:val="22"/>
          <w:szCs w:val="22"/>
          <w:lang w:eastAsia="en-US"/>
        </w:rPr>
        <w:t>.</w:t>
      </w:r>
    </w:p>
    <w:p w14:paraId="1F4F291D" w14:textId="540F3535" w:rsidR="00F02744" w:rsidRPr="00711400" w:rsidRDefault="00280050" w:rsidP="00241CF1">
      <w:pPr>
        <w:numPr>
          <w:ilvl w:val="0"/>
          <w:numId w:val="16"/>
        </w:numPr>
        <w:tabs>
          <w:tab w:val="clear" w:pos="360"/>
        </w:tabs>
        <w:spacing w:after="120"/>
        <w:ind w:left="0" w:firstLine="0"/>
        <w:rPr>
          <w:rFonts w:ascii="Arial" w:hAnsi="Arial" w:cs="Arial"/>
          <w:sz w:val="22"/>
          <w:szCs w:val="22"/>
        </w:rPr>
      </w:pPr>
      <w:r w:rsidRPr="00711400">
        <w:rPr>
          <w:rFonts w:ascii="Arial" w:eastAsia="Calibri" w:hAnsi="Arial" w:cs="Arial"/>
          <w:sz w:val="22"/>
          <w:szCs w:val="22"/>
          <w:lang w:eastAsia="en-US"/>
        </w:rPr>
        <w:t>Employers of Australian Apprentices are not</w:t>
      </w:r>
      <w:r w:rsidR="00C91A0B" w:rsidRPr="00711400">
        <w:rPr>
          <w:rFonts w:ascii="Arial" w:eastAsia="Calibri" w:hAnsi="Arial" w:cs="Arial"/>
          <w:sz w:val="22"/>
          <w:szCs w:val="22"/>
          <w:lang w:eastAsia="en-US"/>
        </w:rPr>
        <w:t xml:space="preserve"> affected by the amendments made by this instrument</w:t>
      </w:r>
      <w:r w:rsidR="00736E69" w:rsidRPr="00711400">
        <w:rPr>
          <w:rFonts w:ascii="Arial" w:eastAsia="Calibri" w:hAnsi="Arial" w:cs="Arial"/>
          <w:sz w:val="22"/>
          <w:szCs w:val="22"/>
          <w:lang w:eastAsia="en-US"/>
        </w:rPr>
        <w:t>.</w:t>
      </w:r>
      <w:r w:rsidRPr="00711400">
        <w:rPr>
          <w:rFonts w:ascii="Arial" w:eastAsia="Calibri" w:hAnsi="Arial" w:cs="Arial"/>
          <w:sz w:val="22"/>
          <w:szCs w:val="22"/>
          <w:lang w:eastAsia="en-US"/>
        </w:rPr>
        <w:t xml:space="preserve"> Those employers should already be reporting salary and wages using STP.</w:t>
      </w:r>
    </w:p>
    <w:p w14:paraId="15AC1B76" w14:textId="4F896718" w:rsidR="00486653" w:rsidRPr="00711400" w:rsidRDefault="00F02744" w:rsidP="00241CF1">
      <w:pPr>
        <w:numPr>
          <w:ilvl w:val="0"/>
          <w:numId w:val="16"/>
        </w:numPr>
        <w:tabs>
          <w:tab w:val="clear" w:pos="360"/>
        </w:tabs>
        <w:spacing w:after="120"/>
        <w:ind w:left="0" w:firstLine="0"/>
        <w:rPr>
          <w:rFonts w:ascii="Arial" w:hAnsi="Arial" w:cs="Arial"/>
          <w:sz w:val="22"/>
          <w:szCs w:val="22"/>
        </w:rPr>
      </w:pPr>
      <w:r w:rsidRPr="00711400">
        <w:rPr>
          <w:rFonts w:ascii="Arial" w:eastAsia="Calibri" w:hAnsi="Arial" w:cs="Arial"/>
          <w:sz w:val="22"/>
          <w:szCs w:val="22"/>
          <w:lang w:eastAsia="en-US"/>
        </w:rPr>
        <w:t>There is no change required to the existing structure and function of STP reporting</w:t>
      </w:r>
      <w:r w:rsidR="008A44FA" w:rsidRPr="00711400">
        <w:rPr>
          <w:rFonts w:ascii="Arial" w:eastAsia="Calibri" w:hAnsi="Arial" w:cs="Arial"/>
          <w:sz w:val="22"/>
          <w:szCs w:val="22"/>
          <w:lang w:eastAsia="en-US"/>
        </w:rPr>
        <w:t>,</w:t>
      </w:r>
      <w:r w:rsidRPr="00711400">
        <w:rPr>
          <w:rFonts w:ascii="Arial" w:eastAsia="Calibri" w:hAnsi="Arial" w:cs="Arial"/>
          <w:sz w:val="22"/>
          <w:szCs w:val="22"/>
          <w:lang w:eastAsia="en-US"/>
        </w:rPr>
        <w:t xml:space="preserve"> as </w:t>
      </w:r>
      <w:r w:rsidR="00280050" w:rsidRPr="00711400">
        <w:rPr>
          <w:rFonts w:ascii="Arial" w:eastAsia="Calibri" w:hAnsi="Arial" w:cs="Arial"/>
          <w:sz w:val="22"/>
          <w:szCs w:val="22"/>
          <w:lang w:eastAsia="en-US"/>
        </w:rPr>
        <w:t>these support payments made to Australian Apprentices</w:t>
      </w:r>
      <w:r w:rsidRPr="00711400">
        <w:rPr>
          <w:rFonts w:ascii="Arial" w:eastAsia="Calibri" w:hAnsi="Arial" w:cs="Arial"/>
          <w:sz w:val="22"/>
          <w:szCs w:val="22"/>
          <w:lang w:eastAsia="en-US"/>
        </w:rPr>
        <w:t xml:space="preserve"> already align </w:t>
      </w:r>
      <w:r w:rsidR="00257773" w:rsidRPr="00711400">
        <w:rPr>
          <w:rFonts w:ascii="Arial" w:eastAsia="Calibri" w:hAnsi="Arial" w:cs="Arial"/>
          <w:sz w:val="22"/>
          <w:szCs w:val="22"/>
          <w:lang w:eastAsia="en-US"/>
        </w:rPr>
        <w:t>with</w:t>
      </w:r>
      <w:r w:rsidRPr="00711400">
        <w:rPr>
          <w:rFonts w:ascii="Arial" w:eastAsia="Calibri" w:hAnsi="Arial" w:cs="Arial"/>
          <w:sz w:val="22"/>
          <w:szCs w:val="22"/>
          <w:lang w:eastAsia="en-US"/>
        </w:rPr>
        <w:t xml:space="preserve"> existing reporting requirements for STP.</w:t>
      </w:r>
    </w:p>
    <w:p w14:paraId="5C93E1F2" w14:textId="77777777" w:rsidR="00711400" w:rsidRPr="00241CF1" w:rsidRDefault="00711400" w:rsidP="00241CF1">
      <w:pPr>
        <w:spacing w:after="120"/>
        <w:rPr>
          <w:rFonts w:ascii="Arial" w:hAnsi="Arial" w:cs="Arial"/>
          <w:sz w:val="22"/>
          <w:szCs w:val="22"/>
        </w:rPr>
      </w:pPr>
    </w:p>
    <w:p w14:paraId="15AC1B77" w14:textId="4D33F03B" w:rsidR="00486653" w:rsidRPr="00241CF1" w:rsidRDefault="00E10B37" w:rsidP="00241CF1">
      <w:pPr>
        <w:pStyle w:val="Heading2"/>
      </w:pPr>
      <w:r w:rsidRPr="00241CF1">
        <w:t>Consultation</w:t>
      </w:r>
    </w:p>
    <w:p w14:paraId="13B070CF" w14:textId="2B85AAAA" w:rsidR="006A182B" w:rsidRPr="00241CF1" w:rsidRDefault="006A182B" w:rsidP="00241CF1">
      <w:pPr>
        <w:numPr>
          <w:ilvl w:val="0"/>
          <w:numId w:val="16"/>
        </w:numPr>
        <w:tabs>
          <w:tab w:val="clear" w:pos="360"/>
        </w:tabs>
        <w:spacing w:after="120"/>
        <w:ind w:left="0" w:firstLine="0"/>
        <w:rPr>
          <w:rFonts w:ascii="Arial" w:hAnsi="Arial" w:cs="Arial"/>
          <w:sz w:val="22"/>
          <w:szCs w:val="22"/>
        </w:rPr>
      </w:pPr>
      <w:r w:rsidRPr="00241CF1">
        <w:rPr>
          <w:rFonts w:ascii="Arial" w:hAnsi="Arial" w:cs="Arial"/>
          <w:sz w:val="22"/>
          <w:szCs w:val="22"/>
        </w:rPr>
        <w:t xml:space="preserve">Subsection 17(1) of the </w:t>
      </w:r>
      <w:r w:rsidRPr="00953DE1">
        <w:rPr>
          <w:rFonts w:ascii="Arial" w:hAnsi="Arial" w:cs="Arial"/>
          <w:i/>
          <w:iCs/>
          <w:sz w:val="22"/>
          <w:szCs w:val="22"/>
        </w:rPr>
        <w:t>Legislation Act 2003</w:t>
      </w:r>
      <w:r w:rsidRPr="00241CF1">
        <w:rPr>
          <w:rFonts w:ascii="Arial" w:hAnsi="Arial" w:cs="Arial"/>
          <w:sz w:val="22"/>
          <w:szCs w:val="22"/>
        </w:rPr>
        <w:t xml:space="preserve"> requires</w:t>
      </w:r>
      <w:r w:rsidR="008A44FA" w:rsidRPr="00241CF1">
        <w:rPr>
          <w:rFonts w:ascii="Arial" w:hAnsi="Arial" w:cs="Arial"/>
          <w:sz w:val="22"/>
          <w:szCs w:val="22"/>
        </w:rPr>
        <w:t xml:space="preserve"> </w:t>
      </w:r>
      <w:r w:rsidRPr="00241CF1">
        <w:rPr>
          <w:rFonts w:ascii="Arial" w:hAnsi="Arial" w:cs="Arial"/>
          <w:sz w:val="22"/>
          <w:szCs w:val="22"/>
        </w:rPr>
        <w:t xml:space="preserve">the Commissioner </w:t>
      </w:r>
      <w:r w:rsidR="008A44FA" w:rsidRPr="00241CF1">
        <w:rPr>
          <w:rFonts w:ascii="Arial" w:hAnsi="Arial" w:cs="Arial"/>
          <w:sz w:val="22"/>
          <w:szCs w:val="22"/>
        </w:rPr>
        <w:t xml:space="preserve">to be </w:t>
      </w:r>
      <w:r w:rsidRPr="00241CF1">
        <w:rPr>
          <w:rFonts w:ascii="Arial" w:hAnsi="Arial" w:cs="Arial"/>
          <w:sz w:val="22"/>
          <w:szCs w:val="22"/>
        </w:rPr>
        <w:t>satisfied that appropriate and reasonably practicable consultation has been undertaken</w:t>
      </w:r>
      <w:r w:rsidR="008A44FA" w:rsidRPr="00241CF1">
        <w:rPr>
          <w:rFonts w:ascii="Arial" w:hAnsi="Arial" w:cs="Arial"/>
          <w:sz w:val="22"/>
          <w:szCs w:val="22"/>
        </w:rPr>
        <w:t xml:space="preserve"> before he makes a determination</w:t>
      </w:r>
      <w:r w:rsidRPr="00241CF1">
        <w:rPr>
          <w:rFonts w:ascii="Arial" w:hAnsi="Arial" w:cs="Arial"/>
          <w:sz w:val="22"/>
          <w:szCs w:val="22"/>
        </w:rPr>
        <w:t>.</w:t>
      </w:r>
    </w:p>
    <w:p w14:paraId="58602821" w14:textId="77777777" w:rsidR="00711400" w:rsidRPr="00241CF1" w:rsidRDefault="00526D70" w:rsidP="00241CF1">
      <w:pPr>
        <w:numPr>
          <w:ilvl w:val="0"/>
          <w:numId w:val="16"/>
        </w:numPr>
        <w:tabs>
          <w:tab w:val="clear" w:pos="360"/>
        </w:tabs>
        <w:spacing w:after="120"/>
        <w:ind w:left="0" w:firstLine="0"/>
        <w:rPr>
          <w:rFonts w:ascii="Arial" w:hAnsi="Arial" w:cs="Arial"/>
          <w:sz w:val="22"/>
          <w:szCs w:val="22"/>
        </w:rPr>
      </w:pPr>
      <w:r w:rsidRPr="00241CF1">
        <w:rPr>
          <w:rFonts w:ascii="Arial" w:hAnsi="Arial" w:cs="Arial"/>
          <w:sz w:val="22"/>
          <w:szCs w:val="22"/>
        </w:rPr>
        <w:lastRenderedPageBreak/>
        <w:t>Consultation was undertaken</w:t>
      </w:r>
      <w:r w:rsidR="00C9492F" w:rsidRPr="00241CF1">
        <w:rPr>
          <w:rFonts w:ascii="Arial" w:hAnsi="Arial" w:cs="Arial"/>
          <w:sz w:val="22"/>
          <w:szCs w:val="22"/>
        </w:rPr>
        <w:t xml:space="preserve"> with </w:t>
      </w:r>
      <w:r w:rsidR="00AE68DB" w:rsidRPr="00241CF1">
        <w:rPr>
          <w:rFonts w:ascii="Arial" w:hAnsi="Arial" w:cs="Arial"/>
          <w:sz w:val="22"/>
          <w:szCs w:val="22"/>
        </w:rPr>
        <w:t>the Commonwealth Department affected by this instrument</w:t>
      </w:r>
      <w:r w:rsidR="00DD1613" w:rsidRPr="00241CF1">
        <w:rPr>
          <w:rFonts w:ascii="Arial" w:hAnsi="Arial" w:cs="Arial"/>
          <w:sz w:val="22"/>
          <w:szCs w:val="22"/>
        </w:rPr>
        <w:t xml:space="preserve"> (currently known as DEWR)</w:t>
      </w:r>
      <w:r w:rsidR="00AE68DB" w:rsidRPr="00241CF1">
        <w:rPr>
          <w:rFonts w:ascii="Arial" w:hAnsi="Arial" w:cs="Arial"/>
          <w:sz w:val="22"/>
          <w:szCs w:val="22"/>
        </w:rPr>
        <w:t>.</w:t>
      </w:r>
    </w:p>
    <w:p w14:paraId="04F4D3DB" w14:textId="3C3BACC7" w:rsidR="00711400" w:rsidRPr="00241CF1" w:rsidRDefault="00711400" w:rsidP="00241CF1">
      <w:pPr>
        <w:spacing w:after="120"/>
        <w:rPr>
          <w:rFonts w:ascii="Arial" w:hAnsi="Arial" w:cs="Arial"/>
          <w:sz w:val="22"/>
          <w:szCs w:val="22"/>
        </w:rPr>
      </w:pPr>
    </w:p>
    <w:p w14:paraId="427D5357" w14:textId="304FEAF0" w:rsidR="00CD4383" w:rsidRPr="00241CF1" w:rsidRDefault="007E0A01" w:rsidP="00241CF1">
      <w:pPr>
        <w:pStyle w:val="Heading3"/>
        <w:spacing w:before="0"/>
        <w:rPr>
          <w:sz w:val="24"/>
          <w:szCs w:val="24"/>
        </w:rPr>
      </w:pPr>
      <w:r w:rsidRPr="00241CF1">
        <w:rPr>
          <w:i/>
          <w:sz w:val="20"/>
          <w:szCs w:val="20"/>
        </w:rPr>
        <w:t>Legislative references</w:t>
      </w:r>
    </w:p>
    <w:p w14:paraId="15AC1B98" w14:textId="6A2649C9" w:rsidR="0076271C" w:rsidRPr="00241CF1" w:rsidRDefault="0076271C" w:rsidP="00241CF1">
      <w:pPr>
        <w:rPr>
          <w:rFonts w:ascii="Arial" w:hAnsi="Arial" w:cs="Arial"/>
          <w:i/>
          <w:sz w:val="20"/>
        </w:rPr>
      </w:pPr>
      <w:r w:rsidRPr="00241CF1">
        <w:rPr>
          <w:rFonts w:ascii="Arial" w:hAnsi="Arial" w:cs="Arial"/>
          <w:i/>
          <w:sz w:val="20"/>
        </w:rPr>
        <w:t>Acts Interpretation Act 1901</w:t>
      </w:r>
    </w:p>
    <w:p w14:paraId="59E9A100" w14:textId="442C70AA" w:rsidR="00C9492F" w:rsidRPr="00241CF1" w:rsidRDefault="00C9492F" w:rsidP="00241CF1">
      <w:pPr>
        <w:rPr>
          <w:rFonts w:ascii="Arial" w:hAnsi="Arial" w:cs="Arial"/>
          <w:i/>
          <w:sz w:val="20"/>
        </w:rPr>
      </w:pPr>
      <w:r w:rsidRPr="00241CF1">
        <w:rPr>
          <w:rFonts w:ascii="Arial" w:hAnsi="Arial" w:cs="Arial"/>
          <w:i/>
          <w:sz w:val="20"/>
        </w:rPr>
        <w:t>Human Rights (Parliamentary Scrutiny) Act 2011</w:t>
      </w:r>
    </w:p>
    <w:p w14:paraId="2A168E8D" w14:textId="77777777" w:rsidR="00910595" w:rsidRPr="00241CF1" w:rsidRDefault="0076271C" w:rsidP="00241CF1">
      <w:pPr>
        <w:rPr>
          <w:rFonts w:ascii="Arial" w:hAnsi="Arial" w:cs="Arial"/>
          <w:i/>
          <w:sz w:val="20"/>
        </w:rPr>
      </w:pPr>
      <w:r w:rsidRPr="00241CF1">
        <w:rPr>
          <w:rFonts w:ascii="Arial" w:hAnsi="Arial" w:cs="Arial"/>
          <w:i/>
          <w:sz w:val="20"/>
        </w:rPr>
        <w:t>Legislation Act 2003</w:t>
      </w:r>
    </w:p>
    <w:p w14:paraId="153AD068" w14:textId="77777777" w:rsidR="00910595" w:rsidRPr="00241CF1" w:rsidRDefault="007E0A01" w:rsidP="00241CF1">
      <w:pPr>
        <w:rPr>
          <w:rFonts w:ascii="Arial" w:hAnsi="Arial" w:cs="Arial"/>
          <w:i/>
          <w:sz w:val="20"/>
        </w:rPr>
      </w:pPr>
      <w:r w:rsidRPr="00241CF1">
        <w:rPr>
          <w:rFonts w:ascii="Arial" w:hAnsi="Arial" w:cs="Arial"/>
          <w:i/>
          <w:sz w:val="20"/>
        </w:rPr>
        <w:t>Taxation Administration Act 1953</w:t>
      </w:r>
    </w:p>
    <w:p w14:paraId="15AC1BA5" w14:textId="7AA8952E" w:rsidR="00333567" w:rsidRPr="00711400" w:rsidRDefault="00333567" w:rsidP="00241CF1">
      <w:pPr>
        <w:spacing w:after="120"/>
        <w:rPr>
          <w:rFonts w:ascii="Arial" w:hAnsi="Arial" w:cs="Arial"/>
          <w:sz w:val="22"/>
          <w:szCs w:val="22"/>
        </w:rPr>
      </w:pPr>
    </w:p>
    <w:p w14:paraId="15AC1BA6" w14:textId="071C8BC4" w:rsidR="00101CD5" w:rsidRPr="00711400" w:rsidRDefault="00101CD5" w:rsidP="00241CF1">
      <w:pPr>
        <w:spacing w:after="120"/>
        <w:rPr>
          <w:rFonts w:ascii="Arial" w:hAnsi="Arial" w:cs="Arial"/>
          <w:sz w:val="22"/>
          <w:szCs w:val="22"/>
        </w:rPr>
      </w:pPr>
      <w:r w:rsidRPr="00711400">
        <w:rPr>
          <w:rFonts w:ascii="Arial" w:hAnsi="Arial" w:cs="Arial"/>
          <w:sz w:val="22"/>
          <w:szCs w:val="22"/>
        </w:rPr>
        <w:br w:type="page"/>
      </w:r>
    </w:p>
    <w:p w14:paraId="15AC1BAB" w14:textId="08BC1495" w:rsidR="00526403" w:rsidRPr="00711400" w:rsidRDefault="00526403" w:rsidP="00241CF1">
      <w:pPr>
        <w:spacing w:after="120"/>
        <w:rPr>
          <w:rFonts w:ascii="Arial" w:hAnsi="Arial" w:cs="Arial"/>
          <w:sz w:val="22"/>
          <w:szCs w:val="22"/>
        </w:rPr>
      </w:pPr>
    </w:p>
    <w:p w14:paraId="15AC1BAC" w14:textId="6B4B8273" w:rsidR="00333567" w:rsidRPr="00711400" w:rsidRDefault="00E53399" w:rsidP="00241CF1">
      <w:pPr>
        <w:pStyle w:val="Heading3"/>
        <w:spacing w:before="0" w:after="120"/>
        <w:jc w:val="center"/>
        <w:rPr>
          <w:sz w:val="24"/>
        </w:rPr>
      </w:pPr>
      <w:r w:rsidRPr="00711400">
        <w:rPr>
          <w:sz w:val="24"/>
        </w:rPr>
        <w:t xml:space="preserve">Statement of compatibility </w:t>
      </w:r>
      <w:r w:rsidR="00C11D03" w:rsidRPr="00711400">
        <w:rPr>
          <w:sz w:val="24"/>
        </w:rPr>
        <w:t>with Human Rights</w:t>
      </w:r>
    </w:p>
    <w:p w14:paraId="15AC1BAD" w14:textId="2D0AE488" w:rsidR="00E53399" w:rsidRPr="0034444B" w:rsidRDefault="004F5EB1" w:rsidP="0034444B">
      <w:pPr>
        <w:autoSpaceDE w:val="0"/>
        <w:autoSpaceDN w:val="0"/>
        <w:adjustRightInd w:val="0"/>
        <w:spacing w:after="120"/>
        <w:rPr>
          <w:rFonts w:ascii="Arial" w:hAnsi="Arial" w:cs="Arial"/>
          <w:sz w:val="22"/>
        </w:rPr>
      </w:pPr>
      <w:r w:rsidRPr="0034444B">
        <w:rPr>
          <w:rFonts w:ascii="Arial" w:hAnsi="Arial" w:cs="Arial"/>
          <w:sz w:val="22"/>
        </w:rPr>
        <w:t>P</w:t>
      </w:r>
      <w:r w:rsidR="00E53399" w:rsidRPr="0034444B">
        <w:rPr>
          <w:rFonts w:ascii="Arial" w:hAnsi="Arial" w:cs="Arial"/>
          <w:sz w:val="22"/>
        </w:rPr>
        <w:t xml:space="preserve">repared in accordance with Part 3 of the </w:t>
      </w:r>
      <w:bookmarkStart w:id="0" w:name="_Hlk110503488"/>
      <w:r w:rsidR="00E53399" w:rsidRPr="0034444B">
        <w:rPr>
          <w:rFonts w:ascii="Arial" w:hAnsi="Arial" w:cs="Arial"/>
          <w:i/>
          <w:iCs/>
          <w:sz w:val="22"/>
        </w:rPr>
        <w:t>Human Rights (Parliamentary Scrutiny) Act 2011</w:t>
      </w:r>
      <w:bookmarkEnd w:id="0"/>
      <w:r w:rsidR="0034444B" w:rsidRPr="0034444B">
        <w:rPr>
          <w:rFonts w:ascii="Arial" w:hAnsi="Arial" w:cs="Arial"/>
          <w:sz w:val="22"/>
        </w:rPr>
        <w:t>.</w:t>
      </w:r>
    </w:p>
    <w:p w14:paraId="15AC1BAE" w14:textId="68DA81E7" w:rsidR="00D77015" w:rsidRPr="00711400" w:rsidRDefault="00D77015" w:rsidP="00241CF1">
      <w:pPr>
        <w:spacing w:after="120"/>
        <w:rPr>
          <w:rFonts w:ascii="Arial" w:hAnsi="Arial" w:cs="Arial"/>
          <w:sz w:val="22"/>
          <w:szCs w:val="22"/>
        </w:rPr>
      </w:pPr>
    </w:p>
    <w:p w14:paraId="15AC1BAF" w14:textId="6C5D33CD" w:rsidR="002A26FE" w:rsidRPr="0034444B" w:rsidRDefault="00CD4383" w:rsidP="00241CF1">
      <w:pPr>
        <w:pStyle w:val="Heading2"/>
        <w:jc w:val="center"/>
        <w:rPr>
          <w:i/>
          <w:iCs/>
        </w:rPr>
      </w:pPr>
      <w:r w:rsidRPr="0034444B">
        <w:rPr>
          <w:i/>
          <w:iCs/>
        </w:rPr>
        <w:t>Taxation Administration – Single Touch Payroll – Amounts to be Notified</w:t>
      </w:r>
      <w:r w:rsidR="00F52CB9" w:rsidRPr="0034444B">
        <w:rPr>
          <w:i/>
          <w:iCs/>
        </w:rPr>
        <w:t xml:space="preserve"> Amendment</w:t>
      </w:r>
      <w:r w:rsidRPr="0034444B">
        <w:rPr>
          <w:i/>
          <w:iCs/>
        </w:rPr>
        <w:t xml:space="preserve"> (</w:t>
      </w:r>
      <w:r w:rsidR="00F52CB9" w:rsidRPr="0034444B">
        <w:rPr>
          <w:i/>
          <w:iCs/>
        </w:rPr>
        <w:t>Australian Apprentice</w:t>
      </w:r>
      <w:r w:rsidR="008A44FA" w:rsidRPr="0034444B">
        <w:rPr>
          <w:i/>
          <w:iCs/>
        </w:rPr>
        <w:t>ships</w:t>
      </w:r>
      <w:r w:rsidR="00F52CB9" w:rsidRPr="0034444B">
        <w:rPr>
          <w:i/>
          <w:iCs/>
        </w:rPr>
        <w:t xml:space="preserve"> Incentives</w:t>
      </w:r>
      <w:r w:rsidRPr="0034444B">
        <w:rPr>
          <w:i/>
          <w:iCs/>
        </w:rPr>
        <w:t>) Determination 2022</w:t>
      </w:r>
    </w:p>
    <w:p w14:paraId="54F9AC2D" w14:textId="3F7CE332" w:rsidR="009371D0" w:rsidRPr="00711400" w:rsidRDefault="00075B58" w:rsidP="00241CF1">
      <w:pPr>
        <w:autoSpaceDE w:val="0"/>
        <w:autoSpaceDN w:val="0"/>
        <w:adjustRightInd w:val="0"/>
        <w:spacing w:after="120"/>
        <w:rPr>
          <w:rFonts w:ascii="Arial" w:hAnsi="Arial" w:cs="Arial"/>
          <w:sz w:val="22"/>
        </w:rPr>
      </w:pPr>
      <w:r w:rsidRPr="00711400">
        <w:rPr>
          <w:rFonts w:ascii="Arial" w:hAnsi="Arial" w:cs="Arial"/>
          <w:sz w:val="22"/>
        </w:rPr>
        <w:t xml:space="preserve">This </w:t>
      </w:r>
      <w:r w:rsidR="008A44FA" w:rsidRPr="00711400">
        <w:rPr>
          <w:rFonts w:ascii="Arial" w:hAnsi="Arial" w:cs="Arial"/>
          <w:sz w:val="22"/>
        </w:rPr>
        <w:t>l</w:t>
      </w:r>
      <w:r w:rsidRPr="00711400">
        <w:rPr>
          <w:rFonts w:ascii="Arial" w:hAnsi="Arial" w:cs="Arial"/>
          <w:sz w:val="22"/>
        </w:rPr>
        <w:t xml:space="preserve">egislative </w:t>
      </w:r>
      <w:r w:rsidR="008A44FA" w:rsidRPr="00711400">
        <w:rPr>
          <w:rFonts w:ascii="Arial" w:hAnsi="Arial" w:cs="Arial"/>
          <w:sz w:val="22"/>
        </w:rPr>
        <w:t>i</w:t>
      </w:r>
      <w:r w:rsidRPr="00711400">
        <w:rPr>
          <w:rFonts w:ascii="Arial" w:hAnsi="Arial" w:cs="Arial"/>
          <w:sz w:val="22"/>
        </w:rPr>
        <w:t xml:space="preserve">nstrument is compatible with the human rights and freedoms recognised or declared in the international instruments listed in section 3 of the </w:t>
      </w:r>
      <w:r w:rsidRPr="00711400">
        <w:rPr>
          <w:rFonts w:ascii="Arial" w:hAnsi="Arial" w:cs="Arial"/>
          <w:i/>
          <w:sz w:val="22"/>
        </w:rPr>
        <w:t>Human Righ</w:t>
      </w:r>
      <w:r w:rsidR="00101CD5" w:rsidRPr="00711400">
        <w:rPr>
          <w:rFonts w:ascii="Arial" w:hAnsi="Arial" w:cs="Arial"/>
          <w:i/>
          <w:sz w:val="22"/>
        </w:rPr>
        <w:t>ts (Parliamentary Scrutiny) Act </w:t>
      </w:r>
      <w:r w:rsidRPr="00711400">
        <w:rPr>
          <w:rFonts w:ascii="Arial" w:hAnsi="Arial" w:cs="Arial"/>
          <w:i/>
          <w:sz w:val="22"/>
        </w:rPr>
        <w:t>2011.</w:t>
      </w:r>
    </w:p>
    <w:p w14:paraId="15AC1BB2" w14:textId="6553A54F" w:rsidR="00075B58" w:rsidRPr="00711400" w:rsidRDefault="00075B58" w:rsidP="00241CF1">
      <w:pPr>
        <w:spacing w:after="120"/>
        <w:rPr>
          <w:rFonts w:ascii="Arial" w:hAnsi="Arial" w:cs="Arial"/>
          <w:sz w:val="22"/>
          <w:szCs w:val="22"/>
        </w:rPr>
      </w:pPr>
    </w:p>
    <w:p w14:paraId="15AC1BB3" w14:textId="6228B3E2" w:rsidR="00075B58" w:rsidRPr="00711400" w:rsidRDefault="00075B58" w:rsidP="00241CF1">
      <w:pPr>
        <w:pStyle w:val="Heading2"/>
      </w:pPr>
      <w:r w:rsidRPr="00711400">
        <w:t xml:space="preserve">Overview of </w:t>
      </w:r>
      <w:r w:rsidR="007E0A01" w:rsidRPr="00711400">
        <w:t xml:space="preserve">the </w:t>
      </w:r>
      <w:r w:rsidR="008A44FA" w:rsidRPr="00711400">
        <w:t>l</w:t>
      </w:r>
      <w:r w:rsidRPr="00711400">
        <w:t xml:space="preserve">egislative </w:t>
      </w:r>
      <w:r w:rsidR="008A44FA" w:rsidRPr="00711400">
        <w:t>i</w:t>
      </w:r>
      <w:r w:rsidRPr="00711400">
        <w:t>nstrument</w:t>
      </w:r>
    </w:p>
    <w:p w14:paraId="15AC1BB5" w14:textId="4D80EAE6" w:rsidR="00075B58" w:rsidRPr="00711400" w:rsidRDefault="00F52CB9" w:rsidP="00241CF1">
      <w:pPr>
        <w:spacing w:after="120"/>
        <w:rPr>
          <w:rFonts w:ascii="Arial" w:hAnsi="Arial" w:cs="Arial"/>
          <w:bCs/>
          <w:sz w:val="22"/>
          <w:szCs w:val="22"/>
        </w:rPr>
      </w:pPr>
      <w:r w:rsidRPr="00711400">
        <w:rPr>
          <w:rFonts w:ascii="Arial" w:hAnsi="Arial" w:cs="Arial"/>
          <w:bCs/>
          <w:sz w:val="22"/>
          <w:szCs w:val="22"/>
        </w:rPr>
        <w:t xml:space="preserve">This instrument amends the </w:t>
      </w:r>
      <w:r w:rsidRPr="00711400">
        <w:rPr>
          <w:rFonts w:ascii="Arial" w:hAnsi="Arial" w:cs="Arial"/>
          <w:bCs/>
          <w:i/>
          <w:iCs/>
          <w:sz w:val="22"/>
          <w:szCs w:val="22"/>
        </w:rPr>
        <w:t>Taxation Administration – Single Touch Payroll – Amounts to be Notified Determination 2021</w:t>
      </w:r>
      <w:r w:rsidRPr="00711400">
        <w:rPr>
          <w:rFonts w:ascii="Arial" w:hAnsi="Arial" w:cs="Arial"/>
          <w:bCs/>
          <w:sz w:val="22"/>
          <w:szCs w:val="22"/>
        </w:rPr>
        <w:t xml:space="preserve"> (F2021L00094)</w:t>
      </w:r>
      <w:r w:rsidR="008A44FA" w:rsidRPr="00711400">
        <w:rPr>
          <w:rFonts w:ascii="Arial" w:hAnsi="Arial" w:cs="Arial"/>
          <w:bCs/>
          <w:sz w:val="22"/>
          <w:szCs w:val="22"/>
        </w:rPr>
        <w:t xml:space="preserve">. That instrument </w:t>
      </w:r>
      <w:r w:rsidRPr="00711400">
        <w:rPr>
          <w:rFonts w:ascii="Arial" w:hAnsi="Arial" w:cs="Arial"/>
          <w:bCs/>
          <w:sz w:val="22"/>
          <w:szCs w:val="22"/>
        </w:rPr>
        <w:t>determines the information which the approved form may require to be reported through Single Touch Payroll (STP) for the purposes of paragraph</w:t>
      </w:r>
      <w:r w:rsidR="00953DE1">
        <w:rPr>
          <w:rFonts w:ascii="Arial" w:hAnsi="Arial" w:cs="Arial"/>
          <w:bCs/>
          <w:sz w:val="22"/>
          <w:szCs w:val="22"/>
        </w:rPr>
        <w:t> </w:t>
      </w:r>
      <w:r w:rsidRPr="00711400">
        <w:rPr>
          <w:rFonts w:ascii="Arial" w:hAnsi="Arial" w:cs="Arial"/>
          <w:bCs/>
          <w:sz w:val="22"/>
          <w:szCs w:val="22"/>
        </w:rPr>
        <w:t>389</w:t>
      </w:r>
      <w:r w:rsidR="00953DE1">
        <w:rPr>
          <w:rFonts w:ascii="Arial" w:hAnsi="Arial" w:cs="Arial"/>
          <w:bCs/>
          <w:sz w:val="22"/>
          <w:szCs w:val="22"/>
        </w:rPr>
        <w:noBreakHyphen/>
      </w:r>
      <w:r w:rsidRPr="00711400">
        <w:rPr>
          <w:rFonts w:ascii="Arial" w:hAnsi="Arial" w:cs="Arial"/>
          <w:bCs/>
          <w:sz w:val="22"/>
          <w:szCs w:val="22"/>
        </w:rPr>
        <w:t xml:space="preserve">5(2)(b) of Schedule 1 to the </w:t>
      </w:r>
      <w:r w:rsidR="008A44FA" w:rsidRPr="00711400">
        <w:rPr>
          <w:rFonts w:ascii="Arial" w:hAnsi="Arial" w:cs="Arial"/>
          <w:bCs/>
          <w:i/>
          <w:iCs/>
          <w:sz w:val="22"/>
          <w:szCs w:val="22"/>
        </w:rPr>
        <w:t>Taxation Administration Act 1953</w:t>
      </w:r>
      <w:r w:rsidRPr="00711400">
        <w:rPr>
          <w:rFonts w:ascii="Arial" w:hAnsi="Arial" w:cs="Arial"/>
          <w:bCs/>
          <w:sz w:val="22"/>
          <w:szCs w:val="22"/>
        </w:rPr>
        <w:t xml:space="preserve">. The amendment </w:t>
      </w:r>
      <w:r w:rsidR="00DD1613" w:rsidRPr="00711400">
        <w:rPr>
          <w:rFonts w:ascii="Arial" w:hAnsi="Arial" w:cs="Arial"/>
          <w:bCs/>
          <w:sz w:val="22"/>
          <w:szCs w:val="22"/>
        </w:rPr>
        <w:t xml:space="preserve">effectively </w:t>
      </w:r>
      <w:r w:rsidRPr="00711400">
        <w:rPr>
          <w:rFonts w:ascii="Arial" w:hAnsi="Arial" w:cs="Arial"/>
          <w:bCs/>
          <w:sz w:val="22"/>
          <w:szCs w:val="22"/>
        </w:rPr>
        <w:t>bring</w:t>
      </w:r>
      <w:r w:rsidR="00DD1613" w:rsidRPr="00711400">
        <w:rPr>
          <w:rFonts w:ascii="Arial" w:hAnsi="Arial" w:cs="Arial"/>
          <w:bCs/>
          <w:sz w:val="22"/>
          <w:szCs w:val="22"/>
        </w:rPr>
        <w:t>s</w:t>
      </w:r>
      <w:r w:rsidRPr="00711400">
        <w:rPr>
          <w:rFonts w:ascii="Arial" w:hAnsi="Arial" w:cs="Arial"/>
          <w:bCs/>
          <w:sz w:val="22"/>
          <w:szCs w:val="22"/>
        </w:rPr>
        <w:t xml:space="preserve"> </w:t>
      </w:r>
      <w:r w:rsidR="008A44FA" w:rsidRPr="00711400">
        <w:rPr>
          <w:rFonts w:ascii="Arial" w:hAnsi="Arial" w:cs="Arial"/>
          <w:bCs/>
          <w:sz w:val="22"/>
          <w:szCs w:val="22"/>
        </w:rPr>
        <w:t xml:space="preserve">support payments made by the Commonwealth to </w:t>
      </w:r>
      <w:r w:rsidR="00F108EC" w:rsidRPr="00711400">
        <w:rPr>
          <w:rFonts w:ascii="Arial" w:hAnsi="Arial" w:cs="Arial"/>
          <w:bCs/>
          <w:sz w:val="22"/>
          <w:szCs w:val="22"/>
        </w:rPr>
        <w:t>Australian Apprentices</w:t>
      </w:r>
      <w:r w:rsidR="008A44FA" w:rsidRPr="00711400">
        <w:rPr>
          <w:rFonts w:ascii="Arial" w:hAnsi="Arial" w:cs="Arial"/>
          <w:bCs/>
          <w:sz w:val="22"/>
          <w:szCs w:val="22"/>
        </w:rPr>
        <w:t xml:space="preserve"> </w:t>
      </w:r>
      <w:r w:rsidRPr="00711400">
        <w:rPr>
          <w:rFonts w:ascii="Arial" w:hAnsi="Arial" w:cs="Arial"/>
          <w:bCs/>
          <w:sz w:val="22"/>
          <w:szCs w:val="22"/>
        </w:rPr>
        <w:t>within STP</w:t>
      </w:r>
      <w:r w:rsidR="00953DE1">
        <w:rPr>
          <w:rFonts w:ascii="Arial" w:hAnsi="Arial" w:cs="Arial"/>
          <w:bCs/>
          <w:sz w:val="22"/>
          <w:szCs w:val="22"/>
        </w:rPr>
        <w:t> </w:t>
      </w:r>
      <w:r w:rsidRPr="00711400">
        <w:rPr>
          <w:rFonts w:ascii="Arial" w:hAnsi="Arial" w:cs="Arial"/>
          <w:bCs/>
          <w:sz w:val="22"/>
          <w:szCs w:val="22"/>
        </w:rPr>
        <w:t>reporting.</w:t>
      </w:r>
    </w:p>
    <w:p w14:paraId="17867F58" w14:textId="77777777" w:rsidR="005E642F" w:rsidRPr="00711400" w:rsidRDefault="005E642F" w:rsidP="00241CF1">
      <w:pPr>
        <w:spacing w:after="120"/>
        <w:rPr>
          <w:rFonts w:ascii="Arial" w:hAnsi="Arial" w:cs="Arial"/>
          <w:sz w:val="22"/>
          <w:szCs w:val="22"/>
        </w:rPr>
      </w:pPr>
    </w:p>
    <w:p w14:paraId="15AC1BB6" w14:textId="77777777" w:rsidR="00075B58" w:rsidRPr="00711400" w:rsidRDefault="00075B58" w:rsidP="00241CF1">
      <w:pPr>
        <w:pStyle w:val="Heading2"/>
      </w:pPr>
      <w:r w:rsidRPr="00711400">
        <w:t>Human rights implications</w:t>
      </w:r>
    </w:p>
    <w:p w14:paraId="52532991" w14:textId="77777777" w:rsidR="00711400" w:rsidRDefault="00E225F7" w:rsidP="00241CF1">
      <w:pPr>
        <w:spacing w:after="120"/>
        <w:rPr>
          <w:rFonts w:ascii="Arial" w:hAnsi="Arial" w:cs="Arial"/>
          <w:bCs/>
          <w:sz w:val="22"/>
          <w:szCs w:val="22"/>
        </w:rPr>
      </w:pPr>
      <w:r w:rsidRPr="00711400">
        <w:rPr>
          <w:rFonts w:ascii="Arial" w:hAnsi="Arial" w:cs="Arial"/>
          <w:bCs/>
          <w:sz w:val="22"/>
          <w:szCs w:val="22"/>
        </w:rPr>
        <w:t>T</w:t>
      </w:r>
      <w:r w:rsidR="00D72BE3" w:rsidRPr="00711400">
        <w:rPr>
          <w:rFonts w:ascii="Arial" w:hAnsi="Arial" w:cs="Arial"/>
          <w:bCs/>
          <w:sz w:val="22"/>
          <w:szCs w:val="22"/>
        </w:rPr>
        <w:t xml:space="preserve">his legislative instrument interacts with the right to privacy to the extent that it facilitates the Commissioner of Taxation collecting personal information about </w:t>
      </w:r>
      <w:r w:rsidR="00DD1613" w:rsidRPr="00711400">
        <w:rPr>
          <w:rFonts w:ascii="Arial" w:hAnsi="Arial" w:cs="Arial"/>
          <w:bCs/>
          <w:sz w:val="22"/>
          <w:szCs w:val="22"/>
        </w:rPr>
        <w:t xml:space="preserve">Australian Apprentices </w:t>
      </w:r>
      <w:r w:rsidR="00D72BE3" w:rsidRPr="00711400">
        <w:rPr>
          <w:rFonts w:ascii="Arial" w:hAnsi="Arial" w:cs="Arial"/>
          <w:bCs/>
          <w:sz w:val="22"/>
          <w:szCs w:val="22"/>
        </w:rPr>
        <w:t xml:space="preserve">who are in receipt of payments under </w:t>
      </w:r>
      <w:r w:rsidR="008A44FA" w:rsidRPr="00711400">
        <w:rPr>
          <w:rFonts w:ascii="Arial" w:hAnsi="Arial" w:cs="Arial"/>
          <w:bCs/>
          <w:sz w:val="22"/>
          <w:szCs w:val="22"/>
        </w:rPr>
        <w:t xml:space="preserve">Commonwealth </w:t>
      </w:r>
      <w:r w:rsidR="00D72BE3" w:rsidRPr="00711400">
        <w:rPr>
          <w:rFonts w:ascii="Arial" w:hAnsi="Arial" w:cs="Arial"/>
          <w:bCs/>
          <w:sz w:val="22"/>
          <w:szCs w:val="22"/>
        </w:rPr>
        <w:t xml:space="preserve">programs administered </w:t>
      </w:r>
      <w:r w:rsidR="005E642F" w:rsidRPr="00711400">
        <w:rPr>
          <w:rFonts w:ascii="Arial" w:hAnsi="Arial" w:cs="Arial"/>
          <w:bCs/>
          <w:sz w:val="22"/>
          <w:szCs w:val="22"/>
        </w:rPr>
        <w:t xml:space="preserve">for </w:t>
      </w:r>
      <w:r w:rsidR="005E642F" w:rsidRPr="00711400">
        <w:rPr>
          <w:rFonts w:ascii="Arial" w:hAnsi="Arial" w:cs="Arial"/>
          <w:sz w:val="22"/>
          <w:szCs w:val="22"/>
        </w:rPr>
        <w:t>the purpose of encouraging training and continued development of skills within the apprenticeships system</w:t>
      </w:r>
      <w:r w:rsidR="00D72BE3" w:rsidRPr="00711400">
        <w:rPr>
          <w:rFonts w:ascii="Arial" w:hAnsi="Arial" w:cs="Arial"/>
          <w:bCs/>
          <w:sz w:val="22"/>
          <w:szCs w:val="22"/>
        </w:rPr>
        <w:t>.</w:t>
      </w:r>
    </w:p>
    <w:p w14:paraId="2CB32845" w14:textId="7BF07205" w:rsidR="009F1110" w:rsidRPr="00711400" w:rsidRDefault="00D72BE3" w:rsidP="00241CF1">
      <w:pPr>
        <w:spacing w:after="120"/>
        <w:rPr>
          <w:rFonts w:ascii="Arial" w:hAnsi="Arial" w:cs="Arial"/>
          <w:sz w:val="22"/>
          <w:szCs w:val="22"/>
        </w:rPr>
      </w:pPr>
      <w:r w:rsidRPr="00711400">
        <w:rPr>
          <w:rFonts w:ascii="Arial" w:hAnsi="Arial" w:cs="Arial"/>
          <w:sz w:val="22"/>
          <w:szCs w:val="22"/>
        </w:rPr>
        <w:t>However</w:t>
      </w:r>
      <w:r w:rsidR="00E225F7" w:rsidRPr="00711400">
        <w:rPr>
          <w:rFonts w:ascii="Arial" w:hAnsi="Arial" w:cs="Arial"/>
          <w:sz w:val="22"/>
          <w:szCs w:val="22"/>
        </w:rPr>
        <w:t xml:space="preserve">, no information </w:t>
      </w:r>
      <w:r w:rsidR="00DD1613" w:rsidRPr="00711400">
        <w:rPr>
          <w:rFonts w:ascii="Arial" w:hAnsi="Arial" w:cs="Arial"/>
          <w:sz w:val="22"/>
          <w:szCs w:val="22"/>
        </w:rPr>
        <w:t xml:space="preserve">in </w:t>
      </w:r>
      <w:r w:rsidR="00E225F7" w:rsidRPr="00711400">
        <w:rPr>
          <w:rFonts w:ascii="Arial" w:hAnsi="Arial" w:cs="Arial"/>
          <w:sz w:val="22"/>
          <w:szCs w:val="22"/>
        </w:rPr>
        <w:t xml:space="preserve">addition to that </w:t>
      </w:r>
      <w:r w:rsidR="00DD1613" w:rsidRPr="00711400">
        <w:rPr>
          <w:rFonts w:ascii="Arial" w:hAnsi="Arial" w:cs="Arial"/>
          <w:sz w:val="22"/>
          <w:szCs w:val="22"/>
        </w:rPr>
        <w:t xml:space="preserve">which is </w:t>
      </w:r>
      <w:r w:rsidR="00E225F7" w:rsidRPr="00711400">
        <w:rPr>
          <w:rFonts w:ascii="Arial" w:hAnsi="Arial" w:cs="Arial"/>
          <w:sz w:val="22"/>
          <w:szCs w:val="22"/>
        </w:rPr>
        <w:t>already being collected will be collected as a result of this legislative instrument. T</w:t>
      </w:r>
      <w:r w:rsidRPr="00711400">
        <w:rPr>
          <w:rFonts w:ascii="Arial" w:hAnsi="Arial" w:cs="Arial"/>
          <w:sz w:val="22"/>
          <w:szCs w:val="22"/>
        </w:rPr>
        <w:t>h</w:t>
      </w:r>
      <w:r w:rsidR="00187449" w:rsidRPr="00711400">
        <w:rPr>
          <w:rFonts w:ascii="Arial" w:hAnsi="Arial" w:cs="Arial"/>
          <w:sz w:val="22"/>
          <w:szCs w:val="22"/>
        </w:rPr>
        <w:t>is</w:t>
      </w:r>
      <w:r w:rsidRPr="00711400">
        <w:rPr>
          <w:rFonts w:ascii="Arial" w:hAnsi="Arial" w:cs="Arial"/>
          <w:sz w:val="22"/>
          <w:szCs w:val="22"/>
        </w:rPr>
        <w:t xml:space="preserve"> information </w:t>
      </w:r>
      <w:r w:rsidR="00187449" w:rsidRPr="00711400">
        <w:rPr>
          <w:rFonts w:ascii="Arial" w:hAnsi="Arial" w:cs="Arial"/>
          <w:sz w:val="22"/>
          <w:szCs w:val="22"/>
        </w:rPr>
        <w:t>is already collected</w:t>
      </w:r>
      <w:r w:rsidR="00093D26" w:rsidRPr="00711400">
        <w:rPr>
          <w:rFonts w:ascii="Arial" w:hAnsi="Arial" w:cs="Arial"/>
          <w:sz w:val="22"/>
          <w:szCs w:val="22"/>
        </w:rPr>
        <w:t xml:space="preserve"> under reporting required </w:t>
      </w:r>
      <w:r w:rsidR="008C0363" w:rsidRPr="00711400">
        <w:rPr>
          <w:rFonts w:ascii="Arial" w:hAnsi="Arial" w:cs="Arial"/>
          <w:sz w:val="22"/>
          <w:szCs w:val="22"/>
        </w:rPr>
        <w:t>by</w:t>
      </w:r>
      <w:r w:rsidR="00093D26" w:rsidRPr="00711400">
        <w:rPr>
          <w:rFonts w:ascii="Arial" w:hAnsi="Arial" w:cs="Arial"/>
          <w:sz w:val="22"/>
          <w:szCs w:val="22"/>
        </w:rPr>
        <w:t xml:space="preserve"> the payment summary and payment summary annual report</w:t>
      </w:r>
      <w:r w:rsidR="009F1110" w:rsidRPr="00711400">
        <w:rPr>
          <w:rFonts w:ascii="Arial" w:hAnsi="Arial" w:cs="Arial"/>
          <w:sz w:val="22"/>
          <w:szCs w:val="22"/>
        </w:rPr>
        <w:t xml:space="preserve"> system</w:t>
      </w:r>
      <w:r w:rsidR="008A44FA" w:rsidRPr="00711400">
        <w:rPr>
          <w:rFonts w:ascii="Arial" w:hAnsi="Arial" w:cs="Arial"/>
          <w:sz w:val="22"/>
          <w:szCs w:val="22"/>
        </w:rPr>
        <w:t xml:space="preserve"> in the tax law</w:t>
      </w:r>
      <w:r w:rsidR="00E225F7" w:rsidRPr="00711400">
        <w:rPr>
          <w:rFonts w:ascii="Arial" w:hAnsi="Arial" w:cs="Arial"/>
          <w:bCs/>
          <w:sz w:val="22"/>
          <w:szCs w:val="22"/>
        </w:rPr>
        <w:t xml:space="preserve">. </w:t>
      </w:r>
      <w:r w:rsidR="00DD1613" w:rsidRPr="00711400">
        <w:rPr>
          <w:rFonts w:ascii="Arial" w:hAnsi="Arial" w:cs="Arial"/>
          <w:sz w:val="22"/>
          <w:szCs w:val="22"/>
        </w:rPr>
        <w:t xml:space="preserve">Once relevant information is </w:t>
      </w:r>
      <w:r w:rsidR="009F1110" w:rsidRPr="00711400">
        <w:rPr>
          <w:rFonts w:ascii="Arial" w:hAnsi="Arial" w:cs="Arial"/>
          <w:sz w:val="22"/>
          <w:szCs w:val="22"/>
        </w:rPr>
        <w:t>report</w:t>
      </w:r>
      <w:r w:rsidR="00DD1613" w:rsidRPr="00711400">
        <w:rPr>
          <w:rFonts w:ascii="Arial" w:hAnsi="Arial" w:cs="Arial"/>
          <w:sz w:val="22"/>
          <w:szCs w:val="22"/>
        </w:rPr>
        <w:t>ed</w:t>
      </w:r>
      <w:r w:rsidR="009F1110" w:rsidRPr="00711400">
        <w:rPr>
          <w:rFonts w:ascii="Arial" w:hAnsi="Arial" w:cs="Arial"/>
          <w:sz w:val="22"/>
          <w:szCs w:val="22"/>
        </w:rPr>
        <w:t xml:space="preserve"> </w:t>
      </w:r>
      <w:r w:rsidR="00DD1613" w:rsidRPr="00711400">
        <w:rPr>
          <w:rFonts w:ascii="Arial" w:hAnsi="Arial" w:cs="Arial"/>
          <w:sz w:val="22"/>
          <w:szCs w:val="22"/>
        </w:rPr>
        <w:t xml:space="preserve">via </w:t>
      </w:r>
      <w:r w:rsidR="009F1110" w:rsidRPr="00711400">
        <w:rPr>
          <w:rFonts w:ascii="Arial" w:hAnsi="Arial" w:cs="Arial"/>
          <w:sz w:val="22"/>
          <w:szCs w:val="22"/>
        </w:rPr>
        <w:t xml:space="preserve">STP </w:t>
      </w:r>
      <w:r w:rsidR="00DD1613" w:rsidRPr="00711400">
        <w:rPr>
          <w:rFonts w:ascii="Arial" w:hAnsi="Arial" w:cs="Arial"/>
          <w:sz w:val="22"/>
          <w:szCs w:val="22"/>
        </w:rPr>
        <w:t xml:space="preserve">(as </w:t>
      </w:r>
      <w:r w:rsidR="009F1110" w:rsidRPr="00711400">
        <w:rPr>
          <w:rFonts w:ascii="Arial" w:hAnsi="Arial" w:cs="Arial"/>
          <w:sz w:val="22"/>
          <w:szCs w:val="22"/>
        </w:rPr>
        <w:t>enabled by this instrument</w:t>
      </w:r>
      <w:r w:rsidR="00DD1613" w:rsidRPr="00711400">
        <w:rPr>
          <w:rFonts w:ascii="Arial" w:hAnsi="Arial" w:cs="Arial"/>
          <w:sz w:val="22"/>
          <w:szCs w:val="22"/>
        </w:rPr>
        <w:t>)</w:t>
      </w:r>
      <w:r w:rsidR="009F1110" w:rsidRPr="00711400">
        <w:rPr>
          <w:rFonts w:ascii="Arial" w:hAnsi="Arial" w:cs="Arial"/>
          <w:sz w:val="22"/>
          <w:szCs w:val="22"/>
        </w:rPr>
        <w:t xml:space="preserve">, </w:t>
      </w:r>
      <w:r w:rsidR="00DD1613" w:rsidRPr="00711400">
        <w:rPr>
          <w:rFonts w:ascii="Arial" w:hAnsi="Arial" w:cs="Arial"/>
          <w:sz w:val="22"/>
          <w:szCs w:val="22"/>
        </w:rPr>
        <w:t xml:space="preserve">the ATO will no longer </w:t>
      </w:r>
      <w:r w:rsidR="009F1110" w:rsidRPr="00711400">
        <w:rPr>
          <w:rFonts w:ascii="Arial" w:hAnsi="Arial" w:cs="Arial"/>
          <w:sz w:val="22"/>
          <w:szCs w:val="22"/>
        </w:rPr>
        <w:t>collect information through the payment summary and payment summary annual report system</w:t>
      </w:r>
      <w:r w:rsidR="00E225F7" w:rsidRPr="00711400">
        <w:rPr>
          <w:rFonts w:ascii="Arial" w:hAnsi="Arial" w:cs="Arial"/>
          <w:sz w:val="22"/>
          <w:szCs w:val="22"/>
        </w:rPr>
        <w:t>.</w:t>
      </w:r>
    </w:p>
    <w:p w14:paraId="25610391" w14:textId="4EB6E3B2" w:rsidR="009F1110" w:rsidRPr="00711400" w:rsidRDefault="00E225F7" w:rsidP="00241CF1">
      <w:pPr>
        <w:spacing w:after="120"/>
        <w:rPr>
          <w:rFonts w:ascii="Arial" w:hAnsi="Arial" w:cs="Arial"/>
          <w:sz w:val="22"/>
          <w:szCs w:val="22"/>
        </w:rPr>
      </w:pPr>
      <w:r w:rsidRPr="00711400">
        <w:rPr>
          <w:rFonts w:ascii="Arial" w:hAnsi="Arial" w:cs="Arial"/>
          <w:sz w:val="22"/>
          <w:szCs w:val="22"/>
        </w:rPr>
        <w:t>C</w:t>
      </w:r>
      <w:r w:rsidR="009F1110" w:rsidRPr="00711400">
        <w:rPr>
          <w:rFonts w:ascii="Arial" w:hAnsi="Arial" w:cs="Arial"/>
          <w:sz w:val="22"/>
          <w:szCs w:val="22"/>
        </w:rPr>
        <w:t xml:space="preserve">ollection of this personal information through the STP reporting system improves compatibility with the right to privacy, as it facilitates </w:t>
      </w:r>
      <w:r w:rsidR="008A44FA" w:rsidRPr="00711400">
        <w:rPr>
          <w:rFonts w:ascii="Arial" w:hAnsi="Arial" w:cs="Arial"/>
          <w:sz w:val="22"/>
          <w:szCs w:val="22"/>
        </w:rPr>
        <w:t xml:space="preserve">a </w:t>
      </w:r>
      <w:r w:rsidR="009F1110" w:rsidRPr="00711400">
        <w:rPr>
          <w:rFonts w:ascii="Arial" w:hAnsi="Arial" w:cs="Arial"/>
          <w:sz w:val="22"/>
          <w:szCs w:val="22"/>
        </w:rPr>
        <w:t>greater ability for the payee to have easy and timely access to the information held about them.</w:t>
      </w:r>
    </w:p>
    <w:p w14:paraId="3B254037" w14:textId="4CFD2BC9" w:rsidR="001164CB" w:rsidRPr="00711400" w:rsidRDefault="001164CB" w:rsidP="00241CF1">
      <w:pPr>
        <w:spacing w:after="120"/>
        <w:rPr>
          <w:rFonts w:ascii="Arial" w:hAnsi="Arial" w:cs="Arial"/>
          <w:bCs/>
          <w:sz w:val="22"/>
          <w:szCs w:val="22"/>
        </w:rPr>
      </w:pPr>
      <w:r w:rsidRPr="00711400">
        <w:rPr>
          <w:rFonts w:ascii="Arial" w:hAnsi="Arial" w:cs="Arial"/>
          <w:bCs/>
          <w:sz w:val="22"/>
          <w:szCs w:val="22"/>
        </w:rPr>
        <w:t>Article 17 of the International Covenant on Civil and Political Rights (ICCPR) provides that ‘no one shall be subjected to arbitrary or unlawful interference with their privacy’. The Human Rights Committee has said that the right to privacy includes respect for information privacy, including collection, storage, security, use, disclosure or publication of personal information.</w:t>
      </w:r>
      <w:r w:rsidRPr="00711400">
        <w:rPr>
          <w:rStyle w:val="FootnoteReference"/>
          <w:rFonts w:ascii="Arial" w:hAnsi="Arial" w:cs="Arial"/>
          <w:bCs/>
          <w:sz w:val="22"/>
          <w:szCs w:val="22"/>
        </w:rPr>
        <w:footnoteReference w:id="1"/>
      </w:r>
      <w:r w:rsidRPr="00711400">
        <w:rPr>
          <w:rFonts w:ascii="Arial" w:hAnsi="Arial" w:cs="Arial"/>
          <w:bCs/>
          <w:sz w:val="22"/>
          <w:szCs w:val="22"/>
        </w:rPr>
        <w:t xml:space="preserve"> It has further indicated that the right to privacy can be limited to achieve a legitimate objective where the limitations are lawful and not arbitrary. In order not to be arbitrary, any limitation must be reasonable and necessary in the particular circumstances, as well as proportionate to the objectives it seeks to achieve.</w:t>
      </w:r>
      <w:r w:rsidRPr="00711400">
        <w:rPr>
          <w:rStyle w:val="FootnoteReference"/>
          <w:rFonts w:ascii="Arial" w:hAnsi="Arial" w:cs="Arial"/>
          <w:bCs/>
          <w:sz w:val="22"/>
          <w:szCs w:val="22"/>
        </w:rPr>
        <w:footnoteReference w:id="2"/>
      </w:r>
    </w:p>
    <w:p w14:paraId="29496285" w14:textId="77777777" w:rsidR="00711400" w:rsidRPr="00711400" w:rsidRDefault="00711400" w:rsidP="00241CF1">
      <w:pPr>
        <w:spacing w:after="120"/>
        <w:rPr>
          <w:rFonts w:ascii="Arial" w:hAnsi="Arial" w:cs="Arial"/>
          <w:sz w:val="22"/>
          <w:szCs w:val="22"/>
        </w:rPr>
      </w:pPr>
    </w:p>
    <w:p w14:paraId="15AC1BB9" w14:textId="56703260" w:rsidR="00075B58" w:rsidRPr="00711400" w:rsidRDefault="00075B58" w:rsidP="00241CF1">
      <w:pPr>
        <w:pStyle w:val="Heading2"/>
      </w:pPr>
      <w:r w:rsidRPr="00711400">
        <w:lastRenderedPageBreak/>
        <w:t>Conclusion</w:t>
      </w:r>
    </w:p>
    <w:p w14:paraId="3C3DA054" w14:textId="77777777" w:rsidR="00711400" w:rsidRDefault="00075B58" w:rsidP="00241CF1">
      <w:pPr>
        <w:spacing w:after="120"/>
        <w:rPr>
          <w:rFonts w:ascii="Arial" w:hAnsi="Arial" w:cs="Arial"/>
          <w:sz w:val="22"/>
          <w:szCs w:val="22"/>
        </w:rPr>
      </w:pPr>
      <w:r w:rsidRPr="00711400">
        <w:rPr>
          <w:rFonts w:ascii="Arial" w:hAnsi="Arial" w:cs="Arial"/>
          <w:sz w:val="22"/>
          <w:szCs w:val="22"/>
        </w:rPr>
        <w:t xml:space="preserve">This </w:t>
      </w:r>
      <w:r w:rsidR="008A44FA" w:rsidRPr="00711400">
        <w:rPr>
          <w:rFonts w:ascii="Arial" w:hAnsi="Arial" w:cs="Arial"/>
          <w:sz w:val="22"/>
          <w:szCs w:val="22"/>
        </w:rPr>
        <w:t>l</w:t>
      </w:r>
      <w:r w:rsidRPr="00711400">
        <w:rPr>
          <w:rFonts w:ascii="Arial" w:hAnsi="Arial" w:cs="Arial"/>
          <w:sz w:val="22"/>
          <w:szCs w:val="22"/>
        </w:rPr>
        <w:t xml:space="preserve">egislative </w:t>
      </w:r>
      <w:r w:rsidR="008A44FA" w:rsidRPr="00711400">
        <w:rPr>
          <w:rFonts w:ascii="Arial" w:hAnsi="Arial" w:cs="Arial"/>
          <w:sz w:val="22"/>
          <w:szCs w:val="22"/>
        </w:rPr>
        <w:t>i</w:t>
      </w:r>
      <w:r w:rsidRPr="00711400">
        <w:rPr>
          <w:rFonts w:ascii="Arial" w:hAnsi="Arial" w:cs="Arial"/>
          <w:sz w:val="22"/>
          <w:szCs w:val="22"/>
        </w:rPr>
        <w:t>nstrument is compatible with human rights as it does not raise any human rights issues.</w:t>
      </w:r>
      <w:r w:rsidR="008C0363" w:rsidRPr="00711400">
        <w:rPr>
          <w:rFonts w:ascii="Arial" w:hAnsi="Arial" w:cs="Arial"/>
          <w:sz w:val="22"/>
          <w:szCs w:val="22"/>
        </w:rPr>
        <w:t xml:space="preserve"> To the extent that it interacts with Article 17 of the ICCPR, this instrument is compatible on the basis that the interaction is reasonable and proportionate to support </w:t>
      </w:r>
      <w:r w:rsidR="008A44FA" w:rsidRPr="00711400">
        <w:rPr>
          <w:rFonts w:ascii="Arial" w:hAnsi="Arial" w:cs="Arial"/>
          <w:sz w:val="22"/>
          <w:szCs w:val="22"/>
        </w:rPr>
        <w:t xml:space="preserve">the </w:t>
      </w:r>
      <w:r w:rsidR="008C0363" w:rsidRPr="00711400">
        <w:rPr>
          <w:rFonts w:ascii="Arial" w:hAnsi="Arial" w:cs="Arial"/>
          <w:sz w:val="22"/>
          <w:szCs w:val="22"/>
        </w:rPr>
        <w:t>administration of relevant taxation laws and is neither unlawful nor arbitrary.</w:t>
      </w:r>
      <w:r w:rsidR="00DD1613" w:rsidRPr="00711400">
        <w:rPr>
          <w:rFonts w:ascii="Arial" w:hAnsi="Arial" w:cs="Arial"/>
          <w:sz w:val="22"/>
          <w:szCs w:val="22"/>
        </w:rPr>
        <w:t xml:space="preserve"> The ATO would not collect any additional information under the instrument; it would just collect information via a different reporting system.</w:t>
      </w:r>
    </w:p>
    <w:sectPr w:rsidR="00711400"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6A29" w14:textId="77777777" w:rsidR="00581935" w:rsidRDefault="00581935">
      <w:r>
        <w:separator/>
      </w:r>
    </w:p>
  </w:endnote>
  <w:endnote w:type="continuationSeparator" w:id="0">
    <w:p w14:paraId="12ED6C45" w14:textId="77777777" w:rsidR="00581935" w:rsidRDefault="0058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6B31" w14:textId="77777777" w:rsidR="00581935" w:rsidRDefault="00581935">
      <w:r>
        <w:separator/>
      </w:r>
    </w:p>
  </w:footnote>
  <w:footnote w:type="continuationSeparator" w:id="0">
    <w:p w14:paraId="56ADB6BF" w14:textId="77777777" w:rsidR="00581935" w:rsidRDefault="00581935">
      <w:r>
        <w:continuationSeparator/>
      </w:r>
    </w:p>
  </w:footnote>
  <w:footnote w:id="1">
    <w:p w14:paraId="658ADDE8" w14:textId="77777777" w:rsidR="001164CB" w:rsidRPr="00711400" w:rsidRDefault="001164CB" w:rsidP="00711400">
      <w:pPr>
        <w:pStyle w:val="FootnoteText"/>
        <w:ind w:left="113" w:hanging="113"/>
        <w:rPr>
          <w:rFonts w:ascii="Arial" w:hAnsi="Arial" w:cs="Arial"/>
          <w:sz w:val="18"/>
          <w:szCs w:val="18"/>
        </w:rPr>
      </w:pPr>
      <w:r w:rsidRPr="00711400">
        <w:rPr>
          <w:rStyle w:val="FootnoteReference"/>
          <w:rFonts w:ascii="Arial" w:hAnsi="Arial" w:cs="Arial"/>
          <w:sz w:val="18"/>
          <w:szCs w:val="18"/>
        </w:rPr>
        <w:footnoteRef/>
      </w:r>
      <w:r w:rsidRPr="00711400">
        <w:rPr>
          <w:rFonts w:ascii="Arial" w:hAnsi="Arial" w:cs="Arial"/>
          <w:sz w:val="18"/>
          <w:szCs w:val="18"/>
        </w:rPr>
        <w:t xml:space="preserve"> Human Rights Committee, </w:t>
      </w:r>
      <w:r w:rsidRPr="00711400">
        <w:rPr>
          <w:rFonts w:ascii="Arial" w:hAnsi="Arial" w:cs="Arial"/>
          <w:i/>
          <w:iCs/>
          <w:sz w:val="18"/>
          <w:szCs w:val="18"/>
        </w:rPr>
        <w:t>General Comment No 16: Article 17 (Right to privacy)</w:t>
      </w:r>
      <w:r w:rsidRPr="00711400">
        <w:rPr>
          <w:rFonts w:ascii="Arial" w:hAnsi="Arial" w:cs="Arial"/>
          <w:sz w:val="18"/>
          <w:szCs w:val="18"/>
        </w:rPr>
        <w:t>, 32</w:t>
      </w:r>
      <w:r w:rsidRPr="00711400">
        <w:rPr>
          <w:rFonts w:ascii="Arial" w:hAnsi="Arial" w:cs="Arial"/>
          <w:sz w:val="18"/>
          <w:szCs w:val="18"/>
          <w:vertAlign w:val="superscript"/>
        </w:rPr>
        <w:t>nd</w:t>
      </w:r>
      <w:r w:rsidRPr="00711400">
        <w:rPr>
          <w:rFonts w:ascii="Arial" w:hAnsi="Arial" w:cs="Arial"/>
          <w:sz w:val="18"/>
          <w:szCs w:val="18"/>
        </w:rPr>
        <w:t xml:space="preserve"> sess UN Doc HRI/GEN/1/Rev 6 (8 April 1988), [10].</w:t>
      </w:r>
    </w:p>
  </w:footnote>
  <w:footnote w:id="2">
    <w:p w14:paraId="1B6FED1E" w14:textId="7573F0C1" w:rsidR="001164CB" w:rsidRPr="00711400" w:rsidRDefault="001164CB" w:rsidP="00711400">
      <w:pPr>
        <w:pStyle w:val="FootnoteText"/>
        <w:ind w:left="113" w:hanging="113"/>
        <w:rPr>
          <w:rFonts w:ascii="Arial" w:hAnsi="Arial" w:cs="Arial"/>
          <w:sz w:val="18"/>
          <w:szCs w:val="18"/>
        </w:rPr>
      </w:pPr>
      <w:r w:rsidRPr="00711400">
        <w:rPr>
          <w:rStyle w:val="FootnoteReference"/>
          <w:rFonts w:ascii="Arial" w:hAnsi="Arial" w:cs="Arial"/>
          <w:sz w:val="18"/>
          <w:szCs w:val="18"/>
        </w:rPr>
        <w:footnoteRef/>
      </w:r>
      <w:r w:rsidRPr="00711400">
        <w:rPr>
          <w:rFonts w:ascii="Arial" w:hAnsi="Arial" w:cs="Arial"/>
          <w:sz w:val="18"/>
          <w:szCs w:val="18"/>
        </w:rPr>
        <w:t xml:space="preserve"> Human Rights Committee, </w:t>
      </w:r>
      <w:r w:rsidRPr="00711400">
        <w:rPr>
          <w:rFonts w:ascii="Arial" w:hAnsi="Arial" w:cs="Arial"/>
          <w:i/>
          <w:iCs/>
          <w:sz w:val="18"/>
          <w:szCs w:val="18"/>
        </w:rPr>
        <w:t>General Comment No 16: Article 17 (Right to privacy)</w:t>
      </w:r>
      <w:r w:rsidRPr="00711400">
        <w:rPr>
          <w:rFonts w:ascii="Arial" w:hAnsi="Arial" w:cs="Arial"/>
          <w:sz w:val="18"/>
          <w:szCs w:val="18"/>
        </w:rPr>
        <w:t>, 32</w:t>
      </w:r>
      <w:r w:rsidRPr="00711400">
        <w:rPr>
          <w:rFonts w:ascii="Arial" w:hAnsi="Arial" w:cs="Arial"/>
          <w:sz w:val="18"/>
          <w:szCs w:val="18"/>
          <w:vertAlign w:val="superscript"/>
        </w:rPr>
        <w:t>nd</w:t>
      </w:r>
      <w:r w:rsidRPr="00711400">
        <w:rPr>
          <w:rFonts w:ascii="Arial" w:hAnsi="Arial" w:cs="Arial"/>
          <w:sz w:val="18"/>
          <w:szCs w:val="18"/>
        </w:rPr>
        <w:t xml:space="preserve"> sess UN Doc HRI/GEN/1/Rev 6 (8 April 1988). See also Manfred Nowak, </w:t>
      </w:r>
      <w:r w:rsidRPr="00711400">
        <w:rPr>
          <w:rFonts w:ascii="Arial" w:hAnsi="Arial" w:cs="Arial"/>
          <w:i/>
          <w:iCs/>
          <w:sz w:val="18"/>
          <w:szCs w:val="18"/>
        </w:rPr>
        <w:t>UN Covenant of Civil and Political Rights: CCPR Commentary</w:t>
      </w:r>
      <w:r w:rsidRPr="00711400">
        <w:rPr>
          <w:rFonts w:ascii="Arial" w:hAnsi="Arial" w:cs="Arial"/>
          <w:sz w:val="18"/>
          <w:szCs w:val="18"/>
        </w:rPr>
        <w:t xml:space="preserve"> (Engel</w:t>
      </w:r>
      <w:r w:rsidR="00711400">
        <w:rPr>
          <w:rFonts w:ascii="Arial" w:hAnsi="Arial" w:cs="Arial"/>
          <w:sz w:val="18"/>
          <w:szCs w:val="18"/>
        </w:rPr>
        <w:t> </w:t>
      </w:r>
      <w:r w:rsidRPr="00711400">
        <w:rPr>
          <w:rFonts w:ascii="Arial" w:hAnsi="Arial" w:cs="Arial"/>
          <w:sz w:val="18"/>
          <w:szCs w:val="18"/>
        </w:rPr>
        <w:t>Services, 2</w:t>
      </w:r>
      <w:r w:rsidRPr="00711400">
        <w:rPr>
          <w:rFonts w:ascii="Arial" w:hAnsi="Arial" w:cs="Arial"/>
          <w:sz w:val="18"/>
          <w:szCs w:val="18"/>
          <w:vertAlign w:val="superscript"/>
        </w:rPr>
        <w:t>nd</w:t>
      </w:r>
      <w:r w:rsidRPr="00711400">
        <w:rPr>
          <w:rFonts w:ascii="Arial" w:hAnsi="Arial" w:cs="Arial"/>
          <w:sz w:val="18"/>
          <w:szCs w:val="18"/>
        </w:rPr>
        <w:t xml:space="preserve"> ed, 2005), 383.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405B61A6">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260B8E"/>
    <w:multiLevelType w:val="hybridMultilevel"/>
    <w:tmpl w:val="5F3E49C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CF3232"/>
    <w:multiLevelType w:val="hybridMultilevel"/>
    <w:tmpl w:val="D55CA560"/>
    <w:lvl w:ilvl="0" w:tplc="5D364D7A">
      <w:start w:val="1"/>
      <w:numFmt w:val="decimal"/>
      <w:lvlText w:val="%1."/>
      <w:lvlJc w:val="left"/>
      <w:pPr>
        <w:tabs>
          <w:tab w:val="num" w:pos="360"/>
        </w:tabs>
        <w:ind w:left="360" w:hanging="360"/>
      </w:pPr>
      <w:rPr>
        <w:rFonts w:hint="default"/>
        <w:color w:val="auto"/>
        <w:sz w:val="22"/>
        <w:szCs w:val="22"/>
      </w:rPr>
    </w:lvl>
    <w:lvl w:ilvl="1" w:tplc="4A38B6A0">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8"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7650AC"/>
    <w:multiLevelType w:val="hybridMultilevel"/>
    <w:tmpl w:val="542231E0"/>
    <w:lvl w:ilvl="0" w:tplc="5D364D7A">
      <w:start w:val="1"/>
      <w:numFmt w:val="decimal"/>
      <w:lvlText w:val="%1."/>
      <w:lvlJc w:val="left"/>
      <w:pPr>
        <w:tabs>
          <w:tab w:val="num" w:pos="360"/>
        </w:tabs>
        <w:ind w:left="360" w:hanging="360"/>
      </w:pPr>
      <w:rPr>
        <w:rFonts w:hint="default"/>
        <w:color w:val="auto"/>
        <w:sz w:val="22"/>
        <w:szCs w:val="22"/>
      </w:rPr>
    </w:lvl>
    <w:lvl w:ilvl="1" w:tplc="4A38B6A0">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3"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4"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9C219DE"/>
    <w:multiLevelType w:val="hybridMultilevel"/>
    <w:tmpl w:val="0D745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CC3903"/>
    <w:multiLevelType w:val="hybridMultilevel"/>
    <w:tmpl w:val="41E0814A"/>
    <w:lvl w:ilvl="0" w:tplc="5D364D7A">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2"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9"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30"/>
  </w:num>
  <w:num w:numId="4">
    <w:abstractNumId w:val="46"/>
  </w:num>
  <w:num w:numId="5">
    <w:abstractNumId w:val="7"/>
  </w:num>
  <w:num w:numId="6">
    <w:abstractNumId w:val="16"/>
  </w:num>
  <w:num w:numId="7">
    <w:abstractNumId w:val="41"/>
  </w:num>
  <w:num w:numId="8">
    <w:abstractNumId w:val="40"/>
  </w:num>
  <w:num w:numId="9">
    <w:abstractNumId w:val="32"/>
  </w:num>
  <w:num w:numId="10">
    <w:abstractNumId w:val="26"/>
  </w:num>
  <w:num w:numId="11">
    <w:abstractNumId w:val="47"/>
  </w:num>
  <w:num w:numId="12">
    <w:abstractNumId w:val="42"/>
  </w:num>
  <w:num w:numId="13">
    <w:abstractNumId w:val="45"/>
  </w:num>
  <w:num w:numId="14">
    <w:abstractNumId w:val="44"/>
  </w:num>
  <w:num w:numId="15">
    <w:abstractNumId w:val="24"/>
  </w:num>
  <w:num w:numId="16">
    <w:abstractNumId w:val="29"/>
  </w:num>
  <w:num w:numId="17">
    <w:abstractNumId w:val="13"/>
  </w:num>
  <w:num w:numId="18">
    <w:abstractNumId w:val="19"/>
  </w:num>
  <w:num w:numId="19">
    <w:abstractNumId w:val="4"/>
  </w:num>
  <w:num w:numId="20">
    <w:abstractNumId w:val="1"/>
  </w:num>
  <w:num w:numId="21">
    <w:abstractNumId w:val="15"/>
  </w:num>
  <w:num w:numId="22">
    <w:abstractNumId w:val="38"/>
  </w:num>
  <w:num w:numId="23">
    <w:abstractNumId w:val="11"/>
  </w:num>
  <w:num w:numId="24">
    <w:abstractNumId w:val="23"/>
  </w:num>
  <w:num w:numId="25">
    <w:abstractNumId w:val="36"/>
  </w:num>
  <w:num w:numId="26">
    <w:abstractNumId w:val="35"/>
  </w:num>
  <w:num w:numId="27">
    <w:abstractNumId w:val="10"/>
  </w:num>
  <w:num w:numId="28">
    <w:abstractNumId w:val="39"/>
  </w:num>
  <w:num w:numId="29">
    <w:abstractNumId w:val="22"/>
  </w:num>
  <w:num w:numId="30">
    <w:abstractNumId w:val="17"/>
  </w:num>
  <w:num w:numId="31">
    <w:abstractNumId w:val="8"/>
  </w:num>
  <w:num w:numId="32">
    <w:abstractNumId w:val="0"/>
  </w:num>
  <w:num w:numId="33">
    <w:abstractNumId w:val="9"/>
  </w:num>
  <w:num w:numId="34">
    <w:abstractNumId w:val="31"/>
  </w:num>
  <w:num w:numId="35">
    <w:abstractNumId w:val="43"/>
  </w:num>
  <w:num w:numId="36">
    <w:abstractNumId w:val="21"/>
  </w:num>
  <w:num w:numId="37">
    <w:abstractNumId w:val="14"/>
  </w:num>
  <w:num w:numId="38">
    <w:abstractNumId w:val="25"/>
  </w:num>
  <w:num w:numId="39">
    <w:abstractNumId w:val="25"/>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4"/>
  </w:num>
  <w:num w:numId="43">
    <w:abstractNumId w:val="3"/>
  </w:num>
  <w:num w:numId="44">
    <w:abstractNumId w:val="6"/>
  </w:num>
  <w:num w:numId="45">
    <w:abstractNumId w:val="37"/>
  </w:num>
  <w:num w:numId="46">
    <w:abstractNumId w:val="33"/>
  </w:num>
  <w:num w:numId="47">
    <w:abstractNumId w:val="2"/>
  </w:num>
  <w:num w:numId="48">
    <w:abstractNumId w:val="28"/>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43FA7"/>
    <w:rsid w:val="000552E8"/>
    <w:rsid w:val="00056585"/>
    <w:rsid w:val="0005674F"/>
    <w:rsid w:val="00065C6E"/>
    <w:rsid w:val="00072E6E"/>
    <w:rsid w:val="00073F1B"/>
    <w:rsid w:val="00075B58"/>
    <w:rsid w:val="00081520"/>
    <w:rsid w:val="00093D26"/>
    <w:rsid w:val="000B11DD"/>
    <w:rsid w:val="000B1785"/>
    <w:rsid w:val="000C231B"/>
    <w:rsid w:val="000C390A"/>
    <w:rsid w:val="000C77DD"/>
    <w:rsid w:val="000D3F43"/>
    <w:rsid w:val="000E295B"/>
    <w:rsid w:val="000E331E"/>
    <w:rsid w:val="000E45A0"/>
    <w:rsid w:val="000F340D"/>
    <w:rsid w:val="00101CD5"/>
    <w:rsid w:val="00107460"/>
    <w:rsid w:val="001112FF"/>
    <w:rsid w:val="00112415"/>
    <w:rsid w:val="001164CB"/>
    <w:rsid w:val="00135CAF"/>
    <w:rsid w:val="0013678D"/>
    <w:rsid w:val="00140A34"/>
    <w:rsid w:val="00146ED8"/>
    <w:rsid w:val="00167202"/>
    <w:rsid w:val="001828A4"/>
    <w:rsid w:val="00187449"/>
    <w:rsid w:val="001A3BE2"/>
    <w:rsid w:val="001B6770"/>
    <w:rsid w:val="001C35E7"/>
    <w:rsid w:val="001C4578"/>
    <w:rsid w:val="001D02E6"/>
    <w:rsid w:val="001F0184"/>
    <w:rsid w:val="001F28A6"/>
    <w:rsid w:val="001F2A16"/>
    <w:rsid w:val="001F6921"/>
    <w:rsid w:val="001F7C3E"/>
    <w:rsid w:val="00201969"/>
    <w:rsid w:val="0021222C"/>
    <w:rsid w:val="00213FA5"/>
    <w:rsid w:val="0021496E"/>
    <w:rsid w:val="002160FE"/>
    <w:rsid w:val="00222AFB"/>
    <w:rsid w:val="0023733A"/>
    <w:rsid w:val="0024044F"/>
    <w:rsid w:val="00240CFB"/>
    <w:rsid w:val="00241CF1"/>
    <w:rsid w:val="00245D00"/>
    <w:rsid w:val="00257773"/>
    <w:rsid w:val="00257F2D"/>
    <w:rsid w:val="00262F9F"/>
    <w:rsid w:val="00266D2D"/>
    <w:rsid w:val="0027331F"/>
    <w:rsid w:val="00280050"/>
    <w:rsid w:val="00285E76"/>
    <w:rsid w:val="002917E4"/>
    <w:rsid w:val="002949C3"/>
    <w:rsid w:val="00296294"/>
    <w:rsid w:val="002A10A4"/>
    <w:rsid w:val="002A26FE"/>
    <w:rsid w:val="002B1423"/>
    <w:rsid w:val="002E771E"/>
    <w:rsid w:val="002F1257"/>
    <w:rsid w:val="003032B9"/>
    <w:rsid w:val="00310C61"/>
    <w:rsid w:val="003171B3"/>
    <w:rsid w:val="0032559D"/>
    <w:rsid w:val="00331616"/>
    <w:rsid w:val="00333567"/>
    <w:rsid w:val="003344A3"/>
    <w:rsid w:val="0034444B"/>
    <w:rsid w:val="00344575"/>
    <w:rsid w:val="0035113C"/>
    <w:rsid w:val="00354525"/>
    <w:rsid w:val="00374385"/>
    <w:rsid w:val="00380CC4"/>
    <w:rsid w:val="00384CC2"/>
    <w:rsid w:val="003B7426"/>
    <w:rsid w:val="003C0686"/>
    <w:rsid w:val="003D08CF"/>
    <w:rsid w:val="003D0CBA"/>
    <w:rsid w:val="003D0F6A"/>
    <w:rsid w:val="003D4BA8"/>
    <w:rsid w:val="003E5269"/>
    <w:rsid w:val="00405394"/>
    <w:rsid w:val="004066E4"/>
    <w:rsid w:val="0040680B"/>
    <w:rsid w:val="00407361"/>
    <w:rsid w:val="004119A5"/>
    <w:rsid w:val="00417C55"/>
    <w:rsid w:val="00424A7B"/>
    <w:rsid w:val="00437C4C"/>
    <w:rsid w:val="004447C1"/>
    <w:rsid w:val="00446AA8"/>
    <w:rsid w:val="00455608"/>
    <w:rsid w:val="0045590D"/>
    <w:rsid w:val="0046211F"/>
    <w:rsid w:val="0046787B"/>
    <w:rsid w:val="00486653"/>
    <w:rsid w:val="004911D2"/>
    <w:rsid w:val="00493CA7"/>
    <w:rsid w:val="004A5FDA"/>
    <w:rsid w:val="004B087C"/>
    <w:rsid w:val="004C5F92"/>
    <w:rsid w:val="004D098C"/>
    <w:rsid w:val="004D24A9"/>
    <w:rsid w:val="004D41FE"/>
    <w:rsid w:val="004E5357"/>
    <w:rsid w:val="004F4A07"/>
    <w:rsid w:val="004F5EB1"/>
    <w:rsid w:val="004F6887"/>
    <w:rsid w:val="00502FBA"/>
    <w:rsid w:val="005030AD"/>
    <w:rsid w:val="00510F3F"/>
    <w:rsid w:val="0051249C"/>
    <w:rsid w:val="005176E7"/>
    <w:rsid w:val="00520330"/>
    <w:rsid w:val="00521EDA"/>
    <w:rsid w:val="00522204"/>
    <w:rsid w:val="00524B6B"/>
    <w:rsid w:val="00526403"/>
    <w:rsid w:val="00526D70"/>
    <w:rsid w:val="005413EE"/>
    <w:rsid w:val="00581935"/>
    <w:rsid w:val="00587443"/>
    <w:rsid w:val="00587C50"/>
    <w:rsid w:val="00590F74"/>
    <w:rsid w:val="005917F3"/>
    <w:rsid w:val="0059577F"/>
    <w:rsid w:val="005B0ACD"/>
    <w:rsid w:val="005B50A2"/>
    <w:rsid w:val="005C3408"/>
    <w:rsid w:val="005D611B"/>
    <w:rsid w:val="005E642F"/>
    <w:rsid w:val="005F1ACE"/>
    <w:rsid w:val="005F256D"/>
    <w:rsid w:val="0060183A"/>
    <w:rsid w:val="00603110"/>
    <w:rsid w:val="00611C8E"/>
    <w:rsid w:val="00614D51"/>
    <w:rsid w:val="006162C0"/>
    <w:rsid w:val="00624954"/>
    <w:rsid w:val="006302F7"/>
    <w:rsid w:val="00631F30"/>
    <w:rsid w:val="006331A0"/>
    <w:rsid w:val="00640CC2"/>
    <w:rsid w:val="00641201"/>
    <w:rsid w:val="00642420"/>
    <w:rsid w:val="00646158"/>
    <w:rsid w:val="00650525"/>
    <w:rsid w:val="006513F4"/>
    <w:rsid w:val="0066622C"/>
    <w:rsid w:val="00666487"/>
    <w:rsid w:val="0066661E"/>
    <w:rsid w:val="00673B37"/>
    <w:rsid w:val="006741B2"/>
    <w:rsid w:val="006752BD"/>
    <w:rsid w:val="006945EA"/>
    <w:rsid w:val="006A182B"/>
    <w:rsid w:val="006B5470"/>
    <w:rsid w:val="006D0138"/>
    <w:rsid w:val="006D6F52"/>
    <w:rsid w:val="00701718"/>
    <w:rsid w:val="00710359"/>
    <w:rsid w:val="00711400"/>
    <w:rsid w:val="00712FFF"/>
    <w:rsid w:val="00722DBF"/>
    <w:rsid w:val="00735157"/>
    <w:rsid w:val="0073612B"/>
    <w:rsid w:val="00736E69"/>
    <w:rsid w:val="00750F63"/>
    <w:rsid w:val="0075126A"/>
    <w:rsid w:val="0076271C"/>
    <w:rsid w:val="00767CE8"/>
    <w:rsid w:val="00775490"/>
    <w:rsid w:val="00795D0C"/>
    <w:rsid w:val="00797F42"/>
    <w:rsid w:val="007A42E1"/>
    <w:rsid w:val="007A55BA"/>
    <w:rsid w:val="007B3930"/>
    <w:rsid w:val="007C1FBD"/>
    <w:rsid w:val="007C54B3"/>
    <w:rsid w:val="007C5C8E"/>
    <w:rsid w:val="007E0A01"/>
    <w:rsid w:val="007E22F5"/>
    <w:rsid w:val="007F0810"/>
    <w:rsid w:val="007F25F3"/>
    <w:rsid w:val="007F4901"/>
    <w:rsid w:val="0080420F"/>
    <w:rsid w:val="0080582E"/>
    <w:rsid w:val="0080753F"/>
    <w:rsid w:val="00826DEB"/>
    <w:rsid w:val="00832A78"/>
    <w:rsid w:val="00836B02"/>
    <w:rsid w:val="008467D4"/>
    <w:rsid w:val="00850FB0"/>
    <w:rsid w:val="0085238E"/>
    <w:rsid w:val="00853428"/>
    <w:rsid w:val="008540EA"/>
    <w:rsid w:val="00860DDD"/>
    <w:rsid w:val="00866A00"/>
    <w:rsid w:val="008702A6"/>
    <w:rsid w:val="008757CE"/>
    <w:rsid w:val="0088392C"/>
    <w:rsid w:val="00897C0E"/>
    <w:rsid w:val="00897E31"/>
    <w:rsid w:val="008A046F"/>
    <w:rsid w:val="008A3709"/>
    <w:rsid w:val="008A405A"/>
    <w:rsid w:val="008A44FA"/>
    <w:rsid w:val="008A6A6A"/>
    <w:rsid w:val="008B48FE"/>
    <w:rsid w:val="008B650A"/>
    <w:rsid w:val="008B787C"/>
    <w:rsid w:val="008C0363"/>
    <w:rsid w:val="008C3898"/>
    <w:rsid w:val="008C66CC"/>
    <w:rsid w:val="008F0535"/>
    <w:rsid w:val="008F0C6B"/>
    <w:rsid w:val="008F483C"/>
    <w:rsid w:val="00910595"/>
    <w:rsid w:val="00910756"/>
    <w:rsid w:val="00912D61"/>
    <w:rsid w:val="009322D7"/>
    <w:rsid w:val="00932BDE"/>
    <w:rsid w:val="009371D0"/>
    <w:rsid w:val="00953DE1"/>
    <w:rsid w:val="00967725"/>
    <w:rsid w:val="0098195F"/>
    <w:rsid w:val="00987E76"/>
    <w:rsid w:val="009902F8"/>
    <w:rsid w:val="009912F8"/>
    <w:rsid w:val="00993BB8"/>
    <w:rsid w:val="0099555F"/>
    <w:rsid w:val="009A22A1"/>
    <w:rsid w:val="009B3A1B"/>
    <w:rsid w:val="009B6332"/>
    <w:rsid w:val="009C0912"/>
    <w:rsid w:val="009C7443"/>
    <w:rsid w:val="009D6694"/>
    <w:rsid w:val="009E08D8"/>
    <w:rsid w:val="009F0300"/>
    <w:rsid w:val="009F1110"/>
    <w:rsid w:val="00A04290"/>
    <w:rsid w:val="00A167A8"/>
    <w:rsid w:val="00A21F0A"/>
    <w:rsid w:val="00A26011"/>
    <w:rsid w:val="00A506C2"/>
    <w:rsid w:val="00A62886"/>
    <w:rsid w:val="00A74C38"/>
    <w:rsid w:val="00A77D24"/>
    <w:rsid w:val="00A80DF1"/>
    <w:rsid w:val="00A8572F"/>
    <w:rsid w:val="00A93E07"/>
    <w:rsid w:val="00A97670"/>
    <w:rsid w:val="00A979CF"/>
    <w:rsid w:val="00AA2A00"/>
    <w:rsid w:val="00AA4DF8"/>
    <w:rsid w:val="00AB780C"/>
    <w:rsid w:val="00AC2448"/>
    <w:rsid w:val="00AD0B0B"/>
    <w:rsid w:val="00AD5ADE"/>
    <w:rsid w:val="00AE48B4"/>
    <w:rsid w:val="00AE68DB"/>
    <w:rsid w:val="00AE7138"/>
    <w:rsid w:val="00AF4CAF"/>
    <w:rsid w:val="00B117BA"/>
    <w:rsid w:val="00B14A99"/>
    <w:rsid w:val="00B15F23"/>
    <w:rsid w:val="00B16508"/>
    <w:rsid w:val="00B20D87"/>
    <w:rsid w:val="00B24053"/>
    <w:rsid w:val="00B31550"/>
    <w:rsid w:val="00B44A99"/>
    <w:rsid w:val="00B578AC"/>
    <w:rsid w:val="00B62F06"/>
    <w:rsid w:val="00B6433F"/>
    <w:rsid w:val="00B64CF5"/>
    <w:rsid w:val="00B725FB"/>
    <w:rsid w:val="00B76C9B"/>
    <w:rsid w:val="00B823A1"/>
    <w:rsid w:val="00B84085"/>
    <w:rsid w:val="00B8428B"/>
    <w:rsid w:val="00BA0A4B"/>
    <w:rsid w:val="00BA41F5"/>
    <w:rsid w:val="00BB3C9C"/>
    <w:rsid w:val="00BF4822"/>
    <w:rsid w:val="00C01D22"/>
    <w:rsid w:val="00C104B6"/>
    <w:rsid w:val="00C10F02"/>
    <w:rsid w:val="00C114F4"/>
    <w:rsid w:val="00C11D03"/>
    <w:rsid w:val="00C22979"/>
    <w:rsid w:val="00C31967"/>
    <w:rsid w:val="00C33D9E"/>
    <w:rsid w:val="00C34C96"/>
    <w:rsid w:val="00C371DE"/>
    <w:rsid w:val="00C409AE"/>
    <w:rsid w:val="00C4143E"/>
    <w:rsid w:val="00C42D50"/>
    <w:rsid w:val="00C54DF8"/>
    <w:rsid w:val="00C56B4C"/>
    <w:rsid w:val="00C60B49"/>
    <w:rsid w:val="00C6416D"/>
    <w:rsid w:val="00C7440A"/>
    <w:rsid w:val="00C80A3D"/>
    <w:rsid w:val="00C822CB"/>
    <w:rsid w:val="00C865ED"/>
    <w:rsid w:val="00C8775A"/>
    <w:rsid w:val="00C91A0B"/>
    <w:rsid w:val="00C9492F"/>
    <w:rsid w:val="00CA0877"/>
    <w:rsid w:val="00CA6B59"/>
    <w:rsid w:val="00CB3B6C"/>
    <w:rsid w:val="00CB75F1"/>
    <w:rsid w:val="00CC1833"/>
    <w:rsid w:val="00CC189F"/>
    <w:rsid w:val="00CC3368"/>
    <w:rsid w:val="00CD4383"/>
    <w:rsid w:val="00CE6FED"/>
    <w:rsid w:val="00CF19C4"/>
    <w:rsid w:val="00CF2B0A"/>
    <w:rsid w:val="00D12229"/>
    <w:rsid w:val="00D13C04"/>
    <w:rsid w:val="00D1721F"/>
    <w:rsid w:val="00D20A78"/>
    <w:rsid w:val="00D278BA"/>
    <w:rsid w:val="00D348B8"/>
    <w:rsid w:val="00D40454"/>
    <w:rsid w:val="00D4059C"/>
    <w:rsid w:val="00D4574D"/>
    <w:rsid w:val="00D53D8F"/>
    <w:rsid w:val="00D61C76"/>
    <w:rsid w:val="00D72BE3"/>
    <w:rsid w:val="00D77015"/>
    <w:rsid w:val="00D842B3"/>
    <w:rsid w:val="00D92B48"/>
    <w:rsid w:val="00DA7C61"/>
    <w:rsid w:val="00DB1693"/>
    <w:rsid w:val="00DB3A4D"/>
    <w:rsid w:val="00DC5710"/>
    <w:rsid w:val="00DD1613"/>
    <w:rsid w:val="00DD5B07"/>
    <w:rsid w:val="00DD5DA9"/>
    <w:rsid w:val="00DE590B"/>
    <w:rsid w:val="00DE6821"/>
    <w:rsid w:val="00DE7338"/>
    <w:rsid w:val="00DF2022"/>
    <w:rsid w:val="00DF34BE"/>
    <w:rsid w:val="00DF5D59"/>
    <w:rsid w:val="00E10B37"/>
    <w:rsid w:val="00E16D8A"/>
    <w:rsid w:val="00E225F7"/>
    <w:rsid w:val="00E239E4"/>
    <w:rsid w:val="00E36A38"/>
    <w:rsid w:val="00E52534"/>
    <w:rsid w:val="00E53399"/>
    <w:rsid w:val="00E6678A"/>
    <w:rsid w:val="00E77995"/>
    <w:rsid w:val="00E87099"/>
    <w:rsid w:val="00EA28E6"/>
    <w:rsid w:val="00EC31C2"/>
    <w:rsid w:val="00EE69A8"/>
    <w:rsid w:val="00EF78C4"/>
    <w:rsid w:val="00F01103"/>
    <w:rsid w:val="00F02744"/>
    <w:rsid w:val="00F04CD7"/>
    <w:rsid w:val="00F108EC"/>
    <w:rsid w:val="00F23E15"/>
    <w:rsid w:val="00F244A2"/>
    <w:rsid w:val="00F30393"/>
    <w:rsid w:val="00F320F8"/>
    <w:rsid w:val="00F35064"/>
    <w:rsid w:val="00F374D8"/>
    <w:rsid w:val="00F52CB9"/>
    <w:rsid w:val="00F539FB"/>
    <w:rsid w:val="00F5684D"/>
    <w:rsid w:val="00F57AB6"/>
    <w:rsid w:val="00F6480F"/>
    <w:rsid w:val="00F64868"/>
    <w:rsid w:val="00F70C2E"/>
    <w:rsid w:val="00F84DF2"/>
    <w:rsid w:val="00F86713"/>
    <w:rsid w:val="00F932E0"/>
    <w:rsid w:val="00F96F8C"/>
    <w:rsid w:val="00FB7701"/>
    <w:rsid w:val="00FC40F0"/>
    <w:rsid w:val="00FC5C3E"/>
    <w:rsid w:val="00FC6D3B"/>
    <w:rsid w:val="00FC78B3"/>
    <w:rsid w:val="00FD0129"/>
    <w:rsid w:val="00FD3562"/>
    <w:rsid w:val="00FD4D18"/>
    <w:rsid w:val="00FD6FBE"/>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UnresolvedMention">
    <w:name w:val="Unresolved Mention"/>
    <w:basedOn w:val="DefaultParagraphFont"/>
    <w:uiPriority w:val="99"/>
    <w:semiHidden/>
    <w:unhideWhenUsed/>
    <w:rsid w:val="007F0810"/>
    <w:rPr>
      <w:color w:val="605E5C"/>
      <w:shd w:val="clear" w:color="auto" w:fill="E1DFDD"/>
    </w:rPr>
  </w:style>
  <w:style w:type="paragraph" w:styleId="Revision">
    <w:name w:val="Revision"/>
    <w:hidden/>
    <w:uiPriority w:val="99"/>
    <w:semiHidden/>
    <w:rsid w:val="00521EDA"/>
    <w:rPr>
      <w:sz w:val="24"/>
    </w:rPr>
  </w:style>
  <w:style w:type="character" w:customStyle="1" w:styleId="FootnoteTextChar">
    <w:name w:val="Footnote Text Char"/>
    <w:basedOn w:val="DefaultParagraphFont"/>
    <w:link w:val="FootnoteText"/>
    <w:semiHidden/>
    <w:rsid w:val="0011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8133">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amp;%20Practice%20Mangt\Business%20Improvement\100_PRACTICE%20NOTES\Draft%20PNs\Explanatory%20Statement%20-%20Template%20LI%20practice%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Template LI practice note.dot</Template>
  <TotalTime>0</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2022-12-06T00:08:00Z</dcterms:created>
  <dcterms:modified xsi:type="dcterms:W3CDTF">2022-12-06T00:08:00Z</dcterms:modified>
</cp:coreProperties>
</file>