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B098" w14:textId="77777777" w:rsidR="00796E7C" w:rsidRPr="00CE0905" w:rsidRDefault="00796E7C" w:rsidP="00796E7C">
      <w:pPr>
        <w:rPr>
          <w:rFonts w:cs="Arial"/>
          <w:lang w:bidi="ar-SA"/>
        </w:rPr>
      </w:pPr>
    </w:p>
    <w:p w14:paraId="44A37B67" w14:textId="77777777" w:rsidR="00796E7C" w:rsidRPr="00CE0905" w:rsidRDefault="00796E7C" w:rsidP="00796E7C">
      <w:pPr>
        <w:rPr>
          <w:rFonts w:cs="Arial"/>
          <w:noProof/>
          <w:sz w:val="20"/>
          <w:lang w:val="en-AU" w:eastAsia="en-AU"/>
        </w:rPr>
      </w:pPr>
      <w:r w:rsidRPr="00CE0905">
        <w:rPr>
          <w:rFonts w:cs="Arial"/>
          <w:noProof/>
          <w:sz w:val="20"/>
          <w:lang w:eastAsia="en-GB" w:bidi="ar-SA"/>
        </w:rPr>
        <w:drawing>
          <wp:inline distT="0" distB="0" distL="0" distR="0" wp14:anchorId="42A635EA" wp14:editId="4A3569A9">
            <wp:extent cx="2657475" cy="438150"/>
            <wp:effectExtent l="0" t="0" r="9525" b="0"/>
            <wp:docPr id="3" name="Picture 3"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d Standards Australia New Zea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EC2037F" w14:textId="77777777" w:rsidR="00796E7C" w:rsidRPr="00CE0905" w:rsidRDefault="00796E7C" w:rsidP="00796E7C">
      <w:pPr>
        <w:rPr>
          <w:rFonts w:cs="Arial"/>
          <w:sz w:val="20"/>
        </w:rPr>
      </w:pPr>
    </w:p>
    <w:p w14:paraId="040CFA41" w14:textId="77777777" w:rsidR="00796E7C" w:rsidRPr="00CE0905" w:rsidRDefault="00796E7C" w:rsidP="00796E7C">
      <w:pPr>
        <w:pBdr>
          <w:bottom w:val="single" w:sz="4" w:space="1" w:color="auto"/>
        </w:pBdr>
        <w:rPr>
          <w:rFonts w:cs="Arial"/>
          <w:b/>
          <w:sz w:val="20"/>
        </w:rPr>
      </w:pPr>
      <w:r w:rsidRPr="00CE0905">
        <w:rPr>
          <w:rFonts w:cs="Arial"/>
          <w:b/>
          <w:sz w:val="20"/>
        </w:rPr>
        <w:t>Food Standards (Proposal P1053 – Food Safety Management Tools) Variation</w:t>
      </w:r>
    </w:p>
    <w:p w14:paraId="00E93E4C" w14:textId="77777777" w:rsidR="00796E7C" w:rsidRPr="00CE0905" w:rsidRDefault="00796E7C" w:rsidP="00796E7C">
      <w:pPr>
        <w:pBdr>
          <w:bottom w:val="single" w:sz="4" w:space="1" w:color="auto"/>
        </w:pBdr>
        <w:rPr>
          <w:rFonts w:cs="Arial"/>
          <w:b/>
          <w:sz w:val="20"/>
        </w:rPr>
      </w:pPr>
    </w:p>
    <w:p w14:paraId="0F07A34F" w14:textId="77777777" w:rsidR="00796E7C" w:rsidRPr="00CE0905" w:rsidRDefault="00796E7C" w:rsidP="00796E7C">
      <w:pPr>
        <w:rPr>
          <w:rFonts w:cs="Arial"/>
          <w:sz w:val="20"/>
        </w:rPr>
      </w:pPr>
    </w:p>
    <w:p w14:paraId="3310BBEF" w14:textId="77777777" w:rsidR="00796E7C" w:rsidRPr="00CE0905" w:rsidRDefault="00796E7C" w:rsidP="00796E7C">
      <w:pPr>
        <w:rPr>
          <w:rFonts w:cs="Arial"/>
          <w:sz w:val="20"/>
        </w:rPr>
      </w:pPr>
      <w:r w:rsidRPr="00CE0905">
        <w:rPr>
          <w:rFonts w:cs="Arial"/>
          <w:sz w:val="20"/>
        </w:rPr>
        <w:t xml:space="preserve">The Board of Food Standards Australia New Zealand gives notice of the making of this Standard under section 92 of the </w:t>
      </w:r>
      <w:r w:rsidRPr="00CE0905">
        <w:rPr>
          <w:rFonts w:cs="Arial"/>
          <w:i/>
          <w:sz w:val="20"/>
        </w:rPr>
        <w:t>Food Standards Australia New Zealand Act 1991</w:t>
      </w:r>
      <w:r w:rsidRPr="00CE0905">
        <w:rPr>
          <w:rFonts w:cs="Arial"/>
          <w:sz w:val="20"/>
        </w:rPr>
        <w:t>. The Standard commences on a date 12 months after the date of gazettal.</w:t>
      </w:r>
    </w:p>
    <w:p w14:paraId="24068193" w14:textId="77777777" w:rsidR="00796E7C" w:rsidRPr="00CE0905" w:rsidRDefault="00796E7C" w:rsidP="00796E7C">
      <w:pPr>
        <w:rPr>
          <w:rFonts w:cs="Arial"/>
          <w:sz w:val="20"/>
        </w:rPr>
      </w:pPr>
    </w:p>
    <w:p w14:paraId="3C61153A" w14:textId="77777777" w:rsidR="005955D4" w:rsidRPr="00CE0905" w:rsidRDefault="005955D4" w:rsidP="005955D4">
      <w:pPr>
        <w:rPr>
          <w:rFonts w:cs="Arial"/>
          <w:sz w:val="20"/>
        </w:rPr>
      </w:pPr>
      <w:r w:rsidRPr="00CE0905">
        <w:rPr>
          <w:rFonts w:cs="Arial"/>
          <w:sz w:val="20"/>
        </w:rPr>
        <w:t>Dated 1 December 2022</w:t>
      </w:r>
    </w:p>
    <w:p w14:paraId="73782936" w14:textId="77777777" w:rsidR="005955D4" w:rsidRPr="00CE0905" w:rsidRDefault="005955D4" w:rsidP="005955D4">
      <w:pPr>
        <w:rPr>
          <w:rFonts w:cs="Arial"/>
          <w:sz w:val="20"/>
        </w:rPr>
      </w:pPr>
    </w:p>
    <w:p w14:paraId="63D1DFF8" w14:textId="77777777" w:rsidR="005955D4" w:rsidRPr="00CE0905" w:rsidRDefault="005955D4" w:rsidP="005955D4">
      <w:pPr>
        <w:rPr>
          <w:rFonts w:cs="Arial"/>
          <w:sz w:val="20"/>
        </w:rPr>
      </w:pPr>
      <w:r w:rsidRPr="00CE0905">
        <w:rPr>
          <w:rFonts w:cs="Arial"/>
          <w:noProof/>
          <w:sz w:val="20"/>
        </w:rPr>
        <w:drawing>
          <wp:inline distT="0" distB="0" distL="0" distR="0" wp14:anchorId="20299798" wp14:editId="76A9716A">
            <wp:extent cx="1152525" cy="665744"/>
            <wp:effectExtent l="0" t="0" r="0" b="1270"/>
            <wp:docPr id="10" name="Picture 10" descr="Lisa Kelly&#10;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sa Kelly&#10;Delegate of the Board of Food Standards Australia New Zea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7620" cy="668687"/>
                    </a:xfrm>
                    <a:prstGeom prst="rect">
                      <a:avLst/>
                    </a:prstGeom>
                    <a:noFill/>
                    <a:ln>
                      <a:noFill/>
                    </a:ln>
                  </pic:spPr>
                </pic:pic>
              </a:graphicData>
            </a:graphic>
          </wp:inline>
        </w:drawing>
      </w:r>
      <w:r w:rsidRPr="00CE0905">
        <w:rPr>
          <w:rFonts w:cs="Arial"/>
          <w:szCs w:val="22"/>
          <w:shd w:val="clear" w:color="auto" w:fill="FFFFFF"/>
        </w:rPr>
        <w:br/>
      </w:r>
    </w:p>
    <w:p w14:paraId="058A27E8" w14:textId="77777777" w:rsidR="005955D4" w:rsidRPr="00CE0905" w:rsidRDefault="005955D4" w:rsidP="005955D4">
      <w:pPr>
        <w:rPr>
          <w:rFonts w:cs="Arial"/>
          <w:sz w:val="20"/>
        </w:rPr>
      </w:pPr>
      <w:r w:rsidRPr="00CE0905">
        <w:rPr>
          <w:rFonts w:cs="Arial"/>
          <w:sz w:val="20"/>
        </w:rPr>
        <w:t>Lisa Kelly</w:t>
      </w:r>
    </w:p>
    <w:p w14:paraId="3F7458D9" w14:textId="77777777" w:rsidR="00796E7C" w:rsidRPr="00CE0905" w:rsidRDefault="00796E7C" w:rsidP="00796E7C">
      <w:pPr>
        <w:rPr>
          <w:rFonts w:cs="Arial"/>
          <w:sz w:val="20"/>
        </w:rPr>
      </w:pPr>
      <w:r w:rsidRPr="00CE0905">
        <w:rPr>
          <w:rFonts w:cs="Arial"/>
          <w:sz w:val="20"/>
        </w:rPr>
        <w:t>Delegate of the Board of Food Standards Australia New Zealand</w:t>
      </w:r>
    </w:p>
    <w:p w14:paraId="6D8156E5" w14:textId="77777777" w:rsidR="00796E7C" w:rsidRPr="00CE0905" w:rsidRDefault="00796E7C" w:rsidP="00796E7C">
      <w:pPr>
        <w:rPr>
          <w:rFonts w:cs="Arial"/>
          <w:sz w:val="20"/>
        </w:rPr>
      </w:pPr>
    </w:p>
    <w:p w14:paraId="15EF75C5" w14:textId="77777777" w:rsidR="00796E7C" w:rsidRPr="00CE0905" w:rsidRDefault="00796E7C" w:rsidP="00796E7C">
      <w:pPr>
        <w:rPr>
          <w:rFonts w:cs="Arial"/>
          <w:sz w:val="20"/>
        </w:rPr>
      </w:pPr>
    </w:p>
    <w:p w14:paraId="1E85D3AC" w14:textId="77777777" w:rsidR="00796E7C" w:rsidRPr="00CE0905" w:rsidRDefault="00796E7C" w:rsidP="00796E7C">
      <w:pPr>
        <w:rPr>
          <w:rFonts w:cs="Arial"/>
          <w:sz w:val="20"/>
        </w:rPr>
      </w:pPr>
    </w:p>
    <w:p w14:paraId="0F161D71" w14:textId="77777777" w:rsidR="00796E7C" w:rsidRPr="00CE0905" w:rsidRDefault="00796E7C" w:rsidP="00796E7C">
      <w:pPr>
        <w:rPr>
          <w:rFonts w:cs="Arial"/>
          <w:sz w:val="20"/>
        </w:rPr>
      </w:pPr>
    </w:p>
    <w:p w14:paraId="5E74351E" w14:textId="77777777" w:rsidR="00796E7C" w:rsidRPr="00CE0905" w:rsidRDefault="00796E7C" w:rsidP="00796E7C">
      <w:pPr>
        <w:rPr>
          <w:rFonts w:cs="Arial"/>
          <w:sz w:val="20"/>
        </w:rPr>
      </w:pPr>
    </w:p>
    <w:p w14:paraId="2B269B2A" w14:textId="77777777" w:rsidR="00796E7C" w:rsidRPr="00CE0905" w:rsidRDefault="00796E7C" w:rsidP="00796E7C">
      <w:pPr>
        <w:pBdr>
          <w:top w:val="single" w:sz="4" w:space="1" w:color="auto"/>
          <w:left w:val="single" w:sz="4" w:space="4" w:color="auto"/>
          <w:bottom w:val="single" w:sz="4" w:space="1" w:color="auto"/>
          <w:right w:val="single" w:sz="4" w:space="4" w:color="auto"/>
        </w:pBdr>
        <w:rPr>
          <w:rFonts w:cs="Arial"/>
          <w:b/>
          <w:sz w:val="20"/>
          <w:lang w:val="en-AU"/>
        </w:rPr>
      </w:pPr>
      <w:r w:rsidRPr="00CE0905">
        <w:rPr>
          <w:rFonts w:cs="Arial"/>
          <w:b/>
          <w:sz w:val="20"/>
          <w:lang w:val="en-AU"/>
        </w:rPr>
        <w:t xml:space="preserve">Note: </w:t>
      </w:r>
    </w:p>
    <w:p w14:paraId="031B56E1" w14:textId="77777777" w:rsidR="00796E7C" w:rsidRPr="00CE0905" w:rsidRDefault="00796E7C" w:rsidP="00796E7C">
      <w:pPr>
        <w:pBdr>
          <w:top w:val="single" w:sz="4" w:space="1" w:color="auto"/>
          <w:left w:val="single" w:sz="4" w:space="4" w:color="auto"/>
          <w:bottom w:val="single" w:sz="4" w:space="1" w:color="auto"/>
          <w:right w:val="single" w:sz="4" w:space="4" w:color="auto"/>
        </w:pBdr>
        <w:rPr>
          <w:rFonts w:cs="Arial"/>
          <w:sz w:val="20"/>
          <w:lang w:val="en-AU"/>
        </w:rPr>
      </w:pPr>
    </w:p>
    <w:p w14:paraId="46D4D3ED" w14:textId="77777777" w:rsidR="00613782" w:rsidRPr="00CE0905" w:rsidRDefault="00613782" w:rsidP="00613782">
      <w:pPr>
        <w:pBdr>
          <w:top w:val="single" w:sz="4" w:space="1" w:color="auto"/>
          <w:left w:val="single" w:sz="4" w:space="4" w:color="auto"/>
          <w:bottom w:val="single" w:sz="4" w:space="1" w:color="auto"/>
          <w:right w:val="single" w:sz="4" w:space="4" w:color="auto"/>
        </w:pBdr>
        <w:rPr>
          <w:rFonts w:cs="Arial"/>
          <w:sz w:val="20"/>
          <w:lang w:val="en-AU"/>
        </w:rPr>
      </w:pPr>
      <w:r w:rsidRPr="00CE0905">
        <w:rPr>
          <w:rFonts w:cs="Arial"/>
          <w:sz w:val="20"/>
          <w:lang w:val="en-AU"/>
        </w:rPr>
        <w:t xml:space="preserve">This Standard will be published in the Commonwealth of Australia Gazette No. FSC 8 on December 2022. This means that this date is the gazettal date for the purposes of the above notice. </w:t>
      </w:r>
    </w:p>
    <w:p w14:paraId="277AD826" w14:textId="77777777" w:rsidR="00796E7C" w:rsidRPr="00CE0905" w:rsidRDefault="00796E7C" w:rsidP="00796E7C">
      <w:pPr>
        <w:rPr>
          <w:rFonts w:cs="Arial"/>
          <w:sz w:val="20"/>
        </w:rPr>
      </w:pPr>
    </w:p>
    <w:p w14:paraId="2EC2F004" w14:textId="77777777" w:rsidR="00796E7C" w:rsidRPr="00CE0905" w:rsidRDefault="00796E7C" w:rsidP="00796E7C">
      <w:pPr>
        <w:widowControl/>
        <w:rPr>
          <w:rFonts w:cs="Arial"/>
          <w:lang w:bidi="ar-SA"/>
        </w:rPr>
      </w:pPr>
      <w:r w:rsidRPr="00CE0905">
        <w:rPr>
          <w:rFonts w:cs="Arial"/>
          <w:lang w:bidi="ar-SA"/>
        </w:rPr>
        <w:br w:type="page"/>
      </w:r>
    </w:p>
    <w:p w14:paraId="077E8480" w14:textId="77777777" w:rsidR="00796E7C" w:rsidRPr="00CE0905" w:rsidRDefault="00796E7C" w:rsidP="00796E7C">
      <w:pPr>
        <w:pStyle w:val="FSCh4Div"/>
        <w:rPr>
          <w:rFonts w:cs="Arial"/>
        </w:rPr>
      </w:pPr>
      <w:bookmarkStart w:id="0" w:name="_Toc94172684"/>
      <w:r w:rsidRPr="00CE0905">
        <w:rPr>
          <w:rFonts w:cs="Arial"/>
        </w:rPr>
        <w:lastRenderedPageBreak/>
        <w:t xml:space="preserve">Standard 3.2.2A </w:t>
      </w:r>
      <w:r w:rsidRPr="00CE0905">
        <w:rPr>
          <w:rFonts w:cs="Arial"/>
        </w:rPr>
        <w:tab/>
        <w:t>Food Safety Management Tools</w:t>
      </w:r>
      <w:bookmarkEnd w:id="0"/>
    </w:p>
    <w:p w14:paraId="1BADDB13" w14:textId="77777777" w:rsidR="00796E7C" w:rsidRPr="00CE0905" w:rsidRDefault="00796E7C" w:rsidP="00796E7C">
      <w:pPr>
        <w:tabs>
          <w:tab w:val="left" w:pos="1134"/>
        </w:tabs>
        <w:spacing w:before="120" w:after="120"/>
        <w:ind w:left="851" w:hanging="851"/>
        <w:rPr>
          <w:rFonts w:cs="Arial"/>
          <w:iCs/>
          <w:sz w:val="16"/>
          <w:szCs w:val="22"/>
          <w:lang w:eastAsia="en-AU" w:bidi="ar-SA"/>
        </w:rPr>
      </w:pPr>
      <w:bookmarkStart w:id="1" w:name="_Toc371505286"/>
      <w:r w:rsidRPr="00CE0905">
        <w:rPr>
          <w:rFonts w:cs="Arial"/>
          <w:b/>
          <w:i/>
          <w:iCs/>
          <w:sz w:val="16"/>
          <w:szCs w:val="22"/>
          <w:lang w:eastAsia="en-AU" w:bidi="ar-SA"/>
        </w:rPr>
        <w:t>Note 1</w:t>
      </w:r>
      <w:r w:rsidRPr="00CE0905">
        <w:rPr>
          <w:rFonts w:cs="Arial"/>
          <w:iCs/>
          <w:sz w:val="16"/>
          <w:szCs w:val="22"/>
          <w:lang w:eastAsia="en-AU" w:bidi="ar-SA"/>
        </w:rPr>
        <w:tab/>
        <w:t xml:space="preserve">This instrument is a standard under the </w:t>
      </w:r>
      <w:r w:rsidRPr="00CE0905">
        <w:rPr>
          <w:rFonts w:cs="Arial"/>
          <w:i/>
          <w:iCs/>
          <w:sz w:val="16"/>
          <w:szCs w:val="22"/>
          <w:lang w:eastAsia="en-AU" w:bidi="ar-SA"/>
        </w:rPr>
        <w:t>Food Standards Australia New Zealand Act 1991</w:t>
      </w:r>
      <w:r w:rsidRPr="00CE0905">
        <w:rPr>
          <w:rFonts w:cs="Arial"/>
          <w:iCs/>
          <w:sz w:val="16"/>
          <w:szCs w:val="22"/>
          <w:lang w:eastAsia="en-AU" w:bidi="ar-SA"/>
        </w:rPr>
        <w:t xml:space="preserve"> (</w:t>
      </w:r>
      <w:proofErr w:type="spellStart"/>
      <w:r w:rsidRPr="00CE0905">
        <w:rPr>
          <w:rFonts w:cs="Arial"/>
          <w:iCs/>
          <w:sz w:val="16"/>
          <w:szCs w:val="22"/>
          <w:lang w:eastAsia="en-AU" w:bidi="ar-SA"/>
        </w:rPr>
        <w:t>Cth</w:t>
      </w:r>
      <w:proofErr w:type="spellEnd"/>
      <w:r w:rsidRPr="00CE0905">
        <w:rPr>
          <w:rFonts w:cs="Arial"/>
          <w:iCs/>
          <w:sz w:val="16"/>
          <w:szCs w:val="22"/>
          <w:lang w:eastAsia="en-AU" w:bidi="ar-SA"/>
        </w:rPr>
        <w:t xml:space="preserve">). The standards together make up the </w:t>
      </w:r>
      <w:r w:rsidRPr="00CE0905">
        <w:rPr>
          <w:rFonts w:cs="Arial"/>
          <w:i/>
          <w:iCs/>
          <w:sz w:val="16"/>
          <w:szCs w:val="22"/>
          <w:lang w:eastAsia="en-AU" w:bidi="ar-SA"/>
        </w:rPr>
        <w:t>Australia New Zealand Food Standards Code.</w:t>
      </w:r>
      <w:r w:rsidRPr="00CE0905">
        <w:rPr>
          <w:rFonts w:cs="Arial"/>
          <w:iCs/>
          <w:sz w:val="16"/>
          <w:szCs w:val="22"/>
          <w:lang w:eastAsia="en-AU" w:bidi="ar-SA"/>
        </w:rPr>
        <w:t xml:space="preserve"> See also section 1.1.1—3.</w:t>
      </w:r>
    </w:p>
    <w:p w14:paraId="77BA20B2" w14:textId="77777777" w:rsidR="00796E7C" w:rsidRPr="00CE0905" w:rsidRDefault="00796E7C" w:rsidP="00796E7C">
      <w:pPr>
        <w:tabs>
          <w:tab w:val="left" w:pos="1134"/>
        </w:tabs>
        <w:spacing w:before="120" w:after="120"/>
        <w:ind w:left="851" w:hanging="851"/>
        <w:rPr>
          <w:rFonts w:cs="Arial"/>
          <w:iCs/>
          <w:sz w:val="16"/>
          <w:szCs w:val="22"/>
          <w:lang w:eastAsia="en-AU" w:bidi="ar-SA"/>
        </w:rPr>
      </w:pPr>
      <w:r w:rsidRPr="00CE0905">
        <w:rPr>
          <w:rFonts w:cs="Arial"/>
          <w:b/>
          <w:i/>
          <w:iCs/>
          <w:sz w:val="16"/>
          <w:szCs w:val="22"/>
          <w:lang w:eastAsia="en-AU" w:bidi="ar-SA"/>
        </w:rPr>
        <w:t>Note 2</w:t>
      </w:r>
      <w:r w:rsidRPr="00CE0905">
        <w:rPr>
          <w:rFonts w:cs="Arial"/>
          <w:iCs/>
          <w:sz w:val="16"/>
          <w:szCs w:val="22"/>
          <w:lang w:eastAsia="en-AU" w:bidi="ar-SA"/>
        </w:rPr>
        <w:tab/>
        <w:t>This Standard applies in Australia only.</w:t>
      </w:r>
    </w:p>
    <w:bookmarkEnd w:id="1"/>
    <w:p w14:paraId="3A8540BB"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3.2.2A—1</w:t>
      </w:r>
      <w:r w:rsidRPr="00CE0905">
        <w:rPr>
          <w:rFonts w:cs="Arial"/>
          <w:b/>
          <w:bCs/>
          <w:kern w:val="32"/>
          <w:lang w:eastAsia="en-AU" w:bidi="ar-SA"/>
        </w:rPr>
        <w:tab/>
        <w:t>Name</w:t>
      </w:r>
    </w:p>
    <w:p w14:paraId="25110759" w14:textId="77777777" w:rsidR="00796E7C" w:rsidRPr="00CE0905" w:rsidRDefault="00796E7C" w:rsidP="00796E7C">
      <w:pPr>
        <w:tabs>
          <w:tab w:val="left" w:pos="1134"/>
        </w:tabs>
        <w:spacing w:before="120" w:after="120"/>
        <w:ind w:left="1701"/>
        <w:rPr>
          <w:rFonts w:cs="Arial"/>
          <w:sz w:val="20"/>
          <w:szCs w:val="20"/>
          <w:lang w:eastAsia="en-AU" w:bidi="ar-SA"/>
        </w:rPr>
      </w:pPr>
      <w:r w:rsidRPr="00CE0905">
        <w:rPr>
          <w:rFonts w:cs="Arial"/>
          <w:sz w:val="20"/>
          <w:szCs w:val="20"/>
          <w:lang w:eastAsia="en-AU" w:bidi="ar-SA"/>
        </w:rPr>
        <w:t xml:space="preserve">This Standard is </w:t>
      </w:r>
      <w:r w:rsidRPr="00CE0905">
        <w:rPr>
          <w:rFonts w:cs="Arial"/>
          <w:i/>
          <w:iCs/>
          <w:sz w:val="20"/>
          <w:szCs w:val="20"/>
          <w:lang w:eastAsia="en-AU" w:bidi="ar-SA"/>
        </w:rPr>
        <w:t xml:space="preserve">Australia New Zealand Food Standards Code </w:t>
      </w:r>
      <w:r w:rsidRPr="00CE0905">
        <w:rPr>
          <w:rFonts w:cs="Arial"/>
          <w:sz w:val="20"/>
          <w:szCs w:val="20"/>
          <w:lang w:eastAsia="en-AU" w:bidi="ar-SA"/>
        </w:rPr>
        <w:t>– Standard 3.2.2A – Food Safety Management Tools.</w:t>
      </w:r>
    </w:p>
    <w:p w14:paraId="1953AAC4" w14:textId="77777777" w:rsidR="00796E7C" w:rsidRPr="00CE0905" w:rsidRDefault="00796E7C" w:rsidP="00796E7C">
      <w:pPr>
        <w:tabs>
          <w:tab w:val="left" w:pos="1134"/>
        </w:tabs>
        <w:spacing w:before="120" w:after="120"/>
        <w:ind w:left="1134"/>
        <w:rPr>
          <w:rFonts w:cs="Arial"/>
          <w:sz w:val="16"/>
          <w:szCs w:val="16"/>
          <w:lang w:eastAsia="en-AU" w:bidi="ar-SA"/>
        </w:rPr>
      </w:pPr>
      <w:r w:rsidRPr="00CE0905">
        <w:rPr>
          <w:rFonts w:cs="Arial"/>
          <w:b/>
          <w:bCs/>
          <w:i/>
          <w:iCs/>
          <w:sz w:val="16"/>
          <w:szCs w:val="16"/>
          <w:lang w:eastAsia="en-AU" w:bidi="ar-SA"/>
        </w:rPr>
        <w:tab/>
      </w:r>
      <w:r w:rsidRPr="00CE0905">
        <w:rPr>
          <w:rFonts w:cs="Arial"/>
          <w:b/>
          <w:bCs/>
          <w:i/>
          <w:iCs/>
          <w:sz w:val="16"/>
          <w:szCs w:val="16"/>
          <w:lang w:eastAsia="en-AU" w:bidi="ar-SA"/>
        </w:rPr>
        <w:tab/>
        <w:t>Note</w:t>
      </w:r>
      <w:r w:rsidRPr="00CE0905">
        <w:rPr>
          <w:rFonts w:cs="Arial"/>
        </w:rPr>
        <w:tab/>
      </w:r>
      <w:r w:rsidRPr="00CE0905">
        <w:rPr>
          <w:rFonts w:cs="Arial"/>
          <w:sz w:val="16"/>
          <w:szCs w:val="16"/>
          <w:lang w:eastAsia="en-AU" w:bidi="ar-SA"/>
        </w:rPr>
        <w:t>Commencement:</w:t>
      </w:r>
    </w:p>
    <w:p w14:paraId="39CAD4FB" w14:textId="77777777" w:rsidR="00796E7C" w:rsidRPr="00CE0905" w:rsidRDefault="00796E7C" w:rsidP="00796E7C">
      <w:pPr>
        <w:tabs>
          <w:tab w:val="left" w:pos="1134"/>
        </w:tabs>
        <w:spacing w:before="120" w:after="120"/>
        <w:ind w:left="1701"/>
        <w:rPr>
          <w:rFonts w:cs="Arial"/>
          <w:sz w:val="16"/>
          <w:szCs w:val="16"/>
          <w:lang w:eastAsia="en-AU" w:bidi="ar-SA"/>
        </w:rPr>
      </w:pPr>
      <w:r w:rsidRPr="00CE0905">
        <w:rPr>
          <w:rFonts w:cs="Arial"/>
          <w:sz w:val="16"/>
          <w:szCs w:val="16"/>
          <w:lang w:eastAsia="en-AU" w:bidi="ar-SA"/>
        </w:rPr>
        <w:t xml:space="preserve">This Standard commences </w:t>
      </w:r>
      <w:r w:rsidRPr="00CE0905" w:rsidDel="00D36DF1">
        <w:rPr>
          <w:rFonts w:cs="Arial"/>
          <w:sz w:val="16"/>
          <w:szCs w:val="16"/>
          <w:lang w:eastAsia="en-AU" w:bidi="ar-SA"/>
        </w:rPr>
        <w:t>on</w:t>
      </w:r>
      <w:r w:rsidRPr="00CE0905">
        <w:rPr>
          <w:rFonts w:cs="Arial"/>
          <w:sz w:val="16"/>
          <w:szCs w:val="16"/>
          <w:lang w:eastAsia="en-AU" w:bidi="ar-SA"/>
        </w:rPr>
        <w:t xml:space="preserve"> a date that is 12 months after the date of gazettal, being the dates specified as the commencement date in notices in the Gazette and the New Zealand Gazette under section 92 of the Food Standards Australia New Zealand Act 1991 (</w:t>
      </w:r>
      <w:proofErr w:type="spellStart"/>
      <w:r w:rsidRPr="00CE0905">
        <w:rPr>
          <w:rFonts w:cs="Arial"/>
          <w:sz w:val="16"/>
          <w:szCs w:val="16"/>
          <w:lang w:eastAsia="en-AU" w:bidi="ar-SA"/>
        </w:rPr>
        <w:t>Cth</w:t>
      </w:r>
      <w:proofErr w:type="spellEnd"/>
      <w:r w:rsidRPr="00CE0905">
        <w:rPr>
          <w:rFonts w:cs="Arial"/>
          <w:sz w:val="16"/>
          <w:szCs w:val="16"/>
          <w:lang w:eastAsia="en-AU" w:bidi="ar-SA"/>
        </w:rPr>
        <w:t>). See also section 93 of that Act.</w:t>
      </w:r>
    </w:p>
    <w:p w14:paraId="3559685E"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3.2.2A—2</w:t>
      </w:r>
      <w:r w:rsidRPr="00CE0905">
        <w:rPr>
          <w:rFonts w:cs="Arial"/>
          <w:b/>
          <w:bCs/>
          <w:kern w:val="32"/>
          <w:lang w:eastAsia="en-AU" w:bidi="ar-SA"/>
        </w:rPr>
        <w:tab/>
        <w:t>Definitions</w:t>
      </w:r>
    </w:p>
    <w:p w14:paraId="4205A70E" w14:textId="77777777" w:rsidR="00796E7C" w:rsidRPr="00CE0905" w:rsidRDefault="00796E7C" w:rsidP="00796E7C">
      <w:pPr>
        <w:tabs>
          <w:tab w:val="left" w:pos="1134"/>
        </w:tabs>
        <w:spacing w:before="120" w:after="120"/>
        <w:ind w:left="1701"/>
        <w:rPr>
          <w:rFonts w:cs="Arial"/>
          <w:b/>
          <w:i/>
          <w:iCs/>
          <w:sz w:val="20"/>
          <w:szCs w:val="22"/>
          <w:lang w:eastAsia="en-AU" w:bidi="ar-SA"/>
        </w:rPr>
      </w:pPr>
      <w:r w:rsidRPr="00CE0905">
        <w:rPr>
          <w:rFonts w:cs="Arial"/>
          <w:iCs/>
          <w:sz w:val="20"/>
          <w:szCs w:val="22"/>
          <w:lang w:eastAsia="en-AU" w:bidi="ar-SA"/>
        </w:rPr>
        <w:t>In this Standard:</w:t>
      </w:r>
    </w:p>
    <w:p w14:paraId="6DE693CF" w14:textId="77777777" w:rsidR="00796E7C" w:rsidRPr="00CE0905" w:rsidRDefault="00796E7C" w:rsidP="00796E7C">
      <w:pPr>
        <w:tabs>
          <w:tab w:val="left" w:pos="1701"/>
        </w:tabs>
        <w:spacing w:before="120" w:after="120"/>
        <w:ind w:left="1701"/>
        <w:rPr>
          <w:rFonts w:cs="Arial"/>
          <w:iCs/>
          <w:sz w:val="20"/>
          <w:szCs w:val="20"/>
          <w:lang w:eastAsia="en-AU" w:bidi="ar-SA"/>
        </w:rPr>
      </w:pPr>
      <w:r w:rsidRPr="00CE0905">
        <w:rPr>
          <w:rFonts w:cs="Arial"/>
          <w:b/>
          <w:i/>
          <w:iCs/>
          <w:sz w:val="20"/>
          <w:szCs w:val="20"/>
          <w:lang w:eastAsia="en-AU" w:bidi="ar-SA"/>
        </w:rPr>
        <w:t>category one business</w:t>
      </w:r>
      <w:r w:rsidRPr="00CE0905">
        <w:rPr>
          <w:rFonts w:cs="Arial"/>
          <w:iCs/>
          <w:sz w:val="20"/>
          <w:szCs w:val="20"/>
          <w:lang w:eastAsia="en-AU" w:bidi="ar-SA"/>
        </w:rPr>
        <w:t>—see</w:t>
      </w:r>
      <w:r w:rsidRPr="00CE0905">
        <w:rPr>
          <w:rFonts w:cs="Arial"/>
          <w:b/>
          <w:i/>
          <w:iCs/>
          <w:sz w:val="20"/>
          <w:szCs w:val="20"/>
          <w:lang w:eastAsia="en-AU" w:bidi="ar-SA"/>
        </w:rPr>
        <w:t xml:space="preserve"> </w:t>
      </w:r>
      <w:r w:rsidRPr="00CE0905">
        <w:rPr>
          <w:rFonts w:cs="Arial"/>
          <w:iCs/>
          <w:sz w:val="20"/>
          <w:szCs w:val="22"/>
          <w:lang w:eastAsia="en-AU" w:bidi="ar-SA"/>
        </w:rPr>
        <w:t>3.2.2A—6.</w:t>
      </w:r>
    </w:p>
    <w:p w14:paraId="41C1503B" w14:textId="77777777" w:rsidR="00796E7C" w:rsidRPr="00CE0905" w:rsidRDefault="00796E7C" w:rsidP="00796E7C">
      <w:pPr>
        <w:tabs>
          <w:tab w:val="left" w:pos="1134"/>
        </w:tabs>
        <w:spacing w:before="120" w:after="120"/>
        <w:ind w:left="1701"/>
        <w:rPr>
          <w:rFonts w:cs="Arial"/>
          <w:b/>
          <w:i/>
          <w:iCs/>
          <w:sz w:val="20"/>
          <w:szCs w:val="22"/>
          <w:lang w:eastAsia="en-AU" w:bidi="ar-SA"/>
        </w:rPr>
      </w:pPr>
      <w:r w:rsidRPr="00CE0905">
        <w:rPr>
          <w:rFonts w:cs="Arial"/>
          <w:b/>
          <w:i/>
          <w:iCs/>
          <w:sz w:val="20"/>
          <w:szCs w:val="20"/>
          <w:lang w:eastAsia="en-AU" w:bidi="ar-SA"/>
        </w:rPr>
        <w:t>category two business</w:t>
      </w:r>
      <w:r w:rsidRPr="00CE0905">
        <w:rPr>
          <w:rFonts w:cs="Arial"/>
          <w:iCs/>
          <w:sz w:val="20"/>
          <w:szCs w:val="20"/>
          <w:lang w:eastAsia="en-AU" w:bidi="ar-SA"/>
        </w:rPr>
        <w:t>—see</w:t>
      </w:r>
      <w:r w:rsidRPr="00CE0905">
        <w:rPr>
          <w:rFonts w:cs="Arial"/>
          <w:b/>
          <w:i/>
          <w:iCs/>
          <w:sz w:val="20"/>
          <w:szCs w:val="20"/>
          <w:lang w:eastAsia="en-AU" w:bidi="ar-SA"/>
        </w:rPr>
        <w:t xml:space="preserve"> </w:t>
      </w:r>
      <w:r w:rsidRPr="00CE0905">
        <w:rPr>
          <w:rFonts w:cs="Arial"/>
          <w:iCs/>
          <w:sz w:val="20"/>
          <w:szCs w:val="22"/>
          <w:lang w:eastAsia="en-AU" w:bidi="ar-SA"/>
        </w:rPr>
        <w:t>3.2.2A—7</w:t>
      </w:r>
      <w:r w:rsidRPr="00CE0905">
        <w:rPr>
          <w:rFonts w:cs="Arial"/>
          <w:iCs/>
          <w:sz w:val="20"/>
          <w:szCs w:val="20"/>
          <w:lang w:val="en-AU" w:eastAsia="en-AU" w:bidi="ar-SA"/>
        </w:rPr>
        <w:t>.</w:t>
      </w:r>
    </w:p>
    <w:p w14:paraId="302FADCB" w14:textId="77777777" w:rsidR="00796E7C" w:rsidRPr="00CE0905" w:rsidRDefault="00796E7C" w:rsidP="00796E7C">
      <w:pPr>
        <w:tabs>
          <w:tab w:val="left" w:pos="1134"/>
        </w:tabs>
        <w:spacing w:before="120" w:after="120"/>
        <w:ind w:left="1701"/>
        <w:rPr>
          <w:rFonts w:cs="Arial"/>
          <w:iCs/>
          <w:sz w:val="20"/>
          <w:szCs w:val="22"/>
          <w:lang w:eastAsia="en-AU" w:bidi="ar-SA"/>
        </w:rPr>
      </w:pPr>
      <w:r w:rsidRPr="00CE0905">
        <w:rPr>
          <w:rFonts w:cs="Arial"/>
          <w:b/>
          <w:i/>
          <w:iCs/>
          <w:sz w:val="20"/>
          <w:szCs w:val="22"/>
          <w:lang w:eastAsia="en-AU" w:bidi="ar-SA"/>
        </w:rPr>
        <w:t xml:space="preserve">food safety supervisor </w:t>
      </w:r>
      <w:r w:rsidRPr="00CE0905">
        <w:rPr>
          <w:rFonts w:cs="Arial"/>
          <w:iCs/>
          <w:sz w:val="20"/>
          <w:szCs w:val="22"/>
          <w:lang w:eastAsia="en-AU" w:bidi="ar-SA"/>
        </w:rPr>
        <w:t>means a person who:</w:t>
      </w:r>
    </w:p>
    <w:p w14:paraId="302B0DBA" w14:textId="77777777" w:rsidR="00796E7C" w:rsidRPr="00CE0905" w:rsidRDefault="00796E7C" w:rsidP="00796E7C">
      <w:pPr>
        <w:numPr>
          <w:ilvl w:val="0"/>
          <w:numId w:val="18"/>
        </w:numPr>
        <w:tabs>
          <w:tab w:val="left" w:pos="1701"/>
        </w:tabs>
        <w:spacing w:before="60" w:after="60"/>
        <w:rPr>
          <w:rFonts w:cs="Arial"/>
          <w:iCs/>
          <w:sz w:val="20"/>
          <w:szCs w:val="22"/>
          <w:lang w:eastAsia="en-AU" w:bidi="ar-SA"/>
        </w:rPr>
      </w:pPr>
      <w:r w:rsidRPr="00CE0905">
        <w:rPr>
          <w:rFonts w:cs="Arial"/>
          <w:iCs/>
          <w:sz w:val="20"/>
          <w:szCs w:val="22"/>
          <w:lang w:eastAsia="en-AU" w:bidi="ar-SA"/>
        </w:rPr>
        <w:t>holds a food safety supervisor certificate that has been issued within the immediately preceding period of 5 years; and</w:t>
      </w:r>
    </w:p>
    <w:p w14:paraId="7EBA6F42" w14:textId="77777777" w:rsidR="00796E7C" w:rsidRPr="00CE0905" w:rsidRDefault="00796E7C" w:rsidP="00796E7C">
      <w:pPr>
        <w:numPr>
          <w:ilvl w:val="0"/>
          <w:numId w:val="18"/>
        </w:numPr>
        <w:tabs>
          <w:tab w:val="left" w:pos="1701"/>
        </w:tabs>
        <w:spacing w:before="60" w:after="60"/>
        <w:ind w:left="2274" w:hanging="573"/>
        <w:rPr>
          <w:rFonts w:cs="Arial"/>
          <w:iCs/>
          <w:sz w:val="20"/>
          <w:szCs w:val="22"/>
          <w:lang w:eastAsia="en-AU" w:bidi="ar-SA"/>
        </w:rPr>
      </w:pPr>
      <w:r w:rsidRPr="00CE0905">
        <w:rPr>
          <w:rFonts w:cs="Arial"/>
          <w:iCs/>
          <w:sz w:val="20"/>
          <w:szCs w:val="22"/>
          <w:lang w:eastAsia="en-AU" w:bidi="ar-SA"/>
        </w:rPr>
        <w:t>has the authority and ability to manage and give direction on the safe handling of food.</w:t>
      </w:r>
    </w:p>
    <w:p w14:paraId="514B3D3F" w14:textId="77777777" w:rsidR="00796E7C" w:rsidRPr="00CE0905" w:rsidRDefault="00796E7C" w:rsidP="00796E7C">
      <w:pPr>
        <w:tabs>
          <w:tab w:val="left" w:pos="1134"/>
        </w:tabs>
        <w:spacing w:before="120" w:after="120"/>
        <w:ind w:left="1701"/>
        <w:rPr>
          <w:rFonts w:cs="Arial"/>
          <w:iCs/>
          <w:sz w:val="20"/>
          <w:szCs w:val="22"/>
          <w:lang w:eastAsia="en-AU" w:bidi="ar-SA"/>
        </w:rPr>
      </w:pPr>
      <w:r w:rsidRPr="00CE0905">
        <w:rPr>
          <w:rFonts w:cs="Arial"/>
          <w:b/>
          <w:i/>
          <w:iCs/>
          <w:sz w:val="20"/>
          <w:szCs w:val="22"/>
          <w:lang w:eastAsia="en-AU" w:bidi="ar-SA"/>
        </w:rPr>
        <w:t>food safety supervisor certificate</w:t>
      </w:r>
      <w:r w:rsidRPr="00CE0905">
        <w:rPr>
          <w:rFonts w:cs="Arial"/>
          <w:iCs/>
          <w:sz w:val="20"/>
          <w:szCs w:val="22"/>
          <w:lang w:eastAsia="en-AU" w:bidi="ar-SA"/>
        </w:rPr>
        <w:t xml:space="preserve"> means certification as a food safety supervisor by:</w:t>
      </w:r>
    </w:p>
    <w:p w14:paraId="4E7986E8" w14:textId="77777777" w:rsidR="00796E7C" w:rsidRPr="00CE0905" w:rsidRDefault="00796E7C" w:rsidP="00796E7C">
      <w:pPr>
        <w:numPr>
          <w:ilvl w:val="0"/>
          <w:numId w:val="25"/>
        </w:numPr>
        <w:tabs>
          <w:tab w:val="left" w:pos="1701"/>
        </w:tabs>
        <w:spacing w:before="60" w:after="60"/>
        <w:rPr>
          <w:rFonts w:cs="Arial"/>
          <w:iCs/>
          <w:sz w:val="20"/>
          <w:szCs w:val="22"/>
          <w:lang w:eastAsia="en-AU" w:bidi="ar-SA"/>
        </w:rPr>
      </w:pPr>
      <w:r w:rsidRPr="00CE0905">
        <w:rPr>
          <w:rFonts w:cs="Arial"/>
          <w:iCs/>
          <w:sz w:val="20"/>
          <w:szCs w:val="22"/>
          <w:lang w:eastAsia="en-AU" w:bidi="ar-SA"/>
        </w:rPr>
        <w:t xml:space="preserve">a registered training organisation; or </w:t>
      </w:r>
    </w:p>
    <w:p w14:paraId="27395723" w14:textId="77777777" w:rsidR="00796E7C" w:rsidRPr="00CE0905" w:rsidRDefault="00796E7C" w:rsidP="00796E7C">
      <w:pPr>
        <w:numPr>
          <w:ilvl w:val="0"/>
          <w:numId w:val="25"/>
        </w:numPr>
        <w:tabs>
          <w:tab w:val="left" w:pos="1701"/>
        </w:tabs>
        <w:spacing w:before="60" w:after="60"/>
        <w:rPr>
          <w:rFonts w:cs="Arial"/>
          <w:iCs/>
          <w:sz w:val="20"/>
          <w:szCs w:val="22"/>
          <w:lang w:eastAsia="en-AU" w:bidi="ar-SA"/>
        </w:rPr>
      </w:pPr>
      <w:r w:rsidRPr="00CE0905">
        <w:rPr>
          <w:rFonts w:cs="Arial"/>
          <w:iCs/>
          <w:sz w:val="20"/>
          <w:szCs w:val="22"/>
          <w:lang w:eastAsia="en-AU" w:bidi="ar-SA"/>
        </w:rPr>
        <w:t>an organisation recognised by the *relevant authority under the application Act.</w:t>
      </w:r>
    </w:p>
    <w:p w14:paraId="5DD09FEC" w14:textId="77777777" w:rsidR="00796E7C" w:rsidRPr="00CE0905" w:rsidRDefault="00796E7C" w:rsidP="00796E7C">
      <w:pPr>
        <w:tabs>
          <w:tab w:val="left" w:pos="1134"/>
        </w:tabs>
        <w:spacing w:before="120" w:after="120"/>
        <w:ind w:left="1701"/>
        <w:rPr>
          <w:rFonts w:cs="Arial"/>
          <w:iCs/>
          <w:sz w:val="20"/>
          <w:szCs w:val="22"/>
          <w:lang w:eastAsia="en-AU" w:bidi="ar-SA"/>
        </w:rPr>
      </w:pPr>
      <w:r w:rsidRPr="00CE0905">
        <w:rPr>
          <w:rFonts w:cs="Arial"/>
          <w:b/>
          <w:i/>
          <w:iCs/>
          <w:sz w:val="20"/>
          <w:szCs w:val="22"/>
          <w:lang w:eastAsia="en-AU" w:bidi="ar-SA"/>
        </w:rPr>
        <w:t xml:space="preserve">food safety training course </w:t>
      </w:r>
      <w:r w:rsidRPr="00CE0905">
        <w:rPr>
          <w:rFonts w:cs="Arial"/>
          <w:iCs/>
          <w:sz w:val="20"/>
          <w:szCs w:val="22"/>
          <w:lang w:eastAsia="en-AU" w:bidi="ar-SA"/>
        </w:rPr>
        <w:t>means training in food safety that includes training in each of the following:</w:t>
      </w:r>
    </w:p>
    <w:p w14:paraId="27940225" w14:textId="77777777" w:rsidR="00796E7C" w:rsidRPr="00CE0905" w:rsidRDefault="00796E7C" w:rsidP="00796E7C">
      <w:pPr>
        <w:numPr>
          <w:ilvl w:val="0"/>
          <w:numId w:val="16"/>
        </w:numPr>
        <w:tabs>
          <w:tab w:val="left" w:pos="1701"/>
        </w:tabs>
        <w:spacing w:before="60" w:after="60"/>
        <w:ind w:left="2274" w:hanging="573"/>
        <w:rPr>
          <w:rFonts w:cs="Arial"/>
          <w:iCs/>
          <w:sz w:val="20"/>
          <w:szCs w:val="22"/>
          <w:lang w:eastAsia="en-AU" w:bidi="ar-SA"/>
        </w:rPr>
      </w:pPr>
      <w:r w:rsidRPr="00CE0905">
        <w:rPr>
          <w:rFonts w:cs="Arial"/>
          <w:iCs/>
          <w:sz w:val="20"/>
          <w:szCs w:val="22"/>
          <w:lang w:eastAsia="en-AU" w:bidi="ar-SA"/>
        </w:rPr>
        <w:t>safe handling of food; and</w:t>
      </w:r>
    </w:p>
    <w:p w14:paraId="7422FE02" w14:textId="77777777" w:rsidR="00796E7C" w:rsidRPr="00CE0905" w:rsidRDefault="00796E7C" w:rsidP="00796E7C">
      <w:pPr>
        <w:numPr>
          <w:ilvl w:val="0"/>
          <w:numId w:val="16"/>
        </w:numPr>
        <w:tabs>
          <w:tab w:val="left" w:pos="1701"/>
        </w:tabs>
        <w:spacing w:before="60" w:after="60"/>
        <w:ind w:left="2274" w:hanging="573"/>
        <w:rPr>
          <w:rFonts w:cs="Arial"/>
          <w:iCs/>
          <w:sz w:val="20"/>
          <w:szCs w:val="22"/>
          <w:lang w:eastAsia="en-AU" w:bidi="ar-SA"/>
        </w:rPr>
      </w:pPr>
      <w:r w:rsidRPr="00CE0905">
        <w:rPr>
          <w:rFonts w:cs="Arial"/>
          <w:iCs/>
          <w:sz w:val="20"/>
          <w:szCs w:val="22"/>
          <w:lang w:eastAsia="en-AU" w:bidi="ar-SA"/>
        </w:rPr>
        <w:t>food contamination; and</w:t>
      </w:r>
    </w:p>
    <w:p w14:paraId="7D77983F" w14:textId="77777777" w:rsidR="00796E7C" w:rsidRPr="00CE0905" w:rsidRDefault="00796E7C" w:rsidP="00796E7C">
      <w:pPr>
        <w:numPr>
          <w:ilvl w:val="0"/>
          <w:numId w:val="16"/>
        </w:numPr>
        <w:tabs>
          <w:tab w:val="left" w:pos="1701"/>
        </w:tabs>
        <w:spacing w:before="60" w:after="60"/>
        <w:ind w:left="2274" w:hanging="573"/>
        <w:rPr>
          <w:rFonts w:cs="Arial"/>
          <w:iCs/>
          <w:sz w:val="20"/>
          <w:szCs w:val="22"/>
          <w:lang w:eastAsia="en-AU" w:bidi="ar-SA"/>
        </w:rPr>
      </w:pPr>
      <w:r w:rsidRPr="00CE0905">
        <w:rPr>
          <w:rFonts w:cs="Arial"/>
          <w:iCs/>
          <w:sz w:val="20"/>
          <w:szCs w:val="22"/>
          <w:lang w:eastAsia="en-AU" w:bidi="ar-SA"/>
        </w:rPr>
        <w:t>cleaning and sanitising of food premises and equipment; and</w:t>
      </w:r>
    </w:p>
    <w:p w14:paraId="70189D19" w14:textId="77777777" w:rsidR="00796E7C" w:rsidRPr="00CE0905" w:rsidRDefault="00796E7C" w:rsidP="00796E7C">
      <w:pPr>
        <w:numPr>
          <w:ilvl w:val="0"/>
          <w:numId w:val="16"/>
        </w:numPr>
        <w:tabs>
          <w:tab w:val="left" w:pos="1701"/>
        </w:tabs>
        <w:spacing w:before="60" w:after="60"/>
        <w:ind w:left="2274" w:hanging="573"/>
        <w:rPr>
          <w:rFonts w:cs="Arial"/>
          <w:iCs/>
          <w:sz w:val="20"/>
          <w:szCs w:val="22"/>
          <w:lang w:eastAsia="en-AU" w:bidi="ar-SA"/>
        </w:rPr>
      </w:pPr>
      <w:r w:rsidRPr="00CE0905">
        <w:rPr>
          <w:rFonts w:cs="Arial"/>
          <w:iCs/>
          <w:sz w:val="20"/>
          <w:szCs w:val="22"/>
          <w:lang w:eastAsia="en-AU" w:bidi="ar-SA"/>
        </w:rPr>
        <w:t>personal hygiene.</w:t>
      </w:r>
    </w:p>
    <w:p w14:paraId="7B4FBDCB" w14:textId="77777777" w:rsidR="00796E7C" w:rsidRPr="00CE0905" w:rsidRDefault="00796E7C" w:rsidP="00796E7C">
      <w:pPr>
        <w:tabs>
          <w:tab w:val="left" w:pos="1701"/>
        </w:tabs>
        <w:spacing w:before="120" w:after="120"/>
        <w:ind w:left="1701"/>
        <w:rPr>
          <w:rFonts w:cs="Arial"/>
          <w:sz w:val="20"/>
          <w:szCs w:val="20"/>
          <w:lang w:eastAsia="en-AU" w:bidi="ar-SA"/>
        </w:rPr>
      </w:pPr>
      <w:r w:rsidRPr="00CE0905">
        <w:rPr>
          <w:rFonts w:cs="Arial"/>
          <w:b/>
          <w:bCs/>
          <w:i/>
          <w:iCs/>
          <w:sz w:val="20"/>
          <w:szCs w:val="20"/>
          <w:lang w:eastAsia="en-AU" w:bidi="ar-SA"/>
        </w:rPr>
        <w:t xml:space="preserve">potentially hazardous food </w:t>
      </w:r>
      <w:r w:rsidRPr="00CE0905">
        <w:rPr>
          <w:rFonts w:cs="Arial"/>
          <w:sz w:val="20"/>
          <w:szCs w:val="20"/>
          <w:lang w:eastAsia="en-AU" w:bidi="ar-SA"/>
        </w:rPr>
        <w:t xml:space="preserve">means food that </w:t>
      </w:r>
      <w:bookmarkStart w:id="2" w:name="_Int_jxLgtMkN"/>
      <w:r w:rsidRPr="00CE0905">
        <w:rPr>
          <w:rFonts w:cs="Arial"/>
          <w:sz w:val="20"/>
          <w:szCs w:val="20"/>
          <w:lang w:eastAsia="en-AU" w:bidi="ar-SA"/>
        </w:rPr>
        <w:t>has to</w:t>
      </w:r>
      <w:bookmarkEnd w:id="2"/>
      <w:r w:rsidRPr="00CE0905">
        <w:rPr>
          <w:rFonts w:cs="Arial"/>
          <w:sz w:val="20"/>
          <w:szCs w:val="20"/>
          <w:lang w:eastAsia="en-AU" w:bidi="ar-SA"/>
        </w:rPr>
        <w:t xml:space="preserve"> be kept at certain temperatures to:</w:t>
      </w:r>
    </w:p>
    <w:p w14:paraId="3D30FC5F" w14:textId="77777777" w:rsidR="00796E7C" w:rsidRPr="00CE0905" w:rsidRDefault="00796E7C" w:rsidP="00796E7C">
      <w:pPr>
        <w:numPr>
          <w:ilvl w:val="0"/>
          <w:numId w:val="17"/>
        </w:numPr>
        <w:tabs>
          <w:tab w:val="left" w:pos="1701"/>
        </w:tabs>
        <w:spacing w:before="60" w:after="60"/>
        <w:ind w:left="2268" w:hanging="567"/>
        <w:rPr>
          <w:rFonts w:cs="Arial"/>
          <w:iCs/>
          <w:sz w:val="20"/>
          <w:szCs w:val="20"/>
          <w:lang w:eastAsia="en-AU" w:bidi="ar-SA"/>
        </w:rPr>
      </w:pPr>
      <w:r w:rsidRPr="00CE0905">
        <w:rPr>
          <w:rFonts w:cs="Arial"/>
          <w:iCs/>
          <w:sz w:val="20"/>
          <w:szCs w:val="20"/>
          <w:lang w:eastAsia="en-AU" w:bidi="ar-SA"/>
        </w:rPr>
        <w:t>minimise the growth of any pathogenic microorganisms that may be present in the food; or</w:t>
      </w:r>
    </w:p>
    <w:p w14:paraId="1B4EAA72" w14:textId="77777777" w:rsidR="00796E7C" w:rsidRPr="00CE0905" w:rsidRDefault="00796E7C" w:rsidP="00796E7C">
      <w:pPr>
        <w:numPr>
          <w:ilvl w:val="0"/>
          <w:numId w:val="17"/>
        </w:numPr>
        <w:tabs>
          <w:tab w:val="left" w:pos="1701"/>
        </w:tabs>
        <w:spacing w:before="60" w:after="60"/>
        <w:ind w:left="2268" w:hanging="567"/>
        <w:rPr>
          <w:rFonts w:cs="Arial"/>
          <w:iCs/>
          <w:sz w:val="20"/>
          <w:szCs w:val="20"/>
          <w:lang w:eastAsia="en-AU" w:bidi="ar-SA"/>
        </w:rPr>
      </w:pPr>
      <w:r w:rsidRPr="00CE0905">
        <w:rPr>
          <w:rFonts w:cs="Arial"/>
          <w:iCs/>
          <w:sz w:val="20"/>
          <w:szCs w:val="20"/>
          <w:lang w:eastAsia="en-AU" w:bidi="ar-SA"/>
        </w:rPr>
        <w:t>prevent the formation of toxins in the food.</w:t>
      </w:r>
    </w:p>
    <w:p w14:paraId="33ED9A67" w14:textId="77777777" w:rsidR="00796E7C" w:rsidRPr="00CE0905" w:rsidRDefault="00796E7C" w:rsidP="00796E7C">
      <w:pPr>
        <w:tabs>
          <w:tab w:val="left" w:pos="1701"/>
        </w:tabs>
        <w:spacing w:before="120" w:after="120"/>
        <w:ind w:left="1701"/>
        <w:rPr>
          <w:rFonts w:cs="Arial"/>
          <w:iCs/>
          <w:sz w:val="20"/>
          <w:szCs w:val="22"/>
          <w:lang w:eastAsia="en-AU" w:bidi="ar-SA"/>
        </w:rPr>
      </w:pPr>
      <w:r w:rsidRPr="00CE0905">
        <w:rPr>
          <w:rFonts w:cs="Arial"/>
          <w:b/>
          <w:i/>
          <w:iCs/>
          <w:sz w:val="20"/>
          <w:szCs w:val="22"/>
          <w:lang w:eastAsia="en-AU" w:bidi="ar-SA"/>
        </w:rPr>
        <w:t>prescribed activity</w:t>
      </w:r>
      <w:r w:rsidRPr="00CE0905">
        <w:rPr>
          <w:rFonts w:cs="Arial"/>
          <w:iCs/>
          <w:sz w:val="20"/>
          <w:szCs w:val="20"/>
          <w:lang w:eastAsia="en-AU" w:bidi="ar-SA"/>
        </w:rPr>
        <w:t>—see</w:t>
      </w:r>
      <w:r w:rsidRPr="00CE0905">
        <w:rPr>
          <w:rFonts w:cs="Arial"/>
          <w:b/>
          <w:i/>
          <w:iCs/>
          <w:sz w:val="20"/>
          <w:szCs w:val="20"/>
          <w:lang w:eastAsia="en-AU" w:bidi="ar-SA"/>
        </w:rPr>
        <w:t xml:space="preserve"> </w:t>
      </w:r>
      <w:r w:rsidRPr="00CE0905">
        <w:rPr>
          <w:rFonts w:cs="Arial"/>
          <w:iCs/>
          <w:sz w:val="20"/>
          <w:szCs w:val="22"/>
          <w:lang w:eastAsia="en-AU" w:bidi="ar-SA"/>
        </w:rPr>
        <w:t>3.2.2A—5.</w:t>
      </w:r>
    </w:p>
    <w:p w14:paraId="3D4923BB" w14:textId="77777777" w:rsidR="00796E7C" w:rsidRPr="00CE0905" w:rsidRDefault="00796E7C" w:rsidP="00796E7C">
      <w:pPr>
        <w:tabs>
          <w:tab w:val="left" w:pos="1701"/>
        </w:tabs>
        <w:spacing w:before="120" w:after="120"/>
        <w:ind w:left="1701"/>
        <w:rPr>
          <w:rFonts w:cs="Arial"/>
          <w:iCs/>
          <w:sz w:val="20"/>
          <w:szCs w:val="20"/>
          <w:lang w:eastAsia="en-AU" w:bidi="ar-SA"/>
        </w:rPr>
      </w:pPr>
      <w:r w:rsidRPr="00CE0905">
        <w:rPr>
          <w:rFonts w:cs="Arial"/>
          <w:b/>
          <w:i/>
          <w:iCs/>
          <w:sz w:val="20"/>
          <w:szCs w:val="20"/>
          <w:lang w:eastAsia="en-AU" w:bidi="ar-SA"/>
        </w:rPr>
        <w:t xml:space="preserve">process, </w:t>
      </w:r>
      <w:r w:rsidRPr="00CE0905">
        <w:rPr>
          <w:rFonts w:cs="Arial"/>
          <w:iCs/>
          <w:sz w:val="20"/>
          <w:szCs w:val="20"/>
          <w:lang w:eastAsia="en-AU" w:bidi="ar-SA"/>
        </w:rPr>
        <w:t>in relation to food, means activity conducted to prepare food for sale and includes chopping, cooking, drying, fermenting, heating, thawing and washing, or a combination of these activities.</w:t>
      </w:r>
      <w:r w:rsidRPr="00CE0905">
        <w:rPr>
          <w:rFonts w:cs="Arial"/>
          <w:b/>
          <w:i/>
          <w:iCs/>
          <w:sz w:val="20"/>
          <w:szCs w:val="20"/>
          <w:lang w:eastAsia="en-AU" w:bidi="ar-SA"/>
        </w:rPr>
        <w:t xml:space="preserve"> </w:t>
      </w:r>
    </w:p>
    <w:p w14:paraId="39EC8D42" w14:textId="77777777" w:rsidR="00796E7C" w:rsidRPr="00CE0905" w:rsidRDefault="00796E7C" w:rsidP="00796E7C">
      <w:pPr>
        <w:tabs>
          <w:tab w:val="left" w:pos="1701"/>
        </w:tabs>
        <w:spacing w:before="120" w:after="120"/>
        <w:ind w:left="1701"/>
        <w:rPr>
          <w:rFonts w:cs="Arial"/>
          <w:iCs/>
          <w:sz w:val="20"/>
          <w:szCs w:val="20"/>
          <w:lang w:eastAsia="en-AU" w:bidi="ar-SA"/>
        </w:rPr>
      </w:pPr>
      <w:r w:rsidRPr="00CE0905">
        <w:rPr>
          <w:rFonts w:cs="Arial"/>
          <w:b/>
          <w:i/>
          <w:iCs/>
          <w:sz w:val="20"/>
          <w:szCs w:val="20"/>
          <w:lang w:eastAsia="en-AU" w:bidi="ar-SA"/>
        </w:rPr>
        <w:t xml:space="preserve">ready-to-eat food </w:t>
      </w:r>
      <w:r w:rsidRPr="00CE0905">
        <w:rPr>
          <w:rFonts w:cs="Arial"/>
          <w:iCs/>
          <w:sz w:val="20"/>
          <w:szCs w:val="20"/>
          <w:lang w:eastAsia="en-AU" w:bidi="ar-SA"/>
        </w:rPr>
        <w:t>means food that is ordinarily consumed in the same state as that in which it is sold, but does not include:</w:t>
      </w:r>
    </w:p>
    <w:p w14:paraId="42F3EC07" w14:textId="77777777" w:rsidR="00796E7C" w:rsidRPr="00CE0905" w:rsidRDefault="00796E7C" w:rsidP="00796E7C">
      <w:pPr>
        <w:numPr>
          <w:ilvl w:val="0"/>
          <w:numId w:val="26"/>
        </w:numPr>
        <w:tabs>
          <w:tab w:val="left" w:pos="1701"/>
        </w:tabs>
        <w:spacing w:before="60" w:after="60"/>
        <w:ind w:left="2268" w:hanging="567"/>
        <w:rPr>
          <w:rFonts w:cs="Arial"/>
          <w:iCs/>
          <w:sz w:val="20"/>
          <w:szCs w:val="20"/>
          <w:lang w:eastAsia="en-AU" w:bidi="ar-SA"/>
        </w:rPr>
      </w:pPr>
      <w:r w:rsidRPr="00CE0905">
        <w:rPr>
          <w:rFonts w:cs="Arial"/>
          <w:iCs/>
          <w:sz w:val="20"/>
          <w:szCs w:val="20"/>
          <w:lang w:eastAsia="en-AU" w:bidi="ar-SA"/>
        </w:rPr>
        <w:t>nuts in the shell; or</w:t>
      </w:r>
    </w:p>
    <w:p w14:paraId="22B29439" w14:textId="77777777" w:rsidR="00796E7C" w:rsidRPr="00CE0905" w:rsidRDefault="00796E7C" w:rsidP="00796E7C">
      <w:pPr>
        <w:numPr>
          <w:ilvl w:val="0"/>
          <w:numId w:val="26"/>
        </w:numPr>
        <w:tabs>
          <w:tab w:val="left" w:pos="1701"/>
        </w:tabs>
        <w:spacing w:before="60" w:after="60"/>
        <w:ind w:left="2268" w:hanging="567"/>
        <w:rPr>
          <w:rFonts w:cs="Arial"/>
          <w:iCs/>
          <w:sz w:val="20"/>
          <w:szCs w:val="20"/>
          <w:lang w:eastAsia="en-AU" w:bidi="ar-SA"/>
        </w:rPr>
      </w:pPr>
      <w:r w:rsidRPr="00CE0905">
        <w:rPr>
          <w:rFonts w:cs="Arial"/>
          <w:iCs/>
          <w:sz w:val="20"/>
          <w:szCs w:val="20"/>
          <w:lang w:eastAsia="en-AU" w:bidi="ar-SA"/>
        </w:rPr>
        <w:t>whole, raw fruits; or</w:t>
      </w:r>
    </w:p>
    <w:p w14:paraId="37ED13B8" w14:textId="77777777" w:rsidR="00796E7C" w:rsidRPr="00CE0905" w:rsidRDefault="00796E7C" w:rsidP="00796E7C">
      <w:pPr>
        <w:numPr>
          <w:ilvl w:val="0"/>
          <w:numId w:val="26"/>
        </w:numPr>
        <w:tabs>
          <w:tab w:val="left" w:pos="1701"/>
        </w:tabs>
        <w:spacing w:before="60" w:after="60"/>
        <w:ind w:left="2268" w:hanging="567"/>
        <w:rPr>
          <w:rFonts w:cs="Arial"/>
          <w:iCs/>
          <w:sz w:val="20"/>
          <w:szCs w:val="20"/>
          <w:lang w:eastAsia="en-AU" w:bidi="ar-SA"/>
        </w:rPr>
      </w:pPr>
      <w:r w:rsidRPr="00CE0905">
        <w:rPr>
          <w:rFonts w:cs="Arial"/>
          <w:iCs/>
          <w:sz w:val="20"/>
          <w:szCs w:val="20"/>
          <w:lang w:eastAsia="en-AU" w:bidi="ar-SA"/>
        </w:rPr>
        <w:t xml:space="preserve">vegetables that are intended for hulling, peeling or washing by the </w:t>
      </w:r>
      <w:r w:rsidRPr="00CE0905">
        <w:rPr>
          <w:rFonts w:cs="Arial"/>
          <w:iCs/>
          <w:sz w:val="20"/>
          <w:szCs w:val="20"/>
          <w:lang w:eastAsia="en-AU" w:bidi="ar-SA"/>
        </w:rPr>
        <w:lastRenderedPageBreak/>
        <w:t>consumer.</w:t>
      </w:r>
    </w:p>
    <w:p w14:paraId="1D1A387C" w14:textId="77777777" w:rsidR="00796E7C" w:rsidRPr="00CE0905" w:rsidRDefault="00796E7C" w:rsidP="00796E7C">
      <w:pPr>
        <w:tabs>
          <w:tab w:val="left" w:pos="1134"/>
        </w:tabs>
        <w:spacing w:before="120" w:after="120"/>
        <w:ind w:left="851" w:hanging="851"/>
        <w:rPr>
          <w:rFonts w:cs="Arial"/>
          <w:iCs/>
          <w:sz w:val="16"/>
          <w:szCs w:val="22"/>
          <w:lang w:eastAsia="en-AU" w:bidi="ar-SA"/>
        </w:rPr>
      </w:pPr>
      <w:r w:rsidRPr="00CE0905">
        <w:rPr>
          <w:rFonts w:cs="Arial"/>
          <w:b/>
          <w:i/>
          <w:iCs/>
          <w:sz w:val="16"/>
          <w:szCs w:val="22"/>
          <w:lang w:eastAsia="en-AU" w:bidi="ar-SA"/>
        </w:rPr>
        <w:t>Note 1</w:t>
      </w:r>
      <w:r w:rsidRPr="00CE0905">
        <w:rPr>
          <w:rFonts w:cs="Arial"/>
          <w:iCs/>
          <w:sz w:val="16"/>
          <w:szCs w:val="22"/>
          <w:lang w:eastAsia="en-AU" w:bidi="ar-SA"/>
        </w:rPr>
        <w:tab/>
        <w:t>In this Code (see section 1.1.2—2):</w:t>
      </w:r>
    </w:p>
    <w:p w14:paraId="11F5C132" w14:textId="77777777" w:rsidR="00796E7C" w:rsidRPr="00CE0905" w:rsidRDefault="00796E7C" w:rsidP="00796E7C">
      <w:pPr>
        <w:tabs>
          <w:tab w:val="left" w:pos="1134"/>
        </w:tabs>
        <w:spacing w:before="120" w:after="120"/>
        <w:ind w:left="851" w:hanging="851"/>
        <w:rPr>
          <w:rFonts w:cs="Arial"/>
          <w:iCs/>
          <w:sz w:val="16"/>
          <w:szCs w:val="22"/>
          <w:lang w:eastAsia="en-AU" w:bidi="ar-SA"/>
        </w:rPr>
      </w:pPr>
      <w:r w:rsidRPr="00CE0905">
        <w:rPr>
          <w:rFonts w:cs="Arial"/>
          <w:b/>
          <w:i/>
          <w:iCs/>
          <w:sz w:val="16"/>
          <w:szCs w:val="16"/>
          <w:lang w:eastAsia="en-AU" w:bidi="ar-SA"/>
        </w:rPr>
        <w:t xml:space="preserve"> </w:t>
      </w:r>
      <w:r w:rsidRPr="00CE0905">
        <w:rPr>
          <w:rFonts w:cs="Arial"/>
          <w:b/>
          <w:i/>
          <w:iCs/>
          <w:sz w:val="16"/>
          <w:szCs w:val="16"/>
          <w:lang w:eastAsia="en-AU" w:bidi="ar-SA"/>
        </w:rPr>
        <w:tab/>
      </w:r>
      <w:r w:rsidRPr="00CE0905">
        <w:rPr>
          <w:rFonts w:cs="Arial"/>
          <w:b/>
          <w:i/>
          <w:iCs/>
          <w:sz w:val="16"/>
          <w:szCs w:val="22"/>
          <w:lang w:eastAsia="en-AU" w:bidi="ar-SA"/>
        </w:rPr>
        <w:t>application Act</w:t>
      </w:r>
      <w:r w:rsidRPr="00CE0905">
        <w:rPr>
          <w:rFonts w:cs="Arial"/>
          <w:b/>
          <w:i/>
          <w:iCs/>
          <w:sz w:val="16"/>
          <w:szCs w:val="16"/>
          <w:lang w:eastAsia="en-AU" w:bidi="ar-SA"/>
        </w:rPr>
        <w:t xml:space="preserve"> </w:t>
      </w:r>
      <w:r w:rsidRPr="00CE0905">
        <w:rPr>
          <w:rFonts w:cs="Arial"/>
          <w:iCs/>
          <w:sz w:val="16"/>
          <w:szCs w:val="22"/>
          <w:lang w:eastAsia="en-AU" w:bidi="ar-SA"/>
        </w:rPr>
        <w:t>means an Act or Ordinance of a *jurisdiction under which the requirements of this Code are applied in the jurisdiction.</w:t>
      </w:r>
    </w:p>
    <w:p w14:paraId="1C014DF8" w14:textId="77777777" w:rsidR="00796E7C" w:rsidRPr="00CE0905" w:rsidRDefault="00796E7C" w:rsidP="00796E7C">
      <w:pPr>
        <w:tabs>
          <w:tab w:val="left" w:pos="1134"/>
        </w:tabs>
        <w:spacing w:before="120" w:after="120"/>
        <w:ind w:left="851" w:hanging="851"/>
        <w:rPr>
          <w:rFonts w:cs="Arial"/>
          <w:b/>
          <w:i/>
          <w:iCs/>
          <w:sz w:val="16"/>
          <w:szCs w:val="16"/>
          <w:lang w:eastAsia="en-AU" w:bidi="ar-SA"/>
        </w:rPr>
      </w:pPr>
      <w:r w:rsidRPr="00CE0905">
        <w:rPr>
          <w:rFonts w:cs="Arial"/>
          <w:b/>
          <w:i/>
          <w:iCs/>
          <w:sz w:val="16"/>
          <w:szCs w:val="16"/>
          <w:lang w:eastAsia="en-AU" w:bidi="ar-SA"/>
        </w:rPr>
        <w:tab/>
        <w:t>authorised officer</w:t>
      </w:r>
      <w:r w:rsidRPr="00CE0905">
        <w:rPr>
          <w:rFonts w:cs="Arial"/>
          <w:iCs/>
          <w:sz w:val="16"/>
          <w:szCs w:val="16"/>
          <w:lang w:eastAsia="en-AU" w:bidi="ar-SA"/>
        </w:rPr>
        <w:t>, in relation to a jurisdiction, means a person authorised or appointed under an application Act or other legislation of the relevant *jurisdiction for the purposes of enforcement of a provision of the relevant application Act, or for purposes that include that purpose.</w:t>
      </w:r>
    </w:p>
    <w:p w14:paraId="7918DC69" w14:textId="77777777" w:rsidR="00796E7C" w:rsidRPr="00CE0905" w:rsidRDefault="00796E7C" w:rsidP="00796E7C">
      <w:pPr>
        <w:tabs>
          <w:tab w:val="left" w:pos="1134"/>
        </w:tabs>
        <w:spacing w:before="120" w:after="120"/>
        <w:ind w:left="851" w:hanging="851"/>
        <w:rPr>
          <w:rFonts w:cs="Arial"/>
          <w:iCs/>
          <w:sz w:val="16"/>
          <w:szCs w:val="16"/>
          <w:lang w:eastAsia="en-AU" w:bidi="ar-SA"/>
        </w:rPr>
      </w:pPr>
      <w:r w:rsidRPr="00CE0905">
        <w:rPr>
          <w:rFonts w:cs="Arial"/>
          <w:b/>
          <w:i/>
          <w:iCs/>
          <w:sz w:val="16"/>
          <w:szCs w:val="16"/>
          <w:lang w:eastAsia="en-AU" w:bidi="ar-SA"/>
        </w:rPr>
        <w:tab/>
      </w:r>
      <w:r w:rsidRPr="00CE0905">
        <w:rPr>
          <w:rFonts w:cs="Arial"/>
          <w:b/>
          <w:bCs/>
          <w:i/>
          <w:sz w:val="16"/>
          <w:szCs w:val="16"/>
          <w:lang w:eastAsia="en-AU" w:bidi="ar-SA"/>
        </w:rPr>
        <w:t xml:space="preserve">caterer </w:t>
      </w:r>
      <w:r w:rsidRPr="00CE0905">
        <w:rPr>
          <w:rFonts w:cs="Arial"/>
          <w:iCs/>
          <w:sz w:val="16"/>
          <w:szCs w:val="16"/>
          <w:lang w:eastAsia="en-AU" w:bidi="ar-SA"/>
        </w:rPr>
        <w:t xml:space="preserve">means a person, establishment or institution (for example, a catering establishment, a restaurant, a canteen, a school, or a hospital) which handles or offers food for immediate consumption. </w:t>
      </w:r>
    </w:p>
    <w:p w14:paraId="49CCA6A0" w14:textId="77777777" w:rsidR="00796E7C" w:rsidRPr="00CE0905" w:rsidRDefault="00796E7C" w:rsidP="00796E7C">
      <w:pPr>
        <w:tabs>
          <w:tab w:val="left" w:pos="1134"/>
        </w:tabs>
        <w:spacing w:before="120" w:after="120"/>
        <w:ind w:left="851" w:hanging="851"/>
        <w:rPr>
          <w:rFonts w:cs="Arial"/>
          <w:iCs/>
          <w:sz w:val="16"/>
          <w:szCs w:val="16"/>
          <w:lang w:eastAsia="en-AU" w:bidi="ar-SA"/>
        </w:rPr>
      </w:pPr>
      <w:r w:rsidRPr="00CE0905">
        <w:rPr>
          <w:rFonts w:cs="Arial"/>
          <w:iCs/>
          <w:sz w:val="16"/>
          <w:szCs w:val="16"/>
          <w:lang w:eastAsia="en-AU" w:bidi="ar-SA"/>
        </w:rPr>
        <w:tab/>
      </w:r>
      <w:r w:rsidRPr="00CE0905">
        <w:rPr>
          <w:rFonts w:cs="Arial"/>
          <w:b/>
          <w:i/>
          <w:iCs/>
          <w:sz w:val="16"/>
          <w:szCs w:val="16"/>
          <w:lang w:eastAsia="en-AU" w:bidi="ar-SA"/>
        </w:rPr>
        <w:t xml:space="preserve">fund raising event </w:t>
      </w:r>
      <w:r w:rsidRPr="00CE0905">
        <w:rPr>
          <w:rFonts w:cs="Arial"/>
          <w:iCs/>
          <w:sz w:val="16"/>
          <w:szCs w:val="16"/>
          <w:lang w:eastAsia="en-AU" w:bidi="ar-SA"/>
        </w:rPr>
        <w:t>means an event that raises funds solely for a community or charitable cause and not for personal financial gain.</w:t>
      </w:r>
    </w:p>
    <w:p w14:paraId="4B2112FA" w14:textId="77777777" w:rsidR="00796E7C" w:rsidRPr="00CE0905" w:rsidRDefault="00796E7C" w:rsidP="00796E7C">
      <w:pPr>
        <w:tabs>
          <w:tab w:val="left" w:pos="1134"/>
        </w:tabs>
        <w:spacing w:before="120" w:after="120"/>
        <w:ind w:left="851" w:hanging="851"/>
        <w:rPr>
          <w:rFonts w:cs="Arial"/>
          <w:b/>
          <w:i/>
          <w:iCs/>
          <w:sz w:val="16"/>
          <w:szCs w:val="16"/>
          <w:lang w:eastAsia="en-AU" w:bidi="ar-SA"/>
        </w:rPr>
      </w:pPr>
      <w:r w:rsidRPr="00CE0905">
        <w:rPr>
          <w:rFonts w:cs="Arial"/>
          <w:b/>
          <w:bCs/>
          <w:i/>
          <w:sz w:val="20"/>
          <w:szCs w:val="20"/>
          <w:lang w:eastAsia="en-AU" w:bidi="ar-SA"/>
        </w:rPr>
        <w:tab/>
      </w:r>
      <w:r w:rsidRPr="00CE0905">
        <w:rPr>
          <w:rFonts w:cs="Arial"/>
          <w:b/>
          <w:i/>
          <w:iCs/>
          <w:sz w:val="16"/>
          <w:szCs w:val="16"/>
          <w:lang w:eastAsia="en-AU" w:bidi="ar-SA"/>
        </w:rPr>
        <w:t>jurisdiction</w:t>
      </w:r>
      <w:r w:rsidRPr="00CE0905">
        <w:rPr>
          <w:rFonts w:cs="Arial"/>
          <w:iCs/>
          <w:sz w:val="16"/>
          <w:szCs w:val="16"/>
          <w:lang w:eastAsia="en-AU" w:bidi="ar-SA"/>
        </w:rPr>
        <w:t xml:space="preserve"> means a State or Territory of Australia, the Commonwealth of </w:t>
      </w:r>
      <w:r w:rsidRPr="00CE0905">
        <w:rPr>
          <w:rFonts w:cs="Arial"/>
          <w:i/>
          <w:iCs/>
          <w:sz w:val="16"/>
          <w:szCs w:val="16"/>
          <w:lang w:eastAsia="en-AU" w:bidi="ar-SA"/>
        </w:rPr>
        <w:t>Australia, or New Zealand</w:t>
      </w:r>
      <w:r w:rsidRPr="00CE0905">
        <w:rPr>
          <w:rFonts w:cs="Arial"/>
          <w:b/>
          <w:i/>
          <w:iCs/>
          <w:sz w:val="16"/>
          <w:szCs w:val="16"/>
          <w:lang w:eastAsia="en-AU" w:bidi="ar-SA"/>
        </w:rPr>
        <w:t>.</w:t>
      </w:r>
    </w:p>
    <w:p w14:paraId="4EE1EC44" w14:textId="77777777" w:rsidR="00796E7C" w:rsidRPr="00CE0905" w:rsidRDefault="00796E7C" w:rsidP="00796E7C">
      <w:pPr>
        <w:tabs>
          <w:tab w:val="left" w:pos="1134"/>
        </w:tabs>
        <w:spacing w:before="120" w:after="120"/>
        <w:ind w:left="851" w:hanging="851"/>
        <w:rPr>
          <w:rFonts w:cs="Arial"/>
          <w:b/>
          <w:i/>
          <w:iCs/>
          <w:sz w:val="16"/>
          <w:szCs w:val="16"/>
          <w:lang w:eastAsia="en-AU" w:bidi="ar-SA"/>
        </w:rPr>
      </w:pPr>
      <w:r w:rsidRPr="00CE0905">
        <w:rPr>
          <w:rFonts w:cs="Arial"/>
          <w:b/>
          <w:i/>
          <w:iCs/>
          <w:sz w:val="16"/>
          <w:szCs w:val="16"/>
          <w:lang w:eastAsia="en-AU" w:bidi="ar-SA"/>
        </w:rPr>
        <w:tab/>
        <w:t xml:space="preserve">relevant authority </w:t>
      </w:r>
      <w:r w:rsidRPr="00CE0905">
        <w:rPr>
          <w:rFonts w:cs="Arial"/>
          <w:iCs/>
          <w:sz w:val="16"/>
          <w:szCs w:val="16"/>
          <w:lang w:eastAsia="en-AU" w:bidi="ar-SA"/>
        </w:rPr>
        <w:t>means an authority responsible for the enforcement of the relevant application Act.</w:t>
      </w:r>
      <w:r w:rsidRPr="00CE0905">
        <w:rPr>
          <w:rFonts w:cs="Arial"/>
          <w:b/>
          <w:i/>
          <w:iCs/>
          <w:sz w:val="16"/>
          <w:szCs w:val="16"/>
          <w:lang w:eastAsia="en-AU" w:bidi="ar-SA"/>
        </w:rPr>
        <w:tab/>
      </w:r>
    </w:p>
    <w:p w14:paraId="4C31D8AD" w14:textId="77777777" w:rsidR="00796E7C" w:rsidRPr="00CE0905" w:rsidRDefault="00796E7C" w:rsidP="00796E7C">
      <w:pPr>
        <w:tabs>
          <w:tab w:val="left" w:pos="1134"/>
        </w:tabs>
        <w:spacing w:before="120" w:after="120"/>
        <w:ind w:left="851" w:hanging="851"/>
        <w:rPr>
          <w:rFonts w:cs="Arial"/>
          <w:iCs/>
          <w:sz w:val="16"/>
          <w:szCs w:val="22"/>
          <w:lang w:eastAsia="en-AU" w:bidi="ar-SA"/>
        </w:rPr>
      </w:pPr>
      <w:r w:rsidRPr="00CE0905">
        <w:rPr>
          <w:rFonts w:cs="Arial"/>
          <w:b/>
          <w:i/>
          <w:iCs/>
          <w:sz w:val="16"/>
          <w:szCs w:val="22"/>
          <w:lang w:eastAsia="en-AU" w:bidi="ar-SA"/>
        </w:rPr>
        <w:t>Note 2</w:t>
      </w:r>
      <w:r w:rsidRPr="00CE0905">
        <w:rPr>
          <w:rFonts w:cs="Arial"/>
          <w:iCs/>
          <w:sz w:val="16"/>
          <w:szCs w:val="22"/>
          <w:lang w:eastAsia="en-AU" w:bidi="ar-SA"/>
        </w:rPr>
        <w:tab/>
        <w:t>In this Chapter (see clause 2 of Standard 3.1.1):</w:t>
      </w:r>
    </w:p>
    <w:p w14:paraId="2F5234DF" w14:textId="77777777" w:rsidR="00796E7C" w:rsidRPr="00CE0905" w:rsidRDefault="00796E7C" w:rsidP="00796E7C">
      <w:pPr>
        <w:tabs>
          <w:tab w:val="left" w:pos="1134"/>
        </w:tabs>
        <w:spacing w:before="120" w:after="120"/>
        <w:ind w:left="851" w:hanging="851"/>
        <w:rPr>
          <w:rFonts w:cs="Arial"/>
          <w:iCs/>
          <w:sz w:val="16"/>
          <w:szCs w:val="16"/>
          <w:lang w:eastAsia="en-AU" w:bidi="ar-SA"/>
        </w:rPr>
      </w:pPr>
      <w:r w:rsidRPr="00CE0905">
        <w:rPr>
          <w:rFonts w:cs="Arial"/>
          <w:b/>
          <w:i/>
          <w:iCs/>
          <w:sz w:val="16"/>
          <w:szCs w:val="16"/>
          <w:lang w:eastAsia="en-AU" w:bidi="ar-SA"/>
        </w:rPr>
        <w:tab/>
        <w:t xml:space="preserve">food business </w:t>
      </w:r>
      <w:r w:rsidRPr="00CE0905">
        <w:rPr>
          <w:rFonts w:cs="Arial"/>
          <w:iCs/>
          <w:sz w:val="16"/>
          <w:szCs w:val="16"/>
          <w:lang w:eastAsia="en-AU" w:bidi="ar-SA"/>
        </w:rPr>
        <w:t>means a business, enterprise or activity (other than primary food production) that involves –</w:t>
      </w:r>
    </w:p>
    <w:p w14:paraId="7FC3288C" w14:textId="77777777" w:rsidR="00796E7C" w:rsidRPr="00CE0905" w:rsidRDefault="00796E7C" w:rsidP="00796E7C">
      <w:pPr>
        <w:tabs>
          <w:tab w:val="left" w:pos="1134"/>
        </w:tabs>
        <w:spacing w:before="120" w:after="120"/>
        <w:ind w:left="851" w:hanging="851"/>
        <w:rPr>
          <w:rFonts w:cs="Arial"/>
          <w:iCs/>
          <w:sz w:val="16"/>
          <w:szCs w:val="16"/>
          <w:lang w:eastAsia="en-AU" w:bidi="ar-SA"/>
        </w:rPr>
      </w:pPr>
      <w:r w:rsidRPr="00CE0905">
        <w:rPr>
          <w:rFonts w:cs="Arial"/>
          <w:b/>
          <w:i/>
          <w:iCs/>
          <w:sz w:val="16"/>
          <w:szCs w:val="16"/>
          <w:lang w:eastAsia="en-AU" w:bidi="ar-SA"/>
        </w:rPr>
        <w:tab/>
      </w:r>
      <w:r w:rsidRPr="00CE0905">
        <w:rPr>
          <w:rFonts w:cs="Arial"/>
          <w:iCs/>
          <w:sz w:val="16"/>
          <w:szCs w:val="16"/>
          <w:lang w:eastAsia="en-AU" w:bidi="ar-SA"/>
        </w:rPr>
        <w:t>(a) the handling of food intended for sale; or</w:t>
      </w:r>
    </w:p>
    <w:p w14:paraId="7CF78562" w14:textId="77777777" w:rsidR="00796E7C" w:rsidRPr="00CE0905" w:rsidRDefault="00796E7C" w:rsidP="00796E7C">
      <w:pPr>
        <w:tabs>
          <w:tab w:val="left" w:pos="1134"/>
        </w:tabs>
        <w:spacing w:before="120" w:after="120"/>
        <w:ind w:left="851" w:hanging="851"/>
        <w:rPr>
          <w:rFonts w:cs="Arial"/>
          <w:iCs/>
          <w:sz w:val="16"/>
          <w:szCs w:val="16"/>
          <w:lang w:eastAsia="en-AU" w:bidi="ar-SA"/>
        </w:rPr>
      </w:pPr>
      <w:r w:rsidRPr="00CE0905">
        <w:rPr>
          <w:rFonts w:cs="Arial"/>
          <w:iCs/>
          <w:sz w:val="16"/>
          <w:szCs w:val="16"/>
          <w:lang w:eastAsia="en-AU" w:bidi="ar-SA"/>
        </w:rPr>
        <w:tab/>
        <w:t>(b) the sale of food;</w:t>
      </w:r>
    </w:p>
    <w:p w14:paraId="3EC4EAA0" w14:textId="77777777" w:rsidR="00796E7C" w:rsidRPr="00CE0905" w:rsidRDefault="00796E7C" w:rsidP="00796E7C">
      <w:pPr>
        <w:tabs>
          <w:tab w:val="left" w:pos="1134"/>
        </w:tabs>
        <w:spacing w:before="120" w:after="120"/>
        <w:ind w:left="851" w:hanging="851"/>
        <w:rPr>
          <w:rFonts w:cs="Arial"/>
          <w:b/>
          <w:iCs/>
          <w:sz w:val="16"/>
          <w:szCs w:val="16"/>
          <w:lang w:eastAsia="en-AU" w:bidi="ar-SA"/>
        </w:rPr>
      </w:pPr>
      <w:r w:rsidRPr="00CE0905">
        <w:rPr>
          <w:rFonts w:cs="Arial"/>
          <w:iCs/>
          <w:sz w:val="16"/>
          <w:szCs w:val="16"/>
          <w:lang w:eastAsia="en-AU" w:bidi="ar-SA"/>
        </w:rPr>
        <w:tab/>
        <w:t>regardless of whether the business, enterprise or activity concerned is of a commercial, charitable or community nature or whether it involves the handling or sale of food on one occasion only.</w:t>
      </w:r>
    </w:p>
    <w:p w14:paraId="2369D6DD" w14:textId="77777777" w:rsidR="00796E7C" w:rsidRPr="00CE0905" w:rsidRDefault="00796E7C" w:rsidP="00796E7C">
      <w:pPr>
        <w:tabs>
          <w:tab w:val="left" w:pos="1134"/>
        </w:tabs>
        <w:spacing w:before="120" w:after="120"/>
        <w:ind w:left="851" w:hanging="851"/>
        <w:rPr>
          <w:rFonts w:cs="Arial"/>
          <w:iCs/>
          <w:sz w:val="16"/>
          <w:szCs w:val="16"/>
          <w:lang w:eastAsia="en-AU" w:bidi="ar-SA"/>
        </w:rPr>
      </w:pPr>
      <w:r w:rsidRPr="00CE0905">
        <w:rPr>
          <w:rFonts w:cs="Arial"/>
          <w:b/>
          <w:i/>
          <w:iCs/>
          <w:sz w:val="16"/>
          <w:szCs w:val="16"/>
          <w:lang w:eastAsia="en-AU" w:bidi="ar-SA"/>
        </w:rPr>
        <w:tab/>
        <w:t xml:space="preserve">food premises </w:t>
      </w:r>
      <w:r w:rsidRPr="00CE0905">
        <w:rPr>
          <w:rFonts w:cs="Arial"/>
          <w:iCs/>
          <w:sz w:val="16"/>
          <w:szCs w:val="16"/>
          <w:lang w:eastAsia="en-AU" w:bidi="ar-SA"/>
        </w:rPr>
        <w:t>means any premises including land, vehicles, parts of structures, tents, stalls and other temporary structures, boats, pontoons and any other place declared by the relevant authority to be premises under the Food Act kept or used for the handling of food for sale, regardless of whether those premises are owned by the proprietor, including premises used principally as a private dwelling, but does not mean food vending machines or vehicles used only to transport food.</w:t>
      </w:r>
    </w:p>
    <w:p w14:paraId="2E64B4DA" w14:textId="77777777" w:rsidR="00796E7C" w:rsidRPr="00CE0905" w:rsidRDefault="00796E7C" w:rsidP="00796E7C">
      <w:pPr>
        <w:tabs>
          <w:tab w:val="left" w:pos="1134"/>
        </w:tabs>
        <w:spacing w:before="120" w:after="120"/>
        <w:ind w:left="851" w:hanging="851"/>
        <w:rPr>
          <w:rFonts w:cs="Arial"/>
          <w:sz w:val="16"/>
          <w:szCs w:val="16"/>
          <w:lang w:eastAsia="en-AU" w:bidi="ar-SA"/>
        </w:rPr>
      </w:pPr>
      <w:r w:rsidRPr="00CE0905">
        <w:rPr>
          <w:rFonts w:cs="Arial"/>
          <w:b/>
          <w:bCs/>
          <w:i/>
          <w:iCs/>
          <w:sz w:val="16"/>
          <w:szCs w:val="16"/>
          <w:lang w:eastAsia="en-AU" w:bidi="ar-SA"/>
        </w:rPr>
        <w:tab/>
        <w:t xml:space="preserve">handling </w:t>
      </w:r>
      <w:r w:rsidRPr="00CE0905">
        <w:rPr>
          <w:rFonts w:cs="Arial"/>
          <w:sz w:val="16"/>
          <w:szCs w:val="16"/>
          <w:lang w:eastAsia="en-AU" w:bidi="ar-SA"/>
        </w:rPr>
        <w:t>of food</w:t>
      </w:r>
      <w:r w:rsidRPr="00CE0905">
        <w:rPr>
          <w:rFonts w:cs="Arial"/>
          <w:b/>
          <w:bCs/>
          <w:i/>
          <w:iCs/>
          <w:sz w:val="16"/>
          <w:szCs w:val="16"/>
          <w:lang w:eastAsia="en-AU" w:bidi="ar-SA"/>
        </w:rPr>
        <w:t xml:space="preserve"> </w:t>
      </w:r>
      <w:r w:rsidRPr="00CE0905">
        <w:rPr>
          <w:rFonts w:cs="Arial"/>
          <w:sz w:val="16"/>
          <w:szCs w:val="16"/>
          <w:lang w:eastAsia="en-AU" w:bidi="ar-SA"/>
        </w:rPr>
        <w:t>includes the making, manufacturing, producing, collecting, extracting, processing, storing, transporting, delivering, preparing, treating, preserving, packing, cooking, thawing, serving or displaying of food.</w:t>
      </w:r>
    </w:p>
    <w:p w14:paraId="687ADD7E"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3.2.2A—3</w:t>
      </w:r>
      <w:r w:rsidRPr="00CE0905">
        <w:rPr>
          <w:rFonts w:cs="Arial"/>
          <w:b/>
          <w:bCs/>
          <w:kern w:val="32"/>
          <w:lang w:eastAsia="en-AU" w:bidi="ar-SA"/>
        </w:rPr>
        <w:tab/>
        <w:t>Application of this Standard</w:t>
      </w:r>
    </w:p>
    <w:p w14:paraId="4C9023DB" w14:textId="77777777" w:rsidR="00796E7C" w:rsidRPr="00CE0905" w:rsidRDefault="00796E7C" w:rsidP="00796E7C">
      <w:pPr>
        <w:tabs>
          <w:tab w:val="left" w:pos="1134"/>
        </w:tabs>
        <w:spacing w:before="120" w:after="120"/>
        <w:ind w:left="1701" w:hanging="1701"/>
        <w:rPr>
          <w:rFonts w:cs="Arial"/>
          <w:iCs/>
          <w:sz w:val="20"/>
          <w:szCs w:val="22"/>
          <w:lang w:eastAsia="en-AU" w:bidi="ar-SA"/>
        </w:rPr>
      </w:pPr>
      <w:r w:rsidRPr="00CE0905">
        <w:rPr>
          <w:rFonts w:cs="Arial"/>
          <w:iCs/>
          <w:sz w:val="20"/>
          <w:szCs w:val="22"/>
          <w:lang w:eastAsia="en-AU" w:bidi="ar-SA"/>
        </w:rPr>
        <w:tab/>
        <w:t>(1)</w:t>
      </w:r>
      <w:r w:rsidRPr="00CE0905">
        <w:rPr>
          <w:rFonts w:cs="Arial"/>
          <w:iCs/>
          <w:sz w:val="20"/>
          <w:szCs w:val="22"/>
          <w:lang w:eastAsia="en-AU" w:bidi="ar-SA"/>
        </w:rPr>
        <w:tab/>
        <w:t xml:space="preserve">This Standard applies to a food business in Australia that is a </w:t>
      </w:r>
      <w:r w:rsidRPr="00CE0905">
        <w:rPr>
          <w:rFonts w:cs="Arial"/>
          <w:iCs/>
          <w:sz w:val="20"/>
          <w:szCs w:val="20"/>
          <w:lang w:eastAsia="en-AU" w:bidi="ar-SA"/>
        </w:rPr>
        <w:t>category one business or a category two business</w:t>
      </w:r>
      <w:r w:rsidRPr="00CE0905">
        <w:rPr>
          <w:rFonts w:cs="Arial"/>
          <w:iCs/>
          <w:sz w:val="20"/>
          <w:szCs w:val="22"/>
          <w:lang w:eastAsia="en-AU" w:bidi="ar-SA"/>
        </w:rPr>
        <w:t>.</w:t>
      </w:r>
    </w:p>
    <w:p w14:paraId="50BC76C7" w14:textId="77777777" w:rsidR="00796E7C" w:rsidRPr="00CE0905" w:rsidRDefault="00796E7C" w:rsidP="00796E7C">
      <w:pPr>
        <w:tabs>
          <w:tab w:val="left" w:pos="1134"/>
        </w:tabs>
        <w:spacing w:before="120" w:after="120"/>
        <w:ind w:left="1701" w:hanging="1701"/>
        <w:rPr>
          <w:rFonts w:cs="Arial"/>
          <w:iCs/>
          <w:sz w:val="20"/>
          <w:szCs w:val="22"/>
          <w:lang w:eastAsia="en-AU" w:bidi="ar-SA"/>
        </w:rPr>
      </w:pPr>
      <w:r w:rsidRPr="00CE0905">
        <w:rPr>
          <w:rFonts w:cs="Arial"/>
          <w:iCs/>
          <w:sz w:val="20"/>
          <w:szCs w:val="22"/>
          <w:lang w:eastAsia="en-AU" w:bidi="ar-SA"/>
        </w:rPr>
        <w:tab/>
        <w:t>(2)</w:t>
      </w:r>
      <w:r w:rsidRPr="00CE0905">
        <w:rPr>
          <w:rFonts w:cs="Arial"/>
          <w:iCs/>
          <w:sz w:val="20"/>
          <w:szCs w:val="22"/>
          <w:lang w:eastAsia="en-AU" w:bidi="ar-SA"/>
        </w:rPr>
        <w:tab/>
        <w:t>This Standard does not apply to the handling of food for or at a *fund raising event</w:t>
      </w:r>
      <w:r w:rsidRPr="00CE0905">
        <w:rPr>
          <w:rFonts w:cs="Arial"/>
          <w:iCs/>
          <w:sz w:val="20"/>
          <w:szCs w:val="22"/>
          <w:lang w:eastAsia="en-GB" w:bidi="ar-SA"/>
        </w:rPr>
        <w:t>.</w:t>
      </w:r>
    </w:p>
    <w:p w14:paraId="6925918C"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3.2.2A—4</w:t>
      </w:r>
      <w:r w:rsidRPr="00CE0905">
        <w:rPr>
          <w:rFonts w:cs="Arial"/>
          <w:b/>
          <w:bCs/>
          <w:kern w:val="32"/>
          <w:lang w:eastAsia="en-AU" w:bidi="ar-SA"/>
        </w:rPr>
        <w:tab/>
        <w:t>Food service</w:t>
      </w:r>
      <w:r w:rsidRPr="00CE0905">
        <w:rPr>
          <w:rFonts w:cs="Arial"/>
          <w:b/>
          <w:bCs/>
          <w:kern w:val="32"/>
          <w:lang w:eastAsia="en-AU" w:bidi="ar-SA"/>
        </w:rPr>
        <w:tab/>
      </w:r>
    </w:p>
    <w:p w14:paraId="614D9F38" w14:textId="77777777" w:rsidR="00796E7C" w:rsidRPr="00CE0905" w:rsidRDefault="00796E7C" w:rsidP="00796E7C">
      <w:pPr>
        <w:tabs>
          <w:tab w:val="left" w:pos="1134"/>
        </w:tabs>
        <w:spacing w:before="120" w:after="120"/>
        <w:ind w:left="1701" w:hanging="567"/>
        <w:rPr>
          <w:rFonts w:cs="Arial"/>
          <w:sz w:val="20"/>
          <w:szCs w:val="20"/>
          <w:lang w:eastAsia="en-AU" w:bidi="ar-SA"/>
        </w:rPr>
      </w:pPr>
      <w:r w:rsidRPr="00CE0905">
        <w:rPr>
          <w:rFonts w:cs="Arial"/>
          <w:sz w:val="20"/>
          <w:szCs w:val="20"/>
          <w:lang w:eastAsia="en-AU" w:bidi="ar-SA"/>
        </w:rPr>
        <w:t>(1)</w:t>
      </w:r>
      <w:r w:rsidRPr="00CE0905">
        <w:rPr>
          <w:rFonts w:cs="Arial"/>
          <w:iCs/>
          <w:sz w:val="20"/>
          <w:szCs w:val="22"/>
          <w:lang w:eastAsia="en-AU" w:bidi="ar-SA"/>
        </w:rPr>
        <w:tab/>
      </w:r>
      <w:r w:rsidRPr="00CE0905">
        <w:rPr>
          <w:rFonts w:cs="Arial"/>
          <w:sz w:val="20"/>
          <w:szCs w:val="20"/>
          <w:lang w:eastAsia="en-AU" w:bidi="ar-SA"/>
        </w:rPr>
        <w:t xml:space="preserve">For the </w:t>
      </w:r>
      <w:r w:rsidRPr="00CE0905">
        <w:rPr>
          <w:rFonts w:cs="Arial"/>
          <w:iCs/>
          <w:sz w:val="20"/>
          <w:szCs w:val="22"/>
          <w:lang w:eastAsia="en-AU" w:bidi="ar-SA"/>
        </w:rPr>
        <w:t>purposes</w:t>
      </w:r>
      <w:r w:rsidRPr="00CE0905">
        <w:rPr>
          <w:rFonts w:cs="Arial"/>
          <w:sz w:val="20"/>
          <w:szCs w:val="20"/>
          <w:lang w:eastAsia="en-AU" w:bidi="ar-SA"/>
        </w:rPr>
        <w:t xml:space="preserve"> of this Standard, </w:t>
      </w:r>
      <w:r w:rsidRPr="00CE0905">
        <w:rPr>
          <w:rFonts w:cs="Arial"/>
          <w:b/>
          <w:bCs/>
          <w:i/>
          <w:iCs/>
          <w:sz w:val="20"/>
          <w:szCs w:val="20"/>
          <w:lang w:eastAsia="en-AU" w:bidi="ar-SA"/>
        </w:rPr>
        <w:t>food service</w:t>
      </w:r>
      <w:r w:rsidRPr="00CE0905">
        <w:rPr>
          <w:rFonts w:cs="Arial"/>
          <w:sz w:val="20"/>
          <w:szCs w:val="20"/>
          <w:lang w:eastAsia="en-AU" w:bidi="ar-SA"/>
        </w:rPr>
        <w:t xml:space="preserve"> means a food business which processes and serves ready-to-eat food direct to a consumer, whether consumed at the food premises or elsewhere.</w:t>
      </w:r>
    </w:p>
    <w:p w14:paraId="79E20EBE" w14:textId="77777777" w:rsidR="00796E7C" w:rsidRPr="00CE0905" w:rsidRDefault="00796E7C" w:rsidP="00796E7C">
      <w:pPr>
        <w:tabs>
          <w:tab w:val="left" w:pos="1134"/>
        </w:tabs>
        <w:spacing w:before="120" w:after="120"/>
        <w:ind w:left="1701" w:hanging="567"/>
        <w:rPr>
          <w:rFonts w:cs="Arial"/>
          <w:sz w:val="20"/>
          <w:szCs w:val="20"/>
          <w:lang w:eastAsia="en-AU" w:bidi="ar-SA"/>
        </w:rPr>
      </w:pPr>
      <w:r w:rsidRPr="00CE0905">
        <w:rPr>
          <w:rFonts w:cs="Arial"/>
          <w:sz w:val="20"/>
          <w:szCs w:val="20"/>
          <w:lang w:eastAsia="en-AU" w:bidi="ar-SA"/>
        </w:rPr>
        <w:t>(2)</w:t>
      </w:r>
      <w:r w:rsidRPr="00CE0905">
        <w:rPr>
          <w:rFonts w:cs="Arial"/>
          <w:iCs/>
          <w:sz w:val="20"/>
          <w:szCs w:val="22"/>
          <w:lang w:eastAsia="en-AU" w:bidi="ar-SA"/>
        </w:rPr>
        <w:tab/>
      </w:r>
      <w:r w:rsidRPr="00CE0905">
        <w:rPr>
          <w:rFonts w:cs="Arial"/>
          <w:sz w:val="20"/>
          <w:szCs w:val="20"/>
          <w:lang w:eastAsia="en-AU" w:bidi="ar-SA"/>
        </w:rPr>
        <w:t xml:space="preserve">For the purposes of subsection (1), </w:t>
      </w:r>
      <w:r w:rsidRPr="00CE0905">
        <w:rPr>
          <w:rFonts w:cs="Arial"/>
          <w:b/>
          <w:bCs/>
          <w:i/>
          <w:iCs/>
          <w:sz w:val="20"/>
          <w:szCs w:val="20"/>
          <w:lang w:eastAsia="en-AU" w:bidi="ar-SA"/>
        </w:rPr>
        <w:t>serve</w:t>
      </w:r>
      <w:r w:rsidRPr="00CE0905">
        <w:rPr>
          <w:rFonts w:cs="Arial"/>
          <w:sz w:val="20"/>
          <w:szCs w:val="20"/>
          <w:lang w:eastAsia="en-AU" w:bidi="ar-SA"/>
        </w:rPr>
        <w:t xml:space="preserve"> means the act of setting out or presenting food to or for a person to eat that food and includes the following activities:</w:t>
      </w:r>
    </w:p>
    <w:p w14:paraId="705C8256" w14:textId="77777777" w:rsidR="00796E7C" w:rsidRPr="00CE0905" w:rsidRDefault="00796E7C" w:rsidP="00796E7C">
      <w:pPr>
        <w:numPr>
          <w:ilvl w:val="0"/>
          <w:numId w:val="19"/>
        </w:numPr>
        <w:tabs>
          <w:tab w:val="left" w:pos="1701"/>
        </w:tabs>
        <w:spacing w:before="120" w:after="120"/>
        <w:ind w:left="2268" w:hanging="567"/>
        <w:rPr>
          <w:rFonts w:cs="Arial"/>
          <w:iCs/>
          <w:sz w:val="20"/>
          <w:szCs w:val="20"/>
          <w:lang w:eastAsia="en-AU" w:bidi="ar-SA"/>
        </w:rPr>
      </w:pPr>
      <w:r w:rsidRPr="00CE0905">
        <w:rPr>
          <w:rFonts w:cs="Arial"/>
          <w:iCs/>
          <w:sz w:val="20"/>
          <w:szCs w:val="20"/>
          <w:lang w:eastAsia="en-AU" w:bidi="ar-SA"/>
        </w:rPr>
        <w:t>portioning food from a bulk tray or container into single serves and placing it on plates; or</w:t>
      </w:r>
    </w:p>
    <w:p w14:paraId="28010C10" w14:textId="77777777" w:rsidR="00796E7C" w:rsidRPr="00CE0905" w:rsidRDefault="00796E7C" w:rsidP="00796E7C">
      <w:pPr>
        <w:numPr>
          <w:ilvl w:val="0"/>
          <w:numId w:val="19"/>
        </w:numPr>
        <w:tabs>
          <w:tab w:val="left" w:pos="1701"/>
        </w:tabs>
        <w:spacing w:before="120" w:after="120"/>
        <w:ind w:left="2268" w:hanging="567"/>
        <w:rPr>
          <w:rFonts w:cs="Arial"/>
          <w:iCs/>
          <w:sz w:val="20"/>
          <w:szCs w:val="20"/>
          <w:lang w:eastAsia="en-AU" w:bidi="ar-SA"/>
        </w:rPr>
      </w:pPr>
      <w:r w:rsidRPr="00CE0905">
        <w:rPr>
          <w:rFonts w:cs="Arial"/>
          <w:iCs/>
          <w:sz w:val="20"/>
          <w:szCs w:val="20"/>
          <w:lang w:eastAsia="en-AU" w:bidi="ar-SA"/>
        </w:rPr>
        <w:t>presenting food in a bain-marie or other bulk food display unit for self</w:t>
      </w:r>
      <w:r w:rsidRPr="00CE0905">
        <w:rPr>
          <w:rFonts w:cs="Arial"/>
          <w:iCs/>
          <w:sz w:val="20"/>
          <w:szCs w:val="20"/>
          <w:lang w:eastAsia="en-AU" w:bidi="ar-SA"/>
        </w:rPr>
        <w:noBreakHyphen/>
        <w:t>service; or</w:t>
      </w:r>
    </w:p>
    <w:p w14:paraId="4B388E2A" w14:textId="77777777" w:rsidR="00796E7C" w:rsidRPr="00CE0905" w:rsidRDefault="00796E7C" w:rsidP="00796E7C">
      <w:pPr>
        <w:numPr>
          <w:ilvl w:val="0"/>
          <w:numId w:val="19"/>
        </w:numPr>
        <w:tabs>
          <w:tab w:val="left" w:pos="1701"/>
        </w:tabs>
        <w:spacing w:before="120" w:after="120"/>
        <w:ind w:left="2268" w:hanging="567"/>
        <w:rPr>
          <w:rFonts w:cs="Arial"/>
          <w:iCs/>
          <w:sz w:val="20"/>
          <w:szCs w:val="20"/>
          <w:lang w:eastAsia="en-AU" w:bidi="ar-SA"/>
        </w:rPr>
      </w:pPr>
      <w:r w:rsidRPr="00CE0905">
        <w:rPr>
          <w:rFonts w:cs="Arial"/>
          <w:iCs/>
          <w:sz w:val="20"/>
          <w:szCs w:val="20"/>
          <w:lang w:eastAsia="en-AU" w:bidi="ar-SA"/>
        </w:rPr>
        <w:t>delivery of plated food.</w:t>
      </w:r>
    </w:p>
    <w:p w14:paraId="53B2BE9E"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3.2.2A—5</w:t>
      </w:r>
      <w:r w:rsidRPr="00CE0905">
        <w:rPr>
          <w:rFonts w:cs="Arial"/>
          <w:b/>
          <w:bCs/>
          <w:kern w:val="32"/>
          <w:lang w:eastAsia="en-AU" w:bidi="ar-SA"/>
        </w:rPr>
        <w:tab/>
        <w:t>Prescribed activities</w:t>
      </w:r>
      <w:r w:rsidRPr="00CE0905">
        <w:rPr>
          <w:rFonts w:cs="Arial"/>
          <w:b/>
          <w:bCs/>
          <w:kern w:val="32"/>
          <w:lang w:eastAsia="en-AU" w:bidi="ar-SA"/>
        </w:rPr>
        <w:tab/>
      </w:r>
    </w:p>
    <w:p w14:paraId="0B4799AE" w14:textId="77777777" w:rsidR="00796E7C" w:rsidRPr="00CE0905" w:rsidRDefault="00796E7C" w:rsidP="00796E7C">
      <w:pPr>
        <w:tabs>
          <w:tab w:val="left" w:pos="1134"/>
        </w:tabs>
        <w:spacing w:before="120" w:after="120"/>
        <w:ind w:left="1701"/>
        <w:rPr>
          <w:rFonts w:cs="Arial"/>
          <w:sz w:val="20"/>
          <w:szCs w:val="20"/>
          <w:lang w:eastAsia="en-AU" w:bidi="ar-SA"/>
        </w:rPr>
      </w:pPr>
      <w:r w:rsidRPr="00CE0905">
        <w:rPr>
          <w:rFonts w:cs="Arial"/>
          <w:sz w:val="20"/>
          <w:szCs w:val="20"/>
          <w:lang w:eastAsia="en-AU" w:bidi="ar-SA"/>
        </w:rPr>
        <w:t>For the purposes of this Standard, a prescribed activity is the handling by the food business of any unpackaged potentially hazardous food that:</w:t>
      </w:r>
    </w:p>
    <w:p w14:paraId="54DF595D" w14:textId="77777777" w:rsidR="00796E7C" w:rsidRPr="00CE0905" w:rsidRDefault="00796E7C" w:rsidP="00796E7C">
      <w:pPr>
        <w:numPr>
          <w:ilvl w:val="0"/>
          <w:numId w:val="23"/>
        </w:numPr>
        <w:tabs>
          <w:tab w:val="left" w:pos="1701"/>
        </w:tabs>
        <w:spacing w:before="120" w:after="120"/>
        <w:ind w:left="2268" w:hanging="567"/>
        <w:rPr>
          <w:rFonts w:cs="Arial"/>
          <w:iCs/>
          <w:sz w:val="20"/>
          <w:szCs w:val="20"/>
          <w:lang w:eastAsia="en-AU" w:bidi="ar-SA"/>
        </w:rPr>
      </w:pPr>
      <w:r w:rsidRPr="00CE0905">
        <w:rPr>
          <w:rFonts w:cs="Arial"/>
          <w:iCs/>
          <w:sz w:val="20"/>
          <w:szCs w:val="20"/>
          <w:lang w:eastAsia="en-AU" w:bidi="ar-SA"/>
        </w:rPr>
        <w:t>is used in the preparation of ready-to-eat food to be served to a consumer; or</w:t>
      </w:r>
    </w:p>
    <w:p w14:paraId="1774249F" w14:textId="77777777" w:rsidR="00796E7C" w:rsidRPr="00CE0905" w:rsidRDefault="00796E7C" w:rsidP="00796E7C">
      <w:pPr>
        <w:numPr>
          <w:ilvl w:val="0"/>
          <w:numId w:val="23"/>
        </w:numPr>
        <w:tabs>
          <w:tab w:val="left" w:pos="1701"/>
        </w:tabs>
        <w:spacing w:before="120" w:after="120"/>
        <w:ind w:left="2268" w:hanging="567"/>
        <w:rPr>
          <w:rFonts w:cs="Arial"/>
          <w:iCs/>
          <w:sz w:val="20"/>
          <w:szCs w:val="20"/>
          <w:lang w:eastAsia="en-AU" w:bidi="ar-SA"/>
        </w:rPr>
      </w:pPr>
      <w:r w:rsidRPr="00CE0905">
        <w:rPr>
          <w:rFonts w:cs="Arial"/>
          <w:iCs/>
          <w:sz w:val="20"/>
          <w:szCs w:val="20"/>
          <w:lang w:eastAsia="en-AU" w:bidi="ar-SA"/>
        </w:rPr>
        <w:t>is ready-to-eat food intended</w:t>
      </w:r>
      <w:r w:rsidRPr="00CE0905" w:rsidDel="00FF12B5">
        <w:rPr>
          <w:rFonts w:cs="Arial"/>
          <w:iCs/>
          <w:sz w:val="20"/>
          <w:szCs w:val="20"/>
          <w:lang w:eastAsia="en-AU" w:bidi="ar-SA"/>
        </w:rPr>
        <w:t xml:space="preserve"> </w:t>
      </w:r>
      <w:r w:rsidRPr="00CE0905">
        <w:rPr>
          <w:rFonts w:cs="Arial"/>
          <w:iCs/>
          <w:sz w:val="20"/>
          <w:szCs w:val="20"/>
          <w:lang w:eastAsia="en-AU" w:bidi="ar-SA"/>
        </w:rPr>
        <w:t>for retail sale by that business.</w:t>
      </w:r>
    </w:p>
    <w:p w14:paraId="5DADA773"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lastRenderedPageBreak/>
        <w:t>3.2.2A—6</w:t>
      </w:r>
      <w:r w:rsidRPr="00CE0905">
        <w:rPr>
          <w:rFonts w:cs="Arial"/>
          <w:b/>
          <w:bCs/>
          <w:kern w:val="32"/>
          <w:lang w:eastAsia="en-AU" w:bidi="ar-SA"/>
        </w:rPr>
        <w:tab/>
        <w:t>Category one business</w:t>
      </w:r>
      <w:r w:rsidRPr="00CE0905">
        <w:rPr>
          <w:rFonts w:cs="Arial"/>
          <w:b/>
          <w:bCs/>
          <w:kern w:val="32"/>
          <w:lang w:eastAsia="en-AU" w:bidi="ar-SA"/>
        </w:rPr>
        <w:tab/>
      </w:r>
    </w:p>
    <w:p w14:paraId="69FDCFC0" w14:textId="77777777" w:rsidR="00796E7C" w:rsidRPr="00CE0905" w:rsidRDefault="00796E7C" w:rsidP="00796E7C">
      <w:pPr>
        <w:tabs>
          <w:tab w:val="left" w:pos="1134"/>
          <w:tab w:val="left" w:pos="1701"/>
        </w:tabs>
        <w:spacing w:before="60" w:after="60"/>
        <w:ind w:left="1701" w:hanging="1701"/>
        <w:rPr>
          <w:rFonts w:cs="Arial"/>
          <w:iCs/>
          <w:sz w:val="20"/>
          <w:szCs w:val="22"/>
          <w:lang w:eastAsia="en-AU" w:bidi="ar-SA"/>
        </w:rPr>
      </w:pPr>
      <w:r w:rsidRPr="00CE0905">
        <w:rPr>
          <w:rFonts w:cs="Arial"/>
          <w:iCs/>
          <w:sz w:val="20"/>
          <w:szCs w:val="22"/>
          <w:lang w:eastAsia="en-AU" w:bidi="ar-SA"/>
        </w:rPr>
        <w:tab/>
      </w:r>
      <w:r w:rsidRPr="00CE0905">
        <w:rPr>
          <w:rFonts w:cs="Arial"/>
          <w:iCs/>
          <w:sz w:val="20"/>
          <w:szCs w:val="22"/>
          <w:lang w:eastAsia="en-AU" w:bidi="ar-SA"/>
        </w:rPr>
        <w:tab/>
        <w:t xml:space="preserve">For the purposes of this Standard, </w:t>
      </w:r>
      <w:r w:rsidRPr="00CE0905">
        <w:rPr>
          <w:rFonts w:cs="Arial"/>
          <w:b/>
          <w:bCs/>
          <w:i/>
          <w:sz w:val="20"/>
          <w:szCs w:val="22"/>
          <w:lang w:eastAsia="en-AU" w:bidi="ar-SA"/>
        </w:rPr>
        <w:t>a</w:t>
      </w:r>
      <w:r w:rsidRPr="00CE0905">
        <w:rPr>
          <w:rFonts w:cs="Arial"/>
          <w:b/>
          <w:bCs/>
          <w:iCs/>
          <w:sz w:val="20"/>
          <w:szCs w:val="22"/>
          <w:lang w:eastAsia="en-AU" w:bidi="ar-SA"/>
        </w:rPr>
        <w:t xml:space="preserve"> </w:t>
      </w:r>
      <w:r w:rsidRPr="00CE0905">
        <w:rPr>
          <w:rFonts w:cs="Arial"/>
          <w:b/>
          <w:bCs/>
          <w:i/>
          <w:sz w:val="20"/>
          <w:szCs w:val="22"/>
          <w:lang w:eastAsia="en-AU" w:bidi="ar-SA"/>
        </w:rPr>
        <w:t>category one business</w:t>
      </w:r>
      <w:r w:rsidRPr="00CE0905">
        <w:rPr>
          <w:rFonts w:cs="Arial"/>
          <w:iCs/>
          <w:sz w:val="20"/>
          <w:szCs w:val="22"/>
          <w:lang w:eastAsia="en-AU" w:bidi="ar-SA"/>
        </w:rPr>
        <w:t xml:space="preserve"> means a food business that:</w:t>
      </w:r>
    </w:p>
    <w:p w14:paraId="4917E4F2" w14:textId="77777777" w:rsidR="00796E7C" w:rsidRPr="00CE0905" w:rsidRDefault="00796E7C" w:rsidP="00796E7C">
      <w:pPr>
        <w:numPr>
          <w:ilvl w:val="0"/>
          <w:numId w:val="22"/>
        </w:numPr>
        <w:spacing w:before="60" w:after="60"/>
        <w:ind w:left="2268" w:hanging="567"/>
        <w:rPr>
          <w:rFonts w:cs="Arial"/>
          <w:iCs/>
          <w:sz w:val="20"/>
          <w:szCs w:val="22"/>
          <w:lang w:eastAsia="en-AU" w:bidi="ar-SA"/>
        </w:rPr>
      </w:pPr>
      <w:r w:rsidRPr="00CE0905">
        <w:rPr>
          <w:rFonts w:cs="Arial"/>
          <w:iCs/>
          <w:sz w:val="20"/>
          <w:szCs w:val="22"/>
          <w:lang w:eastAsia="en-AU" w:bidi="ar-SA"/>
        </w:rPr>
        <w:t>is a *caterer or a food service; and</w:t>
      </w:r>
    </w:p>
    <w:p w14:paraId="34B6FCD8" w14:textId="77777777" w:rsidR="00796E7C" w:rsidRPr="00CE0905" w:rsidRDefault="00796E7C" w:rsidP="00796E7C">
      <w:pPr>
        <w:numPr>
          <w:ilvl w:val="0"/>
          <w:numId w:val="22"/>
        </w:numPr>
        <w:spacing w:before="60" w:after="60"/>
        <w:ind w:left="2268" w:hanging="567"/>
        <w:rPr>
          <w:rFonts w:cs="Arial"/>
          <w:iCs/>
          <w:sz w:val="20"/>
          <w:szCs w:val="22"/>
          <w:lang w:eastAsia="en-AU" w:bidi="ar-SA"/>
        </w:rPr>
      </w:pPr>
      <w:r w:rsidRPr="00CE0905">
        <w:rPr>
          <w:rFonts w:cs="Arial"/>
          <w:iCs/>
          <w:sz w:val="20"/>
          <w:szCs w:val="22"/>
          <w:lang w:eastAsia="en-AU" w:bidi="ar-SA"/>
        </w:rPr>
        <w:t>processes unpackaged potentially hazardous food into a food that is:</w:t>
      </w:r>
    </w:p>
    <w:p w14:paraId="6B0EB7A5" w14:textId="77777777" w:rsidR="00796E7C" w:rsidRPr="00CE0905" w:rsidRDefault="00796E7C" w:rsidP="00796E7C">
      <w:pPr>
        <w:numPr>
          <w:ilvl w:val="0"/>
          <w:numId w:val="21"/>
        </w:numPr>
        <w:spacing w:before="60" w:after="60"/>
        <w:rPr>
          <w:rFonts w:cs="Arial"/>
          <w:iCs/>
          <w:sz w:val="20"/>
          <w:lang w:eastAsia="en-AU"/>
        </w:rPr>
      </w:pPr>
      <w:r w:rsidRPr="00CE0905">
        <w:rPr>
          <w:rFonts w:cs="Arial"/>
          <w:iCs/>
          <w:sz w:val="20"/>
          <w:lang w:eastAsia="en-AU"/>
        </w:rPr>
        <w:t>potentially hazardous food; and</w:t>
      </w:r>
    </w:p>
    <w:p w14:paraId="2EA8123B" w14:textId="77777777" w:rsidR="00796E7C" w:rsidRPr="00CE0905" w:rsidRDefault="00796E7C" w:rsidP="00796E7C">
      <w:pPr>
        <w:numPr>
          <w:ilvl w:val="0"/>
          <w:numId w:val="21"/>
        </w:numPr>
        <w:spacing w:before="60" w:after="60"/>
        <w:rPr>
          <w:rFonts w:cs="Arial"/>
          <w:iCs/>
          <w:sz w:val="20"/>
          <w:lang w:eastAsia="en-AU"/>
        </w:rPr>
      </w:pPr>
      <w:r w:rsidRPr="00CE0905">
        <w:rPr>
          <w:rFonts w:cs="Arial"/>
          <w:iCs/>
          <w:sz w:val="20"/>
          <w:lang w:eastAsia="en-AU"/>
        </w:rPr>
        <w:t>ready-to-eat food.</w:t>
      </w:r>
    </w:p>
    <w:p w14:paraId="00D01A75"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3.2.2A—7</w:t>
      </w:r>
      <w:r w:rsidRPr="00CE0905">
        <w:rPr>
          <w:rFonts w:cs="Arial"/>
          <w:b/>
          <w:bCs/>
          <w:kern w:val="32"/>
          <w:lang w:eastAsia="en-AU" w:bidi="ar-SA"/>
        </w:rPr>
        <w:tab/>
        <w:t>Category two business</w:t>
      </w:r>
      <w:r w:rsidRPr="00CE0905">
        <w:rPr>
          <w:rFonts w:cs="Arial"/>
          <w:b/>
          <w:bCs/>
          <w:kern w:val="32"/>
          <w:lang w:eastAsia="en-AU" w:bidi="ar-SA"/>
        </w:rPr>
        <w:tab/>
      </w:r>
    </w:p>
    <w:p w14:paraId="4A93B6BF" w14:textId="77777777" w:rsidR="00796E7C" w:rsidRPr="00CE0905" w:rsidRDefault="00796E7C" w:rsidP="00796E7C">
      <w:pPr>
        <w:tabs>
          <w:tab w:val="left" w:pos="1701"/>
        </w:tabs>
        <w:spacing w:before="60" w:after="60"/>
        <w:ind w:left="1701" w:hanging="567"/>
        <w:rPr>
          <w:rFonts w:cs="Arial"/>
          <w:iCs/>
          <w:sz w:val="20"/>
          <w:szCs w:val="20"/>
          <w:lang w:eastAsia="en-AU" w:bidi="ar-SA"/>
        </w:rPr>
      </w:pPr>
      <w:r w:rsidRPr="00CE0905">
        <w:rPr>
          <w:rFonts w:cs="Arial"/>
          <w:iCs/>
          <w:sz w:val="20"/>
          <w:szCs w:val="20"/>
          <w:lang w:eastAsia="en-AU" w:bidi="ar-SA"/>
        </w:rPr>
        <w:tab/>
        <w:t xml:space="preserve">For the purposes of this Standard, a </w:t>
      </w:r>
      <w:r w:rsidRPr="00CE0905">
        <w:rPr>
          <w:rFonts w:cs="Arial"/>
          <w:b/>
          <w:i/>
          <w:iCs/>
          <w:sz w:val="20"/>
          <w:szCs w:val="20"/>
          <w:lang w:eastAsia="en-AU" w:bidi="ar-SA"/>
        </w:rPr>
        <w:t>category two business</w:t>
      </w:r>
      <w:r w:rsidRPr="00CE0905">
        <w:rPr>
          <w:rFonts w:cs="Arial"/>
          <w:iCs/>
          <w:sz w:val="20"/>
          <w:szCs w:val="20"/>
          <w:lang w:eastAsia="en-AU" w:bidi="ar-SA"/>
        </w:rPr>
        <w:t xml:space="preserve"> means a food business that offers for retail sale a food that is</w:t>
      </w:r>
      <w:r w:rsidRPr="00CE0905">
        <w:rPr>
          <w:rFonts w:cs="Arial"/>
          <w:iCs/>
          <w:sz w:val="20"/>
          <w:szCs w:val="20"/>
          <w:lang w:val="en-AU" w:eastAsia="en-AU" w:bidi="ar-SA"/>
        </w:rPr>
        <w:t>:</w:t>
      </w:r>
    </w:p>
    <w:p w14:paraId="1FD698BA" w14:textId="77777777" w:rsidR="00796E7C" w:rsidRPr="00CE0905" w:rsidRDefault="00796E7C" w:rsidP="00796E7C">
      <w:pPr>
        <w:numPr>
          <w:ilvl w:val="0"/>
          <w:numId w:val="20"/>
        </w:numPr>
        <w:tabs>
          <w:tab w:val="left" w:pos="1701"/>
        </w:tabs>
        <w:spacing w:before="60" w:after="60"/>
        <w:ind w:left="2268" w:hanging="567"/>
        <w:rPr>
          <w:rFonts w:cs="Arial"/>
          <w:iCs/>
          <w:sz w:val="20"/>
          <w:szCs w:val="20"/>
          <w:lang w:eastAsia="en-AU" w:bidi="ar-SA"/>
        </w:rPr>
      </w:pPr>
      <w:r w:rsidRPr="00CE0905">
        <w:rPr>
          <w:rFonts w:cs="Arial"/>
          <w:iCs/>
          <w:sz w:val="20"/>
          <w:szCs w:val="20"/>
          <w:lang w:eastAsia="en-AU" w:bidi="ar-SA"/>
        </w:rPr>
        <w:t>potentially hazardous food; and</w:t>
      </w:r>
    </w:p>
    <w:p w14:paraId="06ADE6A0" w14:textId="77777777" w:rsidR="00796E7C" w:rsidRPr="00CE0905" w:rsidRDefault="00796E7C" w:rsidP="00796E7C">
      <w:pPr>
        <w:numPr>
          <w:ilvl w:val="0"/>
          <w:numId w:val="20"/>
        </w:numPr>
        <w:tabs>
          <w:tab w:val="left" w:pos="1701"/>
        </w:tabs>
        <w:spacing w:before="60" w:after="60"/>
        <w:ind w:left="2268" w:hanging="567"/>
        <w:rPr>
          <w:rFonts w:cs="Arial"/>
          <w:iCs/>
          <w:sz w:val="20"/>
          <w:szCs w:val="20"/>
          <w:lang w:eastAsia="en-AU" w:bidi="ar-SA"/>
        </w:rPr>
      </w:pPr>
      <w:r w:rsidRPr="00CE0905">
        <w:rPr>
          <w:rFonts w:cs="Arial"/>
          <w:iCs/>
          <w:sz w:val="20"/>
          <w:szCs w:val="20"/>
          <w:lang w:eastAsia="en-AU" w:bidi="ar-SA"/>
        </w:rPr>
        <w:t>ready-to-eat food</w:t>
      </w:r>
      <w:r w:rsidRPr="00CE0905">
        <w:rPr>
          <w:rFonts w:cs="Arial"/>
          <w:iCs/>
          <w:sz w:val="20"/>
          <w:szCs w:val="20"/>
          <w:lang w:val="en-AU" w:eastAsia="en-AU" w:bidi="ar-SA"/>
        </w:rPr>
        <w:t>; and</w:t>
      </w:r>
    </w:p>
    <w:p w14:paraId="58752D70" w14:textId="77777777" w:rsidR="00796E7C" w:rsidRPr="00CE0905" w:rsidRDefault="00796E7C" w:rsidP="00796E7C">
      <w:pPr>
        <w:tabs>
          <w:tab w:val="left" w:pos="1701"/>
        </w:tabs>
        <w:spacing w:before="60" w:after="60"/>
        <w:ind w:left="1701" w:hanging="2268"/>
        <w:rPr>
          <w:rFonts w:cs="Arial"/>
          <w:iCs/>
          <w:sz w:val="20"/>
          <w:szCs w:val="20"/>
          <w:lang w:eastAsia="en-AU" w:bidi="ar-SA"/>
        </w:rPr>
      </w:pPr>
      <w:r w:rsidRPr="00CE0905">
        <w:rPr>
          <w:rFonts w:cs="Arial"/>
          <w:iCs/>
          <w:sz w:val="20"/>
          <w:szCs w:val="20"/>
          <w:lang w:val="en-AU" w:eastAsia="en-AU" w:bidi="ar-SA"/>
        </w:rPr>
        <w:tab/>
        <w:t>where that food:</w:t>
      </w:r>
    </w:p>
    <w:p w14:paraId="225D0D10" w14:textId="77777777" w:rsidR="00796E7C" w:rsidRPr="00CE0905" w:rsidRDefault="00796E7C" w:rsidP="00796E7C">
      <w:pPr>
        <w:numPr>
          <w:ilvl w:val="0"/>
          <w:numId w:val="24"/>
        </w:numPr>
        <w:spacing w:before="60" w:after="60"/>
        <w:rPr>
          <w:rFonts w:cs="Arial"/>
          <w:iCs/>
          <w:sz w:val="20"/>
          <w:lang w:eastAsia="en-AU"/>
        </w:rPr>
      </w:pPr>
      <w:r w:rsidRPr="00CE0905">
        <w:rPr>
          <w:rFonts w:cs="Arial"/>
          <w:iCs/>
          <w:sz w:val="20"/>
          <w:lang w:eastAsia="en-AU"/>
        </w:rPr>
        <w:t xml:space="preserve">was received unpackaged by the food business </w:t>
      </w:r>
      <w:r w:rsidRPr="00CE0905">
        <w:rPr>
          <w:rFonts w:cs="Arial"/>
          <w:sz w:val="20"/>
        </w:rPr>
        <w:t>or was unpackaged by the food business after receipt; and</w:t>
      </w:r>
    </w:p>
    <w:p w14:paraId="66CADD73" w14:textId="77777777" w:rsidR="00796E7C" w:rsidRPr="00CE0905" w:rsidRDefault="00796E7C" w:rsidP="00796E7C">
      <w:pPr>
        <w:numPr>
          <w:ilvl w:val="0"/>
          <w:numId w:val="24"/>
        </w:numPr>
        <w:spacing w:before="60" w:after="60"/>
        <w:rPr>
          <w:rFonts w:cs="Arial"/>
          <w:iCs/>
          <w:sz w:val="20"/>
          <w:lang w:eastAsia="en-AU"/>
        </w:rPr>
      </w:pPr>
      <w:r w:rsidRPr="00CE0905">
        <w:rPr>
          <w:rFonts w:cs="Arial"/>
          <w:iCs/>
          <w:sz w:val="20"/>
          <w:lang w:eastAsia="en-AU"/>
        </w:rPr>
        <w:t>was not made or processed (other than slicing, weighing, repacking, reheating or hot-holding the food) by the food business</w:t>
      </w:r>
      <w:r w:rsidRPr="00CE0905">
        <w:rPr>
          <w:rFonts w:cs="Arial"/>
          <w:sz w:val="20"/>
        </w:rPr>
        <w:t>.</w:t>
      </w:r>
    </w:p>
    <w:p w14:paraId="0F9E7F4A"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3.2.2A—8</w:t>
      </w:r>
      <w:r w:rsidRPr="00CE0905">
        <w:rPr>
          <w:rFonts w:cs="Arial"/>
          <w:b/>
          <w:bCs/>
          <w:kern w:val="32"/>
          <w:lang w:eastAsia="en-AU" w:bidi="ar-SA"/>
        </w:rPr>
        <w:tab/>
        <w:t>Food safety management tools required for category one businesses</w:t>
      </w:r>
    </w:p>
    <w:p w14:paraId="4E85ECAF" w14:textId="77777777" w:rsidR="00796E7C" w:rsidRPr="00CE0905" w:rsidRDefault="00796E7C" w:rsidP="00796E7C">
      <w:pPr>
        <w:tabs>
          <w:tab w:val="left" w:pos="1134"/>
        </w:tabs>
        <w:spacing w:before="120" w:after="120"/>
        <w:ind w:left="1701" w:hanging="1701"/>
        <w:rPr>
          <w:rFonts w:cs="Arial"/>
          <w:iCs/>
          <w:sz w:val="20"/>
          <w:szCs w:val="22"/>
          <w:lang w:eastAsia="en-AU" w:bidi="ar-SA"/>
        </w:rPr>
      </w:pPr>
      <w:r w:rsidRPr="00CE0905">
        <w:rPr>
          <w:rFonts w:cs="Arial"/>
          <w:iCs/>
          <w:sz w:val="20"/>
          <w:szCs w:val="22"/>
          <w:lang w:eastAsia="en-AU" w:bidi="ar-SA"/>
        </w:rPr>
        <w:t xml:space="preserve"> </w:t>
      </w:r>
      <w:r w:rsidRPr="00CE0905">
        <w:rPr>
          <w:rFonts w:cs="Arial"/>
          <w:iCs/>
          <w:sz w:val="20"/>
          <w:szCs w:val="22"/>
          <w:lang w:eastAsia="en-AU" w:bidi="ar-SA"/>
        </w:rPr>
        <w:tab/>
      </w:r>
      <w:r w:rsidRPr="00CE0905">
        <w:rPr>
          <w:rFonts w:cs="Arial"/>
          <w:iCs/>
          <w:sz w:val="20"/>
          <w:szCs w:val="22"/>
          <w:lang w:eastAsia="en-AU" w:bidi="ar-SA"/>
        </w:rPr>
        <w:tab/>
        <w:t>A category one business must comply with sections 3.2.2A—10, 3.2.2A—11 and 3.2.2A—12.</w:t>
      </w:r>
    </w:p>
    <w:p w14:paraId="02D5D543"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3.2.2A—9</w:t>
      </w:r>
      <w:r w:rsidRPr="00CE0905">
        <w:rPr>
          <w:rFonts w:cs="Arial"/>
          <w:b/>
          <w:bCs/>
          <w:kern w:val="32"/>
          <w:lang w:eastAsia="en-AU" w:bidi="ar-SA"/>
        </w:rPr>
        <w:tab/>
        <w:t>Food safety management tools required for category two businesses</w:t>
      </w:r>
    </w:p>
    <w:p w14:paraId="60631D17" w14:textId="77777777" w:rsidR="00796E7C" w:rsidRPr="00CE0905" w:rsidRDefault="00796E7C" w:rsidP="00796E7C">
      <w:pPr>
        <w:tabs>
          <w:tab w:val="left" w:pos="1134"/>
        </w:tabs>
        <w:spacing w:before="120" w:after="120"/>
        <w:ind w:left="1701"/>
        <w:rPr>
          <w:rFonts w:cs="Arial"/>
          <w:iCs/>
          <w:sz w:val="20"/>
          <w:szCs w:val="22"/>
          <w:lang w:eastAsia="en-AU" w:bidi="ar-SA"/>
        </w:rPr>
      </w:pPr>
      <w:r w:rsidRPr="00CE0905">
        <w:rPr>
          <w:rFonts w:cs="Arial"/>
          <w:iCs/>
          <w:sz w:val="20"/>
          <w:szCs w:val="22"/>
          <w:lang w:eastAsia="en-AU" w:bidi="ar-SA"/>
        </w:rPr>
        <w:t>A category two business must comply with sections 3.2.2A—10 and 3.2.2A—11.</w:t>
      </w:r>
    </w:p>
    <w:p w14:paraId="555FEC93"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3.2.2A—10</w:t>
      </w:r>
      <w:r w:rsidRPr="00CE0905">
        <w:rPr>
          <w:rFonts w:cs="Arial"/>
          <w:b/>
          <w:bCs/>
          <w:kern w:val="32"/>
          <w:lang w:eastAsia="en-AU" w:bidi="ar-SA"/>
        </w:rPr>
        <w:tab/>
        <w:t>Food safety training for food handlers engaged in a prescribed activity</w:t>
      </w:r>
    </w:p>
    <w:p w14:paraId="5C039F7D" w14:textId="77777777" w:rsidR="00796E7C" w:rsidRPr="00CE0905" w:rsidRDefault="00796E7C" w:rsidP="00796E7C">
      <w:pPr>
        <w:tabs>
          <w:tab w:val="left" w:pos="1134"/>
        </w:tabs>
        <w:spacing w:before="120" w:after="120"/>
        <w:ind w:left="1701"/>
        <w:rPr>
          <w:rFonts w:cs="Arial"/>
          <w:iCs/>
          <w:sz w:val="20"/>
          <w:szCs w:val="22"/>
          <w:lang w:eastAsia="en-AU" w:bidi="ar-SA"/>
        </w:rPr>
      </w:pPr>
      <w:r w:rsidRPr="00CE0905">
        <w:rPr>
          <w:rFonts w:cs="Arial"/>
          <w:iCs/>
          <w:sz w:val="20"/>
          <w:szCs w:val="22"/>
          <w:lang w:eastAsia="en-AU" w:bidi="ar-SA"/>
        </w:rPr>
        <w:t xml:space="preserve">The food business must ensure that each food handler who engages in a prescribed activity has, before engaging in that activity: </w:t>
      </w:r>
    </w:p>
    <w:p w14:paraId="120A6152" w14:textId="77777777" w:rsidR="00796E7C" w:rsidRPr="00CE0905" w:rsidRDefault="00796E7C" w:rsidP="00796E7C">
      <w:pPr>
        <w:tabs>
          <w:tab w:val="left" w:pos="1701"/>
        </w:tabs>
        <w:spacing w:before="60" w:after="60"/>
        <w:ind w:left="2268" w:hanging="2268"/>
        <w:rPr>
          <w:rFonts w:cs="Arial"/>
          <w:iCs/>
          <w:sz w:val="20"/>
          <w:szCs w:val="22"/>
          <w:lang w:eastAsia="en-AU" w:bidi="ar-SA"/>
        </w:rPr>
      </w:pPr>
      <w:r w:rsidRPr="00CE0905">
        <w:rPr>
          <w:rFonts w:cs="Arial"/>
          <w:iCs/>
          <w:sz w:val="20"/>
          <w:szCs w:val="22"/>
          <w:lang w:eastAsia="en-AU" w:bidi="ar-SA"/>
        </w:rPr>
        <w:tab/>
        <w:t>(a)</w:t>
      </w:r>
      <w:r w:rsidRPr="00CE0905">
        <w:rPr>
          <w:rFonts w:cs="Arial"/>
          <w:iCs/>
          <w:sz w:val="20"/>
          <w:szCs w:val="22"/>
          <w:lang w:eastAsia="en-AU" w:bidi="ar-SA"/>
        </w:rPr>
        <w:tab/>
        <w:t>completed a food safety training course; or</w:t>
      </w:r>
    </w:p>
    <w:p w14:paraId="33443146" w14:textId="77777777" w:rsidR="00796E7C" w:rsidRPr="00CE0905" w:rsidRDefault="00796E7C" w:rsidP="00796E7C">
      <w:pPr>
        <w:tabs>
          <w:tab w:val="left" w:pos="1701"/>
        </w:tabs>
        <w:spacing w:before="60" w:after="60"/>
        <w:ind w:left="2268" w:hanging="2268"/>
        <w:rPr>
          <w:rFonts w:cs="Arial"/>
          <w:iCs/>
          <w:sz w:val="20"/>
          <w:szCs w:val="22"/>
          <w:lang w:eastAsia="en-AU" w:bidi="ar-SA"/>
        </w:rPr>
      </w:pPr>
      <w:r w:rsidRPr="00CE0905">
        <w:rPr>
          <w:rFonts w:cs="Arial"/>
          <w:iCs/>
          <w:sz w:val="20"/>
          <w:szCs w:val="22"/>
          <w:lang w:eastAsia="en-AU" w:bidi="ar-SA"/>
        </w:rPr>
        <w:tab/>
        <w:t>(b)</w:t>
      </w:r>
      <w:r w:rsidRPr="00CE0905">
        <w:rPr>
          <w:rFonts w:cs="Arial"/>
          <w:iCs/>
          <w:sz w:val="20"/>
          <w:szCs w:val="22"/>
          <w:lang w:eastAsia="en-AU" w:bidi="ar-SA"/>
        </w:rPr>
        <w:tab/>
        <w:t>skills and knowledge of food safety and hygiene matters commensurate with that specific prescribed activity.</w:t>
      </w:r>
    </w:p>
    <w:p w14:paraId="5A2323E5"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3.2.2A—11</w:t>
      </w:r>
      <w:r w:rsidRPr="00CE0905">
        <w:rPr>
          <w:rFonts w:cs="Arial"/>
          <w:b/>
          <w:bCs/>
          <w:kern w:val="32"/>
          <w:lang w:eastAsia="en-AU" w:bidi="ar-SA"/>
        </w:rPr>
        <w:tab/>
        <w:t>Supervision of food handlers</w:t>
      </w:r>
    </w:p>
    <w:p w14:paraId="1124DD63" w14:textId="77777777" w:rsidR="00796E7C" w:rsidRPr="00CE0905" w:rsidRDefault="00796E7C" w:rsidP="00796E7C">
      <w:pPr>
        <w:tabs>
          <w:tab w:val="left" w:pos="1134"/>
        </w:tabs>
        <w:spacing w:before="120" w:after="120"/>
        <w:ind w:left="1701" w:hanging="1701"/>
        <w:rPr>
          <w:rFonts w:cs="Arial"/>
          <w:iCs/>
          <w:sz w:val="20"/>
          <w:szCs w:val="22"/>
          <w:lang w:eastAsia="en-AU" w:bidi="ar-SA"/>
        </w:rPr>
      </w:pPr>
      <w:r w:rsidRPr="00CE0905">
        <w:rPr>
          <w:rFonts w:cs="Arial"/>
          <w:iCs/>
          <w:sz w:val="20"/>
          <w:szCs w:val="22"/>
          <w:lang w:eastAsia="en-AU" w:bidi="ar-SA"/>
        </w:rPr>
        <w:tab/>
      </w:r>
      <w:r w:rsidRPr="00CE0905">
        <w:rPr>
          <w:rFonts w:cs="Arial"/>
          <w:iCs/>
          <w:sz w:val="20"/>
          <w:szCs w:val="22"/>
          <w:lang w:eastAsia="en-AU" w:bidi="ar-SA"/>
        </w:rPr>
        <w:tab/>
        <w:t>The food business must:</w:t>
      </w:r>
    </w:p>
    <w:p w14:paraId="4E4DE699" w14:textId="77777777" w:rsidR="00796E7C" w:rsidRPr="00CE0905" w:rsidRDefault="00796E7C" w:rsidP="00796E7C">
      <w:pPr>
        <w:numPr>
          <w:ilvl w:val="0"/>
          <w:numId w:val="15"/>
        </w:numPr>
        <w:tabs>
          <w:tab w:val="left" w:pos="1701"/>
        </w:tabs>
        <w:spacing w:before="60" w:after="60"/>
        <w:rPr>
          <w:rFonts w:cs="Arial"/>
          <w:iCs/>
          <w:sz w:val="20"/>
          <w:szCs w:val="22"/>
          <w:lang w:eastAsia="en-AU" w:bidi="ar-SA"/>
        </w:rPr>
      </w:pPr>
      <w:r w:rsidRPr="00CE0905">
        <w:rPr>
          <w:rFonts w:cs="Arial"/>
          <w:iCs/>
          <w:sz w:val="20"/>
          <w:szCs w:val="22"/>
          <w:lang w:eastAsia="en-AU" w:bidi="ar-SA"/>
        </w:rPr>
        <w:t>appoint a food safety supervisor before engaging in a prescribed activity; and</w:t>
      </w:r>
    </w:p>
    <w:p w14:paraId="1D9447F0" w14:textId="77777777" w:rsidR="00796E7C" w:rsidRPr="00CE0905" w:rsidRDefault="00796E7C" w:rsidP="00796E7C">
      <w:pPr>
        <w:numPr>
          <w:ilvl w:val="0"/>
          <w:numId w:val="15"/>
        </w:numPr>
        <w:tabs>
          <w:tab w:val="left" w:pos="1701"/>
        </w:tabs>
        <w:spacing w:before="60" w:after="60"/>
        <w:rPr>
          <w:rFonts w:cs="Arial"/>
          <w:sz w:val="20"/>
          <w:szCs w:val="20"/>
          <w:lang w:eastAsia="en-AU" w:bidi="ar-SA"/>
        </w:rPr>
      </w:pPr>
      <w:r w:rsidRPr="00CE0905">
        <w:rPr>
          <w:rFonts w:cs="Arial"/>
          <w:sz w:val="20"/>
          <w:szCs w:val="20"/>
          <w:lang w:eastAsia="en-AU" w:bidi="ar-SA"/>
        </w:rPr>
        <w:t xml:space="preserve">ensure that the food safety supervisor is </w:t>
      </w:r>
      <w:bookmarkStart w:id="3" w:name="_Int_BTiX8Uca"/>
      <w:r w:rsidRPr="00CE0905">
        <w:rPr>
          <w:rFonts w:cs="Arial"/>
          <w:sz w:val="20"/>
          <w:szCs w:val="20"/>
          <w:lang w:eastAsia="en-AU" w:bidi="ar-SA"/>
        </w:rPr>
        <w:t>reasonably available</w:t>
      </w:r>
      <w:bookmarkEnd w:id="3"/>
      <w:r w:rsidRPr="00CE0905">
        <w:rPr>
          <w:rFonts w:cs="Arial"/>
          <w:sz w:val="20"/>
          <w:szCs w:val="20"/>
          <w:lang w:eastAsia="en-AU" w:bidi="ar-SA"/>
        </w:rPr>
        <w:t xml:space="preserve"> to advise and supervise each food handler engaged in that prescribed activity. </w:t>
      </w:r>
    </w:p>
    <w:p w14:paraId="5C98792F" w14:textId="77777777" w:rsidR="00796E7C" w:rsidRPr="00CE0905" w:rsidRDefault="00796E7C" w:rsidP="00796E7C">
      <w:pPr>
        <w:keepNext/>
        <w:spacing w:before="240" w:after="120"/>
        <w:ind w:left="1701" w:hanging="1701"/>
        <w:outlineLvl w:val="4"/>
        <w:rPr>
          <w:rFonts w:cs="Arial"/>
          <w:b/>
          <w:bCs/>
          <w:kern w:val="32"/>
          <w:lang w:eastAsia="en-AU" w:bidi="ar-SA"/>
        </w:rPr>
      </w:pPr>
      <w:r w:rsidRPr="00CE0905">
        <w:rPr>
          <w:rFonts w:cs="Arial"/>
          <w:b/>
          <w:bCs/>
          <w:kern w:val="32"/>
          <w:lang w:eastAsia="en-AU" w:bidi="ar-SA"/>
        </w:rPr>
        <w:t>3.2.2A—12</w:t>
      </w:r>
      <w:r w:rsidRPr="00CE0905">
        <w:rPr>
          <w:rFonts w:cs="Arial"/>
          <w:b/>
          <w:bCs/>
          <w:kern w:val="32"/>
          <w:lang w:eastAsia="en-AU" w:bidi="ar-SA"/>
        </w:rPr>
        <w:tab/>
        <w:t>Substantiating food safety management of prescribed activities</w:t>
      </w:r>
    </w:p>
    <w:p w14:paraId="606DE65A" w14:textId="77777777" w:rsidR="00796E7C" w:rsidRPr="00CE0905" w:rsidRDefault="00796E7C" w:rsidP="00796E7C">
      <w:pPr>
        <w:tabs>
          <w:tab w:val="left" w:pos="1134"/>
        </w:tabs>
        <w:spacing w:before="120" w:after="120"/>
        <w:ind w:left="1701" w:hanging="1701"/>
        <w:rPr>
          <w:rFonts w:cs="Arial"/>
          <w:iCs/>
          <w:sz w:val="20"/>
          <w:szCs w:val="22"/>
          <w:lang w:eastAsia="en-AU" w:bidi="ar-SA"/>
        </w:rPr>
      </w:pPr>
      <w:r w:rsidRPr="00CE0905">
        <w:rPr>
          <w:rFonts w:cs="Arial"/>
          <w:iCs/>
          <w:sz w:val="20"/>
          <w:szCs w:val="22"/>
          <w:lang w:eastAsia="en-AU" w:bidi="ar-SA"/>
        </w:rPr>
        <w:tab/>
        <w:t>(1)</w:t>
      </w:r>
      <w:r w:rsidRPr="00CE0905">
        <w:rPr>
          <w:rFonts w:cs="Arial"/>
          <w:iCs/>
          <w:sz w:val="20"/>
          <w:szCs w:val="22"/>
          <w:lang w:eastAsia="en-AU" w:bidi="ar-SA"/>
        </w:rPr>
        <w:tab/>
        <w:t>Subject to subsection (3), if the food business engages in a prescribed activity, the food business must make a record that substantiates any matter that the prescribed provisions require in relation to that prescribed activity.</w:t>
      </w:r>
    </w:p>
    <w:p w14:paraId="732AE235" w14:textId="77777777" w:rsidR="00796E7C" w:rsidRPr="00CE0905" w:rsidRDefault="00796E7C" w:rsidP="00796E7C">
      <w:pPr>
        <w:tabs>
          <w:tab w:val="left" w:pos="1134"/>
        </w:tabs>
        <w:spacing w:before="60" w:after="60"/>
        <w:ind w:left="1701" w:hanging="1701"/>
        <w:rPr>
          <w:rFonts w:cs="Arial"/>
          <w:iCs/>
          <w:sz w:val="20"/>
          <w:szCs w:val="22"/>
          <w:lang w:eastAsia="en-AU" w:bidi="ar-SA"/>
        </w:rPr>
      </w:pPr>
      <w:r w:rsidRPr="00CE0905">
        <w:rPr>
          <w:rFonts w:cs="Arial"/>
          <w:iCs/>
          <w:sz w:val="20"/>
          <w:szCs w:val="22"/>
          <w:lang w:eastAsia="en-AU" w:bidi="ar-SA"/>
        </w:rPr>
        <w:tab/>
        <w:t>(2)</w:t>
      </w:r>
      <w:r w:rsidRPr="00CE0905">
        <w:rPr>
          <w:rFonts w:cs="Arial"/>
          <w:iCs/>
          <w:sz w:val="20"/>
          <w:szCs w:val="22"/>
          <w:lang w:eastAsia="en-AU" w:bidi="ar-SA"/>
        </w:rPr>
        <w:tab/>
        <w:t>The food business must keep a record required by subsection (1) for 3 months after the business makes the record.</w:t>
      </w:r>
    </w:p>
    <w:p w14:paraId="4F351173" w14:textId="77777777" w:rsidR="00796E7C" w:rsidRPr="00CE0905" w:rsidRDefault="00796E7C" w:rsidP="00796E7C">
      <w:pPr>
        <w:tabs>
          <w:tab w:val="left" w:pos="1134"/>
        </w:tabs>
        <w:spacing w:before="60" w:after="60"/>
        <w:ind w:left="1701" w:hanging="1701"/>
        <w:rPr>
          <w:rFonts w:cs="Arial"/>
          <w:iCs/>
          <w:sz w:val="20"/>
          <w:szCs w:val="22"/>
          <w:lang w:eastAsia="en-AU" w:bidi="ar-SA"/>
        </w:rPr>
      </w:pPr>
      <w:r w:rsidRPr="00CE0905">
        <w:rPr>
          <w:rFonts w:cs="Arial"/>
          <w:iCs/>
          <w:sz w:val="20"/>
          <w:szCs w:val="22"/>
          <w:lang w:eastAsia="en-AU" w:bidi="ar-SA"/>
        </w:rPr>
        <w:tab/>
        <w:t>(3)</w:t>
      </w:r>
      <w:r w:rsidRPr="00CE0905">
        <w:rPr>
          <w:rFonts w:cs="Arial"/>
          <w:iCs/>
          <w:sz w:val="20"/>
          <w:szCs w:val="22"/>
          <w:lang w:eastAsia="en-AU" w:bidi="ar-SA"/>
        </w:rPr>
        <w:tab/>
        <w:t xml:space="preserve">Subsection (1) does not apply to a food business that </w:t>
      </w:r>
      <w:r w:rsidRPr="00CE0905">
        <w:rPr>
          <w:rFonts w:cs="Arial"/>
          <w:iCs/>
          <w:sz w:val="20"/>
          <w:szCs w:val="20"/>
          <w:lang w:eastAsia="en-AU" w:bidi="ar-SA"/>
        </w:rPr>
        <w:t xml:space="preserve">can demonstrate to the reasonable satisfaction of an *authorised officer on request that the business has complied with </w:t>
      </w:r>
      <w:r w:rsidRPr="00CE0905">
        <w:rPr>
          <w:rFonts w:cs="Arial"/>
          <w:iCs/>
          <w:sz w:val="20"/>
          <w:szCs w:val="22"/>
          <w:lang w:eastAsia="en-AU" w:bidi="ar-SA"/>
        </w:rPr>
        <w:t>each of the prescribed provisions.</w:t>
      </w:r>
    </w:p>
    <w:p w14:paraId="41EB4EE8" w14:textId="77777777" w:rsidR="00796E7C" w:rsidRPr="00CE0905" w:rsidRDefault="00796E7C" w:rsidP="00796E7C">
      <w:pPr>
        <w:tabs>
          <w:tab w:val="left" w:pos="1134"/>
        </w:tabs>
        <w:spacing w:before="60" w:after="60"/>
        <w:ind w:left="1701" w:hanging="1701"/>
        <w:rPr>
          <w:rFonts w:cs="Arial"/>
          <w:iCs/>
          <w:sz w:val="20"/>
          <w:szCs w:val="22"/>
          <w:lang w:eastAsia="en-AU" w:bidi="ar-SA"/>
        </w:rPr>
      </w:pPr>
      <w:r w:rsidRPr="00CE0905">
        <w:rPr>
          <w:rFonts w:cs="Arial"/>
          <w:iCs/>
          <w:sz w:val="20"/>
          <w:szCs w:val="22"/>
          <w:lang w:eastAsia="en-AU" w:bidi="ar-SA"/>
        </w:rPr>
        <w:tab/>
        <w:t>(4)</w:t>
      </w:r>
      <w:r w:rsidRPr="00CE0905">
        <w:rPr>
          <w:rFonts w:cs="Arial"/>
          <w:iCs/>
          <w:sz w:val="20"/>
          <w:szCs w:val="22"/>
          <w:lang w:eastAsia="en-AU" w:bidi="ar-SA"/>
        </w:rPr>
        <w:tab/>
        <w:t xml:space="preserve">For the purposes of this section, the prescribed provisions are the following </w:t>
      </w:r>
      <w:r w:rsidRPr="00CE0905">
        <w:rPr>
          <w:rFonts w:cs="Arial"/>
          <w:iCs/>
          <w:sz w:val="20"/>
          <w:szCs w:val="22"/>
          <w:lang w:eastAsia="en-AU" w:bidi="ar-SA"/>
        </w:rPr>
        <w:lastRenderedPageBreak/>
        <w:t>provisions of Standard 3.2.2:</w:t>
      </w:r>
    </w:p>
    <w:p w14:paraId="7B3EE3DC"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 xml:space="preserve">subclause 5(3); </w:t>
      </w:r>
    </w:p>
    <w:p w14:paraId="36B85700"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paragraph 6(2)(a);</w:t>
      </w:r>
    </w:p>
    <w:p w14:paraId="58EE5A03"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paragraph 7(1)(b)(ii);</w:t>
      </w:r>
    </w:p>
    <w:p w14:paraId="4B001C13"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subclause 7(2);</w:t>
      </w:r>
    </w:p>
    <w:p w14:paraId="5E41EFD3"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subclause 7(3);</w:t>
      </w:r>
    </w:p>
    <w:p w14:paraId="229A5336"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subclause 7(4);</w:t>
      </w:r>
    </w:p>
    <w:p w14:paraId="15770521"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paragraph 8(5)(a);</w:t>
      </w:r>
    </w:p>
    <w:p w14:paraId="120C738C"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paragraph 10(b); and</w:t>
      </w:r>
    </w:p>
    <w:p w14:paraId="02B969F3" w14:textId="77777777" w:rsidR="00796E7C" w:rsidRPr="00CE0905" w:rsidRDefault="00796E7C" w:rsidP="00796E7C">
      <w:pPr>
        <w:numPr>
          <w:ilvl w:val="0"/>
          <w:numId w:val="14"/>
        </w:numPr>
        <w:tabs>
          <w:tab w:val="left" w:pos="1701"/>
        </w:tabs>
        <w:spacing w:before="60" w:after="60"/>
        <w:rPr>
          <w:rFonts w:cs="Arial"/>
          <w:iCs/>
          <w:sz w:val="20"/>
          <w:szCs w:val="22"/>
          <w:lang w:eastAsia="en-AU" w:bidi="ar-SA"/>
        </w:rPr>
      </w:pPr>
      <w:r w:rsidRPr="00CE0905">
        <w:rPr>
          <w:rFonts w:cs="Arial"/>
          <w:iCs/>
          <w:sz w:val="20"/>
          <w:szCs w:val="22"/>
          <w:lang w:eastAsia="en-AU" w:bidi="ar-SA"/>
        </w:rPr>
        <w:t>clause 20.</w:t>
      </w:r>
    </w:p>
    <w:p w14:paraId="1E224993" w14:textId="77777777" w:rsidR="00796E7C" w:rsidRPr="00CE0905" w:rsidRDefault="00796E7C" w:rsidP="00796E7C">
      <w:pPr>
        <w:rPr>
          <w:rFonts w:cs="Arial"/>
          <w:lang w:bidi="ar-SA"/>
        </w:rPr>
      </w:pPr>
    </w:p>
    <w:p w14:paraId="47E937E7" w14:textId="07A2D3FB" w:rsidR="00D5526B" w:rsidRPr="00CE0905" w:rsidRDefault="00D5526B" w:rsidP="007364B9">
      <w:pPr>
        <w:widowControl/>
        <w:rPr>
          <w:rFonts w:cs="Arial"/>
          <w:b/>
          <w:bCs/>
          <w:sz w:val="28"/>
          <w:szCs w:val="22"/>
          <w:lang w:bidi="ar-SA"/>
        </w:rPr>
      </w:pPr>
    </w:p>
    <w:sectPr w:rsidR="00D5526B" w:rsidRPr="00CE0905" w:rsidSect="008E233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59"/>
    <w:family w:val="auto"/>
    <w:pitch w:val="variable"/>
    <w:sig w:usb0="00000000"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6A73"/>
    <w:multiLevelType w:val="hybridMultilevel"/>
    <w:tmpl w:val="2F287640"/>
    <w:lvl w:ilvl="0" w:tplc="C4601FA6">
      <w:start w:val="1"/>
      <w:numFmt w:val="lowerRoman"/>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 w15:restartNumberingAfterBreak="0">
    <w:nsid w:val="1629530A"/>
    <w:multiLevelType w:val="hybridMultilevel"/>
    <w:tmpl w:val="778E2858"/>
    <w:lvl w:ilvl="0" w:tplc="E70A0306">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 w15:restartNumberingAfterBreak="0">
    <w:nsid w:val="1BD45967"/>
    <w:multiLevelType w:val="hybridMultilevel"/>
    <w:tmpl w:val="A2C29F2A"/>
    <w:lvl w:ilvl="0" w:tplc="9440F0BA">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3A451EC"/>
    <w:multiLevelType w:val="hybridMultilevel"/>
    <w:tmpl w:val="A2C29F2A"/>
    <w:lvl w:ilvl="0" w:tplc="9440F0BA">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3D84225E"/>
    <w:multiLevelType w:val="hybridMultilevel"/>
    <w:tmpl w:val="2F287640"/>
    <w:lvl w:ilvl="0" w:tplc="C4601FA6">
      <w:start w:val="1"/>
      <w:numFmt w:val="lowerRoman"/>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B008C7"/>
    <w:multiLevelType w:val="hybridMultilevel"/>
    <w:tmpl w:val="9B884316"/>
    <w:lvl w:ilvl="0" w:tplc="8320F3A4">
      <w:start w:val="1"/>
      <w:numFmt w:val="lowerLetter"/>
      <w:lvlText w:val="(%1)"/>
      <w:lvlJc w:val="left"/>
      <w:pPr>
        <w:ind w:left="2270" w:hanging="57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8" w15:restartNumberingAfterBreak="0">
    <w:nsid w:val="4E8D4E23"/>
    <w:multiLevelType w:val="hybridMultilevel"/>
    <w:tmpl w:val="B784CB32"/>
    <w:lvl w:ilvl="0" w:tplc="181094A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468E4"/>
    <w:multiLevelType w:val="hybridMultilevel"/>
    <w:tmpl w:val="2AEAAEC8"/>
    <w:lvl w:ilvl="0" w:tplc="34982D74">
      <w:start w:val="1"/>
      <w:numFmt w:val="lowerLetter"/>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676681"/>
    <w:multiLevelType w:val="hybridMultilevel"/>
    <w:tmpl w:val="778E2858"/>
    <w:lvl w:ilvl="0" w:tplc="E70A0306">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2" w15:restartNumberingAfterBreak="0">
    <w:nsid w:val="666A3A06"/>
    <w:multiLevelType w:val="hybridMultilevel"/>
    <w:tmpl w:val="E470391C"/>
    <w:lvl w:ilvl="0" w:tplc="F942E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04D27"/>
    <w:multiLevelType w:val="hybridMultilevel"/>
    <w:tmpl w:val="9B884316"/>
    <w:lvl w:ilvl="0" w:tplc="8320F3A4">
      <w:start w:val="1"/>
      <w:numFmt w:val="lowerLetter"/>
      <w:lvlText w:val="(%1)"/>
      <w:lvlJc w:val="left"/>
      <w:pPr>
        <w:ind w:left="2270" w:hanging="57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4" w15:restartNumberingAfterBreak="0">
    <w:nsid w:val="6A796472"/>
    <w:multiLevelType w:val="hybridMultilevel"/>
    <w:tmpl w:val="858245AC"/>
    <w:lvl w:ilvl="0" w:tplc="F942E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7F5648F0"/>
    <w:multiLevelType w:val="hybridMultilevel"/>
    <w:tmpl w:val="99DC33BC"/>
    <w:lvl w:ilvl="0" w:tplc="8320F3A4">
      <w:start w:val="1"/>
      <w:numFmt w:val="lowerLetter"/>
      <w:lvlText w:val="(%1)"/>
      <w:lvlJc w:val="left"/>
      <w:pPr>
        <w:ind w:left="2270" w:hanging="570"/>
      </w:pPr>
      <w:rPr>
        <w:rFonts w:hint="default"/>
      </w:rPr>
    </w:lvl>
    <w:lvl w:ilvl="1" w:tplc="2EE8F2B8">
      <w:start w:val="1"/>
      <w:numFmt w:val="lowerRoman"/>
      <w:lvlText w:val="(%2)"/>
      <w:lvlJc w:val="left"/>
      <w:pPr>
        <w:ind w:left="3140" w:hanging="720"/>
      </w:pPr>
      <w:rPr>
        <w:rFonts w:hint="default"/>
      </w:r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num w:numId="1" w16cid:durableId="1594439562">
    <w:abstractNumId w:val="3"/>
  </w:num>
  <w:num w:numId="2" w16cid:durableId="1191337713">
    <w:abstractNumId w:val="3"/>
  </w:num>
  <w:num w:numId="3" w16cid:durableId="90201750">
    <w:abstractNumId w:val="3"/>
  </w:num>
  <w:num w:numId="4" w16cid:durableId="298189810">
    <w:abstractNumId w:val="3"/>
  </w:num>
  <w:num w:numId="5" w16cid:durableId="1818110459">
    <w:abstractNumId w:val="3"/>
  </w:num>
  <w:num w:numId="6" w16cid:durableId="210770974">
    <w:abstractNumId w:val="3"/>
  </w:num>
  <w:num w:numId="7" w16cid:durableId="1091658538">
    <w:abstractNumId w:val="3"/>
  </w:num>
  <w:num w:numId="8" w16cid:durableId="1682051568">
    <w:abstractNumId w:val="15"/>
  </w:num>
  <w:num w:numId="9" w16cid:durableId="396056688">
    <w:abstractNumId w:val="6"/>
  </w:num>
  <w:num w:numId="10" w16cid:durableId="1642154483">
    <w:abstractNumId w:val="10"/>
  </w:num>
  <w:num w:numId="11" w16cid:durableId="875629223">
    <w:abstractNumId w:val="15"/>
  </w:num>
  <w:num w:numId="12" w16cid:durableId="966280367">
    <w:abstractNumId w:val="6"/>
  </w:num>
  <w:num w:numId="13" w16cid:durableId="1628051273">
    <w:abstractNumId w:val="10"/>
  </w:num>
  <w:num w:numId="14" w16cid:durableId="1360668772">
    <w:abstractNumId w:val="11"/>
  </w:num>
  <w:num w:numId="15" w16cid:durableId="1344429759">
    <w:abstractNumId w:val="1"/>
  </w:num>
  <w:num w:numId="16" w16cid:durableId="426122713">
    <w:abstractNumId w:val="16"/>
  </w:num>
  <w:num w:numId="17" w16cid:durableId="1005129315">
    <w:abstractNumId w:val="4"/>
  </w:num>
  <w:num w:numId="18" w16cid:durableId="686443199">
    <w:abstractNumId w:val="7"/>
  </w:num>
  <w:num w:numId="19" w16cid:durableId="1059355130">
    <w:abstractNumId w:val="14"/>
  </w:num>
  <w:num w:numId="20" w16cid:durableId="818308903">
    <w:abstractNumId w:val="8"/>
  </w:num>
  <w:num w:numId="21" w16cid:durableId="523373268">
    <w:abstractNumId w:val="5"/>
  </w:num>
  <w:num w:numId="22" w16cid:durableId="314339442">
    <w:abstractNumId w:val="9"/>
  </w:num>
  <w:num w:numId="23" w16cid:durableId="286087327">
    <w:abstractNumId w:val="12"/>
  </w:num>
  <w:num w:numId="24" w16cid:durableId="198973035">
    <w:abstractNumId w:val="0"/>
  </w:num>
  <w:num w:numId="25" w16cid:durableId="696731662">
    <w:abstractNumId w:val="13"/>
  </w:num>
  <w:num w:numId="26" w16cid:durableId="294021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7C"/>
    <w:rsid w:val="0000542C"/>
    <w:rsid w:val="00041643"/>
    <w:rsid w:val="000479A4"/>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9170F"/>
    <w:rsid w:val="005955D4"/>
    <w:rsid w:val="005B578D"/>
    <w:rsid w:val="005C1996"/>
    <w:rsid w:val="005D5402"/>
    <w:rsid w:val="00613782"/>
    <w:rsid w:val="006B6900"/>
    <w:rsid w:val="006D473E"/>
    <w:rsid w:val="007201F8"/>
    <w:rsid w:val="007364B9"/>
    <w:rsid w:val="00793DE6"/>
    <w:rsid w:val="00796E7C"/>
    <w:rsid w:val="007F6456"/>
    <w:rsid w:val="00830393"/>
    <w:rsid w:val="00833D5A"/>
    <w:rsid w:val="00860C05"/>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CE0905"/>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A0D42"/>
    <w:rsid w:val="00FD4B8D"/>
    <w:rsid w:val="00FF55E9"/>
    <w:rsid w:val="33AE8217"/>
    <w:rsid w:val="4C91B334"/>
    <w:rsid w:val="5603B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2E14"/>
  <w15:chartTrackingRefBased/>
  <w15:docId w15:val="{7CCBF9C3-EF79-47BB-A95D-A9A074ED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796E7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SCh4Div">
    <w:name w:val="FSC_h4_Div"/>
    <w:basedOn w:val="Normal"/>
    <w:next w:val="Normal"/>
    <w:qFormat/>
    <w:rsid w:val="00796E7C"/>
    <w:pPr>
      <w:spacing w:before="240" w:after="240"/>
      <w:ind w:left="1701" w:hanging="1701"/>
      <w:outlineLvl w:val="3"/>
    </w:pPr>
    <w:rPr>
      <w:b/>
      <w:bCs/>
      <w:kern w:val="32"/>
      <w:sz w:val="26"/>
      <w:szCs w:val="32"/>
      <w:lang w:eastAsia="en-AU" w:bidi="ar-SA"/>
    </w:rPr>
  </w:style>
  <w:style w:type="paragraph" w:customStyle="1" w:styleId="FSCh5SchItem">
    <w:name w:val="FSC_h5_Sch_Item"/>
    <w:basedOn w:val="Normal"/>
    <w:next w:val="Normal"/>
    <w:qFormat/>
    <w:rsid w:val="00796E7C"/>
    <w:pPr>
      <w:keepNext/>
      <w:keepLines/>
      <w:widowControl/>
      <w:spacing w:before="360" w:after="60"/>
      <w:ind w:left="964" w:hanging="964"/>
    </w:pPr>
    <w:rPr>
      <w:rFonts w:cs="Arial"/>
      <w:b/>
      <w:bCs/>
      <w:kern w:val="32"/>
      <w:sz w:val="24"/>
      <w:szCs w:val="32"/>
      <w:lang w:val="en-AU" w:eastAsia="en-AU" w:bidi="ar-SA"/>
    </w:rPr>
  </w:style>
  <w:style w:type="paragraph" w:customStyle="1" w:styleId="FSCoutStand">
    <w:name w:val="FSC_out_Stand"/>
    <w:aliases w:val="n_outline_standard"/>
    <w:basedOn w:val="Normal"/>
    <w:qFormat/>
    <w:rsid w:val="00796E7C"/>
    <w:pPr>
      <w:tabs>
        <w:tab w:val="left" w:pos="1701"/>
      </w:tabs>
      <w:spacing w:before="120" w:after="120"/>
      <w:ind w:left="3402" w:hanging="3402"/>
    </w:pPr>
    <w:rPr>
      <w:rFonts w:cs="Arial"/>
      <w:iCs/>
      <w:sz w:val="20"/>
      <w:szCs w:val="22"/>
      <w:lang w:eastAsia="en-AU" w:bidi="ar-SA"/>
    </w:rPr>
  </w:style>
  <w:style w:type="paragraph" w:customStyle="1" w:styleId="FSCh2Amendmentheading">
    <w:name w:val="FSC_h2_Amendment_heading"/>
    <w:basedOn w:val="Normal"/>
    <w:qFormat/>
    <w:rsid w:val="00796E7C"/>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FSCtAmendingwords">
    <w:name w:val="FSC_t_Amending_words"/>
    <w:basedOn w:val="Normal"/>
    <w:qFormat/>
    <w:rsid w:val="00796E7C"/>
    <w:pPr>
      <w:keepLines/>
      <w:widowControl/>
      <w:spacing w:before="120"/>
      <w:ind w:left="1134"/>
    </w:pPr>
    <w:rPr>
      <w:rFonts w:cs="Arial"/>
      <w:iCs/>
      <w:sz w:val="24"/>
      <w:szCs w:val="2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Value>
      <Value>6</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6717-F4BA-41DD-8227-2D5EE4F80BCC}">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14348DE3-2EEB-486F-A6CD-08C61198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86C9F-DB08-42C3-8143-274FE9507FCB}">
  <ds:schemaRefs>
    <ds:schemaRef ds:uri="Microsoft.SharePoint.Taxonomy.ContentTypeSync"/>
  </ds:schemaRefs>
</ds:datastoreItem>
</file>

<file path=customXml/itemProps4.xml><?xml version="1.0" encoding="utf-8"?>
<ds:datastoreItem xmlns:ds="http://schemas.openxmlformats.org/officeDocument/2006/customXml" ds:itemID="{E16252CF-1620-4F76-A765-00BA0047C478}">
  <ds:schemaRefs>
    <ds:schemaRef ds:uri="http://schemas.microsoft.com/sharepoint/v3/contenttype/forms"/>
  </ds:schemaRefs>
</ds:datastoreItem>
</file>

<file path=customXml/itemProps5.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7491</Characters>
  <Application>Microsoft Office Word</Application>
  <DocSecurity>0</DocSecurity>
  <Lines>62</Lines>
  <Paragraphs>17</Paragraphs>
  <ScaleCrop>false</ScaleCrop>
  <Company>Food Standards Australia New Zealand</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Joanna Richards</cp:lastModifiedBy>
  <cp:revision>2</cp:revision>
  <dcterms:created xsi:type="dcterms:W3CDTF">2022-12-05T00:22:00Z</dcterms:created>
  <dcterms:modified xsi:type="dcterms:W3CDTF">2022-12-05T00:22:00Z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lcf76f155ced4ddcb4097134ff3c332f">
    <vt:lpwstr/>
  </property>
  <property fmtid="{D5CDD505-2E9C-101B-9397-08002B2CF9AE}" pid="8" name="BCS">
    <vt:lpwstr>6;#Evaluation|43cb9915-dbd2-4e45-b39d-7bc5c58c72da</vt:lpwstr>
  </property>
  <property fmtid="{D5CDD505-2E9C-101B-9397-08002B2CF9AE}" pid="9" name="Access">
    <vt:lpwstr/>
  </property>
  <property fmtid="{D5CDD505-2E9C-101B-9397-08002B2CF9AE}" pid="10" name="Classification">
    <vt:lpwstr>3;#OFFICIAL|3776503d-ed4e-4d70-8dfd-8e17b238523b</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Category">
    <vt:lpwstr/>
  </property>
  <property fmtid="{D5CDD505-2E9C-101B-9397-08002B2CF9AE}" pid="16" name="Data Accessibility">
    <vt:lpwstr/>
  </property>
</Properties>
</file>