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9308DF" w:rsidRDefault="00FF6E25" w:rsidP="00FF6E25">
      <w:pPr>
        <w:jc w:val="center"/>
        <w:rPr>
          <w:rFonts w:asciiTheme="minorHAnsi" w:hAnsiTheme="minorHAnsi" w:cstheme="minorHAnsi"/>
          <w:b/>
          <w:szCs w:val="24"/>
          <w:u w:val="single"/>
        </w:rPr>
      </w:pPr>
      <w:r w:rsidRPr="009308DF">
        <w:rPr>
          <w:rFonts w:asciiTheme="minorHAnsi" w:hAnsiTheme="minorHAnsi" w:cstheme="minorHAnsi"/>
          <w:b/>
          <w:szCs w:val="24"/>
          <w:u w:val="single"/>
        </w:rPr>
        <w:t>EXPLANATORY STATEMENT</w:t>
      </w:r>
    </w:p>
    <w:p w14:paraId="145EC655" w14:textId="4A00C524" w:rsidR="0088497A" w:rsidRPr="009308DF" w:rsidRDefault="0088497A" w:rsidP="00FF6E25">
      <w:pPr>
        <w:jc w:val="center"/>
        <w:rPr>
          <w:rFonts w:asciiTheme="minorHAnsi" w:hAnsiTheme="minorHAnsi" w:cstheme="minorHAnsi"/>
          <w:szCs w:val="24"/>
          <w:u w:val="single"/>
        </w:rPr>
      </w:pPr>
      <w:r w:rsidRPr="009308DF">
        <w:rPr>
          <w:rFonts w:asciiTheme="minorHAnsi" w:hAnsiTheme="minorHAnsi" w:cstheme="minorHAnsi"/>
          <w:szCs w:val="24"/>
          <w:u w:val="single"/>
        </w:rPr>
        <w:t xml:space="preserve">Issued by the authority of </w:t>
      </w:r>
      <w:r w:rsidR="009308DF" w:rsidRPr="009308DF">
        <w:rPr>
          <w:rFonts w:asciiTheme="minorHAnsi" w:hAnsiTheme="minorHAnsi" w:cstheme="minorHAnsi"/>
          <w:szCs w:val="24"/>
          <w:u w:val="single"/>
        </w:rPr>
        <w:t xml:space="preserve">the Minister </w:t>
      </w:r>
      <w:r w:rsidR="00E921F4">
        <w:rPr>
          <w:rFonts w:asciiTheme="minorHAnsi" w:hAnsiTheme="minorHAnsi" w:cstheme="minorHAnsi"/>
          <w:szCs w:val="24"/>
          <w:u w:val="single"/>
        </w:rPr>
        <w:t>for</w:t>
      </w:r>
      <w:r w:rsidR="009308DF" w:rsidRPr="009308DF">
        <w:rPr>
          <w:rFonts w:asciiTheme="minorHAnsi" w:hAnsiTheme="minorHAnsi" w:cstheme="minorHAnsi"/>
          <w:szCs w:val="24"/>
          <w:u w:val="single"/>
        </w:rPr>
        <w:t xml:space="preserve"> Education</w:t>
      </w:r>
    </w:p>
    <w:p w14:paraId="12EB6806" w14:textId="1518A748" w:rsidR="00455C2A" w:rsidRPr="009308DF" w:rsidRDefault="009308DF" w:rsidP="00FF6E25">
      <w:pPr>
        <w:jc w:val="center"/>
        <w:rPr>
          <w:rFonts w:asciiTheme="minorHAnsi" w:hAnsiTheme="minorHAnsi" w:cstheme="minorHAnsi"/>
          <w:b/>
          <w:i/>
          <w:szCs w:val="24"/>
        </w:rPr>
      </w:pPr>
      <w:r w:rsidRPr="009308DF">
        <w:rPr>
          <w:rFonts w:asciiTheme="minorHAnsi" w:hAnsiTheme="minorHAnsi" w:cstheme="minorHAnsi"/>
          <w:b/>
          <w:i/>
          <w:szCs w:val="24"/>
        </w:rPr>
        <w:t>Higher Education Support Act 2003</w:t>
      </w:r>
    </w:p>
    <w:p w14:paraId="6C026A0C" w14:textId="4B606002" w:rsidR="00503218" w:rsidRPr="0088497A" w:rsidRDefault="009B15A4" w:rsidP="00DA552F">
      <w:pPr>
        <w:jc w:val="center"/>
        <w:rPr>
          <w:rFonts w:asciiTheme="minorHAnsi" w:hAnsiTheme="minorHAnsi" w:cstheme="minorHAnsi"/>
          <w:b/>
          <w:i/>
          <w:szCs w:val="24"/>
        </w:rPr>
      </w:pPr>
      <w:r>
        <w:rPr>
          <w:rFonts w:asciiTheme="minorHAnsi" w:hAnsiTheme="minorHAnsi" w:cstheme="minorHAnsi"/>
          <w:b/>
          <w:i/>
          <w:szCs w:val="24"/>
        </w:rPr>
        <w:t xml:space="preserve">Other Grants (Research) Amendment (National Industry PhD Program) </w:t>
      </w:r>
      <w:r w:rsidR="00C936A8">
        <w:rPr>
          <w:rFonts w:asciiTheme="minorHAnsi" w:hAnsiTheme="minorHAnsi" w:cstheme="minorHAnsi"/>
          <w:b/>
          <w:i/>
          <w:szCs w:val="24"/>
        </w:rPr>
        <w:t xml:space="preserve">Guidelines </w:t>
      </w:r>
      <w:r>
        <w:rPr>
          <w:rFonts w:asciiTheme="minorHAnsi" w:hAnsiTheme="minorHAnsi" w:cstheme="minorHAnsi"/>
          <w:b/>
          <w:i/>
          <w:szCs w:val="24"/>
        </w:rPr>
        <w:t>2022</w:t>
      </w:r>
    </w:p>
    <w:p w14:paraId="33AB2D38" w14:textId="77777777"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08F6D023" w14:textId="2B6BB1AC" w:rsidR="00690EC9" w:rsidRPr="00690EC9" w:rsidRDefault="009308DF" w:rsidP="00690EC9">
      <w:pPr>
        <w:pStyle w:val="Heading2"/>
        <w:spacing w:after="240"/>
        <w:rPr>
          <w:rFonts w:asciiTheme="minorHAnsi" w:hAnsiTheme="minorHAnsi" w:cstheme="minorHAnsi"/>
          <w:b w:val="0"/>
          <w:iCs/>
          <w:color w:val="auto"/>
        </w:rPr>
      </w:pPr>
      <w:r w:rsidRPr="00690EC9">
        <w:rPr>
          <w:rFonts w:asciiTheme="minorHAnsi" w:hAnsiTheme="minorHAnsi" w:cstheme="minorHAnsi"/>
          <w:b w:val="0"/>
          <w:iCs/>
          <w:color w:val="auto"/>
        </w:rPr>
        <w:t xml:space="preserve">Section 238-10 of the </w:t>
      </w:r>
      <w:r w:rsidRPr="00690EC9">
        <w:rPr>
          <w:rFonts w:asciiTheme="minorHAnsi" w:hAnsiTheme="minorHAnsi" w:cstheme="minorHAnsi"/>
          <w:b w:val="0"/>
          <w:i/>
          <w:color w:val="auto"/>
        </w:rPr>
        <w:t xml:space="preserve">Higher Education Support Act 2003 </w:t>
      </w:r>
      <w:r w:rsidRPr="00690EC9">
        <w:rPr>
          <w:rFonts w:asciiTheme="minorHAnsi" w:hAnsiTheme="minorHAnsi" w:cstheme="minorHAnsi"/>
          <w:b w:val="0"/>
          <w:iCs/>
          <w:color w:val="auto"/>
        </w:rPr>
        <w:t>(the Act) provides that the Minister may make Other Grants Guidelines to</w:t>
      </w:r>
      <w:r w:rsidR="006C0CAB">
        <w:rPr>
          <w:rFonts w:asciiTheme="minorHAnsi" w:hAnsiTheme="minorHAnsi" w:cstheme="minorHAnsi"/>
          <w:b w:val="0"/>
          <w:iCs/>
          <w:color w:val="auto"/>
        </w:rPr>
        <w:t xml:space="preserve">, amongst other things, provide for matters necessary or convenient to be provided </w:t>
      </w:r>
      <w:proofErr w:type="gramStart"/>
      <w:r w:rsidR="006C0CAB">
        <w:rPr>
          <w:rFonts w:asciiTheme="minorHAnsi" w:hAnsiTheme="minorHAnsi" w:cstheme="minorHAnsi"/>
          <w:b w:val="0"/>
          <w:iCs/>
          <w:color w:val="auto"/>
        </w:rPr>
        <w:t>in order to</w:t>
      </w:r>
      <w:proofErr w:type="gramEnd"/>
      <w:r w:rsidR="006C0CAB">
        <w:rPr>
          <w:rFonts w:asciiTheme="minorHAnsi" w:hAnsiTheme="minorHAnsi" w:cstheme="minorHAnsi"/>
          <w:b w:val="0"/>
          <w:iCs/>
          <w:color w:val="auto"/>
        </w:rPr>
        <w:t xml:space="preserve"> carry out</w:t>
      </w:r>
      <w:r w:rsidR="00E921F4">
        <w:rPr>
          <w:rFonts w:asciiTheme="minorHAnsi" w:hAnsiTheme="minorHAnsi" w:cstheme="minorHAnsi"/>
          <w:b w:val="0"/>
          <w:iCs/>
          <w:color w:val="auto"/>
        </w:rPr>
        <w:t>,</w:t>
      </w:r>
      <w:r w:rsidR="006C0CAB">
        <w:rPr>
          <w:rFonts w:asciiTheme="minorHAnsi" w:hAnsiTheme="minorHAnsi" w:cstheme="minorHAnsi"/>
          <w:b w:val="0"/>
          <w:iCs/>
          <w:color w:val="auto"/>
        </w:rPr>
        <w:t xml:space="preserve"> or</w:t>
      </w:r>
      <w:r w:rsidRPr="00690EC9">
        <w:rPr>
          <w:rFonts w:asciiTheme="minorHAnsi" w:hAnsiTheme="minorHAnsi" w:cstheme="minorHAnsi"/>
          <w:b w:val="0"/>
          <w:iCs/>
          <w:color w:val="auto"/>
        </w:rPr>
        <w:t xml:space="preserve"> give effect to</w:t>
      </w:r>
      <w:r w:rsidR="00E921F4">
        <w:rPr>
          <w:rFonts w:asciiTheme="minorHAnsi" w:hAnsiTheme="minorHAnsi" w:cstheme="minorHAnsi"/>
          <w:b w:val="0"/>
          <w:iCs/>
          <w:color w:val="auto"/>
        </w:rPr>
        <w:t>,</w:t>
      </w:r>
      <w:r w:rsidRPr="00690EC9">
        <w:rPr>
          <w:rFonts w:asciiTheme="minorHAnsi" w:hAnsiTheme="minorHAnsi" w:cstheme="minorHAnsi"/>
          <w:b w:val="0"/>
          <w:iCs/>
          <w:color w:val="auto"/>
        </w:rPr>
        <w:t xml:space="preserve"> Part 2-3 of the Act in relation to grants payable under that Part</w:t>
      </w:r>
      <w:r w:rsidR="00690EC9" w:rsidRPr="00690EC9">
        <w:rPr>
          <w:rFonts w:asciiTheme="minorHAnsi" w:hAnsiTheme="minorHAnsi" w:cstheme="minorHAnsi"/>
          <w:b w:val="0"/>
          <w:iCs/>
          <w:color w:val="auto"/>
        </w:rPr>
        <w:t>.</w:t>
      </w:r>
    </w:p>
    <w:p w14:paraId="212088D4" w14:textId="7536E91B" w:rsidR="00690EC9" w:rsidRPr="00690EC9" w:rsidRDefault="00690EC9" w:rsidP="00690EC9">
      <w:pPr>
        <w:pStyle w:val="Heading2"/>
        <w:spacing w:after="240"/>
        <w:rPr>
          <w:rFonts w:asciiTheme="minorHAnsi" w:hAnsiTheme="minorHAnsi" w:cstheme="minorHAnsi"/>
          <w:b w:val="0"/>
          <w:iCs/>
          <w:color w:val="auto"/>
        </w:rPr>
      </w:pPr>
      <w:r w:rsidRPr="00690EC9">
        <w:rPr>
          <w:rFonts w:asciiTheme="minorHAnsi" w:hAnsiTheme="minorHAnsi" w:cstheme="minorHAnsi"/>
          <w:b w:val="0"/>
          <w:iCs/>
          <w:color w:val="auto"/>
        </w:rPr>
        <w:t xml:space="preserve">Section 41-15 of the Act provides that the Other Grants Guidelines may specify one or more programs under which grants for </w:t>
      </w:r>
      <w:proofErr w:type="gramStart"/>
      <w:r w:rsidRPr="00690EC9">
        <w:rPr>
          <w:rFonts w:asciiTheme="minorHAnsi" w:hAnsiTheme="minorHAnsi" w:cstheme="minorHAnsi"/>
          <w:b w:val="0"/>
          <w:iCs/>
          <w:color w:val="auto"/>
        </w:rPr>
        <w:t>particular purposes</w:t>
      </w:r>
      <w:proofErr w:type="gramEnd"/>
      <w:r w:rsidRPr="00690EC9">
        <w:rPr>
          <w:rFonts w:asciiTheme="minorHAnsi" w:hAnsiTheme="minorHAnsi" w:cstheme="minorHAnsi"/>
          <w:b w:val="0"/>
          <w:iCs/>
          <w:color w:val="auto"/>
        </w:rPr>
        <w:t xml:space="preserve"> specified in the table in subsection 41-10(1) are to be paid.</w:t>
      </w:r>
      <w:r w:rsidR="00E44851" w:rsidRPr="00E44851">
        <w:t xml:space="preserve"> </w:t>
      </w:r>
      <w:r w:rsidR="00E44851" w:rsidRPr="00E44851">
        <w:rPr>
          <w:rFonts w:asciiTheme="minorHAnsi" w:hAnsiTheme="minorHAnsi" w:cstheme="minorHAnsi"/>
          <w:b w:val="0"/>
          <w:iCs/>
          <w:color w:val="auto"/>
        </w:rPr>
        <w:t xml:space="preserve">The </w:t>
      </w:r>
      <w:r w:rsidR="00E44851" w:rsidRPr="00E44851">
        <w:rPr>
          <w:rFonts w:asciiTheme="minorHAnsi" w:hAnsiTheme="minorHAnsi" w:cstheme="minorHAnsi"/>
          <w:b w:val="0"/>
          <w:i/>
          <w:color w:val="auto"/>
        </w:rPr>
        <w:t>Other Grants (Research) Amendment (National Industry PhD Program) Guidelines 2022</w:t>
      </w:r>
      <w:r w:rsidR="00E44851">
        <w:rPr>
          <w:rFonts w:asciiTheme="minorHAnsi" w:hAnsiTheme="minorHAnsi" w:cstheme="minorHAnsi"/>
          <w:b w:val="0"/>
          <w:iCs/>
          <w:color w:val="auto"/>
        </w:rPr>
        <w:t xml:space="preserve"> (the Amendment Instrument)</w:t>
      </w:r>
      <w:r w:rsidR="00E44851" w:rsidRPr="00E44851">
        <w:rPr>
          <w:rFonts w:asciiTheme="minorHAnsi" w:hAnsiTheme="minorHAnsi" w:cstheme="minorHAnsi"/>
          <w:b w:val="0"/>
          <w:iCs/>
          <w:color w:val="auto"/>
        </w:rPr>
        <w:t xml:space="preserve"> </w:t>
      </w:r>
      <w:r w:rsidR="00E44851">
        <w:rPr>
          <w:rFonts w:asciiTheme="minorHAnsi" w:hAnsiTheme="minorHAnsi" w:cstheme="minorHAnsi"/>
          <w:b w:val="0"/>
          <w:iCs/>
          <w:color w:val="auto"/>
        </w:rPr>
        <w:t xml:space="preserve">specifies a program for </w:t>
      </w:r>
      <w:r w:rsidR="00E44851" w:rsidRPr="00E44851">
        <w:rPr>
          <w:rFonts w:asciiTheme="minorHAnsi" w:hAnsiTheme="minorHAnsi" w:cstheme="minorHAnsi"/>
          <w:b w:val="0"/>
          <w:iCs/>
          <w:color w:val="auto"/>
        </w:rPr>
        <w:t>the purpose of supporting the training of research students, under item 8 of t</w:t>
      </w:r>
      <w:r w:rsidR="00E44851">
        <w:rPr>
          <w:rFonts w:asciiTheme="minorHAnsi" w:hAnsiTheme="minorHAnsi" w:cstheme="minorHAnsi"/>
          <w:b w:val="0"/>
          <w:iCs/>
          <w:color w:val="auto"/>
        </w:rPr>
        <w:t>his table.</w:t>
      </w:r>
    </w:p>
    <w:p w14:paraId="4F7BADF6" w14:textId="5A65FFD6" w:rsidR="00DB6247" w:rsidRPr="00690EC9" w:rsidRDefault="00DB6247" w:rsidP="00690EC9">
      <w:pPr>
        <w:pStyle w:val="Heading2"/>
        <w:spacing w:after="240"/>
        <w:rPr>
          <w:rFonts w:asciiTheme="minorHAnsi" w:hAnsiTheme="minorHAnsi" w:cstheme="minorHAnsi"/>
          <w:b w:val="0"/>
          <w:iCs/>
          <w:color w:val="auto"/>
        </w:rPr>
      </w:pPr>
      <w:r w:rsidRPr="00690EC9">
        <w:rPr>
          <w:rFonts w:asciiTheme="minorHAnsi" w:hAnsiTheme="minorHAnsi" w:cstheme="minorHAnsi"/>
          <w:b w:val="0"/>
          <w:iCs/>
          <w:color w:val="auto"/>
        </w:rPr>
        <w:t>Under subsection 33(3) of the </w:t>
      </w:r>
      <w:r w:rsidRPr="00690EC9">
        <w:rPr>
          <w:rFonts w:asciiTheme="minorHAnsi" w:hAnsiTheme="minorHAnsi" w:cstheme="minorHAnsi"/>
          <w:b w:val="0"/>
          <w:i/>
          <w:color w:val="auto"/>
        </w:rPr>
        <w:t>Acts Interpretation Act 1901</w:t>
      </w:r>
      <w:r w:rsidRPr="00690EC9">
        <w:rPr>
          <w:rFonts w:asciiTheme="minorHAnsi" w:hAnsiTheme="minorHAnsi" w:cstheme="minorHAnsi"/>
          <w:b w:val="0"/>
          <w:iCs/>
          <w:color w:val="auto"/>
        </w:rPr>
        <w:t>, where an Act confers a power to make, grant or issue any instrument of a legislative or administrative character (including rules, regulations or by</w:t>
      </w:r>
      <w:r w:rsidRPr="00690EC9">
        <w:rPr>
          <w:rFonts w:asciiTheme="minorHAnsi" w:hAnsiTheme="minorHAnsi" w:cstheme="minorHAnsi"/>
          <w:b w:val="0"/>
          <w:iCs/>
          <w:color w:val="auto"/>
        </w:rPr>
        <w:noBreakHyphen/>
        <w:t>laws), the power shall be construed as including a power exercisable in the like manner and subject to the like conditions (if any) to repeal, rescind, revoke, amend, or vary any such instrument.</w:t>
      </w:r>
      <w:r w:rsidR="00690EC9">
        <w:rPr>
          <w:rFonts w:asciiTheme="minorHAnsi" w:hAnsiTheme="minorHAnsi" w:cstheme="minorHAnsi"/>
          <w:b w:val="0"/>
          <w:iCs/>
          <w:color w:val="auto"/>
        </w:rPr>
        <w:t xml:space="preserve"> The amendments to the </w:t>
      </w:r>
      <w:bookmarkStart w:id="2" w:name="_Hlk115185751"/>
      <w:r w:rsidR="009B15A4">
        <w:rPr>
          <w:rFonts w:asciiTheme="minorHAnsi" w:hAnsiTheme="minorHAnsi" w:cstheme="minorHAnsi"/>
          <w:b w:val="0"/>
          <w:i/>
          <w:color w:val="auto"/>
        </w:rPr>
        <w:t>Other Grants Guidelines (Research) 2017</w:t>
      </w:r>
      <w:r w:rsidR="00690EC9">
        <w:rPr>
          <w:rFonts w:asciiTheme="minorHAnsi" w:hAnsiTheme="minorHAnsi" w:cstheme="minorHAnsi"/>
          <w:b w:val="0"/>
          <w:iCs/>
          <w:color w:val="auto"/>
        </w:rPr>
        <w:t xml:space="preserve"> (the Principal Instrument)</w:t>
      </w:r>
      <w:bookmarkEnd w:id="2"/>
      <w:r w:rsidR="00690EC9">
        <w:rPr>
          <w:rFonts w:asciiTheme="minorHAnsi" w:hAnsiTheme="minorHAnsi" w:cstheme="minorHAnsi"/>
          <w:b w:val="0"/>
          <w:iCs/>
          <w:color w:val="auto"/>
        </w:rPr>
        <w:t xml:space="preserve"> made by </w:t>
      </w:r>
      <w:r w:rsidR="003D0D3F">
        <w:rPr>
          <w:rFonts w:asciiTheme="minorHAnsi" w:hAnsiTheme="minorHAnsi" w:cstheme="minorHAnsi"/>
          <w:b w:val="0"/>
          <w:iCs/>
          <w:color w:val="auto"/>
        </w:rPr>
        <w:t xml:space="preserve">the Amendment Instrument </w:t>
      </w:r>
      <w:r w:rsidR="00690EC9">
        <w:rPr>
          <w:rFonts w:asciiTheme="minorHAnsi" w:hAnsiTheme="minorHAnsi" w:cstheme="minorHAnsi"/>
          <w:b w:val="0"/>
          <w:iCs/>
          <w:color w:val="auto"/>
        </w:rPr>
        <w:t>rely on this provision.</w:t>
      </w:r>
    </w:p>
    <w:bookmarkEnd w:id="0"/>
    <w:bookmarkEnd w:id="1"/>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024F5E5C" w14:textId="10EC5C13" w:rsidR="00690EC9" w:rsidRDefault="00690EC9" w:rsidP="00690EC9">
      <w:pPr>
        <w:rPr>
          <w:rFonts w:asciiTheme="minorHAnsi" w:hAnsiTheme="minorHAnsi" w:cstheme="minorHAnsi"/>
          <w:iCs/>
          <w:szCs w:val="24"/>
        </w:rPr>
      </w:pPr>
      <w:r w:rsidRPr="00690EC9">
        <w:rPr>
          <w:rFonts w:asciiTheme="minorHAnsi" w:hAnsiTheme="minorHAnsi" w:cstheme="minorHAnsi"/>
          <w:iCs/>
          <w:szCs w:val="24"/>
        </w:rPr>
        <w:t>The</w:t>
      </w:r>
      <w:r w:rsidRPr="00690EC9">
        <w:rPr>
          <w:rFonts w:asciiTheme="minorHAnsi" w:hAnsiTheme="minorHAnsi" w:cstheme="minorHAnsi"/>
          <w:i/>
          <w:szCs w:val="24"/>
        </w:rPr>
        <w:t xml:space="preserve"> </w:t>
      </w:r>
      <w:r w:rsidRPr="00690EC9">
        <w:rPr>
          <w:rFonts w:asciiTheme="minorHAnsi" w:hAnsiTheme="minorHAnsi" w:cstheme="minorHAnsi"/>
          <w:iCs/>
          <w:szCs w:val="24"/>
        </w:rPr>
        <w:t xml:space="preserve">Amendment Instrument amends the Principal Instrument to establish the </w:t>
      </w:r>
      <w:r w:rsidR="009B15A4">
        <w:rPr>
          <w:rFonts w:asciiTheme="minorHAnsi" w:hAnsiTheme="minorHAnsi" w:cstheme="minorHAnsi"/>
          <w:iCs/>
          <w:szCs w:val="24"/>
        </w:rPr>
        <w:t>National Industry PhD</w:t>
      </w:r>
      <w:r w:rsidRPr="00690EC9">
        <w:rPr>
          <w:rFonts w:asciiTheme="minorHAnsi" w:hAnsiTheme="minorHAnsi" w:cstheme="minorHAnsi"/>
          <w:iCs/>
          <w:szCs w:val="24"/>
        </w:rPr>
        <w:t xml:space="preserve"> program</w:t>
      </w:r>
      <w:r w:rsidR="00834CB4">
        <w:rPr>
          <w:rFonts w:asciiTheme="minorHAnsi" w:hAnsiTheme="minorHAnsi" w:cstheme="minorHAnsi"/>
          <w:iCs/>
          <w:szCs w:val="24"/>
        </w:rPr>
        <w:t xml:space="preserve"> (the program)</w:t>
      </w:r>
      <w:r w:rsidRPr="00690EC9">
        <w:rPr>
          <w:rFonts w:asciiTheme="minorHAnsi" w:hAnsiTheme="minorHAnsi" w:cstheme="minorHAnsi"/>
          <w:iCs/>
          <w:szCs w:val="24"/>
        </w:rPr>
        <w:t xml:space="preserve">. </w:t>
      </w:r>
    </w:p>
    <w:p w14:paraId="16246E8E" w14:textId="69562D79" w:rsidR="00690EC9" w:rsidRDefault="00943704" w:rsidP="00690EC9">
      <w:pPr>
        <w:rPr>
          <w:rFonts w:asciiTheme="minorHAnsi" w:hAnsiTheme="minorHAnsi" w:cstheme="minorHAnsi"/>
          <w:iCs/>
          <w:szCs w:val="24"/>
        </w:rPr>
      </w:pPr>
      <w:r>
        <w:rPr>
          <w:rFonts w:asciiTheme="minorHAnsi" w:hAnsiTheme="minorHAnsi" w:cstheme="minorHAnsi"/>
          <w:iCs/>
          <w:szCs w:val="24"/>
        </w:rPr>
        <w:t>T</w:t>
      </w:r>
      <w:r w:rsidR="00690EC9">
        <w:rPr>
          <w:rFonts w:asciiTheme="minorHAnsi" w:hAnsiTheme="minorHAnsi" w:cstheme="minorHAnsi"/>
          <w:iCs/>
          <w:szCs w:val="24"/>
        </w:rPr>
        <w:t xml:space="preserve">he Amendment Instrument </w:t>
      </w:r>
      <w:bookmarkStart w:id="3" w:name="_Hlk120554312"/>
      <w:r w:rsidR="00690EC9">
        <w:rPr>
          <w:rFonts w:asciiTheme="minorHAnsi" w:hAnsiTheme="minorHAnsi" w:cstheme="minorHAnsi"/>
          <w:iCs/>
          <w:szCs w:val="24"/>
        </w:rPr>
        <w:t>set</w:t>
      </w:r>
      <w:r>
        <w:rPr>
          <w:rFonts w:asciiTheme="minorHAnsi" w:hAnsiTheme="minorHAnsi" w:cstheme="minorHAnsi"/>
          <w:iCs/>
          <w:szCs w:val="24"/>
        </w:rPr>
        <w:t>s</w:t>
      </w:r>
      <w:r w:rsidR="00690EC9">
        <w:rPr>
          <w:rFonts w:asciiTheme="minorHAnsi" w:hAnsiTheme="minorHAnsi" w:cstheme="minorHAnsi"/>
          <w:iCs/>
          <w:szCs w:val="24"/>
        </w:rPr>
        <w:t xml:space="preserve"> out the program objectives for the program, the extra conditions of eligibility, conditions that apply to grants under the program and the method by which grant amounts under the program will be determined</w:t>
      </w:r>
      <w:bookmarkEnd w:id="3"/>
      <w:r w:rsidR="00690EC9">
        <w:rPr>
          <w:rFonts w:asciiTheme="minorHAnsi" w:hAnsiTheme="minorHAnsi" w:cstheme="minorHAnsi"/>
          <w:iCs/>
          <w:szCs w:val="24"/>
        </w:rPr>
        <w:t xml:space="preserve">. </w:t>
      </w:r>
    </w:p>
    <w:p w14:paraId="09564C7D" w14:textId="224B258D" w:rsidR="00B0354B" w:rsidRDefault="00690EC9" w:rsidP="00B0354B">
      <w:pPr>
        <w:rPr>
          <w:rFonts w:asciiTheme="minorHAnsi" w:hAnsiTheme="minorHAnsi" w:cstheme="minorHAnsi"/>
          <w:iCs/>
          <w:szCs w:val="24"/>
        </w:rPr>
      </w:pPr>
      <w:r>
        <w:rPr>
          <w:rFonts w:asciiTheme="minorHAnsi" w:hAnsiTheme="minorHAnsi" w:cstheme="minorHAnsi"/>
          <w:iCs/>
          <w:szCs w:val="24"/>
        </w:rPr>
        <w:t>Grants under the program wil</w:t>
      </w:r>
      <w:r w:rsidR="00FF5F61">
        <w:rPr>
          <w:rFonts w:asciiTheme="minorHAnsi" w:hAnsiTheme="minorHAnsi" w:cstheme="minorHAnsi"/>
          <w:iCs/>
          <w:szCs w:val="24"/>
        </w:rPr>
        <w:t>l</w:t>
      </w:r>
      <w:r>
        <w:rPr>
          <w:rFonts w:asciiTheme="minorHAnsi" w:hAnsiTheme="minorHAnsi" w:cstheme="minorHAnsi"/>
          <w:iCs/>
          <w:szCs w:val="24"/>
        </w:rPr>
        <w:t xml:space="preserve"> be made for the </w:t>
      </w:r>
      <w:r w:rsidR="009B15A4">
        <w:rPr>
          <w:rFonts w:asciiTheme="minorHAnsi" w:hAnsiTheme="minorHAnsi" w:cstheme="minorHAnsi"/>
          <w:iCs/>
          <w:szCs w:val="24"/>
        </w:rPr>
        <w:t xml:space="preserve">purpose of supporting the training of research students. </w:t>
      </w:r>
      <w:r w:rsidR="00B0354B" w:rsidRPr="00B0354B">
        <w:rPr>
          <w:rFonts w:asciiTheme="minorHAnsi" w:hAnsiTheme="minorHAnsi" w:cstheme="minorHAnsi"/>
          <w:iCs/>
          <w:szCs w:val="24"/>
        </w:rPr>
        <w:t xml:space="preserve">The </w:t>
      </w:r>
      <w:r w:rsidR="00834CB4">
        <w:rPr>
          <w:rFonts w:asciiTheme="minorHAnsi" w:hAnsiTheme="minorHAnsi" w:cstheme="minorHAnsi"/>
          <w:iCs/>
          <w:szCs w:val="24"/>
        </w:rPr>
        <w:t xml:space="preserve">program </w:t>
      </w:r>
      <w:r w:rsidR="00B0354B" w:rsidRPr="00B0354B">
        <w:rPr>
          <w:rFonts w:asciiTheme="minorHAnsi" w:hAnsiTheme="minorHAnsi" w:cstheme="minorHAnsi"/>
          <w:iCs/>
          <w:szCs w:val="24"/>
        </w:rPr>
        <w:t>will provide</w:t>
      </w:r>
      <w:r w:rsidR="0021529A">
        <w:rPr>
          <w:rFonts w:asciiTheme="minorHAnsi" w:hAnsiTheme="minorHAnsi" w:cstheme="minorHAnsi"/>
          <w:iCs/>
          <w:szCs w:val="24"/>
        </w:rPr>
        <w:t xml:space="preserve"> funding </w:t>
      </w:r>
      <w:r w:rsidR="00B0354B" w:rsidRPr="00B0354B">
        <w:rPr>
          <w:rFonts w:asciiTheme="minorHAnsi" w:hAnsiTheme="minorHAnsi" w:cstheme="minorHAnsi"/>
          <w:iCs/>
          <w:szCs w:val="24"/>
        </w:rPr>
        <w:t xml:space="preserve">to higher education providers to </w:t>
      </w:r>
      <w:r w:rsidR="009B15A4">
        <w:rPr>
          <w:rFonts w:asciiTheme="minorHAnsi" w:hAnsiTheme="minorHAnsi" w:cstheme="minorHAnsi"/>
          <w:iCs/>
          <w:szCs w:val="24"/>
        </w:rPr>
        <w:t xml:space="preserve">develop PhD Candidates into researchers who can work in both industry and academic settings, support high calibre industry professionals </w:t>
      </w:r>
      <w:r w:rsidR="00223DAD">
        <w:rPr>
          <w:rFonts w:asciiTheme="minorHAnsi" w:hAnsiTheme="minorHAnsi" w:cstheme="minorHAnsi"/>
          <w:iCs/>
          <w:szCs w:val="24"/>
        </w:rPr>
        <w:t xml:space="preserve">to become </w:t>
      </w:r>
      <w:r w:rsidR="009B15A4">
        <w:rPr>
          <w:rFonts w:asciiTheme="minorHAnsi" w:hAnsiTheme="minorHAnsi" w:cstheme="minorHAnsi"/>
          <w:iCs/>
          <w:szCs w:val="24"/>
        </w:rPr>
        <w:t xml:space="preserve">industry researchers with the potential to work in academic settings, contribute to industry-focused innovation and development, strengthen collaboration between Australian companies and universities, and support industry-focused PhD research projects. </w:t>
      </w:r>
    </w:p>
    <w:p w14:paraId="28032B31" w14:textId="27E7E592" w:rsidR="00D358F7" w:rsidRDefault="00A86B3D" w:rsidP="00D358F7">
      <w:pPr>
        <w:pStyle w:val="CABNETParagraph"/>
        <w:spacing w:after="0" w:line="276" w:lineRule="auto"/>
        <w:rPr>
          <w:rStyle w:val="normaltextrun"/>
          <w:rFonts w:asciiTheme="minorHAnsi" w:hAnsiTheme="minorHAnsi"/>
          <w:color w:val="000000"/>
          <w:sz w:val="24"/>
          <w:szCs w:val="24"/>
          <w:bdr w:val="none" w:sz="0" w:space="0" w:color="auto" w:frame="1"/>
        </w:rPr>
      </w:pPr>
      <w:r w:rsidRPr="00C645C6">
        <w:rPr>
          <w:rFonts w:asciiTheme="minorHAnsi" w:hAnsiTheme="minorHAnsi"/>
          <w:sz w:val="24"/>
          <w:szCs w:val="24"/>
          <w:shd w:val="clear" w:color="auto" w:fill="FFFFFF"/>
        </w:rPr>
        <w:lastRenderedPageBreak/>
        <w:t>The Government’s investment of $36.1 million will establish the program to build a bedrock of highly skilled PhD</w:t>
      </w:r>
      <w:r w:rsidR="00E925AA" w:rsidRPr="00C645C6">
        <w:rPr>
          <w:rFonts w:asciiTheme="minorHAnsi" w:hAnsiTheme="minorHAnsi"/>
          <w:sz w:val="24"/>
          <w:szCs w:val="24"/>
          <w:shd w:val="clear" w:color="auto" w:fill="FFFFFF"/>
        </w:rPr>
        <w:t xml:space="preserve"> </w:t>
      </w:r>
      <w:r w:rsidR="0075784F" w:rsidRPr="00C645C6">
        <w:rPr>
          <w:rFonts w:asciiTheme="minorHAnsi" w:hAnsiTheme="minorHAnsi"/>
          <w:sz w:val="24"/>
          <w:szCs w:val="24"/>
          <w:shd w:val="clear" w:color="auto" w:fill="FFFFFF"/>
        </w:rPr>
        <w:t>C</w:t>
      </w:r>
      <w:r w:rsidR="00E925AA" w:rsidRPr="00C645C6">
        <w:rPr>
          <w:rFonts w:asciiTheme="minorHAnsi" w:hAnsiTheme="minorHAnsi"/>
          <w:sz w:val="24"/>
          <w:szCs w:val="24"/>
          <w:shd w:val="clear" w:color="auto" w:fill="FFFFFF"/>
        </w:rPr>
        <w:t>andidates</w:t>
      </w:r>
      <w:r w:rsidRPr="00C645C6">
        <w:rPr>
          <w:rFonts w:asciiTheme="minorHAnsi" w:hAnsiTheme="minorHAnsi"/>
          <w:sz w:val="24"/>
          <w:szCs w:val="24"/>
          <w:shd w:val="clear" w:color="auto" w:fill="FFFFFF"/>
        </w:rPr>
        <w:t>, to support research innovation</w:t>
      </w:r>
      <w:r w:rsidR="009724A6" w:rsidRPr="00C645C6">
        <w:rPr>
          <w:rFonts w:asciiTheme="minorHAnsi" w:hAnsiTheme="minorHAnsi"/>
          <w:sz w:val="24"/>
          <w:szCs w:val="24"/>
          <w:shd w:val="clear" w:color="auto" w:fill="FFFFFF"/>
        </w:rPr>
        <w:t xml:space="preserve"> and</w:t>
      </w:r>
      <w:r w:rsidRPr="00C645C6">
        <w:rPr>
          <w:rFonts w:asciiTheme="minorHAnsi" w:hAnsiTheme="minorHAnsi"/>
          <w:sz w:val="24"/>
          <w:szCs w:val="24"/>
          <w:shd w:val="clear" w:color="auto" w:fill="FFFFFF"/>
        </w:rPr>
        <w:t xml:space="preserve"> university-industry collaboration</w:t>
      </w:r>
      <w:r w:rsidR="001C5DEA" w:rsidRPr="00C645C6">
        <w:rPr>
          <w:rFonts w:asciiTheme="minorHAnsi" w:hAnsiTheme="minorHAnsi"/>
          <w:sz w:val="24"/>
          <w:szCs w:val="24"/>
          <w:shd w:val="clear" w:color="auto" w:fill="FFFFFF"/>
        </w:rPr>
        <w:t xml:space="preserve"> to</w:t>
      </w:r>
      <w:r w:rsidRPr="00C645C6">
        <w:rPr>
          <w:rFonts w:asciiTheme="minorHAnsi" w:hAnsiTheme="minorHAnsi"/>
          <w:sz w:val="24"/>
          <w:szCs w:val="24"/>
          <w:shd w:val="clear" w:color="auto" w:fill="FFFFFF"/>
        </w:rPr>
        <w:t xml:space="preserve"> add over 1,</w:t>
      </w:r>
      <w:r w:rsidR="001C5DEA" w:rsidRPr="00C645C6">
        <w:rPr>
          <w:rFonts w:asciiTheme="minorHAnsi" w:hAnsiTheme="minorHAnsi"/>
          <w:sz w:val="24"/>
          <w:szCs w:val="24"/>
          <w:shd w:val="clear" w:color="auto" w:fill="FFFFFF"/>
        </w:rPr>
        <w:t>3</w:t>
      </w:r>
      <w:r w:rsidRPr="00C645C6">
        <w:rPr>
          <w:rFonts w:asciiTheme="minorHAnsi" w:hAnsiTheme="minorHAnsi"/>
          <w:sz w:val="24"/>
          <w:szCs w:val="24"/>
          <w:shd w:val="clear" w:color="auto" w:fill="FFFFFF"/>
        </w:rPr>
        <w:t>00 Industry PhDs over 10 years.</w:t>
      </w:r>
      <w:r w:rsidR="00D358F7" w:rsidRPr="00C645C6">
        <w:rPr>
          <w:rFonts w:asciiTheme="minorHAnsi" w:hAnsiTheme="minorHAnsi"/>
          <w:sz w:val="24"/>
          <w:szCs w:val="24"/>
          <w:shd w:val="clear" w:color="auto" w:fill="FFFFFF"/>
        </w:rPr>
        <w:t xml:space="preserve"> </w:t>
      </w:r>
      <w:r w:rsidR="001C5DEA" w:rsidRPr="00C645C6">
        <w:rPr>
          <w:rFonts w:asciiTheme="minorHAnsi" w:hAnsiTheme="minorHAnsi"/>
          <w:sz w:val="24"/>
          <w:szCs w:val="24"/>
          <w:shd w:val="clear" w:color="auto" w:fill="FFFFFF"/>
        </w:rPr>
        <w:t>It will have two distinct streams: Industry Linked PhDs and Industry Researcher PhDs. The two streams</w:t>
      </w:r>
      <w:r w:rsidR="00D358F7" w:rsidRPr="00C645C6">
        <w:rPr>
          <w:rFonts w:asciiTheme="minorHAnsi" w:hAnsiTheme="minorHAnsi"/>
          <w:sz w:val="24"/>
          <w:szCs w:val="24"/>
        </w:rPr>
        <w:t xml:space="preserve"> embed researchers in </w:t>
      </w:r>
      <w:r w:rsidR="001C5DEA" w:rsidRPr="00C645C6">
        <w:rPr>
          <w:rFonts w:asciiTheme="minorHAnsi" w:hAnsiTheme="minorHAnsi"/>
          <w:sz w:val="24"/>
          <w:szCs w:val="24"/>
        </w:rPr>
        <w:t xml:space="preserve">academic and </w:t>
      </w:r>
      <w:r w:rsidR="00D358F7" w:rsidRPr="00C645C6">
        <w:rPr>
          <w:rFonts w:asciiTheme="minorHAnsi" w:hAnsiTheme="minorHAnsi"/>
          <w:sz w:val="24"/>
          <w:szCs w:val="24"/>
        </w:rPr>
        <w:t xml:space="preserve">industry settings, enhancing research </w:t>
      </w:r>
      <w:r w:rsidR="001C5DEA" w:rsidRPr="00C645C6">
        <w:rPr>
          <w:rFonts w:asciiTheme="minorHAnsi" w:hAnsiTheme="minorHAnsi"/>
          <w:sz w:val="24"/>
          <w:szCs w:val="24"/>
        </w:rPr>
        <w:t>translation</w:t>
      </w:r>
      <w:r w:rsidR="0075784F" w:rsidRPr="00C645C6">
        <w:rPr>
          <w:rFonts w:asciiTheme="minorHAnsi" w:hAnsiTheme="minorHAnsi"/>
          <w:sz w:val="24"/>
          <w:szCs w:val="24"/>
        </w:rPr>
        <w:t>,</w:t>
      </w:r>
      <w:r w:rsidR="001C5DEA" w:rsidRPr="00C645C6">
        <w:rPr>
          <w:rFonts w:asciiTheme="minorHAnsi" w:hAnsiTheme="minorHAnsi"/>
          <w:sz w:val="24"/>
          <w:szCs w:val="24"/>
        </w:rPr>
        <w:t xml:space="preserve"> </w:t>
      </w:r>
      <w:proofErr w:type="gramStart"/>
      <w:r w:rsidR="00D358F7" w:rsidRPr="00C645C6">
        <w:rPr>
          <w:rFonts w:asciiTheme="minorHAnsi" w:hAnsiTheme="minorHAnsi"/>
          <w:sz w:val="24"/>
          <w:szCs w:val="24"/>
        </w:rPr>
        <w:t>commercialisation</w:t>
      </w:r>
      <w:proofErr w:type="gramEnd"/>
      <w:r w:rsidR="00D358F7" w:rsidRPr="00C645C6">
        <w:rPr>
          <w:rFonts w:asciiTheme="minorHAnsi" w:hAnsiTheme="minorHAnsi"/>
          <w:sz w:val="24"/>
          <w:szCs w:val="24"/>
        </w:rPr>
        <w:t xml:space="preserve"> </w:t>
      </w:r>
      <w:r w:rsidR="00D358F7" w:rsidRPr="00D358F7">
        <w:rPr>
          <w:rFonts w:asciiTheme="minorHAnsi" w:hAnsiTheme="minorHAnsi"/>
          <w:sz w:val="24"/>
          <w:szCs w:val="24"/>
        </w:rPr>
        <w:t>and skills</w:t>
      </w:r>
      <w:r w:rsidR="0075784F">
        <w:rPr>
          <w:rFonts w:asciiTheme="minorHAnsi" w:hAnsiTheme="minorHAnsi"/>
          <w:sz w:val="24"/>
          <w:szCs w:val="24"/>
        </w:rPr>
        <w:t>,</w:t>
      </w:r>
      <w:r w:rsidR="00D358F7" w:rsidRPr="00D358F7">
        <w:rPr>
          <w:rFonts w:asciiTheme="minorHAnsi" w:hAnsiTheme="minorHAnsi"/>
          <w:sz w:val="24"/>
          <w:szCs w:val="24"/>
        </w:rPr>
        <w:t xml:space="preserve"> and building research careers in industry. </w:t>
      </w:r>
      <w:r w:rsidR="00D358F7" w:rsidRPr="00D358F7">
        <w:rPr>
          <w:rStyle w:val="normaltextrun"/>
          <w:rFonts w:asciiTheme="minorHAnsi" w:hAnsiTheme="minorHAnsi"/>
          <w:color w:val="000000"/>
          <w:sz w:val="24"/>
          <w:szCs w:val="24"/>
          <w:bdr w:val="none" w:sz="0" w:space="0" w:color="auto" w:frame="1"/>
        </w:rPr>
        <w:t xml:space="preserve">The </w:t>
      </w:r>
      <w:r w:rsidR="001C5DEA">
        <w:rPr>
          <w:rStyle w:val="normaltextrun"/>
          <w:rFonts w:asciiTheme="minorHAnsi" w:hAnsiTheme="minorHAnsi"/>
          <w:color w:val="000000"/>
          <w:sz w:val="24"/>
          <w:szCs w:val="24"/>
          <w:bdr w:val="none" w:sz="0" w:space="0" w:color="auto" w:frame="1"/>
        </w:rPr>
        <w:t>program</w:t>
      </w:r>
      <w:r w:rsidR="00D358F7" w:rsidRPr="00D358F7">
        <w:rPr>
          <w:rStyle w:val="normaltextrun"/>
          <w:rFonts w:asciiTheme="minorHAnsi" w:hAnsiTheme="minorHAnsi"/>
          <w:color w:val="000000"/>
          <w:sz w:val="24"/>
          <w:szCs w:val="24"/>
          <w:bdr w:val="none" w:sz="0" w:space="0" w:color="auto" w:frame="1"/>
        </w:rPr>
        <w:t xml:space="preserve"> will allow </w:t>
      </w:r>
      <w:r w:rsidR="001C5DEA">
        <w:rPr>
          <w:rStyle w:val="normaltextrun"/>
          <w:rFonts w:asciiTheme="minorHAnsi" w:hAnsiTheme="minorHAnsi"/>
          <w:color w:val="000000"/>
          <w:sz w:val="24"/>
          <w:szCs w:val="24"/>
          <w:bdr w:val="none" w:sz="0" w:space="0" w:color="auto" w:frame="1"/>
        </w:rPr>
        <w:t>PhD</w:t>
      </w:r>
      <w:r w:rsidR="00384C6D">
        <w:rPr>
          <w:rStyle w:val="normaltextrun"/>
          <w:rFonts w:asciiTheme="minorHAnsi" w:hAnsiTheme="minorHAnsi"/>
          <w:color w:val="000000"/>
          <w:sz w:val="24"/>
          <w:szCs w:val="24"/>
          <w:bdr w:val="none" w:sz="0" w:space="0" w:color="auto" w:frame="1"/>
        </w:rPr>
        <w:t xml:space="preserve"> Candidates</w:t>
      </w:r>
      <w:r w:rsidR="00D358F7" w:rsidRPr="00D358F7">
        <w:rPr>
          <w:rStyle w:val="normaltextrun"/>
          <w:rFonts w:asciiTheme="minorHAnsi" w:hAnsiTheme="minorHAnsi"/>
          <w:color w:val="000000"/>
          <w:sz w:val="24"/>
          <w:szCs w:val="24"/>
          <w:bdr w:val="none" w:sz="0" w:space="0" w:color="auto" w:frame="1"/>
        </w:rPr>
        <w:t xml:space="preserve"> to gain knowledge on how research is undertaken in an industry setting</w:t>
      </w:r>
      <w:r w:rsidR="001C5DEA">
        <w:rPr>
          <w:rStyle w:val="normaltextrun"/>
          <w:rFonts w:asciiTheme="minorHAnsi" w:hAnsiTheme="minorHAnsi"/>
          <w:color w:val="000000"/>
          <w:sz w:val="24"/>
          <w:szCs w:val="24"/>
          <w:bdr w:val="none" w:sz="0" w:space="0" w:color="auto" w:frame="1"/>
        </w:rPr>
        <w:t xml:space="preserve"> and vice versa</w:t>
      </w:r>
      <w:r w:rsidR="00D358F7" w:rsidRPr="00D358F7">
        <w:rPr>
          <w:rStyle w:val="normaltextrun"/>
          <w:rFonts w:asciiTheme="minorHAnsi" w:hAnsiTheme="minorHAnsi"/>
          <w:color w:val="000000"/>
          <w:sz w:val="24"/>
          <w:szCs w:val="24"/>
          <w:bdr w:val="none" w:sz="0" w:space="0" w:color="auto" w:frame="1"/>
        </w:rPr>
        <w:t xml:space="preserve">, ensuring that the needs of industry clients are better understood and provided for in the university research sector. </w:t>
      </w:r>
    </w:p>
    <w:p w14:paraId="4B5C8D71" w14:textId="5D365DD4" w:rsidR="001C5DEA" w:rsidRPr="001C5DEA" w:rsidRDefault="001C5DEA" w:rsidP="00D358F7">
      <w:pPr>
        <w:pStyle w:val="CABNETParagraph"/>
        <w:spacing w:after="0" w:line="276" w:lineRule="auto"/>
        <w:rPr>
          <w:rFonts w:asciiTheme="minorHAnsi" w:hAnsiTheme="minorHAnsi"/>
          <w:sz w:val="24"/>
          <w:szCs w:val="24"/>
        </w:rPr>
      </w:pPr>
      <w:r>
        <w:rPr>
          <w:rFonts w:asciiTheme="minorHAnsi" w:hAnsiTheme="minorHAnsi"/>
          <w:sz w:val="24"/>
          <w:szCs w:val="24"/>
        </w:rPr>
        <w:t xml:space="preserve">The Industry Linked PhD stream </w:t>
      </w:r>
      <w:r w:rsidRPr="001C5DEA">
        <w:rPr>
          <w:rFonts w:asciiTheme="minorHAnsi" w:hAnsiTheme="minorHAnsi"/>
          <w:sz w:val="24"/>
          <w:szCs w:val="24"/>
        </w:rPr>
        <w:t xml:space="preserve">will help create a synergy between industry and research, allowing industry to leverage the academic expertise of participants. PhD </w:t>
      </w:r>
      <w:r w:rsidR="00384C6D">
        <w:rPr>
          <w:rFonts w:asciiTheme="minorHAnsi" w:hAnsiTheme="minorHAnsi"/>
          <w:sz w:val="24"/>
          <w:szCs w:val="24"/>
        </w:rPr>
        <w:t>Candidates</w:t>
      </w:r>
      <w:r w:rsidRPr="001C5DEA">
        <w:rPr>
          <w:rFonts w:asciiTheme="minorHAnsi" w:hAnsiTheme="minorHAnsi"/>
          <w:sz w:val="24"/>
          <w:szCs w:val="24"/>
        </w:rPr>
        <w:t xml:space="preserve"> will be given space and tools to demonstrate the value of their research to industry partners. Where core research is more theoretical, this program will allow </w:t>
      </w:r>
      <w:r w:rsidR="00AA4A5C">
        <w:rPr>
          <w:rFonts w:asciiTheme="minorHAnsi" w:hAnsiTheme="minorHAnsi"/>
          <w:sz w:val="24"/>
          <w:szCs w:val="24"/>
        </w:rPr>
        <w:t xml:space="preserve">PhD </w:t>
      </w:r>
      <w:r w:rsidR="00384C6D">
        <w:rPr>
          <w:rFonts w:asciiTheme="minorHAnsi" w:hAnsiTheme="minorHAnsi"/>
          <w:sz w:val="24"/>
          <w:szCs w:val="24"/>
        </w:rPr>
        <w:t>Candidates</w:t>
      </w:r>
      <w:r w:rsidRPr="001C5DEA">
        <w:rPr>
          <w:rFonts w:asciiTheme="minorHAnsi" w:hAnsiTheme="minorHAnsi"/>
          <w:sz w:val="24"/>
          <w:szCs w:val="24"/>
        </w:rPr>
        <w:t xml:space="preserve"> to demonstrate research applicability to tangible, real-world challenges with industry for an outcome that has commercial and financial benefits.</w:t>
      </w:r>
    </w:p>
    <w:p w14:paraId="6F155C41" w14:textId="019ADB73" w:rsidR="00A503D7" w:rsidRPr="00C645C6" w:rsidRDefault="001C5DEA" w:rsidP="00C645C6">
      <w:pPr>
        <w:pStyle w:val="CABNETParagraph"/>
        <w:spacing w:after="0" w:line="276" w:lineRule="auto"/>
        <w:rPr>
          <w:rFonts w:asciiTheme="minorHAnsi" w:hAnsiTheme="minorHAnsi"/>
          <w:sz w:val="24"/>
          <w:szCs w:val="24"/>
        </w:rPr>
      </w:pPr>
      <w:r w:rsidRPr="001C5DEA">
        <w:rPr>
          <w:rFonts w:asciiTheme="minorHAnsi" w:hAnsiTheme="minorHAnsi"/>
          <w:sz w:val="24"/>
          <w:szCs w:val="24"/>
        </w:rPr>
        <w:t>Th</w:t>
      </w:r>
      <w:r>
        <w:rPr>
          <w:rFonts w:asciiTheme="minorHAnsi" w:hAnsiTheme="minorHAnsi"/>
          <w:sz w:val="24"/>
          <w:szCs w:val="24"/>
        </w:rPr>
        <w:t>e Industry Researcher PhD stream</w:t>
      </w:r>
      <w:r w:rsidRPr="001C5DEA">
        <w:rPr>
          <w:rFonts w:asciiTheme="minorHAnsi" w:hAnsiTheme="minorHAnsi"/>
          <w:sz w:val="24"/>
          <w:szCs w:val="24"/>
        </w:rPr>
        <w:t xml:space="preserve"> will support industry researchers employed at R</w:t>
      </w:r>
      <w:r w:rsidR="00092C62">
        <w:rPr>
          <w:rFonts w:asciiTheme="minorHAnsi" w:hAnsiTheme="minorHAnsi"/>
          <w:sz w:val="24"/>
          <w:szCs w:val="24"/>
        </w:rPr>
        <w:t>esearch and Development</w:t>
      </w:r>
      <w:r w:rsidRPr="001C5DEA">
        <w:rPr>
          <w:rFonts w:asciiTheme="minorHAnsi" w:hAnsiTheme="minorHAnsi"/>
          <w:sz w:val="24"/>
          <w:szCs w:val="24"/>
        </w:rPr>
        <w:t xml:space="preserve"> active private sector companies. The program w</w:t>
      </w:r>
      <w:r>
        <w:rPr>
          <w:rFonts w:asciiTheme="minorHAnsi" w:hAnsiTheme="minorHAnsi"/>
          <w:sz w:val="24"/>
          <w:szCs w:val="24"/>
        </w:rPr>
        <w:t>ill</w:t>
      </w:r>
      <w:r w:rsidRPr="001C5DEA">
        <w:rPr>
          <w:rFonts w:asciiTheme="minorHAnsi" w:hAnsiTheme="minorHAnsi"/>
          <w:sz w:val="24"/>
          <w:szCs w:val="24"/>
        </w:rPr>
        <w:t xml:space="preserve"> provide </w:t>
      </w:r>
      <w:r>
        <w:rPr>
          <w:rFonts w:asciiTheme="minorHAnsi" w:hAnsiTheme="minorHAnsi"/>
          <w:sz w:val="24"/>
          <w:szCs w:val="24"/>
        </w:rPr>
        <w:t>PhD</w:t>
      </w:r>
      <w:r w:rsidR="00384C6D">
        <w:rPr>
          <w:rFonts w:asciiTheme="minorHAnsi" w:hAnsiTheme="minorHAnsi"/>
          <w:sz w:val="24"/>
          <w:szCs w:val="24"/>
        </w:rPr>
        <w:t xml:space="preserve"> Candidate</w:t>
      </w:r>
      <w:r>
        <w:rPr>
          <w:rFonts w:asciiTheme="minorHAnsi" w:hAnsiTheme="minorHAnsi"/>
          <w:sz w:val="24"/>
          <w:szCs w:val="24"/>
        </w:rPr>
        <w:t>s</w:t>
      </w:r>
      <w:r w:rsidRPr="001C5DEA">
        <w:rPr>
          <w:rFonts w:asciiTheme="minorHAnsi" w:hAnsiTheme="minorHAnsi"/>
          <w:sz w:val="24"/>
          <w:szCs w:val="24"/>
        </w:rPr>
        <w:t xml:space="preserve"> with industry experience to concurrently complete a university PhD whil</w:t>
      </w:r>
      <w:r>
        <w:rPr>
          <w:rFonts w:asciiTheme="minorHAnsi" w:hAnsiTheme="minorHAnsi"/>
          <w:sz w:val="24"/>
          <w:szCs w:val="24"/>
        </w:rPr>
        <w:t>e</w:t>
      </w:r>
      <w:r w:rsidRPr="001C5DEA">
        <w:rPr>
          <w:rFonts w:asciiTheme="minorHAnsi" w:hAnsiTheme="minorHAnsi"/>
          <w:sz w:val="24"/>
          <w:szCs w:val="24"/>
        </w:rPr>
        <w:t xml:space="preserve"> maintaining employment in a relevant industry.</w:t>
      </w:r>
      <w:r w:rsidR="00C645C6">
        <w:rPr>
          <w:rFonts w:asciiTheme="minorHAnsi" w:hAnsiTheme="minorHAnsi"/>
          <w:sz w:val="24"/>
          <w:szCs w:val="24"/>
        </w:rPr>
        <w:br/>
      </w:r>
    </w:p>
    <w:p w14:paraId="626F1531" w14:textId="77777777"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7FA19DFE" w14:textId="050187A7" w:rsidR="00FF5F61" w:rsidRPr="00F10760" w:rsidRDefault="00FF5F61" w:rsidP="00FF5F61">
      <w:pPr>
        <w:spacing w:before="120" w:after="120"/>
        <w:rPr>
          <w:rFonts w:asciiTheme="minorHAnsi" w:hAnsiTheme="minorHAnsi" w:cstheme="minorHAnsi"/>
          <w:szCs w:val="24"/>
        </w:rPr>
      </w:pPr>
      <w:r w:rsidRPr="00CC065E">
        <w:rPr>
          <w:rFonts w:asciiTheme="minorHAnsi" w:hAnsiTheme="minorHAnsi" w:cstheme="minorHAnsi"/>
          <w:szCs w:val="24"/>
        </w:rPr>
        <w:t>The Office of Best Practice Regulation (OBPR) has been consulted and advise</w:t>
      </w:r>
      <w:r w:rsidR="00A503D7" w:rsidRPr="00CC065E">
        <w:rPr>
          <w:rFonts w:asciiTheme="minorHAnsi" w:hAnsiTheme="minorHAnsi" w:cstheme="minorHAnsi"/>
          <w:szCs w:val="24"/>
        </w:rPr>
        <w:t xml:space="preserve">d </w:t>
      </w:r>
      <w:r w:rsidR="00575805" w:rsidRPr="00CC065E">
        <w:rPr>
          <w:rFonts w:asciiTheme="minorHAnsi" w:hAnsiTheme="minorHAnsi" w:cstheme="minorHAnsi"/>
          <w:szCs w:val="24"/>
        </w:rPr>
        <w:t xml:space="preserve">that </w:t>
      </w:r>
      <w:r w:rsidR="00446958" w:rsidRPr="00CC065E">
        <w:rPr>
          <w:rFonts w:asciiTheme="minorHAnsi" w:hAnsiTheme="minorHAnsi" w:cstheme="minorHAnsi"/>
          <w:szCs w:val="24"/>
        </w:rPr>
        <w:t>the program has a minor regulatory impact and that a Regulation Impact Statement is not required for this instrument</w:t>
      </w:r>
      <w:r w:rsidR="00F10760" w:rsidRPr="00CC065E">
        <w:rPr>
          <w:rFonts w:asciiTheme="minorHAnsi" w:hAnsiTheme="minorHAnsi" w:cstheme="minorHAnsi"/>
          <w:szCs w:val="24"/>
        </w:rPr>
        <w:t xml:space="preserve"> </w:t>
      </w:r>
      <w:r w:rsidRPr="00CC065E">
        <w:rPr>
          <w:rFonts w:asciiTheme="minorHAnsi" w:hAnsiTheme="minorHAnsi" w:cstheme="minorHAnsi"/>
          <w:szCs w:val="24"/>
        </w:rPr>
        <w:t xml:space="preserve">(OBPR ID: </w:t>
      </w:r>
      <w:r w:rsidR="00575805" w:rsidRPr="00CC065E">
        <w:rPr>
          <w:rFonts w:asciiTheme="minorHAnsi" w:hAnsiTheme="minorHAnsi" w:cstheme="minorHAnsi"/>
          <w:szCs w:val="24"/>
        </w:rPr>
        <w:t>44244</w:t>
      </w:r>
      <w:r w:rsidRPr="00CC065E">
        <w:rPr>
          <w:rFonts w:asciiTheme="minorHAnsi" w:hAnsiTheme="minorHAnsi" w:cstheme="minorHAnsi"/>
          <w:szCs w:val="24"/>
        </w:rPr>
        <w:t>).</w:t>
      </w:r>
      <w:r w:rsidRPr="00F10760">
        <w:rPr>
          <w:rFonts w:asciiTheme="minorHAnsi" w:hAnsiTheme="minorHAnsi" w:cstheme="minorHAnsi"/>
          <w:szCs w:val="24"/>
        </w:rPr>
        <w:t xml:space="preserve"> </w:t>
      </w:r>
    </w:p>
    <w:p w14:paraId="4818CCF0" w14:textId="77777777" w:rsidR="00696CF0" w:rsidRPr="0088497A" w:rsidRDefault="00144950" w:rsidP="0088497A">
      <w:pPr>
        <w:pStyle w:val="Heading2"/>
        <w:rPr>
          <w:rFonts w:asciiTheme="minorHAnsi" w:hAnsiTheme="minorHAnsi" w:cstheme="minorHAnsi"/>
          <w:color w:val="auto"/>
        </w:rPr>
      </w:pPr>
      <w:r w:rsidRPr="00F10760">
        <w:rPr>
          <w:rFonts w:asciiTheme="minorHAnsi" w:hAnsiTheme="minorHAnsi" w:cstheme="minorHAnsi"/>
          <w:color w:val="auto"/>
        </w:rPr>
        <w:t>COMMENCEMENT</w:t>
      </w:r>
    </w:p>
    <w:p w14:paraId="7A7AF185" w14:textId="1244D88B" w:rsidR="00696CF0" w:rsidRPr="00FF5F61" w:rsidRDefault="00FF5F61"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696CF0">
      <w:pPr>
        <w:pStyle w:val="Heading2"/>
        <w:rPr>
          <w:rFonts w:asciiTheme="minorHAnsi" w:hAnsiTheme="minorHAnsi" w:cstheme="minorHAnsi"/>
          <w:color w:val="auto"/>
        </w:rPr>
      </w:pPr>
      <w:bookmarkStart w:id="4" w:name="_Toc34293360"/>
      <w:r w:rsidRPr="008134D5">
        <w:rPr>
          <w:rFonts w:asciiTheme="minorHAnsi" w:hAnsiTheme="minorHAnsi" w:cstheme="minorHAnsi"/>
          <w:color w:val="auto"/>
        </w:rPr>
        <w:t>CONSULTATION</w:t>
      </w:r>
      <w:bookmarkEnd w:id="4"/>
    </w:p>
    <w:p w14:paraId="6A954DAE" w14:textId="20AF26AF" w:rsidR="004C309C" w:rsidRPr="00F5476C" w:rsidRDefault="004C309C" w:rsidP="004C309C">
      <w:pPr>
        <w:spacing w:before="120" w:after="120"/>
        <w:rPr>
          <w:rFonts w:asciiTheme="minorHAnsi" w:hAnsiTheme="minorHAnsi" w:cstheme="minorHAnsi"/>
          <w:iCs/>
        </w:rPr>
      </w:pPr>
      <w:r>
        <w:rPr>
          <w:rFonts w:asciiTheme="minorHAnsi" w:hAnsiTheme="minorHAnsi" w:cstheme="minorHAnsi"/>
          <w:iCs/>
        </w:rPr>
        <w:t>As part of the consultation effort to support the establishment of the program, a</w:t>
      </w:r>
      <w:r w:rsidRPr="00F5476C">
        <w:rPr>
          <w:rFonts w:asciiTheme="minorHAnsi" w:hAnsiTheme="minorHAnsi" w:cstheme="minorHAnsi"/>
          <w:iCs/>
        </w:rPr>
        <w:t xml:space="preserve">n </w:t>
      </w:r>
      <w:r>
        <w:rPr>
          <w:rFonts w:asciiTheme="minorHAnsi" w:hAnsiTheme="minorHAnsi" w:cstheme="minorHAnsi"/>
          <w:iCs/>
        </w:rPr>
        <w:t>a</w:t>
      </w:r>
      <w:r w:rsidRPr="00F5476C">
        <w:rPr>
          <w:rFonts w:asciiTheme="minorHAnsi" w:hAnsiTheme="minorHAnsi" w:cstheme="minorHAnsi"/>
          <w:iCs/>
        </w:rPr>
        <w:t xml:space="preserve">dvisory </w:t>
      </w:r>
      <w:r>
        <w:rPr>
          <w:rFonts w:asciiTheme="minorHAnsi" w:hAnsiTheme="minorHAnsi" w:cstheme="minorHAnsi"/>
          <w:iCs/>
        </w:rPr>
        <w:t>p</w:t>
      </w:r>
      <w:r w:rsidRPr="00F5476C">
        <w:rPr>
          <w:rFonts w:asciiTheme="minorHAnsi" w:hAnsiTheme="minorHAnsi" w:cstheme="minorHAnsi"/>
          <w:iCs/>
        </w:rPr>
        <w:t>anel</w:t>
      </w:r>
      <w:r w:rsidR="00DE2364">
        <w:rPr>
          <w:rFonts w:asciiTheme="minorHAnsi" w:hAnsiTheme="minorHAnsi" w:cstheme="minorHAnsi"/>
          <w:iCs/>
        </w:rPr>
        <w:t>, consisting of six members from across the industry and higher education sectors,</w:t>
      </w:r>
      <w:r w:rsidRPr="00F5476C">
        <w:rPr>
          <w:rFonts w:asciiTheme="minorHAnsi" w:hAnsiTheme="minorHAnsi" w:cstheme="minorHAnsi"/>
          <w:iCs/>
        </w:rPr>
        <w:t xml:space="preserve"> </w:t>
      </w:r>
      <w:r w:rsidRPr="00F5476C">
        <w:rPr>
          <w:rFonts w:asciiTheme="minorHAnsi" w:hAnsiTheme="minorHAnsi" w:cstheme="minorHAnsi"/>
          <w:bCs/>
          <w:iCs/>
        </w:rPr>
        <w:t xml:space="preserve">was established </w:t>
      </w:r>
      <w:r>
        <w:rPr>
          <w:rFonts w:asciiTheme="minorHAnsi" w:hAnsiTheme="minorHAnsi" w:cstheme="minorHAnsi"/>
          <w:bCs/>
          <w:iCs/>
        </w:rPr>
        <w:t xml:space="preserve">in </w:t>
      </w:r>
      <w:r w:rsidRPr="00F5476C">
        <w:rPr>
          <w:rFonts w:asciiTheme="minorHAnsi" w:hAnsiTheme="minorHAnsi" w:cstheme="minorHAnsi"/>
          <w:bCs/>
          <w:iCs/>
        </w:rPr>
        <w:t>March 2022 to</w:t>
      </w:r>
      <w:r w:rsidRPr="00F5476C">
        <w:rPr>
          <w:rFonts w:asciiTheme="minorHAnsi" w:hAnsiTheme="minorHAnsi" w:cstheme="minorHAnsi"/>
          <w:iCs/>
        </w:rPr>
        <w:t xml:space="preserve"> provide strategic advice </w:t>
      </w:r>
      <w:r w:rsidR="00384C6D">
        <w:rPr>
          <w:rFonts w:asciiTheme="minorHAnsi" w:hAnsiTheme="minorHAnsi" w:cstheme="minorHAnsi"/>
          <w:iCs/>
        </w:rPr>
        <w:t>on</w:t>
      </w:r>
      <w:r w:rsidRPr="00F5476C">
        <w:rPr>
          <w:rFonts w:asciiTheme="minorHAnsi" w:hAnsiTheme="minorHAnsi" w:cstheme="minorHAnsi"/>
          <w:iCs/>
        </w:rPr>
        <w:t xml:space="preserve"> the development, design, and implementation of the</w:t>
      </w:r>
      <w:r>
        <w:rPr>
          <w:rFonts w:asciiTheme="minorHAnsi" w:hAnsiTheme="minorHAnsi" w:cstheme="minorHAnsi"/>
          <w:iCs/>
        </w:rPr>
        <w:t xml:space="preserve"> p</w:t>
      </w:r>
      <w:r w:rsidRPr="00F5476C">
        <w:rPr>
          <w:rFonts w:asciiTheme="minorHAnsi" w:hAnsiTheme="minorHAnsi" w:cstheme="minorHAnsi"/>
          <w:iCs/>
        </w:rPr>
        <w:t>rogram.</w:t>
      </w:r>
      <w:r>
        <w:rPr>
          <w:rFonts w:asciiTheme="minorHAnsi" w:hAnsiTheme="minorHAnsi" w:cstheme="minorHAnsi"/>
          <w:iCs/>
        </w:rPr>
        <w:t xml:space="preserve"> In 2022, the </w:t>
      </w:r>
      <w:r w:rsidR="00D73FBA">
        <w:rPr>
          <w:rFonts w:asciiTheme="minorHAnsi" w:hAnsiTheme="minorHAnsi" w:cstheme="minorHAnsi"/>
          <w:iCs/>
        </w:rPr>
        <w:t xml:space="preserve">advisory </w:t>
      </w:r>
      <w:r>
        <w:rPr>
          <w:rFonts w:asciiTheme="minorHAnsi" w:hAnsiTheme="minorHAnsi" w:cstheme="minorHAnsi"/>
          <w:iCs/>
        </w:rPr>
        <w:t xml:space="preserve">panel met three times in March, </w:t>
      </w:r>
      <w:proofErr w:type="gramStart"/>
      <w:r>
        <w:rPr>
          <w:rFonts w:asciiTheme="minorHAnsi" w:hAnsiTheme="minorHAnsi" w:cstheme="minorHAnsi"/>
          <w:iCs/>
        </w:rPr>
        <w:t>May</w:t>
      </w:r>
      <w:proofErr w:type="gramEnd"/>
      <w:r>
        <w:rPr>
          <w:rFonts w:asciiTheme="minorHAnsi" w:hAnsiTheme="minorHAnsi" w:cstheme="minorHAnsi"/>
          <w:iCs/>
        </w:rPr>
        <w:t xml:space="preserve"> and August. </w:t>
      </w:r>
    </w:p>
    <w:p w14:paraId="5E983D60" w14:textId="29780B9F" w:rsidR="005909A7" w:rsidRDefault="004C309C" w:rsidP="004C309C">
      <w:pPr>
        <w:spacing w:before="120" w:after="120"/>
        <w:rPr>
          <w:rFonts w:asciiTheme="minorHAnsi" w:hAnsiTheme="minorHAnsi" w:cstheme="minorHAnsi"/>
        </w:rPr>
      </w:pPr>
      <w:r>
        <w:rPr>
          <w:rFonts w:asciiTheme="minorHAnsi" w:hAnsiTheme="minorHAnsi" w:cstheme="minorHAnsi"/>
          <w:iCs/>
        </w:rPr>
        <w:t xml:space="preserve">In addition to the </w:t>
      </w:r>
      <w:r w:rsidR="00164700">
        <w:rPr>
          <w:rFonts w:asciiTheme="minorHAnsi" w:hAnsiTheme="minorHAnsi" w:cstheme="minorHAnsi"/>
          <w:iCs/>
        </w:rPr>
        <w:t>program</w:t>
      </w:r>
      <w:r w:rsidR="00C645C6">
        <w:rPr>
          <w:rFonts w:asciiTheme="minorHAnsi" w:hAnsiTheme="minorHAnsi" w:cstheme="minorHAnsi"/>
          <w:iCs/>
        </w:rPr>
        <w:t xml:space="preserve"> development,</w:t>
      </w:r>
      <w:r w:rsidR="00164700">
        <w:rPr>
          <w:rFonts w:asciiTheme="minorHAnsi" w:hAnsiTheme="minorHAnsi" w:cstheme="minorHAnsi"/>
          <w:iCs/>
        </w:rPr>
        <w:t xml:space="preserve"> design and implementation </w:t>
      </w:r>
      <w:r>
        <w:rPr>
          <w:rFonts w:asciiTheme="minorHAnsi" w:hAnsiTheme="minorHAnsi" w:cstheme="minorHAnsi"/>
          <w:iCs/>
        </w:rPr>
        <w:t xml:space="preserve">advice provided by the advisory panel, </w:t>
      </w:r>
      <w:r w:rsidR="000358D3">
        <w:rPr>
          <w:rFonts w:asciiTheme="minorHAnsi" w:hAnsiTheme="minorHAnsi" w:cstheme="minorHAnsi"/>
          <w:iCs/>
        </w:rPr>
        <w:t xml:space="preserve">the </w:t>
      </w:r>
      <w:r w:rsidR="00DE71F6" w:rsidRPr="001E5CC6">
        <w:rPr>
          <w:rFonts w:asciiTheme="minorHAnsi" w:hAnsiTheme="minorHAnsi" w:cstheme="minorHAnsi"/>
        </w:rPr>
        <w:t>Department</w:t>
      </w:r>
      <w:r w:rsidR="00DE71F6">
        <w:rPr>
          <w:rFonts w:asciiTheme="minorHAnsi" w:hAnsiTheme="minorHAnsi" w:cstheme="minorHAnsi"/>
        </w:rPr>
        <w:t xml:space="preserve"> of Education</w:t>
      </w:r>
      <w:r w:rsidR="00DE71F6" w:rsidRPr="001E5CC6">
        <w:rPr>
          <w:rFonts w:asciiTheme="minorHAnsi" w:hAnsiTheme="minorHAnsi" w:cstheme="minorHAnsi"/>
        </w:rPr>
        <w:t xml:space="preserve"> </w:t>
      </w:r>
      <w:r w:rsidR="00DE71F6">
        <w:rPr>
          <w:rFonts w:asciiTheme="minorHAnsi" w:hAnsiTheme="minorHAnsi" w:cstheme="minorHAnsi"/>
        </w:rPr>
        <w:t xml:space="preserve">(Department) </w:t>
      </w:r>
      <w:r w:rsidR="000358D3">
        <w:rPr>
          <w:rFonts w:asciiTheme="minorHAnsi" w:hAnsiTheme="minorHAnsi" w:cstheme="minorHAnsi"/>
          <w:iCs/>
        </w:rPr>
        <w:t xml:space="preserve">also consulted with </w:t>
      </w:r>
      <w:r>
        <w:rPr>
          <w:rFonts w:asciiTheme="minorHAnsi" w:hAnsiTheme="minorHAnsi" w:cstheme="minorHAnsi"/>
        </w:rPr>
        <w:t>targeted stakeholders</w:t>
      </w:r>
      <w:r w:rsidR="000358D3">
        <w:rPr>
          <w:rFonts w:asciiTheme="minorHAnsi" w:hAnsiTheme="minorHAnsi" w:cstheme="minorHAnsi"/>
        </w:rPr>
        <w:t xml:space="preserve"> </w:t>
      </w:r>
      <w:r>
        <w:rPr>
          <w:rFonts w:asciiTheme="minorHAnsi" w:hAnsiTheme="minorHAnsi" w:cstheme="minorHAnsi"/>
        </w:rPr>
        <w:t xml:space="preserve">between 6 July and 20 July </w:t>
      </w:r>
      <w:r w:rsidR="00985733">
        <w:rPr>
          <w:rFonts w:asciiTheme="minorHAnsi" w:hAnsiTheme="minorHAnsi" w:cstheme="minorHAnsi"/>
        </w:rPr>
        <w:t xml:space="preserve">2022 </w:t>
      </w:r>
      <w:r>
        <w:rPr>
          <w:rFonts w:asciiTheme="minorHAnsi" w:hAnsiTheme="minorHAnsi" w:cstheme="minorHAnsi"/>
        </w:rPr>
        <w:t>(</w:t>
      </w:r>
      <w:r w:rsidR="00384C6D">
        <w:rPr>
          <w:rFonts w:asciiTheme="minorHAnsi" w:hAnsiTheme="minorHAnsi" w:cstheme="minorHAnsi"/>
        </w:rPr>
        <w:t>first</w:t>
      </w:r>
      <w:r>
        <w:rPr>
          <w:rFonts w:asciiTheme="minorHAnsi" w:hAnsiTheme="minorHAnsi" w:cstheme="minorHAnsi"/>
        </w:rPr>
        <w:t xml:space="preserve"> round of consultation) and between 14</w:t>
      </w:r>
      <w:r w:rsidR="0048222D">
        <w:rPr>
          <w:rFonts w:asciiTheme="minorHAnsi" w:hAnsiTheme="minorHAnsi" w:cstheme="minorHAnsi"/>
        </w:rPr>
        <w:t> </w:t>
      </w:r>
      <w:r>
        <w:rPr>
          <w:rFonts w:asciiTheme="minorHAnsi" w:hAnsiTheme="minorHAnsi" w:cstheme="minorHAnsi"/>
        </w:rPr>
        <w:t>September and 5 October</w:t>
      </w:r>
      <w:r w:rsidR="00985733">
        <w:rPr>
          <w:rFonts w:asciiTheme="minorHAnsi" w:hAnsiTheme="minorHAnsi" w:cstheme="minorHAnsi"/>
        </w:rPr>
        <w:t xml:space="preserve"> 2022</w:t>
      </w:r>
      <w:r>
        <w:rPr>
          <w:rFonts w:asciiTheme="minorHAnsi" w:hAnsiTheme="minorHAnsi" w:cstheme="minorHAnsi"/>
        </w:rPr>
        <w:t xml:space="preserve"> (</w:t>
      </w:r>
      <w:r w:rsidR="00384C6D">
        <w:rPr>
          <w:rFonts w:asciiTheme="minorHAnsi" w:hAnsiTheme="minorHAnsi" w:cstheme="minorHAnsi"/>
        </w:rPr>
        <w:t>second</w:t>
      </w:r>
      <w:r>
        <w:rPr>
          <w:rFonts w:asciiTheme="minorHAnsi" w:hAnsiTheme="minorHAnsi" w:cstheme="minorHAnsi"/>
        </w:rPr>
        <w:t xml:space="preserve"> round of consultation). </w:t>
      </w:r>
    </w:p>
    <w:p w14:paraId="361EDD05" w14:textId="78DD45EA" w:rsidR="004C309C" w:rsidRPr="001E5CC6" w:rsidRDefault="004C309C" w:rsidP="004C309C">
      <w:pPr>
        <w:spacing w:before="120" w:after="120"/>
        <w:rPr>
          <w:rFonts w:asciiTheme="minorHAnsi" w:hAnsiTheme="minorHAnsi" w:cstheme="minorHAnsi"/>
        </w:rPr>
      </w:pPr>
      <w:r w:rsidRPr="007E7809">
        <w:rPr>
          <w:rFonts w:asciiTheme="minorHAnsi" w:hAnsiTheme="minorHAnsi" w:cstheme="minorHAnsi"/>
        </w:rPr>
        <w:lastRenderedPageBreak/>
        <w:t>A total of 36 submissions were received</w:t>
      </w:r>
      <w:r w:rsidRPr="001E5CC6">
        <w:rPr>
          <w:rFonts w:asciiTheme="minorHAnsi" w:hAnsiTheme="minorHAnsi" w:cstheme="minorHAnsi"/>
        </w:rPr>
        <w:t>: 27 submissions for the first round</w:t>
      </w:r>
      <w:r w:rsidR="00D73FBA">
        <w:rPr>
          <w:rFonts w:asciiTheme="minorHAnsi" w:hAnsiTheme="minorHAnsi" w:cstheme="minorHAnsi"/>
        </w:rPr>
        <w:t xml:space="preserve"> of consultation</w:t>
      </w:r>
      <w:r w:rsidRPr="001E5CC6">
        <w:rPr>
          <w:rFonts w:asciiTheme="minorHAnsi" w:hAnsiTheme="minorHAnsi" w:cstheme="minorHAnsi"/>
        </w:rPr>
        <w:t>; and nine for the second</w:t>
      </w:r>
      <w:r w:rsidR="00D73FBA">
        <w:rPr>
          <w:rFonts w:asciiTheme="minorHAnsi" w:hAnsiTheme="minorHAnsi" w:cstheme="minorHAnsi"/>
        </w:rPr>
        <w:t xml:space="preserve"> round of consultation</w:t>
      </w:r>
      <w:r w:rsidRPr="001E5CC6">
        <w:rPr>
          <w:rFonts w:asciiTheme="minorHAnsi" w:hAnsiTheme="minorHAnsi" w:cstheme="minorHAnsi"/>
        </w:rPr>
        <w:t>.</w:t>
      </w:r>
    </w:p>
    <w:p w14:paraId="4C93AE7C" w14:textId="5189DBEF" w:rsidR="000358D3" w:rsidRPr="001E5CC6" w:rsidRDefault="000358D3" w:rsidP="000358D3">
      <w:pPr>
        <w:spacing w:before="120" w:after="120"/>
        <w:rPr>
          <w:rFonts w:asciiTheme="minorHAnsi" w:hAnsiTheme="minorHAnsi" w:cstheme="minorHAnsi"/>
        </w:rPr>
      </w:pPr>
      <w:r w:rsidRPr="001E5CC6">
        <w:rPr>
          <w:rFonts w:asciiTheme="minorHAnsi" w:hAnsiTheme="minorHAnsi" w:cstheme="minorHAnsi"/>
        </w:rPr>
        <w:t xml:space="preserve">The </w:t>
      </w:r>
      <w:r>
        <w:rPr>
          <w:rFonts w:asciiTheme="minorHAnsi" w:hAnsiTheme="minorHAnsi" w:cstheme="minorHAnsi"/>
        </w:rPr>
        <w:t xml:space="preserve">stakeholders consulted </w:t>
      </w:r>
      <w:r w:rsidRPr="001E5CC6">
        <w:rPr>
          <w:rFonts w:asciiTheme="minorHAnsi" w:hAnsiTheme="minorHAnsi" w:cstheme="minorHAnsi"/>
        </w:rPr>
        <w:t xml:space="preserve">included </w:t>
      </w:r>
      <w:r>
        <w:rPr>
          <w:rFonts w:asciiTheme="minorHAnsi" w:hAnsiTheme="minorHAnsi" w:cstheme="minorHAnsi"/>
        </w:rPr>
        <w:t>u</w:t>
      </w:r>
      <w:r w:rsidRPr="001E5CC6">
        <w:rPr>
          <w:rFonts w:asciiTheme="minorHAnsi" w:hAnsiTheme="minorHAnsi" w:cstheme="minorHAnsi"/>
        </w:rPr>
        <w:t xml:space="preserve">niversities, </w:t>
      </w:r>
      <w:r>
        <w:rPr>
          <w:rFonts w:asciiTheme="minorHAnsi" w:hAnsiTheme="minorHAnsi" w:cstheme="minorHAnsi"/>
        </w:rPr>
        <w:t>u</w:t>
      </w:r>
      <w:r w:rsidRPr="001E5CC6">
        <w:rPr>
          <w:rFonts w:asciiTheme="minorHAnsi" w:hAnsiTheme="minorHAnsi" w:cstheme="minorHAnsi"/>
        </w:rPr>
        <w:t xml:space="preserve">niversity peak bodies and cohort groups, </w:t>
      </w:r>
      <w:r>
        <w:rPr>
          <w:rFonts w:asciiTheme="minorHAnsi" w:hAnsiTheme="minorHAnsi" w:cstheme="minorHAnsi"/>
        </w:rPr>
        <w:t>u</w:t>
      </w:r>
      <w:r w:rsidRPr="001E5CC6">
        <w:rPr>
          <w:rFonts w:asciiTheme="minorHAnsi" w:hAnsiTheme="minorHAnsi" w:cstheme="minorHAnsi"/>
        </w:rPr>
        <w:t xml:space="preserve">niversity </w:t>
      </w:r>
      <w:r>
        <w:rPr>
          <w:rFonts w:asciiTheme="minorHAnsi" w:hAnsiTheme="minorHAnsi" w:cstheme="minorHAnsi"/>
        </w:rPr>
        <w:t>s</w:t>
      </w:r>
      <w:r w:rsidRPr="001E5CC6">
        <w:rPr>
          <w:rFonts w:asciiTheme="minorHAnsi" w:hAnsiTheme="minorHAnsi" w:cstheme="minorHAnsi"/>
        </w:rPr>
        <w:t xml:space="preserve">taff in a private capacity, </w:t>
      </w:r>
      <w:r>
        <w:rPr>
          <w:rFonts w:asciiTheme="minorHAnsi" w:hAnsiTheme="minorHAnsi" w:cstheme="minorHAnsi"/>
        </w:rPr>
        <w:t>g</w:t>
      </w:r>
      <w:r w:rsidRPr="001E5CC6">
        <w:rPr>
          <w:rFonts w:asciiTheme="minorHAnsi" w:hAnsiTheme="minorHAnsi" w:cstheme="minorHAnsi"/>
        </w:rPr>
        <w:t xml:space="preserve">overnment </w:t>
      </w:r>
      <w:r>
        <w:rPr>
          <w:rFonts w:asciiTheme="minorHAnsi" w:hAnsiTheme="minorHAnsi" w:cstheme="minorHAnsi"/>
        </w:rPr>
        <w:t>a</w:t>
      </w:r>
      <w:r w:rsidRPr="00C74BC3">
        <w:rPr>
          <w:rFonts w:asciiTheme="minorHAnsi" w:hAnsiTheme="minorHAnsi" w:cstheme="minorHAnsi"/>
        </w:rPr>
        <w:t>gencies</w:t>
      </w:r>
      <w:r w:rsidRPr="00015D8E">
        <w:rPr>
          <w:rFonts w:asciiTheme="minorHAnsi" w:hAnsiTheme="minorHAnsi" w:cstheme="minorHAnsi"/>
        </w:rPr>
        <w:t>,</w:t>
      </w:r>
      <w:r w:rsidRPr="001E5CC6">
        <w:rPr>
          <w:rFonts w:asciiTheme="minorHAnsi" w:hAnsiTheme="minorHAnsi" w:cstheme="minorHAnsi"/>
        </w:rPr>
        <w:t xml:space="preserve"> and </w:t>
      </w:r>
      <w:r>
        <w:rPr>
          <w:rFonts w:asciiTheme="minorHAnsi" w:hAnsiTheme="minorHAnsi" w:cstheme="minorHAnsi"/>
        </w:rPr>
        <w:t>i</w:t>
      </w:r>
      <w:r w:rsidRPr="001E5CC6">
        <w:rPr>
          <w:rFonts w:asciiTheme="minorHAnsi" w:hAnsiTheme="minorHAnsi" w:cstheme="minorHAnsi"/>
        </w:rPr>
        <w:t>ndustry</w:t>
      </w:r>
      <w:r>
        <w:rPr>
          <w:rFonts w:asciiTheme="minorHAnsi" w:hAnsiTheme="minorHAnsi" w:cstheme="minorHAnsi"/>
        </w:rPr>
        <w:t xml:space="preserve"> groups</w:t>
      </w:r>
      <w:r w:rsidRPr="001E5CC6">
        <w:rPr>
          <w:rFonts w:asciiTheme="minorHAnsi" w:hAnsiTheme="minorHAnsi" w:cstheme="minorHAnsi"/>
        </w:rPr>
        <w:t xml:space="preserve">. </w:t>
      </w:r>
    </w:p>
    <w:p w14:paraId="607872B7" w14:textId="30C7323F" w:rsidR="004C309C" w:rsidRPr="001E5CC6" w:rsidRDefault="005A535E" w:rsidP="004C309C">
      <w:pPr>
        <w:rPr>
          <w:rFonts w:asciiTheme="minorHAnsi" w:hAnsiTheme="minorHAnsi" w:cstheme="minorHAnsi"/>
        </w:rPr>
      </w:pPr>
      <w:r>
        <w:rPr>
          <w:rFonts w:asciiTheme="minorHAnsi" w:hAnsiTheme="minorHAnsi" w:cstheme="minorHAnsi"/>
        </w:rPr>
        <w:t xml:space="preserve"> </w:t>
      </w:r>
    </w:p>
    <w:p w14:paraId="3A6EE0A5" w14:textId="3EB0F317" w:rsidR="009B15A4" w:rsidRDefault="009B15A4">
      <w:pPr>
        <w:spacing w:after="160" w:line="259" w:lineRule="auto"/>
        <w:rPr>
          <w:rFonts w:asciiTheme="minorHAnsi" w:hAnsiTheme="minorHAnsi" w:cstheme="minorHAnsi"/>
        </w:rPr>
      </w:pPr>
      <w:r>
        <w:rPr>
          <w:rFonts w:asciiTheme="minorHAnsi" w:hAnsiTheme="minorHAnsi" w:cstheme="minorHAnsi"/>
        </w:rPr>
        <w:br w:type="page"/>
      </w:r>
    </w:p>
    <w:p w14:paraId="2023D52E" w14:textId="77777777" w:rsidR="00DA552F" w:rsidRPr="008134D5" w:rsidRDefault="00DA552F" w:rsidP="00F62708">
      <w:pPr>
        <w:pStyle w:val="Heading2"/>
        <w:jc w:val="center"/>
        <w:rPr>
          <w:rFonts w:asciiTheme="minorHAnsi" w:hAnsiTheme="minorHAnsi" w:cstheme="minorHAnsi"/>
          <w:color w:val="auto"/>
        </w:rPr>
      </w:pPr>
      <w:bookmarkStart w:id="5" w:name="_Toc23942241"/>
      <w:bookmarkStart w:id="6" w:name="_Toc34293362"/>
      <w:r w:rsidRPr="008134D5">
        <w:rPr>
          <w:rFonts w:asciiTheme="minorHAnsi" w:hAnsiTheme="minorHAnsi" w:cstheme="minorHAnsi"/>
          <w:color w:val="auto"/>
        </w:rPr>
        <w:lastRenderedPageBreak/>
        <w:t>STATEMENT OF COMPATIBILITY WITH HUMAN RIGHTS</w:t>
      </w:r>
      <w:bookmarkEnd w:id="5"/>
      <w:bookmarkEnd w:id="6"/>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410332A7" w14:textId="063B727E" w:rsidR="00FF5F61" w:rsidRPr="005A5C90" w:rsidRDefault="009B15A4" w:rsidP="00FF5F61">
      <w:pPr>
        <w:jc w:val="center"/>
        <w:rPr>
          <w:rFonts w:asciiTheme="minorHAnsi" w:hAnsiTheme="minorHAnsi" w:cstheme="minorHAnsi"/>
          <w:b/>
          <w:iCs/>
          <w:szCs w:val="24"/>
        </w:rPr>
      </w:pPr>
      <w:r>
        <w:rPr>
          <w:rFonts w:asciiTheme="minorHAnsi" w:hAnsiTheme="minorHAnsi" w:cstheme="minorHAnsi"/>
          <w:b/>
          <w:iCs/>
          <w:szCs w:val="24"/>
        </w:rPr>
        <w:t xml:space="preserve">Other Grants (Research) Amendment (National Industry PhD Program) </w:t>
      </w:r>
      <w:r w:rsidR="00E718E8">
        <w:rPr>
          <w:rFonts w:asciiTheme="minorHAnsi" w:hAnsiTheme="minorHAnsi" w:cstheme="minorHAnsi"/>
          <w:b/>
          <w:iCs/>
          <w:szCs w:val="24"/>
        </w:rPr>
        <w:t xml:space="preserve">Guidelines </w:t>
      </w:r>
      <w:r>
        <w:rPr>
          <w:rFonts w:asciiTheme="minorHAnsi" w:hAnsiTheme="minorHAnsi" w:cstheme="minorHAnsi"/>
          <w:b/>
          <w:iCs/>
          <w:szCs w:val="24"/>
        </w:rPr>
        <w:t>2022</w:t>
      </w:r>
    </w:p>
    <w:p w14:paraId="65F6CFAB" w14:textId="7A451144" w:rsidR="00DA552F" w:rsidRPr="008134D5" w:rsidRDefault="00F9205E" w:rsidP="00DA552F">
      <w:pPr>
        <w:spacing w:before="120" w:after="120"/>
        <w:rPr>
          <w:rFonts w:asciiTheme="minorHAnsi" w:hAnsiTheme="minorHAnsi" w:cstheme="minorHAnsi"/>
          <w:szCs w:val="24"/>
        </w:rPr>
      </w:pPr>
      <w:r w:rsidRPr="00FF5F61">
        <w:rPr>
          <w:rFonts w:asciiTheme="minorHAnsi" w:hAnsiTheme="minorHAnsi" w:cstheme="minorHAnsi"/>
          <w:szCs w:val="24"/>
        </w:rPr>
        <w:t>The</w:t>
      </w:r>
      <w:r w:rsidRPr="00FF5F61">
        <w:rPr>
          <w:rFonts w:asciiTheme="minorHAnsi" w:hAnsiTheme="minorHAnsi" w:cstheme="minorHAnsi"/>
          <w:i/>
          <w:iCs/>
          <w:szCs w:val="24"/>
        </w:rPr>
        <w:t xml:space="preserve"> </w:t>
      </w:r>
      <w:r w:rsidR="009B15A4">
        <w:rPr>
          <w:rFonts w:asciiTheme="minorHAnsi" w:hAnsiTheme="minorHAnsi" w:cstheme="minorHAnsi"/>
          <w:i/>
          <w:iCs/>
          <w:szCs w:val="24"/>
        </w:rPr>
        <w:t xml:space="preserve">Other Grants (Research) Amendment (National Industry PhD Program) </w:t>
      </w:r>
      <w:r w:rsidR="008914A9">
        <w:rPr>
          <w:rFonts w:asciiTheme="minorHAnsi" w:hAnsiTheme="minorHAnsi" w:cstheme="minorHAnsi"/>
          <w:i/>
          <w:iCs/>
          <w:szCs w:val="24"/>
        </w:rPr>
        <w:t xml:space="preserve">Guidelines </w:t>
      </w:r>
      <w:r w:rsidR="009B15A4">
        <w:rPr>
          <w:rFonts w:asciiTheme="minorHAnsi" w:hAnsiTheme="minorHAnsi" w:cstheme="minorHAnsi"/>
          <w:i/>
          <w:iCs/>
          <w:szCs w:val="24"/>
        </w:rPr>
        <w:t>2022</w:t>
      </w:r>
      <w:r w:rsidR="00FF5F61" w:rsidRPr="00FF5F61">
        <w:rPr>
          <w:rFonts w:asciiTheme="minorHAnsi" w:hAnsiTheme="minorHAnsi" w:cstheme="minorHAnsi"/>
          <w:szCs w:val="24"/>
        </w:rPr>
        <w:t xml:space="preserve"> </w:t>
      </w:r>
      <w:r w:rsidR="001E52EB">
        <w:rPr>
          <w:rFonts w:asciiTheme="minorHAnsi" w:hAnsiTheme="minorHAnsi" w:cstheme="minorHAnsi"/>
          <w:szCs w:val="24"/>
        </w:rPr>
        <w:t xml:space="preserve">(the </w:t>
      </w:r>
      <w:r w:rsidR="00FF5F61">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605AFDC0" w14:textId="5B8FB9F3" w:rsidR="009B15A4" w:rsidRDefault="009B15A4" w:rsidP="009B15A4">
      <w:pPr>
        <w:rPr>
          <w:rFonts w:asciiTheme="minorHAnsi" w:hAnsiTheme="minorHAnsi" w:cstheme="minorHAnsi"/>
          <w:iCs/>
          <w:szCs w:val="24"/>
        </w:rPr>
      </w:pPr>
      <w:r w:rsidRPr="00690EC9">
        <w:rPr>
          <w:rFonts w:asciiTheme="minorHAnsi" w:hAnsiTheme="minorHAnsi" w:cstheme="minorHAnsi"/>
          <w:iCs/>
          <w:szCs w:val="24"/>
        </w:rPr>
        <w:t>The</w:t>
      </w:r>
      <w:r w:rsidRPr="00690EC9">
        <w:rPr>
          <w:rFonts w:asciiTheme="minorHAnsi" w:hAnsiTheme="minorHAnsi" w:cstheme="minorHAnsi"/>
          <w:i/>
          <w:szCs w:val="24"/>
        </w:rPr>
        <w:t xml:space="preserve"> </w:t>
      </w:r>
      <w:r w:rsidRPr="00690EC9">
        <w:rPr>
          <w:rFonts w:asciiTheme="minorHAnsi" w:hAnsiTheme="minorHAnsi" w:cstheme="minorHAnsi"/>
          <w:iCs/>
          <w:szCs w:val="24"/>
        </w:rPr>
        <w:t xml:space="preserve">Amendment Instrument amends the </w:t>
      </w:r>
      <w:r>
        <w:rPr>
          <w:rFonts w:asciiTheme="minorHAnsi" w:hAnsiTheme="minorHAnsi" w:cstheme="minorHAnsi"/>
          <w:i/>
          <w:szCs w:val="24"/>
        </w:rPr>
        <w:t xml:space="preserve">Other Grants Guidelines (Research) </w:t>
      </w:r>
      <w:r w:rsidRPr="009B15A4">
        <w:rPr>
          <w:rFonts w:asciiTheme="minorHAnsi" w:hAnsiTheme="minorHAnsi" w:cstheme="minorHAnsi"/>
          <w:i/>
          <w:szCs w:val="24"/>
        </w:rPr>
        <w:t>2017</w:t>
      </w:r>
      <w:r>
        <w:rPr>
          <w:rFonts w:asciiTheme="minorHAnsi" w:hAnsiTheme="minorHAnsi" w:cstheme="minorHAnsi"/>
          <w:iCs/>
          <w:szCs w:val="24"/>
        </w:rPr>
        <w:t xml:space="preserve"> (the </w:t>
      </w:r>
      <w:r w:rsidRPr="009B15A4">
        <w:rPr>
          <w:rFonts w:asciiTheme="minorHAnsi" w:hAnsiTheme="minorHAnsi" w:cstheme="minorHAnsi"/>
          <w:iCs/>
          <w:szCs w:val="24"/>
        </w:rPr>
        <w:t>Principal</w:t>
      </w:r>
      <w:r w:rsidRPr="00690EC9">
        <w:rPr>
          <w:rFonts w:asciiTheme="minorHAnsi" w:hAnsiTheme="minorHAnsi" w:cstheme="minorHAnsi"/>
          <w:iCs/>
          <w:szCs w:val="24"/>
        </w:rPr>
        <w:t xml:space="preserve"> Instrument</w:t>
      </w:r>
      <w:r>
        <w:rPr>
          <w:rFonts w:asciiTheme="minorHAnsi" w:hAnsiTheme="minorHAnsi" w:cstheme="minorHAnsi"/>
          <w:iCs/>
          <w:szCs w:val="24"/>
        </w:rPr>
        <w:t>)</w:t>
      </w:r>
      <w:r w:rsidRPr="00690EC9">
        <w:rPr>
          <w:rFonts w:asciiTheme="minorHAnsi" w:hAnsiTheme="minorHAnsi" w:cstheme="minorHAnsi"/>
          <w:iCs/>
          <w:szCs w:val="24"/>
        </w:rPr>
        <w:t xml:space="preserve"> to establish the </w:t>
      </w:r>
      <w:r>
        <w:rPr>
          <w:rFonts w:asciiTheme="minorHAnsi" w:hAnsiTheme="minorHAnsi" w:cstheme="minorHAnsi"/>
          <w:iCs/>
          <w:szCs w:val="24"/>
        </w:rPr>
        <w:t>National Industry PhD</w:t>
      </w:r>
      <w:r w:rsidRPr="00690EC9">
        <w:rPr>
          <w:rFonts w:asciiTheme="minorHAnsi" w:hAnsiTheme="minorHAnsi" w:cstheme="minorHAnsi"/>
          <w:iCs/>
          <w:szCs w:val="24"/>
        </w:rPr>
        <w:t xml:space="preserve"> program</w:t>
      </w:r>
      <w:r>
        <w:rPr>
          <w:rFonts w:asciiTheme="minorHAnsi" w:hAnsiTheme="minorHAnsi" w:cstheme="minorHAnsi"/>
          <w:iCs/>
          <w:szCs w:val="24"/>
        </w:rPr>
        <w:t xml:space="preserve"> (the program)</w:t>
      </w:r>
      <w:r w:rsidRPr="00690EC9">
        <w:rPr>
          <w:rFonts w:asciiTheme="minorHAnsi" w:hAnsiTheme="minorHAnsi" w:cstheme="minorHAnsi"/>
          <w:iCs/>
          <w:szCs w:val="24"/>
        </w:rPr>
        <w:t xml:space="preserve">. </w:t>
      </w:r>
    </w:p>
    <w:p w14:paraId="1DC5AB96" w14:textId="77777777" w:rsidR="009B15A4" w:rsidRDefault="009B15A4" w:rsidP="009B15A4">
      <w:pPr>
        <w:rPr>
          <w:rFonts w:asciiTheme="minorHAnsi" w:hAnsiTheme="minorHAnsi" w:cstheme="minorHAnsi"/>
          <w:iCs/>
          <w:szCs w:val="24"/>
        </w:rPr>
      </w:pPr>
      <w:r>
        <w:rPr>
          <w:rFonts w:asciiTheme="minorHAnsi" w:hAnsiTheme="minorHAnsi" w:cstheme="minorHAnsi"/>
          <w:iCs/>
          <w:szCs w:val="24"/>
        </w:rPr>
        <w:t xml:space="preserve">The Amendment Instrument sets out the program objectives for the program, the extra conditions of eligibility, conditions that apply to grants under the program and the method by which grant amounts under the program will be determined. </w:t>
      </w:r>
    </w:p>
    <w:p w14:paraId="43545523" w14:textId="4EDF6397" w:rsidR="009B15A4" w:rsidRDefault="009B15A4" w:rsidP="009B15A4">
      <w:pPr>
        <w:rPr>
          <w:rFonts w:asciiTheme="minorHAnsi" w:hAnsiTheme="minorHAnsi" w:cstheme="minorHAnsi"/>
          <w:iCs/>
          <w:szCs w:val="24"/>
        </w:rPr>
      </w:pPr>
      <w:r>
        <w:rPr>
          <w:rFonts w:asciiTheme="minorHAnsi" w:hAnsiTheme="minorHAnsi" w:cstheme="minorHAnsi"/>
          <w:iCs/>
          <w:szCs w:val="24"/>
        </w:rPr>
        <w:t xml:space="preserve">Grants under the program will be made for the purpose of supporting the training of research students. </w:t>
      </w:r>
      <w:r w:rsidRPr="00B0354B">
        <w:rPr>
          <w:rFonts w:asciiTheme="minorHAnsi" w:hAnsiTheme="minorHAnsi" w:cstheme="minorHAnsi"/>
          <w:iCs/>
          <w:szCs w:val="24"/>
        </w:rPr>
        <w:t xml:space="preserve">The </w:t>
      </w:r>
      <w:r>
        <w:rPr>
          <w:rFonts w:asciiTheme="minorHAnsi" w:hAnsiTheme="minorHAnsi" w:cstheme="minorHAnsi"/>
          <w:iCs/>
          <w:szCs w:val="24"/>
        </w:rPr>
        <w:t xml:space="preserve">program </w:t>
      </w:r>
      <w:r w:rsidRPr="00B0354B">
        <w:rPr>
          <w:rFonts w:asciiTheme="minorHAnsi" w:hAnsiTheme="minorHAnsi" w:cstheme="minorHAnsi"/>
          <w:iCs/>
          <w:szCs w:val="24"/>
        </w:rPr>
        <w:t>will provide</w:t>
      </w:r>
      <w:r>
        <w:rPr>
          <w:rFonts w:asciiTheme="minorHAnsi" w:hAnsiTheme="minorHAnsi" w:cstheme="minorHAnsi"/>
          <w:iCs/>
          <w:szCs w:val="24"/>
        </w:rPr>
        <w:t xml:space="preserve"> funding </w:t>
      </w:r>
      <w:r w:rsidRPr="00B0354B">
        <w:rPr>
          <w:rFonts w:asciiTheme="minorHAnsi" w:hAnsiTheme="minorHAnsi" w:cstheme="minorHAnsi"/>
          <w:iCs/>
          <w:szCs w:val="24"/>
        </w:rPr>
        <w:t xml:space="preserve">to higher education providers to </w:t>
      </w:r>
      <w:r>
        <w:rPr>
          <w:rFonts w:asciiTheme="minorHAnsi" w:hAnsiTheme="minorHAnsi" w:cstheme="minorHAnsi"/>
          <w:iCs/>
          <w:szCs w:val="24"/>
        </w:rPr>
        <w:t xml:space="preserve">develop PhD Candidates into researchers who can work in both industry and academic settings, support high calibre industry professionals </w:t>
      </w:r>
      <w:r w:rsidR="00587D5B">
        <w:rPr>
          <w:rFonts w:asciiTheme="minorHAnsi" w:hAnsiTheme="minorHAnsi" w:cstheme="minorHAnsi"/>
          <w:iCs/>
          <w:szCs w:val="24"/>
        </w:rPr>
        <w:t xml:space="preserve">to become </w:t>
      </w:r>
      <w:r>
        <w:rPr>
          <w:rFonts w:asciiTheme="minorHAnsi" w:hAnsiTheme="minorHAnsi" w:cstheme="minorHAnsi"/>
          <w:iCs/>
          <w:szCs w:val="24"/>
        </w:rPr>
        <w:t xml:space="preserve">industry researchers with the potential to work in academic settings, contribute to industry-focused innovation and development, strengthen collaboration between Australian companies and universities, and support industry-focused PhD research projects. </w:t>
      </w:r>
    </w:p>
    <w:p w14:paraId="71E1C87D" w14:textId="7D11F162" w:rsidR="005412CB" w:rsidRDefault="005412CB" w:rsidP="005412CB">
      <w:pPr>
        <w:pStyle w:val="CABNETParagraph"/>
        <w:spacing w:after="0" w:line="276" w:lineRule="auto"/>
        <w:rPr>
          <w:rStyle w:val="normaltextrun"/>
          <w:rFonts w:asciiTheme="minorHAnsi" w:hAnsiTheme="minorHAnsi"/>
          <w:color w:val="000000"/>
          <w:sz w:val="24"/>
          <w:szCs w:val="24"/>
          <w:bdr w:val="none" w:sz="0" w:space="0" w:color="auto" w:frame="1"/>
        </w:rPr>
      </w:pPr>
      <w:r w:rsidRPr="00AA4A5C">
        <w:rPr>
          <w:rFonts w:asciiTheme="minorHAnsi" w:hAnsiTheme="minorHAnsi"/>
          <w:sz w:val="24"/>
          <w:szCs w:val="24"/>
          <w:shd w:val="clear" w:color="auto" w:fill="FFFFFF"/>
        </w:rPr>
        <w:t>The Government’s investment of $36.1 million will establish the program to build a bedrock of highly skilled PhD</w:t>
      </w:r>
      <w:r w:rsidR="001124A6" w:rsidRPr="00AA4A5C">
        <w:rPr>
          <w:rFonts w:asciiTheme="minorHAnsi" w:hAnsiTheme="minorHAnsi"/>
          <w:sz w:val="24"/>
          <w:szCs w:val="24"/>
          <w:shd w:val="clear" w:color="auto" w:fill="FFFFFF"/>
        </w:rPr>
        <w:t xml:space="preserve"> Candidates</w:t>
      </w:r>
      <w:r w:rsidRPr="00AA4A5C">
        <w:rPr>
          <w:rFonts w:asciiTheme="minorHAnsi" w:hAnsiTheme="minorHAnsi"/>
          <w:sz w:val="24"/>
          <w:szCs w:val="24"/>
          <w:shd w:val="clear" w:color="auto" w:fill="FFFFFF"/>
        </w:rPr>
        <w:t>, to support research innovation</w:t>
      </w:r>
      <w:r w:rsidR="002043F8" w:rsidRPr="00AA4A5C">
        <w:rPr>
          <w:rFonts w:asciiTheme="minorHAnsi" w:hAnsiTheme="minorHAnsi"/>
          <w:sz w:val="24"/>
          <w:szCs w:val="24"/>
          <w:shd w:val="clear" w:color="auto" w:fill="FFFFFF"/>
        </w:rPr>
        <w:t xml:space="preserve"> and</w:t>
      </w:r>
      <w:r w:rsidRPr="00AA4A5C">
        <w:rPr>
          <w:rFonts w:asciiTheme="minorHAnsi" w:hAnsiTheme="minorHAnsi"/>
          <w:sz w:val="24"/>
          <w:szCs w:val="24"/>
          <w:shd w:val="clear" w:color="auto" w:fill="FFFFFF"/>
        </w:rPr>
        <w:t xml:space="preserve"> university-industry collaboration to add over 1,300 Industry PhDs over 10 years. It will have two distinct streams: Industry Linked PhDs and Industry Researcher PhDs. The two streams</w:t>
      </w:r>
      <w:r w:rsidRPr="00AA4A5C">
        <w:rPr>
          <w:rFonts w:asciiTheme="minorHAnsi" w:hAnsiTheme="minorHAnsi"/>
          <w:sz w:val="24"/>
          <w:szCs w:val="24"/>
        </w:rPr>
        <w:t xml:space="preserve"> embed </w:t>
      </w:r>
      <w:r w:rsidRPr="00D358F7">
        <w:rPr>
          <w:rFonts w:asciiTheme="minorHAnsi" w:hAnsiTheme="minorHAnsi"/>
          <w:sz w:val="24"/>
          <w:szCs w:val="24"/>
        </w:rPr>
        <w:t xml:space="preserve">researchers in </w:t>
      </w:r>
      <w:r>
        <w:rPr>
          <w:rFonts w:asciiTheme="minorHAnsi" w:hAnsiTheme="minorHAnsi"/>
          <w:sz w:val="24"/>
          <w:szCs w:val="24"/>
        </w:rPr>
        <w:t xml:space="preserve">academic and </w:t>
      </w:r>
      <w:r w:rsidRPr="00D358F7">
        <w:rPr>
          <w:rFonts w:asciiTheme="minorHAnsi" w:hAnsiTheme="minorHAnsi"/>
          <w:sz w:val="24"/>
          <w:szCs w:val="24"/>
        </w:rPr>
        <w:t xml:space="preserve">industry settings, enhancing research </w:t>
      </w:r>
      <w:r>
        <w:rPr>
          <w:rFonts w:asciiTheme="minorHAnsi" w:hAnsiTheme="minorHAnsi"/>
          <w:sz w:val="24"/>
          <w:szCs w:val="24"/>
        </w:rPr>
        <w:t>translation</w:t>
      </w:r>
      <w:r w:rsidR="00B16BF4">
        <w:rPr>
          <w:rFonts w:asciiTheme="minorHAnsi" w:hAnsiTheme="minorHAnsi"/>
          <w:sz w:val="24"/>
          <w:szCs w:val="24"/>
        </w:rPr>
        <w:t>,</w:t>
      </w:r>
      <w:r>
        <w:rPr>
          <w:rFonts w:asciiTheme="minorHAnsi" w:hAnsiTheme="minorHAnsi"/>
          <w:sz w:val="24"/>
          <w:szCs w:val="24"/>
        </w:rPr>
        <w:t xml:space="preserve"> </w:t>
      </w:r>
      <w:proofErr w:type="gramStart"/>
      <w:r w:rsidRPr="00D358F7">
        <w:rPr>
          <w:rFonts w:asciiTheme="minorHAnsi" w:hAnsiTheme="minorHAnsi"/>
          <w:sz w:val="24"/>
          <w:szCs w:val="24"/>
        </w:rPr>
        <w:t>commercialisation</w:t>
      </w:r>
      <w:proofErr w:type="gramEnd"/>
      <w:r w:rsidRPr="00D358F7">
        <w:rPr>
          <w:rFonts w:asciiTheme="minorHAnsi" w:hAnsiTheme="minorHAnsi"/>
          <w:sz w:val="24"/>
          <w:szCs w:val="24"/>
        </w:rPr>
        <w:t xml:space="preserve"> and skills</w:t>
      </w:r>
      <w:r w:rsidR="00B16BF4">
        <w:rPr>
          <w:rFonts w:asciiTheme="minorHAnsi" w:hAnsiTheme="minorHAnsi"/>
          <w:sz w:val="24"/>
          <w:szCs w:val="24"/>
        </w:rPr>
        <w:t>,</w:t>
      </w:r>
      <w:r w:rsidRPr="00D358F7">
        <w:rPr>
          <w:rFonts w:asciiTheme="minorHAnsi" w:hAnsiTheme="minorHAnsi"/>
          <w:sz w:val="24"/>
          <w:szCs w:val="24"/>
        </w:rPr>
        <w:t xml:space="preserve"> and building research careers in industry. </w:t>
      </w:r>
      <w:r w:rsidRPr="00D358F7">
        <w:rPr>
          <w:rStyle w:val="normaltextrun"/>
          <w:rFonts w:asciiTheme="minorHAnsi" w:hAnsiTheme="minorHAnsi"/>
          <w:color w:val="000000"/>
          <w:sz w:val="24"/>
          <w:szCs w:val="24"/>
          <w:bdr w:val="none" w:sz="0" w:space="0" w:color="auto" w:frame="1"/>
        </w:rPr>
        <w:t xml:space="preserve">The </w:t>
      </w:r>
      <w:r>
        <w:rPr>
          <w:rStyle w:val="normaltextrun"/>
          <w:rFonts w:asciiTheme="minorHAnsi" w:hAnsiTheme="minorHAnsi"/>
          <w:color w:val="000000"/>
          <w:sz w:val="24"/>
          <w:szCs w:val="24"/>
          <w:bdr w:val="none" w:sz="0" w:space="0" w:color="auto" w:frame="1"/>
        </w:rPr>
        <w:t>program</w:t>
      </w:r>
      <w:r w:rsidRPr="00D358F7">
        <w:rPr>
          <w:rStyle w:val="normaltextrun"/>
          <w:rFonts w:asciiTheme="minorHAnsi" w:hAnsiTheme="minorHAnsi"/>
          <w:color w:val="000000"/>
          <w:sz w:val="24"/>
          <w:szCs w:val="24"/>
          <w:bdr w:val="none" w:sz="0" w:space="0" w:color="auto" w:frame="1"/>
        </w:rPr>
        <w:t xml:space="preserve"> will allow </w:t>
      </w:r>
      <w:r>
        <w:rPr>
          <w:rStyle w:val="normaltextrun"/>
          <w:rFonts w:asciiTheme="minorHAnsi" w:hAnsiTheme="minorHAnsi"/>
          <w:color w:val="000000"/>
          <w:sz w:val="24"/>
          <w:szCs w:val="24"/>
          <w:bdr w:val="none" w:sz="0" w:space="0" w:color="auto" w:frame="1"/>
        </w:rPr>
        <w:t>PhD</w:t>
      </w:r>
      <w:r w:rsidR="002A0CA8">
        <w:rPr>
          <w:rStyle w:val="normaltextrun"/>
          <w:rFonts w:asciiTheme="minorHAnsi" w:hAnsiTheme="minorHAnsi"/>
          <w:color w:val="000000"/>
          <w:sz w:val="24"/>
          <w:szCs w:val="24"/>
          <w:bdr w:val="none" w:sz="0" w:space="0" w:color="auto" w:frame="1"/>
        </w:rPr>
        <w:t xml:space="preserve"> Candidate</w:t>
      </w:r>
      <w:r>
        <w:rPr>
          <w:rStyle w:val="normaltextrun"/>
          <w:rFonts w:asciiTheme="minorHAnsi" w:hAnsiTheme="minorHAnsi"/>
          <w:color w:val="000000"/>
          <w:sz w:val="24"/>
          <w:szCs w:val="24"/>
          <w:bdr w:val="none" w:sz="0" w:space="0" w:color="auto" w:frame="1"/>
        </w:rPr>
        <w:t>s</w:t>
      </w:r>
      <w:r w:rsidRPr="00D358F7">
        <w:rPr>
          <w:rStyle w:val="normaltextrun"/>
          <w:rFonts w:asciiTheme="minorHAnsi" w:hAnsiTheme="minorHAnsi"/>
          <w:color w:val="000000"/>
          <w:sz w:val="24"/>
          <w:szCs w:val="24"/>
          <w:bdr w:val="none" w:sz="0" w:space="0" w:color="auto" w:frame="1"/>
        </w:rPr>
        <w:t xml:space="preserve"> to gain knowledge on how research is undertaken in an industry setting</w:t>
      </w:r>
      <w:r>
        <w:rPr>
          <w:rStyle w:val="normaltextrun"/>
          <w:rFonts w:asciiTheme="minorHAnsi" w:hAnsiTheme="minorHAnsi"/>
          <w:color w:val="000000"/>
          <w:sz w:val="24"/>
          <w:szCs w:val="24"/>
          <w:bdr w:val="none" w:sz="0" w:space="0" w:color="auto" w:frame="1"/>
        </w:rPr>
        <w:t xml:space="preserve"> and vice versa</w:t>
      </w:r>
      <w:r w:rsidRPr="00D358F7">
        <w:rPr>
          <w:rStyle w:val="normaltextrun"/>
          <w:rFonts w:asciiTheme="minorHAnsi" w:hAnsiTheme="minorHAnsi"/>
          <w:color w:val="000000"/>
          <w:sz w:val="24"/>
          <w:szCs w:val="24"/>
          <w:bdr w:val="none" w:sz="0" w:space="0" w:color="auto" w:frame="1"/>
        </w:rPr>
        <w:t xml:space="preserve">, ensuring that the needs of industry clients are better understood and provided for in the university research sector. </w:t>
      </w:r>
    </w:p>
    <w:p w14:paraId="7DD55539" w14:textId="2E8F1643" w:rsidR="005412CB" w:rsidRPr="001C5DEA" w:rsidRDefault="005412CB" w:rsidP="005412CB">
      <w:pPr>
        <w:pStyle w:val="CABNETParagraph"/>
        <w:spacing w:after="0" w:line="276" w:lineRule="auto"/>
        <w:rPr>
          <w:rFonts w:asciiTheme="minorHAnsi" w:hAnsiTheme="minorHAnsi"/>
          <w:sz w:val="24"/>
          <w:szCs w:val="24"/>
        </w:rPr>
      </w:pPr>
      <w:r>
        <w:rPr>
          <w:rFonts w:asciiTheme="minorHAnsi" w:hAnsiTheme="minorHAnsi"/>
          <w:sz w:val="24"/>
          <w:szCs w:val="24"/>
        </w:rPr>
        <w:t xml:space="preserve">The Industry Linked PhD stream </w:t>
      </w:r>
      <w:r w:rsidRPr="001C5DEA">
        <w:rPr>
          <w:rFonts w:asciiTheme="minorHAnsi" w:hAnsiTheme="minorHAnsi"/>
          <w:sz w:val="24"/>
          <w:szCs w:val="24"/>
        </w:rPr>
        <w:t xml:space="preserve">will help create a synergy between industry and research, allowing industry to leverage the academic expertise of participants. PhD </w:t>
      </w:r>
      <w:r w:rsidR="002A0CA8">
        <w:rPr>
          <w:rFonts w:asciiTheme="minorHAnsi" w:hAnsiTheme="minorHAnsi"/>
          <w:sz w:val="24"/>
          <w:szCs w:val="24"/>
        </w:rPr>
        <w:t>Candidates</w:t>
      </w:r>
      <w:r w:rsidRPr="001C5DEA">
        <w:rPr>
          <w:rFonts w:asciiTheme="minorHAnsi" w:hAnsiTheme="minorHAnsi"/>
          <w:sz w:val="24"/>
          <w:szCs w:val="24"/>
        </w:rPr>
        <w:t xml:space="preserve"> will be given space and tools to demonstrate the value of their research to industry partners. Where core research is more theoretical, this program will allow </w:t>
      </w:r>
      <w:r w:rsidR="00AA4A5C">
        <w:rPr>
          <w:rFonts w:asciiTheme="minorHAnsi" w:hAnsiTheme="minorHAnsi"/>
          <w:sz w:val="24"/>
          <w:szCs w:val="24"/>
        </w:rPr>
        <w:t xml:space="preserve">PhD Candidates </w:t>
      </w:r>
      <w:r w:rsidRPr="001C5DEA">
        <w:rPr>
          <w:rFonts w:asciiTheme="minorHAnsi" w:hAnsiTheme="minorHAnsi"/>
          <w:sz w:val="24"/>
          <w:szCs w:val="24"/>
        </w:rPr>
        <w:t>to demonstrate research applicability to tangible, real-world challenges with industry for an outcome that has commercial and financial benefits.</w:t>
      </w:r>
    </w:p>
    <w:p w14:paraId="7C33689C" w14:textId="617707FA" w:rsidR="005412CB" w:rsidRPr="001C5DEA" w:rsidRDefault="005412CB" w:rsidP="005412CB">
      <w:pPr>
        <w:pStyle w:val="CABNETParagraph"/>
        <w:spacing w:after="0" w:line="276" w:lineRule="auto"/>
        <w:rPr>
          <w:rFonts w:asciiTheme="minorHAnsi" w:hAnsiTheme="minorHAnsi"/>
          <w:sz w:val="24"/>
          <w:szCs w:val="24"/>
        </w:rPr>
      </w:pPr>
      <w:r w:rsidRPr="001C5DEA">
        <w:rPr>
          <w:rFonts w:asciiTheme="minorHAnsi" w:hAnsiTheme="minorHAnsi"/>
          <w:sz w:val="24"/>
          <w:szCs w:val="24"/>
        </w:rPr>
        <w:t>Th</w:t>
      </w:r>
      <w:r>
        <w:rPr>
          <w:rFonts w:asciiTheme="minorHAnsi" w:hAnsiTheme="minorHAnsi"/>
          <w:sz w:val="24"/>
          <w:szCs w:val="24"/>
        </w:rPr>
        <w:t>e Industry Researcher PhD stream</w:t>
      </w:r>
      <w:r w:rsidRPr="001C5DEA">
        <w:rPr>
          <w:rFonts w:asciiTheme="minorHAnsi" w:hAnsiTheme="minorHAnsi"/>
          <w:sz w:val="24"/>
          <w:szCs w:val="24"/>
        </w:rPr>
        <w:t xml:space="preserve"> will support industry researchers employed at </w:t>
      </w:r>
      <w:r w:rsidR="006C46FD">
        <w:rPr>
          <w:rFonts w:asciiTheme="minorHAnsi" w:hAnsiTheme="minorHAnsi"/>
          <w:sz w:val="24"/>
          <w:szCs w:val="24"/>
        </w:rPr>
        <w:t>Research and Development</w:t>
      </w:r>
      <w:r w:rsidRPr="001C5DEA">
        <w:rPr>
          <w:rFonts w:asciiTheme="minorHAnsi" w:hAnsiTheme="minorHAnsi"/>
          <w:sz w:val="24"/>
          <w:szCs w:val="24"/>
        </w:rPr>
        <w:t xml:space="preserve"> active private sector companies. The program w</w:t>
      </w:r>
      <w:r>
        <w:rPr>
          <w:rFonts w:asciiTheme="minorHAnsi" w:hAnsiTheme="minorHAnsi"/>
          <w:sz w:val="24"/>
          <w:szCs w:val="24"/>
        </w:rPr>
        <w:t>ill</w:t>
      </w:r>
      <w:r w:rsidRPr="001C5DEA">
        <w:rPr>
          <w:rFonts w:asciiTheme="minorHAnsi" w:hAnsiTheme="minorHAnsi"/>
          <w:sz w:val="24"/>
          <w:szCs w:val="24"/>
        </w:rPr>
        <w:t xml:space="preserve"> provide </w:t>
      </w:r>
      <w:r>
        <w:rPr>
          <w:rFonts w:asciiTheme="minorHAnsi" w:hAnsiTheme="minorHAnsi"/>
          <w:sz w:val="24"/>
          <w:szCs w:val="24"/>
        </w:rPr>
        <w:t>PhD</w:t>
      </w:r>
      <w:r w:rsidR="002A0CA8">
        <w:rPr>
          <w:rFonts w:asciiTheme="minorHAnsi" w:hAnsiTheme="minorHAnsi"/>
          <w:sz w:val="24"/>
          <w:szCs w:val="24"/>
        </w:rPr>
        <w:t xml:space="preserve"> </w:t>
      </w:r>
      <w:r w:rsidR="002A0CA8">
        <w:rPr>
          <w:rFonts w:asciiTheme="minorHAnsi" w:hAnsiTheme="minorHAnsi"/>
          <w:sz w:val="24"/>
          <w:szCs w:val="24"/>
        </w:rPr>
        <w:lastRenderedPageBreak/>
        <w:t>Candidate</w:t>
      </w:r>
      <w:r>
        <w:rPr>
          <w:rFonts w:asciiTheme="minorHAnsi" w:hAnsiTheme="minorHAnsi"/>
          <w:sz w:val="24"/>
          <w:szCs w:val="24"/>
        </w:rPr>
        <w:t>s</w:t>
      </w:r>
      <w:r w:rsidRPr="001C5DEA">
        <w:rPr>
          <w:rFonts w:asciiTheme="minorHAnsi" w:hAnsiTheme="minorHAnsi"/>
          <w:sz w:val="24"/>
          <w:szCs w:val="24"/>
        </w:rPr>
        <w:t xml:space="preserve"> with industry experience to concurrently complete a university PhD whil</w:t>
      </w:r>
      <w:r>
        <w:rPr>
          <w:rFonts w:asciiTheme="minorHAnsi" w:hAnsiTheme="minorHAnsi"/>
          <w:sz w:val="24"/>
          <w:szCs w:val="24"/>
        </w:rPr>
        <w:t>e</w:t>
      </w:r>
      <w:r w:rsidRPr="001C5DEA">
        <w:rPr>
          <w:rFonts w:asciiTheme="minorHAnsi" w:hAnsiTheme="minorHAnsi"/>
          <w:sz w:val="24"/>
          <w:szCs w:val="24"/>
        </w:rPr>
        <w:t xml:space="preserve"> maintaining employment in a relevant industry.</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47DBDD3D" w14:textId="4C66C926" w:rsidR="009B15A4" w:rsidRDefault="00217359" w:rsidP="00E8671C">
      <w:pPr>
        <w:spacing w:before="120" w:after="120"/>
        <w:rPr>
          <w:rFonts w:asciiTheme="minorHAnsi" w:hAnsiTheme="minorHAnsi" w:cstheme="minorHAnsi"/>
          <w:szCs w:val="24"/>
        </w:rPr>
      </w:pPr>
      <w:r>
        <w:rPr>
          <w:rFonts w:asciiTheme="minorHAnsi" w:hAnsiTheme="minorHAnsi" w:cstheme="minorHAnsi"/>
          <w:szCs w:val="24"/>
        </w:rPr>
        <w:t xml:space="preserve">The Amendment Instrument engages the </w:t>
      </w:r>
      <w:r w:rsidR="009B15A4">
        <w:rPr>
          <w:rFonts w:asciiTheme="minorHAnsi" w:hAnsiTheme="minorHAnsi" w:cstheme="minorHAnsi"/>
          <w:szCs w:val="24"/>
        </w:rPr>
        <w:t xml:space="preserve">following human rights: </w:t>
      </w:r>
    </w:p>
    <w:p w14:paraId="4E67367F" w14:textId="3C032443" w:rsidR="00E8671C" w:rsidRDefault="009B15A4" w:rsidP="009B15A4">
      <w:pPr>
        <w:pStyle w:val="ListParagraph"/>
        <w:numPr>
          <w:ilvl w:val="0"/>
          <w:numId w:val="4"/>
        </w:numPr>
        <w:spacing w:before="120" w:after="120"/>
        <w:rPr>
          <w:rFonts w:asciiTheme="minorHAnsi" w:hAnsiTheme="minorHAnsi" w:cstheme="minorHAnsi"/>
          <w:szCs w:val="24"/>
        </w:rPr>
      </w:pPr>
      <w:r>
        <w:rPr>
          <w:rFonts w:asciiTheme="minorHAnsi" w:hAnsiTheme="minorHAnsi" w:cstheme="minorHAnsi"/>
          <w:szCs w:val="24"/>
        </w:rPr>
        <w:t xml:space="preserve">the right to work – Article 6 of the </w:t>
      </w:r>
      <w:r w:rsidR="00217359" w:rsidRPr="0018268F">
        <w:rPr>
          <w:rFonts w:asciiTheme="minorHAnsi" w:hAnsiTheme="minorHAnsi" w:cstheme="minorHAnsi"/>
          <w:i/>
          <w:iCs/>
          <w:szCs w:val="24"/>
        </w:rPr>
        <w:t>International Covenant on Economic, Social and Cultural Rights</w:t>
      </w:r>
      <w:r w:rsidR="00217359" w:rsidRPr="009B15A4">
        <w:rPr>
          <w:rFonts w:asciiTheme="minorHAnsi" w:hAnsiTheme="minorHAnsi" w:cstheme="minorHAnsi"/>
          <w:szCs w:val="24"/>
        </w:rPr>
        <w:t xml:space="preserve"> (ICESCR)</w:t>
      </w:r>
    </w:p>
    <w:p w14:paraId="5F92E5F8" w14:textId="2A63D71E" w:rsidR="004643EA" w:rsidRDefault="004643EA" w:rsidP="009B15A4">
      <w:pPr>
        <w:pStyle w:val="ListParagraph"/>
        <w:numPr>
          <w:ilvl w:val="0"/>
          <w:numId w:val="4"/>
        </w:numPr>
        <w:spacing w:before="120" w:after="120"/>
        <w:rPr>
          <w:rFonts w:asciiTheme="minorHAnsi" w:hAnsiTheme="minorHAnsi" w:cstheme="minorHAnsi"/>
          <w:szCs w:val="24"/>
        </w:rPr>
      </w:pPr>
      <w:r>
        <w:rPr>
          <w:rFonts w:asciiTheme="minorHAnsi" w:hAnsiTheme="minorHAnsi" w:cstheme="minorHAnsi"/>
          <w:szCs w:val="24"/>
        </w:rPr>
        <w:t xml:space="preserve">the right to education – Article 13 of the ICESCR. </w:t>
      </w:r>
    </w:p>
    <w:p w14:paraId="534059F6" w14:textId="79DE2AC9" w:rsidR="004643EA" w:rsidRDefault="004643EA" w:rsidP="004643EA">
      <w:pPr>
        <w:spacing w:before="120" w:after="120"/>
        <w:rPr>
          <w:rFonts w:asciiTheme="minorHAnsi" w:hAnsiTheme="minorHAnsi" w:cstheme="minorHAnsi"/>
          <w:szCs w:val="24"/>
        </w:rPr>
      </w:pPr>
      <w:r>
        <w:rPr>
          <w:rFonts w:asciiTheme="minorHAnsi" w:hAnsiTheme="minorHAnsi" w:cstheme="minorHAnsi"/>
          <w:szCs w:val="24"/>
          <w:u w:val="single"/>
        </w:rPr>
        <w:t>Right to work</w:t>
      </w:r>
    </w:p>
    <w:p w14:paraId="5B1C60EC" w14:textId="09140C44" w:rsidR="004643EA" w:rsidRDefault="004643EA" w:rsidP="004643EA">
      <w:pPr>
        <w:spacing w:before="120" w:after="120"/>
        <w:rPr>
          <w:rFonts w:asciiTheme="minorHAnsi" w:hAnsiTheme="minorHAnsi" w:cstheme="minorHAnsi"/>
          <w:szCs w:val="24"/>
        </w:rPr>
      </w:pPr>
      <w:r>
        <w:rPr>
          <w:rFonts w:asciiTheme="minorHAnsi" w:hAnsiTheme="minorHAnsi" w:cstheme="minorHAnsi"/>
          <w:szCs w:val="24"/>
        </w:rPr>
        <w:t xml:space="preserve">Article 6(1) of the ICESCR recognises “the right of everyone to the opportunity to gain [their] living by work” and that the State </w:t>
      </w:r>
      <w:r w:rsidR="006C46FD">
        <w:rPr>
          <w:rFonts w:asciiTheme="minorHAnsi" w:hAnsiTheme="minorHAnsi" w:cstheme="minorHAnsi"/>
          <w:szCs w:val="24"/>
        </w:rPr>
        <w:t xml:space="preserve">Parties </w:t>
      </w:r>
      <w:r>
        <w:rPr>
          <w:rFonts w:asciiTheme="minorHAnsi" w:hAnsiTheme="minorHAnsi" w:cstheme="minorHAnsi"/>
          <w:szCs w:val="24"/>
        </w:rPr>
        <w:t xml:space="preserve">will “take appropriate steps to safeguard this right”. Article </w:t>
      </w:r>
      <w:r w:rsidR="004106D0">
        <w:rPr>
          <w:rFonts w:asciiTheme="minorHAnsi" w:hAnsiTheme="minorHAnsi" w:cstheme="minorHAnsi"/>
          <w:szCs w:val="24"/>
        </w:rPr>
        <w:t>6</w:t>
      </w:r>
      <w:r>
        <w:rPr>
          <w:rFonts w:asciiTheme="minorHAnsi" w:hAnsiTheme="minorHAnsi" w:cstheme="minorHAnsi"/>
          <w:szCs w:val="24"/>
        </w:rPr>
        <w:t xml:space="preserve">(2)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to be taken by a State Party to achieve the full realisation of the right contained in Article 6(1). </w:t>
      </w:r>
    </w:p>
    <w:p w14:paraId="37C9A3C6" w14:textId="6E0ADC76" w:rsidR="004643EA" w:rsidRPr="004643EA" w:rsidRDefault="004643EA" w:rsidP="004643EA">
      <w:pPr>
        <w:spacing w:before="120" w:after="120"/>
        <w:rPr>
          <w:rFonts w:asciiTheme="minorHAnsi" w:hAnsiTheme="minorHAnsi" w:cstheme="minorHAnsi"/>
          <w:szCs w:val="24"/>
        </w:rPr>
      </w:pPr>
      <w:r>
        <w:rPr>
          <w:rFonts w:asciiTheme="minorHAnsi" w:hAnsiTheme="minorHAnsi" w:cstheme="minorHAnsi"/>
          <w:szCs w:val="24"/>
        </w:rPr>
        <w:t>The Amendment Instrument allows for grants to be made to support new industry-led study and postgraduate research. This supports the right to work as it is a measure to support stronger links between universities and industry</w:t>
      </w:r>
      <w:r w:rsidR="004106D0">
        <w:rPr>
          <w:rFonts w:asciiTheme="minorHAnsi" w:hAnsiTheme="minorHAnsi" w:cstheme="minorHAnsi"/>
          <w:szCs w:val="24"/>
        </w:rPr>
        <w:t xml:space="preserve"> </w:t>
      </w:r>
      <w:proofErr w:type="gramStart"/>
      <w:r w:rsidR="004106D0">
        <w:rPr>
          <w:rFonts w:asciiTheme="minorHAnsi" w:hAnsiTheme="minorHAnsi" w:cstheme="minorHAnsi"/>
          <w:szCs w:val="24"/>
        </w:rPr>
        <w:t>sector</w:t>
      </w:r>
      <w:r>
        <w:rPr>
          <w:rFonts w:asciiTheme="minorHAnsi" w:hAnsiTheme="minorHAnsi" w:cstheme="minorHAnsi"/>
          <w:szCs w:val="24"/>
        </w:rPr>
        <w:t>, and</w:t>
      </w:r>
      <w:proofErr w:type="gramEnd"/>
      <w:r>
        <w:rPr>
          <w:rFonts w:asciiTheme="minorHAnsi" w:hAnsiTheme="minorHAnsi" w:cstheme="minorHAnsi"/>
          <w:szCs w:val="24"/>
        </w:rPr>
        <w:t xml:space="preserve"> ensures that researchers will obtain skills in translating their research to industry settings, assisting researchers in building research careers in industry.</w:t>
      </w:r>
    </w:p>
    <w:p w14:paraId="68A294CE" w14:textId="62145D84" w:rsidR="008310AA" w:rsidRPr="001E52EB" w:rsidRDefault="00217359" w:rsidP="00DA552F">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2202D9EB" w14:textId="7CA9C49F" w:rsidR="00217359" w:rsidRPr="00217359" w:rsidRDefault="00217359" w:rsidP="00DA552F">
      <w:pPr>
        <w:spacing w:before="120" w:after="120"/>
        <w:rPr>
          <w:rFonts w:asciiTheme="minorHAnsi" w:hAnsiTheme="minorHAnsi" w:cstheme="minorHAnsi"/>
          <w:iCs/>
          <w:szCs w:val="24"/>
        </w:rPr>
      </w:pPr>
      <w:r w:rsidRPr="00217359">
        <w:rPr>
          <w:rFonts w:asciiTheme="minorHAnsi" w:hAnsiTheme="minorHAnsi" w:cstheme="minorHAnsi"/>
          <w:iCs/>
          <w:szCs w:val="24"/>
        </w:rPr>
        <w:t xml:space="preserve">Article 13(2)(c) of the ICESCR provides that ‘higher education shall be made equally </w:t>
      </w:r>
      <w:r w:rsidR="00806F54">
        <w:rPr>
          <w:rFonts w:asciiTheme="minorHAnsi" w:hAnsiTheme="minorHAnsi" w:cstheme="minorHAnsi"/>
          <w:iCs/>
          <w:szCs w:val="24"/>
        </w:rPr>
        <w:t>a</w:t>
      </w:r>
      <w:r w:rsidRPr="00217359">
        <w:rPr>
          <w:rFonts w:asciiTheme="minorHAnsi" w:hAnsiTheme="minorHAnsi" w:cstheme="minorHAnsi"/>
          <w:iCs/>
          <w:szCs w:val="24"/>
        </w:rPr>
        <w:t xml:space="preserve">ccessible to all, </w:t>
      </w:r>
      <w:proofErr w:type="gramStart"/>
      <w:r w:rsidRPr="00217359">
        <w:rPr>
          <w:rFonts w:asciiTheme="minorHAnsi" w:hAnsiTheme="minorHAnsi" w:cstheme="minorHAnsi"/>
          <w:iCs/>
          <w:szCs w:val="24"/>
        </w:rPr>
        <w:t>on the basis of</w:t>
      </w:r>
      <w:proofErr w:type="gramEnd"/>
      <w:r w:rsidRPr="00217359">
        <w:rPr>
          <w:rFonts w:asciiTheme="minorHAnsi" w:hAnsiTheme="minorHAnsi" w:cstheme="minorHAnsi"/>
          <w:iCs/>
          <w:szCs w:val="24"/>
        </w:rPr>
        <w:t xml:space="preserve"> capacity, by every appropriate means, and in particular by the progressive introduction of free education’. </w:t>
      </w:r>
    </w:p>
    <w:p w14:paraId="13E397C5" w14:textId="5B344D17" w:rsidR="00E8671C" w:rsidRPr="00217359" w:rsidRDefault="00217359" w:rsidP="00DA552F">
      <w:pPr>
        <w:spacing w:before="120" w:after="120"/>
        <w:rPr>
          <w:rFonts w:asciiTheme="minorHAnsi" w:hAnsiTheme="minorHAnsi" w:cstheme="minorHAnsi"/>
          <w:iCs/>
          <w:szCs w:val="24"/>
        </w:rPr>
      </w:pPr>
      <w:r w:rsidRPr="00217359">
        <w:rPr>
          <w:rFonts w:asciiTheme="minorHAnsi" w:hAnsiTheme="minorHAnsi" w:cstheme="minorHAnsi"/>
          <w:iCs/>
          <w:szCs w:val="24"/>
        </w:rPr>
        <w:t xml:space="preserve">The Amendment Instrument will directly contribute </w:t>
      </w:r>
      <w:r>
        <w:rPr>
          <w:rFonts w:asciiTheme="minorHAnsi" w:hAnsiTheme="minorHAnsi" w:cstheme="minorHAnsi"/>
          <w:iCs/>
          <w:szCs w:val="24"/>
        </w:rPr>
        <w:t xml:space="preserve">to this requirement </w:t>
      </w:r>
      <w:r w:rsidR="00DC6D89">
        <w:rPr>
          <w:rFonts w:asciiTheme="minorHAnsi" w:hAnsiTheme="minorHAnsi" w:cstheme="minorHAnsi"/>
          <w:iCs/>
          <w:szCs w:val="24"/>
        </w:rPr>
        <w:t xml:space="preserve">as the grants support the provision of new PhD </w:t>
      </w:r>
      <w:proofErr w:type="gramStart"/>
      <w:r w:rsidR="004E0085">
        <w:rPr>
          <w:rFonts w:asciiTheme="minorHAnsi" w:hAnsiTheme="minorHAnsi" w:cstheme="minorHAnsi"/>
          <w:iCs/>
          <w:szCs w:val="24"/>
        </w:rPr>
        <w:t>projects</w:t>
      </w:r>
      <w:r w:rsidR="00DC6D89">
        <w:rPr>
          <w:rFonts w:asciiTheme="minorHAnsi" w:hAnsiTheme="minorHAnsi" w:cstheme="minorHAnsi"/>
          <w:iCs/>
          <w:szCs w:val="24"/>
        </w:rPr>
        <w:t>, and</w:t>
      </w:r>
      <w:proofErr w:type="gramEnd"/>
      <w:r w:rsidR="00DC6D89">
        <w:rPr>
          <w:rFonts w:asciiTheme="minorHAnsi" w:hAnsiTheme="minorHAnsi" w:cstheme="minorHAnsi"/>
          <w:iCs/>
          <w:szCs w:val="24"/>
        </w:rPr>
        <w:t xml:space="preserve"> provides funding to higher education providers to support PhD Candidates and their employers to reduce the barriers for these PhD Candidates</w:t>
      </w:r>
      <w:r w:rsidR="009B15A4">
        <w:rPr>
          <w:rFonts w:asciiTheme="minorHAnsi" w:hAnsiTheme="minorHAnsi" w:cstheme="minorHAnsi"/>
          <w:iCs/>
          <w:szCs w:val="24"/>
        </w:rPr>
        <w:t xml:space="preserve"> </w:t>
      </w:r>
      <w:r w:rsidR="00DC6D89">
        <w:rPr>
          <w:rFonts w:asciiTheme="minorHAnsi" w:hAnsiTheme="minorHAnsi" w:cstheme="minorHAnsi"/>
          <w:iCs/>
          <w:szCs w:val="24"/>
        </w:rPr>
        <w:t>in undertaking further study. This will reduce these PhD Candidates’ barriers to education and support the right to education.</w:t>
      </w:r>
    </w:p>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26C0AF71" w14:textId="48A83940"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is compatible with human rights because</w:t>
      </w:r>
      <w:r w:rsidR="00217359">
        <w:rPr>
          <w:rFonts w:asciiTheme="minorHAnsi" w:hAnsiTheme="minorHAnsi" w:cstheme="minorHAnsi"/>
          <w:szCs w:val="24"/>
        </w:rPr>
        <w:t xml:space="preserve"> it supports the right to </w:t>
      </w:r>
      <w:r w:rsidR="00DC6D89">
        <w:rPr>
          <w:rFonts w:asciiTheme="minorHAnsi" w:hAnsiTheme="minorHAnsi" w:cstheme="minorHAnsi"/>
          <w:szCs w:val="24"/>
        </w:rPr>
        <w:t xml:space="preserve">work and the right to </w:t>
      </w:r>
      <w:r w:rsidR="00217359">
        <w:rPr>
          <w:rFonts w:asciiTheme="minorHAnsi" w:hAnsiTheme="minorHAnsi" w:cstheme="minorHAnsi"/>
          <w:szCs w:val="24"/>
        </w:rPr>
        <w:t>education.</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42E213"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217359">
        <w:rPr>
          <w:rFonts w:asciiTheme="minorHAnsi" w:hAnsiTheme="minorHAnsi" w:cstheme="minorHAnsi"/>
          <w:b/>
          <w:szCs w:val="24"/>
        </w:rPr>
        <w:t>Education</w:t>
      </w:r>
      <w:r w:rsidR="00E8671C">
        <w:rPr>
          <w:rFonts w:asciiTheme="minorHAnsi" w:hAnsiTheme="minorHAnsi" w:cstheme="minorHAnsi"/>
          <w:b/>
          <w:szCs w:val="24"/>
        </w:rPr>
        <w:t xml:space="preserve">, </w:t>
      </w:r>
      <w:r w:rsidR="00217359">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0B3F1227" w:rsidR="00DA552F" w:rsidRPr="004F615B" w:rsidRDefault="00DC6D89" w:rsidP="001E52EB">
      <w:pPr>
        <w:jc w:val="center"/>
        <w:rPr>
          <w:rFonts w:asciiTheme="minorHAnsi" w:hAnsiTheme="minorHAnsi" w:cstheme="minorHAnsi"/>
          <w:b/>
          <w:szCs w:val="24"/>
        </w:rPr>
      </w:pPr>
      <w:r>
        <w:rPr>
          <w:rFonts w:asciiTheme="minorHAnsi" w:hAnsiTheme="minorHAnsi" w:cstheme="minorHAnsi"/>
          <w:b/>
          <w:szCs w:val="24"/>
        </w:rPr>
        <w:lastRenderedPageBreak/>
        <w:t xml:space="preserve">OTHER GRANTS (RESEARCH) AMENDMENT (NATIONAL INDUSTRY PHD PROGRAM) </w:t>
      </w:r>
      <w:r w:rsidR="009B13B9">
        <w:rPr>
          <w:rFonts w:asciiTheme="minorHAnsi" w:hAnsiTheme="minorHAnsi" w:cstheme="minorHAnsi"/>
          <w:b/>
          <w:szCs w:val="24"/>
        </w:rPr>
        <w:t xml:space="preserve">GUIDELINES </w:t>
      </w:r>
      <w:r>
        <w:rPr>
          <w:rFonts w:asciiTheme="minorHAnsi" w:hAnsiTheme="minorHAnsi" w:cstheme="minorHAnsi"/>
          <w:b/>
          <w:szCs w:val="24"/>
        </w:rPr>
        <w:t>2022</w:t>
      </w:r>
    </w:p>
    <w:p w14:paraId="289E50B9" w14:textId="77777777" w:rsidR="00DA552F" w:rsidRPr="008134D5" w:rsidRDefault="00DB6247">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5C8B7FC1"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1: </w:t>
      </w:r>
      <w:r w:rsidR="00E631F9">
        <w:rPr>
          <w:rFonts w:asciiTheme="minorHAnsi" w:hAnsiTheme="minorHAnsi" w:cstheme="minorHAnsi"/>
          <w:b/>
          <w:u w:val="single"/>
        </w:rPr>
        <w:t>Name</w:t>
      </w:r>
    </w:p>
    <w:p w14:paraId="6EB0F1F1" w14:textId="0586CA48" w:rsidR="00DA552F" w:rsidRPr="00EF4ACB" w:rsidRDefault="00DA552F" w:rsidP="00FF5F61">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sidR="00E9797A">
        <w:rPr>
          <w:rFonts w:asciiTheme="minorHAnsi" w:hAnsiTheme="minorHAnsi" w:cstheme="minorHAnsi"/>
          <w:szCs w:val="24"/>
        </w:rPr>
        <w:t xml:space="preserve">section </w:t>
      </w:r>
      <w:r w:rsidR="00806F54">
        <w:rPr>
          <w:rFonts w:asciiTheme="minorHAnsi" w:hAnsiTheme="minorHAnsi" w:cstheme="minorHAnsi"/>
          <w:szCs w:val="24"/>
        </w:rPr>
        <w:t>specifies</w:t>
      </w:r>
      <w:r w:rsidRPr="00EF4ACB">
        <w:rPr>
          <w:rFonts w:asciiTheme="minorHAnsi" w:hAnsiTheme="minorHAnsi" w:cstheme="minorHAnsi"/>
          <w:szCs w:val="24"/>
        </w:rPr>
        <w:t xml:space="preserve"> the </w:t>
      </w:r>
      <w:r w:rsidR="00E631F9" w:rsidRPr="00EF4ACB">
        <w:rPr>
          <w:rFonts w:asciiTheme="minorHAnsi" w:hAnsiTheme="minorHAnsi" w:cstheme="minorHAnsi"/>
          <w:szCs w:val="24"/>
        </w:rPr>
        <w:t>name of the instrument</w:t>
      </w:r>
      <w:r w:rsidR="00806F54">
        <w:rPr>
          <w:rFonts w:asciiTheme="minorHAnsi" w:hAnsiTheme="minorHAnsi" w:cstheme="minorHAnsi"/>
          <w:szCs w:val="24"/>
        </w:rPr>
        <w:t xml:space="preserve"> as the </w:t>
      </w:r>
      <w:r w:rsidR="00DC6D89">
        <w:rPr>
          <w:rFonts w:asciiTheme="minorHAnsi" w:hAnsiTheme="minorHAnsi" w:cstheme="minorHAnsi"/>
          <w:i/>
          <w:iCs/>
          <w:szCs w:val="24"/>
        </w:rPr>
        <w:t xml:space="preserve">Other Grants (Research) Amendment (National Industry PhD Program) </w:t>
      </w:r>
      <w:r w:rsidR="007952A9">
        <w:rPr>
          <w:rFonts w:asciiTheme="minorHAnsi" w:hAnsiTheme="minorHAnsi" w:cstheme="minorHAnsi"/>
          <w:i/>
          <w:iCs/>
          <w:szCs w:val="24"/>
        </w:rPr>
        <w:t xml:space="preserve">Guidelines </w:t>
      </w:r>
      <w:r w:rsidR="00DC6D89">
        <w:rPr>
          <w:rFonts w:asciiTheme="minorHAnsi" w:hAnsiTheme="minorHAnsi" w:cstheme="minorHAnsi"/>
          <w:i/>
          <w:iCs/>
          <w:szCs w:val="24"/>
        </w:rPr>
        <w:t>2022</w:t>
      </w:r>
      <w:r w:rsidR="004E38EA">
        <w:rPr>
          <w:rFonts w:asciiTheme="minorHAnsi" w:hAnsiTheme="minorHAnsi" w:cstheme="minorHAnsi"/>
          <w:i/>
          <w:iCs/>
          <w:szCs w:val="24"/>
        </w:rPr>
        <w:t xml:space="preserve"> </w:t>
      </w:r>
      <w:r w:rsidR="004E38EA">
        <w:rPr>
          <w:rFonts w:asciiTheme="minorHAnsi" w:hAnsiTheme="minorHAnsi" w:cstheme="minorHAnsi"/>
          <w:szCs w:val="24"/>
        </w:rPr>
        <w:t>(the Instrument)</w:t>
      </w:r>
      <w:r w:rsidR="00E631F9" w:rsidRPr="00EF4ACB">
        <w:rPr>
          <w:rFonts w:asciiTheme="minorHAnsi" w:hAnsiTheme="minorHAnsi" w:cstheme="minorHAnsi"/>
          <w:szCs w:val="24"/>
        </w:rPr>
        <w:t>.</w:t>
      </w:r>
    </w:p>
    <w:p w14:paraId="153E9ACC" w14:textId="77777777" w:rsidR="00DA552F" w:rsidRPr="008134D5" w:rsidRDefault="00DB6247" w:rsidP="00F62708">
      <w:pPr>
        <w:keepNext/>
        <w:rPr>
          <w:rFonts w:asciiTheme="minorHAnsi" w:hAnsiTheme="minorHAnsi" w:cstheme="minorHAnsi"/>
          <w:b/>
          <w:u w:val="single"/>
        </w:rPr>
      </w:pPr>
      <w:r>
        <w:rPr>
          <w:rFonts w:asciiTheme="minorHAnsi" w:hAnsiTheme="minorHAnsi" w:cstheme="minorHAnsi"/>
          <w:b/>
          <w:u w:val="single"/>
        </w:rPr>
        <w:t>Section</w:t>
      </w:r>
      <w:r w:rsidR="00DA552F" w:rsidRPr="008134D5">
        <w:rPr>
          <w:rFonts w:asciiTheme="minorHAnsi" w:hAnsiTheme="minorHAnsi" w:cstheme="minorHAnsi"/>
          <w:b/>
          <w:u w:val="single"/>
        </w:rPr>
        <w:t xml:space="preserve"> 2: Commencement</w:t>
      </w:r>
    </w:p>
    <w:p w14:paraId="1DC53B7C" w14:textId="2E79F92F" w:rsidR="00E631F9" w:rsidRPr="004F615B" w:rsidRDefault="004F615B" w:rsidP="00FF5F61">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w:t>
      </w:r>
      <w:r w:rsidR="00E9797A">
        <w:rPr>
          <w:rFonts w:asciiTheme="minorHAnsi" w:hAnsiTheme="minorHAnsi" w:cstheme="minorHAnsi"/>
          <w:iCs/>
        </w:rPr>
        <w:t xml:space="preserve">section </w:t>
      </w:r>
      <w:r>
        <w:rPr>
          <w:rFonts w:asciiTheme="minorHAnsi" w:hAnsiTheme="minorHAnsi" w:cstheme="minorHAnsi"/>
          <w:iCs/>
        </w:rPr>
        <w:t xml:space="preserve">provides that the </w:t>
      </w:r>
      <w:r w:rsidR="004E38EA">
        <w:rPr>
          <w:rFonts w:asciiTheme="minorHAnsi" w:hAnsiTheme="minorHAnsi" w:cstheme="minorHAnsi"/>
          <w:iCs/>
        </w:rPr>
        <w:t>I</w:t>
      </w:r>
      <w:r>
        <w:rPr>
          <w:rFonts w:asciiTheme="minorHAnsi" w:hAnsiTheme="minorHAnsi" w:cstheme="minorHAnsi"/>
          <w:iCs/>
        </w:rPr>
        <w:t xml:space="preserve">nstrument commences the day after </w:t>
      </w:r>
      <w:r w:rsidR="00E9797A">
        <w:rPr>
          <w:rFonts w:asciiTheme="minorHAnsi" w:hAnsiTheme="minorHAnsi" w:cstheme="minorHAnsi"/>
          <w:iCs/>
        </w:rPr>
        <w:t>it</w:t>
      </w:r>
      <w:r>
        <w:rPr>
          <w:rFonts w:asciiTheme="minorHAnsi" w:hAnsiTheme="minorHAnsi" w:cstheme="minorHAnsi"/>
          <w:iCs/>
        </w:rPr>
        <w:t xml:space="preserve"> is registered on the Federal Register of Legislation.</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37D8E19C" w:rsidR="00E631F9" w:rsidRPr="004F615B" w:rsidRDefault="004F615B" w:rsidP="00FF5F61">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w:t>
      </w:r>
      <w:r w:rsidR="004E38EA">
        <w:rPr>
          <w:rFonts w:asciiTheme="minorHAnsi" w:hAnsiTheme="minorHAnsi" w:cstheme="minorHAnsi"/>
          <w:iCs/>
        </w:rPr>
        <w:t xml:space="preserve">section </w:t>
      </w:r>
      <w:r w:rsidR="00BD0923">
        <w:rPr>
          <w:rFonts w:asciiTheme="minorHAnsi" w:hAnsiTheme="minorHAnsi" w:cstheme="minorHAnsi"/>
          <w:iCs/>
        </w:rPr>
        <w:t xml:space="preserve">provides </w:t>
      </w:r>
      <w:r>
        <w:rPr>
          <w:rFonts w:asciiTheme="minorHAnsi" w:hAnsiTheme="minorHAnsi" w:cstheme="minorHAnsi"/>
          <w:iCs/>
        </w:rPr>
        <w:t xml:space="preserve">that the </w:t>
      </w:r>
      <w:r w:rsidR="004E38EA">
        <w:rPr>
          <w:rFonts w:asciiTheme="minorHAnsi" w:hAnsiTheme="minorHAnsi" w:cstheme="minorHAnsi"/>
          <w:iCs/>
        </w:rPr>
        <w:t>I</w:t>
      </w:r>
      <w:r>
        <w:rPr>
          <w:rFonts w:asciiTheme="minorHAnsi" w:hAnsiTheme="minorHAnsi" w:cstheme="minorHAnsi"/>
          <w:iCs/>
        </w:rPr>
        <w:t xml:space="preserve">nstrument is made under section 238-10 of the </w:t>
      </w:r>
      <w:r>
        <w:rPr>
          <w:rFonts w:asciiTheme="minorHAnsi" w:hAnsiTheme="minorHAnsi" w:cstheme="minorHAnsi"/>
          <w:i/>
        </w:rPr>
        <w:t>Higher Education Support Act 2003</w:t>
      </w:r>
      <w:r w:rsidR="00EB566C">
        <w:rPr>
          <w:rFonts w:asciiTheme="minorHAnsi" w:hAnsiTheme="minorHAnsi" w:cstheme="minorHAnsi"/>
          <w:i/>
        </w:rPr>
        <w:t xml:space="preserve"> </w:t>
      </w:r>
      <w:r w:rsidR="00EB566C">
        <w:rPr>
          <w:rFonts w:asciiTheme="minorHAnsi" w:hAnsiTheme="minorHAnsi" w:cstheme="minorHAnsi"/>
          <w:iCs/>
        </w:rPr>
        <w:t>(the Act)</w:t>
      </w:r>
      <w:r>
        <w:rPr>
          <w:rFonts w:asciiTheme="minorHAnsi" w:hAnsiTheme="minorHAnsi" w:cstheme="minorHAnsi"/>
          <w:iCs/>
        </w:rPr>
        <w:t>.</w:t>
      </w:r>
    </w:p>
    <w:p w14:paraId="0296CC14" w14:textId="45A71C40" w:rsidR="00DA552F" w:rsidRPr="00E631F9" w:rsidRDefault="00E631F9" w:rsidP="00E631F9">
      <w:pPr>
        <w:keepNext/>
        <w:spacing w:before="360" w:after="120"/>
        <w:rPr>
          <w:rFonts w:asciiTheme="minorHAnsi" w:hAnsiTheme="minorHAnsi" w:cstheme="minorHAnsi"/>
        </w:rPr>
      </w:pPr>
      <w:r>
        <w:rPr>
          <w:rFonts w:asciiTheme="minorHAnsi" w:hAnsiTheme="minorHAnsi" w:cstheme="minorHAnsi"/>
          <w:b/>
          <w:u w:val="single"/>
        </w:rPr>
        <w:t xml:space="preserve">Section 4: </w:t>
      </w:r>
      <w:r w:rsidR="004F615B">
        <w:rPr>
          <w:rFonts w:asciiTheme="minorHAnsi" w:hAnsiTheme="minorHAnsi" w:cstheme="minorHAnsi"/>
          <w:b/>
          <w:u w:val="single"/>
        </w:rPr>
        <w:t>Schedules</w:t>
      </w:r>
    </w:p>
    <w:p w14:paraId="2AB55D93" w14:textId="2A405CD2" w:rsidR="00756D99" w:rsidRPr="004F615B" w:rsidRDefault="004F615B" w:rsidP="005D103A">
      <w:pPr>
        <w:pStyle w:val="ListParagraph"/>
        <w:numPr>
          <w:ilvl w:val="0"/>
          <w:numId w:val="1"/>
        </w:numPr>
        <w:spacing w:before="360" w:after="160" w:line="259" w:lineRule="auto"/>
        <w:rPr>
          <w:rFonts w:asciiTheme="minorHAnsi" w:hAnsiTheme="minorHAnsi" w:cstheme="minorHAnsi"/>
          <w:u w:val="single"/>
        </w:rPr>
      </w:pPr>
      <w:r>
        <w:rPr>
          <w:rFonts w:asciiTheme="minorHAnsi" w:hAnsiTheme="minorHAnsi" w:cstheme="minorHAnsi"/>
          <w:iCs/>
          <w:szCs w:val="24"/>
        </w:rPr>
        <w:t xml:space="preserve">This is a technical provision that explains that the instrument that is specified in </w:t>
      </w:r>
      <w:r w:rsidR="00DC6D89">
        <w:rPr>
          <w:rFonts w:asciiTheme="minorHAnsi" w:hAnsiTheme="minorHAnsi" w:cstheme="minorHAnsi"/>
          <w:iCs/>
          <w:szCs w:val="24"/>
        </w:rPr>
        <w:t>the</w:t>
      </w:r>
      <w:r>
        <w:rPr>
          <w:rFonts w:asciiTheme="minorHAnsi" w:hAnsiTheme="minorHAnsi" w:cstheme="minorHAnsi"/>
          <w:iCs/>
          <w:szCs w:val="24"/>
        </w:rPr>
        <w:t xml:space="preserve"> Schedule to th</w:t>
      </w:r>
      <w:r w:rsidR="004E38EA">
        <w:rPr>
          <w:rFonts w:asciiTheme="minorHAnsi" w:hAnsiTheme="minorHAnsi" w:cstheme="minorHAnsi"/>
          <w:iCs/>
          <w:szCs w:val="24"/>
        </w:rPr>
        <w:t>e</w:t>
      </w:r>
      <w:r>
        <w:rPr>
          <w:rFonts w:asciiTheme="minorHAnsi" w:hAnsiTheme="minorHAnsi" w:cstheme="minorHAnsi"/>
          <w:iCs/>
          <w:szCs w:val="24"/>
        </w:rPr>
        <w:t xml:space="preserve"> </w:t>
      </w:r>
      <w:r w:rsidR="004E38EA">
        <w:rPr>
          <w:rFonts w:asciiTheme="minorHAnsi" w:hAnsiTheme="minorHAnsi" w:cstheme="minorHAnsi"/>
          <w:iCs/>
          <w:szCs w:val="24"/>
        </w:rPr>
        <w:t>I</w:t>
      </w:r>
      <w:r>
        <w:rPr>
          <w:rFonts w:asciiTheme="minorHAnsi" w:hAnsiTheme="minorHAnsi" w:cstheme="minorHAnsi"/>
          <w:iCs/>
          <w:szCs w:val="24"/>
        </w:rPr>
        <w:t xml:space="preserve">nstrument is amended as set out in the applicable items in the Schedule. </w:t>
      </w:r>
    </w:p>
    <w:p w14:paraId="4791C32C" w14:textId="47DB9882" w:rsidR="004F615B" w:rsidRDefault="004F615B" w:rsidP="004F615B">
      <w:pPr>
        <w:spacing w:before="360" w:after="160" w:line="259" w:lineRule="auto"/>
        <w:rPr>
          <w:rFonts w:asciiTheme="minorHAnsi" w:hAnsiTheme="minorHAnsi" w:cstheme="minorHAnsi"/>
        </w:rPr>
      </w:pPr>
      <w:r>
        <w:rPr>
          <w:rFonts w:asciiTheme="minorHAnsi" w:hAnsiTheme="minorHAnsi" w:cstheme="minorHAnsi"/>
          <w:b/>
          <w:bCs/>
          <w:u w:val="single"/>
        </w:rPr>
        <w:t>Schedule 1 – Amendments</w:t>
      </w:r>
    </w:p>
    <w:p w14:paraId="4E769C6D" w14:textId="04C64913" w:rsidR="004F615B" w:rsidRPr="004F615B" w:rsidRDefault="00DC6D89" w:rsidP="004F615B">
      <w:pPr>
        <w:spacing w:before="360" w:after="160" w:line="259" w:lineRule="auto"/>
        <w:rPr>
          <w:rFonts w:asciiTheme="minorHAnsi" w:hAnsiTheme="minorHAnsi" w:cstheme="minorHAnsi"/>
        </w:rPr>
      </w:pPr>
      <w:r>
        <w:rPr>
          <w:rFonts w:asciiTheme="minorHAnsi" w:hAnsiTheme="minorHAnsi" w:cstheme="minorHAnsi"/>
          <w:i/>
          <w:iCs/>
        </w:rPr>
        <w:t>Other Grants Guidelines (Research) 2017</w:t>
      </w:r>
    </w:p>
    <w:p w14:paraId="1137301B" w14:textId="3566017A" w:rsidR="00B32334" w:rsidRDefault="00B32334" w:rsidP="004F615B">
      <w:pPr>
        <w:spacing w:before="360" w:after="160" w:line="259" w:lineRule="auto"/>
        <w:rPr>
          <w:rFonts w:asciiTheme="minorHAnsi" w:hAnsiTheme="minorHAnsi" w:cstheme="minorHAnsi"/>
        </w:rPr>
      </w:pPr>
      <w:r>
        <w:rPr>
          <w:rFonts w:asciiTheme="minorHAnsi" w:hAnsiTheme="minorHAnsi" w:cstheme="minorHAnsi"/>
          <w:u w:val="single"/>
        </w:rPr>
        <w:t>Item 1</w:t>
      </w:r>
    </w:p>
    <w:p w14:paraId="255374AC" w14:textId="27F8AEC1" w:rsidR="00B32334" w:rsidRPr="0018268F" w:rsidRDefault="00B32334" w:rsidP="0018268F">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Item 1 repeals the definition of ‘research’ as the term ‘research’ has already been defined in the Instrument</w:t>
      </w:r>
      <w:r w:rsidR="00BA3F96">
        <w:rPr>
          <w:rFonts w:asciiTheme="minorHAnsi" w:hAnsiTheme="minorHAnsi" w:cstheme="minorHAnsi"/>
        </w:rPr>
        <w:t xml:space="preserve"> (see the definition of ‘R&amp;D or research’)</w:t>
      </w:r>
      <w:r>
        <w:rPr>
          <w:rFonts w:asciiTheme="minorHAnsi" w:hAnsiTheme="minorHAnsi" w:cstheme="minorHAnsi"/>
        </w:rPr>
        <w:t>.</w:t>
      </w:r>
    </w:p>
    <w:p w14:paraId="6C7682DA" w14:textId="1859411D" w:rsidR="004F615B" w:rsidRDefault="004F615B" w:rsidP="004F615B">
      <w:pPr>
        <w:spacing w:before="360" w:after="160" w:line="259" w:lineRule="auto"/>
        <w:rPr>
          <w:rFonts w:asciiTheme="minorHAnsi" w:hAnsiTheme="minorHAnsi" w:cstheme="minorHAnsi"/>
        </w:rPr>
      </w:pPr>
      <w:r>
        <w:rPr>
          <w:rFonts w:asciiTheme="minorHAnsi" w:hAnsiTheme="minorHAnsi" w:cstheme="minorHAnsi"/>
          <w:u w:val="single"/>
        </w:rPr>
        <w:t xml:space="preserve">Item </w:t>
      </w:r>
      <w:r w:rsidR="00B32334">
        <w:rPr>
          <w:rFonts w:asciiTheme="minorHAnsi" w:hAnsiTheme="minorHAnsi" w:cstheme="minorHAnsi"/>
          <w:u w:val="single"/>
        </w:rPr>
        <w:t>2</w:t>
      </w:r>
    </w:p>
    <w:p w14:paraId="02FA1116" w14:textId="7DE8FDCA" w:rsidR="004F615B" w:rsidRDefault="004F615B" w:rsidP="004F615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Item </w:t>
      </w:r>
      <w:r w:rsidR="00B32334">
        <w:rPr>
          <w:rFonts w:asciiTheme="minorHAnsi" w:hAnsiTheme="minorHAnsi" w:cstheme="minorHAnsi"/>
        </w:rPr>
        <w:t>2</w:t>
      </w:r>
      <w:r>
        <w:rPr>
          <w:rFonts w:asciiTheme="minorHAnsi" w:hAnsiTheme="minorHAnsi" w:cstheme="minorHAnsi"/>
        </w:rPr>
        <w:t xml:space="preserve"> inserts</w:t>
      </w:r>
      <w:r w:rsidR="00DC6D89">
        <w:rPr>
          <w:rFonts w:asciiTheme="minorHAnsi" w:hAnsiTheme="minorHAnsi" w:cstheme="minorHAnsi"/>
        </w:rPr>
        <w:t xml:space="preserve"> new definitions into subsection </w:t>
      </w:r>
      <w:proofErr w:type="spellStart"/>
      <w:r w:rsidR="00DC6D89">
        <w:rPr>
          <w:rFonts w:asciiTheme="minorHAnsi" w:hAnsiTheme="minorHAnsi" w:cstheme="minorHAnsi"/>
        </w:rPr>
        <w:t>i.v.ii</w:t>
      </w:r>
      <w:proofErr w:type="spellEnd"/>
      <w:r w:rsidR="00DC6D89">
        <w:rPr>
          <w:rFonts w:asciiTheme="minorHAnsi" w:hAnsiTheme="minorHAnsi" w:cstheme="minorHAnsi"/>
        </w:rPr>
        <w:t xml:space="preserve"> of the </w:t>
      </w:r>
      <w:r w:rsidR="00DC6D89">
        <w:rPr>
          <w:rFonts w:asciiTheme="minorHAnsi" w:hAnsiTheme="minorHAnsi" w:cstheme="minorHAnsi"/>
          <w:i/>
          <w:iCs/>
        </w:rPr>
        <w:t>Other Grants Guidelines (Research) 2017</w:t>
      </w:r>
      <w:r w:rsidR="00DC6D89">
        <w:rPr>
          <w:rFonts w:asciiTheme="minorHAnsi" w:hAnsiTheme="minorHAnsi" w:cstheme="minorHAnsi"/>
        </w:rPr>
        <w:t xml:space="preserve"> (the Principal Instrument), to define ‘PhD’ as a Level 10 Doctoral Degree (Research) or Doctoral Degree (Professional) qualification as described in the Australian Qualifications Framework</w:t>
      </w:r>
      <w:r w:rsidR="00092C62">
        <w:rPr>
          <w:rFonts w:asciiTheme="minorHAnsi" w:hAnsiTheme="minorHAnsi" w:cstheme="minorHAnsi"/>
        </w:rPr>
        <w:t xml:space="preserve"> for which at least two-thirds of the student load for the course is research work</w:t>
      </w:r>
      <w:r w:rsidR="00DC6D89">
        <w:rPr>
          <w:rFonts w:asciiTheme="minorHAnsi" w:hAnsiTheme="minorHAnsi" w:cstheme="minorHAnsi"/>
        </w:rPr>
        <w:t xml:space="preserve">, and ‘RTP Fees Offset’ and ‘RTP Stipend’ as having the same meaning as in the </w:t>
      </w:r>
      <w:r w:rsidR="00DC6D89">
        <w:rPr>
          <w:rFonts w:asciiTheme="minorHAnsi" w:hAnsiTheme="minorHAnsi" w:cstheme="minorHAnsi"/>
          <w:i/>
          <w:iCs/>
        </w:rPr>
        <w:t>Commonwealth Scholarship Guidelines (Research) 2017</w:t>
      </w:r>
      <w:r w:rsidR="00DC6D89">
        <w:rPr>
          <w:rFonts w:asciiTheme="minorHAnsi" w:hAnsiTheme="minorHAnsi" w:cstheme="minorHAnsi"/>
        </w:rPr>
        <w:t xml:space="preserve">. </w:t>
      </w:r>
    </w:p>
    <w:p w14:paraId="1EC7FF31" w14:textId="6E5D1A0D" w:rsidR="004F615B" w:rsidRDefault="004F615B" w:rsidP="004F615B">
      <w:pPr>
        <w:spacing w:before="360" w:after="160" w:line="259" w:lineRule="auto"/>
        <w:rPr>
          <w:rFonts w:asciiTheme="minorHAnsi" w:hAnsiTheme="minorHAnsi" w:cstheme="minorHAnsi"/>
        </w:rPr>
      </w:pPr>
      <w:r>
        <w:rPr>
          <w:rFonts w:asciiTheme="minorHAnsi" w:hAnsiTheme="minorHAnsi" w:cstheme="minorHAnsi"/>
          <w:u w:val="single"/>
        </w:rPr>
        <w:lastRenderedPageBreak/>
        <w:t xml:space="preserve">Item </w:t>
      </w:r>
      <w:r w:rsidR="00B32334">
        <w:rPr>
          <w:rFonts w:asciiTheme="minorHAnsi" w:hAnsiTheme="minorHAnsi" w:cstheme="minorHAnsi"/>
          <w:u w:val="single"/>
        </w:rPr>
        <w:t>3</w:t>
      </w:r>
    </w:p>
    <w:p w14:paraId="46DB24B0" w14:textId="1EA1C6BC" w:rsidR="004F615B" w:rsidRDefault="004F615B" w:rsidP="004F615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Item </w:t>
      </w:r>
      <w:r w:rsidR="00B32334">
        <w:rPr>
          <w:rFonts w:asciiTheme="minorHAnsi" w:hAnsiTheme="minorHAnsi" w:cstheme="minorHAnsi"/>
        </w:rPr>
        <w:t>3</w:t>
      </w:r>
      <w:r>
        <w:rPr>
          <w:rFonts w:asciiTheme="minorHAnsi" w:hAnsiTheme="minorHAnsi" w:cstheme="minorHAnsi"/>
        </w:rPr>
        <w:t xml:space="preserve"> inserts a new </w:t>
      </w:r>
      <w:r w:rsidR="00DC6D89">
        <w:rPr>
          <w:rFonts w:asciiTheme="minorHAnsi" w:hAnsiTheme="minorHAnsi" w:cstheme="minorHAnsi"/>
        </w:rPr>
        <w:t>Chapter</w:t>
      </w:r>
      <w:r w:rsidR="005D6D09">
        <w:rPr>
          <w:rFonts w:asciiTheme="minorHAnsi" w:hAnsiTheme="minorHAnsi" w:cstheme="minorHAnsi"/>
        </w:rPr>
        <w:t xml:space="preserve"> 4</w:t>
      </w:r>
      <w:r w:rsidR="00DC6D89">
        <w:rPr>
          <w:rFonts w:asciiTheme="minorHAnsi" w:hAnsiTheme="minorHAnsi" w:cstheme="minorHAnsi"/>
        </w:rPr>
        <w:t xml:space="preserve"> in the Principal Instrument to specify the National Industry </w:t>
      </w:r>
      <w:r w:rsidR="00FD29DB">
        <w:rPr>
          <w:rFonts w:asciiTheme="minorHAnsi" w:hAnsiTheme="minorHAnsi" w:cstheme="minorHAnsi"/>
        </w:rPr>
        <w:t xml:space="preserve">PhD </w:t>
      </w:r>
      <w:r w:rsidR="005D6D09">
        <w:rPr>
          <w:rFonts w:asciiTheme="minorHAnsi" w:hAnsiTheme="minorHAnsi" w:cstheme="minorHAnsi"/>
        </w:rPr>
        <w:t>Program (the program</w:t>
      </w:r>
      <w:proofErr w:type="gramStart"/>
      <w:r w:rsidR="005D6D09">
        <w:rPr>
          <w:rFonts w:asciiTheme="minorHAnsi" w:hAnsiTheme="minorHAnsi" w:cstheme="minorHAnsi"/>
        </w:rPr>
        <w:t>)</w:t>
      </w:r>
      <w:r w:rsidR="002044A9">
        <w:rPr>
          <w:rFonts w:asciiTheme="minorHAnsi" w:hAnsiTheme="minorHAnsi" w:cstheme="minorHAnsi"/>
        </w:rPr>
        <w:t>,which</w:t>
      </w:r>
      <w:proofErr w:type="gramEnd"/>
      <w:r w:rsidR="002044A9">
        <w:rPr>
          <w:rFonts w:asciiTheme="minorHAnsi" w:hAnsiTheme="minorHAnsi" w:cstheme="minorHAnsi"/>
        </w:rPr>
        <w:t xml:space="preserve"> is</w:t>
      </w:r>
      <w:r>
        <w:rPr>
          <w:rFonts w:asciiTheme="minorHAnsi" w:hAnsiTheme="minorHAnsi" w:cstheme="minorHAnsi"/>
        </w:rPr>
        <w:t xml:space="preserve"> a program under which grants may be made in accordance with subsection 41-15(1) of the Act. </w:t>
      </w:r>
    </w:p>
    <w:p w14:paraId="53E56240" w14:textId="59C5A482" w:rsidR="00BD0923" w:rsidRDefault="00BD0923" w:rsidP="004F615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w:t>
      </w:r>
      <w:r w:rsidR="005D6D09">
        <w:rPr>
          <w:rFonts w:asciiTheme="minorHAnsi" w:hAnsiTheme="minorHAnsi" w:cstheme="minorHAnsi"/>
        </w:rPr>
        <w:t xml:space="preserve">section 4.1 sets out the particular purpose specified in the table in subsection 41-10(1) of the Act for which grants under the program are to be </w:t>
      </w:r>
      <w:proofErr w:type="gramStart"/>
      <w:r w:rsidR="005D6D09">
        <w:rPr>
          <w:rFonts w:asciiTheme="minorHAnsi" w:hAnsiTheme="minorHAnsi" w:cstheme="minorHAnsi"/>
        </w:rPr>
        <w:t>paid, and</w:t>
      </w:r>
      <w:proofErr w:type="gramEnd"/>
      <w:r w:rsidR="005D6D09">
        <w:rPr>
          <w:rFonts w:asciiTheme="minorHAnsi" w:hAnsiTheme="minorHAnsi" w:cstheme="minorHAnsi"/>
        </w:rPr>
        <w:t xml:space="preserve"> provides that the program is specified for the purpose of supporting the training of research students</w:t>
      </w:r>
      <w:r w:rsidR="00120024">
        <w:rPr>
          <w:rFonts w:asciiTheme="minorHAnsi" w:hAnsiTheme="minorHAnsi" w:cstheme="minorHAnsi"/>
        </w:rPr>
        <w:t xml:space="preserve"> (item 8 of the table)</w:t>
      </w:r>
      <w:r w:rsidR="005D6D09">
        <w:rPr>
          <w:rFonts w:asciiTheme="minorHAnsi" w:hAnsiTheme="minorHAnsi" w:cstheme="minorHAnsi"/>
        </w:rPr>
        <w:t xml:space="preserve">. </w:t>
      </w:r>
    </w:p>
    <w:p w14:paraId="1B8514D0" w14:textId="0235B118" w:rsidR="004F615B" w:rsidRDefault="004F615B" w:rsidP="004F615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w:t>
      </w:r>
      <w:r w:rsidR="005D6D09">
        <w:rPr>
          <w:rFonts w:asciiTheme="minorHAnsi" w:hAnsiTheme="minorHAnsi" w:cstheme="minorHAnsi"/>
        </w:rPr>
        <w:t>section 4.5</w:t>
      </w:r>
      <w:r>
        <w:rPr>
          <w:rFonts w:asciiTheme="minorHAnsi" w:hAnsiTheme="minorHAnsi" w:cstheme="minorHAnsi"/>
        </w:rPr>
        <w:t xml:space="preserve"> sets out the objectives of the program.</w:t>
      </w:r>
    </w:p>
    <w:p w14:paraId="0F1B6511" w14:textId="77777777" w:rsidR="00414CB7" w:rsidRDefault="005D6D09" w:rsidP="004F615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section 4.10 sets out the extra conditions of eligibility of grants made under the program. </w:t>
      </w:r>
    </w:p>
    <w:p w14:paraId="23BB4CBD" w14:textId="77777777" w:rsidR="00414CB7" w:rsidRDefault="005D6D09" w:rsidP="004F615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Subsection 4.10(1) provides that grants under the program may only be provided to support PhD projects that are co-designed by eligible higher education providers and industry</w:t>
      </w:r>
      <w:r w:rsidR="00414CB7">
        <w:rPr>
          <w:rFonts w:asciiTheme="minorHAnsi" w:hAnsiTheme="minorHAnsi" w:cstheme="minorHAnsi"/>
        </w:rPr>
        <w:t xml:space="preserve"> (the Industry Linked PhD stream</w:t>
      </w:r>
      <w:proofErr w:type="gramStart"/>
      <w:r w:rsidR="00414CB7">
        <w:rPr>
          <w:rFonts w:asciiTheme="minorHAnsi" w:hAnsiTheme="minorHAnsi" w:cstheme="minorHAnsi"/>
        </w:rPr>
        <w:t>)</w:t>
      </w:r>
      <w:r>
        <w:rPr>
          <w:rFonts w:asciiTheme="minorHAnsi" w:hAnsiTheme="minorHAnsi" w:cstheme="minorHAnsi"/>
        </w:rPr>
        <w:t>, or</w:t>
      </w:r>
      <w:proofErr w:type="gramEnd"/>
      <w:r>
        <w:rPr>
          <w:rFonts w:asciiTheme="minorHAnsi" w:hAnsiTheme="minorHAnsi" w:cstheme="minorHAnsi"/>
        </w:rPr>
        <w:t xml:space="preserve"> undertaken by industry professionals who are supported by their employer to undertake a PhD project in partnership with a university</w:t>
      </w:r>
      <w:r w:rsidR="00414CB7">
        <w:rPr>
          <w:rFonts w:asciiTheme="minorHAnsi" w:hAnsiTheme="minorHAnsi" w:cstheme="minorHAnsi"/>
        </w:rPr>
        <w:t xml:space="preserve"> (the Industry Researcher PhD stream)</w:t>
      </w:r>
      <w:r>
        <w:rPr>
          <w:rFonts w:asciiTheme="minorHAnsi" w:hAnsiTheme="minorHAnsi" w:cstheme="minorHAnsi"/>
        </w:rPr>
        <w:t xml:space="preserve">. </w:t>
      </w:r>
    </w:p>
    <w:p w14:paraId="4836340F" w14:textId="60D7A029" w:rsidR="00414CB7" w:rsidRDefault="00414CB7"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Paragraph</w:t>
      </w:r>
      <w:r w:rsidR="005D6D09">
        <w:rPr>
          <w:rFonts w:asciiTheme="minorHAnsi" w:hAnsiTheme="minorHAnsi" w:cstheme="minorHAnsi"/>
        </w:rPr>
        <w:t xml:space="preserve"> 4.10(2)</w:t>
      </w:r>
      <w:r>
        <w:rPr>
          <w:rFonts w:asciiTheme="minorHAnsi" w:hAnsiTheme="minorHAnsi" w:cstheme="minorHAnsi"/>
        </w:rPr>
        <w:t>(a)</w:t>
      </w:r>
      <w:r w:rsidR="005D6D09">
        <w:rPr>
          <w:rFonts w:asciiTheme="minorHAnsi" w:hAnsiTheme="minorHAnsi" w:cstheme="minorHAnsi"/>
        </w:rPr>
        <w:t xml:space="preserve"> provides that grants under the program will only be provided to eligible higher education providers that are partnered with an industry partner that </w:t>
      </w:r>
      <w:r>
        <w:rPr>
          <w:rFonts w:asciiTheme="minorHAnsi" w:hAnsiTheme="minorHAnsi" w:cstheme="minorHAnsi"/>
        </w:rPr>
        <w:t xml:space="preserve">is a business or organisation with an Australian Business Number or Australian Company </w:t>
      </w:r>
      <w:r w:rsidR="00D77F0C">
        <w:rPr>
          <w:rFonts w:asciiTheme="minorHAnsi" w:hAnsiTheme="minorHAnsi" w:cstheme="minorHAnsi"/>
        </w:rPr>
        <w:t>N</w:t>
      </w:r>
      <w:r>
        <w:rPr>
          <w:rFonts w:asciiTheme="minorHAnsi" w:hAnsiTheme="minorHAnsi" w:cstheme="minorHAnsi"/>
        </w:rPr>
        <w:t>umber, undertakes research and development activities, and for the Industry Linked PhD stream, the industry partner must have entered into an agreement with the higher education provider to provide a yearly cash contribution.</w:t>
      </w:r>
    </w:p>
    <w:p w14:paraId="66808A91" w14:textId="73683D5D" w:rsidR="005D6D09" w:rsidRDefault="00414CB7" w:rsidP="00414CB7">
      <w:pPr>
        <w:pStyle w:val="ListParagraph"/>
        <w:numPr>
          <w:ilvl w:val="0"/>
          <w:numId w:val="1"/>
        </w:numPr>
        <w:spacing w:before="360" w:after="160" w:line="259" w:lineRule="auto"/>
        <w:rPr>
          <w:rFonts w:asciiTheme="minorHAnsi" w:hAnsiTheme="minorHAnsi" w:cstheme="minorHAnsi"/>
        </w:rPr>
      </w:pPr>
      <w:r w:rsidRPr="00026317">
        <w:rPr>
          <w:rFonts w:asciiTheme="minorHAnsi" w:hAnsiTheme="minorHAnsi" w:cstheme="minorHAnsi"/>
        </w:rPr>
        <w:t>Paragraph</w:t>
      </w:r>
      <w:r>
        <w:rPr>
          <w:rFonts w:asciiTheme="minorHAnsi" w:hAnsiTheme="minorHAnsi" w:cstheme="minorHAnsi"/>
        </w:rPr>
        <w:t xml:space="preserve"> 4.10(2)(b) provides that grants</w:t>
      </w:r>
      <w:r w:rsidR="00026317">
        <w:rPr>
          <w:rFonts w:asciiTheme="minorHAnsi" w:hAnsiTheme="minorHAnsi" w:cstheme="minorHAnsi"/>
        </w:rPr>
        <w:t xml:space="preserve"> will only be provided to higher education providers that </w:t>
      </w:r>
      <w:r w:rsidR="005D6D09" w:rsidRPr="00414CB7">
        <w:rPr>
          <w:rFonts w:asciiTheme="minorHAnsi" w:hAnsiTheme="minorHAnsi" w:cstheme="minorHAnsi"/>
        </w:rPr>
        <w:t>enrol PhD candidates</w:t>
      </w:r>
      <w:r w:rsidR="00583E54">
        <w:rPr>
          <w:rFonts w:asciiTheme="minorHAnsi" w:hAnsiTheme="minorHAnsi" w:cstheme="minorHAnsi"/>
        </w:rPr>
        <w:t>,</w:t>
      </w:r>
      <w:r w:rsidR="005D6D09" w:rsidRPr="00414CB7">
        <w:rPr>
          <w:rFonts w:asciiTheme="minorHAnsi" w:hAnsiTheme="minorHAnsi" w:cstheme="minorHAnsi"/>
        </w:rPr>
        <w:t xml:space="preserve"> for the purposes of the program</w:t>
      </w:r>
      <w:r w:rsidR="00583E54">
        <w:rPr>
          <w:rFonts w:asciiTheme="minorHAnsi" w:hAnsiTheme="minorHAnsi" w:cstheme="minorHAnsi"/>
        </w:rPr>
        <w:t>,</w:t>
      </w:r>
      <w:r w:rsidR="005D6D09" w:rsidRPr="00414CB7">
        <w:rPr>
          <w:rFonts w:asciiTheme="minorHAnsi" w:hAnsiTheme="minorHAnsi" w:cstheme="minorHAnsi"/>
        </w:rPr>
        <w:t xml:space="preserve"> that meet certain criteria.</w:t>
      </w:r>
    </w:p>
    <w:p w14:paraId="5A3B51AF" w14:textId="0F06AC13" w:rsidR="00026317" w:rsidRDefault="00026317"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section 4.15 sets out the method by which the amount of grants under the program are determined. </w:t>
      </w:r>
    </w:p>
    <w:p w14:paraId="0E0401DD" w14:textId="10586D4E" w:rsidR="00026317" w:rsidRDefault="00026317"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 4.15(1) provides that grants to </w:t>
      </w:r>
      <w:r w:rsidR="00BF5B46">
        <w:rPr>
          <w:rFonts w:asciiTheme="minorHAnsi" w:hAnsiTheme="minorHAnsi" w:cstheme="minorHAnsi"/>
        </w:rPr>
        <w:t xml:space="preserve">participating </w:t>
      </w:r>
      <w:r>
        <w:rPr>
          <w:rFonts w:asciiTheme="minorHAnsi" w:hAnsiTheme="minorHAnsi" w:cstheme="minorHAnsi"/>
        </w:rPr>
        <w:t xml:space="preserve">higher education providers will be made up of three components: an administrative component, a student </w:t>
      </w:r>
      <w:proofErr w:type="gramStart"/>
      <w:r>
        <w:rPr>
          <w:rFonts w:asciiTheme="minorHAnsi" w:hAnsiTheme="minorHAnsi" w:cstheme="minorHAnsi"/>
        </w:rPr>
        <w:t>component</w:t>
      </w:r>
      <w:proofErr w:type="gramEnd"/>
      <w:r>
        <w:rPr>
          <w:rFonts w:asciiTheme="minorHAnsi" w:hAnsiTheme="minorHAnsi" w:cstheme="minorHAnsi"/>
        </w:rPr>
        <w:t xml:space="preserve"> and an industry component. The methods for working out the amount of each of the components are set out in subsections 4.15(2) to (7). </w:t>
      </w:r>
    </w:p>
    <w:p w14:paraId="644789B3" w14:textId="3F51E826" w:rsidR="00026317" w:rsidRDefault="00026317"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New section 4.20 provides that the amounts listed in section 4.15 are listed for the year 202</w:t>
      </w:r>
      <w:r w:rsidR="00092C62">
        <w:rPr>
          <w:rFonts w:asciiTheme="minorHAnsi" w:hAnsiTheme="minorHAnsi" w:cstheme="minorHAnsi"/>
        </w:rPr>
        <w:t>3</w:t>
      </w:r>
      <w:r>
        <w:rPr>
          <w:rFonts w:asciiTheme="minorHAnsi" w:hAnsiTheme="minorHAnsi" w:cstheme="minorHAnsi"/>
        </w:rPr>
        <w:t xml:space="preserve"> and are to be indexed for subsequent years using the method of indexation set out in Part 5-6 of the Act. </w:t>
      </w:r>
    </w:p>
    <w:p w14:paraId="43D669D6" w14:textId="475693F6" w:rsidR="00026317" w:rsidRDefault="00026317"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section 4.25 sets out the conditions that apply to grants under the program. </w:t>
      </w:r>
    </w:p>
    <w:p w14:paraId="5F77228D" w14:textId="61184DF7" w:rsidR="00026317" w:rsidRDefault="00026317"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subsections 4.25(1) to (5) </w:t>
      </w:r>
      <w:r w:rsidR="00D634E9">
        <w:rPr>
          <w:rFonts w:asciiTheme="minorHAnsi" w:hAnsiTheme="minorHAnsi" w:cstheme="minorHAnsi"/>
        </w:rPr>
        <w:t>specify</w:t>
      </w:r>
      <w:r>
        <w:rPr>
          <w:rFonts w:asciiTheme="minorHAnsi" w:hAnsiTheme="minorHAnsi" w:cstheme="minorHAnsi"/>
        </w:rPr>
        <w:t xml:space="preserve"> that the participating higher education provider must provide the student component and industry component of the grant to the PhD Candidate and industry partner </w:t>
      </w:r>
      <w:proofErr w:type="gramStart"/>
      <w:r>
        <w:rPr>
          <w:rFonts w:asciiTheme="minorHAnsi" w:hAnsiTheme="minorHAnsi" w:cstheme="minorHAnsi"/>
        </w:rPr>
        <w:t>respectively</w:t>
      </w:r>
      <w:r w:rsidR="004D7249">
        <w:rPr>
          <w:rFonts w:asciiTheme="minorHAnsi" w:hAnsiTheme="minorHAnsi" w:cstheme="minorHAnsi"/>
        </w:rPr>
        <w:t>, unless</w:t>
      </w:r>
      <w:proofErr w:type="gramEnd"/>
      <w:r w:rsidR="004D7249">
        <w:rPr>
          <w:rFonts w:asciiTheme="minorHAnsi" w:hAnsiTheme="minorHAnsi" w:cstheme="minorHAnsi"/>
        </w:rPr>
        <w:t xml:space="preserve"> the PhD Candidate or the industry partner no longer meet the requirements of the program. </w:t>
      </w:r>
    </w:p>
    <w:p w14:paraId="13E112C0" w14:textId="4443C914" w:rsidR="004D7249" w:rsidRDefault="004D7249"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subsections 4.25(6) </w:t>
      </w:r>
      <w:r w:rsidR="00A861C7">
        <w:rPr>
          <w:rFonts w:asciiTheme="minorHAnsi" w:hAnsiTheme="minorHAnsi" w:cstheme="minorHAnsi"/>
        </w:rPr>
        <w:t xml:space="preserve">and </w:t>
      </w:r>
      <w:r>
        <w:rPr>
          <w:rFonts w:asciiTheme="minorHAnsi" w:hAnsiTheme="minorHAnsi" w:cstheme="minorHAnsi"/>
        </w:rPr>
        <w:t xml:space="preserve">(7) set out conditions in respect of PhD </w:t>
      </w:r>
      <w:proofErr w:type="gramStart"/>
      <w:r>
        <w:rPr>
          <w:rFonts w:asciiTheme="minorHAnsi" w:hAnsiTheme="minorHAnsi" w:cstheme="minorHAnsi"/>
        </w:rPr>
        <w:t>Candidates, and</w:t>
      </w:r>
      <w:proofErr w:type="gramEnd"/>
      <w:r>
        <w:rPr>
          <w:rFonts w:asciiTheme="minorHAnsi" w:hAnsiTheme="minorHAnsi" w:cstheme="minorHAnsi"/>
        </w:rPr>
        <w:t xml:space="preserve"> provide that PhD Candidates must spend 20 to 50 per cent of the duration of their PhD Candidature either in the industry partner’s facilities (for the Industry Linked PhD stream) or in the participating higher education provider’s facilities (for the </w:t>
      </w:r>
      <w:r>
        <w:rPr>
          <w:rFonts w:asciiTheme="minorHAnsi" w:hAnsiTheme="minorHAnsi" w:cstheme="minorHAnsi"/>
        </w:rPr>
        <w:lastRenderedPageBreak/>
        <w:t>Industry Researcher PhD stream)</w:t>
      </w:r>
      <w:r w:rsidR="00092C62">
        <w:rPr>
          <w:rFonts w:asciiTheme="minorHAnsi" w:hAnsiTheme="minorHAnsi" w:cstheme="minorHAnsi"/>
        </w:rPr>
        <w:t xml:space="preserve"> unless an exception is approved by the </w:t>
      </w:r>
      <w:r w:rsidR="00E95A5C">
        <w:rPr>
          <w:rFonts w:asciiTheme="minorHAnsi" w:hAnsiTheme="minorHAnsi" w:cstheme="minorHAnsi"/>
        </w:rPr>
        <w:t>D</w:t>
      </w:r>
      <w:r w:rsidR="00092C62">
        <w:rPr>
          <w:rFonts w:asciiTheme="minorHAnsi" w:hAnsiTheme="minorHAnsi" w:cstheme="minorHAnsi"/>
        </w:rPr>
        <w:t>epartment</w:t>
      </w:r>
      <w:r w:rsidR="00E95A5C">
        <w:rPr>
          <w:rFonts w:asciiTheme="minorHAnsi" w:hAnsiTheme="minorHAnsi" w:cstheme="minorHAnsi"/>
        </w:rPr>
        <w:t xml:space="preserve"> of Education (Department)</w:t>
      </w:r>
      <w:r>
        <w:rPr>
          <w:rFonts w:asciiTheme="minorHAnsi" w:hAnsiTheme="minorHAnsi" w:cstheme="minorHAnsi"/>
        </w:rPr>
        <w:t xml:space="preserve">. </w:t>
      </w:r>
    </w:p>
    <w:p w14:paraId="2874E009" w14:textId="6D1BFCEA" w:rsidR="004D7249" w:rsidRDefault="004D7249"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 4.25(8) </w:t>
      </w:r>
      <w:r w:rsidR="00C04D77">
        <w:rPr>
          <w:rFonts w:asciiTheme="minorHAnsi" w:hAnsiTheme="minorHAnsi" w:cstheme="minorHAnsi"/>
        </w:rPr>
        <w:t xml:space="preserve">specifies </w:t>
      </w:r>
      <w:r>
        <w:rPr>
          <w:rFonts w:asciiTheme="minorHAnsi" w:hAnsiTheme="minorHAnsi" w:cstheme="minorHAnsi"/>
        </w:rPr>
        <w:t xml:space="preserve">that the </w:t>
      </w:r>
      <w:r w:rsidR="00C04D77">
        <w:rPr>
          <w:rFonts w:asciiTheme="minorHAnsi" w:hAnsiTheme="minorHAnsi" w:cstheme="minorHAnsi"/>
        </w:rPr>
        <w:t xml:space="preserve">participating </w:t>
      </w:r>
      <w:r>
        <w:rPr>
          <w:rFonts w:asciiTheme="minorHAnsi" w:hAnsiTheme="minorHAnsi" w:cstheme="minorHAnsi"/>
        </w:rPr>
        <w:t xml:space="preserve">higher education provider must provide appropriate PhD supervisors, access to the provider’s facilities and infrastructure, learning and development opportunities and support for the development of research skills to PhD Candidates in the program to ensure the PhD Candidates are making appropriate progress and to ensure the successful completion of the PhD project. </w:t>
      </w:r>
    </w:p>
    <w:p w14:paraId="42632EE3" w14:textId="3E64DC60" w:rsidR="004D7249" w:rsidRDefault="004D7249"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subsections 4.25(9) to (11) </w:t>
      </w:r>
      <w:r w:rsidR="00C44B5D">
        <w:rPr>
          <w:rFonts w:asciiTheme="minorHAnsi" w:hAnsiTheme="minorHAnsi" w:cstheme="minorHAnsi"/>
        </w:rPr>
        <w:t>specify</w:t>
      </w:r>
      <w:r>
        <w:rPr>
          <w:rFonts w:asciiTheme="minorHAnsi" w:hAnsiTheme="minorHAnsi" w:cstheme="minorHAnsi"/>
        </w:rPr>
        <w:t xml:space="preserve"> that the participating higher education provider must enter into an agreement with the relevant industry partner </w:t>
      </w:r>
      <w:r w:rsidR="00092C62">
        <w:rPr>
          <w:rFonts w:asciiTheme="minorHAnsi" w:hAnsiTheme="minorHAnsi" w:cstheme="minorHAnsi"/>
        </w:rPr>
        <w:t>for each PhD project</w:t>
      </w:r>
      <w:r>
        <w:rPr>
          <w:rFonts w:asciiTheme="minorHAnsi" w:hAnsiTheme="minorHAnsi" w:cstheme="minorHAnsi"/>
        </w:rPr>
        <w:t xml:space="preserve">, and that the agreement must </w:t>
      </w:r>
      <w:r w:rsidR="00092C62">
        <w:rPr>
          <w:rFonts w:asciiTheme="minorHAnsi" w:hAnsiTheme="minorHAnsi" w:cstheme="minorHAnsi"/>
        </w:rPr>
        <w:t xml:space="preserve">place </w:t>
      </w:r>
      <w:r>
        <w:rPr>
          <w:rFonts w:asciiTheme="minorHAnsi" w:hAnsiTheme="minorHAnsi" w:cstheme="minorHAnsi"/>
        </w:rPr>
        <w:t xml:space="preserve">certain obligations on the industry partner. </w:t>
      </w:r>
    </w:p>
    <w:p w14:paraId="37650B27" w14:textId="18B3ED95" w:rsidR="004D7249" w:rsidRDefault="004D7249" w:rsidP="00414CB7">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subsections 4.25(12) </w:t>
      </w:r>
      <w:r w:rsidR="00AB59F8">
        <w:rPr>
          <w:rFonts w:asciiTheme="minorHAnsi" w:hAnsiTheme="minorHAnsi" w:cstheme="minorHAnsi"/>
        </w:rPr>
        <w:t>and</w:t>
      </w:r>
      <w:r>
        <w:rPr>
          <w:rFonts w:asciiTheme="minorHAnsi" w:hAnsiTheme="minorHAnsi" w:cstheme="minorHAnsi"/>
        </w:rPr>
        <w:t xml:space="preserve"> (13) set out conditions in relation to </w:t>
      </w:r>
      <w:proofErr w:type="gramStart"/>
      <w:r>
        <w:rPr>
          <w:rFonts w:asciiTheme="minorHAnsi" w:hAnsiTheme="minorHAnsi" w:cstheme="minorHAnsi"/>
        </w:rPr>
        <w:t>reporting, and</w:t>
      </w:r>
      <w:proofErr w:type="gramEnd"/>
      <w:r>
        <w:rPr>
          <w:rFonts w:asciiTheme="minorHAnsi" w:hAnsiTheme="minorHAnsi" w:cstheme="minorHAnsi"/>
        </w:rPr>
        <w:t xml:space="preserve"> </w:t>
      </w:r>
      <w:r w:rsidR="00AB59F8">
        <w:rPr>
          <w:rFonts w:asciiTheme="minorHAnsi" w:hAnsiTheme="minorHAnsi" w:cstheme="minorHAnsi"/>
        </w:rPr>
        <w:t>specify</w:t>
      </w:r>
      <w:r>
        <w:rPr>
          <w:rFonts w:asciiTheme="minorHAnsi" w:hAnsiTheme="minorHAnsi" w:cstheme="minorHAnsi"/>
        </w:rPr>
        <w:t xml:space="preserve"> that the </w:t>
      </w:r>
      <w:r w:rsidR="00AB59F8">
        <w:rPr>
          <w:rFonts w:asciiTheme="minorHAnsi" w:hAnsiTheme="minorHAnsi" w:cstheme="minorHAnsi"/>
        </w:rPr>
        <w:t xml:space="preserve">participating </w:t>
      </w:r>
      <w:r>
        <w:rPr>
          <w:rFonts w:asciiTheme="minorHAnsi" w:hAnsiTheme="minorHAnsi" w:cstheme="minorHAnsi"/>
        </w:rPr>
        <w:t xml:space="preserve">higher education provider must collect data and give that </w:t>
      </w:r>
      <w:r w:rsidR="009D78FB">
        <w:rPr>
          <w:rFonts w:asciiTheme="minorHAnsi" w:hAnsiTheme="minorHAnsi" w:cstheme="minorHAnsi"/>
        </w:rPr>
        <w:t xml:space="preserve">data to the </w:t>
      </w:r>
      <w:r w:rsidR="00AB59F8">
        <w:rPr>
          <w:rFonts w:asciiTheme="minorHAnsi" w:hAnsiTheme="minorHAnsi" w:cstheme="minorHAnsi"/>
        </w:rPr>
        <w:t>D</w:t>
      </w:r>
      <w:r w:rsidR="009D78FB">
        <w:rPr>
          <w:rFonts w:asciiTheme="minorHAnsi" w:hAnsiTheme="minorHAnsi" w:cstheme="minorHAnsi"/>
        </w:rPr>
        <w:t xml:space="preserve">epartment. Subsection (13) </w:t>
      </w:r>
      <w:r w:rsidR="00D302C0">
        <w:rPr>
          <w:rFonts w:asciiTheme="minorHAnsi" w:hAnsiTheme="minorHAnsi" w:cstheme="minorHAnsi"/>
        </w:rPr>
        <w:t>specifies</w:t>
      </w:r>
      <w:r w:rsidR="009D78FB">
        <w:rPr>
          <w:rFonts w:asciiTheme="minorHAnsi" w:hAnsiTheme="minorHAnsi" w:cstheme="minorHAnsi"/>
        </w:rPr>
        <w:t xml:space="preserve"> that the higher education provider must also, on request, provide a report on performance in the format requested by the </w:t>
      </w:r>
      <w:r w:rsidR="00E95A5C">
        <w:rPr>
          <w:rFonts w:asciiTheme="minorHAnsi" w:hAnsiTheme="minorHAnsi" w:cstheme="minorHAnsi"/>
        </w:rPr>
        <w:t>D</w:t>
      </w:r>
      <w:r w:rsidR="009D78FB">
        <w:rPr>
          <w:rFonts w:asciiTheme="minorHAnsi" w:hAnsiTheme="minorHAnsi" w:cstheme="minorHAnsi"/>
        </w:rPr>
        <w:t xml:space="preserve">epartment. </w:t>
      </w:r>
    </w:p>
    <w:p w14:paraId="7C0560B1" w14:textId="182AD0B6" w:rsidR="004A798D" w:rsidRPr="004F615B" w:rsidRDefault="009D78FB" w:rsidP="009D78FB">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New subsection 4.25(14) </w:t>
      </w:r>
      <w:r w:rsidR="00D302C0">
        <w:rPr>
          <w:rFonts w:asciiTheme="minorHAnsi" w:hAnsiTheme="minorHAnsi" w:cstheme="minorHAnsi"/>
        </w:rPr>
        <w:t xml:space="preserve">specifies </w:t>
      </w:r>
      <w:r>
        <w:rPr>
          <w:rFonts w:asciiTheme="minorHAnsi" w:hAnsiTheme="minorHAnsi" w:cstheme="minorHAnsi"/>
        </w:rPr>
        <w:t xml:space="preserve">that the participating higher education provider, if not an ‘organisation’ for the purposes of the </w:t>
      </w:r>
      <w:r>
        <w:rPr>
          <w:rFonts w:asciiTheme="minorHAnsi" w:hAnsiTheme="minorHAnsi" w:cstheme="minorHAnsi"/>
          <w:i/>
          <w:iCs/>
        </w:rPr>
        <w:t xml:space="preserve">Privacy Act 1988 </w:t>
      </w:r>
      <w:r>
        <w:rPr>
          <w:rFonts w:asciiTheme="minorHAnsi" w:hAnsiTheme="minorHAnsi" w:cstheme="minorHAnsi"/>
        </w:rPr>
        <w:t xml:space="preserve">(the Privacy Act), must comply with the Australian Privacy Principles in the </w:t>
      </w:r>
      <w:r w:rsidRPr="009D78FB">
        <w:rPr>
          <w:rFonts w:asciiTheme="minorHAnsi" w:hAnsiTheme="minorHAnsi" w:cstheme="minorHAnsi"/>
        </w:rPr>
        <w:t>Privacy Act</w:t>
      </w:r>
      <w:r>
        <w:rPr>
          <w:rFonts w:asciiTheme="minorHAnsi" w:hAnsiTheme="minorHAnsi" w:cstheme="minorHAnsi"/>
        </w:rPr>
        <w:t xml:space="preserve"> as if it were an ‘organisation’ for the purposes of the Privacy Act. </w:t>
      </w:r>
    </w:p>
    <w:sectPr w:rsidR="004A798D" w:rsidRPr="004F61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1289" w14:textId="77777777" w:rsidR="00886A34" w:rsidRDefault="00886A34" w:rsidP="00783FAB">
      <w:pPr>
        <w:spacing w:after="0" w:line="240" w:lineRule="auto"/>
      </w:pPr>
      <w:r>
        <w:separator/>
      </w:r>
    </w:p>
  </w:endnote>
  <w:endnote w:type="continuationSeparator" w:id="0">
    <w:p w14:paraId="5757CE71" w14:textId="77777777" w:rsidR="00886A34" w:rsidRDefault="00886A34" w:rsidP="00783FAB">
      <w:pPr>
        <w:spacing w:after="0" w:line="240" w:lineRule="auto"/>
      </w:pPr>
      <w:r>
        <w:continuationSeparator/>
      </w:r>
    </w:p>
  </w:endnote>
  <w:endnote w:type="continuationNotice" w:id="1">
    <w:p w14:paraId="7AA317E4" w14:textId="77777777" w:rsidR="00886A34" w:rsidRDefault="00886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3B4C" w14:textId="77777777" w:rsidR="00FF5F61" w:rsidRDefault="00FF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B9F9" w14:textId="77777777" w:rsidR="00FF5F61" w:rsidRDefault="00FF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DFB2" w14:textId="77777777" w:rsidR="00886A34" w:rsidRDefault="00886A34" w:rsidP="00783FAB">
      <w:pPr>
        <w:spacing w:after="0" w:line="240" w:lineRule="auto"/>
      </w:pPr>
      <w:r>
        <w:separator/>
      </w:r>
    </w:p>
  </w:footnote>
  <w:footnote w:type="continuationSeparator" w:id="0">
    <w:p w14:paraId="3480EF9E" w14:textId="77777777" w:rsidR="00886A34" w:rsidRDefault="00886A34" w:rsidP="00783FAB">
      <w:pPr>
        <w:spacing w:after="0" w:line="240" w:lineRule="auto"/>
      </w:pPr>
      <w:r>
        <w:continuationSeparator/>
      </w:r>
    </w:p>
  </w:footnote>
  <w:footnote w:type="continuationNotice" w:id="1">
    <w:p w14:paraId="1DD74A8D" w14:textId="77777777" w:rsidR="00886A34" w:rsidRDefault="00886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B98E" w14:textId="77777777" w:rsidR="00FF5F61" w:rsidRDefault="00FF5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6999" w14:textId="77777777" w:rsidR="00FF5F61" w:rsidRDefault="00FF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9A0F" w14:textId="77777777" w:rsidR="00FF5F61" w:rsidRDefault="00FF5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14"/>
    <w:multiLevelType w:val="hybridMultilevel"/>
    <w:tmpl w:val="D2BE70A2"/>
    <w:lvl w:ilvl="0" w:tplc="233AD070">
      <w:start w:val="1"/>
      <w:numFmt w:val="decimal"/>
      <w:pStyle w:val="MBPoint"/>
      <w:lvlText w:val="%1."/>
      <w:lvlJc w:val="left"/>
      <w:pPr>
        <w:ind w:left="451" w:hanging="360"/>
      </w:pPr>
      <w:rPr>
        <w:rFonts w:hint="default"/>
        <w:color w:val="auto"/>
      </w:rPr>
    </w:lvl>
    <w:lvl w:ilvl="1" w:tplc="6B88999E">
      <w:start w:val="1"/>
      <w:numFmt w:val="lowerLetter"/>
      <w:lvlText w:val="%2."/>
      <w:lvlJc w:val="left"/>
      <w:pPr>
        <w:ind w:left="1086" w:hanging="360"/>
      </w:pPr>
    </w:lvl>
    <w:lvl w:ilvl="2" w:tplc="C3E4B7F4">
      <w:start w:val="1"/>
      <w:numFmt w:val="lowerRoman"/>
      <w:lvlText w:val="%3."/>
      <w:lvlJc w:val="right"/>
      <w:pPr>
        <w:ind w:left="1806" w:hanging="180"/>
      </w:pPr>
    </w:lvl>
    <w:lvl w:ilvl="3" w:tplc="AB74285C">
      <w:start w:val="1"/>
      <w:numFmt w:val="decimal"/>
      <w:lvlText w:val="%4."/>
      <w:lvlJc w:val="left"/>
      <w:pPr>
        <w:ind w:left="2526" w:hanging="360"/>
      </w:pPr>
    </w:lvl>
    <w:lvl w:ilvl="4" w:tplc="CAB05B0E" w:tentative="1">
      <w:start w:val="1"/>
      <w:numFmt w:val="lowerLetter"/>
      <w:lvlText w:val="%5."/>
      <w:lvlJc w:val="left"/>
      <w:pPr>
        <w:ind w:left="3246" w:hanging="360"/>
      </w:pPr>
    </w:lvl>
    <w:lvl w:ilvl="5" w:tplc="AB2E9906" w:tentative="1">
      <w:start w:val="1"/>
      <w:numFmt w:val="lowerRoman"/>
      <w:lvlText w:val="%6."/>
      <w:lvlJc w:val="right"/>
      <w:pPr>
        <w:ind w:left="3966" w:hanging="180"/>
      </w:pPr>
    </w:lvl>
    <w:lvl w:ilvl="6" w:tplc="27345C56" w:tentative="1">
      <w:start w:val="1"/>
      <w:numFmt w:val="decimal"/>
      <w:lvlText w:val="%7."/>
      <w:lvlJc w:val="left"/>
      <w:pPr>
        <w:ind w:left="4686" w:hanging="360"/>
      </w:pPr>
    </w:lvl>
    <w:lvl w:ilvl="7" w:tplc="C6B45B84" w:tentative="1">
      <w:start w:val="1"/>
      <w:numFmt w:val="lowerLetter"/>
      <w:lvlText w:val="%8."/>
      <w:lvlJc w:val="left"/>
      <w:pPr>
        <w:ind w:left="5406" w:hanging="360"/>
      </w:pPr>
    </w:lvl>
    <w:lvl w:ilvl="8" w:tplc="49B87030" w:tentative="1">
      <w:start w:val="1"/>
      <w:numFmt w:val="lowerRoman"/>
      <w:lvlText w:val="%9."/>
      <w:lvlJc w:val="right"/>
      <w:pPr>
        <w:ind w:left="6126" w:hanging="180"/>
      </w:pPr>
    </w:lvl>
  </w:abstractNum>
  <w:abstractNum w:abstractNumId="1" w15:restartNumberingAfterBreak="0">
    <w:nsid w:val="056B10AE"/>
    <w:multiLevelType w:val="hybridMultilevel"/>
    <w:tmpl w:val="9606FE1C"/>
    <w:lvl w:ilvl="0" w:tplc="346EBBC0">
      <w:start w:val="1"/>
      <w:numFmt w:val="bullet"/>
      <w:pStyle w:val="4Sub-dotpoint"/>
      <w:lvlText w:val="o"/>
      <w:lvlJc w:val="left"/>
      <w:pPr>
        <w:ind w:left="1080" w:hanging="360"/>
      </w:pPr>
      <w:rPr>
        <w:rFonts w:ascii="Courier New" w:hAnsi="Courier New" w:cs="Courier New" w:hint="default"/>
      </w:rPr>
    </w:lvl>
    <w:lvl w:ilvl="1" w:tplc="3C8E9C08">
      <w:start w:val="1"/>
      <w:numFmt w:val="bullet"/>
      <w:lvlText w:val="o"/>
      <w:lvlJc w:val="left"/>
      <w:pPr>
        <w:ind w:left="1800" w:hanging="360"/>
      </w:pPr>
      <w:rPr>
        <w:rFonts w:ascii="Courier New" w:hAnsi="Courier New" w:cs="Courier New" w:hint="default"/>
      </w:rPr>
    </w:lvl>
    <w:lvl w:ilvl="2" w:tplc="826E5848" w:tentative="1">
      <w:start w:val="1"/>
      <w:numFmt w:val="bullet"/>
      <w:lvlText w:val=""/>
      <w:lvlJc w:val="left"/>
      <w:pPr>
        <w:ind w:left="2520" w:hanging="360"/>
      </w:pPr>
      <w:rPr>
        <w:rFonts w:ascii="Wingdings" w:hAnsi="Wingdings" w:hint="default"/>
      </w:rPr>
    </w:lvl>
    <w:lvl w:ilvl="3" w:tplc="32CAE38A" w:tentative="1">
      <w:start w:val="1"/>
      <w:numFmt w:val="bullet"/>
      <w:lvlText w:val=""/>
      <w:lvlJc w:val="left"/>
      <w:pPr>
        <w:ind w:left="3240" w:hanging="360"/>
      </w:pPr>
      <w:rPr>
        <w:rFonts w:ascii="Symbol" w:hAnsi="Symbol" w:hint="default"/>
      </w:rPr>
    </w:lvl>
    <w:lvl w:ilvl="4" w:tplc="DC7E46F2" w:tentative="1">
      <w:start w:val="1"/>
      <w:numFmt w:val="bullet"/>
      <w:lvlText w:val="o"/>
      <w:lvlJc w:val="left"/>
      <w:pPr>
        <w:ind w:left="3960" w:hanging="360"/>
      </w:pPr>
      <w:rPr>
        <w:rFonts w:ascii="Courier New" w:hAnsi="Courier New" w:cs="Courier New" w:hint="default"/>
      </w:rPr>
    </w:lvl>
    <w:lvl w:ilvl="5" w:tplc="2C065E5A" w:tentative="1">
      <w:start w:val="1"/>
      <w:numFmt w:val="bullet"/>
      <w:lvlText w:val=""/>
      <w:lvlJc w:val="left"/>
      <w:pPr>
        <w:ind w:left="4680" w:hanging="360"/>
      </w:pPr>
      <w:rPr>
        <w:rFonts w:ascii="Wingdings" w:hAnsi="Wingdings" w:hint="default"/>
      </w:rPr>
    </w:lvl>
    <w:lvl w:ilvl="6" w:tplc="387C53BA" w:tentative="1">
      <w:start w:val="1"/>
      <w:numFmt w:val="bullet"/>
      <w:lvlText w:val=""/>
      <w:lvlJc w:val="left"/>
      <w:pPr>
        <w:ind w:left="5400" w:hanging="360"/>
      </w:pPr>
      <w:rPr>
        <w:rFonts w:ascii="Symbol" w:hAnsi="Symbol" w:hint="default"/>
      </w:rPr>
    </w:lvl>
    <w:lvl w:ilvl="7" w:tplc="9ED03DE6" w:tentative="1">
      <w:start w:val="1"/>
      <w:numFmt w:val="bullet"/>
      <w:lvlText w:val="o"/>
      <w:lvlJc w:val="left"/>
      <w:pPr>
        <w:ind w:left="6120" w:hanging="360"/>
      </w:pPr>
      <w:rPr>
        <w:rFonts w:ascii="Courier New" w:hAnsi="Courier New" w:cs="Courier New" w:hint="default"/>
      </w:rPr>
    </w:lvl>
    <w:lvl w:ilvl="8" w:tplc="FD009E9C" w:tentative="1">
      <w:start w:val="1"/>
      <w:numFmt w:val="bullet"/>
      <w:lvlText w:val=""/>
      <w:lvlJc w:val="left"/>
      <w:pPr>
        <w:ind w:left="6840" w:hanging="360"/>
      </w:pPr>
      <w:rPr>
        <w:rFonts w:ascii="Wingdings" w:hAnsi="Wingdings" w:hint="default"/>
      </w:rPr>
    </w:lvl>
  </w:abstractNum>
  <w:abstractNum w:abstractNumId="2" w15:restartNumberingAfterBreak="0">
    <w:nsid w:val="09855CE8"/>
    <w:multiLevelType w:val="hybridMultilevel"/>
    <w:tmpl w:val="270C5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956536"/>
    <w:multiLevelType w:val="hybridMultilevel"/>
    <w:tmpl w:val="4E78A016"/>
    <w:lvl w:ilvl="0" w:tplc="987A1030">
      <w:start w:val="1"/>
      <w:numFmt w:val="bullet"/>
      <w:lvlText w:val=""/>
      <w:lvlJc w:val="left"/>
      <w:pPr>
        <w:ind w:left="720" w:hanging="360"/>
      </w:pPr>
      <w:rPr>
        <w:rFonts w:ascii="Symbol" w:hAnsi="Symbol" w:hint="default"/>
      </w:rPr>
    </w:lvl>
    <w:lvl w:ilvl="1" w:tplc="4692CF0C" w:tentative="1">
      <w:start w:val="1"/>
      <w:numFmt w:val="bullet"/>
      <w:lvlText w:val="o"/>
      <w:lvlJc w:val="left"/>
      <w:pPr>
        <w:ind w:left="1440" w:hanging="360"/>
      </w:pPr>
      <w:rPr>
        <w:rFonts w:ascii="Courier New" w:hAnsi="Courier New" w:cs="Courier New" w:hint="default"/>
      </w:rPr>
    </w:lvl>
    <w:lvl w:ilvl="2" w:tplc="B2E8F11A" w:tentative="1">
      <w:start w:val="1"/>
      <w:numFmt w:val="bullet"/>
      <w:lvlText w:val=""/>
      <w:lvlJc w:val="left"/>
      <w:pPr>
        <w:ind w:left="2160" w:hanging="360"/>
      </w:pPr>
      <w:rPr>
        <w:rFonts w:ascii="Wingdings" w:hAnsi="Wingdings" w:hint="default"/>
      </w:rPr>
    </w:lvl>
    <w:lvl w:ilvl="3" w:tplc="34F2AEFC" w:tentative="1">
      <w:start w:val="1"/>
      <w:numFmt w:val="bullet"/>
      <w:lvlText w:val=""/>
      <w:lvlJc w:val="left"/>
      <w:pPr>
        <w:ind w:left="2880" w:hanging="360"/>
      </w:pPr>
      <w:rPr>
        <w:rFonts w:ascii="Symbol" w:hAnsi="Symbol" w:hint="default"/>
      </w:rPr>
    </w:lvl>
    <w:lvl w:ilvl="4" w:tplc="76FAEE18" w:tentative="1">
      <w:start w:val="1"/>
      <w:numFmt w:val="bullet"/>
      <w:lvlText w:val="o"/>
      <w:lvlJc w:val="left"/>
      <w:pPr>
        <w:ind w:left="3600" w:hanging="360"/>
      </w:pPr>
      <w:rPr>
        <w:rFonts w:ascii="Courier New" w:hAnsi="Courier New" w:cs="Courier New" w:hint="default"/>
      </w:rPr>
    </w:lvl>
    <w:lvl w:ilvl="5" w:tplc="9E8CE842" w:tentative="1">
      <w:start w:val="1"/>
      <w:numFmt w:val="bullet"/>
      <w:lvlText w:val=""/>
      <w:lvlJc w:val="left"/>
      <w:pPr>
        <w:ind w:left="4320" w:hanging="360"/>
      </w:pPr>
      <w:rPr>
        <w:rFonts w:ascii="Wingdings" w:hAnsi="Wingdings" w:hint="default"/>
      </w:rPr>
    </w:lvl>
    <w:lvl w:ilvl="6" w:tplc="DD080970" w:tentative="1">
      <w:start w:val="1"/>
      <w:numFmt w:val="bullet"/>
      <w:lvlText w:val=""/>
      <w:lvlJc w:val="left"/>
      <w:pPr>
        <w:ind w:left="5040" w:hanging="360"/>
      </w:pPr>
      <w:rPr>
        <w:rFonts w:ascii="Symbol" w:hAnsi="Symbol" w:hint="default"/>
      </w:rPr>
    </w:lvl>
    <w:lvl w:ilvl="7" w:tplc="6E8C5034" w:tentative="1">
      <w:start w:val="1"/>
      <w:numFmt w:val="bullet"/>
      <w:lvlText w:val="o"/>
      <w:lvlJc w:val="left"/>
      <w:pPr>
        <w:ind w:left="5760" w:hanging="360"/>
      </w:pPr>
      <w:rPr>
        <w:rFonts w:ascii="Courier New" w:hAnsi="Courier New" w:cs="Courier New" w:hint="default"/>
      </w:rPr>
    </w:lvl>
    <w:lvl w:ilvl="8" w:tplc="75B085C2" w:tentative="1">
      <w:start w:val="1"/>
      <w:numFmt w:val="bullet"/>
      <w:lvlText w:val=""/>
      <w:lvlJc w:val="left"/>
      <w:pPr>
        <w:ind w:left="6480" w:hanging="360"/>
      </w:pPr>
      <w:rPr>
        <w:rFonts w:ascii="Wingdings" w:hAnsi="Wingdings" w:hint="default"/>
      </w:rPr>
    </w:lvl>
  </w:abstractNum>
  <w:abstractNum w:abstractNumId="4"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35D3A"/>
    <w:multiLevelType w:val="hybridMultilevel"/>
    <w:tmpl w:val="64404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17407F"/>
    <w:multiLevelType w:val="hybridMultilevel"/>
    <w:tmpl w:val="A344F5FC"/>
    <w:lvl w:ilvl="0" w:tplc="6F0ED750">
      <w:start w:val="1"/>
      <w:numFmt w:val="bullet"/>
      <w:pStyle w:val="3Dotpoint"/>
      <w:lvlText w:val=""/>
      <w:lvlJc w:val="left"/>
      <w:pPr>
        <w:ind w:left="360" w:hanging="360"/>
      </w:pPr>
      <w:rPr>
        <w:rFonts w:ascii="Symbol" w:hAnsi="Symbol" w:hint="default"/>
        <w:color w:val="auto"/>
      </w:rPr>
    </w:lvl>
    <w:lvl w:ilvl="1" w:tplc="0C090001">
      <w:start w:val="1"/>
      <w:numFmt w:val="bullet"/>
      <w:lvlText w:val=""/>
      <w:lvlJc w:val="left"/>
      <w:pPr>
        <w:ind w:left="1080" w:hanging="360"/>
      </w:pPr>
      <w:rPr>
        <w:rFonts w:ascii="Symbol" w:hAnsi="Symbol" w:hint="default"/>
      </w:rPr>
    </w:lvl>
    <w:lvl w:ilvl="2" w:tplc="663EB538" w:tentative="1">
      <w:start w:val="1"/>
      <w:numFmt w:val="bullet"/>
      <w:lvlText w:val=""/>
      <w:lvlJc w:val="left"/>
      <w:pPr>
        <w:ind w:left="1800" w:hanging="360"/>
      </w:pPr>
      <w:rPr>
        <w:rFonts w:ascii="Wingdings" w:hAnsi="Wingdings" w:hint="default"/>
      </w:rPr>
    </w:lvl>
    <w:lvl w:ilvl="3" w:tplc="B218EBA2" w:tentative="1">
      <w:start w:val="1"/>
      <w:numFmt w:val="bullet"/>
      <w:lvlText w:val=""/>
      <w:lvlJc w:val="left"/>
      <w:pPr>
        <w:ind w:left="2520" w:hanging="360"/>
      </w:pPr>
      <w:rPr>
        <w:rFonts w:ascii="Symbol" w:hAnsi="Symbol" w:hint="default"/>
      </w:rPr>
    </w:lvl>
    <w:lvl w:ilvl="4" w:tplc="6D04BEA8" w:tentative="1">
      <w:start w:val="1"/>
      <w:numFmt w:val="bullet"/>
      <w:lvlText w:val="o"/>
      <w:lvlJc w:val="left"/>
      <w:pPr>
        <w:ind w:left="3240" w:hanging="360"/>
      </w:pPr>
      <w:rPr>
        <w:rFonts w:ascii="Courier New" w:hAnsi="Courier New" w:cs="Courier New" w:hint="default"/>
      </w:rPr>
    </w:lvl>
    <w:lvl w:ilvl="5" w:tplc="B76AEC66" w:tentative="1">
      <w:start w:val="1"/>
      <w:numFmt w:val="bullet"/>
      <w:lvlText w:val=""/>
      <w:lvlJc w:val="left"/>
      <w:pPr>
        <w:ind w:left="3960" w:hanging="360"/>
      </w:pPr>
      <w:rPr>
        <w:rFonts w:ascii="Wingdings" w:hAnsi="Wingdings" w:hint="default"/>
      </w:rPr>
    </w:lvl>
    <w:lvl w:ilvl="6" w:tplc="9C62CA62" w:tentative="1">
      <w:start w:val="1"/>
      <w:numFmt w:val="bullet"/>
      <w:lvlText w:val=""/>
      <w:lvlJc w:val="left"/>
      <w:pPr>
        <w:ind w:left="4680" w:hanging="360"/>
      </w:pPr>
      <w:rPr>
        <w:rFonts w:ascii="Symbol" w:hAnsi="Symbol" w:hint="default"/>
      </w:rPr>
    </w:lvl>
    <w:lvl w:ilvl="7" w:tplc="A3D6EDA2" w:tentative="1">
      <w:start w:val="1"/>
      <w:numFmt w:val="bullet"/>
      <w:lvlText w:val="o"/>
      <w:lvlJc w:val="left"/>
      <w:pPr>
        <w:ind w:left="5400" w:hanging="360"/>
      </w:pPr>
      <w:rPr>
        <w:rFonts w:ascii="Courier New" w:hAnsi="Courier New" w:cs="Courier New" w:hint="default"/>
      </w:rPr>
    </w:lvl>
    <w:lvl w:ilvl="8" w:tplc="E904CD22" w:tentative="1">
      <w:start w:val="1"/>
      <w:numFmt w:val="bullet"/>
      <w:lvlText w:val=""/>
      <w:lvlJc w:val="left"/>
      <w:pPr>
        <w:ind w:left="6120" w:hanging="360"/>
      </w:pPr>
      <w:rPr>
        <w:rFonts w:ascii="Wingdings" w:hAnsi="Wingdings" w:hint="default"/>
      </w:rPr>
    </w:lvl>
  </w:abstractNum>
  <w:abstractNum w:abstractNumId="9" w15:restartNumberingAfterBreak="0">
    <w:nsid w:val="57C3299F"/>
    <w:multiLevelType w:val="hybridMultilevel"/>
    <w:tmpl w:val="D55E2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E260BE"/>
    <w:multiLevelType w:val="hybridMultilevel"/>
    <w:tmpl w:val="2FF680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B46C1C"/>
    <w:multiLevelType w:val="hybridMultilevel"/>
    <w:tmpl w:val="91504A20"/>
    <w:lvl w:ilvl="0" w:tplc="16D68256">
      <w:numFmt w:val="bullet"/>
      <w:lvlText w:val="•"/>
      <w:lvlJc w:val="left"/>
      <w:pPr>
        <w:ind w:left="480" w:hanging="380"/>
      </w:pPr>
      <w:rPr>
        <w:rFonts w:ascii="Calibri" w:eastAsia="Calibri" w:hAnsi="Calibri" w:cs="Calibri" w:hint="default"/>
        <w:b w:val="0"/>
        <w:bCs w:val="0"/>
        <w:i w:val="0"/>
        <w:iCs w:val="0"/>
        <w:w w:val="100"/>
        <w:sz w:val="22"/>
        <w:szCs w:val="22"/>
      </w:rPr>
    </w:lvl>
    <w:lvl w:ilvl="1" w:tplc="BFF0064A">
      <w:numFmt w:val="bullet"/>
      <w:lvlText w:val="•"/>
      <w:lvlJc w:val="left"/>
      <w:pPr>
        <w:ind w:left="1442" w:hanging="380"/>
      </w:pPr>
    </w:lvl>
    <w:lvl w:ilvl="2" w:tplc="C794F83E">
      <w:numFmt w:val="bullet"/>
      <w:lvlText w:val="•"/>
      <w:lvlJc w:val="left"/>
      <w:pPr>
        <w:ind w:left="2404" w:hanging="380"/>
      </w:pPr>
    </w:lvl>
    <w:lvl w:ilvl="3" w:tplc="06429012">
      <w:numFmt w:val="bullet"/>
      <w:lvlText w:val="•"/>
      <w:lvlJc w:val="left"/>
      <w:pPr>
        <w:ind w:left="3366" w:hanging="380"/>
      </w:pPr>
    </w:lvl>
    <w:lvl w:ilvl="4" w:tplc="66C6188E">
      <w:numFmt w:val="bullet"/>
      <w:lvlText w:val="•"/>
      <w:lvlJc w:val="left"/>
      <w:pPr>
        <w:ind w:left="4328" w:hanging="380"/>
      </w:pPr>
    </w:lvl>
    <w:lvl w:ilvl="5" w:tplc="556EBC2E">
      <w:numFmt w:val="bullet"/>
      <w:lvlText w:val="•"/>
      <w:lvlJc w:val="left"/>
      <w:pPr>
        <w:ind w:left="5290" w:hanging="380"/>
      </w:pPr>
    </w:lvl>
    <w:lvl w:ilvl="6" w:tplc="D77E95D0">
      <w:numFmt w:val="bullet"/>
      <w:lvlText w:val="•"/>
      <w:lvlJc w:val="left"/>
      <w:pPr>
        <w:ind w:left="6252" w:hanging="380"/>
      </w:pPr>
    </w:lvl>
    <w:lvl w:ilvl="7" w:tplc="B134BC2A">
      <w:numFmt w:val="bullet"/>
      <w:lvlText w:val="•"/>
      <w:lvlJc w:val="left"/>
      <w:pPr>
        <w:ind w:left="7214" w:hanging="380"/>
      </w:pPr>
    </w:lvl>
    <w:lvl w:ilvl="8" w:tplc="37400B14">
      <w:numFmt w:val="bullet"/>
      <w:lvlText w:val="•"/>
      <w:lvlJc w:val="left"/>
      <w:pPr>
        <w:ind w:left="8176" w:hanging="380"/>
      </w:pPr>
    </w:lvl>
  </w:abstractNum>
  <w:abstractNum w:abstractNumId="12"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7"/>
  </w:num>
  <w:num w:numId="5">
    <w:abstractNumId w:val="3"/>
  </w:num>
  <w:num w:numId="6">
    <w:abstractNumId w:val="8"/>
  </w:num>
  <w:num w:numId="7">
    <w:abstractNumId w:val="1"/>
  </w:num>
  <w:num w:numId="8">
    <w:abstractNumId w:val="0"/>
  </w:num>
  <w:num w:numId="9">
    <w:abstractNumId w:val="0"/>
    <w:lvlOverride w:ilvl="0">
      <w:startOverride w:val="1"/>
    </w:lvlOverride>
  </w:num>
  <w:num w:numId="10">
    <w:abstractNumId w:val="6"/>
  </w:num>
  <w:num w:numId="11">
    <w:abstractNumId w:val="9"/>
  </w:num>
  <w:num w:numId="12">
    <w:abstractNumId w:val="2"/>
  </w:num>
  <w:num w:numId="13">
    <w:abstractNumId w:val="11"/>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26317"/>
    <w:rsid w:val="000305EA"/>
    <w:rsid w:val="00031E3C"/>
    <w:rsid w:val="00032CB3"/>
    <w:rsid w:val="000358D3"/>
    <w:rsid w:val="00036FAE"/>
    <w:rsid w:val="00044508"/>
    <w:rsid w:val="00047668"/>
    <w:rsid w:val="00047A2A"/>
    <w:rsid w:val="0005020B"/>
    <w:rsid w:val="00057815"/>
    <w:rsid w:val="00057A1E"/>
    <w:rsid w:val="000614A1"/>
    <w:rsid w:val="00062794"/>
    <w:rsid w:val="0006484E"/>
    <w:rsid w:val="000668B0"/>
    <w:rsid w:val="00076E76"/>
    <w:rsid w:val="00083F41"/>
    <w:rsid w:val="000846B7"/>
    <w:rsid w:val="0008799A"/>
    <w:rsid w:val="00092C62"/>
    <w:rsid w:val="0009444B"/>
    <w:rsid w:val="00097329"/>
    <w:rsid w:val="000A2A28"/>
    <w:rsid w:val="000A2D3A"/>
    <w:rsid w:val="000A3124"/>
    <w:rsid w:val="000A35D6"/>
    <w:rsid w:val="000A7852"/>
    <w:rsid w:val="000B1BE1"/>
    <w:rsid w:val="000B3619"/>
    <w:rsid w:val="000B3914"/>
    <w:rsid w:val="000B6430"/>
    <w:rsid w:val="000C224C"/>
    <w:rsid w:val="000C34FD"/>
    <w:rsid w:val="000C4D6B"/>
    <w:rsid w:val="000D1472"/>
    <w:rsid w:val="000D492E"/>
    <w:rsid w:val="000D5E6D"/>
    <w:rsid w:val="000E00F0"/>
    <w:rsid w:val="000E3516"/>
    <w:rsid w:val="000E57DB"/>
    <w:rsid w:val="000E6FD6"/>
    <w:rsid w:val="000F1811"/>
    <w:rsid w:val="000F7A8C"/>
    <w:rsid w:val="0010200A"/>
    <w:rsid w:val="00103015"/>
    <w:rsid w:val="00103253"/>
    <w:rsid w:val="001042BA"/>
    <w:rsid w:val="001124A6"/>
    <w:rsid w:val="00120024"/>
    <w:rsid w:val="00120A34"/>
    <w:rsid w:val="00124260"/>
    <w:rsid w:val="00125A8E"/>
    <w:rsid w:val="00127CD8"/>
    <w:rsid w:val="001301AD"/>
    <w:rsid w:val="001334D9"/>
    <w:rsid w:val="00134B87"/>
    <w:rsid w:val="001377D9"/>
    <w:rsid w:val="00137ACD"/>
    <w:rsid w:val="00140DAD"/>
    <w:rsid w:val="00140E3D"/>
    <w:rsid w:val="001421FE"/>
    <w:rsid w:val="001437EA"/>
    <w:rsid w:val="00144950"/>
    <w:rsid w:val="00145BE1"/>
    <w:rsid w:val="00150941"/>
    <w:rsid w:val="0015276C"/>
    <w:rsid w:val="00152947"/>
    <w:rsid w:val="0015508C"/>
    <w:rsid w:val="00160153"/>
    <w:rsid w:val="00161A1F"/>
    <w:rsid w:val="00164700"/>
    <w:rsid w:val="0017006A"/>
    <w:rsid w:val="00173A64"/>
    <w:rsid w:val="00173E0C"/>
    <w:rsid w:val="0018268F"/>
    <w:rsid w:val="00185491"/>
    <w:rsid w:val="00195030"/>
    <w:rsid w:val="00195095"/>
    <w:rsid w:val="00197C3F"/>
    <w:rsid w:val="001A2FE9"/>
    <w:rsid w:val="001A4389"/>
    <w:rsid w:val="001B3C7A"/>
    <w:rsid w:val="001C5DEA"/>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3F8"/>
    <w:rsid w:val="002044A9"/>
    <w:rsid w:val="00204EEF"/>
    <w:rsid w:val="00205DBD"/>
    <w:rsid w:val="00207297"/>
    <w:rsid w:val="0021337D"/>
    <w:rsid w:val="0021529A"/>
    <w:rsid w:val="00216A1C"/>
    <w:rsid w:val="00217359"/>
    <w:rsid w:val="00223DAD"/>
    <w:rsid w:val="00223F82"/>
    <w:rsid w:val="00224C52"/>
    <w:rsid w:val="00232304"/>
    <w:rsid w:val="002378EE"/>
    <w:rsid w:val="0024052A"/>
    <w:rsid w:val="002445E3"/>
    <w:rsid w:val="00247EBF"/>
    <w:rsid w:val="0025401A"/>
    <w:rsid w:val="00261499"/>
    <w:rsid w:val="002672A4"/>
    <w:rsid w:val="002747E8"/>
    <w:rsid w:val="00274EEA"/>
    <w:rsid w:val="0027686D"/>
    <w:rsid w:val="002808A9"/>
    <w:rsid w:val="00284C9D"/>
    <w:rsid w:val="0028765F"/>
    <w:rsid w:val="00292863"/>
    <w:rsid w:val="00294430"/>
    <w:rsid w:val="00296CA7"/>
    <w:rsid w:val="00296FAF"/>
    <w:rsid w:val="00297EAB"/>
    <w:rsid w:val="002A0CA8"/>
    <w:rsid w:val="002A15F1"/>
    <w:rsid w:val="002A4961"/>
    <w:rsid w:val="002A74F4"/>
    <w:rsid w:val="002B313C"/>
    <w:rsid w:val="002B5C28"/>
    <w:rsid w:val="002C1F84"/>
    <w:rsid w:val="002C40FB"/>
    <w:rsid w:val="002D1504"/>
    <w:rsid w:val="002D564A"/>
    <w:rsid w:val="002E0F66"/>
    <w:rsid w:val="002E12E6"/>
    <w:rsid w:val="002F6E28"/>
    <w:rsid w:val="002F76C6"/>
    <w:rsid w:val="002F771B"/>
    <w:rsid w:val="00304A88"/>
    <w:rsid w:val="00304E64"/>
    <w:rsid w:val="00307358"/>
    <w:rsid w:val="0031070C"/>
    <w:rsid w:val="00311772"/>
    <w:rsid w:val="00313612"/>
    <w:rsid w:val="00316053"/>
    <w:rsid w:val="003170AC"/>
    <w:rsid w:val="00326C24"/>
    <w:rsid w:val="0033070E"/>
    <w:rsid w:val="003440C7"/>
    <w:rsid w:val="00350779"/>
    <w:rsid w:val="00353D81"/>
    <w:rsid w:val="00354743"/>
    <w:rsid w:val="00365D2C"/>
    <w:rsid w:val="00367C2D"/>
    <w:rsid w:val="0037028F"/>
    <w:rsid w:val="003719BF"/>
    <w:rsid w:val="00375010"/>
    <w:rsid w:val="0037728A"/>
    <w:rsid w:val="00377427"/>
    <w:rsid w:val="00384C6D"/>
    <w:rsid w:val="00386B68"/>
    <w:rsid w:val="00386E17"/>
    <w:rsid w:val="0038758C"/>
    <w:rsid w:val="003913F1"/>
    <w:rsid w:val="00393A61"/>
    <w:rsid w:val="00393FB3"/>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0D3F"/>
    <w:rsid w:val="003D47C4"/>
    <w:rsid w:val="003D7CE2"/>
    <w:rsid w:val="003E4413"/>
    <w:rsid w:val="003E5B26"/>
    <w:rsid w:val="003F09F7"/>
    <w:rsid w:val="003F1AA1"/>
    <w:rsid w:val="003F24BC"/>
    <w:rsid w:val="004027B3"/>
    <w:rsid w:val="00402CC7"/>
    <w:rsid w:val="00402D70"/>
    <w:rsid w:val="00403CE4"/>
    <w:rsid w:val="004075A3"/>
    <w:rsid w:val="004106D0"/>
    <w:rsid w:val="00410A3F"/>
    <w:rsid w:val="0041144F"/>
    <w:rsid w:val="004143B1"/>
    <w:rsid w:val="00414CB7"/>
    <w:rsid w:val="00415A55"/>
    <w:rsid w:val="00425A1E"/>
    <w:rsid w:val="00425FCB"/>
    <w:rsid w:val="00430F1B"/>
    <w:rsid w:val="004327E1"/>
    <w:rsid w:val="00434240"/>
    <w:rsid w:val="00434641"/>
    <w:rsid w:val="00434CDD"/>
    <w:rsid w:val="004355D0"/>
    <w:rsid w:val="004355E8"/>
    <w:rsid w:val="00436435"/>
    <w:rsid w:val="00445460"/>
    <w:rsid w:val="00446958"/>
    <w:rsid w:val="00446B03"/>
    <w:rsid w:val="0044797F"/>
    <w:rsid w:val="00455672"/>
    <w:rsid w:val="00455C2A"/>
    <w:rsid w:val="004643EA"/>
    <w:rsid w:val="00470C27"/>
    <w:rsid w:val="00472F61"/>
    <w:rsid w:val="00473419"/>
    <w:rsid w:val="00481DE1"/>
    <w:rsid w:val="0048222D"/>
    <w:rsid w:val="00483439"/>
    <w:rsid w:val="00484DBC"/>
    <w:rsid w:val="00490BA0"/>
    <w:rsid w:val="00494834"/>
    <w:rsid w:val="0049486C"/>
    <w:rsid w:val="004A2F70"/>
    <w:rsid w:val="004A385C"/>
    <w:rsid w:val="004A409F"/>
    <w:rsid w:val="004A48D9"/>
    <w:rsid w:val="004A6B2D"/>
    <w:rsid w:val="004A798D"/>
    <w:rsid w:val="004B2C3F"/>
    <w:rsid w:val="004C309C"/>
    <w:rsid w:val="004D3B63"/>
    <w:rsid w:val="004D5695"/>
    <w:rsid w:val="004D665B"/>
    <w:rsid w:val="004D7249"/>
    <w:rsid w:val="004D7B86"/>
    <w:rsid w:val="004E0085"/>
    <w:rsid w:val="004E38EA"/>
    <w:rsid w:val="004F53E6"/>
    <w:rsid w:val="004F54FF"/>
    <w:rsid w:val="004F615B"/>
    <w:rsid w:val="00503218"/>
    <w:rsid w:val="00505873"/>
    <w:rsid w:val="00506F28"/>
    <w:rsid w:val="00510BE7"/>
    <w:rsid w:val="005146EC"/>
    <w:rsid w:val="00515BBE"/>
    <w:rsid w:val="005169CB"/>
    <w:rsid w:val="00517337"/>
    <w:rsid w:val="005173FC"/>
    <w:rsid w:val="005230DD"/>
    <w:rsid w:val="00524226"/>
    <w:rsid w:val="00527330"/>
    <w:rsid w:val="00536596"/>
    <w:rsid w:val="005366FF"/>
    <w:rsid w:val="00537A32"/>
    <w:rsid w:val="005412CB"/>
    <w:rsid w:val="0054602B"/>
    <w:rsid w:val="00546375"/>
    <w:rsid w:val="00551F5B"/>
    <w:rsid w:val="005620CA"/>
    <w:rsid w:val="005707F9"/>
    <w:rsid w:val="00572401"/>
    <w:rsid w:val="005732E6"/>
    <w:rsid w:val="00574F18"/>
    <w:rsid w:val="00575805"/>
    <w:rsid w:val="00577C30"/>
    <w:rsid w:val="005812FF"/>
    <w:rsid w:val="005819C8"/>
    <w:rsid w:val="00583E54"/>
    <w:rsid w:val="0058422E"/>
    <w:rsid w:val="00584B84"/>
    <w:rsid w:val="00587D5B"/>
    <w:rsid w:val="005905A0"/>
    <w:rsid w:val="005909A7"/>
    <w:rsid w:val="00591EC0"/>
    <w:rsid w:val="00597184"/>
    <w:rsid w:val="00597535"/>
    <w:rsid w:val="00597898"/>
    <w:rsid w:val="005A535E"/>
    <w:rsid w:val="005A54B4"/>
    <w:rsid w:val="005A5C90"/>
    <w:rsid w:val="005A7050"/>
    <w:rsid w:val="005B3CBC"/>
    <w:rsid w:val="005B510A"/>
    <w:rsid w:val="005C0740"/>
    <w:rsid w:val="005C18D0"/>
    <w:rsid w:val="005D6D09"/>
    <w:rsid w:val="005E2026"/>
    <w:rsid w:val="005E4DEA"/>
    <w:rsid w:val="005F4914"/>
    <w:rsid w:val="005F5DF6"/>
    <w:rsid w:val="005F5FA1"/>
    <w:rsid w:val="005F7D42"/>
    <w:rsid w:val="0060088C"/>
    <w:rsid w:val="00604F05"/>
    <w:rsid w:val="00606074"/>
    <w:rsid w:val="00611D31"/>
    <w:rsid w:val="0061212D"/>
    <w:rsid w:val="006202A1"/>
    <w:rsid w:val="0062319E"/>
    <w:rsid w:val="00625432"/>
    <w:rsid w:val="00626E42"/>
    <w:rsid w:val="00627EDA"/>
    <w:rsid w:val="00636200"/>
    <w:rsid w:val="00645DC7"/>
    <w:rsid w:val="0064724F"/>
    <w:rsid w:val="006507CB"/>
    <w:rsid w:val="00651D68"/>
    <w:rsid w:val="00652D30"/>
    <w:rsid w:val="00656314"/>
    <w:rsid w:val="00661BE8"/>
    <w:rsid w:val="0066567A"/>
    <w:rsid w:val="00667B6F"/>
    <w:rsid w:val="00667F82"/>
    <w:rsid w:val="006700AA"/>
    <w:rsid w:val="00677A0D"/>
    <w:rsid w:val="00683087"/>
    <w:rsid w:val="00685653"/>
    <w:rsid w:val="00690EC9"/>
    <w:rsid w:val="006930D1"/>
    <w:rsid w:val="006931AD"/>
    <w:rsid w:val="006940BB"/>
    <w:rsid w:val="00696CF0"/>
    <w:rsid w:val="00697001"/>
    <w:rsid w:val="006A1788"/>
    <w:rsid w:val="006A666D"/>
    <w:rsid w:val="006B2155"/>
    <w:rsid w:val="006B2D99"/>
    <w:rsid w:val="006B6E38"/>
    <w:rsid w:val="006C0CAB"/>
    <w:rsid w:val="006C46FD"/>
    <w:rsid w:val="006D58E2"/>
    <w:rsid w:val="006D7B6B"/>
    <w:rsid w:val="006E3838"/>
    <w:rsid w:val="006E3C40"/>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FCA"/>
    <w:rsid w:val="00747943"/>
    <w:rsid w:val="00752BD5"/>
    <w:rsid w:val="00753090"/>
    <w:rsid w:val="0075573F"/>
    <w:rsid w:val="00756861"/>
    <w:rsid w:val="00756D99"/>
    <w:rsid w:val="00756F20"/>
    <w:rsid w:val="0075784F"/>
    <w:rsid w:val="00760772"/>
    <w:rsid w:val="00760DDE"/>
    <w:rsid w:val="007620AE"/>
    <w:rsid w:val="00772715"/>
    <w:rsid w:val="0077536C"/>
    <w:rsid w:val="00782538"/>
    <w:rsid w:val="007828DD"/>
    <w:rsid w:val="00783FAB"/>
    <w:rsid w:val="00785B13"/>
    <w:rsid w:val="00786EB9"/>
    <w:rsid w:val="00790D18"/>
    <w:rsid w:val="00791AAC"/>
    <w:rsid w:val="007952A9"/>
    <w:rsid w:val="00795969"/>
    <w:rsid w:val="007A3C93"/>
    <w:rsid w:val="007A6AF0"/>
    <w:rsid w:val="007B0F05"/>
    <w:rsid w:val="007B44CD"/>
    <w:rsid w:val="007B4836"/>
    <w:rsid w:val="007B6C98"/>
    <w:rsid w:val="007C5020"/>
    <w:rsid w:val="007D12B2"/>
    <w:rsid w:val="007D1F16"/>
    <w:rsid w:val="007D4E08"/>
    <w:rsid w:val="007E00A8"/>
    <w:rsid w:val="007E16D6"/>
    <w:rsid w:val="007E2197"/>
    <w:rsid w:val="007E3446"/>
    <w:rsid w:val="007E3447"/>
    <w:rsid w:val="007E36E5"/>
    <w:rsid w:val="007E6EC6"/>
    <w:rsid w:val="007F563E"/>
    <w:rsid w:val="007F63CC"/>
    <w:rsid w:val="00803447"/>
    <w:rsid w:val="008035CF"/>
    <w:rsid w:val="0080584E"/>
    <w:rsid w:val="00805FEB"/>
    <w:rsid w:val="00806F54"/>
    <w:rsid w:val="00811E34"/>
    <w:rsid w:val="00812C37"/>
    <w:rsid w:val="008134D5"/>
    <w:rsid w:val="00813A38"/>
    <w:rsid w:val="00823B66"/>
    <w:rsid w:val="00824A98"/>
    <w:rsid w:val="008310AA"/>
    <w:rsid w:val="00834114"/>
    <w:rsid w:val="00834CB4"/>
    <w:rsid w:val="00842808"/>
    <w:rsid w:val="00843F62"/>
    <w:rsid w:val="00844D23"/>
    <w:rsid w:val="008517D8"/>
    <w:rsid w:val="00855239"/>
    <w:rsid w:val="00856BC4"/>
    <w:rsid w:val="00867101"/>
    <w:rsid w:val="008755D8"/>
    <w:rsid w:val="00883B2E"/>
    <w:rsid w:val="0088497A"/>
    <w:rsid w:val="00886A34"/>
    <w:rsid w:val="008911F1"/>
    <w:rsid w:val="008914A9"/>
    <w:rsid w:val="008A1F97"/>
    <w:rsid w:val="008A6224"/>
    <w:rsid w:val="008B478B"/>
    <w:rsid w:val="008B61B7"/>
    <w:rsid w:val="008C48EF"/>
    <w:rsid w:val="008C497B"/>
    <w:rsid w:val="008C76FD"/>
    <w:rsid w:val="008D72EA"/>
    <w:rsid w:val="008D7625"/>
    <w:rsid w:val="008E30D6"/>
    <w:rsid w:val="008E30D9"/>
    <w:rsid w:val="008E68D3"/>
    <w:rsid w:val="008E773D"/>
    <w:rsid w:val="008E79DF"/>
    <w:rsid w:val="008F002D"/>
    <w:rsid w:val="008F43E8"/>
    <w:rsid w:val="00902A26"/>
    <w:rsid w:val="00903257"/>
    <w:rsid w:val="00903DAD"/>
    <w:rsid w:val="009047C3"/>
    <w:rsid w:val="009048A2"/>
    <w:rsid w:val="00905C61"/>
    <w:rsid w:val="00907D61"/>
    <w:rsid w:val="00910064"/>
    <w:rsid w:val="009114DC"/>
    <w:rsid w:val="00911D92"/>
    <w:rsid w:val="009121D3"/>
    <w:rsid w:val="009176F5"/>
    <w:rsid w:val="009308DF"/>
    <w:rsid w:val="00933AD6"/>
    <w:rsid w:val="009421AA"/>
    <w:rsid w:val="00943704"/>
    <w:rsid w:val="0094476A"/>
    <w:rsid w:val="0094774B"/>
    <w:rsid w:val="009656E2"/>
    <w:rsid w:val="00970AAB"/>
    <w:rsid w:val="009724A6"/>
    <w:rsid w:val="00974504"/>
    <w:rsid w:val="00975A4A"/>
    <w:rsid w:val="00976413"/>
    <w:rsid w:val="009767B4"/>
    <w:rsid w:val="00977D37"/>
    <w:rsid w:val="009807AE"/>
    <w:rsid w:val="00983723"/>
    <w:rsid w:val="00985733"/>
    <w:rsid w:val="00990334"/>
    <w:rsid w:val="00991158"/>
    <w:rsid w:val="0099199E"/>
    <w:rsid w:val="00995C44"/>
    <w:rsid w:val="009A04A5"/>
    <w:rsid w:val="009A35A0"/>
    <w:rsid w:val="009A7CFA"/>
    <w:rsid w:val="009B0C51"/>
    <w:rsid w:val="009B13B9"/>
    <w:rsid w:val="009B15A4"/>
    <w:rsid w:val="009B2183"/>
    <w:rsid w:val="009B29AC"/>
    <w:rsid w:val="009B4B7F"/>
    <w:rsid w:val="009C0F35"/>
    <w:rsid w:val="009C10C1"/>
    <w:rsid w:val="009C4F55"/>
    <w:rsid w:val="009C582A"/>
    <w:rsid w:val="009C5E5D"/>
    <w:rsid w:val="009D0B35"/>
    <w:rsid w:val="009D23FB"/>
    <w:rsid w:val="009D7562"/>
    <w:rsid w:val="009D78FB"/>
    <w:rsid w:val="009E0803"/>
    <w:rsid w:val="009E7C1C"/>
    <w:rsid w:val="009F13BF"/>
    <w:rsid w:val="009F1D34"/>
    <w:rsid w:val="009F4C47"/>
    <w:rsid w:val="009F528F"/>
    <w:rsid w:val="009F6AC9"/>
    <w:rsid w:val="00A105DA"/>
    <w:rsid w:val="00A20031"/>
    <w:rsid w:val="00A202D5"/>
    <w:rsid w:val="00A23CDC"/>
    <w:rsid w:val="00A24596"/>
    <w:rsid w:val="00A24B24"/>
    <w:rsid w:val="00A259C3"/>
    <w:rsid w:val="00A25E6C"/>
    <w:rsid w:val="00A40E3D"/>
    <w:rsid w:val="00A40EA6"/>
    <w:rsid w:val="00A47C4E"/>
    <w:rsid w:val="00A503D7"/>
    <w:rsid w:val="00A52753"/>
    <w:rsid w:val="00A550E8"/>
    <w:rsid w:val="00A556D1"/>
    <w:rsid w:val="00A56E8B"/>
    <w:rsid w:val="00A71133"/>
    <w:rsid w:val="00A7209C"/>
    <w:rsid w:val="00A761C7"/>
    <w:rsid w:val="00A77D42"/>
    <w:rsid w:val="00A82E17"/>
    <w:rsid w:val="00A85075"/>
    <w:rsid w:val="00A861C7"/>
    <w:rsid w:val="00A86B3D"/>
    <w:rsid w:val="00A90245"/>
    <w:rsid w:val="00A908BC"/>
    <w:rsid w:val="00A93F1F"/>
    <w:rsid w:val="00AA12F7"/>
    <w:rsid w:val="00AA3173"/>
    <w:rsid w:val="00AA3A3E"/>
    <w:rsid w:val="00AA4A5C"/>
    <w:rsid w:val="00AB19B6"/>
    <w:rsid w:val="00AB59F8"/>
    <w:rsid w:val="00AC4417"/>
    <w:rsid w:val="00AC6ABA"/>
    <w:rsid w:val="00AD1C80"/>
    <w:rsid w:val="00AD2E24"/>
    <w:rsid w:val="00AD5627"/>
    <w:rsid w:val="00AD65C9"/>
    <w:rsid w:val="00AD6639"/>
    <w:rsid w:val="00AE2E3D"/>
    <w:rsid w:val="00AE4A25"/>
    <w:rsid w:val="00AE5CCB"/>
    <w:rsid w:val="00AE7179"/>
    <w:rsid w:val="00AF1B0D"/>
    <w:rsid w:val="00AF2C50"/>
    <w:rsid w:val="00AF58D0"/>
    <w:rsid w:val="00AF6215"/>
    <w:rsid w:val="00AF6F6E"/>
    <w:rsid w:val="00B00A18"/>
    <w:rsid w:val="00B0354B"/>
    <w:rsid w:val="00B11323"/>
    <w:rsid w:val="00B13A2F"/>
    <w:rsid w:val="00B145D2"/>
    <w:rsid w:val="00B16BF4"/>
    <w:rsid w:val="00B178D3"/>
    <w:rsid w:val="00B22F73"/>
    <w:rsid w:val="00B314EC"/>
    <w:rsid w:val="00B32334"/>
    <w:rsid w:val="00B339F8"/>
    <w:rsid w:val="00B4065C"/>
    <w:rsid w:val="00B43512"/>
    <w:rsid w:val="00B52CD8"/>
    <w:rsid w:val="00B604EB"/>
    <w:rsid w:val="00B6108C"/>
    <w:rsid w:val="00B67F7B"/>
    <w:rsid w:val="00B739E2"/>
    <w:rsid w:val="00B80B1D"/>
    <w:rsid w:val="00B8151D"/>
    <w:rsid w:val="00B819AA"/>
    <w:rsid w:val="00B85008"/>
    <w:rsid w:val="00BA01B3"/>
    <w:rsid w:val="00BA3F96"/>
    <w:rsid w:val="00BA54AA"/>
    <w:rsid w:val="00BB2109"/>
    <w:rsid w:val="00BB2C6B"/>
    <w:rsid w:val="00BB38D4"/>
    <w:rsid w:val="00BB4D85"/>
    <w:rsid w:val="00BB61E4"/>
    <w:rsid w:val="00BB631E"/>
    <w:rsid w:val="00BB71A8"/>
    <w:rsid w:val="00BC4BD5"/>
    <w:rsid w:val="00BC50A3"/>
    <w:rsid w:val="00BD0923"/>
    <w:rsid w:val="00BD4087"/>
    <w:rsid w:val="00BD41D4"/>
    <w:rsid w:val="00BD465A"/>
    <w:rsid w:val="00BD47A9"/>
    <w:rsid w:val="00BD5316"/>
    <w:rsid w:val="00BD5A86"/>
    <w:rsid w:val="00BD6AC2"/>
    <w:rsid w:val="00BE214C"/>
    <w:rsid w:val="00BE68F9"/>
    <w:rsid w:val="00BF2A9B"/>
    <w:rsid w:val="00BF3DAE"/>
    <w:rsid w:val="00BF5B46"/>
    <w:rsid w:val="00C02595"/>
    <w:rsid w:val="00C04D77"/>
    <w:rsid w:val="00C118AA"/>
    <w:rsid w:val="00C12197"/>
    <w:rsid w:val="00C1330A"/>
    <w:rsid w:val="00C145EB"/>
    <w:rsid w:val="00C2416A"/>
    <w:rsid w:val="00C30E45"/>
    <w:rsid w:val="00C325A5"/>
    <w:rsid w:val="00C36A15"/>
    <w:rsid w:val="00C3701B"/>
    <w:rsid w:val="00C37043"/>
    <w:rsid w:val="00C4300F"/>
    <w:rsid w:val="00C44B5D"/>
    <w:rsid w:val="00C45661"/>
    <w:rsid w:val="00C5010C"/>
    <w:rsid w:val="00C62BC1"/>
    <w:rsid w:val="00C645C6"/>
    <w:rsid w:val="00C64879"/>
    <w:rsid w:val="00C66953"/>
    <w:rsid w:val="00C73133"/>
    <w:rsid w:val="00C731FA"/>
    <w:rsid w:val="00C7617C"/>
    <w:rsid w:val="00C82C91"/>
    <w:rsid w:val="00C846A2"/>
    <w:rsid w:val="00C90EFC"/>
    <w:rsid w:val="00C90FC4"/>
    <w:rsid w:val="00C931BF"/>
    <w:rsid w:val="00C936A8"/>
    <w:rsid w:val="00C954B7"/>
    <w:rsid w:val="00C9591A"/>
    <w:rsid w:val="00CA46AC"/>
    <w:rsid w:val="00CA4F71"/>
    <w:rsid w:val="00CB337B"/>
    <w:rsid w:val="00CB45D5"/>
    <w:rsid w:val="00CB7A83"/>
    <w:rsid w:val="00CC065E"/>
    <w:rsid w:val="00CC3AE0"/>
    <w:rsid w:val="00CC3C0B"/>
    <w:rsid w:val="00CC3CD3"/>
    <w:rsid w:val="00CC4C6D"/>
    <w:rsid w:val="00CD20EF"/>
    <w:rsid w:val="00CD20F8"/>
    <w:rsid w:val="00CD3705"/>
    <w:rsid w:val="00CD6E72"/>
    <w:rsid w:val="00CE3EA5"/>
    <w:rsid w:val="00CF1C96"/>
    <w:rsid w:val="00CF5A8C"/>
    <w:rsid w:val="00D010D3"/>
    <w:rsid w:val="00D05A8C"/>
    <w:rsid w:val="00D119DD"/>
    <w:rsid w:val="00D12ABB"/>
    <w:rsid w:val="00D13BC2"/>
    <w:rsid w:val="00D14A9D"/>
    <w:rsid w:val="00D17A67"/>
    <w:rsid w:val="00D17FC6"/>
    <w:rsid w:val="00D217D1"/>
    <w:rsid w:val="00D2517F"/>
    <w:rsid w:val="00D302C0"/>
    <w:rsid w:val="00D358F7"/>
    <w:rsid w:val="00D3758C"/>
    <w:rsid w:val="00D46134"/>
    <w:rsid w:val="00D468A9"/>
    <w:rsid w:val="00D50946"/>
    <w:rsid w:val="00D5387E"/>
    <w:rsid w:val="00D56A3B"/>
    <w:rsid w:val="00D61A73"/>
    <w:rsid w:val="00D63270"/>
    <w:rsid w:val="00D634E9"/>
    <w:rsid w:val="00D63CDD"/>
    <w:rsid w:val="00D66B65"/>
    <w:rsid w:val="00D70EAE"/>
    <w:rsid w:val="00D73415"/>
    <w:rsid w:val="00D73FBA"/>
    <w:rsid w:val="00D74B9B"/>
    <w:rsid w:val="00D773CB"/>
    <w:rsid w:val="00D77F0C"/>
    <w:rsid w:val="00D8103E"/>
    <w:rsid w:val="00D818BA"/>
    <w:rsid w:val="00D842A2"/>
    <w:rsid w:val="00D84946"/>
    <w:rsid w:val="00D93741"/>
    <w:rsid w:val="00D9600C"/>
    <w:rsid w:val="00DA552F"/>
    <w:rsid w:val="00DA6561"/>
    <w:rsid w:val="00DB0DD9"/>
    <w:rsid w:val="00DB1C9E"/>
    <w:rsid w:val="00DB2434"/>
    <w:rsid w:val="00DB461B"/>
    <w:rsid w:val="00DB4D35"/>
    <w:rsid w:val="00DB6247"/>
    <w:rsid w:val="00DC3E8C"/>
    <w:rsid w:val="00DC4B5E"/>
    <w:rsid w:val="00DC6D89"/>
    <w:rsid w:val="00DD1234"/>
    <w:rsid w:val="00DD408F"/>
    <w:rsid w:val="00DD5F43"/>
    <w:rsid w:val="00DD651A"/>
    <w:rsid w:val="00DD7496"/>
    <w:rsid w:val="00DD7B03"/>
    <w:rsid w:val="00DE02BB"/>
    <w:rsid w:val="00DE2364"/>
    <w:rsid w:val="00DE5F92"/>
    <w:rsid w:val="00DE715E"/>
    <w:rsid w:val="00DE71F6"/>
    <w:rsid w:val="00DE7C37"/>
    <w:rsid w:val="00DF13F3"/>
    <w:rsid w:val="00DF31DE"/>
    <w:rsid w:val="00DF3683"/>
    <w:rsid w:val="00DF46B2"/>
    <w:rsid w:val="00DF61B7"/>
    <w:rsid w:val="00E00708"/>
    <w:rsid w:val="00E01C32"/>
    <w:rsid w:val="00E01F85"/>
    <w:rsid w:val="00E02D6B"/>
    <w:rsid w:val="00E1257E"/>
    <w:rsid w:val="00E24E50"/>
    <w:rsid w:val="00E251EE"/>
    <w:rsid w:val="00E302D5"/>
    <w:rsid w:val="00E33927"/>
    <w:rsid w:val="00E33FED"/>
    <w:rsid w:val="00E43542"/>
    <w:rsid w:val="00E44851"/>
    <w:rsid w:val="00E5541C"/>
    <w:rsid w:val="00E55D04"/>
    <w:rsid w:val="00E60A2A"/>
    <w:rsid w:val="00E62C51"/>
    <w:rsid w:val="00E631F9"/>
    <w:rsid w:val="00E65F40"/>
    <w:rsid w:val="00E662FD"/>
    <w:rsid w:val="00E70BAA"/>
    <w:rsid w:val="00E718E8"/>
    <w:rsid w:val="00E72FD0"/>
    <w:rsid w:val="00E757D0"/>
    <w:rsid w:val="00E767BE"/>
    <w:rsid w:val="00E8671C"/>
    <w:rsid w:val="00E90298"/>
    <w:rsid w:val="00E916A2"/>
    <w:rsid w:val="00E91930"/>
    <w:rsid w:val="00E921F4"/>
    <w:rsid w:val="00E925AA"/>
    <w:rsid w:val="00E95A5C"/>
    <w:rsid w:val="00E9797A"/>
    <w:rsid w:val="00E97DE8"/>
    <w:rsid w:val="00EA6D4F"/>
    <w:rsid w:val="00EA716A"/>
    <w:rsid w:val="00EA7EA8"/>
    <w:rsid w:val="00EB566C"/>
    <w:rsid w:val="00EB7824"/>
    <w:rsid w:val="00EC0A15"/>
    <w:rsid w:val="00EE412B"/>
    <w:rsid w:val="00EF4ACB"/>
    <w:rsid w:val="00F00674"/>
    <w:rsid w:val="00F03635"/>
    <w:rsid w:val="00F0455E"/>
    <w:rsid w:val="00F0609A"/>
    <w:rsid w:val="00F10760"/>
    <w:rsid w:val="00F1230D"/>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AE"/>
    <w:rsid w:val="00F871D7"/>
    <w:rsid w:val="00F87FB6"/>
    <w:rsid w:val="00F90098"/>
    <w:rsid w:val="00F9205E"/>
    <w:rsid w:val="00F92FA5"/>
    <w:rsid w:val="00F935BD"/>
    <w:rsid w:val="00F96889"/>
    <w:rsid w:val="00FA2FEC"/>
    <w:rsid w:val="00FA6309"/>
    <w:rsid w:val="00FA6319"/>
    <w:rsid w:val="00FB14CA"/>
    <w:rsid w:val="00FB46DD"/>
    <w:rsid w:val="00FB656A"/>
    <w:rsid w:val="00FB7019"/>
    <w:rsid w:val="00FC522B"/>
    <w:rsid w:val="00FD0A30"/>
    <w:rsid w:val="00FD12A9"/>
    <w:rsid w:val="00FD1A80"/>
    <w:rsid w:val="00FD29DB"/>
    <w:rsid w:val="00FE2F0A"/>
    <w:rsid w:val="00FF2A10"/>
    <w:rsid w:val="00FF557B"/>
    <w:rsid w:val="00FF57B7"/>
    <w:rsid w:val="00FF5F61"/>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列出段落"/>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3Dotpoint">
    <w:name w:val="3. Dot point"/>
    <w:basedOn w:val="ListParagraph"/>
    <w:link w:val="3DotpointChar"/>
    <w:qFormat/>
    <w:rsid w:val="00B0354B"/>
    <w:pPr>
      <w:numPr>
        <w:numId w:val="6"/>
      </w:numPr>
      <w:tabs>
        <w:tab w:val="left" w:pos="426"/>
        <w:tab w:val="left" w:pos="1560"/>
      </w:tabs>
      <w:spacing w:after="120" w:line="240" w:lineRule="auto"/>
      <w:contextualSpacing w:val="0"/>
    </w:pPr>
    <w:rPr>
      <w:rFonts w:ascii="Arial" w:hAnsi="Arial" w:cs="Arial"/>
      <w:color w:val="000000" w:themeColor="text1"/>
      <w:sz w:val="28"/>
      <w:szCs w:val="28"/>
    </w:rPr>
  </w:style>
  <w:style w:type="character" w:customStyle="1" w:styleId="3DotpointChar">
    <w:name w:val="3. Dot point Char"/>
    <w:basedOn w:val="DefaultParagraphFont"/>
    <w:link w:val="3Dotpoint"/>
    <w:rsid w:val="00B0354B"/>
    <w:rPr>
      <w:rFonts w:ascii="Arial" w:hAnsi="Arial" w:cs="Arial"/>
      <w:color w:val="000000" w:themeColor="text1"/>
      <w:sz w:val="28"/>
      <w:szCs w:val="28"/>
    </w:rPr>
  </w:style>
  <w:style w:type="paragraph" w:customStyle="1" w:styleId="4Sub-dotpoint">
    <w:name w:val="4. Sub-dot point"/>
    <w:basedOn w:val="3Dotpoint"/>
    <w:qFormat/>
    <w:rsid w:val="00B0354B"/>
    <w:pPr>
      <w:numPr>
        <w:numId w:val="7"/>
      </w:numPr>
      <w:spacing w:after="60"/>
      <w:ind w:left="720"/>
    </w:pPr>
  </w:style>
  <w:style w:type="paragraph" w:customStyle="1" w:styleId="MBPoint">
    <w:name w:val="MB Point"/>
    <w:basedOn w:val="ListParagraph"/>
    <w:link w:val="MBPointChar"/>
    <w:qFormat/>
    <w:rsid w:val="00E02D6B"/>
    <w:pPr>
      <w:numPr>
        <w:numId w:val="8"/>
      </w:numPr>
      <w:spacing w:after="60" w:line="240" w:lineRule="auto"/>
      <w:contextualSpacing w:val="0"/>
    </w:pPr>
    <w:rPr>
      <w:rFonts w:cs="Times New Roman"/>
      <w:szCs w:val="24"/>
    </w:rPr>
  </w:style>
  <w:style w:type="character" w:customStyle="1" w:styleId="MBPointChar">
    <w:name w:val="MB Point Char"/>
    <w:basedOn w:val="DefaultParagraphFont"/>
    <w:link w:val="MBPoint"/>
    <w:rsid w:val="00E02D6B"/>
    <w:rPr>
      <w:rFonts w:cs="Times New Roman"/>
      <w:szCs w:val="24"/>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E65F40"/>
  </w:style>
  <w:style w:type="paragraph" w:styleId="BodyText">
    <w:name w:val="Body Text"/>
    <w:basedOn w:val="Normal"/>
    <w:link w:val="BodyTextChar"/>
    <w:uiPriority w:val="1"/>
    <w:semiHidden/>
    <w:unhideWhenUsed/>
    <w:qFormat/>
    <w:rsid w:val="00597184"/>
    <w:pPr>
      <w:widowControl w:val="0"/>
      <w:autoSpaceDE w:val="0"/>
      <w:autoSpaceDN w:val="0"/>
      <w:spacing w:after="0" w:line="240" w:lineRule="auto"/>
    </w:pPr>
    <w:rPr>
      <w:rFonts w:ascii="Calibri" w:eastAsia="Calibri" w:hAnsi="Calibri" w:cs="Calibri"/>
      <w:sz w:val="22"/>
      <w:lang w:val="en-US"/>
    </w:rPr>
  </w:style>
  <w:style w:type="character" w:customStyle="1" w:styleId="BodyTextChar">
    <w:name w:val="Body Text Char"/>
    <w:basedOn w:val="DefaultParagraphFont"/>
    <w:link w:val="BodyText"/>
    <w:uiPriority w:val="1"/>
    <w:semiHidden/>
    <w:rsid w:val="00597184"/>
    <w:rPr>
      <w:rFonts w:ascii="Calibri" w:eastAsia="Calibri" w:hAnsi="Calibri" w:cs="Calibri"/>
      <w:sz w:val="22"/>
      <w:lang w:val="en-US"/>
    </w:rPr>
  </w:style>
  <w:style w:type="character" w:styleId="UnresolvedMention">
    <w:name w:val="Unresolved Mention"/>
    <w:basedOn w:val="DefaultParagraphFont"/>
    <w:uiPriority w:val="99"/>
    <w:semiHidden/>
    <w:unhideWhenUsed/>
    <w:rsid w:val="004643EA"/>
    <w:rPr>
      <w:color w:val="605E5C"/>
      <w:shd w:val="clear" w:color="auto" w:fill="E1DFDD"/>
    </w:rPr>
  </w:style>
  <w:style w:type="paragraph" w:customStyle="1" w:styleId="CABNETParagraph">
    <w:name w:val="CABNET Paragraph."/>
    <w:basedOn w:val="Normal"/>
    <w:link w:val="CABNETParagraphChar"/>
    <w:uiPriority w:val="98"/>
    <w:qFormat/>
    <w:rsid w:val="00D358F7"/>
    <w:pPr>
      <w:spacing w:before="120" w:after="120" w:line="240" w:lineRule="auto"/>
    </w:pPr>
    <w:rPr>
      <w:rFonts w:ascii="Arial" w:hAnsi="Arial" w:cstheme="minorHAnsi"/>
      <w:sz w:val="22"/>
    </w:rPr>
  </w:style>
  <w:style w:type="character" w:customStyle="1" w:styleId="CABNETParagraphChar">
    <w:name w:val="CABNET Paragraph. Char"/>
    <w:basedOn w:val="DefaultParagraphFont"/>
    <w:link w:val="CABNETParagraph"/>
    <w:uiPriority w:val="98"/>
    <w:rsid w:val="00D358F7"/>
    <w:rPr>
      <w:rFonts w:ascii="Arial" w:hAnsi="Arial" w:cstheme="minorHAnsi"/>
      <w:sz w:val="22"/>
    </w:rPr>
  </w:style>
  <w:style w:type="character" w:customStyle="1" w:styleId="normaltextrun">
    <w:name w:val="normaltextrun"/>
    <w:basedOn w:val="DefaultParagraphFont"/>
    <w:rsid w:val="00D3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3153">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694619842">
      <w:bodyDiv w:val="1"/>
      <w:marLeft w:val="0"/>
      <w:marRight w:val="0"/>
      <w:marTop w:val="0"/>
      <w:marBottom w:val="0"/>
      <w:divBdr>
        <w:top w:val="none" w:sz="0" w:space="0" w:color="auto"/>
        <w:left w:val="none" w:sz="0" w:space="0" w:color="auto"/>
        <w:bottom w:val="none" w:sz="0" w:space="0" w:color="auto"/>
        <w:right w:val="none" w:sz="0" w:space="0" w:color="auto"/>
      </w:divBdr>
    </w:div>
    <w:div w:id="986056891">
      <w:bodyDiv w:val="1"/>
      <w:marLeft w:val="0"/>
      <w:marRight w:val="0"/>
      <w:marTop w:val="0"/>
      <w:marBottom w:val="0"/>
      <w:divBdr>
        <w:top w:val="none" w:sz="0" w:space="0" w:color="auto"/>
        <w:left w:val="none" w:sz="0" w:space="0" w:color="auto"/>
        <w:bottom w:val="none" w:sz="0" w:space="0" w:color="auto"/>
        <w:right w:val="none" w:sz="0" w:space="0" w:color="auto"/>
      </w:divBdr>
    </w:div>
    <w:div w:id="18755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7D350BFD8DFEC47B73CB3943F022634" ma:contentTypeVersion="" ma:contentTypeDescription="PDMS Document Site Content Type" ma:contentTypeScope="" ma:versionID="c3e89cd0f62695870ee8aff03cdb8877">
  <xsd:schema xmlns:xsd="http://www.w3.org/2001/XMLSchema" xmlns:xs="http://www.w3.org/2001/XMLSchema" xmlns:p="http://schemas.microsoft.com/office/2006/metadata/properties" xmlns:ns2="EA78BDA0-5F0F-4866-BEC1-DB9A6983DE6B" targetNamespace="http://schemas.microsoft.com/office/2006/metadata/properties" ma:root="true" ma:fieldsID="47c8f8130c2f9119b3977f67c5e89e1e" ns2:_="">
    <xsd:import namespace="EA78BDA0-5F0F-4866-BEC1-DB9A6983DE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BDA0-5F0F-4866-BEC1-DB9A6983DE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A78BDA0-5F0F-4866-BEC1-DB9A6983DE6B" xsi:nil="true"/>
  </documentManagement>
</p:properties>
</file>

<file path=customXml/itemProps1.xml><?xml version="1.0" encoding="utf-8"?>
<ds:datastoreItem xmlns:ds="http://schemas.openxmlformats.org/officeDocument/2006/customXml" ds:itemID="{03001A7F-3593-40B0-A0B8-FD878BDB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BDA0-5F0F-4866-BEC1-DB9A6983D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EA78BDA0-5F0F-4866-BEC1-DB9A6983DE6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2469</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GENTLE,Asher</cp:lastModifiedBy>
  <cp:revision>9</cp:revision>
  <cp:lastPrinted>2019-11-17T23:12:00Z</cp:lastPrinted>
  <dcterms:created xsi:type="dcterms:W3CDTF">2022-11-28T22:29:00Z</dcterms:created>
  <dcterms:modified xsi:type="dcterms:W3CDTF">2022-11-29T00:15:00Z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0x010100266966F133664895A6EE3632470D45F50077D350BFD8DFEC47B73CB3943F022634</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2022-09-27T05:44:59Z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c6bbca48-05c5-4dd4-aa89-194ebfda280c</vt:lpwstr>
  </property>
  <property fmtid="{D5CDD505-2E9C-101B-9397-08002B2CF9AE}" pid="17" name="MSIP_Label_79d889eb-932f-4752-8739-64d25806ef64_ContentBits">
    <vt:lpwstr>0</vt:lpwstr>
  </property>
</Properties>
</file>