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C8112D" w14:textId="77777777" w:rsidR="00B87517" w:rsidRPr="00E776D6" w:rsidRDefault="00B87517" w:rsidP="00B87517">
      <w:pPr>
        <w:spacing w:after="0"/>
        <w:rPr>
          <w:rFonts w:eastAsia="Times New Roman"/>
          <w:color w:val="000000"/>
        </w:rPr>
      </w:pPr>
      <w:bookmarkStart w:id="0" w:name="_Toc168113228"/>
      <w:r w:rsidRPr="00E776D6">
        <w:rPr>
          <w:rFonts w:eastAsia="Times New Roman"/>
          <w:noProof/>
          <w:color w:val="000000"/>
        </w:rPr>
        <w:drawing>
          <wp:inline distT="0" distB="0" distL="0" distR="0" wp14:anchorId="217266EC" wp14:editId="6610C4DA">
            <wp:extent cx="1419225" cy="1104900"/>
            <wp:effectExtent l="0" t="0" r="9525" b="0"/>
            <wp:docPr id="3" name="Picture 3" descr="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ommonwealth Coat of Ar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14:paraId="3047DFB6" w14:textId="08EDFFDA" w:rsidR="00B87517" w:rsidRPr="005A6A5C" w:rsidRDefault="00B87517" w:rsidP="000259D3">
      <w:pPr>
        <w:spacing w:before="480" w:after="120"/>
        <w:jc w:val="both"/>
        <w:rPr>
          <w:rFonts w:ascii="Arial" w:eastAsia="Times New Roman" w:hAnsi="Arial" w:cs="Arial"/>
          <w:b/>
          <w:bCs/>
          <w:color w:val="000000"/>
          <w:sz w:val="40"/>
          <w:szCs w:val="40"/>
          <w:lang w:eastAsia="en-US"/>
        </w:rPr>
      </w:pPr>
      <w:r w:rsidRPr="005A6A5C">
        <w:rPr>
          <w:rFonts w:ascii="Arial" w:eastAsia="Times New Roman" w:hAnsi="Arial" w:cs="Arial"/>
          <w:b/>
          <w:bCs/>
          <w:color w:val="000000"/>
          <w:sz w:val="40"/>
          <w:szCs w:val="40"/>
          <w:lang w:eastAsia="en-US"/>
        </w:rPr>
        <w:t xml:space="preserve">Banking (prudential standard) determination No. </w:t>
      </w:r>
      <w:r w:rsidR="00C51D15" w:rsidRPr="005A6A5C">
        <w:rPr>
          <w:rFonts w:ascii="Arial" w:eastAsia="Times New Roman" w:hAnsi="Arial" w:cs="Arial"/>
          <w:b/>
          <w:bCs/>
          <w:color w:val="000000"/>
          <w:sz w:val="40"/>
          <w:szCs w:val="40"/>
          <w:lang w:eastAsia="en-US"/>
        </w:rPr>
        <w:t>6</w:t>
      </w:r>
      <w:r w:rsidRPr="005A6A5C">
        <w:rPr>
          <w:rFonts w:ascii="Arial" w:eastAsia="Times New Roman" w:hAnsi="Arial" w:cs="Arial"/>
          <w:b/>
          <w:bCs/>
          <w:color w:val="000000"/>
          <w:sz w:val="40"/>
          <w:szCs w:val="40"/>
          <w:lang w:eastAsia="en-US"/>
        </w:rPr>
        <w:t xml:space="preserve"> of 20</w:t>
      </w:r>
      <w:r w:rsidR="00AF194D" w:rsidRPr="005A6A5C">
        <w:rPr>
          <w:rFonts w:ascii="Arial" w:eastAsia="Times New Roman" w:hAnsi="Arial" w:cs="Arial"/>
          <w:b/>
          <w:bCs/>
          <w:color w:val="000000"/>
          <w:sz w:val="40"/>
          <w:szCs w:val="40"/>
          <w:lang w:eastAsia="en-US"/>
        </w:rPr>
        <w:t>22</w:t>
      </w:r>
      <w:r w:rsidRPr="005A6A5C">
        <w:rPr>
          <w:rFonts w:ascii="Arial" w:eastAsia="Times New Roman" w:hAnsi="Arial" w:cs="Arial"/>
          <w:b/>
          <w:bCs/>
          <w:color w:val="000000"/>
          <w:sz w:val="40"/>
          <w:szCs w:val="40"/>
          <w:lang w:eastAsia="en-US"/>
        </w:rPr>
        <w:t xml:space="preserve"> </w:t>
      </w:r>
    </w:p>
    <w:p w14:paraId="505E2654" w14:textId="77777777" w:rsidR="00B87517" w:rsidRPr="00E776D6" w:rsidRDefault="00B87517" w:rsidP="000259D3">
      <w:pPr>
        <w:spacing w:before="360" w:after="120"/>
        <w:jc w:val="both"/>
        <w:rPr>
          <w:rFonts w:ascii="Arial" w:eastAsia="Times New Roman" w:hAnsi="Arial" w:cs="Arial"/>
          <w:b/>
          <w:bCs/>
          <w:color w:val="000000"/>
          <w:sz w:val="28"/>
          <w:szCs w:val="28"/>
          <w:lang w:eastAsia="en-US"/>
        </w:rPr>
      </w:pPr>
      <w:r w:rsidRPr="00E776D6">
        <w:rPr>
          <w:rFonts w:ascii="Arial" w:eastAsia="Times New Roman" w:hAnsi="Arial" w:cs="Arial"/>
          <w:b/>
          <w:bCs/>
          <w:color w:val="000000"/>
          <w:sz w:val="28"/>
          <w:szCs w:val="28"/>
          <w:lang w:eastAsia="en-US"/>
        </w:rPr>
        <w:t>Prudential Standard APS 112 Capital Adequacy: Standardised Approach to Credit Risk</w:t>
      </w:r>
    </w:p>
    <w:p w14:paraId="46F13CDB" w14:textId="77777777" w:rsidR="00B87517" w:rsidRPr="00E776D6" w:rsidRDefault="00B87517" w:rsidP="005A6A5C">
      <w:pPr>
        <w:pBdr>
          <w:bottom w:val="single" w:sz="4" w:space="3" w:color="auto"/>
        </w:pBdr>
        <w:spacing w:before="360"/>
        <w:rPr>
          <w:rFonts w:ascii="Arial" w:eastAsia="Times New Roman" w:hAnsi="Arial"/>
          <w:i/>
          <w:iCs/>
          <w:color w:val="000000"/>
          <w:sz w:val="28"/>
          <w:szCs w:val="20"/>
        </w:rPr>
      </w:pPr>
      <w:r w:rsidRPr="00E776D6">
        <w:rPr>
          <w:rFonts w:ascii="Arial" w:eastAsia="Times New Roman" w:hAnsi="Arial"/>
          <w:i/>
          <w:iCs/>
          <w:color w:val="000000"/>
          <w:sz w:val="28"/>
          <w:szCs w:val="20"/>
        </w:rPr>
        <w:t>Banking Act 1959</w:t>
      </w:r>
    </w:p>
    <w:p w14:paraId="2FB87D51" w14:textId="77777777" w:rsidR="00B87517" w:rsidRPr="005A6A5C" w:rsidRDefault="00B87517" w:rsidP="005A6A5C">
      <w:pPr>
        <w:spacing w:after="0"/>
        <w:ind w:left="720" w:hanging="720"/>
        <w:rPr>
          <w:rFonts w:ascii="Arial" w:eastAsia="Times New Roman" w:hAnsi="Arial" w:cs="Arial"/>
          <w:color w:val="000000"/>
          <w:sz w:val="22"/>
          <w:szCs w:val="22"/>
          <w:lang w:eastAsia="en-US"/>
        </w:rPr>
      </w:pPr>
    </w:p>
    <w:p w14:paraId="53AC6B82" w14:textId="4601ECE2" w:rsidR="00B87517" w:rsidRPr="005A6A5C" w:rsidRDefault="00B87517" w:rsidP="005A6A5C">
      <w:pPr>
        <w:spacing w:after="0"/>
        <w:jc w:val="both"/>
        <w:rPr>
          <w:rFonts w:ascii="Arial" w:eastAsia="Times New Roman" w:hAnsi="Arial" w:cs="Arial"/>
          <w:sz w:val="22"/>
          <w:szCs w:val="22"/>
          <w:lang w:eastAsia="en-US"/>
        </w:rPr>
      </w:pPr>
      <w:r w:rsidRPr="005A6A5C">
        <w:rPr>
          <w:rFonts w:ascii="Arial" w:eastAsia="Times New Roman" w:hAnsi="Arial" w:cs="Arial"/>
          <w:sz w:val="22"/>
          <w:szCs w:val="22"/>
          <w:lang w:eastAsia="en-US"/>
        </w:rPr>
        <w:t xml:space="preserve">I, </w:t>
      </w:r>
      <w:r w:rsidR="00531DD9">
        <w:rPr>
          <w:rFonts w:ascii="Arial" w:hAnsi="Arial" w:cs="Arial"/>
          <w:sz w:val="22"/>
          <w:szCs w:val="22"/>
        </w:rPr>
        <w:t>John Lonsdale</w:t>
      </w:r>
      <w:r w:rsidRPr="005A6A5C">
        <w:rPr>
          <w:rFonts w:ascii="Arial" w:eastAsia="Times New Roman" w:hAnsi="Arial" w:cs="Arial"/>
          <w:sz w:val="22"/>
          <w:szCs w:val="22"/>
          <w:lang w:eastAsia="en-US"/>
        </w:rPr>
        <w:t xml:space="preserve">, </w:t>
      </w:r>
      <w:r w:rsidR="0070405B">
        <w:rPr>
          <w:rFonts w:ascii="Arial" w:eastAsia="Times New Roman" w:hAnsi="Arial" w:cs="Arial"/>
          <w:sz w:val="22"/>
          <w:szCs w:val="22"/>
          <w:lang w:eastAsia="en-US"/>
        </w:rPr>
        <w:t xml:space="preserve">a </w:t>
      </w:r>
      <w:r w:rsidRPr="005A6A5C">
        <w:rPr>
          <w:rFonts w:ascii="Arial" w:eastAsia="Times New Roman" w:hAnsi="Arial" w:cs="Arial"/>
          <w:sz w:val="22"/>
          <w:szCs w:val="22"/>
          <w:lang w:eastAsia="en-US"/>
        </w:rPr>
        <w:t>delegate of APRA:</w:t>
      </w:r>
    </w:p>
    <w:p w14:paraId="18A54753" w14:textId="77777777" w:rsidR="00B87517" w:rsidRPr="005A6A5C" w:rsidRDefault="00B87517" w:rsidP="005A6A5C">
      <w:pPr>
        <w:spacing w:after="0"/>
        <w:jc w:val="both"/>
        <w:rPr>
          <w:rFonts w:ascii="Arial" w:eastAsia="Times New Roman" w:hAnsi="Arial" w:cs="Arial"/>
          <w:sz w:val="22"/>
          <w:szCs w:val="22"/>
          <w:lang w:eastAsia="en-US"/>
        </w:rPr>
      </w:pPr>
    </w:p>
    <w:p w14:paraId="17AE009D" w14:textId="26850CCF" w:rsidR="00B87517" w:rsidRDefault="00B87517" w:rsidP="002873A8">
      <w:pPr>
        <w:numPr>
          <w:ilvl w:val="0"/>
          <w:numId w:val="40"/>
        </w:numPr>
        <w:spacing w:after="0"/>
        <w:ind w:left="567" w:hanging="567"/>
        <w:jc w:val="both"/>
        <w:rPr>
          <w:rFonts w:ascii="Arial" w:eastAsia="Times New Roman" w:hAnsi="Arial" w:cs="Arial"/>
          <w:color w:val="000000"/>
          <w:sz w:val="22"/>
          <w:szCs w:val="22"/>
          <w:lang w:eastAsia="en-US"/>
        </w:rPr>
      </w:pPr>
      <w:r w:rsidRPr="005A6A5C">
        <w:rPr>
          <w:rFonts w:ascii="Arial" w:eastAsia="Times New Roman" w:hAnsi="Arial" w:cs="Arial"/>
          <w:color w:val="000000"/>
          <w:sz w:val="22"/>
          <w:szCs w:val="22"/>
          <w:lang w:eastAsia="en-US"/>
        </w:rPr>
        <w:t>under subsection 11</w:t>
      </w:r>
      <w:proofErr w:type="gramStart"/>
      <w:r w:rsidRPr="005A6A5C">
        <w:rPr>
          <w:rFonts w:ascii="Arial" w:eastAsia="Times New Roman" w:hAnsi="Arial" w:cs="Arial"/>
          <w:color w:val="000000"/>
          <w:sz w:val="22"/>
          <w:szCs w:val="22"/>
          <w:lang w:eastAsia="en-US"/>
        </w:rPr>
        <w:t>AF(</w:t>
      </w:r>
      <w:proofErr w:type="gramEnd"/>
      <w:r w:rsidRPr="005A6A5C">
        <w:rPr>
          <w:rFonts w:ascii="Arial" w:eastAsia="Times New Roman" w:hAnsi="Arial" w:cs="Arial"/>
          <w:color w:val="000000"/>
          <w:sz w:val="22"/>
          <w:szCs w:val="22"/>
          <w:lang w:eastAsia="en-US"/>
        </w:rPr>
        <w:t xml:space="preserve">3) of the </w:t>
      </w:r>
      <w:r w:rsidRPr="005A6A5C">
        <w:rPr>
          <w:rFonts w:ascii="Arial" w:eastAsia="Times New Roman" w:hAnsi="Arial" w:cs="Arial"/>
          <w:i/>
          <w:color w:val="000000"/>
          <w:sz w:val="22"/>
          <w:szCs w:val="22"/>
          <w:lang w:eastAsia="en-US"/>
        </w:rPr>
        <w:t>Banking Act 1959</w:t>
      </w:r>
      <w:r w:rsidRPr="005A6A5C">
        <w:rPr>
          <w:rFonts w:ascii="Arial" w:eastAsia="Times New Roman" w:hAnsi="Arial" w:cs="Arial"/>
          <w:color w:val="000000"/>
          <w:sz w:val="22"/>
          <w:szCs w:val="22"/>
          <w:lang w:eastAsia="en-US"/>
        </w:rPr>
        <w:t xml:space="preserve"> (the Act) REVOKE Banking (prudential standard) determination No. 2 of 2018, including </w:t>
      </w:r>
      <w:r w:rsidRPr="005A6A5C">
        <w:rPr>
          <w:rFonts w:ascii="Arial" w:eastAsia="Times New Roman" w:hAnsi="Arial" w:cs="Arial"/>
          <w:i/>
          <w:color w:val="000000"/>
          <w:sz w:val="22"/>
          <w:szCs w:val="22"/>
          <w:lang w:eastAsia="en-US"/>
        </w:rPr>
        <w:t>Prudential Standard APS 112 Capital Adequacy: Standardised Approach to Credit Risk</w:t>
      </w:r>
      <w:r w:rsidRPr="005A6A5C">
        <w:rPr>
          <w:rFonts w:ascii="Arial" w:eastAsia="Times New Roman" w:hAnsi="Arial" w:cs="Arial"/>
          <w:color w:val="000000"/>
          <w:sz w:val="22"/>
          <w:szCs w:val="22"/>
          <w:lang w:eastAsia="en-US"/>
        </w:rPr>
        <w:t xml:space="preserve">, made under that </w:t>
      </w:r>
      <w:r w:rsidR="005A6A5C">
        <w:rPr>
          <w:rFonts w:ascii="Arial" w:eastAsia="Times New Roman" w:hAnsi="Arial" w:cs="Arial"/>
          <w:color w:val="000000"/>
          <w:sz w:val="22"/>
          <w:szCs w:val="22"/>
          <w:lang w:eastAsia="en-US"/>
        </w:rPr>
        <w:t>d</w:t>
      </w:r>
      <w:r w:rsidRPr="005A6A5C">
        <w:rPr>
          <w:rFonts w:ascii="Arial" w:eastAsia="Times New Roman" w:hAnsi="Arial" w:cs="Arial"/>
          <w:color w:val="000000"/>
          <w:sz w:val="22"/>
          <w:szCs w:val="22"/>
          <w:lang w:eastAsia="en-US"/>
        </w:rPr>
        <w:t>etermination; and</w:t>
      </w:r>
    </w:p>
    <w:p w14:paraId="055EB953" w14:textId="77777777" w:rsidR="005A6A5C" w:rsidRPr="005A6A5C" w:rsidRDefault="005A6A5C" w:rsidP="002873A8">
      <w:pPr>
        <w:spacing w:after="0"/>
        <w:ind w:left="567" w:hanging="567"/>
        <w:jc w:val="both"/>
        <w:rPr>
          <w:rFonts w:ascii="Arial" w:eastAsia="Times New Roman" w:hAnsi="Arial" w:cs="Arial"/>
          <w:color w:val="000000"/>
          <w:sz w:val="22"/>
          <w:szCs w:val="22"/>
          <w:lang w:eastAsia="en-US"/>
        </w:rPr>
      </w:pPr>
    </w:p>
    <w:p w14:paraId="095A4920" w14:textId="74C327C9" w:rsidR="00B87517" w:rsidRPr="005A6A5C" w:rsidRDefault="00B87517" w:rsidP="002873A8">
      <w:pPr>
        <w:numPr>
          <w:ilvl w:val="0"/>
          <w:numId w:val="40"/>
        </w:numPr>
        <w:spacing w:after="0"/>
        <w:ind w:left="567" w:hanging="567"/>
        <w:jc w:val="both"/>
        <w:rPr>
          <w:rFonts w:ascii="Arial" w:eastAsia="Times New Roman" w:hAnsi="Arial" w:cs="Arial"/>
          <w:color w:val="000000"/>
          <w:sz w:val="22"/>
          <w:szCs w:val="22"/>
          <w:lang w:eastAsia="en-US"/>
        </w:rPr>
      </w:pPr>
      <w:r w:rsidRPr="005A6A5C">
        <w:rPr>
          <w:rFonts w:ascii="Arial" w:eastAsia="Times New Roman" w:hAnsi="Arial" w:cs="Arial"/>
          <w:color w:val="000000"/>
          <w:sz w:val="22"/>
          <w:szCs w:val="22"/>
          <w:lang w:eastAsia="en-US"/>
        </w:rPr>
        <w:t>under subsection 11</w:t>
      </w:r>
      <w:proofErr w:type="gramStart"/>
      <w:r w:rsidRPr="005A6A5C">
        <w:rPr>
          <w:rFonts w:ascii="Arial" w:eastAsia="Times New Roman" w:hAnsi="Arial" w:cs="Arial"/>
          <w:color w:val="000000"/>
          <w:sz w:val="22"/>
          <w:szCs w:val="22"/>
          <w:lang w:eastAsia="en-US"/>
        </w:rPr>
        <w:t>AF(</w:t>
      </w:r>
      <w:proofErr w:type="gramEnd"/>
      <w:r w:rsidRPr="005A6A5C">
        <w:rPr>
          <w:rFonts w:ascii="Arial" w:eastAsia="Times New Roman" w:hAnsi="Arial" w:cs="Arial"/>
          <w:color w:val="000000"/>
          <w:sz w:val="22"/>
          <w:szCs w:val="22"/>
          <w:lang w:eastAsia="en-US"/>
        </w:rPr>
        <w:t xml:space="preserve">1) of the Act DETERMINE </w:t>
      </w:r>
      <w:r w:rsidRPr="005A6A5C">
        <w:rPr>
          <w:rFonts w:ascii="Arial" w:eastAsia="Times New Roman" w:hAnsi="Arial" w:cs="Arial"/>
          <w:i/>
          <w:color w:val="000000"/>
          <w:sz w:val="22"/>
          <w:szCs w:val="22"/>
          <w:lang w:eastAsia="en-US"/>
        </w:rPr>
        <w:t>Prudential Standard APS 112 Capital Adequacy: Standardised Approach to Credit Risk</w:t>
      </w:r>
      <w:r w:rsidRPr="005A6A5C">
        <w:rPr>
          <w:rFonts w:ascii="Arial" w:eastAsia="Times New Roman" w:hAnsi="Arial" w:cs="Arial"/>
          <w:color w:val="000000"/>
          <w:sz w:val="22"/>
          <w:szCs w:val="22"/>
          <w:lang w:eastAsia="en-US"/>
        </w:rPr>
        <w:t xml:space="preserve">, in the form set out in the </w:t>
      </w:r>
      <w:r w:rsidR="005A6A5C">
        <w:rPr>
          <w:rFonts w:ascii="Arial" w:eastAsia="Times New Roman" w:hAnsi="Arial" w:cs="Arial"/>
          <w:color w:val="000000"/>
          <w:sz w:val="22"/>
          <w:szCs w:val="22"/>
          <w:lang w:eastAsia="en-US"/>
        </w:rPr>
        <w:t>s</w:t>
      </w:r>
      <w:r w:rsidRPr="005A6A5C">
        <w:rPr>
          <w:rFonts w:ascii="Arial" w:eastAsia="Times New Roman" w:hAnsi="Arial" w:cs="Arial"/>
          <w:color w:val="000000"/>
          <w:sz w:val="22"/>
          <w:szCs w:val="22"/>
          <w:lang w:eastAsia="en-US"/>
        </w:rPr>
        <w:t>chedule, which applies to all ADIs and authorised NOHCs to the extent provided in paragraphs 2 to 4 of the prudential standard.</w:t>
      </w:r>
    </w:p>
    <w:p w14:paraId="67B40C0B" w14:textId="77777777" w:rsidR="00B87517" w:rsidRPr="005A6A5C" w:rsidRDefault="00B87517" w:rsidP="005A6A5C">
      <w:pPr>
        <w:spacing w:after="0"/>
        <w:jc w:val="both"/>
        <w:rPr>
          <w:rFonts w:ascii="Arial" w:eastAsia="Times New Roman" w:hAnsi="Arial" w:cs="Arial"/>
          <w:sz w:val="22"/>
          <w:szCs w:val="22"/>
        </w:rPr>
      </w:pPr>
    </w:p>
    <w:p w14:paraId="013EDD6A" w14:textId="0BB09966" w:rsidR="00B87517" w:rsidRPr="005A6A5C" w:rsidRDefault="00B87517" w:rsidP="005A6A5C">
      <w:pPr>
        <w:spacing w:after="0"/>
        <w:jc w:val="both"/>
        <w:rPr>
          <w:rFonts w:ascii="Arial" w:eastAsia="Times New Roman" w:hAnsi="Arial" w:cs="Arial"/>
          <w:sz w:val="22"/>
          <w:szCs w:val="22"/>
        </w:rPr>
      </w:pPr>
      <w:r w:rsidRPr="005A6A5C">
        <w:rPr>
          <w:rFonts w:ascii="Arial" w:eastAsia="Times New Roman" w:hAnsi="Arial" w:cs="Arial"/>
          <w:sz w:val="22"/>
          <w:szCs w:val="22"/>
        </w:rPr>
        <w:t>This instrument commences on 1 January 2023.</w:t>
      </w:r>
    </w:p>
    <w:p w14:paraId="63C0CFB2" w14:textId="77777777" w:rsidR="00B87517" w:rsidRPr="005A6A5C" w:rsidRDefault="00B87517" w:rsidP="005A6A5C">
      <w:pPr>
        <w:spacing w:after="0"/>
        <w:jc w:val="both"/>
        <w:rPr>
          <w:rFonts w:ascii="Arial" w:eastAsia="Times New Roman" w:hAnsi="Arial" w:cs="Arial"/>
          <w:sz w:val="22"/>
          <w:szCs w:val="22"/>
        </w:rPr>
      </w:pPr>
    </w:p>
    <w:p w14:paraId="76ECD599" w14:textId="6288BB04" w:rsidR="00B87517" w:rsidRPr="005A6A5C" w:rsidRDefault="00B87517" w:rsidP="005A6A5C">
      <w:pPr>
        <w:spacing w:after="0"/>
        <w:jc w:val="both"/>
        <w:rPr>
          <w:rFonts w:ascii="Arial" w:eastAsia="Times New Roman" w:hAnsi="Arial" w:cs="Arial"/>
          <w:sz w:val="22"/>
          <w:szCs w:val="22"/>
        </w:rPr>
      </w:pPr>
      <w:r w:rsidRPr="005A6A5C">
        <w:rPr>
          <w:rFonts w:ascii="Arial" w:eastAsia="Times New Roman" w:hAnsi="Arial" w:cs="Arial"/>
          <w:sz w:val="22"/>
          <w:szCs w:val="22"/>
        </w:rPr>
        <w:t xml:space="preserve">Dated: </w:t>
      </w:r>
      <w:r w:rsidR="0076716B">
        <w:rPr>
          <w:rFonts w:ascii="Arial" w:eastAsia="Times New Roman" w:hAnsi="Arial" w:cs="Arial"/>
          <w:sz w:val="22"/>
          <w:szCs w:val="22"/>
        </w:rPr>
        <w:t>8</w:t>
      </w:r>
      <w:r w:rsidR="008C6EFC">
        <w:rPr>
          <w:rFonts w:ascii="Arial" w:eastAsia="Times New Roman" w:hAnsi="Arial" w:cs="Arial"/>
          <w:sz w:val="22"/>
          <w:szCs w:val="22"/>
        </w:rPr>
        <w:t xml:space="preserve"> December</w:t>
      </w:r>
      <w:r w:rsidRPr="005A6A5C">
        <w:rPr>
          <w:rFonts w:ascii="Arial" w:eastAsia="Times New Roman" w:hAnsi="Arial" w:cs="Arial"/>
          <w:sz w:val="22"/>
          <w:szCs w:val="22"/>
        </w:rPr>
        <w:t xml:space="preserve"> 2022</w:t>
      </w:r>
    </w:p>
    <w:p w14:paraId="76CB5680" w14:textId="77777777" w:rsidR="00B87517" w:rsidRPr="005A6A5C" w:rsidRDefault="00B87517" w:rsidP="005A6A5C">
      <w:pPr>
        <w:spacing w:after="0"/>
        <w:jc w:val="both"/>
        <w:rPr>
          <w:rFonts w:ascii="Arial" w:eastAsia="Times New Roman" w:hAnsi="Arial" w:cs="Arial"/>
          <w:i/>
          <w:sz w:val="22"/>
          <w:szCs w:val="22"/>
        </w:rPr>
      </w:pPr>
    </w:p>
    <w:p w14:paraId="71C25985" w14:textId="77777777" w:rsidR="00B87517" w:rsidRPr="005A6A5C" w:rsidRDefault="00B87517" w:rsidP="005A6A5C">
      <w:pPr>
        <w:spacing w:after="0"/>
        <w:jc w:val="both"/>
        <w:rPr>
          <w:rFonts w:ascii="Arial" w:eastAsia="Times New Roman" w:hAnsi="Arial" w:cs="Arial"/>
          <w:color w:val="000000"/>
          <w:sz w:val="22"/>
          <w:szCs w:val="22"/>
        </w:rPr>
      </w:pPr>
      <w:r w:rsidRPr="008C6EFC">
        <w:rPr>
          <w:rFonts w:ascii="Arial" w:eastAsia="Times New Roman" w:hAnsi="Arial" w:cs="Arial"/>
          <w:color w:val="000000"/>
          <w:sz w:val="22"/>
          <w:szCs w:val="22"/>
        </w:rPr>
        <w:t>[Signed]</w:t>
      </w:r>
    </w:p>
    <w:p w14:paraId="47F1283F" w14:textId="77777777" w:rsidR="00B87517" w:rsidRPr="005A6A5C" w:rsidRDefault="00B87517" w:rsidP="005A6A5C">
      <w:pPr>
        <w:spacing w:after="0"/>
        <w:jc w:val="both"/>
        <w:rPr>
          <w:rFonts w:ascii="Arial" w:eastAsia="Times New Roman" w:hAnsi="Arial" w:cs="Arial"/>
          <w:color w:val="000000"/>
          <w:sz w:val="22"/>
          <w:szCs w:val="22"/>
        </w:rPr>
      </w:pPr>
    </w:p>
    <w:p w14:paraId="09A1C624" w14:textId="77777777" w:rsidR="00B87517" w:rsidRPr="005A6A5C" w:rsidRDefault="00B87517" w:rsidP="005A6A5C">
      <w:pPr>
        <w:spacing w:after="0"/>
        <w:jc w:val="both"/>
        <w:rPr>
          <w:rFonts w:ascii="Arial" w:eastAsia="Times New Roman" w:hAnsi="Arial" w:cs="Arial"/>
          <w:sz w:val="22"/>
          <w:szCs w:val="22"/>
        </w:rPr>
      </w:pPr>
    </w:p>
    <w:p w14:paraId="63C9563F" w14:textId="766E9256" w:rsidR="00B87517" w:rsidRDefault="00531DD9" w:rsidP="005A6A5C">
      <w:pPr>
        <w:pStyle w:val="NormalWeb"/>
        <w:spacing w:before="0" w:beforeAutospacing="0" w:after="0" w:afterAutospacing="0"/>
        <w:rPr>
          <w:rFonts w:ascii="Arial" w:hAnsi="Arial" w:cs="Arial"/>
          <w:sz w:val="22"/>
          <w:szCs w:val="22"/>
        </w:rPr>
      </w:pPr>
      <w:bookmarkStart w:id="1" w:name="_Hlk121307337"/>
      <w:r>
        <w:rPr>
          <w:rFonts w:ascii="Arial" w:hAnsi="Arial" w:cs="Arial"/>
          <w:sz w:val="22"/>
          <w:szCs w:val="22"/>
        </w:rPr>
        <w:t>John Lonsdale</w:t>
      </w:r>
    </w:p>
    <w:p w14:paraId="0AF0EEF2" w14:textId="18861E60" w:rsidR="00531DD9" w:rsidRDefault="00531DD9" w:rsidP="005A6A5C">
      <w:pPr>
        <w:pStyle w:val="NormalWeb"/>
        <w:spacing w:before="0" w:beforeAutospacing="0" w:after="0" w:afterAutospacing="0"/>
        <w:rPr>
          <w:rFonts w:ascii="Arial" w:hAnsi="Arial" w:cs="Arial"/>
          <w:sz w:val="22"/>
          <w:szCs w:val="22"/>
        </w:rPr>
      </w:pPr>
      <w:r>
        <w:rPr>
          <w:rFonts w:ascii="Arial" w:hAnsi="Arial" w:cs="Arial"/>
          <w:sz w:val="22"/>
          <w:szCs w:val="22"/>
        </w:rPr>
        <w:t>Chair</w:t>
      </w:r>
    </w:p>
    <w:p w14:paraId="6C481885" w14:textId="3EAAB0B3" w:rsidR="00531DD9" w:rsidRPr="005A6A5C" w:rsidRDefault="00531DD9" w:rsidP="005A6A5C">
      <w:pPr>
        <w:pStyle w:val="NormalWeb"/>
        <w:spacing w:before="0" w:beforeAutospacing="0" w:after="0" w:afterAutospacing="0"/>
        <w:rPr>
          <w:rFonts w:ascii="Arial" w:hAnsi="Arial" w:cs="Arial"/>
          <w:sz w:val="22"/>
          <w:szCs w:val="22"/>
        </w:rPr>
      </w:pPr>
      <w:r>
        <w:rPr>
          <w:rFonts w:ascii="Arial" w:hAnsi="Arial" w:cs="Arial"/>
          <w:sz w:val="22"/>
          <w:szCs w:val="22"/>
        </w:rPr>
        <w:t>APRA</w:t>
      </w:r>
    </w:p>
    <w:bookmarkEnd w:id="1"/>
    <w:p w14:paraId="63ECD88E" w14:textId="77777777" w:rsidR="00B87517" w:rsidRPr="005A6A5C" w:rsidRDefault="00B87517" w:rsidP="005A6A5C">
      <w:pPr>
        <w:keepNext/>
        <w:spacing w:before="480" w:after="0"/>
        <w:rPr>
          <w:rFonts w:ascii="Arial" w:eastAsia="Times New Roman" w:hAnsi="Arial" w:cs="Arial"/>
          <w:b/>
          <w:color w:val="000000"/>
          <w:sz w:val="22"/>
          <w:szCs w:val="22"/>
          <w:lang w:eastAsia="en-US"/>
        </w:rPr>
      </w:pPr>
      <w:r w:rsidRPr="005A6A5C">
        <w:rPr>
          <w:rFonts w:ascii="Arial" w:eastAsia="Times New Roman" w:hAnsi="Arial" w:cs="Arial"/>
          <w:b/>
          <w:color w:val="000000"/>
          <w:sz w:val="22"/>
          <w:szCs w:val="22"/>
          <w:lang w:eastAsia="en-US"/>
        </w:rPr>
        <w:t>Interpretation</w:t>
      </w:r>
    </w:p>
    <w:p w14:paraId="103CBAEC" w14:textId="584594FA" w:rsidR="00B87517" w:rsidRPr="005A6A5C" w:rsidRDefault="00B87517" w:rsidP="005A6A5C">
      <w:pPr>
        <w:keepNext/>
        <w:tabs>
          <w:tab w:val="right" w:pos="794"/>
        </w:tabs>
        <w:spacing w:before="120" w:after="0"/>
        <w:ind w:left="964" w:hanging="964"/>
        <w:jc w:val="both"/>
        <w:rPr>
          <w:rFonts w:ascii="Arial" w:eastAsia="Times New Roman" w:hAnsi="Arial" w:cs="Arial"/>
          <w:color w:val="000000"/>
          <w:sz w:val="22"/>
          <w:szCs w:val="22"/>
          <w:lang w:eastAsia="en-US"/>
        </w:rPr>
      </w:pPr>
      <w:r w:rsidRPr="005A6A5C">
        <w:rPr>
          <w:rFonts w:ascii="Arial" w:eastAsia="Times New Roman" w:hAnsi="Arial" w:cs="Arial"/>
          <w:color w:val="000000"/>
          <w:sz w:val="22"/>
          <w:szCs w:val="22"/>
          <w:lang w:eastAsia="en-US"/>
        </w:rPr>
        <w:t xml:space="preserve">In this </w:t>
      </w:r>
      <w:r w:rsidR="005A6A5C">
        <w:rPr>
          <w:rFonts w:ascii="Arial" w:eastAsia="Times New Roman" w:hAnsi="Arial" w:cs="Arial"/>
          <w:color w:val="000000"/>
          <w:sz w:val="22"/>
          <w:szCs w:val="22"/>
          <w:lang w:eastAsia="en-US"/>
        </w:rPr>
        <w:t>instrument</w:t>
      </w:r>
      <w:r w:rsidRPr="005A6A5C">
        <w:rPr>
          <w:rFonts w:ascii="Arial" w:eastAsia="Times New Roman" w:hAnsi="Arial" w:cs="Arial"/>
          <w:color w:val="000000"/>
          <w:sz w:val="22"/>
          <w:szCs w:val="22"/>
          <w:lang w:eastAsia="en-US"/>
        </w:rPr>
        <w:t>:</w:t>
      </w:r>
    </w:p>
    <w:p w14:paraId="166E246C" w14:textId="77777777" w:rsidR="005A6A5C" w:rsidRPr="005A6A5C" w:rsidRDefault="005A6A5C" w:rsidP="005A6A5C">
      <w:pPr>
        <w:spacing w:before="120" w:after="0"/>
        <w:jc w:val="both"/>
        <w:rPr>
          <w:rFonts w:ascii="Arial" w:eastAsia="Times New Roman" w:hAnsi="Arial" w:cs="Arial"/>
          <w:color w:val="000000"/>
          <w:sz w:val="22"/>
          <w:szCs w:val="22"/>
          <w:lang w:eastAsia="en-US"/>
        </w:rPr>
      </w:pPr>
      <w:r w:rsidRPr="005A6A5C">
        <w:rPr>
          <w:rFonts w:ascii="Arial" w:eastAsia="Times New Roman" w:hAnsi="Arial" w:cs="Arial"/>
          <w:b/>
          <w:i/>
          <w:color w:val="000000"/>
          <w:sz w:val="22"/>
          <w:szCs w:val="22"/>
          <w:lang w:eastAsia="en-US"/>
        </w:rPr>
        <w:t>APRA</w:t>
      </w:r>
      <w:r w:rsidRPr="005A6A5C">
        <w:rPr>
          <w:rFonts w:ascii="Arial" w:eastAsia="Times New Roman" w:hAnsi="Arial" w:cs="Arial"/>
          <w:color w:val="000000"/>
          <w:sz w:val="22"/>
          <w:szCs w:val="22"/>
          <w:lang w:eastAsia="en-US"/>
        </w:rPr>
        <w:t xml:space="preserve"> means the Australian Prudential Regulation Authority.</w:t>
      </w:r>
    </w:p>
    <w:p w14:paraId="6EBE1B28" w14:textId="2FD06415" w:rsidR="00867C8F" w:rsidRDefault="00B87517" w:rsidP="005A6A5C">
      <w:pPr>
        <w:spacing w:before="120" w:after="0"/>
        <w:jc w:val="both"/>
        <w:rPr>
          <w:rFonts w:ascii="Arial" w:eastAsia="Times New Roman" w:hAnsi="Arial" w:cs="Arial"/>
          <w:color w:val="000000"/>
          <w:sz w:val="22"/>
          <w:szCs w:val="22"/>
          <w:lang w:eastAsia="en-US"/>
        </w:rPr>
      </w:pPr>
      <w:r w:rsidRPr="005A6A5C">
        <w:rPr>
          <w:rFonts w:ascii="Arial" w:eastAsia="Times New Roman" w:hAnsi="Arial" w:cs="Arial"/>
          <w:b/>
          <w:i/>
          <w:color w:val="000000"/>
          <w:sz w:val="22"/>
          <w:szCs w:val="22"/>
          <w:lang w:eastAsia="en-US"/>
        </w:rPr>
        <w:t xml:space="preserve">ADI </w:t>
      </w:r>
      <w:r w:rsidR="005E4CC5">
        <w:rPr>
          <w:rFonts w:ascii="Arial" w:eastAsia="Times New Roman" w:hAnsi="Arial" w:cs="Arial"/>
          <w:color w:val="000000"/>
          <w:sz w:val="22"/>
          <w:szCs w:val="22"/>
          <w:lang w:eastAsia="en-US"/>
        </w:rPr>
        <w:t xml:space="preserve">and </w:t>
      </w:r>
      <w:r w:rsidRPr="005A6A5C">
        <w:rPr>
          <w:rFonts w:ascii="Arial" w:eastAsia="Times New Roman" w:hAnsi="Arial" w:cs="Arial"/>
          <w:b/>
          <w:i/>
          <w:color w:val="000000"/>
          <w:sz w:val="22"/>
          <w:szCs w:val="22"/>
          <w:lang w:eastAsia="en-US"/>
        </w:rPr>
        <w:t>authorised NOHC</w:t>
      </w:r>
      <w:r w:rsidRPr="005A6A5C">
        <w:rPr>
          <w:rFonts w:ascii="Arial" w:eastAsia="Times New Roman" w:hAnsi="Arial" w:cs="Arial"/>
          <w:color w:val="000000"/>
          <w:sz w:val="22"/>
          <w:szCs w:val="22"/>
          <w:lang w:eastAsia="en-US"/>
        </w:rPr>
        <w:t xml:space="preserve"> </w:t>
      </w:r>
      <w:r w:rsidR="005E4CC5">
        <w:rPr>
          <w:rFonts w:ascii="Arial" w:eastAsia="Times New Roman" w:hAnsi="Arial" w:cs="Arial"/>
          <w:color w:val="000000"/>
          <w:sz w:val="22"/>
          <w:szCs w:val="22"/>
          <w:lang w:eastAsia="en-US"/>
        </w:rPr>
        <w:t xml:space="preserve">have their respective meanings </w:t>
      </w:r>
      <w:r w:rsidRPr="005A6A5C">
        <w:rPr>
          <w:rFonts w:ascii="Arial" w:eastAsia="Times New Roman" w:hAnsi="Arial" w:cs="Arial"/>
          <w:color w:val="000000"/>
          <w:sz w:val="22"/>
          <w:szCs w:val="22"/>
          <w:lang w:eastAsia="en-US"/>
        </w:rPr>
        <w:t>given in section 5 of the Act.</w:t>
      </w:r>
    </w:p>
    <w:p w14:paraId="689C5138" w14:textId="77777777" w:rsidR="00867C8F" w:rsidRDefault="00867C8F">
      <w:pPr>
        <w:rPr>
          <w:rFonts w:ascii="Arial" w:eastAsia="Times New Roman" w:hAnsi="Arial" w:cs="Arial"/>
          <w:color w:val="000000"/>
          <w:sz w:val="22"/>
          <w:szCs w:val="22"/>
          <w:lang w:eastAsia="en-US"/>
        </w:rPr>
      </w:pPr>
      <w:r>
        <w:rPr>
          <w:rFonts w:ascii="Arial" w:eastAsia="Times New Roman" w:hAnsi="Arial" w:cs="Arial"/>
          <w:color w:val="000000"/>
          <w:sz w:val="22"/>
          <w:szCs w:val="22"/>
          <w:lang w:eastAsia="en-US"/>
        </w:rPr>
        <w:br w:type="page"/>
      </w:r>
    </w:p>
    <w:p w14:paraId="3EB67B56" w14:textId="77777777" w:rsidR="00867C8F" w:rsidRPr="005E4CC5" w:rsidRDefault="00867C8F" w:rsidP="00867C8F">
      <w:pPr>
        <w:keepNext/>
        <w:autoSpaceDE w:val="0"/>
        <w:autoSpaceDN w:val="0"/>
        <w:rPr>
          <w:rFonts w:ascii="Arial" w:eastAsia="Times New Roman" w:hAnsi="Arial" w:cs="Arial"/>
          <w:b/>
          <w:bCs/>
          <w:color w:val="000000"/>
          <w:sz w:val="32"/>
          <w:szCs w:val="32"/>
        </w:rPr>
      </w:pPr>
      <w:r w:rsidRPr="005E4CC5">
        <w:rPr>
          <w:rFonts w:ascii="Arial" w:eastAsia="Times New Roman" w:hAnsi="Arial" w:cs="Arial"/>
          <w:b/>
          <w:bCs/>
          <w:color w:val="000000"/>
          <w:sz w:val="32"/>
          <w:szCs w:val="32"/>
        </w:rPr>
        <w:lastRenderedPageBreak/>
        <w:t xml:space="preserve">Schedule </w:t>
      </w:r>
    </w:p>
    <w:p w14:paraId="79A66B7B" w14:textId="77777777" w:rsidR="00867C8F" w:rsidRPr="005A6A5C" w:rsidRDefault="00867C8F" w:rsidP="00867C8F">
      <w:pPr>
        <w:tabs>
          <w:tab w:val="center" w:pos="4153"/>
          <w:tab w:val="right" w:pos="8306"/>
        </w:tabs>
        <w:spacing w:after="0"/>
        <w:jc w:val="both"/>
        <w:rPr>
          <w:rFonts w:ascii="Arial" w:eastAsia="Times New Roman" w:hAnsi="Arial" w:cs="Arial"/>
          <w:bCs/>
          <w:sz w:val="22"/>
          <w:szCs w:val="22"/>
        </w:rPr>
      </w:pPr>
      <w:r w:rsidRPr="005A6A5C">
        <w:rPr>
          <w:rFonts w:ascii="Arial" w:eastAsia="Times New Roman" w:hAnsi="Arial" w:cs="Arial"/>
          <w:i/>
          <w:color w:val="000000"/>
          <w:sz w:val="22"/>
          <w:szCs w:val="22"/>
        </w:rPr>
        <w:t xml:space="preserve">Prudential Standard </w:t>
      </w:r>
      <w:smartTag w:uri="urn:schemas-microsoft-com:office:smarttags" w:element="stockticker">
        <w:r w:rsidRPr="005A6A5C">
          <w:rPr>
            <w:rFonts w:ascii="Arial" w:eastAsia="Times New Roman" w:hAnsi="Arial" w:cs="Arial"/>
            <w:i/>
            <w:color w:val="000000"/>
            <w:sz w:val="22"/>
            <w:szCs w:val="22"/>
          </w:rPr>
          <w:t>APS</w:t>
        </w:r>
      </w:smartTag>
      <w:r w:rsidRPr="005A6A5C">
        <w:rPr>
          <w:rFonts w:ascii="Arial" w:eastAsia="Times New Roman" w:hAnsi="Arial" w:cs="Arial"/>
          <w:i/>
          <w:color w:val="000000"/>
          <w:sz w:val="22"/>
          <w:szCs w:val="22"/>
        </w:rPr>
        <w:t xml:space="preserve"> 112 Capital Adequacy: Standardised Approach to Credit Risk </w:t>
      </w:r>
      <w:r w:rsidRPr="005A6A5C">
        <w:rPr>
          <w:rFonts w:ascii="Arial" w:eastAsia="Times New Roman" w:hAnsi="Arial" w:cs="Arial"/>
          <w:bCs/>
          <w:sz w:val="22"/>
          <w:szCs w:val="22"/>
        </w:rPr>
        <w:t>comprises the document commencing on the following page.</w:t>
      </w:r>
    </w:p>
    <w:p w14:paraId="7EC03C25" w14:textId="77777777" w:rsidR="00E64608" w:rsidRPr="005A6A5C" w:rsidRDefault="00E64608" w:rsidP="005A6A5C">
      <w:pPr>
        <w:spacing w:before="120" w:after="0"/>
        <w:jc w:val="both"/>
        <w:rPr>
          <w:rFonts w:ascii="Arial" w:eastAsia="Times New Roman" w:hAnsi="Arial" w:cs="Arial"/>
          <w:color w:val="000000"/>
          <w:sz w:val="22"/>
          <w:szCs w:val="22"/>
          <w:lang w:eastAsia="en-US"/>
        </w:rPr>
        <w:sectPr w:rsidR="00E64608" w:rsidRPr="005A6A5C" w:rsidSect="005A6A5C">
          <w:footerReference w:type="default" r:id="rId14"/>
          <w:pgSz w:w="11906" w:h="16838" w:code="9"/>
          <w:pgMar w:top="1440" w:right="1440" w:bottom="1440" w:left="1440" w:header="709" w:footer="709" w:gutter="0"/>
          <w:cols w:space="708"/>
          <w:titlePg/>
          <w:docGrid w:linePitch="360"/>
        </w:sectPr>
      </w:pPr>
    </w:p>
    <w:bookmarkEnd w:id="0"/>
    <w:p w14:paraId="505F4459" w14:textId="5A181A1B" w:rsidR="003B52EB" w:rsidRPr="00016951" w:rsidRDefault="00506079" w:rsidP="00016951">
      <w:pPr>
        <w:spacing w:before="480" w:after="0"/>
        <w:rPr>
          <w:rFonts w:asciiTheme="majorHAnsi" w:hAnsiTheme="majorHAnsi" w:cstheme="majorHAnsi"/>
          <w:sz w:val="32"/>
          <w:szCs w:val="32"/>
        </w:rPr>
      </w:pPr>
      <w:r>
        <w:rPr>
          <w:noProof/>
        </w:rPr>
        <w:lastRenderedPageBreak/>
        <w:drawing>
          <wp:anchor distT="0" distB="0" distL="114300" distR="114300" simplePos="0" relativeHeight="251658240" behindDoc="0" locked="0" layoutInCell="1" allowOverlap="1" wp14:anchorId="2DF2D030" wp14:editId="468CB4AB">
            <wp:simplePos x="1137684" y="1222744"/>
            <wp:positionH relativeFrom="column">
              <wp:align>left</wp:align>
            </wp:positionH>
            <wp:positionV relativeFrom="paragraph">
              <wp:align>top</wp:align>
            </wp:positionV>
            <wp:extent cx="1485900" cy="1095375"/>
            <wp:effectExtent l="0" t="0" r="0" b="9525"/>
            <wp:wrapSquare wrapText="bothSides"/>
            <wp:docPr id="2" name="Picture 1" descr="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Commonwealth Coat of Arm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85900" cy="1095375"/>
                    </a:xfrm>
                    <a:prstGeom prst="rect">
                      <a:avLst/>
                    </a:prstGeom>
                    <a:noFill/>
                    <a:ln>
                      <a:noFill/>
                    </a:ln>
                  </pic:spPr>
                </pic:pic>
              </a:graphicData>
            </a:graphic>
          </wp:anchor>
        </w:drawing>
      </w:r>
      <w:r w:rsidR="00482FDE">
        <w:rPr>
          <w:rFonts w:asciiTheme="majorHAnsi" w:hAnsiTheme="majorHAnsi" w:cstheme="majorHAnsi"/>
          <w:sz w:val="32"/>
          <w:szCs w:val="32"/>
        </w:rPr>
        <w:br w:type="textWrapping" w:clear="all"/>
      </w:r>
    </w:p>
    <w:p w14:paraId="71CDD868" w14:textId="36780BAB" w:rsidR="00DA3651" w:rsidRPr="00AB1BAA" w:rsidRDefault="006A6A52" w:rsidP="00016951">
      <w:pPr>
        <w:pStyle w:val="Title"/>
        <w:spacing w:before="480"/>
      </w:pPr>
      <w:bookmarkStart w:id="2" w:name="_Toc326937696"/>
      <w:r w:rsidRPr="00DD3AF6">
        <w:t>Prudential</w:t>
      </w:r>
      <w:r w:rsidRPr="009B6212">
        <w:t xml:space="preserve"> </w:t>
      </w:r>
      <w:r w:rsidRPr="0072682C">
        <w:t>Standard</w:t>
      </w:r>
      <w:r w:rsidRPr="00E07F40">
        <w:rPr>
          <w:rStyle w:val="PSNofieldtext"/>
        </w:rPr>
        <w:t xml:space="preserve"> </w:t>
      </w:r>
      <w:r w:rsidR="00D4402E">
        <w:rPr>
          <w:rStyle w:val="PSNofieldtext"/>
        </w:rPr>
        <w:t>APS 112</w:t>
      </w:r>
    </w:p>
    <w:bookmarkEnd w:id="2"/>
    <w:p w14:paraId="00F3F1F7" w14:textId="77777777" w:rsidR="00BC2D08" w:rsidRPr="00110917" w:rsidRDefault="00D4402E" w:rsidP="001F6B8D">
      <w:pPr>
        <w:pStyle w:val="Title"/>
      </w:pPr>
      <w:r>
        <w:rPr>
          <w:rStyle w:val="PSNamefieldtext"/>
        </w:rPr>
        <w:t>Capital Adequacy: Standardised Approach to Credit Risk</w:t>
      </w:r>
    </w:p>
    <w:tbl>
      <w:tblPr>
        <w:tblStyle w:val="TableGrid"/>
        <w:tblW w:w="0" w:type="auto"/>
        <w:shd w:val="clear" w:color="auto" w:fill="DDDDDD"/>
        <w:tblLook w:val="04A0" w:firstRow="1" w:lastRow="0" w:firstColumn="1" w:lastColumn="0" w:noHBand="0" w:noVBand="1"/>
      </w:tblPr>
      <w:tblGrid>
        <w:gridCol w:w="8302"/>
      </w:tblGrid>
      <w:tr w:rsidR="0048511B" w14:paraId="554A360E" w14:textId="77777777" w:rsidTr="00DF539C">
        <w:tc>
          <w:tcPr>
            <w:tcW w:w="8528" w:type="dxa"/>
            <w:shd w:val="clear" w:color="auto" w:fill="DDDDDD"/>
          </w:tcPr>
          <w:p w14:paraId="29963EAA" w14:textId="77777777" w:rsidR="003C46D7" w:rsidRPr="00B37C03" w:rsidRDefault="003C46D7" w:rsidP="00656D42">
            <w:pPr>
              <w:pStyle w:val="BoxHeading"/>
            </w:pPr>
            <w:r w:rsidRPr="00B37C03">
              <w:t xml:space="preserve">Objectives and key requirements of this Prudential </w:t>
            </w:r>
            <w:r w:rsidRPr="00173A04">
              <w:t>Standard</w:t>
            </w:r>
          </w:p>
          <w:p w14:paraId="03EEC080" w14:textId="77777777" w:rsidR="0048511B" w:rsidRDefault="0048511B" w:rsidP="002458B8">
            <w:pPr>
              <w:jc w:val="both"/>
            </w:pPr>
            <w:r>
              <w:t xml:space="preserve">This Prudential Standard </w:t>
            </w:r>
            <w:r w:rsidR="0061535B">
              <w:t xml:space="preserve">requires an authorised deposit-taking institution to hold sufficient </w:t>
            </w:r>
            <w:r w:rsidR="003C1B90">
              <w:t>regulatory capital against its credit risk exposures.</w:t>
            </w:r>
          </w:p>
          <w:p w14:paraId="795BAB14" w14:textId="77777777" w:rsidR="003C1B90" w:rsidRDefault="003C1B90" w:rsidP="002458B8">
            <w:pPr>
              <w:jc w:val="both"/>
            </w:pPr>
            <w:r>
              <w:t>The key requirements of this Prudential Standard are that an authorised deposit-taking institution:</w:t>
            </w:r>
          </w:p>
          <w:p w14:paraId="4CBF05C7" w14:textId="77777777" w:rsidR="00173A04" w:rsidRDefault="003C1B90" w:rsidP="002458B8">
            <w:pPr>
              <w:pStyle w:val="BoxBullet"/>
              <w:jc w:val="both"/>
            </w:pPr>
            <w:r>
              <w:t xml:space="preserve">must apply risk weights to its on- and off-balance sheet exposures for capital adequacy purposes. </w:t>
            </w:r>
            <w:r w:rsidR="008B75F9">
              <w:t>Risk weights are broadly aligned with the likelihood of counterparty default; and</w:t>
            </w:r>
          </w:p>
          <w:p w14:paraId="574D8DEA" w14:textId="5653321F" w:rsidR="00173A04" w:rsidRDefault="008B75F9" w:rsidP="002458B8">
            <w:pPr>
              <w:pStyle w:val="BoxBullet"/>
              <w:jc w:val="both"/>
            </w:pPr>
            <w:r>
              <w:t>may reduce the credit risk capital requirement for its on- and off-balance sheet exposures where the exposure is covered by eligible lenders</w:t>
            </w:r>
            <w:r w:rsidR="00897958">
              <w:t>’</w:t>
            </w:r>
            <w:r>
              <w:t xml:space="preserve"> mortgage insurance, or an eligible credit risk mitigation technique.</w:t>
            </w:r>
          </w:p>
        </w:tc>
      </w:tr>
    </w:tbl>
    <w:p w14:paraId="1B088E15" w14:textId="77777777" w:rsidR="003C1B90" w:rsidRDefault="003C1B90" w:rsidP="00BC2D08">
      <w:pPr>
        <w:spacing w:after="0"/>
        <w:sectPr w:rsidR="003C1B90" w:rsidSect="00E64608">
          <w:headerReference w:type="first" r:id="rId16"/>
          <w:footerReference w:type="first" r:id="rId17"/>
          <w:pgSz w:w="11906" w:h="16838" w:code="9"/>
          <w:pgMar w:top="1440" w:right="1797" w:bottom="1440" w:left="1797" w:header="709" w:footer="709" w:gutter="0"/>
          <w:cols w:space="708"/>
          <w:titlePg/>
          <w:docGrid w:linePitch="360"/>
        </w:sectPr>
      </w:pPr>
    </w:p>
    <w:p w14:paraId="323F6AAF" w14:textId="77777777" w:rsidR="00C6788C" w:rsidRDefault="009D467A" w:rsidP="001F6B8D">
      <w:pPr>
        <w:pStyle w:val="TOCHeading"/>
      </w:pPr>
      <w:r>
        <w:lastRenderedPageBreak/>
        <w:t xml:space="preserve">Table of </w:t>
      </w:r>
      <w:r w:rsidRPr="001307EC">
        <w:t>Contents</w:t>
      </w:r>
    </w:p>
    <w:bookmarkStart w:id="3" w:name="_Toc326937698"/>
    <w:bookmarkStart w:id="4" w:name="_Toc326938615"/>
    <w:bookmarkStart w:id="5" w:name="_Toc326938830"/>
    <w:p w14:paraId="3ED9D791" w14:textId="6DF192B1" w:rsidR="004F70DB" w:rsidRDefault="001307EC">
      <w:pPr>
        <w:pStyle w:val="TOC1"/>
        <w:rPr>
          <w:rFonts w:asciiTheme="minorHAnsi" w:eastAsiaTheme="minorEastAsia" w:hAnsiTheme="minorHAnsi" w:cstheme="minorBidi"/>
          <w:sz w:val="22"/>
          <w:szCs w:val="22"/>
        </w:rPr>
      </w:pPr>
      <w:r>
        <w:fldChar w:fldCharType="begin"/>
      </w:r>
      <w:r>
        <w:instrText xml:space="preserve"> TOC \o "2-2" \h \z \u \t "Heading 1_body,1" </w:instrText>
      </w:r>
      <w:r>
        <w:fldChar w:fldCharType="separate"/>
      </w:r>
      <w:hyperlink w:anchor="_Toc87376630" w:history="1">
        <w:r w:rsidR="004F70DB" w:rsidRPr="0038701C">
          <w:rPr>
            <w:rStyle w:val="Hyperlink"/>
          </w:rPr>
          <w:t>Authority</w:t>
        </w:r>
        <w:r w:rsidR="004F70DB">
          <w:rPr>
            <w:webHidden/>
          </w:rPr>
          <w:tab/>
        </w:r>
        <w:r w:rsidR="004F70DB">
          <w:rPr>
            <w:webHidden/>
          </w:rPr>
          <w:fldChar w:fldCharType="begin"/>
        </w:r>
        <w:r w:rsidR="004F70DB">
          <w:rPr>
            <w:webHidden/>
          </w:rPr>
          <w:instrText xml:space="preserve"> PAGEREF _Toc87376630 \h </w:instrText>
        </w:r>
        <w:r w:rsidR="004F70DB">
          <w:rPr>
            <w:webHidden/>
          </w:rPr>
        </w:r>
        <w:r w:rsidR="004F70DB">
          <w:rPr>
            <w:webHidden/>
          </w:rPr>
          <w:fldChar w:fldCharType="separate"/>
        </w:r>
        <w:r w:rsidR="0007706D">
          <w:rPr>
            <w:webHidden/>
          </w:rPr>
          <w:t>3</w:t>
        </w:r>
        <w:r w:rsidR="004F70DB">
          <w:rPr>
            <w:webHidden/>
          </w:rPr>
          <w:fldChar w:fldCharType="end"/>
        </w:r>
      </w:hyperlink>
    </w:p>
    <w:p w14:paraId="462F98F6" w14:textId="51F3CA2E" w:rsidR="004F70DB" w:rsidRDefault="0091048A">
      <w:pPr>
        <w:pStyle w:val="TOC1"/>
        <w:rPr>
          <w:rFonts w:asciiTheme="minorHAnsi" w:eastAsiaTheme="minorEastAsia" w:hAnsiTheme="minorHAnsi" w:cstheme="minorBidi"/>
          <w:sz w:val="22"/>
          <w:szCs w:val="22"/>
        </w:rPr>
      </w:pPr>
      <w:hyperlink w:anchor="_Toc87376631" w:history="1">
        <w:r w:rsidR="004F70DB" w:rsidRPr="0038701C">
          <w:rPr>
            <w:rStyle w:val="Hyperlink"/>
          </w:rPr>
          <w:t>Application and commencement</w:t>
        </w:r>
        <w:r w:rsidR="004F70DB">
          <w:rPr>
            <w:webHidden/>
          </w:rPr>
          <w:tab/>
        </w:r>
        <w:r w:rsidR="004F70DB">
          <w:rPr>
            <w:webHidden/>
          </w:rPr>
          <w:fldChar w:fldCharType="begin"/>
        </w:r>
        <w:r w:rsidR="004F70DB">
          <w:rPr>
            <w:webHidden/>
          </w:rPr>
          <w:instrText xml:space="preserve"> PAGEREF _Toc87376631 \h </w:instrText>
        </w:r>
        <w:r w:rsidR="004F70DB">
          <w:rPr>
            <w:webHidden/>
          </w:rPr>
        </w:r>
        <w:r w:rsidR="004F70DB">
          <w:rPr>
            <w:webHidden/>
          </w:rPr>
          <w:fldChar w:fldCharType="separate"/>
        </w:r>
        <w:r w:rsidR="0007706D">
          <w:rPr>
            <w:webHidden/>
          </w:rPr>
          <w:t>3</w:t>
        </w:r>
        <w:r w:rsidR="004F70DB">
          <w:rPr>
            <w:webHidden/>
          </w:rPr>
          <w:fldChar w:fldCharType="end"/>
        </w:r>
      </w:hyperlink>
    </w:p>
    <w:p w14:paraId="2B0BF38E" w14:textId="6A49F02D" w:rsidR="004F70DB" w:rsidRDefault="0091048A">
      <w:pPr>
        <w:pStyle w:val="TOC1"/>
        <w:rPr>
          <w:rFonts w:asciiTheme="minorHAnsi" w:eastAsiaTheme="minorEastAsia" w:hAnsiTheme="minorHAnsi" w:cstheme="minorBidi"/>
          <w:sz w:val="22"/>
          <w:szCs w:val="22"/>
        </w:rPr>
      </w:pPr>
      <w:hyperlink w:anchor="_Toc87376632" w:history="1">
        <w:r w:rsidR="004F70DB" w:rsidRPr="0038701C">
          <w:rPr>
            <w:rStyle w:val="Hyperlink"/>
          </w:rPr>
          <w:t>Interpretation</w:t>
        </w:r>
        <w:r w:rsidR="004F70DB">
          <w:rPr>
            <w:webHidden/>
          </w:rPr>
          <w:tab/>
        </w:r>
        <w:r w:rsidR="004F70DB">
          <w:rPr>
            <w:webHidden/>
          </w:rPr>
          <w:fldChar w:fldCharType="begin"/>
        </w:r>
        <w:r w:rsidR="004F70DB">
          <w:rPr>
            <w:webHidden/>
          </w:rPr>
          <w:instrText xml:space="preserve"> PAGEREF _Toc87376632 \h </w:instrText>
        </w:r>
        <w:r w:rsidR="004F70DB">
          <w:rPr>
            <w:webHidden/>
          </w:rPr>
        </w:r>
        <w:r w:rsidR="004F70DB">
          <w:rPr>
            <w:webHidden/>
          </w:rPr>
          <w:fldChar w:fldCharType="separate"/>
        </w:r>
        <w:r w:rsidR="0007706D">
          <w:rPr>
            <w:webHidden/>
          </w:rPr>
          <w:t>3</w:t>
        </w:r>
        <w:r w:rsidR="004F70DB">
          <w:rPr>
            <w:webHidden/>
          </w:rPr>
          <w:fldChar w:fldCharType="end"/>
        </w:r>
      </w:hyperlink>
    </w:p>
    <w:p w14:paraId="048B4E6E" w14:textId="78359A9C" w:rsidR="004F70DB" w:rsidRDefault="0091048A">
      <w:pPr>
        <w:pStyle w:val="TOC1"/>
        <w:rPr>
          <w:rFonts w:asciiTheme="minorHAnsi" w:eastAsiaTheme="minorEastAsia" w:hAnsiTheme="minorHAnsi" w:cstheme="minorBidi"/>
          <w:sz w:val="22"/>
          <w:szCs w:val="22"/>
        </w:rPr>
      </w:pPr>
      <w:hyperlink w:anchor="_Toc87376633" w:history="1">
        <w:r w:rsidR="004F70DB" w:rsidRPr="0038701C">
          <w:rPr>
            <w:rStyle w:val="Hyperlink"/>
          </w:rPr>
          <w:t>Adjustments and exclusions</w:t>
        </w:r>
        <w:r w:rsidR="004F70DB">
          <w:rPr>
            <w:webHidden/>
          </w:rPr>
          <w:tab/>
        </w:r>
        <w:r w:rsidR="004F70DB">
          <w:rPr>
            <w:webHidden/>
          </w:rPr>
          <w:fldChar w:fldCharType="begin"/>
        </w:r>
        <w:r w:rsidR="004F70DB">
          <w:rPr>
            <w:webHidden/>
          </w:rPr>
          <w:instrText xml:space="preserve"> PAGEREF _Toc87376633 \h </w:instrText>
        </w:r>
        <w:r w:rsidR="004F70DB">
          <w:rPr>
            <w:webHidden/>
          </w:rPr>
        </w:r>
        <w:r w:rsidR="004F70DB">
          <w:rPr>
            <w:webHidden/>
          </w:rPr>
          <w:fldChar w:fldCharType="separate"/>
        </w:r>
        <w:r w:rsidR="0007706D">
          <w:rPr>
            <w:webHidden/>
          </w:rPr>
          <w:t>3</w:t>
        </w:r>
        <w:r w:rsidR="004F70DB">
          <w:rPr>
            <w:webHidden/>
          </w:rPr>
          <w:fldChar w:fldCharType="end"/>
        </w:r>
      </w:hyperlink>
    </w:p>
    <w:p w14:paraId="6F4C7C25" w14:textId="36BB2093" w:rsidR="004F70DB" w:rsidRDefault="0091048A">
      <w:pPr>
        <w:pStyle w:val="TOC1"/>
        <w:rPr>
          <w:rFonts w:asciiTheme="minorHAnsi" w:eastAsiaTheme="minorEastAsia" w:hAnsiTheme="minorHAnsi" w:cstheme="minorBidi"/>
          <w:sz w:val="22"/>
          <w:szCs w:val="22"/>
        </w:rPr>
      </w:pPr>
      <w:hyperlink w:anchor="_Toc87376634" w:history="1">
        <w:r w:rsidR="004F70DB" w:rsidRPr="0038701C">
          <w:rPr>
            <w:rStyle w:val="Hyperlink"/>
          </w:rPr>
          <w:t>Previous exercise of discretion</w:t>
        </w:r>
        <w:r w:rsidR="004F70DB">
          <w:rPr>
            <w:webHidden/>
          </w:rPr>
          <w:tab/>
        </w:r>
        <w:r w:rsidR="004F70DB">
          <w:rPr>
            <w:webHidden/>
          </w:rPr>
          <w:fldChar w:fldCharType="begin"/>
        </w:r>
        <w:r w:rsidR="004F70DB">
          <w:rPr>
            <w:webHidden/>
          </w:rPr>
          <w:instrText xml:space="preserve"> PAGEREF _Toc87376634 \h </w:instrText>
        </w:r>
        <w:r w:rsidR="004F70DB">
          <w:rPr>
            <w:webHidden/>
          </w:rPr>
        </w:r>
        <w:r w:rsidR="004F70DB">
          <w:rPr>
            <w:webHidden/>
          </w:rPr>
          <w:fldChar w:fldCharType="separate"/>
        </w:r>
        <w:r w:rsidR="0007706D">
          <w:rPr>
            <w:webHidden/>
          </w:rPr>
          <w:t>4</w:t>
        </w:r>
        <w:r w:rsidR="004F70DB">
          <w:rPr>
            <w:webHidden/>
          </w:rPr>
          <w:fldChar w:fldCharType="end"/>
        </w:r>
      </w:hyperlink>
    </w:p>
    <w:p w14:paraId="64437B65" w14:textId="24E78B5C" w:rsidR="004F70DB" w:rsidRDefault="0091048A">
      <w:pPr>
        <w:pStyle w:val="TOC1"/>
        <w:rPr>
          <w:rFonts w:asciiTheme="minorHAnsi" w:eastAsiaTheme="minorEastAsia" w:hAnsiTheme="minorHAnsi" w:cstheme="minorBidi"/>
          <w:sz w:val="22"/>
          <w:szCs w:val="22"/>
        </w:rPr>
      </w:pPr>
      <w:hyperlink w:anchor="_Toc87376635" w:history="1">
        <w:r w:rsidR="004F70DB" w:rsidRPr="0038701C">
          <w:rPr>
            <w:rStyle w:val="Hyperlink"/>
          </w:rPr>
          <w:t>Scope</w:t>
        </w:r>
        <w:r w:rsidR="004F70DB">
          <w:rPr>
            <w:webHidden/>
          </w:rPr>
          <w:tab/>
        </w:r>
        <w:r w:rsidR="004F70DB">
          <w:rPr>
            <w:webHidden/>
          </w:rPr>
          <w:fldChar w:fldCharType="begin"/>
        </w:r>
        <w:r w:rsidR="004F70DB">
          <w:rPr>
            <w:webHidden/>
          </w:rPr>
          <w:instrText xml:space="preserve"> PAGEREF _Toc87376635 \h </w:instrText>
        </w:r>
        <w:r w:rsidR="004F70DB">
          <w:rPr>
            <w:webHidden/>
          </w:rPr>
        </w:r>
        <w:r w:rsidR="004F70DB">
          <w:rPr>
            <w:webHidden/>
          </w:rPr>
          <w:fldChar w:fldCharType="separate"/>
        </w:r>
        <w:r w:rsidR="0007706D">
          <w:rPr>
            <w:webHidden/>
          </w:rPr>
          <w:t>4</w:t>
        </w:r>
        <w:r w:rsidR="004F70DB">
          <w:rPr>
            <w:webHidden/>
          </w:rPr>
          <w:fldChar w:fldCharType="end"/>
        </w:r>
      </w:hyperlink>
    </w:p>
    <w:p w14:paraId="0BE1B786" w14:textId="0578B783" w:rsidR="004F70DB" w:rsidRDefault="0091048A">
      <w:pPr>
        <w:pStyle w:val="TOC1"/>
        <w:rPr>
          <w:rFonts w:asciiTheme="minorHAnsi" w:eastAsiaTheme="minorEastAsia" w:hAnsiTheme="minorHAnsi" w:cstheme="minorBidi"/>
          <w:sz w:val="22"/>
          <w:szCs w:val="22"/>
        </w:rPr>
      </w:pPr>
      <w:hyperlink w:anchor="_Toc87376636" w:history="1">
        <w:r w:rsidR="004F70DB" w:rsidRPr="0038701C">
          <w:rPr>
            <w:rStyle w:val="Hyperlink"/>
          </w:rPr>
          <w:t>Definitions</w:t>
        </w:r>
        <w:r w:rsidR="004F70DB">
          <w:rPr>
            <w:webHidden/>
          </w:rPr>
          <w:tab/>
        </w:r>
        <w:r w:rsidR="004F70DB">
          <w:rPr>
            <w:webHidden/>
          </w:rPr>
          <w:fldChar w:fldCharType="begin"/>
        </w:r>
        <w:r w:rsidR="004F70DB">
          <w:rPr>
            <w:webHidden/>
          </w:rPr>
          <w:instrText xml:space="preserve"> PAGEREF _Toc87376636 \h </w:instrText>
        </w:r>
        <w:r w:rsidR="004F70DB">
          <w:rPr>
            <w:webHidden/>
          </w:rPr>
        </w:r>
        <w:r w:rsidR="004F70DB">
          <w:rPr>
            <w:webHidden/>
          </w:rPr>
          <w:fldChar w:fldCharType="separate"/>
        </w:r>
        <w:r w:rsidR="0007706D">
          <w:rPr>
            <w:webHidden/>
          </w:rPr>
          <w:t>4</w:t>
        </w:r>
        <w:r w:rsidR="004F70DB">
          <w:rPr>
            <w:webHidden/>
          </w:rPr>
          <w:fldChar w:fldCharType="end"/>
        </w:r>
      </w:hyperlink>
    </w:p>
    <w:p w14:paraId="6D4A3D62" w14:textId="35381A65" w:rsidR="004F70DB" w:rsidRDefault="0091048A">
      <w:pPr>
        <w:pStyle w:val="TOC1"/>
        <w:rPr>
          <w:rFonts w:asciiTheme="minorHAnsi" w:eastAsiaTheme="minorEastAsia" w:hAnsiTheme="minorHAnsi" w:cstheme="minorBidi"/>
          <w:sz w:val="22"/>
          <w:szCs w:val="22"/>
        </w:rPr>
      </w:pPr>
      <w:hyperlink w:anchor="_Toc87376637" w:history="1">
        <w:r w:rsidR="004F70DB" w:rsidRPr="0038701C">
          <w:rPr>
            <w:rStyle w:val="Hyperlink"/>
          </w:rPr>
          <w:t>Key principles</w:t>
        </w:r>
        <w:r w:rsidR="004F70DB">
          <w:rPr>
            <w:webHidden/>
          </w:rPr>
          <w:tab/>
        </w:r>
        <w:r w:rsidR="004F70DB">
          <w:rPr>
            <w:webHidden/>
          </w:rPr>
          <w:fldChar w:fldCharType="begin"/>
        </w:r>
        <w:r w:rsidR="004F70DB">
          <w:rPr>
            <w:webHidden/>
          </w:rPr>
          <w:instrText xml:space="preserve"> PAGEREF _Toc87376637 \h </w:instrText>
        </w:r>
        <w:r w:rsidR="004F70DB">
          <w:rPr>
            <w:webHidden/>
          </w:rPr>
        </w:r>
        <w:r w:rsidR="004F70DB">
          <w:rPr>
            <w:webHidden/>
          </w:rPr>
          <w:fldChar w:fldCharType="separate"/>
        </w:r>
        <w:r w:rsidR="0007706D">
          <w:rPr>
            <w:webHidden/>
          </w:rPr>
          <w:t>7</w:t>
        </w:r>
        <w:r w:rsidR="004F70DB">
          <w:rPr>
            <w:webHidden/>
          </w:rPr>
          <w:fldChar w:fldCharType="end"/>
        </w:r>
      </w:hyperlink>
    </w:p>
    <w:p w14:paraId="5421D129" w14:textId="328B4745" w:rsidR="004F70DB" w:rsidRDefault="0091048A">
      <w:pPr>
        <w:pStyle w:val="TOC1"/>
        <w:rPr>
          <w:rFonts w:asciiTheme="minorHAnsi" w:eastAsiaTheme="minorEastAsia" w:hAnsiTheme="minorHAnsi" w:cstheme="minorBidi"/>
          <w:sz w:val="22"/>
          <w:szCs w:val="22"/>
        </w:rPr>
      </w:pPr>
      <w:hyperlink w:anchor="_Toc87376638" w:history="1">
        <w:r w:rsidR="004F70DB" w:rsidRPr="0038701C">
          <w:rPr>
            <w:rStyle w:val="Hyperlink"/>
          </w:rPr>
          <w:t>Risk-weighting approach</w:t>
        </w:r>
        <w:r w:rsidR="004F70DB">
          <w:rPr>
            <w:webHidden/>
          </w:rPr>
          <w:tab/>
        </w:r>
        <w:r w:rsidR="004F70DB">
          <w:rPr>
            <w:webHidden/>
          </w:rPr>
          <w:fldChar w:fldCharType="begin"/>
        </w:r>
        <w:r w:rsidR="004F70DB">
          <w:rPr>
            <w:webHidden/>
          </w:rPr>
          <w:instrText xml:space="preserve"> PAGEREF _Toc87376638 \h </w:instrText>
        </w:r>
        <w:r w:rsidR="004F70DB">
          <w:rPr>
            <w:webHidden/>
          </w:rPr>
        </w:r>
        <w:r w:rsidR="004F70DB">
          <w:rPr>
            <w:webHidden/>
          </w:rPr>
          <w:fldChar w:fldCharType="separate"/>
        </w:r>
        <w:r w:rsidR="0007706D">
          <w:rPr>
            <w:webHidden/>
          </w:rPr>
          <w:t>7</w:t>
        </w:r>
        <w:r w:rsidR="004F70DB">
          <w:rPr>
            <w:webHidden/>
          </w:rPr>
          <w:fldChar w:fldCharType="end"/>
        </w:r>
      </w:hyperlink>
    </w:p>
    <w:p w14:paraId="3061F5C6" w14:textId="5B7CB340" w:rsidR="004F70DB" w:rsidRDefault="0091048A">
      <w:pPr>
        <w:pStyle w:val="TOC1"/>
        <w:rPr>
          <w:rFonts w:asciiTheme="minorHAnsi" w:eastAsiaTheme="minorEastAsia" w:hAnsiTheme="minorHAnsi" w:cstheme="minorBidi"/>
          <w:sz w:val="22"/>
          <w:szCs w:val="22"/>
        </w:rPr>
      </w:pPr>
      <w:hyperlink w:anchor="_Toc87376639" w:history="1">
        <w:r w:rsidR="004F70DB" w:rsidRPr="0038701C">
          <w:rPr>
            <w:rStyle w:val="Hyperlink"/>
          </w:rPr>
          <w:t>Credit risk mitigation</w:t>
        </w:r>
        <w:r w:rsidR="004F70DB">
          <w:rPr>
            <w:webHidden/>
          </w:rPr>
          <w:tab/>
        </w:r>
        <w:r w:rsidR="004F70DB">
          <w:rPr>
            <w:webHidden/>
          </w:rPr>
          <w:fldChar w:fldCharType="begin"/>
        </w:r>
        <w:r w:rsidR="004F70DB">
          <w:rPr>
            <w:webHidden/>
          </w:rPr>
          <w:instrText xml:space="preserve"> PAGEREF _Toc87376639 \h </w:instrText>
        </w:r>
        <w:r w:rsidR="004F70DB">
          <w:rPr>
            <w:webHidden/>
          </w:rPr>
        </w:r>
        <w:r w:rsidR="004F70DB">
          <w:rPr>
            <w:webHidden/>
          </w:rPr>
          <w:fldChar w:fldCharType="separate"/>
        </w:r>
        <w:r w:rsidR="0007706D">
          <w:rPr>
            <w:webHidden/>
          </w:rPr>
          <w:t>8</w:t>
        </w:r>
        <w:r w:rsidR="004F70DB">
          <w:rPr>
            <w:webHidden/>
          </w:rPr>
          <w:fldChar w:fldCharType="end"/>
        </w:r>
      </w:hyperlink>
    </w:p>
    <w:p w14:paraId="391E8BA4" w14:textId="3B9C3E8B" w:rsidR="004F70DB" w:rsidRDefault="0091048A">
      <w:pPr>
        <w:pStyle w:val="TOC2"/>
        <w:rPr>
          <w:rFonts w:asciiTheme="minorHAnsi" w:eastAsiaTheme="minorEastAsia" w:hAnsiTheme="minorHAnsi" w:cstheme="minorBidi"/>
          <w:sz w:val="22"/>
          <w:szCs w:val="22"/>
        </w:rPr>
      </w:pPr>
      <w:hyperlink w:anchor="_Toc87376640" w:history="1">
        <w:r w:rsidR="004F70DB" w:rsidRPr="0038701C">
          <w:rPr>
            <w:rStyle w:val="Hyperlink"/>
          </w:rPr>
          <w:t>Attachment A – Risk weights for property exposures</w:t>
        </w:r>
        <w:r w:rsidR="004F70DB">
          <w:rPr>
            <w:webHidden/>
          </w:rPr>
          <w:tab/>
        </w:r>
        <w:r w:rsidR="004F70DB">
          <w:rPr>
            <w:webHidden/>
          </w:rPr>
          <w:fldChar w:fldCharType="begin"/>
        </w:r>
        <w:r w:rsidR="004F70DB">
          <w:rPr>
            <w:webHidden/>
          </w:rPr>
          <w:instrText xml:space="preserve"> PAGEREF _Toc87376640 \h </w:instrText>
        </w:r>
        <w:r w:rsidR="004F70DB">
          <w:rPr>
            <w:webHidden/>
          </w:rPr>
        </w:r>
        <w:r w:rsidR="004F70DB">
          <w:rPr>
            <w:webHidden/>
          </w:rPr>
          <w:fldChar w:fldCharType="separate"/>
        </w:r>
        <w:r w:rsidR="0007706D">
          <w:rPr>
            <w:webHidden/>
          </w:rPr>
          <w:t>9</w:t>
        </w:r>
        <w:r w:rsidR="004F70DB">
          <w:rPr>
            <w:webHidden/>
          </w:rPr>
          <w:fldChar w:fldCharType="end"/>
        </w:r>
      </w:hyperlink>
    </w:p>
    <w:p w14:paraId="63DFDCD5" w14:textId="5CB6FA47" w:rsidR="004F70DB" w:rsidRDefault="0091048A">
      <w:pPr>
        <w:pStyle w:val="TOC2"/>
        <w:rPr>
          <w:rFonts w:asciiTheme="minorHAnsi" w:eastAsiaTheme="minorEastAsia" w:hAnsiTheme="minorHAnsi" w:cstheme="minorBidi"/>
          <w:sz w:val="22"/>
          <w:szCs w:val="22"/>
        </w:rPr>
      </w:pPr>
      <w:hyperlink w:anchor="_Toc87376641" w:history="1">
        <w:r w:rsidR="004F70DB" w:rsidRPr="0038701C">
          <w:rPr>
            <w:rStyle w:val="Hyperlink"/>
          </w:rPr>
          <w:t>Attachment B – Risk weights for non-property exposures</w:t>
        </w:r>
        <w:r w:rsidR="004F70DB">
          <w:rPr>
            <w:webHidden/>
          </w:rPr>
          <w:tab/>
        </w:r>
        <w:r w:rsidR="004F70DB">
          <w:rPr>
            <w:webHidden/>
          </w:rPr>
          <w:fldChar w:fldCharType="begin"/>
        </w:r>
        <w:r w:rsidR="004F70DB">
          <w:rPr>
            <w:webHidden/>
          </w:rPr>
          <w:instrText xml:space="preserve"> PAGEREF _Toc87376641 \h </w:instrText>
        </w:r>
        <w:r w:rsidR="004F70DB">
          <w:rPr>
            <w:webHidden/>
          </w:rPr>
        </w:r>
        <w:r w:rsidR="004F70DB">
          <w:rPr>
            <w:webHidden/>
          </w:rPr>
          <w:fldChar w:fldCharType="separate"/>
        </w:r>
        <w:r w:rsidR="0007706D">
          <w:rPr>
            <w:webHidden/>
          </w:rPr>
          <w:t>17</w:t>
        </w:r>
        <w:r w:rsidR="004F70DB">
          <w:rPr>
            <w:webHidden/>
          </w:rPr>
          <w:fldChar w:fldCharType="end"/>
        </w:r>
      </w:hyperlink>
    </w:p>
    <w:p w14:paraId="1E27B172" w14:textId="5B829CF7" w:rsidR="004F70DB" w:rsidRDefault="0091048A">
      <w:pPr>
        <w:pStyle w:val="TOC2"/>
        <w:rPr>
          <w:rFonts w:asciiTheme="minorHAnsi" w:eastAsiaTheme="minorEastAsia" w:hAnsiTheme="minorHAnsi" w:cstheme="minorBidi"/>
          <w:sz w:val="22"/>
          <w:szCs w:val="22"/>
        </w:rPr>
      </w:pPr>
      <w:hyperlink w:anchor="_Toc87376642" w:history="1">
        <w:r w:rsidR="004F70DB" w:rsidRPr="0038701C">
          <w:rPr>
            <w:rStyle w:val="Hyperlink"/>
          </w:rPr>
          <w:t>Attachment C – Off-balance sheet commitments</w:t>
        </w:r>
        <w:r w:rsidR="004F70DB">
          <w:rPr>
            <w:webHidden/>
          </w:rPr>
          <w:tab/>
        </w:r>
        <w:r w:rsidR="004F70DB">
          <w:rPr>
            <w:webHidden/>
          </w:rPr>
          <w:fldChar w:fldCharType="begin"/>
        </w:r>
        <w:r w:rsidR="004F70DB">
          <w:rPr>
            <w:webHidden/>
          </w:rPr>
          <w:instrText xml:space="preserve"> PAGEREF _Toc87376642 \h </w:instrText>
        </w:r>
        <w:r w:rsidR="004F70DB">
          <w:rPr>
            <w:webHidden/>
          </w:rPr>
        </w:r>
        <w:r w:rsidR="004F70DB">
          <w:rPr>
            <w:webHidden/>
          </w:rPr>
          <w:fldChar w:fldCharType="separate"/>
        </w:r>
        <w:r w:rsidR="0007706D">
          <w:rPr>
            <w:webHidden/>
          </w:rPr>
          <w:t>27</w:t>
        </w:r>
        <w:r w:rsidR="004F70DB">
          <w:rPr>
            <w:webHidden/>
          </w:rPr>
          <w:fldChar w:fldCharType="end"/>
        </w:r>
      </w:hyperlink>
    </w:p>
    <w:p w14:paraId="73CF22A0" w14:textId="0F9DE281" w:rsidR="004F70DB" w:rsidRDefault="0091048A">
      <w:pPr>
        <w:pStyle w:val="TOC2"/>
        <w:rPr>
          <w:rFonts w:asciiTheme="minorHAnsi" w:eastAsiaTheme="minorEastAsia" w:hAnsiTheme="minorHAnsi" w:cstheme="minorBidi"/>
          <w:sz w:val="22"/>
          <w:szCs w:val="22"/>
        </w:rPr>
      </w:pPr>
      <w:hyperlink w:anchor="_Toc87376643" w:history="1">
        <w:r w:rsidR="004F70DB" w:rsidRPr="0038701C">
          <w:rPr>
            <w:rStyle w:val="Hyperlink"/>
          </w:rPr>
          <w:t>Attachment D – Unsettled and failed transactions</w:t>
        </w:r>
        <w:r w:rsidR="004F70DB">
          <w:rPr>
            <w:webHidden/>
          </w:rPr>
          <w:tab/>
        </w:r>
        <w:r w:rsidR="004F70DB">
          <w:rPr>
            <w:webHidden/>
          </w:rPr>
          <w:fldChar w:fldCharType="begin"/>
        </w:r>
        <w:r w:rsidR="004F70DB">
          <w:rPr>
            <w:webHidden/>
          </w:rPr>
          <w:instrText xml:space="preserve"> PAGEREF _Toc87376643 \h </w:instrText>
        </w:r>
        <w:r w:rsidR="004F70DB">
          <w:rPr>
            <w:webHidden/>
          </w:rPr>
        </w:r>
        <w:r w:rsidR="004F70DB">
          <w:rPr>
            <w:webHidden/>
          </w:rPr>
          <w:fldChar w:fldCharType="separate"/>
        </w:r>
        <w:r w:rsidR="0007706D">
          <w:rPr>
            <w:webHidden/>
          </w:rPr>
          <w:t>29</w:t>
        </w:r>
        <w:r w:rsidR="004F70DB">
          <w:rPr>
            <w:webHidden/>
          </w:rPr>
          <w:fldChar w:fldCharType="end"/>
        </w:r>
      </w:hyperlink>
    </w:p>
    <w:p w14:paraId="6C704783" w14:textId="29DF5CB5" w:rsidR="004F70DB" w:rsidRDefault="0091048A">
      <w:pPr>
        <w:pStyle w:val="TOC2"/>
        <w:rPr>
          <w:rFonts w:asciiTheme="minorHAnsi" w:eastAsiaTheme="minorEastAsia" w:hAnsiTheme="minorHAnsi" w:cstheme="minorBidi"/>
          <w:sz w:val="22"/>
          <w:szCs w:val="22"/>
        </w:rPr>
      </w:pPr>
      <w:hyperlink w:anchor="_Toc87376644" w:history="1">
        <w:r w:rsidR="004F70DB" w:rsidRPr="0038701C">
          <w:rPr>
            <w:rStyle w:val="Hyperlink"/>
          </w:rPr>
          <w:t>Attachment E – Defaulted exposures</w:t>
        </w:r>
        <w:r w:rsidR="004F70DB">
          <w:rPr>
            <w:webHidden/>
          </w:rPr>
          <w:tab/>
        </w:r>
        <w:r w:rsidR="004F70DB">
          <w:rPr>
            <w:webHidden/>
          </w:rPr>
          <w:fldChar w:fldCharType="begin"/>
        </w:r>
        <w:r w:rsidR="004F70DB">
          <w:rPr>
            <w:webHidden/>
          </w:rPr>
          <w:instrText xml:space="preserve"> PAGEREF _Toc87376644 \h </w:instrText>
        </w:r>
        <w:r w:rsidR="004F70DB">
          <w:rPr>
            <w:webHidden/>
          </w:rPr>
        </w:r>
        <w:r w:rsidR="004F70DB">
          <w:rPr>
            <w:webHidden/>
          </w:rPr>
          <w:fldChar w:fldCharType="separate"/>
        </w:r>
        <w:r w:rsidR="0007706D">
          <w:rPr>
            <w:webHidden/>
          </w:rPr>
          <w:t>31</w:t>
        </w:r>
        <w:r w:rsidR="004F70DB">
          <w:rPr>
            <w:webHidden/>
          </w:rPr>
          <w:fldChar w:fldCharType="end"/>
        </w:r>
      </w:hyperlink>
    </w:p>
    <w:p w14:paraId="2A74624E" w14:textId="507D65D3" w:rsidR="004F70DB" w:rsidRDefault="0091048A">
      <w:pPr>
        <w:pStyle w:val="TOC2"/>
        <w:rPr>
          <w:rFonts w:asciiTheme="minorHAnsi" w:eastAsiaTheme="minorEastAsia" w:hAnsiTheme="minorHAnsi" w:cstheme="minorBidi"/>
          <w:sz w:val="22"/>
          <w:szCs w:val="22"/>
        </w:rPr>
      </w:pPr>
      <w:hyperlink w:anchor="_Toc87376645" w:history="1">
        <w:r w:rsidR="004F70DB" w:rsidRPr="0038701C">
          <w:rPr>
            <w:rStyle w:val="Hyperlink"/>
          </w:rPr>
          <w:t>Attachment F – External credit ratings</w:t>
        </w:r>
        <w:r w:rsidR="004F70DB">
          <w:rPr>
            <w:webHidden/>
          </w:rPr>
          <w:tab/>
        </w:r>
        <w:r w:rsidR="004F70DB">
          <w:rPr>
            <w:webHidden/>
          </w:rPr>
          <w:fldChar w:fldCharType="begin"/>
        </w:r>
        <w:r w:rsidR="004F70DB">
          <w:rPr>
            <w:webHidden/>
          </w:rPr>
          <w:instrText xml:space="preserve"> PAGEREF _Toc87376645 \h </w:instrText>
        </w:r>
        <w:r w:rsidR="004F70DB">
          <w:rPr>
            <w:webHidden/>
          </w:rPr>
        </w:r>
        <w:r w:rsidR="004F70DB">
          <w:rPr>
            <w:webHidden/>
          </w:rPr>
          <w:fldChar w:fldCharType="separate"/>
        </w:r>
        <w:r w:rsidR="0007706D">
          <w:rPr>
            <w:webHidden/>
          </w:rPr>
          <w:t>32</w:t>
        </w:r>
        <w:r w:rsidR="004F70DB">
          <w:rPr>
            <w:webHidden/>
          </w:rPr>
          <w:fldChar w:fldCharType="end"/>
        </w:r>
      </w:hyperlink>
    </w:p>
    <w:p w14:paraId="4DEC0B99" w14:textId="363C0B83" w:rsidR="004F70DB" w:rsidRDefault="0091048A">
      <w:pPr>
        <w:pStyle w:val="TOC2"/>
        <w:rPr>
          <w:rFonts w:asciiTheme="minorHAnsi" w:eastAsiaTheme="minorEastAsia" w:hAnsiTheme="minorHAnsi" w:cstheme="minorBidi"/>
          <w:sz w:val="22"/>
          <w:szCs w:val="22"/>
        </w:rPr>
      </w:pPr>
      <w:hyperlink w:anchor="_Toc87376646" w:history="1">
        <w:r w:rsidR="004F70DB" w:rsidRPr="0038701C">
          <w:rPr>
            <w:rStyle w:val="Hyperlink"/>
          </w:rPr>
          <w:t>Attachment G – Collateralised transactions</w:t>
        </w:r>
        <w:r w:rsidR="004F70DB">
          <w:rPr>
            <w:webHidden/>
          </w:rPr>
          <w:tab/>
        </w:r>
        <w:r w:rsidR="004F70DB">
          <w:rPr>
            <w:webHidden/>
          </w:rPr>
          <w:fldChar w:fldCharType="begin"/>
        </w:r>
        <w:r w:rsidR="004F70DB">
          <w:rPr>
            <w:webHidden/>
          </w:rPr>
          <w:instrText xml:space="preserve"> PAGEREF _Toc87376646 \h </w:instrText>
        </w:r>
        <w:r w:rsidR="004F70DB">
          <w:rPr>
            <w:webHidden/>
          </w:rPr>
        </w:r>
        <w:r w:rsidR="004F70DB">
          <w:rPr>
            <w:webHidden/>
          </w:rPr>
          <w:fldChar w:fldCharType="separate"/>
        </w:r>
        <w:r w:rsidR="0007706D">
          <w:rPr>
            <w:webHidden/>
          </w:rPr>
          <w:t>35</w:t>
        </w:r>
        <w:r w:rsidR="004F70DB">
          <w:rPr>
            <w:webHidden/>
          </w:rPr>
          <w:fldChar w:fldCharType="end"/>
        </w:r>
      </w:hyperlink>
    </w:p>
    <w:p w14:paraId="7385CE70" w14:textId="67DF8F14" w:rsidR="004F70DB" w:rsidRDefault="0091048A">
      <w:pPr>
        <w:pStyle w:val="TOC2"/>
        <w:rPr>
          <w:rFonts w:asciiTheme="minorHAnsi" w:eastAsiaTheme="minorEastAsia" w:hAnsiTheme="minorHAnsi" w:cstheme="minorBidi"/>
          <w:sz w:val="22"/>
          <w:szCs w:val="22"/>
        </w:rPr>
      </w:pPr>
      <w:hyperlink w:anchor="_Toc87376647" w:history="1">
        <w:r w:rsidR="004F70DB" w:rsidRPr="0038701C">
          <w:rPr>
            <w:rStyle w:val="Hyperlink"/>
          </w:rPr>
          <w:t>Attachment H – Netting</w:t>
        </w:r>
        <w:r w:rsidR="004F70DB">
          <w:rPr>
            <w:webHidden/>
          </w:rPr>
          <w:tab/>
        </w:r>
        <w:r w:rsidR="004F70DB">
          <w:rPr>
            <w:webHidden/>
          </w:rPr>
          <w:fldChar w:fldCharType="begin"/>
        </w:r>
        <w:r w:rsidR="004F70DB">
          <w:rPr>
            <w:webHidden/>
          </w:rPr>
          <w:instrText xml:space="preserve"> PAGEREF _Toc87376647 \h </w:instrText>
        </w:r>
        <w:r w:rsidR="004F70DB">
          <w:rPr>
            <w:webHidden/>
          </w:rPr>
        </w:r>
        <w:r w:rsidR="004F70DB">
          <w:rPr>
            <w:webHidden/>
          </w:rPr>
          <w:fldChar w:fldCharType="separate"/>
        </w:r>
        <w:r w:rsidR="0007706D">
          <w:rPr>
            <w:webHidden/>
          </w:rPr>
          <w:t>45</w:t>
        </w:r>
        <w:r w:rsidR="004F70DB">
          <w:rPr>
            <w:webHidden/>
          </w:rPr>
          <w:fldChar w:fldCharType="end"/>
        </w:r>
      </w:hyperlink>
    </w:p>
    <w:p w14:paraId="6F4D8111" w14:textId="1781A9B5" w:rsidR="004F70DB" w:rsidRDefault="0091048A">
      <w:pPr>
        <w:pStyle w:val="TOC2"/>
        <w:rPr>
          <w:rFonts w:asciiTheme="minorHAnsi" w:eastAsiaTheme="minorEastAsia" w:hAnsiTheme="minorHAnsi" w:cstheme="minorBidi"/>
          <w:sz w:val="22"/>
          <w:szCs w:val="22"/>
        </w:rPr>
      </w:pPr>
      <w:hyperlink w:anchor="_Toc87376648" w:history="1">
        <w:r w:rsidR="004F70DB" w:rsidRPr="0038701C">
          <w:rPr>
            <w:rStyle w:val="Hyperlink"/>
          </w:rPr>
          <w:t>Attachment I – Guarantees</w:t>
        </w:r>
        <w:r w:rsidR="004F70DB">
          <w:rPr>
            <w:webHidden/>
          </w:rPr>
          <w:tab/>
        </w:r>
        <w:r w:rsidR="004F70DB">
          <w:rPr>
            <w:webHidden/>
          </w:rPr>
          <w:fldChar w:fldCharType="begin"/>
        </w:r>
        <w:r w:rsidR="004F70DB">
          <w:rPr>
            <w:webHidden/>
          </w:rPr>
          <w:instrText xml:space="preserve"> PAGEREF _Toc87376648 \h </w:instrText>
        </w:r>
        <w:r w:rsidR="004F70DB">
          <w:rPr>
            <w:webHidden/>
          </w:rPr>
        </w:r>
        <w:r w:rsidR="004F70DB">
          <w:rPr>
            <w:webHidden/>
          </w:rPr>
          <w:fldChar w:fldCharType="separate"/>
        </w:r>
        <w:r w:rsidR="0007706D">
          <w:rPr>
            <w:webHidden/>
          </w:rPr>
          <w:t>48</w:t>
        </w:r>
        <w:r w:rsidR="004F70DB">
          <w:rPr>
            <w:webHidden/>
          </w:rPr>
          <w:fldChar w:fldCharType="end"/>
        </w:r>
      </w:hyperlink>
    </w:p>
    <w:p w14:paraId="0B5D560D" w14:textId="26C588DE" w:rsidR="004F70DB" w:rsidRDefault="0091048A">
      <w:pPr>
        <w:pStyle w:val="TOC2"/>
        <w:rPr>
          <w:rFonts w:asciiTheme="minorHAnsi" w:eastAsiaTheme="minorEastAsia" w:hAnsiTheme="minorHAnsi" w:cstheme="minorBidi"/>
          <w:sz w:val="22"/>
          <w:szCs w:val="22"/>
        </w:rPr>
      </w:pPr>
      <w:hyperlink w:anchor="_Toc87376649" w:history="1">
        <w:r w:rsidR="004F70DB" w:rsidRPr="0038701C">
          <w:rPr>
            <w:rStyle w:val="Hyperlink"/>
          </w:rPr>
          <w:t>Attachment J – Credit derivatives</w:t>
        </w:r>
        <w:r w:rsidR="004F70DB">
          <w:rPr>
            <w:webHidden/>
          </w:rPr>
          <w:tab/>
        </w:r>
        <w:r w:rsidR="004F70DB">
          <w:rPr>
            <w:webHidden/>
          </w:rPr>
          <w:fldChar w:fldCharType="begin"/>
        </w:r>
        <w:r w:rsidR="004F70DB">
          <w:rPr>
            <w:webHidden/>
          </w:rPr>
          <w:instrText xml:space="preserve"> PAGEREF _Toc87376649 \h </w:instrText>
        </w:r>
        <w:r w:rsidR="004F70DB">
          <w:rPr>
            <w:webHidden/>
          </w:rPr>
        </w:r>
        <w:r w:rsidR="004F70DB">
          <w:rPr>
            <w:webHidden/>
          </w:rPr>
          <w:fldChar w:fldCharType="separate"/>
        </w:r>
        <w:r w:rsidR="0007706D">
          <w:rPr>
            <w:webHidden/>
          </w:rPr>
          <w:t>52</w:t>
        </w:r>
        <w:r w:rsidR="004F70DB">
          <w:rPr>
            <w:webHidden/>
          </w:rPr>
          <w:fldChar w:fldCharType="end"/>
        </w:r>
      </w:hyperlink>
    </w:p>
    <w:p w14:paraId="2050C529" w14:textId="293DB1C7" w:rsidR="009D467A" w:rsidRDefault="001307EC" w:rsidP="001307EC">
      <w:r>
        <w:fldChar w:fldCharType="end"/>
      </w:r>
    </w:p>
    <w:p w14:paraId="55A87668" w14:textId="35D9C8BA" w:rsidR="00E96B6D" w:rsidRPr="00927834" w:rsidRDefault="00E96B6D" w:rsidP="001F6B8D">
      <w:pPr>
        <w:pStyle w:val="Heading1"/>
        <w:sectPr w:rsidR="00E96B6D" w:rsidRPr="00927834" w:rsidSect="00867C8F">
          <w:headerReference w:type="default" r:id="rId18"/>
          <w:footerReference w:type="default" r:id="rId19"/>
          <w:pgSz w:w="11906" w:h="16838" w:code="9"/>
          <w:pgMar w:top="1440" w:right="1797" w:bottom="1440" w:left="1797" w:header="709" w:footer="709" w:gutter="0"/>
          <w:pgNumType w:start="2"/>
          <w:cols w:space="708"/>
          <w:docGrid w:linePitch="360"/>
        </w:sectPr>
      </w:pPr>
      <w:bookmarkStart w:id="6" w:name="_Toc314733116"/>
      <w:bookmarkStart w:id="7" w:name="_Toc341686774"/>
      <w:bookmarkEnd w:id="3"/>
      <w:bookmarkEnd w:id="4"/>
      <w:bookmarkEnd w:id="5"/>
    </w:p>
    <w:p w14:paraId="3AD35CAE" w14:textId="77777777" w:rsidR="00E07F40" w:rsidRPr="001F6B8D" w:rsidRDefault="00E07F40" w:rsidP="001307EC">
      <w:pPr>
        <w:pStyle w:val="Heading1body"/>
      </w:pPr>
      <w:bookmarkStart w:id="8" w:name="_Toc454561342"/>
      <w:bookmarkStart w:id="9" w:name="_Toc4489866"/>
      <w:bookmarkStart w:id="10" w:name="_Toc87376630"/>
      <w:r w:rsidRPr="00B37C03">
        <w:lastRenderedPageBreak/>
        <w:t>Authority</w:t>
      </w:r>
      <w:bookmarkEnd w:id="6"/>
      <w:bookmarkEnd w:id="7"/>
      <w:bookmarkEnd w:id="8"/>
      <w:bookmarkEnd w:id="9"/>
      <w:bookmarkEnd w:id="10"/>
    </w:p>
    <w:p w14:paraId="59976470" w14:textId="77777777" w:rsidR="00E07F40" w:rsidRDefault="00E07F40" w:rsidP="001C755C">
      <w:pPr>
        <w:pStyle w:val="BodyText1"/>
      </w:pPr>
      <w:r w:rsidRPr="00B37C03">
        <w:t xml:space="preserve">This Prudential Standard is made under section 11AF of the </w:t>
      </w:r>
      <w:r w:rsidRPr="00B37C03">
        <w:rPr>
          <w:i/>
          <w:iCs/>
        </w:rPr>
        <w:t xml:space="preserve">Banking Act 1959 </w:t>
      </w:r>
      <w:r w:rsidR="00D51F3E">
        <w:t>(</w:t>
      </w:r>
      <w:r w:rsidRPr="0036233D">
        <w:rPr>
          <w:b/>
        </w:rPr>
        <w:t>Banking Act</w:t>
      </w:r>
      <w:r w:rsidRPr="00B37C03">
        <w:t>).</w:t>
      </w:r>
      <w:r w:rsidR="00E96B6D">
        <w:t xml:space="preserve"> </w:t>
      </w:r>
    </w:p>
    <w:p w14:paraId="1FF505BD" w14:textId="77777777" w:rsidR="00E07F40" w:rsidRDefault="00E07F40" w:rsidP="001307EC">
      <w:pPr>
        <w:pStyle w:val="Heading1body"/>
      </w:pPr>
      <w:bookmarkStart w:id="11" w:name="_Toc314733118"/>
      <w:bookmarkStart w:id="12" w:name="_Toc341686775"/>
      <w:bookmarkStart w:id="13" w:name="_Toc454561343"/>
      <w:bookmarkStart w:id="14" w:name="_Toc4489867"/>
      <w:bookmarkStart w:id="15" w:name="_Toc87376631"/>
      <w:r w:rsidRPr="00B37C03">
        <w:t>Application</w:t>
      </w:r>
      <w:bookmarkEnd w:id="11"/>
      <w:bookmarkEnd w:id="12"/>
      <w:bookmarkEnd w:id="13"/>
      <w:r w:rsidR="009A76C9">
        <w:t xml:space="preserve"> and commencement</w:t>
      </w:r>
      <w:bookmarkEnd w:id="14"/>
      <w:bookmarkEnd w:id="15"/>
    </w:p>
    <w:p w14:paraId="15E9F077" w14:textId="77777777" w:rsidR="00DF539C" w:rsidRDefault="00D51F3E" w:rsidP="00DF539C">
      <w:pPr>
        <w:pStyle w:val="BodyText1"/>
      </w:pPr>
      <w:r>
        <w:t xml:space="preserve">This Prudential Standard applies to all </w:t>
      </w:r>
      <w:r w:rsidRPr="00632B4B">
        <w:t>authorised deposit-taking institutions</w:t>
      </w:r>
      <w:r>
        <w:t xml:space="preserve"> (</w:t>
      </w:r>
      <w:r w:rsidRPr="00632B4B">
        <w:rPr>
          <w:b/>
        </w:rPr>
        <w:t>ADI</w:t>
      </w:r>
      <w:r>
        <w:t>s)</w:t>
      </w:r>
      <w:r w:rsidR="00B734AA">
        <w:t xml:space="preserve"> with the exception of:</w:t>
      </w:r>
    </w:p>
    <w:p w14:paraId="4ABABFAD" w14:textId="019F09A3" w:rsidR="00B734AA" w:rsidRDefault="00B734AA" w:rsidP="00B734AA">
      <w:pPr>
        <w:pStyle w:val="BodyText2"/>
      </w:pPr>
      <w:r w:rsidRPr="00B734AA">
        <w:rPr>
          <w:b/>
        </w:rPr>
        <w:t xml:space="preserve">foreign </w:t>
      </w:r>
      <w:r w:rsidRPr="007640B9">
        <w:rPr>
          <w:b/>
        </w:rPr>
        <w:t>ADIs</w:t>
      </w:r>
      <w:r>
        <w:t>; and</w:t>
      </w:r>
    </w:p>
    <w:p w14:paraId="79581D65" w14:textId="633EE2B7" w:rsidR="00B734AA" w:rsidRDefault="00B734AA" w:rsidP="00B734AA">
      <w:pPr>
        <w:pStyle w:val="BodyText2"/>
      </w:pPr>
      <w:r w:rsidRPr="00B734AA">
        <w:rPr>
          <w:b/>
        </w:rPr>
        <w:t xml:space="preserve">purchased payment facility </w:t>
      </w:r>
      <w:r w:rsidRPr="007640B9">
        <w:rPr>
          <w:b/>
        </w:rPr>
        <w:t>providers</w:t>
      </w:r>
      <w:r>
        <w:t xml:space="preserve">. </w:t>
      </w:r>
    </w:p>
    <w:p w14:paraId="446CABD2" w14:textId="77777777" w:rsidR="00B734AA" w:rsidRDefault="00B734AA" w:rsidP="00B734AA">
      <w:pPr>
        <w:pStyle w:val="BodyText1"/>
      </w:pPr>
      <w:r>
        <w:t>A reference to an ADI in this Prudential Standard, unless otherwise indicated, is a reference to:</w:t>
      </w:r>
    </w:p>
    <w:p w14:paraId="18086225" w14:textId="77777777" w:rsidR="00B734AA" w:rsidRDefault="00B734AA" w:rsidP="004E3D68">
      <w:pPr>
        <w:pStyle w:val="BodyText2"/>
      </w:pPr>
      <w:r>
        <w:t xml:space="preserve">an ADI on a </w:t>
      </w:r>
      <w:r w:rsidRPr="00B734AA">
        <w:rPr>
          <w:b/>
        </w:rPr>
        <w:t>Level 1</w:t>
      </w:r>
      <w:r>
        <w:t xml:space="preserve"> basis; and</w:t>
      </w:r>
    </w:p>
    <w:p w14:paraId="14A9EA87" w14:textId="77777777" w:rsidR="00B734AA" w:rsidRDefault="00B734AA" w:rsidP="004E3D68">
      <w:pPr>
        <w:pStyle w:val="BodyText2"/>
      </w:pPr>
      <w:r>
        <w:t xml:space="preserve">a </w:t>
      </w:r>
      <w:r w:rsidRPr="00B734AA">
        <w:rPr>
          <w:b/>
        </w:rPr>
        <w:t xml:space="preserve">group </w:t>
      </w:r>
      <w:r>
        <w:t xml:space="preserve">of which an ADI is a member on a </w:t>
      </w:r>
      <w:r w:rsidRPr="00B734AA">
        <w:rPr>
          <w:b/>
        </w:rPr>
        <w:t>Level 2</w:t>
      </w:r>
      <w:r>
        <w:t xml:space="preserve"> basis.</w:t>
      </w:r>
    </w:p>
    <w:p w14:paraId="559702A6" w14:textId="77777777" w:rsidR="00B734AA" w:rsidRDefault="00B734AA" w:rsidP="00B734AA">
      <w:pPr>
        <w:pStyle w:val="BodyText1"/>
      </w:pPr>
      <w:r>
        <w:t>If an ADI to which this Prudential Standard applies is:</w:t>
      </w:r>
    </w:p>
    <w:p w14:paraId="1D4D90B2" w14:textId="77777777" w:rsidR="00B734AA" w:rsidRDefault="00B734AA" w:rsidP="004E3D68">
      <w:pPr>
        <w:pStyle w:val="BodyText2"/>
      </w:pPr>
      <w:r>
        <w:t>the holding company for a group</w:t>
      </w:r>
      <w:r w:rsidR="009A76C9">
        <w:t>, the ADI must ensure that the requirements in this Prudential Standard are met on a Level 2 basis, where applicable; or</w:t>
      </w:r>
    </w:p>
    <w:p w14:paraId="43B4AFD7" w14:textId="77777777" w:rsidR="009A76C9" w:rsidRDefault="009A76C9" w:rsidP="004E3D68">
      <w:pPr>
        <w:pStyle w:val="BodyText2"/>
      </w:pPr>
      <w:r>
        <w:t xml:space="preserve">a </w:t>
      </w:r>
      <w:r w:rsidRPr="008A68BF">
        <w:rPr>
          <w:b/>
        </w:rPr>
        <w:t>subsidiary</w:t>
      </w:r>
      <w:r>
        <w:t xml:space="preserve"> of an authorised </w:t>
      </w:r>
      <w:r w:rsidRPr="009A76C9">
        <w:rPr>
          <w:b/>
        </w:rPr>
        <w:t>non-operating holding company</w:t>
      </w:r>
      <w:r>
        <w:t xml:space="preserve"> (</w:t>
      </w:r>
      <w:r w:rsidRPr="009A76C9">
        <w:rPr>
          <w:b/>
        </w:rPr>
        <w:t>authorised NOHC</w:t>
      </w:r>
      <w:r>
        <w:t>), the authorised NOHC must ensure that the requirements in this Prudential Standard are met on a Level 2 basis, where applicable.</w:t>
      </w:r>
    </w:p>
    <w:p w14:paraId="05CAA745" w14:textId="66ED9B25" w:rsidR="009A76C9" w:rsidRDefault="009A76C9" w:rsidP="009A76C9">
      <w:pPr>
        <w:pStyle w:val="BodyText1"/>
      </w:pPr>
      <w:r>
        <w:t xml:space="preserve">This Prudential Standard commences on 1 January </w:t>
      </w:r>
      <w:r w:rsidR="00860D49">
        <w:t>2023</w:t>
      </w:r>
      <w:r>
        <w:t xml:space="preserve">. </w:t>
      </w:r>
    </w:p>
    <w:p w14:paraId="0AEC0787" w14:textId="77777777" w:rsidR="009A76C9" w:rsidRDefault="00820C37" w:rsidP="001307EC">
      <w:pPr>
        <w:pStyle w:val="Heading1body"/>
      </w:pPr>
      <w:bookmarkStart w:id="16" w:name="_Toc4489868"/>
      <w:bookmarkStart w:id="17" w:name="_Toc87376632"/>
      <w:r>
        <w:t>Interpretation</w:t>
      </w:r>
      <w:bookmarkEnd w:id="16"/>
      <w:bookmarkEnd w:id="17"/>
    </w:p>
    <w:p w14:paraId="1BE98EA7" w14:textId="77777777" w:rsidR="00820C37" w:rsidRDefault="00820C37" w:rsidP="00820C37">
      <w:pPr>
        <w:pStyle w:val="BodyText1"/>
      </w:pPr>
      <w:r w:rsidRPr="00820C37">
        <w:t xml:space="preserve">Terms that are </w:t>
      </w:r>
      <w:r>
        <w:t xml:space="preserve">defined in </w:t>
      </w:r>
      <w:r w:rsidRPr="00820C37">
        <w:rPr>
          <w:i/>
        </w:rPr>
        <w:t>Prudential Standard APS</w:t>
      </w:r>
      <w:r w:rsidR="00AC2D72">
        <w:rPr>
          <w:i/>
        </w:rPr>
        <w:t> </w:t>
      </w:r>
      <w:r w:rsidRPr="00820C37">
        <w:rPr>
          <w:i/>
        </w:rPr>
        <w:t>001 Definitions</w:t>
      </w:r>
      <w:r w:rsidRPr="00820C37">
        <w:t xml:space="preserve"> appear in bold the first time they are used in this Prudential Standard.</w:t>
      </w:r>
    </w:p>
    <w:p w14:paraId="6A125084" w14:textId="77777777" w:rsidR="00EA3F82" w:rsidRPr="00EA3F82" w:rsidRDefault="00EA3F82" w:rsidP="00EA3F82">
      <w:pPr>
        <w:pStyle w:val="BodyText1"/>
      </w:pPr>
      <w:r w:rsidRPr="00EA3F82">
        <w:t xml:space="preserve">Where this Prudential Standard provides for APRA to exercise a power or discretion, the power or discretion is to be exercised in writing. </w:t>
      </w:r>
    </w:p>
    <w:p w14:paraId="5BA7CC77" w14:textId="2A0685FD" w:rsidR="00EA3F82" w:rsidRPr="00EA3F82" w:rsidRDefault="00EA3F82" w:rsidP="00EA3F82">
      <w:pPr>
        <w:pStyle w:val="BodyText1"/>
      </w:pPr>
      <w:r w:rsidRPr="00EA3F82">
        <w:t>In this Prudential Standard, unless the contrary intention</w:t>
      </w:r>
      <w:r>
        <w:t xml:space="preserve"> appears, a reference to an Act</w:t>
      </w:r>
      <w:r w:rsidRPr="00EA3F82">
        <w:t>, Regulations or Prudential Standard is a reference to the Act, Regulations or Prudential</w:t>
      </w:r>
      <w:r w:rsidR="00533CFC">
        <w:t xml:space="preserve"> Standard as in force from time to </w:t>
      </w:r>
      <w:r w:rsidRPr="00EA3F82">
        <w:t>time.</w:t>
      </w:r>
    </w:p>
    <w:p w14:paraId="4F5BDC61" w14:textId="77777777" w:rsidR="00C57ED1" w:rsidRDefault="00C57ED1" w:rsidP="001307EC">
      <w:pPr>
        <w:pStyle w:val="Heading1body"/>
      </w:pPr>
      <w:bookmarkStart w:id="18" w:name="_Toc4489869"/>
      <w:bookmarkStart w:id="19" w:name="_Toc87376633"/>
      <w:r>
        <w:t>Adjustments and exclusions</w:t>
      </w:r>
      <w:bookmarkEnd w:id="18"/>
      <w:bookmarkEnd w:id="19"/>
    </w:p>
    <w:p w14:paraId="12224557" w14:textId="7A154BAE" w:rsidR="00C57ED1" w:rsidRDefault="0049664F" w:rsidP="0049664F">
      <w:pPr>
        <w:pStyle w:val="BodyText1"/>
      </w:pPr>
      <w:r>
        <w:t xml:space="preserve">APRA </w:t>
      </w:r>
      <w:r w:rsidRPr="0049664F">
        <w:t xml:space="preserve">may adjust or exclude a specific prudential requirement in this Prudential Standard in relation to one or more specified ADIs </w:t>
      </w:r>
      <w:r w:rsidR="0062501A">
        <w:t xml:space="preserve">or </w:t>
      </w:r>
      <w:r w:rsidRPr="0049664F">
        <w:t>authorised NOHCs.</w:t>
      </w:r>
      <w:r w:rsidR="004573BC">
        <w:rPr>
          <w:rStyle w:val="FootnoteReference"/>
        </w:rPr>
        <w:footnoteReference w:id="2"/>
      </w:r>
    </w:p>
    <w:p w14:paraId="47CAD4C0" w14:textId="77777777" w:rsidR="0049664F" w:rsidRDefault="0049664F" w:rsidP="001307EC">
      <w:pPr>
        <w:pStyle w:val="Heading1body"/>
      </w:pPr>
      <w:bookmarkStart w:id="20" w:name="_Toc4489870"/>
      <w:bookmarkStart w:id="21" w:name="_Toc87376634"/>
      <w:r>
        <w:lastRenderedPageBreak/>
        <w:t>Previous exercise of discretion</w:t>
      </w:r>
      <w:bookmarkEnd w:id="20"/>
      <w:bookmarkEnd w:id="21"/>
    </w:p>
    <w:p w14:paraId="4B50A1CA" w14:textId="00E3A041" w:rsidR="0049664F" w:rsidRPr="0049664F" w:rsidRDefault="0049664F" w:rsidP="0049664F">
      <w:pPr>
        <w:pStyle w:val="BodyText1"/>
      </w:pPr>
      <w:r>
        <w:t xml:space="preserve">An ADI </w:t>
      </w:r>
      <w:r w:rsidRPr="0049664F">
        <w:t>must contact AP</w:t>
      </w:r>
      <w:r w:rsidR="00C2722B">
        <w:t>RA if it seeks to place reliance</w:t>
      </w:r>
      <w:r w:rsidRPr="0049664F">
        <w:t>, for the purposes of complying with this Prudential Standard, on a previous exemption or other exercise of discretion by APRA under a previous version of this Prudential Standard.</w:t>
      </w:r>
    </w:p>
    <w:p w14:paraId="4F267A1E" w14:textId="77777777" w:rsidR="000427DA" w:rsidRDefault="000427DA" w:rsidP="001307EC">
      <w:pPr>
        <w:pStyle w:val="Heading1body"/>
      </w:pPr>
      <w:bookmarkStart w:id="22" w:name="_Toc4489871"/>
      <w:bookmarkStart w:id="23" w:name="_Toc87376635"/>
      <w:r>
        <w:t>Scope</w:t>
      </w:r>
      <w:bookmarkEnd w:id="22"/>
      <w:bookmarkEnd w:id="23"/>
      <w:r>
        <w:t xml:space="preserve"> </w:t>
      </w:r>
    </w:p>
    <w:p w14:paraId="1227B2AF" w14:textId="77777777" w:rsidR="000427DA" w:rsidRDefault="000427DA" w:rsidP="000427DA">
      <w:pPr>
        <w:pStyle w:val="BodyText1"/>
      </w:pPr>
      <w:r>
        <w:t>The following items are excluded from the scope of this Prudential Standard:</w:t>
      </w:r>
    </w:p>
    <w:p w14:paraId="17FE98A0" w14:textId="6F5246A0" w:rsidR="000427DA" w:rsidRDefault="000427DA" w:rsidP="004E3D68">
      <w:pPr>
        <w:pStyle w:val="BodyText2"/>
      </w:pPr>
      <w:r>
        <w:t xml:space="preserve">assets or investments that are required to be deducted from </w:t>
      </w:r>
      <w:r w:rsidRPr="00A93DE6">
        <w:rPr>
          <w:b/>
        </w:rPr>
        <w:t>Common Equity Tier 1 Capital</w:t>
      </w:r>
      <w:r w:rsidR="00A93DE6">
        <w:t xml:space="preserve">, </w:t>
      </w:r>
      <w:r w:rsidRPr="00A93DE6">
        <w:rPr>
          <w:b/>
        </w:rPr>
        <w:t>Tier 1 Capital</w:t>
      </w:r>
      <w:r w:rsidR="0035051A">
        <w:rPr>
          <w:b/>
        </w:rPr>
        <w:t xml:space="preserve">, </w:t>
      </w:r>
      <w:r>
        <w:t xml:space="preserve">or </w:t>
      </w:r>
      <w:r w:rsidR="00157561">
        <w:rPr>
          <w:b/>
        </w:rPr>
        <w:t>Total</w:t>
      </w:r>
      <w:r w:rsidRPr="00A93DE6">
        <w:rPr>
          <w:b/>
        </w:rPr>
        <w:t xml:space="preserve"> Capital</w:t>
      </w:r>
      <w:r>
        <w:t xml:space="preserve"> under </w:t>
      </w:r>
      <w:r w:rsidRPr="00AC2D72">
        <w:rPr>
          <w:i/>
        </w:rPr>
        <w:t xml:space="preserve">Prudential Standard </w:t>
      </w:r>
      <w:r w:rsidRPr="00946F64">
        <w:rPr>
          <w:i/>
        </w:rPr>
        <w:t>APS 111</w:t>
      </w:r>
      <w:r w:rsidRPr="00AC2D72">
        <w:rPr>
          <w:i/>
        </w:rPr>
        <w:t xml:space="preserve"> Capital Adequacy: Measurement of Capital</w:t>
      </w:r>
      <w:r>
        <w:t xml:space="preserve"> (APS 111);</w:t>
      </w:r>
    </w:p>
    <w:p w14:paraId="1D31FCAE" w14:textId="661207AD" w:rsidR="000427DA" w:rsidRDefault="000427DA" w:rsidP="004E3D68">
      <w:pPr>
        <w:pStyle w:val="BodyText2"/>
      </w:pPr>
      <w:r w:rsidRPr="00724758">
        <w:rPr>
          <w:b/>
        </w:rPr>
        <w:t>securitisation</w:t>
      </w:r>
      <w:r>
        <w:t xml:space="preserve"> exposures that ar</w:t>
      </w:r>
      <w:r w:rsidR="00946F64">
        <w:t>e subject to the requirements of</w:t>
      </w:r>
      <w:r>
        <w:t xml:space="preserve"> </w:t>
      </w:r>
      <w:r w:rsidRPr="00154AC1">
        <w:rPr>
          <w:i/>
        </w:rPr>
        <w:t xml:space="preserve">Prudential Standard APS 120 Securitisation </w:t>
      </w:r>
      <w:r>
        <w:t xml:space="preserve">(APS 120), excluding funding-only or synthetic securitisations for which an ADI must include the underlying exposures in the pool in its calculation of </w:t>
      </w:r>
      <w:r w:rsidR="001D6F14">
        <w:t xml:space="preserve">the </w:t>
      </w:r>
      <w:r w:rsidRPr="00B9346C">
        <w:rPr>
          <w:b/>
        </w:rPr>
        <w:t>Regulatory Capital</w:t>
      </w:r>
      <w:r w:rsidR="001D6F14">
        <w:rPr>
          <w:b/>
        </w:rPr>
        <w:t xml:space="preserve"> </w:t>
      </w:r>
      <w:r w:rsidR="001D6F14" w:rsidRPr="001D6F14">
        <w:t>requirement</w:t>
      </w:r>
      <w:r>
        <w:t xml:space="preserve"> for credit risk under this Prudential Standard;</w:t>
      </w:r>
    </w:p>
    <w:p w14:paraId="21B76EC9" w14:textId="6C7CBA77" w:rsidR="000427DA" w:rsidRDefault="009833EB" w:rsidP="004E3D68">
      <w:pPr>
        <w:pStyle w:val="BodyText2"/>
      </w:pPr>
      <w:r>
        <w:t xml:space="preserve">liabilities of a covered bond special purpose vehicle to an issuing ADI as specified in </w:t>
      </w:r>
      <w:r w:rsidRPr="009833EB">
        <w:rPr>
          <w:i/>
        </w:rPr>
        <w:t>Prudential Standard APS 121 Covered Bonds</w:t>
      </w:r>
      <w:r w:rsidR="000427DA">
        <w:t>; and</w:t>
      </w:r>
    </w:p>
    <w:p w14:paraId="1521EB1D" w14:textId="0FFF46CC" w:rsidR="000427DA" w:rsidRDefault="000427DA" w:rsidP="004E3D68">
      <w:pPr>
        <w:pStyle w:val="BodyText2"/>
      </w:pPr>
      <w:r>
        <w:t xml:space="preserve">items that are subject to capital requirements under </w:t>
      </w:r>
      <w:r w:rsidRPr="00D81E8A">
        <w:rPr>
          <w:i/>
        </w:rPr>
        <w:t>Prudential Standard APS 116 Capital Adequacy: Market Risk</w:t>
      </w:r>
      <w:r w:rsidR="006F1047">
        <w:t xml:space="preserve"> </w:t>
      </w:r>
      <w:r w:rsidR="00A01B66">
        <w:t>that</w:t>
      </w:r>
      <w:r w:rsidR="006F1047">
        <w:t xml:space="preserve"> do not</w:t>
      </w:r>
      <w:r w:rsidR="005D2126">
        <w:t xml:space="preserve"> </w:t>
      </w:r>
      <w:r w:rsidR="006F1047">
        <w:t xml:space="preserve">have </w:t>
      </w:r>
      <w:r w:rsidR="005D2126">
        <w:t xml:space="preserve">counterparty </w:t>
      </w:r>
      <w:r w:rsidR="006F1047">
        <w:t>credit</w:t>
      </w:r>
      <w:r w:rsidR="005D2126">
        <w:t xml:space="preserve"> risk</w:t>
      </w:r>
      <w:r w:rsidR="006F1047">
        <w:t xml:space="preserve"> exposure </w:t>
      </w:r>
      <w:r w:rsidR="005D2126">
        <w:t xml:space="preserve">under </w:t>
      </w:r>
      <w:r w:rsidR="005D2126" w:rsidRPr="005D2126">
        <w:rPr>
          <w:i/>
        </w:rPr>
        <w:t>Prudential Standard APS</w:t>
      </w:r>
      <w:r w:rsidR="006B2612">
        <w:rPr>
          <w:i/>
        </w:rPr>
        <w:t> </w:t>
      </w:r>
      <w:r w:rsidR="005D2126" w:rsidRPr="005D2126">
        <w:rPr>
          <w:i/>
        </w:rPr>
        <w:t xml:space="preserve">180 </w:t>
      </w:r>
      <w:r w:rsidR="00201B79">
        <w:rPr>
          <w:i/>
        </w:rPr>
        <w:t xml:space="preserve">Capital Adequacy: </w:t>
      </w:r>
      <w:r w:rsidR="005D2126" w:rsidRPr="005D2126">
        <w:rPr>
          <w:i/>
        </w:rPr>
        <w:t xml:space="preserve">Counterparty Credit Risk </w:t>
      </w:r>
      <w:r w:rsidR="005D2126">
        <w:t>(APS 180)</w:t>
      </w:r>
      <w:r w:rsidR="00412554">
        <w:t>.</w:t>
      </w:r>
    </w:p>
    <w:p w14:paraId="5B49B48E" w14:textId="5B8131D9" w:rsidR="00AB131E" w:rsidRPr="00AB131E" w:rsidRDefault="00AB131E" w:rsidP="00AB131E">
      <w:pPr>
        <w:pStyle w:val="BodyText1"/>
      </w:pPr>
      <w:r w:rsidRPr="00AB131E">
        <w:t xml:space="preserve">Subject to </w:t>
      </w:r>
      <w:r w:rsidRPr="00B60E10">
        <w:t xml:space="preserve">paragraph </w:t>
      </w:r>
      <w:r w:rsidR="00B60E10" w:rsidRPr="00B60E10">
        <w:fldChar w:fldCharType="begin"/>
      </w:r>
      <w:r w:rsidR="00B60E10" w:rsidRPr="00B60E10">
        <w:instrText xml:space="preserve"> REF _Ref34044734 \r \h </w:instrText>
      </w:r>
      <w:r w:rsidR="00B60E10">
        <w:instrText xml:space="preserve"> \* MERGEFORMAT </w:instrText>
      </w:r>
      <w:r w:rsidR="00B60E10" w:rsidRPr="00B60E10">
        <w:fldChar w:fldCharType="separate"/>
      </w:r>
      <w:r w:rsidR="0007706D">
        <w:t>13</w:t>
      </w:r>
      <w:r w:rsidR="00B60E10" w:rsidRPr="00B60E10">
        <w:fldChar w:fldCharType="end"/>
      </w:r>
      <w:r w:rsidRPr="00B60E10">
        <w:t xml:space="preserve"> of this Prudential Standard,</w:t>
      </w:r>
      <w:r w:rsidRPr="00AB131E">
        <w:t xml:space="preserve"> an ADI must apply the requirements set out in this Prudential</w:t>
      </w:r>
      <w:r w:rsidR="002C74A4">
        <w:t xml:space="preserve"> Standard to calculate </w:t>
      </w:r>
      <w:r w:rsidR="00A01B66">
        <w:t>risk-weighted assets (</w:t>
      </w:r>
      <w:r w:rsidR="002C74A4">
        <w:t>RWA</w:t>
      </w:r>
      <w:r w:rsidR="00A01B66">
        <w:t>)</w:t>
      </w:r>
      <w:r w:rsidR="002C74A4">
        <w:t xml:space="preserve"> </w:t>
      </w:r>
      <w:r w:rsidR="0062501A">
        <w:t>for any</w:t>
      </w:r>
      <w:r w:rsidR="00A01B66">
        <w:t xml:space="preserve"> credit</w:t>
      </w:r>
      <w:r w:rsidR="0062501A">
        <w:t xml:space="preserve"> exposures of</w:t>
      </w:r>
      <w:r w:rsidRPr="00AB131E">
        <w:t xml:space="preserve"> overseas banking subsidiaries that form part of the Level 2 group.</w:t>
      </w:r>
    </w:p>
    <w:p w14:paraId="35A0A100" w14:textId="35512EC6" w:rsidR="00AB131E" w:rsidRPr="00AB131E" w:rsidRDefault="00AB131E" w:rsidP="00AB131E">
      <w:pPr>
        <w:pStyle w:val="BodyText1"/>
      </w:pPr>
      <w:bookmarkStart w:id="24" w:name="_Ref34044734"/>
      <w:r w:rsidRPr="00AB131E">
        <w:t xml:space="preserve">For the purpose of calculating </w:t>
      </w:r>
      <w:r w:rsidR="00A01B66">
        <w:t xml:space="preserve">the </w:t>
      </w:r>
      <w:r w:rsidRPr="00AB131E">
        <w:t xml:space="preserve">Level 2 </w:t>
      </w:r>
      <w:r w:rsidR="00A01B66">
        <w:t>Regulatory C</w:t>
      </w:r>
      <w:r w:rsidRPr="00AB131E">
        <w:t>apital</w:t>
      </w:r>
      <w:r w:rsidR="00A01B66">
        <w:t xml:space="preserve"> requirement</w:t>
      </w:r>
      <w:r w:rsidRPr="00AB131E">
        <w:t xml:space="preserve"> for </w:t>
      </w:r>
      <w:r w:rsidR="00A01B66">
        <w:t xml:space="preserve">the credit </w:t>
      </w:r>
      <w:r w:rsidRPr="00AB131E">
        <w:t xml:space="preserve">exposures of an overseas banking subsidiary that is prudentially regulated by </w:t>
      </w:r>
      <w:r w:rsidR="00234B75">
        <w:t>a prescribed New Zealand authority</w:t>
      </w:r>
      <w:r w:rsidRPr="00AB131E">
        <w:t>, an</w:t>
      </w:r>
      <w:r w:rsidR="002C74A4">
        <w:t xml:space="preserve"> ADI must calculate RWA </w:t>
      </w:r>
      <w:r w:rsidRPr="00AB131E">
        <w:t>using the</w:t>
      </w:r>
      <w:r w:rsidR="00234B75">
        <w:t xml:space="preserve"> prescribed New Zealand authority’s</w:t>
      </w:r>
      <w:r w:rsidRPr="00AB131E">
        <w:t xml:space="preserve"> </w:t>
      </w:r>
      <w:r w:rsidR="00FF72DD">
        <w:t xml:space="preserve">equivalent </w:t>
      </w:r>
      <w:r w:rsidRPr="00AB131E">
        <w:t>prudential rules</w:t>
      </w:r>
      <w:r w:rsidR="0062501A">
        <w:t xml:space="preserve"> as in force from time to time</w:t>
      </w:r>
      <w:r w:rsidRPr="00AB131E">
        <w:t>.</w:t>
      </w:r>
      <w:bookmarkEnd w:id="24"/>
      <w:r w:rsidR="00C42566">
        <w:rPr>
          <w:rStyle w:val="FootnoteReference"/>
        </w:rPr>
        <w:footnoteReference w:id="3"/>
      </w:r>
      <w:r w:rsidR="0088472D">
        <w:rPr>
          <w:vertAlign w:val="superscript"/>
        </w:rPr>
        <w:t xml:space="preserve">, </w:t>
      </w:r>
      <w:r w:rsidR="0088472D">
        <w:rPr>
          <w:rStyle w:val="FootnoteReference"/>
        </w:rPr>
        <w:footnoteReference w:id="4"/>
      </w:r>
      <w:r w:rsidR="00C84C02">
        <w:t xml:space="preserve"> </w:t>
      </w:r>
    </w:p>
    <w:p w14:paraId="6F5BACA1" w14:textId="0DED2139" w:rsidR="00EA3F82" w:rsidRDefault="00EA3F82" w:rsidP="001307EC">
      <w:pPr>
        <w:pStyle w:val="Heading1body"/>
      </w:pPr>
      <w:bookmarkStart w:id="25" w:name="_Toc4489872"/>
      <w:bookmarkStart w:id="26" w:name="_Toc87376636"/>
      <w:r>
        <w:t>Definitions</w:t>
      </w:r>
      <w:bookmarkEnd w:id="25"/>
      <w:bookmarkEnd w:id="26"/>
    </w:p>
    <w:p w14:paraId="2AFA8C0F" w14:textId="5E0EC8AB" w:rsidR="00EA3F82" w:rsidRDefault="00EA3F82" w:rsidP="00EA3F82">
      <w:pPr>
        <w:pStyle w:val="BodyText1"/>
      </w:pPr>
      <w:r>
        <w:t xml:space="preserve">The following </w:t>
      </w:r>
      <w:r w:rsidR="00343FEA">
        <w:t xml:space="preserve">definitions are </w:t>
      </w:r>
      <w:r>
        <w:t>used in this Prudential Standard:</w:t>
      </w:r>
    </w:p>
    <w:p w14:paraId="5BCB69F1" w14:textId="338D75F7" w:rsidR="00320183" w:rsidRDefault="00320183" w:rsidP="004E3D68">
      <w:pPr>
        <w:pStyle w:val="BodyText2"/>
      </w:pPr>
      <w:r>
        <w:t>bank – means an ADI or overseas bank;</w:t>
      </w:r>
    </w:p>
    <w:p w14:paraId="762910D2" w14:textId="63E6690E" w:rsidR="00D26539" w:rsidRDefault="00D26539" w:rsidP="004E3D68">
      <w:pPr>
        <w:pStyle w:val="BodyText2"/>
      </w:pPr>
      <w:r>
        <w:lastRenderedPageBreak/>
        <w:t xml:space="preserve">commitment – has the meaning given in paragraphs </w:t>
      </w:r>
      <w:r>
        <w:fldChar w:fldCharType="begin"/>
      </w:r>
      <w:r>
        <w:instrText xml:space="preserve"> REF _Ref34047157 \r \h </w:instrText>
      </w:r>
      <w:r>
        <w:fldChar w:fldCharType="separate"/>
      </w:r>
      <w:r w:rsidR="0007706D">
        <w:t>1</w:t>
      </w:r>
      <w:r>
        <w:fldChar w:fldCharType="end"/>
      </w:r>
      <w:r>
        <w:t xml:space="preserve"> to </w:t>
      </w:r>
      <w:r>
        <w:fldChar w:fldCharType="begin"/>
      </w:r>
      <w:r>
        <w:instrText xml:space="preserve"> REF _Ref34047160 \r \h </w:instrText>
      </w:r>
      <w:r>
        <w:fldChar w:fldCharType="separate"/>
      </w:r>
      <w:r w:rsidR="0007706D">
        <w:t>3</w:t>
      </w:r>
      <w:r>
        <w:fldChar w:fldCharType="end"/>
      </w:r>
      <w:r>
        <w:t xml:space="preserve"> of Attachment C to this Prudential </w:t>
      </w:r>
      <w:proofErr w:type="gramStart"/>
      <w:r>
        <w:t>Standard;</w:t>
      </w:r>
      <w:proofErr w:type="gramEnd"/>
    </w:p>
    <w:p w14:paraId="1ECA0A56" w14:textId="0DEE631F" w:rsidR="005F5AC3" w:rsidRDefault="005F5AC3" w:rsidP="004E3D68">
      <w:pPr>
        <w:pStyle w:val="BodyText2"/>
      </w:pPr>
      <w:r>
        <w:t>commodities finance – has the meaning given i</w:t>
      </w:r>
      <w:r w:rsidRPr="007C6C88">
        <w:t xml:space="preserve">n </w:t>
      </w:r>
      <w:r w:rsidR="007C6C88" w:rsidRPr="007C6C88">
        <w:t xml:space="preserve">paragraph </w:t>
      </w:r>
      <w:r w:rsidR="007C6C88" w:rsidRPr="007C6C88">
        <w:fldChar w:fldCharType="begin"/>
      </w:r>
      <w:r w:rsidR="007C6C88" w:rsidRPr="007C6C88">
        <w:instrText xml:space="preserve"> REF _Ref34045377 \r \h </w:instrText>
      </w:r>
      <w:r w:rsidR="007C6C88">
        <w:instrText xml:space="preserve"> \* MERGEFORMAT </w:instrText>
      </w:r>
      <w:r w:rsidR="007C6C88" w:rsidRPr="007C6C88">
        <w:fldChar w:fldCharType="separate"/>
      </w:r>
      <w:r w:rsidR="0007706D">
        <w:t>27(c)</w:t>
      </w:r>
      <w:r w:rsidR="007C6C88" w:rsidRPr="007C6C88">
        <w:fldChar w:fldCharType="end"/>
      </w:r>
      <w:r>
        <w:t xml:space="preserve"> of Attachment B to this Prudential </w:t>
      </w:r>
      <w:proofErr w:type="gramStart"/>
      <w:r>
        <w:t>Standard;</w:t>
      </w:r>
      <w:proofErr w:type="gramEnd"/>
      <w:r>
        <w:t xml:space="preserve"> </w:t>
      </w:r>
    </w:p>
    <w:p w14:paraId="16A99BC3" w14:textId="502D72CE" w:rsidR="00880C72" w:rsidRDefault="00880C72" w:rsidP="004E3D68">
      <w:pPr>
        <w:pStyle w:val="BodyText2"/>
      </w:pPr>
      <w:r>
        <w:t>corporate</w:t>
      </w:r>
      <w:r w:rsidR="009507A8">
        <w:t xml:space="preserve"> exposure</w:t>
      </w:r>
      <w:r>
        <w:t xml:space="preserve"> – has the meaning given in paragraph </w:t>
      </w:r>
      <w:r>
        <w:fldChar w:fldCharType="begin"/>
      </w:r>
      <w:r>
        <w:instrText xml:space="preserve"> REF _Ref10738097 \r \h </w:instrText>
      </w:r>
      <w:r>
        <w:fldChar w:fldCharType="separate"/>
      </w:r>
      <w:r w:rsidR="0007706D">
        <w:t>18</w:t>
      </w:r>
      <w:r>
        <w:fldChar w:fldCharType="end"/>
      </w:r>
      <w:r>
        <w:t xml:space="preserve"> of Attachment B to this Prudential Standard</w:t>
      </w:r>
      <w:r w:rsidR="00654E5E">
        <w:t xml:space="preserve"> and i</w:t>
      </w:r>
      <w:r w:rsidR="008D6742">
        <w:t xml:space="preserve">ncludes </w:t>
      </w:r>
      <w:r w:rsidR="00654E5E">
        <w:t xml:space="preserve">general corporate exposures and specialised lending </w:t>
      </w:r>
      <w:proofErr w:type="gramStart"/>
      <w:r w:rsidR="00654E5E">
        <w:t>exposures</w:t>
      </w:r>
      <w:r>
        <w:t>;</w:t>
      </w:r>
      <w:proofErr w:type="gramEnd"/>
    </w:p>
    <w:p w14:paraId="76242135" w14:textId="6CBE5E97" w:rsidR="001716DF" w:rsidRDefault="001716DF" w:rsidP="004E3D68">
      <w:pPr>
        <w:pStyle w:val="BodyText2"/>
      </w:pPr>
      <w:r>
        <w:t>counterparty credit risk – means the risk that the counterparty to a transaction could default before the final settlement of the transaction’s cash flows. An economic loss would occur if the transactions, or portfolio of transactions, with the counterparty has a positive economic value at the time of default;</w:t>
      </w:r>
    </w:p>
    <w:p w14:paraId="4C26B6C2" w14:textId="443296CA" w:rsidR="00E3639C" w:rsidRPr="00221B4F" w:rsidRDefault="00E3639C" w:rsidP="004E3D68">
      <w:pPr>
        <w:pStyle w:val="BodyText2"/>
      </w:pPr>
      <w:r w:rsidRPr="00221B4F">
        <w:t xml:space="preserve">credit </w:t>
      </w:r>
      <w:r w:rsidR="00221B4F" w:rsidRPr="00221B4F">
        <w:t>conversion factor (CCF) – means the percentage value used to convert an off-balance sheet exposure into an on-balance sheet equivalent;</w:t>
      </w:r>
    </w:p>
    <w:p w14:paraId="4C3F8A16" w14:textId="5A969E34" w:rsidR="0009202F" w:rsidRDefault="0009202F" w:rsidP="004E3D68">
      <w:pPr>
        <w:pStyle w:val="BodyText2"/>
      </w:pPr>
      <w:r>
        <w:t xml:space="preserve">credit protection – means the extent of credit risk transference from the party </w:t>
      </w:r>
      <w:r w:rsidR="005B1DD9">
        <w:t xml:space="preserve">buying credit protection to the party selling credit protection under the terms of a </w:t>
      </w:r>
      <w:r w:rsidR="007C6C88">
        <w:t xml:space="preserve">guarantee or </w:t>
      </w:r>
      <w:r w:rsidR="005B1DD9">
        <w:t>credit derivative contract;</w:t>
      </w:r>
    </w:p>
    <w:p w14:paraId="672CE393" w14:textId="6A347E19" w:rsidR="00E3639C" w:rsidRDefault="00E3639C" w:rsidP="004E3D68">
      <w:pPr>
        <w:pStyle w:val="BodyText2"/>
      </w:pPr>
      <w:r>
        <w:t>defaulted exposu</w:t>
      </w:r>
      <w:r w:rsidR="008B357C">
        <w:t>re</w:t>
      </w:r>
      <w:r>
        <w:t xml:space="preserve"> – </w:t>
      </w:r>
      <w:r w:rsidR="00452AAE">
        <w:t>me</w:t>
      </w:r>
      <w:r w:rsidR="00452462">
        <w:t>ans a non-performing exposure</w:t>
      </w:r>
      <w:r w:rsidR="00452AAE">
        <w:t xml:space="preserve"> as defined in</w:t>
      </w:r>
      <w:r>
        <w:t xml:space="preserve"> </w:t>
      </w:r>
      <w:r w:rsidRPr="0084312F">
        <w:rPr>
          <w:i/>
        </w:rPr>
        <w:t>Prudential Standard</w:t>
      </w:r>
      <w:r w:rsidR="0084312F" w:rsidRPr="0084312F">
        <w:rPr>
          <w:i/>
        </w:rPr>
        <w:t xml:space="preserve"> APS 220 Credit Risk Management</w:t>
      </w:r>
      <w:r w:rsidR="0084312F">
        <w:t xml:space="preserve"> (APS 220)</w:t>
      </w:r>
      <w:r w:rsidR="005D2126">
        <w:t xml:space="preserve">; </w:t>
      </w:r>
    </w:p>
    <w:p w14:paraId="53641DF2" w14:textId="58C19892" w:rsidR="00CC0E69" w:rsidRDefault="00CC0E69" w:rsidP="004E3D68">
      <w:pPr>
        <w:pStyle w:val="BodyText2"/>
      </w:pPr>
      <w:r>
        <w:t xml:space="preserve">domestic public sector entity (PSE) – has the meaning given in paragraph </w:t>
      </w:r>
      <w:r>
        <w:fldChar w:fldCharType="begin"/>
      </w:r>
      <w:r>
        <w:instrText xml:space="preserve"> REF _Ref10799245 \r \h </w:instrText>
      </w:r>
      <w:r>
        <w:fldChar w:fldCharType="separate"/>
      </w:r>
      <w:r w:rsidR="0007706D">
        <w:t>6</w:t>
      </w:r>
      <w:r>
        <w:fldChar w:fldCharType="end"/>
      </w:r>
      <w:r>
        <w:t xml:space="preserve"> of Attachment B to this Prudential </w:t>
      </w:r>
      <w:proofErr w:type="gramStart"/>
      <w:r>
        <w:t>Standard;</w:t>
      </w:r>
      <w:proofErr w:type="gramEnd"/>
    </w:p>
    <w:p w14:paraId="0A017DA2" w14:textId="2823FF6C" w:rsidR="008D1832" w:rsidRDefault="008D1832" w:rsidP="004E3D68">
      <w:pPr>
        <w:pStyle w:val="BodyText2"/>
      </w:pPr>
      <w:r>
        <w:t xml:space="preserve">eligible bilateral netting agreement – means a </w:t>
      </w:r>
      <w:r w:rsidRPr="002E5520">
        <w:rPr>
          <w:b/>
        </w:rPr>
        <w:t xml:space="preserve">netting </w:t>
      </w:r>
      <w:r>
        <w:t xml:space="preserve">agreement that meets the requirements </w:t>
      </w:r>
      <w:r w:rsidR="007E72AB">
        <w:t xml:space="preserve">set out in paragraph </w:t>
      </w:r>
      <w:r w:rsidR="007E72AB">
        <w:fldChar w:fldCharType="begin"/>
      </w:r>
      <w:r w:rsidR="007E72AB">
        <w:instrText xml:space="preserve"> REF _Ref3470851 \r \h </w:instrText>
      </w:r>
      <w:r w:rsidR="007E72AB">
        <w:fldChar w:fldCharType="separate"/>
      </w:r>
      <w:r w:rsidR="0007706D">
        <w:t>9</w:t>
      </w:r>
      <w:r w:rsidR="007E72AB">
        <w:fldChar w:fldCharType="end"/>
      </w:r>
      <w:r w:rsidR="007E72AB">
        <w:t xml:space="preserve"> </w:t>
      </w:r>
      <w:r>
        <w:t xml:space="preserve">of </w:t>
      </w:r>
      <w:r w:rsidRPr="007E72AB">
        <w:t>Attachment H</w:t>
      </w:r>
      <w:r>
        <w:t xml:space="preserve"> to this Prudential </w:t>
      </w:r>
      <w:proofErr w:type="gramStart"/>
      <w:r>
        <w:t>Standard</w:t>
      </w:r>
      <w:r w:rsidR="005D2126">
        <w:t>;</w:t>
      </w:r>
      <w:proofErr w:type="gramEnd"/>
    </w:p>
    <w:p w14:paraId="6DD5CCE4" w14:textId="77777777" w:rsidR="00C24C31" w:rsidRDefault="00C24C31" w:rsidP="00C24C31">
      <w:pPr>
        <w:pStyle w:val="BodyText2"/>
        <w:numPr>
          <w:ilvl w:val="1"/>
          <w:numId w:val="3"/>
        </w:numPr>
      </w:pPr>
      <w:r>
        <w:t>eligible credit risk mitigation (CRM) – means any of the credit risk mitigation techniques detailed in Attachments G to J of this Prudential Standard;</w:t>
      </w:r>
    </w:p>
    <w:p w14:paraId="508EF860" w14:textId="42AB1BB2" w:rsidR="00040EA0" w:rsidRDefault="00040EA0" w:rsidP="004E3D68">
      <w:pPr>
        <w:pStyle w:val="BodyText2"/>
      </w:pPr>
      <w:r>
        <w:t xml:space="preserve">eligible </w:t>
      </w:r>
      <w:r w:rsidR="007B2C50">
        <w:t xml:space="preserve">financial </w:t>
      </w:r>
      <w:r>
        <w:t xml:space="preserve">collateral – means collateral listed in </w:t>
      </w:r>
      <w:r w:rsidRPr="007E72AB">
        <w:t>paragra</w:t>
      </w:r>
      <w:r w:rsidR="007E72AB">
        <w:t xml:space="preserve">phs </w:t>
      </w:r>
      <w:r w:rsidR="007E72AB">
        <w:fldChar w:fldCharType="begin"/>
      </w:r>
      <w:r w:rsidR="007E72AB">
        <w:instrText xml:space="preserve"> REF _Ref3470947 \r \h </w:instrText>
      </w:r>
      <w:r w:rsidR="007E72AB">
        <w:fldChar w:fldCharType="separate"/>
      </w:r>
      <w:r w:rsidR="0007706D">
        <w:t>14</w:t>
      </w:r>
      <w:r w:rsidR="007E72AB">
        <w:fldChar w:fldCharType="end"/>
      </w:r>
      <w:r w:rsidR="007E72AB">
        <w:t xml:space="preserve"> </w:t>
      </w:r>
      <w:r w:rsidR="00013CA0">
        <w:t xml:space="preserve">or </w:t>
      </w:r>
      <w:r w:rsidR="007E72AB">
        <w:fldChar w:fldCharType="begin"/>
      </w:r>
      <w:r w:rsidR="007E72AB">
        <w:instrText xml:space="preserve"> REF _Ref3470975 \r \h </w:instrText>
      </w:r>
      <w:r w:rsidR="007E72AB">
        <w:fldChar w:fldCharType="separate"/>
      </w:r>
      <w:r w:rsidR="0007706D">
        <w:t>22</w:t>
      </w:r>
      <w:r w:rsidR="007E72AB">
        <w:fldChar w:fldCharType="end"/>
      </w:r>
      <w:r w:rsidRPr="007E72AB">
        <w:t xml:space="preserve"> </w:t>
      </w:r>
      <w:r w:rsidRPr="00D55490">
        <w:t xml:space="preserve">of Attachment </w:t>
      </w:r>
      <w:r w:rsidR="00D55490" w:rsidRPr="00D55490">
        <w:t>G</w:t>
      </w:r>
      <w:r w:rsidR="00D55490">
        <w:t xml:space="preserve"> to</w:t>
      </w:r>
      <w:r>
        <w:t xml:space="preserve"> this Prudential </w:t>
      </w:r>
      <w:proofErr w:type="gramStart"/>
      <w:r>
        <w:t>Standard</w:t>
      </w:r>
      <w:r w:rsidR="005D2126">
        <w:t>;</w:t>
      </w:r>
      <w:proofErr w:type="gramEnd"/>
    </w:p>
    <w:p w14:paraId="6F626DDF" w14:textId="104A9BA8" w:rsidR="008C2EAE" w:rsidRDefault="008C2EAE" w:rsidP="004E3D68">
      <w:pPr>
        <w:pStyle w:val="BodyText2"/>
      </w:pPr>
      <w:r>
        <w:t xml:space="preserve">equity exposure – has the meaning given in </w:t>
      </w:r>
      <w:r w:rsidRPr="007C6C88">
        <w:t xml:space="preserve">paragraphs </w:t>
      </w:r>
      <w:r w:rsidR="007C6C88">
        <w:fldChar w:fldCharType="begin"/>
      </w:r>
      <w:r w:rsidR="007C6C88">
        <w:instrText xml:space="preserve"> REF _Ref34045479 \r \h </w:instrText>
      </w:r>
      <w:r w:rsidR="007C6C88">
        <w:fldChar w:fldCharType="separate"/>
      </w:r>
      <w:r w:rsidR="0007706D">
        <w:t>34</w:t>
      </w:r>
      <w:r w:rsidR="007C6C88">
        <w:fldChar w:fldCharType="end"/>
      </w:r>
      <w:r w:rsidRPr="007C6C88">
        <w:t xml:space="preserve"> to </w:t>
      </w:r>
      <w:r w:rsidR="007C6C88">
        <w:fldChar w:fldCharType="begin"/>
      </w:r>
      <w:r w:rsidR="007C6C88">
        <w:instrText xml:space="preserve"> REF _Ref34045494 \r \h </w:instrText>
      </w:r>
      <w:r w:rsidR="007C6C88">
        <w:fldChar w:fldCharType="separate"/>
      </w:r>
      <w:r w:rsidR="0007706D">
        <w:t>37</w:t>
      </w:r>
      <w:r w:rsidR="007C6C88">
        <w:fldChar w:fldCharType="end"/>
      </w:r>
      <w:r>
        <w:t xml:space="preserve"> of Attachment B to this Prudential </w:t>
      </w:r>
      <w:proofErr w:type="gramStart"/>
      <w:r>
        <w:t>Standard;</w:t>
      </w:r>
      <w:proofErr w:type="gramEnd"/>
    </w:p>
    <w:p w14:paraId="037AE30C" w14:textId="4FA02165" w:rsidR="00654E5E" w:rsidRDefault="00654E5E" w:rsidP="00654E5E">
      <w:pPr>
        <w:pStyle w:val="BodyText2"/>
      </w:pPr>
      <w:r>
        <w:t xml:space="preserve">general corporate </w:t>
      </w:r>
      <w:r w:rsidR="00986F2B">
        <w:t xml:space="preserve">exposure </w:t>
      </w:r>
      <w:r w:rsidR="0062501A">
        <w:t>–</w:t>
      </w:r>
      <w:r>
        <w:t xml:space="preserve"> </w:t>
      </w:r>
      <w:r w:rsidR="00986F2B">
        <w:t xml:space="preserve">means a corporate exposure that is not a </w:t>
      </w:r>
      <w:r w:rsidRPr="00654E5E">
        <w:t>specialised lending exposure</w:t>
      </w:r>
      <w:r>
        <w:t>;</w:t>
      </w:r>
    </w:p>
    <w:p w14:paraId="2DE64DA9" w14:textId="1DB4C26A" w:rsidR="00C24C31" w:rsidRDefault="00C24C31" w:rsidP="00C24C31">
      <w:pPr>
        <w:pStyle w:val="BodyText2"/>
        <w:numPr>
          <w:ilvl w:val="1"/>
          <w:numId w:val="3"/>
        </w:numPr>
      </w:pPr>
      <w:r>
        <w:t xml:space="preserve">lenders’ mortgage insurance (LMI) – means mortgage insurance that meets the requirements set out in paragraph </w:t>
      </w:r>
      <w:r>
        <w:fldChar w:fldCharType="begin"/>
      </w:r>
      <w:r>
        <w:instrText xml:space="preserve"> REF _Ref3471065 \r \h </w:instrText>
      </w:r>
      <w:r>
        <w:fldChar w:fldCharType="separate"/>
      </w:r>
      <w:r w:rsidR="0007706D">
        <w:t>15</w:t>
      </w:r>
      <w:r>
        <w:fldChar w:fldCharType="end"/>
      </w:r>
      <w:r>
        <w:t xml:space="preserve"> of Attachment A to this Prudential </w:t>
      </w:r>
      <w:proofErr w:type="gramStart"/>
      <w:r>
        <w:t>Standard;</w:t>
      </w:r>
      <w:proofErr w:type="gramEnd"/>
    </w:p>
    <w:p w14:paraId="0247DED6" w14:textId="6D0E5E46" w:rsidR="0040425D" w:rsidRDefault="0040425D" w:rsidP="004E3D68">
      <w:pPr>
        <w:pStyle w:val="BodyText2"/>
      </w:pPr>
      <w:r>
        <w:lastRenderedPageBreak/>
        <w:t>loan-to-valuation</w:t>
      </w:r>
      <w:r w:rsidR="003A7116">
        <w:t xml:space="preserve"> ratio</w:t>
      </w:r>
      <w:r>
        <w:t xml:space="preserve"> (LVR) – means a ratio calculated by dividing the amount of the loan by the value of the property or prop</w:t>
      </w:r>
      <w:r w:rsidR="00027C12">
        <w:t>erties used to secure repayment;</w:t>
      </w:r>
    </w:p>
    <w:p w14:paraId="6502A01C" w14:textId="06E3892F" w:rsidR="00B34DD9" w:rsidRDefault="00B34DD9" w:rsidP="004E3D68">
      <w:pPr>
        <w:pStyle w:val="BodyText2"/>
      </w:pPr>
      <w:r>
        <w:t>netting set – has the meaning given in APS 180;</w:t>
      </w:r>
    </w:p>
    <w:p w14:paraId="3AE35FF6" w14:textId="45FD338A" w:rsidR="008C2EAE" w:rsidRDefault="008C2EAE" w:rsidP="004E3D68">
      <w:pPr>
        <w:pStyle w:val="BodyText2"/>
      </w:pPr>
      <w:r>
        <w:t xml:space="preserve">non-standard </w:t>
      </w:r>
      <w:r w:rsidR="00047B49">
        <w:t>loan</w:t>
      </w:r>
      <w:r>
        <w:t xml:space="preserve"> – </w:t>
      </w:r>
      <w:r w:rsidR="00047B49">
        <w:t xml:space="preserve">means a </w:t>
      </w:r>
      <w:r w:rsidR="006400C2">
        <w:t xml:space="preserve">property exposure </w:t>
      </w:r>
      <w:r w:rsidR="00047B49">
        <w:t>that does not</w:t>
      </w:r>
      <w:r w:rsidR="004E1ECD">
        <w:t xml:space="preserve"> satisfy </w:t>
      </w:r>
      <w:r w:rsidR="00811E9F">
        <w:t xml:space="preserve">any </w:t>
      </w:r>
      <w:r w:rsidR="006400C2">
        <w:t xml:space="preserve">of the requirements set out in </w:t>
      </w:r>
      <w:r w:rsidR="006400C2" w:rsidRPr="00B460AB">
        <w:t xml:space="preserve">paragraphs </w:t>
      </w:r>
      <w:r w:rsidR="006400C2" w:rsidRPr="00B460AB">
        <w:fldChar w:fldCharType="begin"/>
      </w:r>
      <w:r w:rsidR="006400C2" w:rsidRPr="00B460AB">
        <w:instrText xml:space="preserve"> REF _Ref3471313 \r \h  \* MERGEFORMAT </w:instrText>
      </w:r>
      <w:r w:rsidR="006400C2" w:rsidRPr="00B460AB">
        <w:fldChar w:fldCharType="separate"/>
      </w:r>
      <w:r w:rsidR="0007706D">
        <w:t>3</w:t>
      </w:r>
      <w:r w:rsidR="006400C2" w:rsidRPr="00B460AB">
        <w:fldChar w:fldCharType="end"/>
      </w:r>
      <w:r w:rsidR="006400C2" w:rsidRPr="00B460AB">
        <w:t xml:space="preserve"> to</w:t>
      </w:r>
      <w:r w:rsidR="006400C2">
        <w:t xml:space="preserve"> </w:t>
      </w:r>
      <w:r w:rsidR="006400C2">
        <w:fldChar w:fldCharType="begin"/>
      </w:r>
      <w:r w:rsidR="006400C2">
        <w:instrText xml:space="preserve"> REF _Ref3471349 \r \h </w:instrText>
      </w:r>
      <w:r w:rsidR="006400C2">
        <w:fldChar w:fldCharType="separate"/>
      </w:r>
      <w:r w:rsidR="0007706D">
        <w:t>7</w:t>
      </w:r>
      <w:r w:rsidR="006400C2">
        <w:fldChar w:fldCharType="end"/>
      </w:r>
      <w:r w:rsidR="006400C2">
        <w:t xml:space="preserve"> of Attachment A to this </w:t>
      </w:r>
      <w:r w:rsidR="00C33E41">
        <w:t>P</w:t>
      </w:r>
      <w:r w:rsidR="006400C2">
        <w:t xml:space="preserve">rudential </w:t>
      </w:r>
      <w:r w:rsidR="00C33E41">
        <w:t>S</w:t>
      </w:r>
      <w:r w:rsidR="006400C2">
        <w:t>tandard, or a loan that</w:t>
      </w:r>
      <w:r w:rsidR="00047B49">
        <w:t xml:space="preserve"> </w:t>
      </w:r>
      <w:r>
        <w:t xml:space="preserve">has the meaning given in </w:t>
      </w:r>
      <w:r w:rsidR="005350BF" w:rsidRPr="005350BF">
        <w:t xml:space="preserve">paragraph </w:t>
      </w:r>
      <w:r w:rsidR="005350BF" w:rsidRPr="005350BF">
        <w:fldChar w:fldCharType="begin"/>
      </w:r>
      <w:r w:rsidR="005350BF" w:rsidRPr="005350BF">
        <w:instrText xml:space="preserve"> REF _Ref34045799 \r \h </w:instrText>
      </w:r>
      <w:r w:rsidR="005350BF">
        <w:instrText xml:space="preserve"> \* MERGEFORMAT </w:instrText>
      </w:r>
      <w:r w:rsidR="005350BF" w:rsidRPr="005350BF">
        <w:fldChar w:fldCharType="separate"/>
      </w:r>
      <w:r w:rsidR="0007706D">
        <w:t>19</w:t>
      </w:r>
      <w:r w:rsidR="005350BF" w:rsidRPr="005350BF">
        <w:fldChar w:fldCharType="end"/>
      </w:r>
      <w:r w:rsidR="005350BF" w:rsidRPr="005350BF">
        <w:t xml:space="preserve"> </w:t>
      </w:r>
      <w:r w:rsidRPr="005350BF">
        <w:t>of</w:t>
      </w:r>
      <w:r>
        <w:t xml:space="preserve"> Attachment A to this </w:t>
      </w:r>
      <w:r w:rsidR="00C33E41">
        <w:t>P</w:t>
      </w:r>
      <w:r>
        <w:t xml:space="preserve">rudential </w:t>
      </w:r>
      <w:r w:rsidR="00C33E41">
        <w:t>S</w:t>
      </w:r>
      <w:r>
        <w:t xml:space="preserve">tandard; </w:t>
      </w:r>
    </w:p>
    <w:p w14:paraId="109AEB97" w14:textId="5D7CD38B" w:rsidR="00D65F54" w:rsidRDefault="00D65F54" w:rsidP="004E3D68">
      <w:pPr>
        <w:pStyle w:val="BodyText2"/>
      </w:pPr>
      <w:r>
        <w:t xml:space="preserve">object finance – has the meaning given in </w:t>
      </w:r>
      <w:r w:rsidR="005350BF" w:rsidRPr="005350BF">
        <w:t xml:space="preserve">paragraph </w:t>
      </w:r>
      <w:r w:rsidR="005350BF" w:rsidRPr="005350BF">
        <w:fldChar w:fldCharType="begin"/>
      </w:r>
      <w:r w:rsidR="005350BF" w:rsidRPr="005350BF">
        <w:instrText xml:space="preserve"> REF _Ref34045840 \r \h </w:instrText>
      </w:r>
      <w:r w:rsidR="005350BF">
        <w:instrText xml:space="preserve"> \* MERGEFORMAT </w:instrText>
      </w:r>
      <w:r w:rsidR="005350BF" w:rsidRPr="005350BF">
        <w:fldChar w:fldCharType="separate"/>
      </w:r>
      <w:r w:rsidR="0007706D">
        <w:t>27(b)</w:t>
      </w:r>
      <w:r w:rsidR="005350BF" w:rsidRPr="005350BF">
        <w:fldChar w:fldCharType="end"/>
      </w:r>
      <w:r>
        <w:t xml:space="preserve"> of Attachment B to this Prudential </w:t>
      </w:r>
      <w:proofErr w:type="gramStart"/>
      <w:r>
        <w:t>Standard;</w:t>
      </w:r>
      <w:proofErr w:type="gramEnd"/>
    </w:p>
    <w:p w14:paraId="36B969FC" w14:textId="177F340F" w:rsidR="005B1DD9" w:rsidRDefault="005B1DD9" w:rsidP="004E3D68">
      <w:pPr>
        <w:pStyle w:val="BodyText2"/>
      </w:pPr>
      <w:r>
        <w:t xml:space="preserve">off-balance sheet exposure – means </w:t>
      </w:r>
      <w:r w:rsidR="00E27EDF">
        <w:t xml:space="preserve">an </w:t>
      </w:r>
      <w:r w:rsidR="005D2126">
        <w:t>exposure which</w:t>
      </w:r>
      <w:r w:rsidR="00E27EDF">
        <w:t xml:space="preserve"> is</w:t>
      </w:r>
      <w:r w:rsidR="00261470">
        <w:t xml:space="preserve"> within the scope of</w:t>
      </w:r>
      <w:r w:rsidR="005D2126">
        <w:t xml:space="preserve"> Attachment C to this Prudential Standard or </w:t>
      </w:r>
      <w:r w:rsidR="00F67FFB">
        <w:t>APS 180;</w:t>
      </w:r>
    </w:p>
    <w:p w14:paraId="4F09FAF4" w14:textId="77777777" w:rsidR="005C5285" w:rsidRDefault="005C5285" w:rsidP="005C5285">
      <w:pPr>
        <w:pStyle w:val="BodyText2"/>
        <w:numPr>
          <w:ilvl w:val="1"/>
          <w:numId w:val="3"/>
        </w:numPr>
      </w:pPr>
      <w:r>
        <w:t>over-the-counter (OTC) derivative transaction – means a customised, privately negotiated, risk-shifting agreement, the value of which is derived from the value of an underlying asset;</w:t>
      </w:r>
    </w:p>
    <w:p w14:paraId="0E9266BA" w14:textId="397F72E4" w:rsidR="00322436" w:rsidRDefault="00322436" w:rsidP="004E3D68">
      <w:pPr>
        <w:pStyle w:val="BodyText2"/>
      </w:pPr>
      <w:r>
        <w:t xml:space="preserve">overseas bank – means a financial institution </w:t>
      </w:r>
      <w:r w:rsidR="008F7297">
        <w:t xml:space="preserve">incorporated outside of Australia, </w:t>
      </w:r>
      <w:r>
        <w:t>which</w:t>
      </w:r>
      <w:r w:rsidR="008F7297">
        <w:t xml:space="preserve"> is not an ADI and</w:t>
      </w:r>
      <w:r>
        <w:t>:</w:t>
      </w:r>
    </w:p>
    <w:p w14:paraId="2D1051F2" w14:textId="0F078A8D" w:rsidR="00322436" w:rsidRDefault="00322436" w:rsidP="004E3D68">
      <w:pPr>
        <w:pStyle w:val="BodyText3"/>
      </w:pPr>
      <w:r>
        <w:t>has the power to accept deposits in the ordinary course of business;</w:t>
      </w:r>
    </w:p>
    <w:p w14:paraId="2264C5DE" w14:textId="03605EDB" w:rsidR="00322436" w:rsidRDefault="00322436" w:rsidP="004E3D68">
      <w:pPr>
        <w:pStyle w:val="BodyText3"/>
      </w:pPr>
      <w:r>
        <w:t>is supervised by the bank supervisor in its home country; and</w:t>
      </w:r>
    </w:p>
    <w:p w14:paraId="1F971DD6" w14:textId="45446715" w:rsidR="00322436" w:rsidRDefault="00322436" w:rsidP="004E3D68">
      <w:pPr>
        <w:pStyle w:val="BodyText3"/>
      </w:pPr>
      <w:r>
        <w:t>is subject to substantially the same prudential requirements as ADIs</w:t>
      </w:r>
      <w:r w:rsidR="005D2126">
        <w:t>;</w:t>
      </w:r>
    </w:p>
    <w:p w14:paraId="13561C75" w14:textId="7653A379" w:rsidR="00D65F54" w:rsidRDefault="00D65F54" w:rsidP="004E3D68">
      <w:pPr>
        <w:pStyle w:val="BodyText2"/>
      </w:pPr>
      <w:r>
        <w:t xml:space="preserve">project finance – has the meaning given in </w:t>
      </w:r>
      <w:r w:rsidR="00E47761" w:rsidRPr="00E47761">
        <w:t xml:space="preserve">paragraph </w:t>
      </w:r>
      <w:r w:rsidR="00E47761" w:rsidRPr="00E47761">
        <w:fldChar w:fldCharType="begin"/>
      </w:r>
      <w:r w:rsidR="00E47761" w:rsidRPr="00E47761">
        <w:instrText xml:space="preserve"> REF _Ref34045919 \r \h </w:instrText>
      </w:r>
      <w:r w:rsidR="00E47761">
        <w:instrText xml:space="preserve"> \* MERGEFORMAT </w:instrText>
      </w:r>
      <w:r w:rsidR="00E47761" w:rsidRPr="00E47761">
        <w:fldChar w:fldCharType="separate"/>
      </w:r>
      <w:r w:rsidR="0007706D">
        <w:t>27(a)</w:t>
      </w:r>
      <w:r w:rsidR="00E47761" w:rsidRPr="00E47761">
        <w:fldChar w:fldCharType="end"/>
      </w:r>
      <w:r>
        <w:t xml:space="preserve"> of Attachment B to this Prudential </w:t>
      </w:r>
      <w:proofErr w:type="gramStart"/>
      <w:r>
        <w:t>Standard;</w:t>
      </w:r>
      <w:proofErr w:type="gramEnd"/>
      <w:r>
        <w:t xml:space="preserve"> </w:t>
      </w:r>
    </w:p>
    <w:p w14:paraId="2A71C898" w14:textId="0F61822F" w:rsidR="005B1DD9" w:rsidRDefault="009703CF" w:rsidP="004E3D68">
      <w:pPr>
        <w:pStyle w:val="BodyText2"/>
      </w:pPr>
      <w:r>
        <w:t>property exposure – has</w:t>
      </w:r>
      <w:r w:rsidR="00D55490">
        <w:t xml:space="preserve"> the meaning given in</w:t>
      </w:r>
      <w:r>
        <w:t xml:space="preserve"> Attachment A to this Prudential Standard</w:t>
      </w:r>
      <w:r w:rsidR="00AB0049">
        <w:t>;</w:t>
      </w:r>
    </w:p>
    <w:p w14:paraId="2ACC1001" w14:textId="62861F02" w:rsidR="004565CB" w:rsidRDefault="004565CB" w:rsidP="004E3D68">
      <w:pPr>
        <w:pStyle w:val="BodyText2"/>
      </w:pPr>
      <w:r>
        <w:t xml:space="preserve">related-party exposure – means the exposure of an ADI to a related entity as defined in </w:t>
      </w:r>
      <w:r>
        <w:rPr>
          <w:i/>
        </w:rPr>
        <w:t xml:space="preserve">Prudential Standard APS 222 Associations with </w:t>
      </w:r>
      <w:r w:rsidR="00EA4E66">
        <w:rPr>
          <w:i/>
        </w:rPr>
        <w:t>R</w:t>
      </w:r>
      <w:r>
        <w:rPr>
          <w:i/>
        </w:rPr>
        <w:t xml:space="preserve">elated </w:t>
      </w:r>
      <w:r w:rsidR="008A4AD2">
        <w:rPr>
          <w:i/>
        </w:rPr>
        <w:t>E</w:t>
      </w:r>
      <w:r>
        <w:rPr>
          <w:i/>
        </w:rPr>
        <w:t>ntities</w:t>
      </w:r>
      <w:r>
        <w:t xml:space="preserve">. A </w:t>
      </w:r>
      <w:r w:rsidR="00DC6297">
        <w:t>related-party exposure</w:t>
      </w:r>
      <w:r>
        <w:t xml:space="preserve"> would be classified </w:t>
      </w:r>
      <w:r w:rsidR="00AE7F15">
        <w:t>according to</w:t>
      </w:r>
      <w:r w:rsidR="00DC6297">
        <w:t xml:space="preserve"> the asset class definitions </w:t>
      </w:r>
      <w:r w:rsidR="00546CC7">
        <w:t xml:space="preserve">in Attachment </w:t>
      </w:r>
      <w:r w:rsidR="00DC6297">
        <w:t>B</w:t>
      </w:r>
      <w:r w:rsidR="00546CC7">
        <w:t xml:space="preserve"> of this Prudential Standard</w:t>
      </w:r>
      <w:r w:rsidR="00C650A4">
        <w:t xml:space="preserve">. For example, if </w:t>
      </w:r>
      <w:r w:rsidR="00250464">
        <w:t>an ADI has an exposure to a</w:t>
      </w:r>
      <w:r w:rsidR="00C650A4">
        <w:t xml:space="preserve"> related entity </w:t>
      </w:r>
      <w:r w:rsidR="00961C9B">
        <w:t xml:space="preserve">that </w:t>
      </w:r>
      <w:r w:rsidR="00250464">
        <w:t>is a</w:t>
      </w:r>
      <w:r w:rsidR="00740588">
        <w:t xml:space="preserve"> </w:t>
      </w:r>
      <w:r w:rsidR="00C650A4">
        <w:t>corporate</w:t>
      </w:r>
      <w:r w:rsidR="00740588">
        <w:t xml:space="preserve"> counterparty</w:t>
      </w:r>
      <w:r w:rsidR="00C650A4">
        <w:t>, the exposure is classified as a corporate exposure</w:t>
      </w:r>
      <w:r w:rsidR="00546CC7">
        <w:t>;</w:t>
      </w:r>
      <w:r>
        <w:t xml:space="preserve"> </w:t>
      </w:r>
    </w:p>
    <w:p w14:paraId="3A861A12" w14:textId="71B68C06" w:rsidR="00F50C30" w:rsidRDefault="00F50C30" w:rsidP="004E3D68">
      <w:pPr>
        <w:pStyle w:val="BodyText2"/>
      </w:pPr>
      <w:r>
        <w:t xml:space="preserve">risk-weighted assets (RWA) – means the credit exposures of an ADI multiplied by a percentage factor, as calculated in accordance with paragraphs </w:t>
      </w:r>
      <w:r>
        <w:fldChar w:fldCharType="begin"/>
      </w:r>
      <w:r>
        <w:instrText xml:space="preserve"> REF _Ref34048599 \r \h </w:instrText>
      </w:r>
      <w:r>
        <w:fldChar w:fldCharType="separate"/>
      </w:r>
      <w:r w:rsidR="0007706D">
        <w:t>19</w:t>
      </w:r>
      <w:r>
        <w:fldChar w:fldCharType="end"/>
      </w:r>
      <w:r>
        <w:t xml:space="preserve"> </w:t>
      </w:r>
      <w:r w:rsidR="00877C85">
        <w:t>to</w:t>
      </w:r>
      <w:r>
        <w:t xml:space="preserve"> </w:t>
      </w:r>
      <w:r w:rsidR="00877C85">
        <w:fldChar w:fldCharType="begin"/>
      </w:r>
      <w:r w:rsidR="00877C85">
        <w:instrText xml:space="preserve"> REF _Ref57985536 \r \h </w:instrText>
      </w:r>
      <w:r w:rsidR="00877C85">
        <w:fldChar w:fldCharType="separate"/>
      </w:r>
      <w:r w:rsidR="0007706D">
        <w:t>21</w:t>
      </w:r>
      <w:r w:rsidR="00877C85">
        <w:fldChar w:fldCharType="end"/>
      </w:r>
      <w:r>
        <w:t xml:space="preserve"> of this Prudential </w:t>
      </w:r>
      <w:proofErr w:type="gramStart"/>
      <w:r>
        <w:t>Standard;</w:t>
      </w:r>
      <w:proofErr w:type="gramEnd"/>
    </w:p>
    <w:p w14:paraId="54F35EF1" w14:textId="77777777" w:rsidR="00320183" w:rsidRDefault="005D2126" w:rsidP="004E3D68">
      <w:pPr>
        <w:pStyle w:val="BodyText2"/>
      </w:pPr>
      <w:r>
        <w:t xml:space="preserve">securities financing transaction (SFT) – means </w:t>
      </w:r>
      <w:r w:rsidR="00AB0049">
        <w:t xml:space="preserve">a </w:t>
      </w:r>
      <w:r>
        <w:t xml:space="preserve">transaction such as </w:t>
      </w:r>
      <w:r w:rsidR="00AB0049">
        <w:t xml:space="preserve">a </w:t>
      </w:r>
      <w:r>
        <w:t xml:space="preserve">repurchase agreement, reverse repurchase agreement </w:t>
      </w:r>
      <w:r w:rsidR="00BD04F8">
        <w:t>or a</w:t>
      </w:r>
      <w:r>
        <w:t xml:space="preserve"> securities lending and borrowing transaction where the value of the transaction depends on the market valuation of securities and the transaction </w:t>
      </w:r>
      <w:r w:rsidR="00AB0049">
        <w:t>is</w:t>
      </w:r>
      <w:r>
        <w:t xml:space="preserve"> typically subject to margin agreements; </w:t>
      </w:r>
    </w:p>
    <w:p w14:paraId="437A2D99" w14:textId="00FBFB5A" w:rsidR="005D2126" w:rsidRDefault="00320183" w:rsidP="004E3D68">
      <w:pPr>
        <w:pStyle w:val="BodyText2"/>
      </w:pPr>
      <w:r>
        <w:lastRenderedPageBreak/>
        <w:t xml:space="preserve">small- and medium-sized enterprise (SME) – has the meaning given in paragraph </w:t>
      </w:r>
      <w:r>
        <w:fldChar w:fldCharType="begin"/>
      </w:r>
      <w:r>
        <w:instrText xml:space="preserve"> REF _Ref10733986 \r \h </w:instrText>
      </w:r>
      <w:r>
        <w:fldChar w:fldCharType="separate"/>
      </w:r>
      <w:r w:rsidR="0007706D">
        <w:t>22</w:t>
      </w:r>
      <w:r>
        <w:fldChar w:fldCharType="end"/>
      </w:r>
      <w:r>
        <w:t xml:space="preserve"> of Attachment B to this Prudential </w:t>
      </w:r>
      <w:proofErr w:type="gramStart"/>
      <w:r>
        <w:t>Standard;</w:t>
      </w:r>
      <w:proofErr w:type="gramEnd"/>
      <w:r>
        <w:t xml:space="preserve"> </w:t>
      </w:r>
    </w:p>
    <w:p w14:paraId="224FBE2F" w14:textId="6AD81866" w:rsidR="008468F8" w:rsidRDefault="00DF601F" w:rsidP="004E3D68">
      <w:pPr>
        <w:pStyle w:val="BodyText2"/>
      </w:pPr>
      <w:r>
        <w:t xml:space="preserve">sovereign – </w:t>
      </w:r>
      <w:r w:rsidR="006B342E">
        <w:t>has t</w:t>
      </w:r>
      <w:r w:rsidR="001367E5">
        <w:t>he meaning given in</w:t>
      </w:r>
      <w:r w:rsidR="007E72AB">
        <w:t xml:space="preserve"> paragraph </w:t>
      </w:r>
      <w:r w:rsidR="007E72AB">
        <w:fldChar w:fldCharType="begin"/>
      </w:r>
      <w:r w:rsidR="007E72AB">
        <w:instrText xml:space="preserve"> REF _Ref3471121 \r \h </w:instrText>
      </w:r>
      <w:r w:rsidR="007E72AB">
        <w:fldChar w:fldCharType="separate"/>
      </w:r>
      <w:r w:rsidR="0007706D">
        <w:t>3</w:t>
      </w:r>
      <w:r w:rsidR="007E72AB">
        <w:fldChar w:fldCharType="end"/>
      </w:r>
      <w:r w:rsidR="007E72AB">
        <w:t xml:space="preserve"> </w:t>
      </w:r>
      <w:r w:rsidR="006B342E">
        <w:t>of Attachment B to this Prudential Standard</w:t>
      </w:r>
      <w:r w:rsidR="008468F8">
        <w:t>; and</w:t>
      </w:r>
    </w:p>
    <w:p w14:paraId="7B786FEE" w14:textId="7C0EF8B9" w:rsidR="00DF601F" w:rsidRPr="00EA3F82" w:rsidRDefault="008468F8" w:rsidP="004E3D68">
      <w:pPr>
        <w:pStyle w:val="BodyText2"/>
      </w:pPr>
      <w:r>
        <w:t xml:space="preserve">specialised lending – has the meaning given in </w:t>
      </w:r>
      <w:r w:rsidR="00E47761" w:rsidRPr="00E47761">
        <w:t xml:space="preserve">paragraph </w:t>
      </w:r>
      <w:r w:rsidR="00E47761" w:rsidRPr="00E47761">
        <w:fldChar w:fldCharType="begin"/>
      </w:r>
      <w:r w:rsidR="00E47761" w:rsidRPr="00E47761">
        <w:instrText xml:space="preserve"> REF _Ref3475426 \r \h </w:instrText>
      </w:r>
      <w:r w:rsidR="00E47761">
        <w:instrText xml:space="preserve"> \* MERGEFORMAT </w:instrText>
      </w:r>
      <w:r w:rsidR="00E47761" w:rsidRPr="00E47761">
        <w:fldChar w:fldCharType="separate"/>
      </w:r>
      <w:r w:rsidR="0007706D">
        <w:t>26</w:t>
      </w:r>
      <w:r w:rsidR="00E47761" w:rsidRPr="00E47761">
        <w:fldChar w:fldCharType="end"/>
      </w:r>
      <w:r w:rsidRPr="00E47761">
        <w:t xml:space="preserve"> of</w:t>
      </w:r>
      <w:r>
        <w:t xml:space="preserve"> Attachment B to this Prudential Standard</w:t>
      </w:r>
      <w:r w:rsidR="006B342E">
        <w:t>.</w:t>
      </w:r>
    </w:p>
    <w:p w14:paraId="566AFE7D" w14:textId="77777777" w:rsidR="007306D2" w:rsidRDefault="007306D2" w:rsidP="001307EC">
      <w:pPr>
        <w:pStyle w:val="Heading1body"/>
      </w:pPr>
      <w:bookmarkStart w:id="27" w:name="_Toc4489873"/>
      <w:bookmarkStart w:id="28" w:name="_Toc87376637"/>
      <w:bookmarkStart w:id="29" w:name="_Toc454561344"/>
      <w:r>
        <w:t>Key principles</w:t>
      </w:r>
      <w:bookmarkEnd w:id="27"/>
      <w:bookmarkEnd w:id="28"/>
    </w:p>
    <w:bookmarkEnd w:id="29"/>
    <w:p w14:paraId="61B1D328" w14:textId="0B0F94B3" w:rsidR="00E83A76" w:rsidRDefault="00B9346C" w:rsidP="00BF6CDF">
      <w:pPr>
        <w:pStyle w:val="BodyText1"/>
      </w:pPr>
      <w:r>
        <w:t xml:space="preserve">An ADI </w:t>
      </w:r>
      <w:r w:rsidR="00622FE3">
        <w:t xml:space="preserve">must hold </w:t>
      </w:r>
      <w:r w:rsidR="00533CFC" w:rsidRPr="009E1C32">
        <w:t>R</w:t>
      </w:r>
      <w:r w:rsidR="00B51B1F" w:rsidRPr="009E1C32">
        <w:t xml:space="preserve">egulatory </w:t>
      </w:r>
      <w:r w:rsidR="00533CFC" w:rsidRPr="009E1C32">
        <w:t>C</w:t>
      </w:r>
      <w:r w:rsidR="00622FE3" w:rsidRPr="009E1C32">
        <w:t>apital</w:t>
      </w:r>
      <w:r w:rsidR="00622FE3">
        <w:t xml:space="preserve"> commensurate with its exposure to credit risk</w:t>
      </w:r>
      <w:r w:rsidR="000C5FF2">
        <w:t xml:space="preserve">, based on </w:t>
      </w:r>
      <w:r w:rsidR="009438E5">
        <w:t xml:space="preserve">the application of </w:t>
      </w:r>
      <w:r w:rsidR="0092714F">
        <w:t xml:space="preserve">specified </w:t>
      </w:r>
      <w:r w:rsidR="009438E5">
        <w:t>risk weight</w:t>
      </w:r>
      <w:r w:rsidR="001C0E40">
        <w:t>s</w:t>
      </w:r>
      <w:r w:rsidR="00E3639C">
        <w:t xml:space="preserve"> and </w:t>
      </w:r>
      <w:r w:rsidR="00897958">
        <w:t>CCFs</w:t>
      </w:r>
      <w:r w:rsidR="00E3639C">
        <w:t xml:space="preserve"> (where applicable)</w:t>
      </w:r>
      <w:r w:rsidR="001C0E40">
        <w:t xml:space="preserve"> </w:t>
      </w:r>
      <w:r w:rsidR="00533CFC">
        <w:t xml:space="preserve">as </w:t>
      </w:r>
      <w:r w:rsidR="001C0E40">
        <w:t xml:space="preserve">set out in this Prudential Standard. </w:t>
      </w:r>
      <w:r w:rsidR="001547AF">
        <w:t xml:space="preserve">Where appropriate, an ADI must use the ratings of </w:t>
      </w:r>
      <w:r w:rsidR="001547AF" w:rsidRPr="001547AF">
        <w:rPr>
          <w:b/>
        </w:rPr>
        <w:t>external credit assessment institutions</w:t>
      </w:r>
      <w:r w:rsidR="001547AF">
        <w:t xml:space="preserve"> (</w:t>
      </w:r>
      <w:r w:rsidR="001547AF" w:rsidRPr="001547AF">
        <w:rPr>
          <w:b/>
        </w:rPr>
        <w:t>ECAIs</w:t>
      </w:r>
      <w:r w:rsidR="001547AF">
        <w:t xml:space="preserve">) to determine the </w:t>
      </w:r>
      <w:r w:rsidR="001547AF" w:rsidRPr="00533CFC">
        <w:rPr>
          <w:b/>
        </w:rPr>
        <w:t>credit rating grade</w:t>
      </w:r>
      <w:r w:rsidR="001547AF">
        <w:t xml:space="preserve"> and risk weight of an exposure, as set out in Attachments B and </w:t>
      </w:r>
      <w:r w:rsidR="00915813" w:rsidRPr="00D55490">
        <w:t>F</w:t>
      </w:r>
      <w:r w:rsidR="001547AF">
        <w:t xml:space="preserve"> </w:t>
      </w:r>
      <w:r w:rsidR="002C6DBE">
        <w:t>to</w:t>
      </w:r>
      <w:r w:rsidR="001547AF">
        <w:t xml:space="preserve"> this Prudential Standard.</w:t>
      </w:r>
    </w:p>
    <w:p w14:paraId="59577090" w14:textId="68C19DDA" w:rsidR="00915813" w:rsidRDefault="00915813" w:rsidP="00915813">
      <w:pPr>
        <w:pStyle w:val="BodyText1"/>
      </w:pPr>
      <w:r>
        <w:t xml:space="preserve">An ADI must </w:t>
      </w:r>
      <w:r w:rsidR="002C6DBE">
        <w:t>establish and</w:t>
      </w:r>
      <w:r>
        <w:t xml:space="preserve"> implement effective internal policies, processes, systems and controls to ensure that appropriate risk weights are assigned to </w:t>
      </w:r>
      <w:r w:rsidR="00D55490">
        <w:t>its credit exposures</w:t>
      </w:r>
      <w:r>
        <w:t>.</w:t>
      </w:r>
    </w:p>
    <w:p w14:paraId="7DFE85E3" w14:textId="2842F586" w:rsidR="00253EDF" w:rsidRDefault="00E1033A" w:rsidP="00BF6CDF">
      <w:pPr>
        <w:pStyle w:val="BodyText1"/>
      </w:pPr>
      <w:r>
        <w:t xml:space="preserve">An ADI may </w:t>
      </w:r>
      <w:r w:rsidR="00253EDF">
        <w:t xml:space="preserve">reduce its credit risk </w:t>
      </w:r>
      <w:r w:rsidR="00383DAD">
        <w:t>R</w:t>
      </w:r>
      <w:r w:rsidR="00253EDF">
        <w:t xml:space="preserve">egulatory </w:t>
      </w:r>
      <w:r w:rsidR="00383DAD">
        <w:t>C</w:t>
      </w:r>
      <w:r w:rsidR="00253EDF">
        <w:t xml:space="preserve">apital requirement through the </w:t>
      </w:r>
      <w:r>
        <w:t>use</w:t>
      </w:r>
      <w:r w:rsidR="00253EDF">
        <w:t xml:space="preserve"> of</w:t>
      </w:r>
      <w:r w:rsidR="00EC69B4">
        <w:t xml:space="preserve"> </w:t>
      </w:r>
      <w:r w:rsidR="00533CFC">
        <w:t>LMI</w:t>
      </w:r>
      <w:r w:rsidR="00253EDF">
        <w:t xml:space="preserve"> or</w:t>
      </w:r>
      <w:r>
        <w:t xml:space="preserve"> eligi</w:t>
      </w:r>
      <w:r w:rsidR="00897958">
        <w:t>ble CRM</w:t>
      </w:r>
      <w:r w:rsidR="00983C8F">
        <w:t xml:space="preserve"> techniques.</w:t>
      </w:r>
    </w:p>
    <w:p w14:paraId="037EAE08" w14:textId="22E5403A" w:rsidR="00823472" w:rsidRDefault="00823472" w:rsidP="00BF6CDF">
      <w:pPr>
        <w:pStyle w:val="BodyText1"/>
      </w:pPr>
      <w:bookmarkStart w:id="30" w:name="_Ref3484115"/>
      <w:r>
        <w:t xml:space="preserve">If an ADI seeks to use </w:t>
      </w:r>
      <w:r w:rsidR="00533CFC">
        <w:t>LMI</w:t>
      </w:r>
      <w:r w:rsidR="00B94FD8">
        <w:t xml:space="preserve"> or </w:t>
      </w:r>
      <w:r w:rsidR="000C5FF2">
        <w:t xml:space="preserve">eligible </w:t>
      </w:r>
      <w:r w:rsidR="00533CFC">
        <w:t>CRM</w:t>
      </w:r>
      <w:r w:rsidR="000C5FF2">
        <w:t xml:space="preserve"> techniques</w:t>
      </w:r>
      <w:r w:rsidR="00B776D9">
        <w:t xml:space="preserve"> to reduce its </w:t>
      </w:r>
      <w:r w:rsidR="00383DAD">
        <w:t>R</w:t>
      </w:r>
      <w:r w:rsidR="00B776D9">
        <w:t xml:space="preserve">egulatory </w:t>
      </w:r>
      <w:r w:rsidR="00383DAD">
        <w:t>C</w:t>
      </w:r>
      <w:r w:rsidR="00B776D9">
        <w:t>apital requirement</w:t>
      </w:r>
      <w:r w:rsidR="00880C56">
        <w:t>s</w:t>
      </w:r>
      <w:r w:rsidR="00B776D9">
        <w:t xml:space="preserve">, it must have </w:t>
      </w:r>
      <w:r w:rsidR="002C6DBE">
        <w:t xml:space="preserve">established and </w:t>
      </w:r>
      <w:r w:rsidR="00B776D9">
        <w:t xml:space="preserve">implemented </w:t>
      </w:r>
      <w:r w:rsidR="00D82E01">
        <w:t xml:space="preserve">effective </w:t>
      </w:r>
      <w:r w:rsidR="00B776D9">
        <w:t>policies</w:t>
      </w:r>
      <w:r w:rsidR="00D82E01">
        <w:t>,</w:t>
      </w:r>
      <w:r w:rsidR="00B776D9">
        <w:t xml:space="preserve"> procedures</w:t>
      </w:r>
      <w:r w:rsidR="00D82E01">
        <w:t xml:space="preserve"> and systems</w:t>
      </w:r>
      <w:r w:rsidR="003E42F5">
        <w:t xml:space="preserve"> that </w:t>
      </w:r>
      <w:r w:rsidR="002C6DBE">
        <w:t>meet</w:t>
      </w:r>
      <w:r w:rsidR="003E42F5">
        <w:t xml:space="preserve"> the requirements set out in this Prudential Standard. </w:t>
      </w:r>
      <w:r w:rsidR="00A501B6">
        <w:t>An ADI</w:t>
      </w:r>
      <w:r w:rsidR="00D82E01">
        <w:t xml:space="preserve">’s policies and procedures must also address any residual risks </w:t>
      </w:r>
      <w:r w:rsidR="00547B0F">
        <w:t xml:space="preserve">such as legal, operational, liquidity and market risks </w:t>
      </w:r>
      <w:r w:rsidR="00D82E01">
        <w:t>that result from its use of CRM</w:t>
      </w:r>
      <w:r w:rsidR="00B776D9">
        <w:t>.</w:t>
      </w:r>
      <w:bookmarkEnd w:id="30"/>
    </w:p>
    <w:p w14:paraId="69941593" w14:textId="12600513" w:rsidR="00EF4590" w:rsidRPr="00C41FE2" w:rsidRDefault="00B51B1F" w:rsidP="00C41FE2">
      <w:pPr>
        <w:pStyle w:val="Heading1body"/>
      </w:pPr>
      <w:bookmarkStart w:id="31" w:name="_Toc4489874"/>
      <w:bookmarkStart w:id="32" w:name="_Toc87376638"/>
      <w:r w:rsidRPr="00C41FE2">
        <w:t>Risk-weighting approach</w:t>
      </w:r>
      <w:bookmarkEnd w:id="31"/>
      <w:bookmarkEnd w:id="32"/>
    </w:p>
    <w:p w14:paraId="547FA7FE" w14:textId="4C6EB592" w:rsidR="006A1EA5" w:rsidRDefault="006A1EA5" w:rsidP="006A1EA5">
      <w:pPr>
        <w:pStyle w:val="Heading3"/>
      </w:pPr>
      <w:r>
        <w:t>Risk-weighted on-balance sheet assets</w:t>
      </w:r>
    </w:p>
    <w:p w14:paraId="6D52E2DB" w14:textId="25E5D043" w:rsidR="00EF4590" w:rsidRDefault="00301F09" w:rsidP="00C41FE2">
      <w:pPr>
        <w:pStyle w:val="BodyText1"/>
      </w:pPr>
      <w:bookmarkStart w:id="33" w:name="_Ref34048599"/>
      <w:r>
        <w:t xml:space="preserve">An ADI must calculate </w:t>
      </w:r>
      <w:r w:rsidR="001D65CE">
        <w:t>t</w:t>
      </w:r>
      <w:r w:rsidR="00D3372A">
        <w:t xml:space="preserve">he </w:t>
      </w:r>
      <w:r w:rsidR="00F50C30">
        <w:t>RWA</w:t>
      </w:r>
      <w:r w:rsidR="00D3372A">
        <w:t xml:space="preserve"> of an on-balance sheet </w:t>
      </w:r>
      <w:r w:rsidR="0092714F">
        <w:t>exposure</w:t>
      </w:r>
      <w:r w:rsidR="00860D49">
        <w:t xml:space="preserve"> </w:t>
      </w:r>
      <w:r w:rsidR="00D3372A">
        <w:t xml:space="preserve">by multiplying the current book value of </w:t>
      </w:r>
      <w:r w:rsidR="00AA5533">
        <w:t xml:space="preserve">the </w:t>
      </w:r>
      <w:r w:rsidR="00D3372A">
        <w:t>exposure (including accrued interest or revaluations, and net of any provision</w:t>
      </w:r>
      <w:r w:rsidR="00860D49">
        <w:t>s</w:t>
      </w:r>
      <w:r w:rsidR="001C5F42">
        <w:t xml:space="preserve"> for defaulted exposures</w:t>
      </w:r>
      <w:r w:rsidR="001617DF">
        <w:t>, partial write-off</w:t>
      </w:r>
      <w:r w:rsidR="00D3372A">
        <w:t xml:space="preserve"> or associated depreciatio</w:t>
      </w:r>
      <w:r w:rsidR="007C3C75">
        <w:t>n) by the relevant risk weight.</w:t>
      </w:r>
      <w:bookmarkEnd w:id="33"/>
    </w:p>
    <w:p w14:paraId="16E59FE4" w14:textId="19C67FBB" w:rsidR="00254C5B" w:rsidRDefault="007C3559" w:rsidP="007C3559">
      <w:pPr>
        <w:pStyle w:val="Heading3"/>
      </w:pPr>
      <w:bookmarkStart w:id="34" w:name="_Hlk56007056"/>
      <w:r>
        <w:t>R</w:t>
      </w:r>
      <w:r w:rsidR="004D1CE1">
        <w:t xml:space="preserve">isk-weighted </w:t>
      </w:r>
      <w:r>
        <w:t xml:space="preserve">off-balance sheet </w:t>
      </w:r>
      <w:r w:rsidRPr="005A1BFE">
        <w:rPr>
          <w:i w:val="0"/>
        </w:rPr>
        <w:t>exposures</w:t>
      </w:r>
    </w:p>
    <w:p w14:paraId="3C6816DC" w14:textId="7C6FB2A8" w:rsidR="001D65CE" w:rsidRDefault="00220AD4" w:rsidP="001D65CE">
      <w:pPr>
        <w:pStyle w:val="BodyText1"/>
      </w:pPr>
      <w:bookmarkStart w:id="35" w:name="_Hlk56007146"/>
      <w:bookmarkStart w:id="36" w:name="_Ref34048601"/>
      <w:r>
        <w:t xml:space="preserve">The </w:t>
      </w:r>
      <w:r w:rsidR="001D65CE">
        <w:t>RWA of a</w:t>
      </w:r>
      <w:r w:rsidR="00F2348D">
        <w:t xml:space="preserve"> non-SFT</w:t>
      </w:r>
      <w:r w:rsidR="001D65CE">
        <w:t xml:space="preserve"> off-balance sheet exposure</w:t>
      </w:r>
      <w:r>
        <w:t xml:space="preserve"> must be</w:t>
      </w:r>
      <w:r w:rsidR="001D65CE" w:rsidDel="00220AD4">
        <w:t xml:space="preserve"> </w:t>
      </w:r>
      <w:r w:rsidR="001D65CE">
        <w:t>calculated by</w:t>
      </w:r>
      <w:r w:rsidR="00E02CE0">
        <w:t xml:space="preserve"> applying</w:t>
      </w:r>
      <w:r w:rsidR="001D65CE">
        <w:t xml:space="preserve"> the following two-step process:</w:t>
      </w:r>
    </w:p>
    <w:p w14:paraId="0041DA08" w14:textId="1852067B" w:rsidR="001D65CE" w:rsidRDefault="001D65CE" w:rsidP="00F11542">
      <w:pPr>
        <w:pStyle w:val="BodyText2"/>
      </w:pPr>
      <w:r>
        <w:t xml:space="preserve">first, the </w:t>
      </w:r>
      <w:r w:rsidR="006420C0">
        <w:t>exposure</w:t>
      </w:r>
      <w:r>
        <w:t xml:space="preserve"> amount or exposure at default (EAD), representing the on-balance sheet equivalent amount, must be determined according to: </w:t>
      </w:r>
    </w:p>
    <w:p w14:paraId="750F4F00" w14:textId="74C023A7" w:rsidR="001D65CE" w:rsidRDefault="001D65CE" w:rsidP="00FC3B2D">
      <w:pPr>
        <w:pStyle w:val="BodyText3"/>
      </w:pPr>
      <w:r w:rsidRPr="00D55490">
        <w:t>Attachment C</w:t>
      </w:r>
      <w:r>
        <w:t xml:space="preserve"> to this Prudential Standard for any commitments; and</w:t>
      </w:r>
    </w:p>
    <w:p w14:paraId="67569C92" w14:textId="7727B85F" w:rsidR="001D65CE" w:rsidRDefault="00421DEA" w:rsidP="00FC3B2D">
      <w:pPr>
        <w:pStyle w:val="BodyText3"/>
      </w:pPr>
      <w:r>
        <w:lastRenderedPageBreak/>
        <w:t xml:space="preserve">where the ADI is a </w:t>
      </w:r>
      <w:r w:rsidRPr="00215013">
        <w:rPr>
          <w:b/>
        </w:rPr>
        <w:t>significant financial institution</w:t>
      </w:r>
      <w:r>
        <w:t xml:space="preserve">, </w:t>
      </w:r>
      <w:r w:rsidR="001D65CE">
        <w:t>APS 180 for OTC and exchange-traded derivative transactions</w:t>
      </w:r>
      <w:r w:rsidR="00FC3B2D">
        <w:t xml:space="preserve"> or</w:t>
      </w:r>
      <w:r w:rsidR="001D65CE">
        <w:t xml:space="preserve"> long-settlement transactions</w:t>
      </w:r>
      <w:r w:rsidR="00FC3B2D">
        <w:t>.</w:t>
      </w:r>
      <w:r w:rsidR="00220AD4">
        <w:t xml:space="preserve"> Where an ADI uses the adjusted current exposure method (CEM) under APS 180 and the transaction is collateralised, the ADI may also adjust the credit equivalent amount (CEA) by applying the comprehensive approach in Attachment G to this Prudential Standard</w:t>
      </w:r>
      <w:r w:rsidR="001D65CE">
        <w:t xml:space="preserve">; </w:t>
      </w:r>
    </w:p>
    <w:p w14:paraId="5E0ECEDA" w14:textId="4FCF18EA" w:rsidR="008C5940" w:rsidRDefault="001D65CE" w:rsidP="00006E73">
      <w:pPr>
        <w:pStyle w:val="BodyText2"/>
      </w:pPr>
      <w:r>
        <w:t xml:space="preserve">second, the resulting </w:t>
      </w:r>
      <w:r w:rsidR="00220AD4">
        <w:t>exposure</w:t>
      </w:r>
      <w:r>
        <w:t xml:space="preserve"> amount</w:t>
      </w:r>
      <w:r w:rsidR="00220AD4">
        <w:t xml:space="preserve"> or EAD</w:t>
      </w:r>
      <w:r>
        <w:t xml:space="preserve"> must be multiplied by the relevant risk weight applicable to the counterparty or exposure type.</w:t>
      </w:r>
      <w:bookmarkEnd w:id="34"/>
      <w:bookmarkEnd w:id="35"/>
    </w:p>
    <w:p w14:paraId="0B966008" w14:textId="10857B47" w:rsidR="003A6A45" w:rsidRDefault="003A6A45" w:rsidP="003A6A45">
      <w:pPr>
        <w:pStyle w:val="BodyText1"/>
        <w:numPr>
          <w:ilvl w:val="0"/>
          <w:numId w:val="3"/>
        </w:numPr>
      </w:pPr>
      <w:bookmarkStart w:id="37" w:name="_Ref57985536"/>
      <w:r>
        <w:t>For</w:t>
      </w:r>
      <w:r w:rsidR="00CB5DFD">
        <w:t xml:space="preserve"> SFTs, including securities lending transactions, an ADI must calculate</w:t>
      </w:r>
      <w:r>
        <w:t>:</w:t>
      </w:r>
      <w:bookmarkEnd w:id="37"/>
    </w:p>
    <w:p w14:paraId="3E06BD37" w14:textId="673F5A6C" w:rsidR="003A6A45" w:rsidRDefault="00AE42B3" w:rsidP="003A6A45">
      <w:pPr>
        <w:pStyle w:val="BodyText2"/>
        <w:numPr>
          <w:ilvl w:val="1"/>
          <w:numId w:val="3"/>
        </w:numPr>
      </w:pPr>
      <w:r>
        <w:t xml:space="preserve">RWA arising from </w:t>
      </w:r>
      <w:r w:rsidR="00C93B55">
        <w:t xml:space="preserve">its exposure to the SFT counterparty, where </w:t>
      </w:r>
      <w:r w:rsidR="003A6A45">
        <w:t>EAD</w:t>
      </w:r>
      <w:r w:rsidR="00C93B55">
        <w:t xml:space="preserve"> is calculated</w:t>
      </w:r>
      <w:r w:rsidR="003A6A45">
        <w:t xml:space="preserve"> in accordance with Attachment G to</w:t>
      </w:r>
      <w:r w:rsidR="00A1670B">
        <w:t xml:space="preserve"> this Prudential Standard</w:t>
      </w:r>
      <w:r w:rsidR="00C93B55">
        <w:t xml:space="preserve"> and is multiplied by </w:t>
      </w:r>
      <w:r w:rsidR="004C7987">
        <w:t>the relevant risk weight applicable to the SFT counterparty</w:t>
      </w:r>
      <w:r w:rsidR="003A6A45">
        <w:t>; and</w:t>
      </w:r>
    </w:p>
    <w:p w14:paraId="3733B11A" w14:textId="5048CF10" w:rsidR="003A6A45" w:rsidRDefault="003A6A45" w:rsidP="0002544C">
      <w:pPr>
        <w:pStyle w:val="BodyText2"/>
        <w:numPr>
          <w:ilvl w:val="1"/>
          <w:numId w:val="3"/>
        </w:numPr>
      </w:pPr>
      <w:r>
        <w:t>the capital requirement for the credit risk or market risk inherent in any securities the ADI lends or posts as collateral, if that risk remains with the ADI.</w:t>
      </w:r>
    </w:p>
    <w:p w14:paraId="3720B105" w14:textId="3886DACD" w:rsidR="00880C56" w:rsidRDefault="00880C56" w:rsidP="001307EC">
      <w:pPr>
        <w:pStyle w:val="Heading1body"/>
      </w:pPr>
      <w:bookmarkStart w:id="38" w:name="_Toc4489875"/>
      <w:bookmarkStart w:id="39" w:name="_Toc87376639"/>
      <w:bookmarkEnd w:id="36"/>
      <w:r>
        <w:t>Credit risk mitigation</w:t>
      </w:r>
      <w:bookmarkEnd w:id="38"/>
      <w:bookmarkEnd w:id="39"/>
    </w:p>
    <w:p w14:paraId="7C33CD54" w14:textId="09D777F4" w:rsidR="005032AB" w:rsidRDefault="005032AB" w:rsidP="005032AB">
      <w:pPr>
        <w:pStyle w:val="BodyText1"/>
      </w:pPr>
      <w:bookmarkStart w:id="40" w:name="_Ref3484164"/>
      <w:r>
        <w:t xml:space="preserve">Where multiple CRM techniques cover a single exposure, an ADI must divide the exposure into portions covered by each CRM technique. </w:t>
      </w:r>
      <w:r w:rsidR="00141960">
        <w:t xml:space="preserve">The </w:t>
      </w:r>
      <w:r w:rsidR="00F50C30">
        <w:t xml:space="preserve">RWA </w:t>
      </w:r>
      <w:r w:rsidR="00141960">
        <w:t xml:space="preserve">of each portion must be calculated </w:t>
      </w:r>
      <w:r w:rsidR="00641D00">
        <w:t xml:space="preserve">separately, and then totalled. </w:t>
      </w:r>
      <w:r w:rsidR="00BA0E95">
        <w:t>If</w:t>
      </w:r>
      <w:r w:rsidR="00BA0E95" w:rsidRPr="00641D00">
        <w:t xml:space="preserve"> </w:t>
      </w:r>
      <w:r w:rsidR="00141960" w:rsidRPr="00641D00">
        <w:t>credit protection provided by a single protection provider has differing maturities, they must also be subdivided into separate protect</w:t>
      </w:r>
      <w:r w:rsidR="00D55490">
        <w:t>ed portions</w:t>
      </w:r>
      <w:r w:rsidR="00141960">
        <w:t>.</w:t>
      </w:r>
      <w:bookmarkEnd w:id="40"/>
      <w:r w:rsidR="00141960">
        <w:t xml:space="preserve"> </w:t>
      </w:r>
    </w:p>
    <w:p w14:paraId="6A58F86A" w14:textId="7485DE3B" w:rsidR="008F0541" w:rsidRDefault="008F0541" w:rsidP="005032AB">
      <w:pPr>
        <w:pStyle w:val="BodyText1"/>
      </w:pPr>
      <w:r>
        <w:t>An ADI must not recognise additional CRM on exposures where the risk weight is mapped from an ECAI issue-specific credit rating, and that credit rating already</w:t>
      </w:r>
      <w:r w:rsidR="00C026C3">
        <w:t xml:space="preserve"> incorporates the recognition</w:t>
      </w:r>
      <w:r w:rsidR="00C53F9A">
        <w:t xml:space="preserve"> of</w:t>
      </w:r>
      <w:r>
        <w:t xml:space="preserve"> CRM.</w:t>
      </w:r>
    </w:p>
    <w:p w14:paraId="723EDFBC" w14:textId="5DD42E75" w:rsidR="008F0541" w:rsidRPr="005032AB" w:rsidRDefault="008F0541" w:rsidP="005032AB">
      <w:pPr>
        <w:pStyle w:val="BodyText1"/>
      </w:pPr>
      <w:r>
        <w:t xml:space="preserve">An ADI must not recognise the use of CRM where </w:t>
      </w:r>
      <w:r w:rsidR="00AB66DD">
        <w:t>the credit quality of the counterparty has a material positive correlation with the CRM technique used, or with any resulting residual risks</w:t>
      </w:r>
      <w:r w:rsidR="00B94383">
        <w:t xml:space="preserve"> </w:t>
      </w:r>
      <w:r w:rsidR="006611F5">
        <w:t>(</w:t>
      </w:r>
      <w:r w:rsidR="00B94383">
        <w:t>e.g. collateral in the form of securities issued by the counterparty to the credit exposure is considered to have a material positive correlation with the credi</w:t>
      </w:r>
      <w:r w:rsidR="007B7BE6">
        <w:t>t</w:t>
      </w:r>
      <w:r w:rsidR="00B94383">
        <w:t xml:space="preserve"> quality of the original counterparty</w:t>
      </w:r>
      <w:r w:rsidR="006611F5">
        <w:t>)</w:t>
      </w:r>
      <w:r w:rsidR="00AB66DD">
        <w:t xml:space="preserve">. </w:t>
      </w:r>
    </w:p>
    <w:p w14:paraId="711A1858" w14:textId="1588E27D" w:rsidR="00880C56" w:rsidRDefault="00526B3E" w:rsidP="00880C56">
      <w:pPr>
        <w:pStyle w:val="BodyText1"/>
      </w:pPr>
      <w:bookmarkStart w:id="41" w:name="_Ref3484180"/>
      <w:r>
        <w:t>To</w:t>
      </w:r>
      <w:r w:rsidR="00E21438">
        <w:t xml:space="preserve"> obtain capital relief through the use of a CRM technique, </w:t>
      </w:r>
      <w:r w:rsidR="009867F3">
        <w:t xml:space="preserve">all documentation must be binding on all parties and legally enforceable in all relevant jurisdictions. The ADI must have undertaken sufficient legal review to be satisfied of the legal enforceability of </w:t>
      </w:r>
      <w:r w:rsidR="009E34D7">
        <w:t>the CRM technique, and must undertake periodic reviews to confirm its ongoing enforceability.</w:t>
      </w:r>
      <w:bookmarkEnd w:id="41"/>
      <w:r w:rsidR="009E34D7">
        <w:t xml:space="preserve"> </w:t>
      </w:r>
    </w:p>
    <w:p w14:paraId="4DFD47FA" w14:textId="77777777" w:rsidR="00DF539C" w:rsidRDefault="00DF539C" w:rsidP="0038413F">
      <w:pPr>
        <w:pStyle w:val="BodyText1"/>
        <w:numPr>
          <w:ilvl w:val="0"/>
          <w:numId w:val="0"/>
        </w:numPr>
        <w:sectPr w:rsidR="00DF539C" w:rsidSect="000D63A8">
          <w:footerReference w:type="default" r:id="rId20"/>
          <w:pgSz w:w="11906" w:h="16838" w:code="9"/>
          <w:pgMar w:top="1440" w:right="1797" w:bottom="1440" w:left="1797" w:header="709" w:footer="709" w:gutter="0"/>
          <w:cols w:space="708"/>
          <w:docGrid w:linePitch="360"/>
        </w:sectPr>
      </w:pPr>
    </w:p>
    <w:p w14:paraId="25256A2E" w14:textId="1DC2AFD9" w:rsidR="001B36CB" w:rsidRDefault="00E16DD9" w:rsidP="0033633B">
      <w:pPr>
        <w:pStyle w:val="Heading2"/>
        <w:tabs>
          <w:tab w:val="left" w:pos="2910"/>
        </w:tabs>
      </w:pPr>
      <w:bookmarkStart w:id="42" w:name="_Toc454561346"/>
      <w:bookmarkStart w:id="43" w:name="_Toc87376640"/>
      <w:r w:rsidRPr="001F6B8D">
        <w:lastRenderedPageBreak/>
        <w:t xml:space="preserve">Attachment </w:t>
      </w:r>
      <w:r w:rsidR="00B766FA" w:rsidRPr="001F6B8D">
        <w:rPr>
          <w:rStyle w:val="Attachmentfieldtext"/>
        </w:rPr>
        <w:fldChar w:fldCharType="begin"/>
      </w:r>
      <w:r w:rsidR="00B766FA" w:rsidRPr="001F6B8D">
        <w:rPr>
          <w:rStyle w:val="Attachmentfieldtext"/>
        </w:rPr>
        <w:instrText xml:space="preserve"> SEQ Attach \* ALPHABETIC \* MERGEFORMAT </w:instrText>
      </w:r>
      <w:r w:rsidR="00B766FA" w:rsidRPr="001F6B8D">
        <w:rPr>
          <w:rStyle w:val="Attachmentfieldtext"/>
        </w:rPr>
        <w:fldChar w:fldCharType="separate"/>
      </w:r>
      <w:r w:rsidR="004F70DB">
        <w:rPr>
          <w:rStyle w:val="Attachmentfieldtext"/>
          <w:noProof/>
        </w:rPr>
        <w:t>A</w:t>
      </w:r>
      <w:r w:rsidR="00B766FA" w:rsidRPr="001F6B8D">
        <w:rPr>
          <w:rStyle w:val="Attachmentfieldtext"/>
        </w:rPr>
        <w:fldChar w:fldCharType="end"/>
      </w:r>
      <w:r w:rsidR="001F6B8D" w:rsidRPr="001F6B8D">
        <w:t xml:space="preserve"> </w:t>
      </w:r>
      <w:r w:rsidR="0051062A">
        <w:t>–</w:t>
      </w:r>
      <w:r w:rsidR="001F6B8D" w:rsidRPr="001F6B8D">
        <w:t xml:space="preserve"> </w:t>
      </w:r>
      <w:bookmarkEnd w:id="42"/>
      <w:r w:rsidR="00CD344E">
        <w:t xml:space="preserve">Risk weights for </w:t>
      </w:r>
      <w:r w:rsidR="001617DF">
        <w:t>property exposures</w:t>
      </w:r>
      <w:bookmarkEnd w:id="43"/>
    </w:p>
    <w:p w14:paraId="36ABD0C9" w14:textId="6ACF9469" w:rsidR="00CD344E" w:rsidRDefault="00CD344E" w:rsidP="000A4BE9">
      <w:pPr>
        <w:pStyle w:val="BodyText1"/>
        <w:numPr>
          <w:ilvl w:val="0"/>
          <w:numId w:val="4"/>
        </w:numPr>
      </w:pPr>
      <w:r>
        <w:t>A</w:t>
      </w:r>
      <w:r w:rsidR="001B36CB">
        <w:t xml:space="preserve"> property exposure is</w:t>
      </w:r>
      <w:r>
        <w:t xml:space="preserve"> an exposure</w:t>
      </w:r>
      <w:r w:rsidR="0086557A">
        <w:t xml:space="preserve"> </w:t>
      </w:r>
      <w:r>
        <w:t xml:space="preserve">that is </w:t>
      </w:r>
      <w:r w:rsidR="001617DF">
        <w:t xml:space="preserve">secured </w:t>
      </w:r>
      <w:r>
        <w:t>by immovable real property</w:t>
      </w:r>
      <w:r w:rsidR="0086557A">
        <w:t xml:space="preserve">. </w:t>
      </w:r>
      <w:r w:rsidR="001B36CB">
        <w:t>An ADI must risk</w:t>
      </w:r>
      <w:r w:rsidR="009F6112">
        <w:t xml:space="preserve"> </w:t>
      </w:r>
      <w:r w:rsidR="001B36CB">
        <w:t>weight its property exposures according to the requirements detailed in this Attachment, with the exception of d</w:t>
      </w:r>
      <w:r w:rsidR="00AB190E">
        <w:t xml:space="preserve">efaulted </w:t>
      </w:r>
      <w:r w:rsidR="001B36CB">
        <w:t xml:space="preserve">property </w:t>
      </w:r>
      <w:r w:rsidR="00AB190E">
        <w:t>e</w:t>
      </w:r>
      <w:r>
        <w:t>xposures</w:t>
      </w:r>
      <w:r w:rsidR="000D1C92">
        <w:t>,</w:t>
      </w:r>
      <w:r w:rsidR="00AB190E">
        <w:t xml:space="preserve"> </w:t>
      </w:r>
      <w:r w:rsidR="00A86B84">
        <w:t xml:space="preserve">which </w:t>
      </w:r>
      <w:r w:rsidR="00AB190E">
        <w:t xml:space="preserve">must be risk-weighted </w:t>
      </w:r>
      <w:r>
        <w:t>in accordance with Attachment E to this Prudential Standard</w:t>
      </w:r>
      <w:r w:rsidR="00AB190E">
        <w:t>.</w:t>
      </w:r>
    </w:p>
    <w:p w14:paraId="67A51D89" w14:textId="5F092951" w:rsidR="00BA7BAB" w:rsidRDefault="00BA7BAB" w:rsidP="00BA7BAB">
      <w:pPr>
        <w:pStyle w:val="Heading1"/>
      </w:pPr>
      <w:bookmarkStart w:id="44" w:name="_Toc4489877"/>
      <w:r>
        <w:t xml:space="preserve">Standard </w:t>
      </w:r>
      <w:bookmarkEnd w:id="44"/>
      <w:r w:rsidR="001211BD">
        <w:t xml:space="preserve">property </w:t>
      </w:r>
      <w:r w:rsidR="008427E8">
        <w:t>loans</w:t>
      </w:r>
    </w:p>
    <w:p w14:paraId="4EC944C4" w14:textId="67E2CCEC" w:rsidR="00BA7BAB" w:rsidRPr="00B460AB" w:rsidRDefault="00BA7BAB" w:rsidP="00BA7BAB">
      <w:pPr>
        <w:pStyle w:val="BodyText1"/>
      </w:pPr>
      <w:r w:rsidRPr="00B460AB">
        <w:t xml:space="preserve">A loan must meet </w:t>
      </w:r>
      <w:proofErr w:type="gramStart"/>
      <w:r w:rsidRPr="00B460AB">
        <w:t>all of</w:t>
      </w:r>
      <w:proofErr w:type="gramEnd"/>
      <w:r w:rsidRPr="00B460AB">
        <w:t xml:space="preserve"> the requirements set out in</w:t>
      </w:r>
      <w:r w:rsidR="00B731B4" w:rsidRPr="00B460AB">
        <w:t xml:space="preserve"> paragraphs </w:t>
      </w:r>
      <w:r w:rsidR="00B731B4" w:rsidRPr="00B460AB">
        <w:fldChar w:fldCharType="begin"/>
      </w:r>
      <w:r w:rsidR="00B731B4" w:rsidRPr="00B460AB">
        <w:instrText xml:space="preserve"> REF _Ref3471313 \r \h </w:instrText>
      </w:r>
      <w:r w:rsidR="0093796D" w:rsidRPr="00B460AB">
        <w:instrText xml:space="preserve"> \* MERGEFORMAT </w:instrText>
      </w:r>
      <w:r w:rsidR="00B731B4" w:rsidRPr="00B460AB">
        <w:fldChar w:fldCharType="separate"/>
      </w:r>
      <w:r w:rsidR="0007706D">
        <w:t>3</w:t>
      </w:r>
      <w:r w:rsidR="00B731B4" w:rsidRPr="00B460AB">
        <w:fldChar w:fldCharType="end"/>
      </w:r>
      <w:r w:rsidR="00B731B4" w:rsidRPr="00B460AB">
        <w:t xml:space="preserve"> to</w:t>
      </w:r>
      <w:r w:rsidR="002110D2">
        <w:t xml:space="preserve"> </w:t>
      </w:r>
      <w:r w:rsidR="002110D2">
        <w:fldChar w:fldCharType="begin"/>
      </w:r>
      <w:r w:rsidR="002110D2">
        <w:instrText xml:space="preserve"> REF _Ref3471349 \r \h </w:instrText>
      </w:r>
      <w:r w:rsidR="002110D2">
        <w:fldChar w:fldCharType="separate"/>
      </w:r>
      <w:r w:rsidR="0007706D">
        <w:t>7</w:t>
      </w:r>
      <w:r w:rsidR="002110D2">
        <w:fldChar w:fldCharType="end"/>
      </w:r>
      <w:r w:rsidR="002110D2">
        <w:t xml:space="preserve"> </w:t>
      </w:r>
      <w:r w:rsidRPr="00B460AB">
        <w:t>of this Attachment to be classified as</w:t>
      </w:r>
      <w:r w:rsidR="002C2EBF" w:rsidRPr="00B460AB">
        <w:t xml:space="preserve"> </w:t>
      </w:r>
      <w:r w:rsidRPr="00B460AB">
        <w:t>standard.</w:t>
      </w:r>
    </w:p>
    <w:p w14:paraId="7B9EA8CB" w14:textId="1A00E9A6" w:rsidR="00BA7BAB" w:rsidRDefault="00BA7BAB" w:rsidP="00BA7BAB">
      <w:pPr>
        <w:pStyle w:val="BodyText1"/>
      </w:pPr>
      <w:bookmarkStart w:id="45" w:name="_Ref3471313"/>
      <w:r>
        <w:t>An ADI must have unequivocal enforcement rights over the mortgaged property at all times, including a right to possession and power of sale in the event of default by the borrower.</w:t>
      </w:r>
      <w:bookmarkEnd w:id="45"/>
      <w:r w:rsidR="00DF6622">
        <w:t xml:space="preserve"> An ADI must </w:t>
      </w:r>
      <w:r w:rsidR="0028629F">
        <w:t xml:space="preserve">reasonably consider that it would </w:t>
      </w:r>
      <w:r w:rsidR="00DF6622">
        <w:t>be able to realise the value of the property provided as security within a reasonable timeframe.</w:t>
      </w:r>
    </w:p>
    <w:p w14:paraId="77B5EF7F" w14:textId="3BB57A55" w:rsidR="00BA7BAB" w:rsidRDefault="003C1AC8" w:rsidP="00BA7BAB">
      <w:pPr>
        <w:pStyle w:val="BodyText1"/>
      </w:pPr>
      <w:bookmarkStart w:id="46" w:name="_Ref54100645"/>
      <w:r>
        <w:t>An ADI’s exposure must be</w:t>
      </w:r>
      <w:r w:rsidR="00BA7BAB">
        <w:t xml:space="preserve"> secured by a registered first mortgage over the property</w:t>
      </w:r>
      <w:r w:rsidR="006B3C29">
        <w:t xml:space="preserve">, or by a registered second mortgage which satisfies the </w:t>
      </w:r>
      <w:r w:rsidR="00F61352">
        <w:t>following conditions</w:t>
      </w:r>
      <w:r w:rsidR="00BA7BAB">
        <w:t>:</w:t>
      </w:r>
      <w:bookmarkEnd w:id="46"/>
    </w:p>
    <w:p w14:paraId="6A647F04" w14:textId="4C2AFB91" w:rsidR="00BA7BAB" w:rsidRDefault="00BA7BAB" w:rsidP="00E51304">
      <w:pPr>
        <w:pStyle w:val="BodyText2"/>
      </w:pPr>
      <w:r>
        <w:t>the ADI must obtain the written consent of the first mortgagee for the second mortgage, and confirm the maximum outstanding amount of the loan secured by the first mortgage (including the maximum drawdown or limit of the facility) for LVR purposes;</w:t>
      </w:r>
    </w:p>
    <w:p w14:paraId="146A0C2B" w14:textId="6D8BE41B" w:rsidR="00BA7BAB" w:rsidRDefault="00BA7BAB" w:rsidP="00E51304">
      <w:pPr>
        <w:pStyle w:val="BodyText2"/>
      </w:pPr>
      <w:r>
        <w:t xml:space="preserve">the ADI must ensure that the </w:t>
      </w:r>
      <w:r w:rsidR="001D3D0D">
        <w:t xml:space="preserve">amount secured by the </w:t>
      </w:r>
      <w:r>
        <w:t xml:space="preserve">first mortgage cannot be </w:t>
      </w:r>
      <w:r w:rsidR="001D3D0D">
        <w:t>increased</w:t>
      </w:r>
      <w:r>
        <w:t xml:space="preserve"> without being subordinate to the second mortgage; </w:t>
      </w:r>
    </w:p>
    <w:p w14:paraId="65A3B820" w14:textId="691EC00A" w:rsidR="00BA7BAB" w:rsidRDefault="000109AA" w:rsidP="00E51304">
      <w:pPr>
        <w:pStyle w:val="BodyText2"/>
      </w:pPr>
      <w:r>
        <w:t xml:space="preserve">the </w:t>
      </w:r>
      <w:r w:rsidR="00BA7BAB">
        <w:t>ADI</w:t>
      </w:r>
      <w:r>
        <w:t>, as second mortgagee,</w:t>
      </w:r>
      <w:r w:rsidR="00BA7BAB">
        <w:t xml:space="preserve"> must be able to </w:t>
      </w:r>
      <w:r w:rsidR="000D2173">
        <w:t>exercise its power of</w:t>
      </w:r>
      <w:r w:rsidR="00BA7BAB">
        <w:t xml:space="preserve"> sale </w:t>
      </w:r>
      <w:r w:rsidR="000D2173">
        <w:t>over</w:t>
      </w:r>
      <w:r w:rsidR="00BA7BAB">
        <w:t xml:space="preserve"> the property i</w:t>
      </w:r>
      <w:r w:rsidR="00B267ED">
        <w:t xml:space="preserve">ndependently </w:t>
      </w:r>
      <w:r>
        <w:t xml:space="preserve">of </w:t>
      </w:r>
      <w:r w:rsidR="00B267ED">
        <w:t xml:space="preserve">any other </w:t>
      </w:r>
      <w:r w:rsidR="00BA7BAB">
        <w:t>mortgage</w:t>
      </w:r>
      <w:r>
        <w:t>e</w:t>
      </w:r>
      <w:r w:rsidR="00BA7BAB">
        <w:t xml:space="preserve"> over the property; and</w:t>
      </w:r>
    </w:p>
    <w:p w14:paraId="4A0E6758" w14:textId="2D3F0264" w:rsidR="00EE4196" w:rsidRDefault="00BA7BAB" w:rsidP="00191396">
      <w:pPr>
        <w:pStyle w:val="BodyText2"/>
      </w:pPr>
      <w:r>
        <w:t>where the sale of the property is not carried out by means of a public auction, the first mortgage</w:t>
      </w:r>
      <w:r w:rsidR="008F5D73">
        <w:t>e</w:t>
      </w:r>
      <w:r>
        <w:t xml:space="preserve"> must be required to take reasonable steps to obtain a fair market value, or the best price that may be obtained in the circumstances, when exercising any power of sale (i.e. it is not possible for the first mortgage</w:t>
      </w:r>
      <w:r w:rsidR="00612092">
        <w:t>e</w:t>
      </w:r>
      <w:r>
        <w:t xml:space="preserve"> to sell the property on its own at a discounted value to the detriment of the </w:t>
      </w:r>
      <w:r w:rsidR="00612092">
        <w:t>ADI</w:t>
      </w:r>
      <w:r>
        <w:t>).</w:t>
      </w:r>
    </w:p>
    <w:p w14:paraId="645BE901" w14:textId="77777777" w:rsidR="00191396" w:rsidRPr="00E51304" w:rsidRDefault="00191396" w:rsidP="00191396">
      <w:pPr>
        <w:pStyle w:val="BodyText1"/>
        <w:numPr>
          <w:ilvl w:val="0"/>
          <w:numId w:val="3"/>
        </w:numPr>
      </w:pPr>
      <w:bookmarkStart w:id="47" w:name="_Ref3471255"/>
      <w:r w:rsidRPr="00E51304">
        <w:t>An ADI must, prior to loan approval, appropriately document, assess and verify the ability of the borrower to meet their repayment obligation</w:t>
      </w:r>
      <w:r>
        <w:t>s</w:t>
      </w:r>
      <w:r w:rsidRPr="00E51304">
        <w:t>. This must, at a minimum, include:</w:t>
      </w:r>
      <w:bookmarkEnd w:id="47"/>
      <w:r w:rsidRPr="00E51304">
        <w:t xml:space="preserve"> </w:t>
      </w:r>
    </w:p>
    <w:p w14:paraId="3506BA2F" w14:textId="4C547454" w:rsidR="00191396" w:rsidRDefault="00191396" w:rsidP="00191396">
      <w:pPr>
        <w:pStyle w:val="BodyText2"/>
        <w:numPr>
          <w:ilvl w:val="1"/>
          <w:numId w:val="3"/>
        </w:numPr>
      </w:pPr>
      <w:bookmarkStart w:id="48" w:name="_Ref3471424"/>
      <w:r>
        <w:t>consideration of the impact of higher interest rates on the ability of the borrower to repay;</w:t>
      </w:r>
      <w:bookmarkEnd w:id="48"/>
      <w:r w:rsidDel="008B161E">
        <w:rPr>
          <w:rStyle w:val="FootnoteReference"/>
        </w:rPr>
        <w:t xml:space="preserve"> </w:t>
      </w:r>
    </w:p>
    <w:p w14:paraId="5E21695A" w14:textId="088CDFF2" w:rsidR="00191396" w:rsidRDefault="00191396" w:rsidP="00191396">
      <w:pPr>
        <w:pStyle w:val="BodyText2"/>
        <w:numPr>
          <w:ilvl w:val="1"/>
          <w:numId w:val="3"/>
        </w:numPr>
      </w:pPr>
      <w:r>
        <w:lastRenderedPageBreak/>
        <w:t xml:space="preserve">the application of the assessment in paragraph </w:t>
      </w:r>
      <w:r>
        <w:fldChar w:fldCharType="begin"/>
      </w:r>
      <w:r>
        <w:instrText xml:space="preserve"> REF _Ref3471255 \r \h </w:instrText>
      </w:r>
      <w:r>
        <w:fldChar w:fldCharType="separate"/>
      </w:r>
      <w:r w:rsidR="0007706D">
        <w:t>5</w:t>
      </w:r>
      <w:r>
        <w:fldChar w:fldCharType="end"/>
      </w:r>
      <w:r>
        <w:fldChar w:fldCharType="begin"/>
      </w:r>
      <w:r>
        <w:instrText xml:space="preserve"> REF _Ref3471424 \r \h </w:instrText>
      </w:r>
      <w:r>
        <w:fldChar w:fldCharType="separate"/>
      </w:r>
      <w:r w:rsidR="0007706D">
        <w:t>(a)</w:t>
      </w:r>
      <w:r>
        <w:fldChar w:fldCharType="end"/>
      </w:r>
      <w:r>
        <w:t xml:space="preserve"> </w:t>
      </w:r>
      <w:r w:rsidR="00707A6F">
        <w:t xml:space="preserve">of this Attachment </w:t>
      </w:r>
      <w:r w:rsidR="00263BE2">
        <w:t xml:space="preserve">to the loan being assessed for approval and all </w:t>
      </w:r>
      <w:r>
        <w:t>existing</w:t>
      </w:r>
      <w:r w:rsidR="00263BE2">
        <w:t xml:space="preserve"> and ongoing</w:t>
      </w:r>
      <w:r>
        <w:t xml:space="preserve"> debt</w:t>
      </w:r>
      <w:r w:rsidR="00263BE2">
        <w:t xml:space="preserve"> commitments of the borrower(s), both secured and </w:t>
      </w:r>
      <w:proofErr w:type="gramStart"/>
      <w:r w:rsidR="00263BE2">
        <w:t>unsecured</w:t>
      </w:r>
      <w:r>
        <w:t>;</w:t>
      </w:r>
      <w:proofErr w:type="gramEnd"/>
    </w:p>
    <w:p w14:paraId="42D37816" w14:textId="2ADB3DAE" w:rsidR="00191396" w:rsidRDefault="00191396" w:rsidP="00191396">
      <w:pPr>
        <w:pStyle w:val="BodyText2"/>
        <w:numPr>
          <w:ilvl w:val="1"/>
          <w:numId w:val="3"/>
        </w:numPr>
      </w:pPr>
      <w:r>
        <w:t xml:space="preserve">for interest-only loans </w:t>
      </w:r>
      <w:r w:rsidR="007F6F37">
        <w:t xml:space="preserve">secured by </w:t>
      </w:r>
      <w:r>
        <w:t xml:space="preserve">residential property, </w:t>
      </w:r>
      <w:r w:rsidR="007F6F37">
        <w:t>an assessment of serviceability for the specific term over which principal</w:t>
      </w:r>
      <w:r w:rsidR="007A5ED5">
        <w:t>-</w:t>
      </w:r>
      <w:r w:rsidR="007F6F37">
        <w:t>and</w:t>
      </w:r>
      <w:r w:rsidR="007A5ED5">
        <w:t>-</w:t>
      </w:r>
      <w:r w:rsidR="007F6F37">
        <w:t>interest repayments apply, excluding the interest-only period</w:t>
      </w:r>
      <w:r w:rsidR="00824159">
        <w:t>; and</w:t>
      </w:r>
    </w:p>
    <w:p w14:paraId="78A212A8" w14:textId="37D9FD8D" w:rsidR="00824159" w:rsidRDefault="00824159" w:rsidP="00824159">
      <w:pPr>
        <w:pStyle w:val="BodyText2"/>
      </w:pPr>
      <w:r>
        <w:t xml:space="preserve">where the repayment of a commercial property loan is dependent on the cash flows generated by the property through rental income, an assessment of the tenancy profile </w:t>
      </w:r>
      <w:r w:rsidR="004C0B44">
        <w:t>relative to</w:t>
      </w:r>
      <w:r>
        <w:t xml:space="preserve"> the maturity of the loan.</w:t>
      </w:r>
    </w:p>
    <w:p w14:paraId="38975FDF" w14:textId="3FDD1D16" w:rsidR="00191396" w:rsidRDefault="00191396" w:rsidP="00191396">
      <w:pPr>
        <w:ind w:left="567"/>
        <w:jc w:val="both"/>
      </w:pPr>
      <w:r>
        <w:t xml:space="preserve">Where an ADI’s assessment does not result in a positive determination of the borrower’s ability to meet their repayment obligations, an ADI must classify the </w:t>
      </w:r>
      <w:r w:rsidR="00824159">
        <w:t xml:space="preserve">loan </w:t>
      </w:r>
      <w:r>
        <w:t xml:space="preserve">as non-standard. </w:t>
      </w:r>
    </w:p>
    <w:p w14:paraId="551EAA7A" w14:textId="56695B8C" w:rsidR="00E51304" w:rsidRPr="00E51304" w:rsidRDefault="00E51304" w:rsidP="00191396">
      <w:pPr>
        <w:pStyle w:val="BodyText1"/>
      </w:pPr>
      <w:bookmarkStart w:id="49" w:name="_Ref54100649"/>
      <w:r w:rsidRPr="00E51304">
        <w:t xml:space="preserve">An ADI must appropriately value any property offered as security in accordance with </w:t>
      </w:r>
      <w:r w:rsidR="00005ECE">
        <w:t xml:space="preserve">paragraph </w:t>
      </w:r>
      <w:r w:rsidR="00005ECE">
        <w:fldChar w:fldCharType="begin"/>
      </w:r>
      <w:r w:rsidR="00005ECE">
        <w:instrText xml:space="preserve"> REF _Ref3471761 \r \h </w:instrText>
      </w:r>
      <w:r w:rsidR="00005ECE">
        <w:fldChar w:fldCharType="separate"/>
      </w:r>
      <w:r w:rsidR="0007706D">
        <w:t>11</w:t>
      </w:r>
      <w:r w:rsidR="00005ECE">
        <w:fldChar w:fldCharType="end"/>
      </w:r>
      <w:r w:rsidRPr="00E51304">
        <w:t xml:space="preserve"> of this Attachment. </w:t>
      </w:r>
      <w:r w:rsidR="000E5262">
        <w:t>With the exception of land acquisition, development and construction (ADC) exposures, t</w:t>
      </w:r>
      <w:r w:rsidR="000E5262" w:rsidRPr="00E51304">
        <w:t xml:space="preserve">he </w:t>
      </w:r>
      <w:r w:rsidRPr="00E51304">
        <w:t>value of the property must not depend materially on the performance of the borrower.</w:t>
      </w:r>
      <w:bookmarkEnd w:id="49"/>
      <w:r w:rsidRPr="00E51304">
        <w:t xml:space="preserve"> </w:t>
      </w:r>
    </w:p>
    <w:p w14:paraId="63E221CF" w14:textId="5D43AEC1" w:rsidR="00091C9B" w:rsidRDefault="002453F3" w:rsidP="002453F3">
      <w:pPr>
        <w:pStyle w:val="BodyText1"/>
      </w:pPr>
      <w:bookmarkStart w:id="50" w:name="_Ref3471349"/>
      <w:r w:rsidRPr="002453F3">
        <w:t xml:space="preserve">All of the information required at loan origination and for monitoring purposes must be </w:t>
      </w:r>
      <w:r w:rsidR="001617DF">
        <w:t>accurately</w:t>
      </w:r>
      <w:r w:rsidR="001617DF" w:rsidRPr="002453F3">
        <w:t xml:space="preserve"> </w:t>
      </w:r>
      <w:r w:rsidRPr="002453F3">
        <w:t>documented and readily accessible to the ADI, including information on the ability of the borrower to repay and on the valuation of the property.</w:t>
      </w:r>
      <w:bookmarkEnd w:id="50"/>
      <w:r w:rsidRPr="002453F3">
        <w:t xml:space="preserve"> </w:t>
      </w:r>
    </w:p>
    <w:p w14:paraId="3AB86538" w14:textId="0110845E" w:rsidR="002453F3" w:rsidRDefault="00091C9B" w:rsidP="002453F3">
      <w:pPr>
        <w:pStyle w:val="BodyText1"/>
      </w:pPr>
      <w:r>
        <w:t xml:space="preserve">Property exposures that were originated prior to 1 January 2023, with no material change to loan terms and conditions </w:t>
      </w:r>
      <w:proofErr w:type="gramStart"/>
      <w:r>
        <w:t>subsequent to</w:t>
      </w:r>
      <w:proofErr w:type="gramEnd"/>
      <w:r>
        <w:t xml:space="preserve"> this date, do not need to satisfy the criteria set out in paragraph</w:t>
      </w:r>
      <w:r w:rsidR="002110D2">
        <w:t xml:space="preserve"> </w:t>
      </w:r>
      <w:r w:rsidR="002110D2">
        <w:fldChar w:fldCharType="begin"/>
      </w:r>
      <w:r w:rsidR="002110D2">
        <w:instrText xml:space="preserve"> REF _Ref3471255 \r \h </w:instrText>
      </w:r>
      <w:r w:rsidR="002110D2">
        <w:fldChar w:fldCharType="separate"/>
      </w:r>
      <w:r w:rsidR="0007706D">
        <w:t>5</w:t>
      </w:r>
      <w:r w:rsidR="002110D2">
        <w:fldChar w:fldCharType="end"/>
      </w:r>
      <w:r>
        <w:t xml:space="preserve"> of this Attachment to be classified as standard loans.</w:t>
      </w:r>
    </w:p>
    <w:p w14:paraId="4E5345A5" w14:textId="38EBF4DD" w:rsidR="00E51304" w:rsidRPr="000C2DF4" w:rsidRDefault="002453F3" w:rsidP="00124D47">
      <w:pPr>
        <w:pStyle w:val="Heading1"/>
      </w:pPr>
      <w:bookmarkStart w:id="51" w:name="_Toc4489878"/>
      <w:r w:rsidRPr="000C2DF4">
        <w:t>Loan-to-valuation ratio</w:t>
      </w:r>
      <w:bookmarkEnd w:id="51"/>
    </w:p>
    <w:p w14:paraId="66B47702" w14:textId="38BF3F05" w:rsidR="004255A7" w:rsidRPr="002453F3" w:rsidRDefault="004255A7" w:rsidP="004255A7">
      <w:pPr>
        <w:pStyle w:val="BodyText1"/>
      </w:pPr>
      <w:bookmarkStart w:id="52" w:name="_Ref3472052"/>
      <w:r>
        <w:t>The components of LVR must be prudently calculated in accordance with the requirements set out in</w:t>
      </w:r>
      <w:r w:rsidR="009B0073">
        <w:t xml:space="preserve"> paragraphs </w:t>
      </w:r>
      <w:r w:rsidR="009B0073">
        <w:fldChar w:fldCharType="begin"/>
      </w:r>
      <w:r w:rsidR="009B0073">
        <w:instrText xml:space="preserve"> REF _Ref3471806 \r \h </w:instrText>
      </w:r>
      <w:r w:rsidR="009B0073">
        <w:fldChar w:fldCharType="separate"/>
      </w:r>
      <w:r w:rsidR="0007706D">
        <w:t>10</w:t>
      </w:r>
      <w:r w:rsidR="009B0073">
        <w:fldChar w:fldCharType="end"/>
      </w:r>
      <w:r w:rsidR="009B0073">
        <w:t xml:space="preserve"> and </w:t>
      </w:r>
      <w:r w:rsidR="009B0073">
        <w:fldChar w:fldCharType="begin"/>
      </w:r>
      <w:r w:rsidR="009B0073">
        <w:instrText xml:space="preserve"> REF _Ref3471761 \r \h </w:instrText>
      </w:r>
      <w:r w:rsidR="009B0073">
        <w:fldChar w:fldCharType="separate"/>
      </w:r>
      <w:r w:rsidR="0007706D">
        <w:t>11</w:t>
      </w:r>
      <w:r w:rsidR="009B0073">
        <w:fldChar w:fldCharType="end"/>
      </w:r>
      <w:r w:rsidR="009B0073">
        <w:t xml:space="preserve"> of this Attachment</w:t>
      </w:r>
      <w:r>
        <w:t>.</w:t>
      </w:r>
      <w:bookmarkEnd w:id="52"/>
      <w:r>
        <w:t xml:space="preserve"> </w:t>
      </w:r>
    </w:p>
    <w:p w14:paraId="290A799E" w14:textId="059D12C4" w:rsidR="004255A7" w:rsidRDefault="004255A7" w:rsidP="009A2090">
      <w:pPr>
        <w:pStyle w:val="BodyText1"/>
      </w:pPr>
      <w:bookmarkStart w:id="53" w:name="_Ref3471806"/>
      <w:r>
        <w:t xml:space="preserve">The amount of the loan </w:t>
      </w:r>
      <w:r w:rsidRPr="009D0207">
        <w:t>includes the outstanding loan amount</w:t>
      </w:r>
      <w:r w:rsidR="001617DF">
        <w:t xml:space="preserve"> (including accrued interest and fees)</w:t>
      </w:r>
      <w:r w:rsidRPr="009D0207">
        <w:t xml:space="preserve"> and any undrawn committe</w:t>
      </w:r>
      <w:r>
        <w:t xml:space="preserve">d amount (as set out in Attachment C to this Prudential Standard), </w:t>
      </w:r>
      <w:r w:rsidRPr="009D0207">
        <w:t>calculated gross of any provisions</w:t>
      </w:r>
      <w:r w:rsidR="00BF6E50">
        <w:t xml:space="preserve"> for defaulted exposures</w:t>
      </w:r>
      <w:r w:rsidRPr="009D0207">
        <w:t xml:space="preserve"> and other </w:t>
      </w:r>
      <w:r w:rsidR="00C846A3">
        <w:t xml:space="preserve">credit </w:t>
      </w:r>
      <w:r w:rsidRPr="009D0207">
        <w:t>risk mitigants</w:t>
      </w:r>
      <w:r>
        <w:t>.</w:t>
      </w:r>
      <w:bookmarkEnd w:id="53"/>
      <w:r>
        <w:t xml:space="preserve"> </w:t>
      </w:r>
      <w:r w:rsidR="00E77D87">
        <w:t>If an ADI provides:</w:t>
      </w:r>
    </w:p>
    <w:p w14:paraId="211D236B" w14:textId="7B1A2AA4" w:rsidR="00575149" w:rsidRDefault="004255A7" w:rsidP="009D3DD1">
      <w:pPr>
        <w:pStyle w:val="BodyText2"/>
      </w:pPr>
      <w:r w:rsidRPr="004255A7">
        <w:t xml:space="preserve">multiple loans secured by the same property and they are sequential in ranking order (i.e. there is no intermediate interest from another </w:t>
      </w:r>
      <w:r w:rsidR="00986D00">
        <w:t>lender</w:t>
      </w:r>
      <w:r w:rsidRPr="004255A7">
        <w:t xml:space="preserve">), </w:t>
      </w:r>
      <w:r w:rsidR="003E6A3D">
        <w:t>the loan amounts must be aggregated and treated as a single exposure for the</w:t>
      </w:r>
      <w:r w:rsidR="00E77D87">
        <w:t xml:space="preserve"> purpose of calculating the LVR; or</w:t>
      </w:r>
    </w:p>
    <w:p w14:paraId="6DF483FE" w14:textId="4649CDA2" w:rsidR="004255A7" w:rsidRDefault="007038AF" w:rsidP="009D3DD1">
      <w:pPr>
        <w:pStyle w:val="BodyText2"/>
      </w:pPr>
      <w:r>
        <w:t>a</w:t>
      </w:r>
      <w:r w:rsidR="004255A7">
        <w:t xml:space="preserve"> loan</w:t>
      </w:r>
      <w:r>
        <w:t xml:space="preserve"> that</w:t>
      </w:r>
      <w:r w:rsidR="004255A7">
        <w:t xml:space="preserve"> is secured by a second mortgage, the outstanding amount of the loan must be calculated as the sum of all claims on the borrower secured by both the first and second mortgages over the same property for the p</w:t>
      </w:r>
      <w:r w:rsidR="009D3DD1">
        <w:t>urpose of calculating the LVR.</w:t>
      </w:r>
    </w:p>
    <w:p w14:paraId="6442F3DF" w14:textId="35E2C60C" w:rsidR="004255A7" w:rsidRDefault="004255A7" w:rsidP="004255A7">
      <w:pPr>
        <w:ind w:firstLine="567"/>
      </w:pPr>
      <w:r>
        <w:lastRenderedPageBreak/>
        <w:t xml:space="preserve">When calculating LVR, the loan amount will reduce </w:t>
      </w:r>
      <w:r w:rsidR="007A5ED5">
        <w:t xml:space="preserve">if </w:t>
      </w:r>
      <w:r>
        <w:t xml:space="preserve">the loan amortises. </w:t>
      </w:r>
    </w:p>
    <w:p w14:paraId="58512074" w14:textId="6926B964" w:rsidR="00833F6F" w:rsidRDefault="009D3DD1" w:rsidP="009D3DD1">
      <w:pPr>
        <w:pStyle w:val="BodyText1"/>
      </w:pPr>
      <w:bookmarkStart w:id="54" w:name="_Ref3471761"/>
      <w:r>
        <w:t>The value of the property</w:t>
      </w:r>
      <w:r w:rsidR="004412CF">
        <w:t xml:space="preserve"> must be </w:t>
      </w:r>
      <w:r w:rsidR="005B340E">
        <w:t>appraised independently using prudently conservative criteria, consistent with the requirements set out in APS 220</w:t>
      </w:r>
      <w:r w:rsidR="005B340E" w:rsidRPr="009D0207">
        <w:t>.</w:t>
      </w:r>
      <w:r w:rsidR="005B340E">
        <w:rPr>
          <w:rStyle w:val="FootnoteReference"/>
        </w:rPr>
        <w:footnoteReference w:id="5"/>
      </w:r>
      <w:r w:rsidR="005B340E" w:rsidRPr="009D0207">
        <w:t xml:space="preserve"> If a market value can be determined, the valuation </w:t>
      </w:r>
      <w:r w:rsidR="00C846A3">
        <w:t>must</w:t>
      </w:r>
      <w:r w:rsidR="00C846A3" w:rsidRPr="009D0207">
        <w:t xml:space="preserve"> </w:t>
      </w:r>
      <w:r w:rsidR="005B340E" w:rsidRPr="009D0207">
        <w:t>not be</w:t>
      </w:r>
      <w:r w:rsidR="005B340E">
        <w:t xml:space="preserve"> higher than the market value.</w:t>
      </w:r>
      <w:r w:rsidR="005B340E">
        <w:rPr>
          <w:rStyle w:val="FootnoteReference"/>
        </w:rPr>
        <w:footnoteReference w:id="6"/>
      </w:r>
      <w:r w:rsidR="001617DF">
        <w:t xml:space="preserve"> For the purpose of calculating the property value:</w:t>
      </w:r>
      <w:bookmarkEnd w:id="54"/>
    </w:p>
    <w:p w14:paraId="745AC915" w14:textId="66BB861E" w:rsidR="00D01266" w:rsidRDefault="00EA7025" w:rsidP="00D01266">
      <w:pPr>
        <w:pStyle w:val="BodyText2"/>
      </w:pPr>
      <w:bookmarkStart w:id="55" w:name="_Ref57196430"/>
      <w:r>
        <w:t>t</w:t>
      </w:r>
      <w:r w:rsidR="008E1C1B">
        <w:t xml:space="preserve">he value of the property at origination must be maintained, </w:t>
      </w:r>
      <w:r w:rsidR="00D37D67">
        <w:t>unless</w:t>
      </w:r>
      <w:r w:rsidR="00D01266">
        <w:t>:</w:t>
      </w:r>
      <w:bookmarkEnd w:id="55"/>
    </w:p>
    <w:p w14:paraId="572B8562" w14:textId="4ECBDF32" w:rsidR="00D01266" w:rsidRDefault="00D37D67" w:rsidP="00D01266">
      <w:pPr>
        <w:pStyle w:val="BodyText3"/>
      </w:pPr>
      <w:r>
        <w:t>an updated valuation is obtained as part of a new loan application process in relation to the mortgaged property</w:t>
      </w:r>
      <w:r w:rsidR="00D01266">
        <w:t>;</w:t>
      </w:r>
    </w:p>
    <w:p w14:paraId="5A775433" w14:textId="4D4DD800" w:rsidR="00D01266" w:rsidRDefault="00D37D67" w:rsidP="00D01266">
      <w:pPr>
        <w:pStyle w:val="BodyText3"/>
      </w:pPr>
      <w:r>
        <w:t>an event</w:t>
      </w:r>
      <w:r w:rsidR="007515ED">
        <w:t xml:space="preserve"> occurs that</w:t>
      </w:r>
      <w:r>
        <w:t xml:space="preserve"> result</w:t>
      </w:r>
      <w:r w:rsidR="007515ED">
        <w:t>s</w:t>
      </w:r>
      <w:r>
        <w:t xml:space="preserve"> in </w:t>
      </w:r>
      <w:r w:rsidR="00FA0594">
        <w:t>a</w:t>
      </w:r>
      <w:r w:rsidR="007515ED">
        <w:t xml:space="preserve"> likely </w:t>
      </w:r>
      <w:r>
        <w:t>permanent reduction in the property’s value</w:t>
      </w:r>
      <w:r w:rsidR="00D01266">
        <w:t>; or</w:t>
      </w:r>
    </w:p>
    <w:p w14:paraId="28AB3C85" w14:textId="05082519" w:rsidR="009D3DD1" w:rsidRDefault="00D01266" w:rsidP="00D01266">
      <w:pPr>
        <w:pStyle w:val="BodyText3"/>
      </w:pPr>
      <w:r>
        <w:t>m</w:t>
      </w:r>
      <w:r w:rsidR="008E1C1B">
        <w:t>odifications</w:t>
      </w:r>
      <w:r>
        <w:t xml:space="preserve"> are</w:t>
      </w:r>
      <w:r w:rsidR="008E1C1B">
        <w:t xml:space="preserve"> made to the property</w:t>
      </w:r>
      <w:r w:rsidR="006609E8">
        <w:t xml:space="preserve"> or contractual </w:t>
      </w:r>
      <w:r w:rsidR="00CA0271">
        <w:t xml:space="preserve">tenancy </w:t>
      </w:r>
      <w:r w:rsidR="006609E8">
        <w:t>arrangements,</w:t>
      </w:r>
      <w:r w:rsidR="008E1C1B">
        <w:t xml:space="preserve"> that unequivocally increase its value</w:t>
      </w:r>
      <w:r>
        <w:t>,</w:t>
      </w:r>
      <w:r w:rsidR="008E1C1B">
        <w:t xml:space="preserve"> </w:t>
      </w:r>
      <w:r>
        <w:t xml:space="preserve">and an updated valuation is obtained which confirms </w:t>
      </w:r>
      <w:r w:rsidR="00780A2E">
        <w:t>the increase in value</w:t>
      </w:r>
      <w:r w:rsidR="00EA7025">
        <w:t>;</w:t>
      </w:r>
      <w:r w:rsidR="008E1C1B">
        <w:t xml:space="preserve"> </w:t>
      </w:r>
    </w:p>
    <w:p w14:paraId="16668662" w14:textId="20B19B94" w:rsidR="009D3DD1" w:rsidRPr="003B5E14" w:rsidRDefault="00D01266" w:rsidP="003B5E14">
      <w:pPr>
        <w:pStyle w:val="BodyText2"/>
      </w:pPr>
      <w:r w:rsidRPr="003B5E14">
        <w:t>where a loan is secured by multiple properties, an ADI must use the aggregate value of the mortgaged properties for the purpose of calculating LVR;</w:t>
      </w:r>
      <w:r w:rsidR="003B5E14">
        <w:t xml:space="preserve"> however,</w:t>
      </w:r>
      <w:r w:rsidRPr="003B5E14">
        <w:t xml:space="preserve"> where a residential property exposure is secured by both residential and commercial </w:t>
      </w:r>
      <w:r w:rsidR="007A5ED5">
        <w:t>properties</w:t>
      </w:r>
      <w:r w:rsidRPr="003B5E14">
        <w:t xml:space="preserve">, an ADI must </w:t>
      </w:r>
      <w:r w:rsidR="00EA4740">
        <w:t>apply a 40 per cent haircut to the value of any commercial property included in calculating LVR</w:t>
      </w:r>
      <w:r w:rsidRPr="003B5E14">
        <w:t xml:space="preserve">; and </w:t>
      </w:r>
    </w:p>
    <w:p w14:paraId="337D9C61" w14:textId="6D7A7E4C" w:rsidR="009D3DD1" w:rsidRDefault="00D01266" w:rsidP="00D01266">
      <w:pPr>
        <w:pStyle w:val="BodyText2"/>
      </w:pPr>
      <w:r>
        <w:t>f</w:t>
      </w:r>
      <w:r w:rsidR="009D3DD1">
        <w:t xml:space="preserve">or a reverse mortgage, where a borrower has been guaranteed a minimum share in the future sale proceeds of a mortgaged property, the calculation of the LVR for regulatory purposes must be adjusted by reducing the value of the mortgaged property by the quarantined percentage share. </w:t>
      </w:r>
    </w:p>
    <w:p w14:paraId="0F4C2924" w14:textId="3144CF90" w:rsidR="00377E3A" w:rsidRDefault="00377E3A" w:rsidP="00377E3A">
      <w:pPr>
        <w:pStyle w:val="BodyText1"/>
      </w:pPr>
      <w:r>
        <w:t>For exposures secured by commercial property that were originated prior to 1 January 2023, an ADI may use the current valuation</w:t>
      </w:r>
      <w:r w:rsidR="003D1C6B">
        <w:t>, rather than the valu</w:t>
      </w:r>
      <w:r w:rsidR="008A465D">
        <w:t>e of the property</w:t>
      </w:r>
      <w:r w:rsidR="003D1C6B">
        <w:t xml:space="preserve"> at origination, for the purpose of paragraph </w:t>
      </w:r>
      <w:r w:rsidR="008A465D">
        <w:fldChar w:fldCharType="begin"/>
      </w:r>
      <w:r w:rsidR="008A465D">
        <w:instrText xml:space="preserve"> REF _Ref57196430 \r \h </w:instrText>
      </w:r>
      <w:r w:rsidR="008A465D">
        <w:fldChar w:fldCharType="separate"/>
      </w:r>
      <w:r w:rsidR="0007706D">
        <w:t>11(a)</w:t>
      </w:r>
      <w:r w:rsidR="008A465D">
        <w:fldChar w:fldCharType="end"/>
      </w:r>
      <w:r w:rsidR="003D1C6B">
        <w:t xml:space="preserve"> of this Attachment.</w:t>
      </w:r>
    </w:p>
    <w:p w14:paraId="511B2FD4" w14:textId="0B32EB75" w:rsidR="002453F3" w:rsidRPr="007038AF" w:rsidRDefault="00A15985" w:rsidP="007038AF">
      <w:pPr>
        <w:pStyle w:val="Heading1"/>
      </w:pPr>
      <w:bookmarkStart w:id="56" w:name="_Toc4489879"/>
      <w:r w:rsidRPr="007038AF">
        <w:t>Credit risk mitigation</w:t>
      </w:r>
      <w:bookmarkEnd w:id="56"/>
    </w:p>
    <w:p w14:paraId="59DCEB12" w14:textId="1FA25174" w:rsidR="00A15985" w:rsidRDefault="004E7CDA" w:rsidP="00A15985">
      <w:pPr>
        <w:pStyle w:val="BodyText1"/>
      </w:pPr>
      <w:r>
        <w:t>An ADI may use eligible CRM</w:t>
      </w:r>
      <w:r w:rsidR="006A6D33">
        <w:t xml:space="preserve"> techniques</w:t>
      </w:r>
      <w:r>
        <w:t xml:space="preserve"> to reduce the exposure amount of a </w:t>
      </w:r>
      <w:r w:rsidR="002502B9">
        <w:t>property exposure</w:t>
      </w:r>
      <w:r>
        <w:t xml:space="preserve">, but the LVR </w:t>
      </w:r>
      <w:r w:rsidR="003A7116">
        <w:t xml:space="preserve">band </w:t>
      </w:r>
      <w:r>
        <w:t>and</w:t>
      </w:r>
      <w:r w:rsidR="003156BE">
        <w:t xml:space="preserve"> applicable</w:t>
      </w:r>
      <w:r>
        <w:t xml:space="preserve"> risk weight </w:t>
      </w:r>
      <w:r w:rsidR="003156BE">
        <w:t xml:space="preserve">must be determined before the application of the relevant CRM technique. </w:t>
      </w:r>
    </w:p>
    <w:p w14:paraId="69282B97" w14:textId="7C557726" w:rsidR="00B30487" w:rsidRDefault="00B30487" w:rsidP="00B30487">
      <w:pPr>
        <w:pStyle w:val="Heading1"/>
      </w:pPr>
      <w:bookmarkStart w:id="57" w:name="_Toc4489880"/>
      <w:r>
        <w:t>Residential property</w:t>
      </w:r>
      <w:bookmarkEnd w:id="57"/>
    </w:p>
    <w:p w14:paraId="76A9AF26" w14:textId="0757BA1C" w:rsidR="00B30487" w:rsidRDefault="00B30487" w:rsidP="00B30487">
      <w:pPr>
        <w:pStyle w:val="BodyText1"/>
      </w:pPr>
      <w:bookmarkStart w:id="58" w:name="_Ref3471876"/>
      <w:r w:rsidRPr="00B30487">
        <w:t xml:space="preserve">A residential property exposure is an exposure </w:t>
      </w:r>
      <w:r w:rsidR="004B37B4">
        <w:t>where the predominant security is</w:t>
      </w:r>
      <w:r w:rsidRPr="00B30487">
        <w:t xml:space="preserve"> an immovable property that has the nature of a dwelling</w:t>
      </w:r>
      <w:r w:rsidR="0096045A">
        <w:t>,</w:t>
      </w:r>
      <w:r w:rsidRPr="00B30487">
        <w:t xml:space="preserve"> and satisfies all </w:t>
      </w:r>
      <w:r w:rsidRPr="00B30487">
        <w:lastRenderedPageBreak/>
        <w:t xml:space="preserve">applicable laws and regulations enabling the property to be </w:t>
      </w:r>
      <w:r w:rsidR="0096045A">
        <w:t xml:space="preserve">occupied for housing </w:t>
      </w:r>
      <w:r w:rsidR="001617DF" w:rsidRPr="00B30487">
        <w:t>purposes</w:t>
      </w:r>
      <w:r w:rsidR="0096045A">
        <w:t>.</w:t>
      </w:r>
      <w:r w:rsidR="001F4490">
        <w:t xml:space="preserve"> Residential property includes the following exposure types:</w:t>
      </w:r>
      <w:bookmarkEnd w:id="58"/>
    </w:p>
    <w:p w14:paraId="7FA72771" w14:textId="6BF7DDF4" w:rsidR="001F4490" w:rsidRPr="00AB25BA" w:rsidRDefault="00377E3A" w:rsidP="001F4490">
      <w:pPr>
        <w:pStyle w:val="BodyText2"/>
      </w:pPr>
      <w:bookmarkStart w:id="59" w:name="_Ref3471878"/>
      <w:r>
        <w:t>‘</w:t>
      </w:r>
      <w:r w:rsidR="001F4490">
        <w:t>Owner-occupied</w:t>
      </w:r>
      <w:r>
        <w:t>’</w:t>
      </w:r>
      <w:r w:rsidR="001F4490">
        <w:t xml:space="preserve"> </w:t>
      </w:r>
      <w:r w:rsidR="001F4490" w:rsidRPr="00AB25BA">
        <w:t xml:space="preserve">refers to a loan for the purpose of housing, where the funds are </w:t>
      </w:r>
      <w:r w:rsidR="00F9699B">
        <w:t>used for a residential property</w:t>
      </w:r>
      <w:r w:rsidR="001F4490" w:rsidRPr="00AB25BA">
        <w:t xml:space="preserve"> that is occupied</w:t>
      </w:r>
      <w:r w:rsidR="00F9699B">
        <w:t>,</w:t>
      </w:r>
      <w:r w:rsidR="001F4490" w:rsidRPr="00AB25BA">
        <w:t xml:space="preserve"> or to be occupied</w:t>
      </w:r>
      <w:r w:rsidR="00F9699B">
        <w:t>,</w:t>
      </w:r>
      <w:r w:rsidR="001F4490" w:rsidRPr="00AB25BA">
        <w:t xml:space="preserve"> by the borrower(s) as their principal place of residence. Where the loan is for a residential property that is different to the residential property against which the loan is secured, this definition refers to the occupation status of the residential property for which the loan has been obtained (not the occupation status of the residential property used as security). It includes:</w:t>
      </w:r>
      <w:bookmarkEnd w:id="59"/>
    </w:p>
    <w:p w14:paraId="4AA10D97" w14:textId="102E89A7" w:rsidR="001F4490" w:rsidRDefault="009D6161" w:rsidP="001F4490">
      <w:pPr>
        <w:pStyle w:val="BodyText3"/>
      </w:pPr>
      <w:r>
        <w:t xml:space="preserve">a </w:t>
      </w:r>
      <w:r w:rsidR="001F4490">
        <w:t xml:space="preserve">dwelling </w:t>
      </w:r>
      <w:r>
        <w:t xml:space="preserve">or </w:t>
      </w:r>
      <w:r w:rsidR="001F4490">
        <w:t xml:space="preserve">residential land that </w:t>
      </w:r>
      <w:r>
        <w:t xml:space="preserve">is </w:t>
      </w:r>
      <w:r w:rsidR="001F4490">
        <w:t>vacant while under construction, but that the borrower intends to occupy as a principal place of residence; and</w:t>
      </w:r>
    </w:p>
    <w:p w14:paraId="1F93374B" w14:textId="595C113D" w:rsidR="001F4490" w:rsidRDefault="002E05BC" w:rsidP="001F4490">
      <w:pPr>
        <w:pStyle w:val="BodyText3"/>
      </w:pPr>
      <w:r>
        <w:t xml:space="preserve">a </w:t>
      </w:r>
      <w:r w:rsidR="001F4490">
        <w:t xml:space="preserve">part-time residence that </w:t>
      </w:r>
      <w:r>
        <w:t xml:space="preserve">is the </w:t>
      </w:r>
      <w:r w:rsidR="001F4490">
        <w:t>principal place of residence</w:t>
      </w:r>
      <w:r>
        <w:t xml:space="preserve"> of the borrower(s)</w:t>
      </w:r>
      <w:r w:rsidR="001F4490">
        <w:t>.</w:t>
      </w:r>
    </w:p>
    <w:p w14:paraId="6DBCFF20" w14:textId="0A3AA6A5" w:rsidR="001F4490" w:rsidRDefault="001F4490" w:rsidP="001F4490">
      <w:pPr>
        <w:ind w:left="1134"/>
        <w:jc w:val="both"/>
      </w:pPr>
      <w:r w:rsidRPr="00C52462">
        <w:t>Where finance is to be used for more than one purpose (</w:t>
      </w:r>
      <w:r>
        <w:t xml:space="preserve">e.g. </w:t>
      </w:r>
      <w:r w:rsidRPr="00C52462">
        <w:t xml:space="preserve">owner-occupied, investment or non-housing purposes), the entire amount of the finance </w:t>
      </w:r>
      <w:r>
        <w:t>must</w:t>
      </w:r>
      <w:r w:rsidRPr="00C52462">
        <w:t xml:space="preserve"> be classified according to the predominant purpose (i.e. the purpose for which the largest share of the funds will be used). Where there is any doubt or ambiguity about whether a loan is for an owner-occupied or investment p</w:t>
      </w:r>
      <w:r w:rsidR="00B223B7">
        <w:t>urpose</w:t>
      </w:r>
      <w:r w:rsidR="00F9699B">
        <w:t>,</w:t>
      </w:r>
      <w:r w:rsidRPr="00C52462">
        <w:t xml:space="preserve"> the loan </w:t>
      </w:r>
      <w:r w:rsidR="00F9699B">
        <w:t>must be treated</w:t>
      </w:r>
      <w:r>
        <w:t xml:space="preserve"> as </w:t>
      </w:r>
      <w:r w:rsidR="00B1023D">
        <w:t xml:space="preserve">an ‘other </w:t>
      </w:r>
      <w:r w:rsidR="001211BD">
        <w:t>standard residential property</w:t>
      </w:r>
      <w:r w:rsidR="002C2EBF">
        <w:t>’</w:t>
      </w:r>
      <w:r w:rsidR="00B1023D">
        <w:t xml:space="preserve"> exposure</w:t>
      </w:r>
      <w:r>
        <w:t xml:space="preserve">. </w:t>
      </w:r>
    </w:p>
    <w:p w14:paraId="06946863" w14:textId="7FCEE085" w:rsidR="001F4490" w:rsidRDefault="00377E3A" w:rsidP="001F4490">
      <w:pPr>
        <w:pStyle w:val="BodyText2"/>
      </w:pPr>
      <w:bookmarkStart w:id="60" w:name="_Ref3471903"/>
      <w:r>
        <w:t>‘</w:t>
      </w:r>
      <w:r w:rsidR="001F4490" w:rsidRPr="00C52462">
        <w:t>Principal-and-interest</w:t>
      </w:r>
      <w:r>
        <w:t>’</w:t>
      </w:r>
      <w:r w:rsidR="001F4490" w:rsidRPr="00C52462">
        <w:t xml:space="preserve"> refers to a loan on which interest is paid and principal is automatically </w:t>
      </w:r>
      <w:r w:rsidR="00B1023D">
        <w:t>amortised over the life of the loan</w:t>
      </w:r>
      <w:r w:rsidR="001F4490" w:rsidRPr="00C52462">
        <w:t xml:space="preserve">. </w:t>
      </w:r>
      <w:bookmarkStart w:id="61" w:name="_Hlk54279103"/>
      <w:bookmarkEnd w:id="60"/>
    </w:p>
    <w:bookmarkEnd w:id="61"/>
    <w:p w14:paraId="79210E14" w14:textId="7691EE98" w:rsidR="00D95C87" w:rsidRDefault="00377E3A" w:rsidP="00D95C87">
      <w:pPr>
        <w:pStyle w:val="BodyText2"/>
      </w:pPr>
      <w:r>
        <w:t>‘</w:t>
      </w:r>
      <w:r w:rsidR="00D95C87">
        <w:t>Other</w:t>
      </w:r>
      <w:r w:rsidR="001211BD">
        <w:t xml:space="preserve"> standard residential property</w:t>
      </w:r>
      <w:r w:rsidR="00ED0D60">
        <w:t>’</w:t>
      </w:r>
      <w:r w:rsidR="00D95C87">
        <w:t xml:space="preserve"> refers to any of the following</w:t>
      </w:r>
      <w:r w:rsidR="000D0878">
        <w:t xml:space="preserve"> exposures</w:t>
      </w:r>
      <w:r w:rsidR="00D95C87">
        <w:t>:</w:t>
      </w:r>
    </w:p>
    <w:p w14:paraId="04261027" w14:textId="3D2A4460" w:rsidR="00D95C87" w:rsidRDefault="00ED0D60" w:rsidP="00D95C87">
      <w:pPr>
        <w:pStyle w:val="BodyText3"/>
      </w:pPr>
      <w:r>
        <w:t xml:space="preserve">loans </w:t>
      </w:r>
      <w:r w:rsidR="00D95C87">
        <w:t>for a purpose other than owner-occupation, including for investment or business purposes;</w:t>
      </w:r>
    </w:p>
    <w:p w14:paraId="43465773" w14:textId="7552AE68" w:rsidR="00D95C87" w:rsidRDefault="003A7116" w:rsidP="00D95C87">
      <w:pPr>
        <w:pStyle w:val="BodyText3"/>
      </w:pPr>
      <w:r>
        <w:t>interest-</w:t>
      </w:r>
      <w:r w:rsidR="00D95C87">
        <w:t xml:space="preserve">only </w:t>
      </w:r>
      <w:r w:rsidR="00CE5F75">
        <w:t xml:space="preserve">loans </w:t>
      </w:r>
      <w:r w:rsidR="00157FEA">
        <w:t xml:space="preserve">with an </w:t>
      </w:r>
      <w:r w:rsidR="00D80971">
        <w:t>interest-only</w:t>
      </w:r>
      <w:r w:rsidR="009A01A9">
        <w:t xml:space="preserve"> term of five years or less</w:t>
      </w:r>
      <w:r w:rsidR="00D95C87">
        <w:t>, where only interest is paid and principal is</w:t>
      </w:r>
      <w:r w:rsidR="004B37B4">
        <w:t xml:space="preserve"> not</w:t>
      </w:r>
      <w:r w:rsidR="00D95C87">
        <w:t xml:space="preserve"> automatically amortised; or</w:t>
      </w:r>
    </w:p>
    <w:p w14:paraId="7C95A1DA" w14:textId="1002FDF5" w:rsidR="00D95C87" w:rsidRPr="009B0073" w:rsidRDefault="00D95C87" w:rsidP="00D95C87">
      <w:pPr>
        <w:pStyle w:val="BodyText3"/>
      </w:pPr>
      <w:r w:rsidRPr="009B0073">
        <w:t xml:space="preserve">other </w:t>
      </w:r>
      <w:r w:rsidR="00ED0D60">
        <w:t>loans</w:t>
      </w:r>
      <w:r w:rsidR="00164BD5" w:rsidRPr="009B0073">
        <w:t xml:space="preserve"> </w:t>
      </w:r>
      <w:r w:rsidRPr="009B0073">
        <w:t>that do not meet both of the criteria in paragraph</w:t>
      </w:r>
      <w:r w:rsidR="009B0073" w:rsidRPr="009B0073">
        <w:t xml:space="preserve">s </w:t>
      </w:r>
      <w:r w:rsidR="009B0073" w:rsidRPr="009B0073">
        <w:fldChar w:fldCharType="begin"/>
      </w:r>
      <w:r w:rsidR="009B0073" w:rsidRPr="009B0073">
        <w:instrText xml:space="preserve"> REF _Ref3471876 \r \h </w:instrText>
      </w:r>
      <w:r w:rsidR="009B0073">
        <w:instrText xml:space="preserve"> \* MERGEFORMAT </w:instrText>
      </w:r>
      <w:r w:rsidR="009B0073" w:rsidRPr="009B0073">
        <w:fldChar w:fldCharType="separate"/>
      </w:r>
      <w:r w:rsidR="0007706D">
        <w:t>14</w:t>
      </w:r>
      <w:r w:rsidR="009B0073" w:rsidRPr="009B0073">
        <w:fldChar w:fldCharType="end"/>
      </w:r>
      <w:r w:rsidR="009B0073" w:rsidRPr="009B0073">
        <w:fldChar w:fldCharType="begin"/>
      </w:r>
      <w:r w:rsidR="009B0073" w:rsidRPr="009B0073">
        <w:instrText xml:space="preserve"> REF _Ref3471878 \r \h </w:instrText>
      </w:r>
      <w:r w:rsidR="009B0073">
        <w:instrText xml:space="preserve"> \* MERGEFORMAT </w:instrText>
      </w:r>
      <w:r w:rsidR="009B0073" w:rsidRPr="009B0073">
        <w:fldChar w:fldCharType="separate"/>
      </w:r>
      <w:r w:rsidR="0007706D">
        <w:t>(a)</w:t>
      </w:r>
      <w:r w:rsidR="009B0073" w:rsidRPr="009B0073">
        <w:fldChar w:fldCharType="end"/>
      </w:r>
      <w:r w:rsidR="009B0073" w:rsidRPr="009B0073">
        <w:t xml:space="preserve"> and </w:t>
      </w:r>
      <w:r w:rsidR="009B0073" w:rsidRPr="009B0073">
        <w:fldChar w:fldCharType="begin"/>
      </w:r>
      <w:r w:rsidR="009B0073" w:rsidRPr="009B0073">
        <w:instrText xml:space="preserve"> REF _Ref3471876 \r \h </w:instrText>
      </w:r>
      <w:r w:rsidR="009B0073">
        <w:instrText xml:space="preserve"> \* MERGEFORMAT </w:instrText>
      </w:r>
      <w:r w:rsidR="009B0073" w:rsidRPr="009B0073">
        <w:fldChar w:fldCharType="separate"/>
      </w:r>
      <w:r w:rsidR="0007706D">
        <w:t>14</w:t>
      </w:r>
      <w:r w:rsidR="009B0073" w:rsidRPr="009B0073">
        <w:fldChar w:fldCharType="end"/>
      </w:r>
      <w:r w:rsidR="009B0073" w:rsidRPr="009B0073">
        <w:fldChar w:fldCharType="begin"/>
      </w:r>
      <w:r w:rsidR="009B0073" w:rsidRPr="009B0073">
        <w:instrText xml:space="preserve"> REF _Ref3471903 \r \h </w:instrText>
      </w:r>
      <w:r w:rsidR="009B0073">
        <w:instrText xml:space="preserve"> \* MERGEFORMAT </w:instrText>
      </w:r>
      <w:r w:rsidR="009B0073" w:rsidRPr="009B0073">
        <w:fldChar w:fldCharType="separate"/>
      </w:r>
      <w:r w:rsidR="0007706D">
        <w:t>(b)</w:t>
      </w:r>
      <w:r w:rsidR="009B0073" w:rsidRPr="009B0073">
        <w:fldChar w:fldCharType="end"/>
      </w:r>
      <w:r w:rsidR="009B0073">
        <w:t xml:space="preserve"> of this Attachment</w:t>
      </w:r>
      <w:r w:rsidRPr="009B0073">
        <w:t>.</w:t>
      </w:r>
    </w:p>
    <w:p w14:paraId="789490AD" w14:textId="551072FA" w:rsidR="00B30487" w:rsidRPr="0056035F" w:rsidRDefault="009F6C90" w:rsidP="009F6C90">
      <w:pPr>
        <w:pStyle w:val="Heading3"/>
      </w:pPr>
      <w:r>
        <w:t>Lenders’ mortgage insurance</w:t>
      </w:r>
    </w:p>
    <w:p w14:paraId="366E4854" w14:textId="040E24D9" w:rsidR="007C7111" w:rsidRDefault="00747F66" w:rsidP="009F6C90">
      <w:pPr>
        <w:pStyle w:val="BodyText1"/>
      </w:pPr>
      <w:bookmarkStart w:id="62" w:name="_Ref3471065"/>
      <w:r>
        <w:t>An</w:t>
      </w:r>
      <w:r w:rsidR="0039054E">
        <w:t xml:space="preserve"> ADI </w:t>
      </w:r>
      <w:r>
        <w:t xml:space="preserve">may </w:t>
      </w:r>
      <w:r w:rsidR="0039054E">
        <w:t xml:space="preserve">reduce </w:t>
      </w:r>
      <w:r w:rsidR="007C7111">
        <w:t xml:space="preserve">its capital requirement through the application of LMI, </w:t>
      </w:r>
      <w:r>
        <w:t>where</w:t>
      </w:r>
      <w:r w:rsidR="007C7111">
        <w:t xml:space="preserve"> the insurance:</w:t>
      </w:r>
      <w:bookmarkEnd w:id="62"/>
    </w:p>
    <w:p w14:paraId="3841593A" w14:textId="219F27D1" w:rsidR="007C7111" w:rsidRDefault="007C7111" w:rsidP="000F30D4">
      <w:pPr>
        <w:pStyle w:val="BodyText2"/>
      </w:pPr>
      <w:r>
        <w:t xml:space="preserve">provides </w:t>
      </w:r>
      <w:r w:rsidR="009F6C90">
        <w:t>cover for all losses up to at least 40 per cent of the higher of the original loan amou</w:t>
      </w:r>
      <w:r w:rsidR="00D4698D">
        <w:t>nt and outstanding loan amount</w:t>
      </w:r>
      <w:r>
        <w:t>; and</w:t>
      </w:r>
    </w:p>
    <w:p w14:paraId="4AA7EF56" w14:textId="69E92BB0" w:rsidR="009F6C90" w:rsidRDefault="007C7111" w:rsidP="000F30D4">
      <w:pPr>
        <w:pStyle w:val="BodyText2"/>
      </w:pPr>
      <w:r>
        <w:t xml:space="preserve">is provided by an </w:t>
      </w:r>
      <w:r w:rsidR="000F30D4">
        <w:t>eligible</w:t>
      </w:r>
      <w:r>
        <w:t xml:space="preserve"> lenders’ mortgage insurer</w:t>
      </w:r>
      <w:r w:rsidR="000F30D4">
        <w:t xml:space="preserve">, which </w:t>
      </w:r>
      <w:r w:rsidR="00660F0C">
        <w:t>means</w:t>
      </w:r>
      <w:r w:rsidR="000F30D4">
        <w:t xml:space="preserve"> that:</w:t>
      </w:r>
    </w:p>
    <w:p w14:paraId="2E7D960C" w14:textId="2E8FE3B3" w:rsidR="009F6C90" w:rsidRDefault="009F6C90" w:rsidP="000F30D4">
      <w:pPr>
        <w:pStyle w:val="BodyText3"/>
      </w:pPr>
      <w:r>
        <w:lastRenderedPageBreak/>
        <w:t xml:space="preserve">for the purposes of Level 1 Regulatory Capital, the </w:t>
      </w:r>
      <w:r w:rsidR="000F30D4">
        <w:t>lenders’ mortgage insurer</w:t>
      </w:r>
      <w:r>
        <w:t xml:space="preserve"> must be regulated by APRA; and</w:t>
      </w:r>
    </w:p>
    <w:p w14:paraId="22F206D4" w14:textId="3C1D432E" w:rsidR="009F6C90" w:rsidRDefault="009F6C90" w:rsidP="000F30D4">
      <w:pPr>
        <w:pStyle w:val="BodyText3"/>
      </w:pPr>
      <w:r>
        <w:t xml:space="preserve">for the purposes of Level 2 Regulatory Capital, in the case of overseas subsidiaries of Australian ADIs, </w:t>
      </w:r>
      <w:r w:rsidR="00D9644F">
        <w:t xml:space="preserve">the lenders’ mortgage insurer is regulated by an </w:t>
      </w:r>
      <w:r w:rsidR="00446CDF">
        <w:t>overseas prudential regulator</w:t>
      </w:r>
      <w:r w:rsidR="003124CB">
        <w:t>.</w:t>
      </w:r>
    </w:p>
    <w:p w14:paraId="0D0C121F" w14:textId="2AC45BA5" w:rsidR="009F6C90" w:rsidRDefault="00CE5F75" w:rsidP="00AB25BA">
      <w:pPr>
        <w:pStyle w:val="Heading3"/>
      </w:pPr>
      <w:r>
        <w:t xml:space="preserve">Risk </w:t>
      </w:r>
      <w:r w:rsidR="00AB25BA">
        <w:t>weights</w:t>
      </w:r>
      <w:r>
        <w:t xml:space="preserve"> for standard </w:t>
      </w:r>
      <w:r w:rsidR="001211BD">
        <w:t>residential property</w:t>
      </w:r>
      <w:r>
        <w:t xml:space="preserve"> loans</w:t>
      </w:r>
    </w:p>
    <w:p w14:paraId="06923C08" w14:textId="522A37B8" w:rsidR="00C52462" w:rsidRDefault="00C52462" w:rsidP="00C52462">
      <w:pPr>
        <w:pStyle w:val="BodyText1"/>
      </w:pPr>
      <w:bookmarkStart w:id="63" w:name="_Ref54101437"/>
      <w:r>
        <w:t>An ADI</w:t>
      </w:r>
      <w:r w:rsidR="00D53B86">
        <w:t xml:space="preserve"> must apply the risk weights in</w:t>
      </w:r>
      <w:r w:rsidR="00A90B62">
        <w:t xml:space="preserve"> </w:t>
      </w:r>
      <w:r w:rsidR="00D53B86">
        <w:fldChar w:fldCharType="begin"/>
      </w:r>
      <w:r w:rsidR="00D53B86">
        <w:instrText xml:space="preserve"> REF _Ref3809225 \n \h </w:instrText>
      </w:r>
      <w:r w:rsidR="00D53B86">
        <w:fldChar w:fldCharType="separate"/>
      </w:r>
      <w:r w:rsidR="0007706D">
        <w:t>Table 1</w:t>
      </w:r>
      <w:r w:rsidR="00D53B86">
        <w:fldChar w:fldCharType="end"/>
      </w:r>
      <w:r w:rsidR="00A90B62">
        <w:t xml:space="preserve"> </w:t>
      </w:r>
      <w:r>
        <w:t xml:space="preserve">to its residential property exposures that satisfy all of the conditions of a standard </w:t>
      </w:r>
      <w:r w:rsidR="00747F66">
        <w:t>loan</w:t>
      </w:r>
      <w:r w:rsidR="00E15E51">
        <w:t xml:space="preserve"> as set out in </w:t>
      </w:r>
      <w:r w:rsidR="00E15E51" w:rsidRPr="00B460AB">
        <w:t xml:space="preserve">paragraphs </w:t>
      </w:r>
      <w:r w:rsidR="00E15E51" w:rsidRPr="00B460AB">
        <w:fldChar w:fldCharType="begin"/>
      </w:r>
      <w:r w:rsidR="00E15E51" w:rsidRPr="00B460AB">
        <w:instrText xml:space="preserve"> REF _Ref3471313 \r \h  \* MERGEFORMAT </w:instrText>
      </w:r>
      <w:r w:rsidR="00E15E51" w:rsidRPr="00B460AB">
        <w:fldChar w:fldCharType="separate"/>
      </w:r>
      <w:r w:rsidR="0007706D">
        <w:t>3</w:t>
      </w:r>
      <w:r w:rsidR="00E15E51" w:rsidRPr="00B460AB">
        <w:fldChar w:fldCharType="end"/>
      </w:r>
      <w:r w:rsidR="00E15E51" w:rsidRPr="00B460AB">
        <w:t xml:space="preserve"> to</w:t>
      </w:r>
      <w:r w:rsidR="00E15E51">
        <w:t xml:space="preserve"> </w:t>
      </w:r>
      <w:r w:rsidR="00E15E51">
        <w:fldChar w:fldCharType="begin"/>
      </w:r>
      <w:r w:rsidR="00E15E51">
        <w:instrText xml:space="preserve"> REF _Ref3471349 \r \h </w:instrText>
      </w:r>
      <w:r w:rsidR="00E15E51">
        <w:fldChar w:fldCharType="separate"/>
      </w:r>
      <w:r w:rsidR="0007706D">
        <w:t>7</w:t>
      </w:r>
      <w:r w:rsidR="00E15E51">
        <w:fldChar w:fldCharType="end"/>
      </w:r>
      <w:r w:rsidR="00E15E51">
        <w:t xml:space="preserve"> of this Attachment</w:t>
      </w:r>
      <w:r w:rsidR="002D721F">
        <w:t>, based on</w:t>
      </w:r>
      <w:r w:rsidR="00CC3E79">
        <w:t xml:space="preserve"> their classification as an owner-occupied principal-and-interest or other </w:t>
      </w:r>
      <w:r w:rsidR="001211BD">
        <w:t xml:space="preserve">standard </w:t>
      </w:r>
      <w:r w:rsidR="00CC3E79">
        <w:t xml:space="preserve">residential </w:t>
      </w:r>
      <w:r w:rsidR="001211BD">
        <w:t>property</w:t>
      </w:r>
      <w:r w:rsidR="00BD76E1">
        <w:t xml:space="preserve"> exposure</w:t>
      </w:r>
      <w:r w:rsidR="0030481D">
        <w:t>,</w:t>
      </w:r>
      <w:r w:rsidR="00AC342F">
        <w:t xml:space="preserve"> the application of eligible LMI and</w:t>
      </w:r>
      <w:r w:rsidR="002D721F">
        <w:t xml:space="preserve"> </w:t>
      </w:r>
      <w:r w:rsidR="00073F77">
        <w:t xml:space="preserve">the exposure’s </w:t>
      </w:r>
      <w:r w:rsidR="002D721F">
        <w:t>LVR</w:t>
      </w:r>
      <w:r>
        <w:t>.</w:t>
      </w:r>
      <w:bookmarkEnd w:id="63"/>
    </w:p>
    <w:p w14:paraId="0A2EE3AD" w14:textId="763B5D7E" w:rsidR="00C52462" w:rsidRPr="00DF7A0C" w:rsidRDefault="00DF7A0C" w:rsidP="00DF7A0C">
      <w:pPr>
        <w:pStyle w:val="TableHeadNumber"/>
      </w:pPr>
      <w:bookmarkStart w:id="64" w:name="_Ref3809225"/>
      <w:r>
        <w:t>R</w:t>
      </w:r>
      <w:r w:rsidR="00C52462" w:rsidRPr="00DF7A0C">
        <w:t xml:space="preserve">isk weights for standard </w:t>
      </w:r>
      <w:bookmarkEnd w:id="64"/>
      <w:r w:rsidR="00CE5F75">
        <w:t>loans</w:t>
      </w:r>
    </w:p>
    <w:tbl>
      <w:tblPr>
        <w:tblStyle w:val="TableGrid"/>
        <w:tblW w:w="0" w:type="auto"/>
        <w:tblLayout w:type="fixed"/>
        <w:tblLook w:val="04A0" w:firstRow="1" w:lastRow="0" w:firstColumn="1" w:lastColumn="0" w:noHBand="0" w:noVBand="1"/>
      </w:tblPr>
      <w:tblGrid>
        <w:gridCol w:w="1980"/>
        <w:gridCol w:w="709"/>
        <w:gridCol w:w="801"/>
        <w:gridCol w:w="802"/>
        <w:gridCol w:w="802"/>
        <w:gridCol w:w="802"/>
        <w:gridCol w:w="802"/>
        <w:gridCol w:w="802"/>
        <w:gridCol w:w="802"/>
      </w:tblGrid>
      <w:tr w:rsidR="0034097B" w14:paraId="0B8299CD" w14:textId="77777777" w:rsidTr="0034097B">
        <w:tc>
          <w:tcPr>
            <w:tcW w:w="2689" w:type="dxa"/>
            <w:gridSpan w:val="2"/>
            <w:vMerge w:val="restart"/>
            <w:vAlign w:val="bottom"/>
          </w:tcPr>
          <w:p w14:paraId="5B6749B2" w14:textId="7C7008CC" w:rsidR="0034097B" w:rsidRPr="00756648" w:rsidRDefault="0034097B" w:rsidP="00857B57">
            <w:pPr>
              <w:keepNext/>
              <w:spacing w:before="120" w:after="120"/>
              <w:jc w:val="right"/>
              <w:rPr>
                <w:b/>
              </w:rPr>
            </w:pPr>
            <w:r w:rsidRPr="00756648">
              <w:rPr>
                <w:b/>
              </w:rPr>
              <w:t>LVR (%)</w:t>
            </w:r>
          </w:p>
        </w:tc>
        <w:tc>
          <w:tcPr>
            <w:tcW w:w="5613" w:type="dxa"/>
            <w:gridSpan w:val="7"/>
          </w:tcPr>
          <w:p w14:paraId="39BFBB56" w14:textId="0A2FABFF" w:rsidR="0034097B" w:rsidRPr="00756648" w:rsidRDefault="0034097B" w:rsidP="00756648">
            <w:pPr>
              <w:spacing w:before="120" w:after="120"/>
              <w:jc w:val="center"/>
              <w:rPr>
                <w:b/>
              </w:rPr>
            </w:pPr>
            <w:r w:rsidRPr="00756648">
              <w:rPr>
                <w:b/>
              </w:rPr>
              <w:t>Risk weight (%)</w:t>
            </w:r>
          </w:p>
        </w:tc>
      </w:tr>
      <w:tr w:rsidR="0034097B" w14:paraId="5740EF01" w14:textId="77777777" w:rsidTr="0034097B">
        <w:tc>
          <w:tcPr>
            <w:tcW w:w="2689" w:type="dxa"/>
            <w:gridSpan w:val="2"/>
            <w:vMerge/>
          </w:tcPr>
          <w:p w14:paraId="0A073D0B" w14:textId="77777777" w:rsidR="0034097B" w:rsidRDefault="0034097B" w:rsidP="00756648">
            <w:pPr>
              <w:spacing w:before="120" w:after="120"/>
            </w:pPr>
          </w:p>
        </w:tc>
        <w:tc>
          <w:tcPr>
            <w:tcW w:w="801" w:type="dxa"/>
          </w:tcPr>
          <w:p w14:paraId="52BD8E89" w14:textId="2F3150DA" w:rsidR="0034097B" w:rsidRDefault="0034097B" w:rsidP="0034097B">
            <w:pPr>
              <w:spacing w:before="60" w:after="60"/>
              <w:jc w:val="center"/>
            </w:pPr>
            <w:r w:rsidRPr="006D428D">
              <w:rPr>
                <w:b/>
              </w:rPr>
              <w:t>≤ 50</w:t>
            </w:r>
          </w:p>
        </w:tc>
        <w:tc>
          <w:tcPr>
            <w:tcW w:w="802" w:type="dxa"/>
          </w:tcPr>
          <w:p w14:paraId="4D11F8CF" w14:textId="26D14534" w:rsidR="0034097B" w:rsidRDefault="0034097B" w:rsidP="0034097B">
            <w:pPr>
              <w:spacing w:before="60" w:after="60"/>
              <w:jc w:val="center"/>
            </w:pPr>
            <w:r>
              <w:rPr>
                <w:b/>
              </w:rPr>
              <w:t xml:space="preserve">50.01 - </w:t>
            </w:r>
            <w:r w:rsidRPr="006D428D">
              <w:rPr>
                <w:b/>
              </w:rPr>
              <w:t>60</w:t>
            </w:r>
          </w:p>
        </w:tc>
        <w:tc>
          <w:tcPr>
            <w:tcW w:w="802" w:type="dxa"/>
          </w:tcPr>
          <w:p w14:paraId="06FC6E5E" w14:textId="0F5599E0" w:rsidR="0034097B" w:rsidRDefault="0034097B" w:rsidP="0034097B">
            <w:pPr>
              <w:spacing w:before="60" w:after="60"/>
              <w:jc w:val="center"/>
              <w:rPr>
                <w:b/>
              </w:rPr>
            </w:pPr>
            <w:r>
              <w:rPr>
                <w:b/>
              </w:rPr>
              <w:t>60.01 - 70</w:t>
            </w:r>
          </w:p>
        </w:tc>
        <w:tc>
          <w:tcPr>
            <w:tcW w:w="802" w:type="dxa"/>
          </w:tcPr>
          <w:p w14:paraId="4582EB46" w14:textId="75AAF9A4" w:rsidR="0034097B" w:rsidRDefault="0034097B" w:rsidP="0034097B">
            <w:pPr>
              <w:spacing w:before="60" w:after="60"/>
              <w:jc w:val="center"/>
            </w:pPr>
            <w:r>
              <w:rPr>
                <w:b/>
              </w:rPr>
              <w:t>70.01 - 80</w:t>
            </w:r>
          </w:p>
        </w:tc>
        <w:tc>
          <w:tcPr>
            <w:tcW w:w="802" w:type="dxa"/>
          </w:tcPr>
          <w:p w14:paraId="4A88C09C" w14:textId="67B758D8" w:rsidR="0034097B" w:rsidRDefault="0034097B" w:rsidP="0034097B">
            <w:pPr>
              <w:spacing w:before="60" w:after="60"/>
              <w:jc w:val="center"/>
            </w:pPr>
            <w:r>
              <w:rPr>
                <w:b/>
              </w:rPr>
              <w:t>80.01 - 90</w:t>
            </w:r>
          </w:p>
        </w:tc>
        <w:tc>
          <w:tcPr>
            <w:tcW w:w="802" w:type="dxa"/>
          </w:tcPr>
          <w:p w14:paraId="7B51F4E3" w14:textId="03A60029" w:rsidR="0034097B" w:rsidRDefault="0034097B" w:rsidP="0034097B">
            <w:pPr>
              <w:spacing w:before="60" w:after="60"/>
              <w:jc w:val="center"/>
            </w:pPr>
            <w:r>
              <w:rPr>
                <w:b/>
              </w:rPr>
              <w:t>90.01 - 100</w:t>
            </w:r>
          </w:p>
        </w:tc>
        <w:tc>
          <w:tcPr>
            <w:tcW w:w="802" w:type="dxa"/>
          </w:tcPr>
          <w:p w14:paraId="122CAEF7" w14:textId="285403BD" w:rsidR="0034097B" w:rsidRDefault="0034097B" w:rsidP="0034097B">
            <w:pPr>
              <w:spacing w:before="60" w:after="60"/>
              <w:jc w:val="center"/>
            </w:pPr>
            <w:r w:rsidRPr="006D428D">
              <w:rPr>
                <w:b/>
              </w:rPr>
              <w:t>&gt; 100</w:t>
            </w:r>
          </w:p>
        </w:tc>
      </w:tr>
      <w:tr w:rsidR="0034097B" w14:paraId="13636AFE" w14:textId="77777777" w:rsidTr="0034097B">
        <w:tc>
          <w:tcPr>
            <w:tcW w:w="1980" w:type="dxa"/>
            <w:vMerge w:val="restart"/>
            <w:vAlign w:val="center"/>
          </w:tcPr>
          <w:p w14:paraId="711DD8D2" w14:textId="115CD190" w:rsidR="0034097B" w:rsidRPr="00756648" w:rsidRDefault="0034097B" w:rsidP="0034097B">
            <w:pPr>
              <w:keepNext/>
              <w:spacing w:before="60" w:after="60"/>
              <w:rPr>
                <w:b/>
              </w:rPr>
            </w:pPr>
            <w:r w:rsidRPr="00756648">
              <w:rPr>
                <w:b/>
              </w:rPr>
              <w:t>Owner-occupied principal</w:t>
            </w:r>
            <w:r w:rsidR="004B37B4">
              <w:rPr>
                <w:b/>
              </w:rPr>
              <w:t>-</w:t>
            </w:r>
            <w:r w:rsidRPr="00756648">
              <w:rPr>
                <w:b/>
              </w:rPr>
              <w:t>and</w:t>
            </w:r>
            <w:r w:rsidR="004B37B4">
              <w:rPr>
                <w:b/>
              </w:rPr>
              <w:t>-</w:t>
            </w:r>
            <w:r w:rsidRPr="00756648">
              <w:rPr>
                <w:b/>
              </w:rPr>
              <w:t>interest</w:t>
            </w:r>
          </w:p>
        </w:tc>
        <w:tc>
          <w:tcPr>
            <w:tcW w:w="709" w:type="dxa"/>
          </w:tcPr>
          <w:p w14:paraId="2113D9DE" w14:textId="5B8D3ADA" w:rsidR="0034097B" w:rsidRDefault="0034097B" w:rsidP="0034097B">
            <w:pPr>
              <w:spacing w:before="60" w:after="60"/>
            </w:pPr>
            <w:r w:rsidRPr="006D428D">
              <w:rPr>
                <w:b/>
              </w:rPr>
              <w:t>LMI</w:t>
            </w:r>
          </w:p>
        </w:tc>
        <w:tc>
          <w:tcPr>
            <w:tcW w:w="801" w:type="dxa"/>
            <w:vMerge w:val="restart"/>
            <w:vAlign w:val="center"/>
          </w:tcPr>
          <w:p w14:paraId="1199CA94" w14:textId="554D40D4" w:rsidR="0034097B" w:rsidRDefault="0034097B" w:rsidP="0034097B">
            <w:pPr>
              <w:spacing w:before="60" w:after="60"/>
              <w:jc w:val="center"/>
            </w:pPr>
            <w:r>
              <w:t>20</w:t>
            </w:r>
          </w:p>
        </w:tc>
        <w:tc>
          <w:tcPr>
            <w:tcW w:w="802" w:type="dxa"/>
            <w:vMerge w:val="restart"/>
            <w:vAlign w:val="center"/>
          </w:tcPr>
          <w:p w14:paraId="53FD5AB1" w14:textId="6A31714D" w:rsidR="0034097B" w:rsidRDefault="0034097B" w:rsidP="0034097B">
            <w:pPr>
              <w:spacing w:before="60" w:after="60"/>
              <w:jc w:val="center"/>
            </w:pPr>
            <w:r>
              <w:t>25</w:t>
            </w:r>
          </w:p>
        </w:tc>
        <w:tc>
          <w:tcPr>
            <w:tcW w:w="802" w:type="dxa"/>
            <w:vMerge w:val="restart"/>
            <w:vAlign w:val="center"/>
          </w:tcPr>
          <w:p w14:paraId="7696E980" w14:textId="23872239" w:rsidR="0034097B" w:rsidRDefault="008C41AF" w:rsidP="0034097B">
            <w:pPr>
              <w:spacing w:before="60" w:after="60"/>
              <w:jc w:val="center"/>
            </w:pPr>
            <w:r>
              <w:t>30</w:t>
            </w:r>
          </w:p>
        </w:tc>
        <w:tc>
          <w:tcPr>
            <w:tcW w:w="802" w:type="dxa"/>
            <w:vMerge w:val="restart"/>
            <w:vAlign w:val="center"/>
          </w:tcPr>
          <w:p w14:paraId="398D2AB8" w14:textId="7FF50A3E" w:rsidR="0034097B" w:rsidRDefault="0034097B" w:rsidP="0034097B">
            <w:pPr>
              <w:spacing w:before="60" w:after="60"/>
              <w:jc w:val="center"/>
            </w:pPr>
            <w:r>
              <w:t>35</w:t>
            </w:r>
          </w:p>
        </w:tc>
        <w:tc>
          <w:tcPr>
            <w:tcW w:w="802" w:type="dxa"/>
            <w:vAlign w:val="center"/>
          </w:tcPr>
          <w:p w14:paraId="77AC9654" w14:textId="30E03B62" w:rsidR="0034097B" w:rsidRDefault="008C41AF" w:rsidP="0034097B">
            <w:pPr>
              <w:spacing w:before="60" w:after="60"/>
              <w:jc w:val="center"/>
            </w:pPr>
            <w:r>
              <w:t>40</w:t>
            </w:r>
          </w:p>
        </w:tc>
        <w:tc>
          <w:tcPr>
            <w:tcW w:w="802" w:type="dxa"/>
            <w:vAlign w:val="center"/>
          </w:tcPr>
          <w:p w14:paraId="33100B47" w14:textId="2552EFAD" w:rsidR="0034097B" w:rsidRDefault="008C41AF" w:rsidP="0034097B">
            <w:pPr>
              <w:spacing w:before="60" w:after="60"/>
              <w:jc w:val="center"/>
            </w:pPr>
            <w:r>
              <w:t>55</w:t>
            </w:r>
          </w:p>
        </w:tc>
        <w:tc>
          <w:tcPr>
            <w:tcW w:w="802" w:type="dxa"/>
            <w:vAlign w:val="center"/>
          </w:tcPr>
          <w:p w14:paraId="098D78E4" w14:textId="79C187DA" w:rsidR="0034097B" w:rsidRDefault="008C41AF" w:rsidP="0034097B">
            <w:pPr>
              <w:spacing w:before="60" w:after="60"/>
              <w:jc w:val="center"/>
            </w:pPr>
            <w:r>
              <w:t>70</w:t>
            </w:r>
          </w:p>
        </w:tc>
      </w:tr>
      <w:tr w:rsidR="0034097B" w14:paraId="3B21CCFA" w14:textId="77777777" w:rsidTr="0034097B">
        <w:tc>
          <w:tcPr>
            <w:tcW w:w="1980" w:type="dxa"/>
            <w:vMerge/>
            <w:vAlign w:val="center"/>
          </w:tcPr>
          <w:p w14:paraId="680C5389" w14:textId="77777777" w:rsidR="0034097B" w:rsidRPr="00756648" w:rsidRDefault="0034097B" w:rsidP="0034097B">
            <w:pPr>
              <w:keepNext/>
              <w:spacing w:before="60" w:after="60"/>
              <w:rPr>
                <w:b/>
              </w:rPr>
            </w:pPr>
          </w:p>
        </w:tc>
        <w:tc>
          <w:tcPr>
            <w:tcW w:w="709" w:type="dxa"/>
          </w:tcPr>
          <w:p w14:paraId="3BED90A0" w14:textId="01FFFDF5" w:rsidR="0034097B" w:rsidRDefault="0034097B" w:rsidP="0034097B">
            <w:pPr>
              <w:spacing w:before="60" w:after="60"/>
            </w:pPr>
            <w:r w:rsidRPr="006D428D">
              <w:rPr>
                <w:b/>
              </w:rPr>
              <w:t>No LMI</w:t>
            </w:r>
          </w:p>
        </w:tc>
        <w:tc>
          <w:tcPr>
            <w:tcW w:w="801" w:type="dxa"/>
            <w:vMerge/>
          </w:tcPr>
          <w:p w14:paraId="23D22C82" w14:textId="324F5B3A" w:rsidR="0034097B" w:rsidRDefault="0034097B" w:rsidP="0034097B">
            <w:pPr>
              <w:spacing w:before="60" w:after="60"/>
              <w:jc w:val="center"/>
            </w:pPr>
          </w:p>
        </w:tc>
        <w:tc>
          <w:tcPr>
            <w:tcW w:w="802" w:type="dxa"/>
            <w:vMerge/>
          </w:tcPr>
          <w:p w14:paraId="51023DA9" w14:textId="52BFA1C7" w:rsidR="0034097B" w:rsidRDefault="0034097B" w:rsidP="0034097B">
            <w:pPr>
              <w:spacing w:before="60" w:after="60"/>
              <w:jc w:val="center"/>
            </w:pPr>
          </w:p>
        </w:tc>
        <w:tc>
          <w:tcPr>
            <w:tcW w:w="802" w:type="dxa"/>
            <w:vMerge/>
          </w:tcPr>
          <w:p w14:paraId="604CA592" w14:textId="77777777" w:rsidR="0034097B" w:rsidRDefault="0034097B" w:rsidP="0034097B">
            <w:pPr>
              <w:spacing w:before="60" w:after="60"/>
              <w:jc w:val="center"/>
            </w:pPr>
          </w:p>
        </w:tc>
        <w:tc>
          <w:tcPr>
            <w:tcW w:w="802" w:type="dxa"/>
            <w:vMerge/>
          </w:tcPr>
          <w:p w14:paraId="5E044C57" w14:textId="57909262" w:rsidR="0034097B" w:rsidRDefault="0034097B" w:rsidP="0034097B">
            <w:pPr>
              <w:spacing w:before="60" w:after="60"/>
              <w:jc w:val="center"/>
            </w:pPr>
          </w:p>
        </w:tc>
        <w:tc>
          <w:tcPr>
            <w:tcW w:w="802" w:type="dxa"/>
            <w:vAlign w:val="center"/>
          </w:tcPr>
          <w:p w14:paraId="65F19E8A" w14:textId="1085A564" w:rsidR="0034097B" w:rsidRDefault="008C41AF" w:rsidP="0034097B">
            <w:pPr>
              <w:spacing w:before="60" w:after="60"/>
              <w:jc w:val="center"/>
            </w:pPr>
            <w:r>
              <w:t>50</w:t>
            </w:r>
          </w:p>
        </w:tc>
        <w:tc>
          <w:tcPr>
            <w:tcW w:w="802" w:type="dxa"/>
            <w:vAlign w:val="center"/>
          </w:tcPr>
          <w:p w14:paraId="015BF46B" w14:textId="448B7063" w:rsidR="0034097B" w:rsidRDefault="0034097B" w:rsidP="0034097B">
            <w:pPr>
              <w:spacing w:before="60" w:after="60"/>
              <w:jc w:val="center"/>
            </w:pPr>
            <w:r>
              <w:t>70</w:t>
            </w:r>
          </w:p>
        </w:tc>
        <w:tc>
          <w:tcPr>
            <w:tcW w:w="802" w:type="dxa"/>
            <w:vAlign w:val="center"/>
          </w:tcPr>
          <w:p w14:paraId="3FBC7002" w14:textId="019894BA" w:rsidR="0034097B" w:rsidRDefault="0034097B" w:rsidP="0034097B">
            <w:pPr>
              <w:spacing w:before="60" w:after="60"/>
              <w:jc w:val="center"/>
            </w:pPr>
            <w:r>
              <w:t>85</w:t>
            </w:r>
          </w:p>
        </w:tc>
      </w:tr>
      <w:tr w:rsidR="0034097B" w14:paraId="34A44BB1" w14:textId="77777777" w:rsidTr="0034097B">
        <w:tc>
          <w:tcPr>
            <w:tcW w:w="1980" w:type="dxa"/>
            <w:vMerge w:val="restart"/>
            <w:vAlign w:val="center"/>
          </w:tcPr>
          <w:p w14:paraId="1AC1665E" w14:textId="7BD93728" w:rsidR="0034097B" w:rsidRPr="00756648" w:rsidRDefault="0034097B" w:rsidP="0034097B">
            <w:pPr>
              <w:keepNext/>
              <w:spacing w:before="60" w:after="60"/>
              <w:rPr>
                <w:b/>
              </w:rPr>
            </w:pPr>
            <w:r w:rsidRPr="00756648">
              <w:rPr>
                <w:b/>
              </w:rPr>
              <w:t>Other</w:t>
            </w:r>
            <w:r w:rsidR="001211BD">
              <w:rPr>
                <w:b/>
              </w:rPr>
              <w:t xml:space="preserve"> standard residential property</w:t>
            </w:r>
          </w:p>
        </w:tc>
        <w:tc>
          <w:tcPr>
            <w:tcW w:w="709" w:type="dxa"/>
          </w:tcPr>
          <w:p w14:paraId="0880EBEF" w14:textId="08B3B648" w:rsidR="0034097B" w:rsidRDefault="0034097B" w:rsidP="0034097B">
            <w:pPr>
              <w:spacing w:before="60" w:after="60"/>
            </w:pPr>
            <w:r w:rsidRPr="006D428D">
              <w:rPr>
                <w:b/>
              </w:rPr>
              <w:t>LMI</w:t>
            </w:r>
          </w:p>
        </w:tc>
        <w:tc>
          <w:tcPr>
            <w:tcW w:w="801" w:type="dxa"/>
            <w:vMerge w:val="restart"/>
            <w:vAlign w:val="center"/>
          </w:tcPr>
          <w:p w14:paraId="54E7E3C0" w14:textId="469AAC51" w:rsidR="0034097B" w:rsidRDefault="0034097B" w:rsidP="0034097B">
            <w:pPr>
              <w:spacing w:before="60" w:after="60"/>
              <w:jc w:val="center"/>
            </w:pPr>
            <w:r>
              <w:t>25</w:t>
            </w:r>
          </w:p>
        </w:tc>
        <w:tc>
          <w:tcPr>
            <w:tcW w:w="802" w:type="dxa"/>
            <w:vMerge w:val="restart"/>
            <w:vAlign w:val="center"/>
          </w:tcPr>
          <w:p w14:paraId="5F1911DE" w14:textId="22D254F6" w:rsidR="0034097B" w:rsidRDefault="0034097B" w:rsidP="0034097B">
            <w:pPr>
              <w:spacing w:before="60" w:after="60"/>
              <w:jc w:val="center"/>
            </w:pPr>
            <w:r>
              <w:t>30</w:t>
            </w:r>
          </w:p>
        </w:tc>
        <w:tc>
          <w:tcPr>
            <w:tcW w:w="802" w:type="dxa"/>
            <w:vMerge w:val="restart"/>
            <w:vAlign w:val="center"/>
          </w:tcPr>
          <w:p w14:paraId="10D99C33" w14:textId="76F25B50" w:rsidR="0034097B" w:rsidRDefault="008C41AF" w:rsidP="0034097B">
            <w:pPr>
              <w:spacing w:before="60" w:after="60"/>
              <w:jc w:val="center"/>
            </w:pPr>
            <w:r>
              <w:t>40</w:t>
            </w:r>
          </w:p>
        </w:tc>
        <w:tc>
          <w:tcPr>
            <w:tcW w:w="802" w:type="dxa"/>
            <w:vMerge w:val="restart"/>
            <w:vAlign w:val="center"/>
          </w:tcPr>
          <w:p w14:paraId="5FCF58AC" w14:textId="7B2335F3" w:rsidR="0034097B" w:rsidRDefault="0034097B" w:rsidP="0034097B">
            <w:pPr>
              <w:spacing w:before="60" w:after="60"/>
              <w:jc w:val="center"/>
            </w:pPr>
            <w:r>
              <w:t>45</w:t>
            </w:r>
          </w:p>
        </w:tc>
        <w:tc>
          <w:tcPr>
            <w:tcW w:w="802" w:type="dxa"/>
            <w:vAlign w:val="center"/>
          </w:tcPr>
          <w:p w14:paraId="3089B552" w14:textId="52242BC7" w:rsidR="0034097B" w:rsidRDefault="008C41AF" w:rsidP="0034097B">
            <w:pPr>
              <w:spacing w:before="60" w:after="60"/>
              <w:jc w:val="center"/>
            </w:pPr>
            <w:r>
              <w:t>50</w:t>
            </w:r>
          </w:p>
        </w:tc>
        <w:tc>
          <w:tcPr>
            <w:tcW w:w="802" w:type="dxa"/>
            <w:vAlign w:val="center"/>
          </w:tcPr>
          <w:p w14:paraId="2DFDE7C7" w14:textId="50B05DB7" w:rsidR="0034097B" w:rsidRDefault="008C41AF" w:rsidP="0034097B">
            <w:pPr>
              <w:spacing w:before="60" w:after="60"/>
              <w:jc w:val="center"/>
            </w:pPr>
            <w:r>
              <w:t>70</w:t>
            </w:r>
          </w:p>
        </w:tc>
        <w:tc>
          <w:tcPr>
            <w:tcW w:w="802" w:type="dxa"/>
            <w:vAlign w:val="center"/>
          </w:tcPr>
          <w:p w14:paraId="00B180BC" w14:textId="190808F4" w:rsidR="0034097B" w:rsidRDefault="008C41AF" w:rsidP="0034097B">
            <w:pPr>
              <w:spacing w:before="60" w:after="60"/>
              <w:jc w:val="center"/>
            </w:pPr>
            <w:r>
              <w:t>85</w:t>
            </w:r>
          </w:p>
        </w:tc>
      </w:tr>
      <w:tr w:rsidR="0034097B" w14:paraId="16D9A731" w14:textId="77777777" w:rsidTr="0034097B">
        <w:tc>
          <w:tcPr>
            <w:tcW w:w="1980" w:type="dxa"/>
            <w:vMerge/>
          </w:tcPr>
          <w:p w14:paraId="1DF8A344" w14:textId="77777777" w:rsidR="0034097B" w:rsidRDefault="0034097B" w:rsidP="00756648">
            <w:pPr>
              <w:spacing w:before="120" w:after="120"/>
            </w:pPr>
          </w:p>
        </w:tc>
        <w:tc>
          <w:tcPr>
            <w:tcW w:w="709" w:type="dxa"/>
          </w:tcPr>
          <w:p w14:paraId="669C1E23" w14:textId="12E559EF" w:rsidR="0034097B" w:rsidRDefault="0034097B" w:rsidP="0034097B">
            <w:pPr>
              <w:spacing w:before="60" w:after="60"/>
            </w:pPr>
            <w:r w:rsidRPr="006D428D">
              <w:rPr>
                <w:b/>
              </w:rPr>
              <w:t>No LMI</w:t>
            </w:r>
          </w:p>
        </w:tc>
        <w:tc>
          <w:tcPr>
            <w:tcW w:w="801" w:type="dxa"/>
            <w:vMerge/>
          </w:tcPr>
          <w:p w14:paraId="0E3D1047" w14:textId="42101910" w:rsidR="0034097B" w:rsidRDefault="0034097B" w:rsidP="0034097B">
            <w:pPr>
              <w:spacing w:before="60" w:after="60"/>
              <w:jc w:val="center"/>
            </w:pPr>
          </w:p>
        </w:tc>
        <w:tc>
          <w:tcPr>
            <w:tcW w:w="802" w:type="dxa"/>
            <w:vMerge/>
          </w:tcPr>
          <w:p w14:paraId="57A630A2" w14:textId="0F2AB74F" w:rsidR="0034097B" w:rsidRDefault="0034097B" w:rsidP="0034097B">
            <w:pPr>
              <w:spacing w:before="60" w:after="60"/>
              <w:jc w:val="center"/>
            </w:pPr>
          </w:p>
        </w:tc>
        <w:tc>
          <w:tcPr>
            <w:tcW w:w="802" w:type="dxa"/>
            <w:vMerge/>
          </w:tcPr>
          <w:p w14:paraId="66087C0B" w14:textId="77777777" w:rsidR="0034097B" w:rsidRDefault="0034097B" w:rsidP="0034097B">
            <w:pPr>
              <w:spacing w:before="60" w:after="60"/>
              <w:jc w:val="center"/>
            </w:pPr>
          </w:p>
        </w:tc>
        <w:tc>
          <w:tcPr>
            <w:tcW w:w="802" w:type="dxa"/>
            <w:vMerge/>
          </w:tcPr>
          <w:p w14:paraId="1DA4A393" w14:textId="203D2D88" w:rsidR="0034097B" w:rsidRDefault="0034097B" w:rsidP="0034097B">
            <w:pPr>
              <w:spacing w:before="60" w:after="60"/>
              <w:jc w:val="center"/>
            </w:pPr>
          </w:p>
        </w:tc>
        <w:tc>
          <w:tcPr>
            <w:tcW w:w="802" w:type="dxa"/>
            <w:vAlign w:val="center"/>
          </w:tcPr>
          <w:p w14:paraId="50240762" w14:textId="644C3974" w:rsidR="0034097B" w:rsidRDefault="008C41AF" w:rsidP="0034097B">
            <w:pPr>
              <w:spacing w:before="60" w:after="60"/>
              <w:jc w:val="center"/>
            </w:pPr>
            <w:r>
              <w:t>65</w:t>
            </w:r>
          </w:p>
        </w:tc>
        <w:tc>
          <w:tcPr>
            <w:tcW w:w="802" w:type="dxa"/>
            <w:vAlign w:val="center"/>
          </w:tcPr>
          <w:p w14:paraId="113C114C" w14:textId="6322FB24" w:rsidR="0034097B" w:rsidRDefault="0034097B" w:rsidP="0034097B">
            <w:pPr>
              <w:spacing w:before="60" w:after="60"/>
              <w:jc w:val="center"/>
            </w:pPr>
            <w:r>
              <w:t>85</w:t>
            </w:r>
          </w:p>
        </w:tc>
        <w:tc>
          <w:tcPr>
            <w:tcW w:w="802" w:type="dxa"/>
            <w:vAlign w:val="center"/>
          </w:tcPr>
          <w:p w14:paraId="48704A27" w14:textId="5B44F58D" w:rsidR="0034097B" w:rsidRDefault="008C41AF" w:rsidP="0034097B">
            <w:pPr>
              <w:spacing w:before="60" w:after="60"/>
              <w:jc w:val="center"/>
            </w:pPr>
            <w:r>
              <w:t>105</w:t>
            </w:r>
          </w:p>
        </w:tc>
      </w:tr>
    </w:tbl>
    <w:p w14:paraId="276113E5" w14:textId="77777777" w:rsidR="00756648" w:rsidRDefault="00756648" w:rsidP="00C52462">
      <w:pPr>
        <w:spacing w:after="120"/>
      </w:pPr>
    </w:p>
    <w:p w14:paraId="743FA02F" w14:textId="729905DD" w:rsidR="00B6587A" w:rsidRDefault="00B6587A" w:rsidP="00B6587A">
      <w:pPr>
        <w:pStyle w:val="BodyText1"/>
      </w:pPr>
      <w:r>
        <w:t xml:space="preserve">An ADI may apply a risk weight </w:t>
      </w:r>
      <w:r w:rsidRPr="008C41AF">
        <w:t xml:space="preserve">of </w:t>
      </w:r>
      <w:r w:rsidR="004D53BE" w:rsidRPr="008C41AF">
        <w:t>35</w:t>
      </w:r>
      <w:r w:rsidRPr="008C41AF">
        <w:t xml:space="preserve"> per cent</w:t>
      </w:r>
      <w:r>
        <w:t xml:space="preserve"> to residential property exposures that satisfy the conditions for inclusion </w:t>
      </w:r>
      <w:r w:rsidDel="00380124">
        <w:t xml:space="preserve">within the </w:t>
      </w:r>
      <w:r w:rsidR="00261085">
        <w:t>Australian Government’s Home Guarantee Scheme</w:t>
      </w:r>
      <w:r>
        <w:t>, and in respect of which the National Housing Finance and Investment Corporation has issued a guarantee certificate to the ADI. This capital treatment ceases to apply when:</w:t>
      </w:r>
    </w:p>
    <w:p w14:paraId="3B467364" w14:textId="2F12FB4B" w:rsidR="00B6587A" w:rsidRDefault="00B6587A" w:rsidP="00B6587A">
      <w:pPr>
        <w:pStyle w:val="BodyText2"/>
      </w:pPr>
      <w:r>
        <w:t xml:space="preserve">the guarantee certificate expires or is released in accordance with the terms of the Deed of Guarantee in respect of the </w:t>
      </w:r>
      <w:r w:rsidDel="00380124">
        <w:t>First Home Loan Deposit Scheme</w:t>
      </w:r>
      <w:r w:rsidR="00450268">
        <w:t xml:space="preserve"> or the Family Home Guarantee Scheme</w:t>
      </w:r>
      <w:r>
        <w:t>; or</w:t>
      </w:r>
    </w:p>
    <w:p w14:paraId="403A1688" w14:textId="68101429" w:rsidR="00450268" w:rsidRDefault="00B6587A" w:rsidP="00450268">
      <w:pPr>
        <w:pStyle w:val="BodyText2"/>
      </w:pPr>
      <w:r>
        <w:t>APRA determines that it no longer applies.</w:t>
      </w:r>
    </w:p>
    <w:p w14:paraId="07DA32AA" w14:textId="655475F6" w:rsidR="0012026C" w:rsidRDefault="00450268" w:rsidP="0012026C">
      <w:pPr>
        <w:pStyle w:val="BodyText1"/>
        <w:numPr>
          <w:ilvl w:val="0"/>
          <w:numId w:val="0"/>
        </w:numPr>
        <w:ind w:left="567"/>
      </w:pPr>
      <w:r>
        <w:t xml:space="preserve">APRA may </w:t>
      </w:r>
      <w:r w:rsidR="00156145">
        <w:t xml:space="preserve">determine </w:t>
      </w:r>
      <w:r w:rsidR="00AD2BDE">
        <w:t>that</w:t>
      </w:r>
      <w:r w:rsidR="00156145">
        <w:t xml:space="preserve"> </w:t>
      </w:r>
      <w:r>
        <w:t xml:space="preserve">this treatment may also be applied to </w:t>
      </w:r>
      <w:r w:rsidR="004E7664">
        <w:t xml:space="preserve">a </w:t>
      </w:r>
      <w:r w:rsidR="00156145">
        <w:t xml:space="preserve">similar </w:t>
      </w:r>
      <w:r>
        <w:t xml:space="preserve">guarantee scheme that </w:t>
      </w:r>
      <w:r w:rsidR="004E7664">
        <w:t xml:space="preserve">is </w:t>
      </w:r>
      <w:r>
        <w:t xml:space="preserve">offered by the Australian Government or </w:t>
      </w:r>
      <w:r w:rsidR="004E7664">
        <w:t xml:space="preserve">an </w:t>
      </w:r>
      <w:r>
        <w:t xml:space="preserve">Australian </w:t>
      </w:r>
      <w:r w:rsidR="004E7664">
        <w:t>S</w:t>
      </w:r>
      <w:r>
        <w:t xml:space="preserve">tate </w:t>
      </w:r>
      <w:r w:rsidR="004E7664">
        <w:t xml:space="preserve">or Territory </w:t>
      </w:r>
      <w:r>
        <w:t>government.</w:t>
      </w:r>
    </w:p>
    <w:p w14:paraId="1E3B7E6F" w14:textId="77777777" w:rsidR="00DD4701" w:rsidRDefault="00CE5F75" w:rsidP="00DD4701">
      <w:pPr>
        <w:pStyle w:val="Heading3"/>
      </w:pPr>
      <w:r>
        <w:t xml:space="preserve">Risk </w:t>
      </w:r>
      <w:r w:rsidR="00DD4701">
        <w:t>weights</w:t>
      </w:r>
      <w:r>
        <w:t xml:space="preserve"> for non-standard</w:t>
      </w:r>
      <w:r w:rsidR="001211BD">
        <w:t xml:space="preserve"> residential property</w:t>
      </w:r>
      <w:r>
        <w:t xml:space="preserve"> loans</w:t>
      </w:r>
    </w:p>
    <w:p w14:paraId="1CC79207" w14:textId="7BA7EF74" w:rsidR="00DD4701" w:rsidRDefault="000D0878" w:rsidP="00DD4701">
      <w:pPr>
        <w:pStyle w:val="BodyText1"/>
      </w:pPr>
      <w:bookmarkStart w:id="65" w:name="_Ref34045796"/>
      <w:r>
        <w:t xml:space="preserve">An exposure </w:t>
      </w:r>
      <w:r w:rsidR="00DD4701">
        <w:t xml:space="preserve">that </w:t>
      </w:r>
      <w:r>
        <w:t xml:space="preserve">is </w:t>
      </w:r>
      <w:r w:rsidR="00DD4701">
        <w:t>secured by residential property but do</w:t>
      </w:r>
      <w:r>
        <w:t>es</w:t>
      </w:r>
      <w:r w:rsidR="00DD4701">
        <w:t xml:space="preserve"> not meet</w:t>
      </w:r>
      <w:r w:rsidR="0043228B">
        <w:t xml:space="preserve"> any of</w:t>
      </w:r>
      <w:r w:rsidR="00DD4701">
        <w:t xml:space="preserve"> the requirements set out in </w:t>
      </w:r>
      <w:r w:rsidR="006A3DA0" w:rsidRPr="00B460AB">
        <w:t xml:space="preserve">paragraphs </w:t>
      </w:r>
      <w:r w:rsidR="006A3DA0" w:rsidRPr="00B460AB">
        <w:fldChar w:fldCharType="begin"/>
      </w:r>
      <w:r w:rsidR="006A3DA0" w:rsidRPr="00B460AB">
        <w:instrText xml:space="preserve"> REF _Ref3471313 \r \h  \* MERGEFORMAT </w:instrText>
      </w:r>
      <w:r w:rsidR="006A3DA0" w:rsidRPr="00B460AB">
        <w:fldChar w:fldCharType="separate"/>
      </w:r>
      <w:r w:rsidR="0007706D">
        <w:t>3</w:t>
      </w:r>
      <w:r w:rsidR="006A3DA0" w:rsidRPr="00B460AB">
        <w:fldChar w:fldCharType="end"/>
      </w:r>
      <w:r w:rsidR="006A3DA0" w:rsidRPr="00B460AB">
        <w:t xml:space="preserve"> to</w:t>
      </w:r>
      <w:r w:rsidR="001E5A61">
        <w:t xml:space="preserve"> </w:t>
      </w:r>
      <w:r w:rsidR="001E5A61">
        <w:fldChar w:fldCharType="begin"/>
      </w:r>
      <w:r w:rsidR="001E5A61">
        <w:instrText xml:space="preserve"> REF _Ref3471349 \r \h </w:instrText>
      </w:r>
      <w:r w:rsidR="001E5A61">
        <w:fldChar w:fldCharType="separate"/>
      </w:r>
      <w:r w:rsidR="0007706D">
        <w:t>7</w:t>
      </w:r>
      <w:r w:rsidR="001E5A61">
        <w:fldChar w:fldCharType="end"/>
      </w:r>
      <w:r w:rsidR="001E5A61">
        <w:t xml:space="preserve"> </w:t>
      </w:r>
      <w:r w:rsidR="006A3DA0" w:rsidRPr="006A3DA0">
        <w:t>of this Attachment</w:t>
      </w:r>
      <w:r w:rsidR="00DD4701">
        <w:t>, must be classified as</w:t>
      </w:r>
      <w:r>
        <w:t xml:space="preserve"> a</w:t>
      </w:r>
      <w:r w:rsidR="00DD4701">
        <w:t xml:space="preserve"> non-standard </w:t>
      </w:r>
      <w:r w:rsidR="00DB5E4A">
        <w:t>loan</w:t>
      </w:r>
      <w:r w:rsidR="00DD4701">
        <w:t>.</w:t>
      </w:r>
      <w:bookmarkEnd w:id="65"/>
      <w:r w:rsidR="00DD4701">
        <w:t xml:space="preserve"> </w:t>
      </w:r>
    </w:p>
    <w:p w14:paraId="52A2A9E8" w14:textId="0473888C" w:rsidR="00295DA2" w:rsidRDefault="00295DA2" w:rsidP="00DD4701">
      <w:pPr>
        <w:pStyle w:val="BodyText1"/>
      </w:pPr>
      <w:bookmarkStart w:id="66" w:name="_Ref34045799"/>
      <w:r>
        <w:lastRenderedPageBreak/>
        <w:t xml:space="preserve">The following exposures must also be classified as non-standard </w:t>
      </w:r>
      <w:r w:rsidR="000C787F">
        <w:t>loans</w:t>
      </w:r>
      <w:r>
        <w:t>:</w:t>
      </w:r>
      <w:bookmarkEnd w:id="66"/>
    </w:p>
    <w:p w14:paraId="514CA98D" w14:textId="000FD892" w:rsidR="00CB0D83" w:rsidRDefault="00E07508" w:rsidP="00CB0D83">
      <w:pPr>
        <w:pStyle w:val="BodyText2"/>
      </w:pPr>
      <w:bookmarkStart w:id="67" w:name="_Ref51676799"/>
      <w:bookmarkStart w:id="68" w:name="_Ref54350631"/>
      <w:r>
        <w:t>interest only loans with an LVR greater than 80 per cent and an interest-only term that is specified in the loan contract as greater than five years</w:t>
      </w:r>
      <w:r w:rsidR="0065773D">
        <w:t xml:space="preserve"> or is of unspecified duration</w:t>
      </w:r>
      <w:r>
        <w:t>. The non-standard treatment applies while the loan remains on interest-only repayment terms. Exposures that meet the above criteria but are predominantly for business purposes may be excluded</w:t>
      </w:r>
      <w:r w:rsidR="00CB0D83">
        <w:t>;</w:t>
      </w:r>
      <w:bookmarkEnd w:id="67"/>
      <w:bookmarkEnd w:id="68"/>
    </w:p>
    <w:p w14:paraId="55452422" w14:textId="03E03025" w:rsidR="00295DA2" w:rsidRDefault="00295DA2" w:rsidP="00295DA2">
      <w:pPr>
        <w:pStyle w:val="BodyText2"/>
      </w:pPr>
      <w:r>
        <w:t>reverse mortgages, which are exposures that do not require principal</w:t>
      </w:r>
      <w:r w:rsidR="00172BF0">
        <w:t>-</w:t>
      </w:r>
      <w:r>
        <w:t>and</w:t>
      </w:r>
      <w:r w:rsidR="00172BF0">
        <w:t>-</w:t>
      </w:r>
      <w:r>
        <w:t>interest payments until termination of the facility</w:t>
      </w:r>
      <w:r w:rsidR="00A26D28">
        <w:t xml:space="preserve">. A risk weight of 50 per cent may only be applied to reverse mortgages where the criteria in paragraphs </w:t>
      </w:r>
      <w:r w:rsidR="001E5A61" w:rsidRPr="00B460AB">
        <w:fldChar w:fldCharType="begin"/>
      </w:r>
      <w:r w:rsidR="001E5A61" w:rsidRPr="00B460AB">
        <w:instrText xml:space="preserve"> REF _Ref3471313 \r \h  \* MERGEFORMAT </w:instrText>
      </w:r>
      <w:r w:rsidR="001E5A61" w:rsidRPr="00B460AB">
        <w:fldChar w:fldCharType="separate"/>
      </w:r>
      <w:r w:rsidR="0007706D">
        <w:t>3</w:t>
      </w:r>
      <w:r w:rsidR="001E5A61" w:rsidRPr="00B460AB">
        <w:fldChar w:fldCharType="end"/>
      </w:r>
      <w:r w:rsidR="001E5A61">
        <w:t xml:space="preserve">, </w:t>
      </w:r>
      <w:r w:rsidR="00AB3FCF">
        <w:fldChar w:fldCharType="begin"/>
      </w:r>
      <w:r w:rsidR="00AB3FCF">
        <w:instrText xml:space="preserve"> REF _Ref54100645 \r \h </w:instrText>
      </w:r>
      <w:r w:rsidR="00AB3FCF">
        <w:fldChar w:fldCharType="separate"/>
      </w:r>
      <w:r w:rsidR="0007706D">
        <w:t>4</w:t>
      </w:r>
      <w:r w:rsidR="00AB3FCF">
        <w:fldChar w:fldCharType="end"/>
      </w:r>
      <w:r w:rsidR="00AB3FCF">
        <w:t xml:space="preserve">, </w:t>
      </w:r>
      <w:r w:rsidR="00AB3FCF">
        <w:fldChar w:fldCharType="begin"/>
      </w:r>
      <w:r w:rsidR="00AB3FCF">
        <w:instrText xml:space="preserve"> REF _Ref54100649 \r \h </w:instrText>
      </w:r>
      <w:r w:rsidR="00AB3FCF">
        <w:fldChar w:fldCharType="separate"/>
      </w:r>
      <w:r w:rsidR="0007706D">
        <w:t>6</w:t>
      </w:r>
      <w:r w:rsidR="00AB3FCF">
        <w:fldChar w:fldCharType="end"/>
      </w:r>
      <w:r w:rsidR="00AB3FCF">
        <w:t xml:space="preserve"> </w:t>
      </w:r>
      <w:r w:rsidR="001E5A61">
        <w:t xml:space="preserve">and </w:t>
      </w:r>
      <w:r w:rsidR="001E5A61">
        <w:fldChar w:fldCharType="begin"/>
      </w:r>
      <w:r w:rsidR="001E5A61">
        <w:instrText xml:space="preserve"> REF _Ref3471349 \r \h </w:instrText>
      </w:r>
      <w:r w:rsidR="001E5A61">
        <w:fldChar w:fldCharType="separate"/>
      </w:r>
      <w:r w:rsidR="0007706D">
        <w:t>7</w:t>
      </w:r>
      <w:r w:rsidR="001E5A61">
        <w:fldChar w:fldCharType="end"/>
      </w:r>
      <w:r w:rsidR="00A26D28">
        <w:t xml:space="preserve"> of this Attachment are satisfied in addition to the LVR criteria in Table 2</w:t>
      </w:r>
      <w:r>
        <w:t>;</w:t>
      </w:r>
    </w:p>
    <w:p w14:paraId="58881FD1" w14:textId="5F9F0065" w:rsidR="00295DA2" w:rsidRDefault="00295DA2" w:rsidP="00295DA2">
      <w:pPr>
        <w:pStyle w:val="BodyText2"/>
      </w:pPr>
      <w:r>
        <w:t>shared equity mortgages, where both the borrower and lender share in any gain or loss in the value of the mortgaged property; and</w:t>
      </w:r>
    </w:p>
    <w:p w14:paraId="58106881" w14:textId="39A0ACE5" w:rsidR="00295DA2" w:rsidRDefault="00295DA2" w:rsidP="00295DA2">
      <w:pPr>
        <w:pStyle w:val="BodyText2"/>
      </w:pPr>
      <w:r>
        <w:t>loans to self-managed superannuation funds.</w:t>
      </w:r>
    </w:p>
    <w:p w14:paraId="643812C1" w14:textId="042CA28A" w:rsidR="00295DA2" w:rsidRDefault="00295DA2" w:rsidP="00295DA2">
      <w:pPr>
        <w:pStyle w:val="BodyText1"/>
      </w:pPr>
      <w:r>
        <w:t xml:space="preserve">An ADI must apply the risk weights in </w:t>
      </w:r>
      <w:r w:rsidR="00D53B86">
        <w:rPr>
          <w:highlight w:val="yellow"/>
        </w:rPr>
        <w:fldChar w:fldCharType="begin"/>
      </w:r>
      <w:r w:rsidR="00D53B86">
        <w:instrText xml:space="preserve"> REF _Ref3809320 \n \h </w:instrText>
      </w:r>
      <w:r w:rsidR="00D53B86">
        <w:rPr>
          <w:highlight w:val="yellow"/>
        </w:rPr>
      </w:r>
      <w:r w:rsidR="00D53B86">
        <w:rPr>
          <w:highlight w:val="yellow"/>
        </w:rPr>
        <w:fldChar w:fldCharType="separate"/>
      </w:r>
      <w:r w:rsidR="0007706D">
        <w:t>Table 2</w:t>
      </w:r>
      <w:r w:rsidR="00D53B86">
        <w:rPr>
          <w:highlight w:val="yellow"/>
        </w:rPr>
        <w:fldChar w:fldCharType="end"/>
      </w:r>
      <w:r>
        <w:t xml:space="preserve"> to its non-standard </w:t>
      </w:r>
      <w:r w:rsidR="000C787F">
        <w:t>loans</w:t>
      </w:r>
      <w:r w:rsidR="00DB5E4A">
        <w:t xml:space="preserve"> secured by residential property</w:t>
      </w:r>
      <w:r w:rsidR="002D721F">
        <w:t>, based on LVR (where applicable)</w:t>
      </w:r>
      <w:r>
        <w:t>.</w:t>
      </w:r>
    </w:p>
    <w:p w14:paraId="56347125" w14:textId="69185DAA" w:rsidR="00295DA2" w:rsidRPr="00646C33" w:rsidRDefault="00DF7A0C" w:rsidP="00DF7A0C">
      <w:pPr>
        <w:pStyle w:val="TableHeadNumber"/>
      </w:pPr>
      <w:bookmarkStart w:id="69" w:name="_Ref3809320"/>
      <w:r w:rsidRPr="00646C33">
        <w:t>R</w:t>
      </w:r>
      <w:r w:rsidR="00295DA2" w:rsidRPr="00646C33">
        <w:t xml:space="preserve">isk weights for non-standard </w:t>
      </w:r>
      <w:bookmarkEnd w:id="69"/>
      <w:r w:rsidR="00CE5F75">
        <w:t>loans</w:t>
      </w:r>
    </w:p>
    <w:tbl>
      <w:tblPr>
        <w:tblStyle w:val="TableGrid"/>
        <w:tblW w:w="0" w:type="auto"/>
        <w:tblLook w:val="04A0" w:firstRow="1" w:lastRow="0" w:firstColumn="1" w:lastColumn="0" w:noHBand="0" w:noVBand="1"/>
      </w:tblPr>
      <w:tblGrid>
        <w:gridCol w:w="3823"/>
        <w:gridCol w:w="2239"/>
        <w:gridCol w:w="2240"/>
      </w:tblGrid>
      <w:tr w:rsidR="00366E01" w:rsidRPr="00646C33" w14:paraId="116A4C2F" w14:textId="77777777" w:rsidTr="00366E01">
        <w:tc>
          <w:tcPr>
            <w:tcW w:w="3823" w:type="dxa"/>
            <w:vMerge w:val="restart"/>
            <w:vAlign w:val="bottom"/>
          </w:tcPr>
          <w:p w14:paraId="5CF8E9B8" w14:textId="1F52138F" w:rsidR="00366E01" w:rsidRPr="00646C33" w:rsidRDefault="00366E01" w:rsidP="00C65A4F">
            <w:pPr>
              <w:keepNext/>
              <w:spacing w:before="60" w:after="60"/>
              <w:jc w:val="right"/>
              <w:rPr>
                <w:b/>
              </w:rPr>
            </w:pPr>
            <w:r w:rsidRPr="00646C33">
              <w:rPr>
                <w:b/>
              </w:rPr>
              <w:t>LVR (%)</w:t>
            </w:r>
          </w:p>
        </w:tc>
        <w:tc>
          <w:tcPr>
            <w:tcW w:w="4479" w:type="dxa"/>
            <w:gridSpan w:val="2"/>
          </w:tcPr>
          <w:p w14:paraId="12B6FF3C" w14:textId="59312A56" w:rsidR="00366E01" w:rsidRPr="00646C33" w:rsidRDefault="00366E01" w:rsidP="00C65A4F">
            <w:pPr>
              <w:spacing w:before="60" w:after="60"/>
              <w:jc w:val="center"/>
              <w:rPr>
                <w:b/>
              </w:rPr>
            </w:pPr>
            <w:r w:rsidRPr="00646C33">
              <w:rPr>
                <w:b/>
              </w:rPr>
              <w:t>Risk weight (%)</w:t>
            </w:r>
          </w:p>
        </w:tc>
      </w:tr>
      <w:tr w:rsidR="00366E01" w:rsidRPr="00646C33" w14:paraId="0FF069FF" w14:textId="77777777" w:rsidTr="00366E01">
        <w:tc>
          <w:tcPr>
            <w:tcW w:w="3823" w:type="dxa"/>
            <w:vMerge/>
          </w:tcPr>
          <w:p w14:paraId="35F96112" w14:textId="77777777" w:rsidR="00366E01" w:rsidRPr="00646C33" w:rsidRDefault="00366E01" w:rsidP="00C65A4F">
            <w:pPr>
              <w:keepNext/>
              <w:spacing w:before="60" w:after="60"/>
              <w:rPr>
                <w:b/>
              </w:rPr>
            </w:pPr>
          </w:p>
        </w:tc>
        <w:tc>
          <w:tcPr>
            <w:tcW w:w="2239" w:type="dxa"/>
          </w:tcPr>
          <w:p w14:paraId="3B0DB9A5" w14:textId="450C8DF7" w:rsidR="00366E01" w:rsidRPr="00646C33" w:rsidRDefault="00366E01" w:rsidP="00C65A4F">
            <w:pPr>
              <w:spacing w:before="60" w:after="60"/>
              <w:jc w:val="center"/>
            </w:pPr>
            <w:r w:rsidRPr="00646C33">
              <w:rPr>
                <w:b/>
              </w:rPr>
              <w:t>≤ 60</w:t>
            </w:r>
          </w:p>
        </w:tc>
        <w:tc>
          <w:tcPr>
            <w:tcW w:w="2240" w:type="dxa"/>
          </w:tcPr>
          <w:p w14:paraId="1897BB12" w14:textId="0DAF1899" w:rsidR="00366E01" w:rsidRPr="00646C33" w:rsidRDefault="00366E01" w:rsidP="00C65A4F">
            <w:pPr>
              <w:spacing w:before="60" w:after="60"/>
              <w:jc w:val="center"/>
            </w:pPr>
            <w:r w:rsidRPr="00646C33">
              <w:rPr>
                <w:b/>
              </w:rPr>
              <w:t>&gt; 60</w:t>
            </w:r>
          </w:p>
        </w:tc>
      </w:tr>
      <w:tr w:rsidR="00366E01" w:rsidRPr="00646C33" w14:paraId="1829E249" w14:textId="77777777" w:rsidTr="00366E01">
        <w:tc>
          <w:tcPr>
            <w:tcW w:w="3823" w:type="dxa"/>
          </w:tcPr>
          <w:p w14:paraId="151F27EB" w14:textId="3561F305" w:rsidR="00366E01" w:rsidRPr="00646C33" w:rsidRDefault="00366E01" w:rsidP="00C65A4F">
            <w:pPr>
              <w:keepNext/>
              <w:spacing w:before="60" w:after="60"/>
              <w:rPr>
                <w:b/>
              </w:rPr>
            </w:pPr>
            <w:r w:rsidRPr="00646C33">
              <w:rPr>
                <w:b/>
              </w:rPr>
              <w:t>Reverse mortgages</w:t>
            </w:r>
          </w:p>
        </w:tc>
        <w:tc>
          <w:tcPr>
            <w:tcW w:w="2239" w:type="dxa"/>
          </w:tcPr>
          <w:p w14:paraId="674B1266" w14:textId="2AC51384" w:rsidR="00366E01" w:rsidRPr="00646C33" w:rsidRDefault="00366E01" w:rsidP="00C65A4F">
            <w:pPr>
              <w:spacing w:before="60" w:after="60"/>
              <w:jc w:val="center"/>
            </w:pPr>
            <w:r w:rsidRPr="00646C33">
              <w:t>50</w:t>
            </w:r>
          </w:p>
        </w:tc>
        <w:tc>
          <w:tcPr>
            <w:tcW w:w="2240" w:type="dxa"/>
          </w:tcPr>
          <w:p w14:paraId="460DBD74" w14:textId="658A7C21" w:rsidR="00366E01" w:rsidRPr="00646C33" w:rsidRDefault="00366E01" w:rsidP="00C65A4F">
            <w:pPr>
              <w:spacing w:before="60" w:after="60"/>
              <w:jc w:val="center"/>
            </w:pPr>
            <w:r w:rsidRPr="00646C33">
              <w:t>100</w:t>
            </w:r>
          </w:p>
        </w:tc>
      </w:tr>
      <w:tr w:rsidR="00366E01" w14:paraId="6BEAF354" w14:textId="77777777" w:rsidTr="00366E01">
        <w:tc>
          <w:tcPr>
            <w:tcW w:w="3823" w:type="dxa"/>
          </w:tcPr>
          <w:p w14:paraId="19DAC784" w14:textId="5F97E151" w:rsidR="00366E01" w:rsidRPr="00646C33" w:rsidRDefault="00366E01" w:rsidP="00C65A4F">
            <w:pPr>
              <w:keepNext/>
              <w:spacing w:before="60" w:after="60"/>
              <w:rPr>
                <w:b/>
              </w:rPr>
            </w:pPr>
            <w:r w:rsidRPr="00646C33">
              <w:rPr>
                <w:b/>
              </w:rPr>
              <w:t xml:space="preserve">All other non-standard </w:t>
            </w:r>
            <w:r w:rsidR="00CE5F75">
              <w:rPr>
                <w:b/>
              </w:rPr>
              <w:t>loans</w:t>
            </w:r>
          </w:p>
        </w:tc>
        <w:tc>
          <w:tcPr>
            <w:tcW w:w="4479" w:type="dxa"/>
            <w:gridSpan w:val="2"/>
          </w:tcPr>
          <w:p w14:paraId="12088535" w14:textId="548981C0" w:rsidR="00366E01" w:rsidRDefault="00366E01" w:rsidP="00C65A4F">
            <w:pPr>
              <w:spacing w:before="60" w:after="60"/>
              <w:jc w:val="center"/>
            </w:pPr>
            <w:r w:rsidRPr="00646C33">
              <w:t>100</w:t>
            </w:r>
          </w:p>
        </w:tc>
      </w:tr>
    </w:tbl>
    <w:p w14:paraId="0C98FD3F" w14:textId="77777777" w:rsidR="00295DA2" w:rsidRDefault="00295DA2" w:rsidP="003A605D">
      <w:pPr>
        <w:spacing w:after="120"/>
      </w:pPr>
    </w:p>
    <w:p w14:paraId="7B0476ED" w14:textId="02ABC8B8" w:rsidR="00D91CF8" w:rsidRPr="00E114E1" w:rsidRDefault="003A605D" w:rsidP="003A605D">
      <w:pPr>
        <w:pStyle w:val="BodyText1"/>
      </w:pPr>
      <w:r w:rsidRPr="00E114E1">
        <w:t xml:space="preserve">A </w:t>
      </w:r>
      <w:r w:rsidR="000E694B">
        <w:t>loan secured by</w:t>
      </w:r>
      <w:r w:rsidR="0043228B" w:rsidRPr="00E114E1">
        <w:t xml:space="preserve"> residential property</w:t>
      </w:r>
      <w:r w:rsidRPr="00E114E1">
        <w:t xml:space="preserve"> which does not meet the criteria set out in </w:t>
      </w:r>
      <w:r w:rsidR="00AB3FCF" w:rsidRPr="00E114E1">
        <w:t xml:space="preserve">paragraph </w:t>
      </w:r>
      <w:r w:rsidR="00AB3FCF" w:rsidRPr="00E114E1">
        <w:fldChar w:fldCharType="begin"/>
      </w:r>
      <w:r w:rsidR="00AB3FCF" w:rsidRPr="00E114E1">
        <w:instrText xml:space="preserve"> REF _Ref3471255 \r \h </w:instrText>
      </w:r>
      <w:r w:rsidR="00E114E1">
        <w:instrText xml:space="preserve"> \* MERGEFORMAT </w:instrText>
      </w:r>
      <w:r w:rsidR="00AB3FCF" w:rsidRPr="00E114E1">
        <w:fldChar w:fldCharType="separate"/>
      </w:r>
      <w:r w:rsidR="0007706D">
        <w:t>5</w:t>
      </w:r>
      <w:r w:rsidR="00AB3FCF" w:rsidRPr="00E114E1">
        <w:fldChar w:fldCharType="end"/>
      </w:r>
      <w:r w:rsidR="00AB3FCF" w:rsidRPr="00E114E1">
        <w:t xml:space="preserve"> </w:t>
      </w:r>
      <w:r w:rsidRPr="00E114E1">
        <w:t>of this Attachment</w:t>
      </w:r>
      <w:r w:rsidR="003B729C" w:rsidRPr="00E114E1">
        <w:t>,</w:t>
      </w:r>
      <w:r w:rsidRPr="00E114E1">
        <w:t xml:space="preserve"> and consequently must be classified as a non-standard </w:t>
      </w:r>
      <w:r w:rsidR="000C787F" w:rsidRPr="00E114E1">
        <w:t>loan</w:t>
      </w:r>
      <w:r w:rsidRPr="00E114E1">
        <w:t xml:space="preserve">, may be reclassified as a standard </w:t>
      </w:r>
      <w:r w:rsidR="000C787F" w:rsidRPr="00E114E1">
        <w:t xml:space="preserve">loan </w:t>
      </w:r>
      <w:r w:rsidRPr="00E114E1">
        <w:t xml:space="preserve">where the </w:t>
      </w:r>
      <w:r w:rsidR="00AF7990" w:rsidRPr="00E114E1">
        <w:t xml:space="preserve">loan </w:t>
      </w:r>
      <w:r w:rsidRPr="00E114E1">
        <w:t xml:space="preserve">has </w:t>
      </w:r>
      <w:r w:rsidR="001C2728" w:rsidRPr="00E114E1">
        <w:t xml:space="preserve">been performing consecutively for </w:t>
      </w:r>
      <w:r w:rsidRPr="00E114E1">
        <w:t xml:space="preserve">the previous 36 months. </w:t>
      </w:r>
    </w:p>
    <w:p w14:paraId="51566A23" w14:textId="66EAEE8F" w:rsidR="00320FC0" w:rsidRDefault="00320FC0" w:rsidP="00320FC0">
      <w:pPr>
        <w:pStyle w:val="Heading1"/>
      </w:pPr>
      <w:bookmarkStart w:id="70" w:name="_Toc4489881"/>
      <w:r>
        <w:t xml:space="preserve">Commercial </w:t>
      </w:r>
      <w:r w:rsidR="00B1023D">
        <w:t>property</w:t>
      </w:r>
      <w:bookmarkEnd w:id="70"/>
    </w:p>
    <w:p w14:paraId="4890BB3F" w14:textId="0394E2D7" w:rsidR="00320FC0" w:rsidRPr="00320FC0" w:rsidRDefault="00320FC0" w:rsidP="00320FC0">
      <w:pPr>
        <w:pStyle w:val="BodyText1"/>
      </w:pPr>
      <w:r w:rsidRPr="00320FC0">
        <w:t>A commercial property exposure is a</w:t>
      </w:r>
      <w:r w:rsidR="00D1028D">
        <w:t xml:space="preserve"> property</w:t>
      </w:r>
      <w:r w:rsidRPr="00320FC0">
        <w:t xml:space="preserve"> exposure that is not </w:t>
      </w:r>
      <w:r w:rsidR="004109CD">
        <w:t xml:space="preserve">a </w:t>
      </w:r>
      <w:r w:rsidRPr="00320FC0">
        <w:t>residential property</w:t>
      </w:r>
      <w:r w:rsidR="004109CD">
        <w:t xml:space="preserve"> exposure</w:t>
      </w:r>
      <w:r w:rsidRPr="00320FC0">
        <w:t xml:space="preserve"> as defined </w:t>
      </w:r>
      <w:r w:rsidRPr="00922B27">
        <w:t xml:space="preserve">in </w:t>
      </w:r>
      <w:r w:rsidR="00922B27" w:rsidRPr="00922B27">
        <w:t xml:space="preserve">paragraph </w:t>
      </w:r>
      <w:r w:rsidR="00922B27" w:rsidRPr="00922B27">
        <w:fldChar w:fldCharType="begin"/>
      </w:r>
      <w:r w:rsidR="00922B27" w:rsidRPr="00922B27">
        <w:instrText xml:space="preserve"> REF _Ref3471876 \r \h </w:instrText>
      </w:r>
      <w:r w:rsidR="00922B27">
        <w:instrText xml:space="preserve"> \* MERGEFORMAT </w:instrText>
      </w:r>
      <w:r w:rsidR="00922B27" w:rsidRPr="00922B27">
        <w:fldChar w:fldCharType="separate"/>
      </w:r>
      <w:r w:rsidR="0007706D">
        <w:t>14</w:t>
      </w:r>
      <w:r w:rsidR="00922B27" w:rsidRPr="00922B27">
        <w:fldChar w:fldCharType="end"/>
      </w:r>
      <w:r w:rsidR="00922B27">
        <w:t xml:space="preserve"> of this Attachment</w:t>
      </w:r>
      <w:r w:rsidR="00AE5D00">
        <w:t>,</w:t>
      </w:r>
      <w:r w:rsidR="009F45D8">
        <w:t xml:space="preserve"> and</w:t>
      </w:r>
      <w:r w:rsidR="00AE5D00">
        <w:t xml:space="preserve"> is not</w:t>
      </w:r>
      <w:r w:rsidRPr="00320FC0">
        <w:t xml:space="preserve"> land acquisition, development and construction as defined in </w:t>
      </w:r>
      <w:r w:rsidR="00922B27" w:rsidRPr="00922B27">
        <w:t xml:space="preserve">paragraphs </w:t>
      </w:r>
      <w:r w:rsidR="00922B27" w:rsidRPr="00922B27">
        <w:fldChar w:fldCharType="begin"/>
      </w:r>
      <w:r w:rsidR="00922B27" w:rsidRPr="00922B27">
        <w:instrText xml:space="preserve"> REF _Ref3473350 \r \h </w:instrText>
      </w:r>
      <w:r w:rsidR="00922B27">
        <w:instrText xml:space="preserve"> \* MERGEFORMAT </w:instrText>
      </w:r>
      <w:r w:rsidR="00922B27" w:rsidRPr="00922B27">
        <w:fldChar w:fldCharType="separate"/>
      </w:r>
      <w:r w:rsidR="0007706D">
        <w:t>27</w:t>
      </w:r>
      <w:r w:rsidR="00922B27" w:rsidRPr="00922B27">
        <w:fldChar w:fldCharType="end"/>
      </w:r>
      <w:r w:rsidR="00922B27" w:rsidRPr="00922B27">
        <w:t xml:space="preserve"> and </w:t>
      </w:r>
      <w:r w:rsidR="00922B27" w:rsidRPr="00922B27">
        <w:fldChar w:fldCharType="begin"/>
      </w:r>
      <w:r w:rsidR="00922B27" w:rsidRPr="00922B27">
        <w:instrText xml:space="preserve"> REF _Ref3473366 \r \h </w:instrText>
      </w:r>
      <w:r w:rsidR="00922B27">
        <w:instrText xml:space="preserve"> \* MERGEFORMAT </w:instrText>
      </w:r>
      <w:r w:rsidR="00922B27" w:rsidRPr="00922B27">
        <w:fldChar w:fldCharType="separate"/>
      </w:r>
      <w:r w:rsidR="0007706D">
        <w:t>28</w:t>
      </w:r>
      <w:r w:rsidR="00922B27" w:rsidRPr="00922B27">
        <w:fldChar w:fldCharType="end"/>
      </w:r>
      <w:r w:rsidR="00922B27" w:rsidRPr="00922B27">
        <w:t xml:space="preserve"> of</w:t>
      </w:r>
      <w:r w:rsidR="00922B27">
        <w:t xml:space="preserve"> this Attachment</w:t>
      </w:r>
      <w:r w:rsidRPr="00320FC0">
        <w:t>.</w:t>
      </w:r>
    </w:p>
    <w:p w14:paraId="75A02A6F" w14:textId="2AA6E51F" w:rsidR="00320FC0" w:rsidRDefault="00B72944" w:rsidP="00D05F05">
      <w:pPr>
        <w:pStyle w:val="Heading3"/>
      </w:pPr>
      <w:r>
        <w:t>D</w:t>
      </w:r>
      <w:r w:rsidR="00D05F05">
        <w:t>ependent</w:t>
      </w:r>
      <w:r>
        <w:t xml:space="preserve"> on property cash flows </w:t>
      </w:r>
    </w:p>
    <w:p w14:paraId="3EF0BBE2" w14:textId="2E2CF6D7" w:rsidR="00D05F05" w:rsidRPr="00D05F05" w:rsidRDefault="004F0D52" w:rsidP="00D05F05">
      <w:pPr>
        <w:pStyle w:val="BodyText1"/>
      </w:pPr>
      <w:bookmarkStart w:id="71" w:name="_Ref3473568"/>
      <w:r>
        <w:t>If</w:t>
      </w:r>
      <w:r w:rsidR="00EA4740">
        <w:t xml:space="preserve"> the prospects for repayment of the exposure depend primarily on the cash flows generated by the asset or other real estate assets owned by the borrower, an ADI must apply the risk weights in Table 3 based on LVR and the classification of the loan as standard or non-standard.</w:t>
      </w:r>
      <w:r w:rsidR="00F17BD2">
        <w:t xml:space="preserve"> </w:t>
      </w:r>
      <w:bookmarkEnd w:id="71"/>
    </w:p>
    <w:p w14:paraId="2FD306F7" w14:textId="29EBBF2E" w:rsidR="00D05F05" w:rsidRPr="00D05F05" w:rsidRDefault="00DF7A0C" w:rsidP="00DF7A0C">
      <w:pPr>
        <w:pStyle w:val="TableHeadNumber"/>
      </w:pPr>
      <w:bookmarkStart w:id="72" w:name="_Ref3964260"/>
      <w:r>
        <w:lastRenderedPageBreak/>
        <w:t>R</w:t>
      </w:r>
      <w:r w:rsidR="00D05F05" w:rsidRPr="0041255D">
        <w:t xml:space="preserve">isk weights for commercial property </w:t>
      </w:r>
      <w:r w:rsidR="004109CD">
        <w:t>exposures</w:t>
      </w:r>
      <w:r w:rsidR="00327019">
        <w:t xml:space="preserve"> </w:t>
      </w:r>
      <w:r w:rsidR="00D05F05" w:rsidRPr="0041255D">
        <w:t>– dependent</w:t>
      </w:r>
      <w:r w:rsidR="005D5AC2" w:rsidRPr="0041255D">
        <w:t xml:space="preserve"> on property cash flows</w:t>
      </w:r>
      <w:bookmarkEnd w:id="72"/>
    </w:p>
    <w:tbl>
      <w:tblPr>
        <w:tblStyle w:val="TableGrid"/>
        <w:tblW w:w="0" w:type="auto"/>
        <w:tblLook w:val="04A0" w:firstRow="1" w:lastRow="0" w:firstColumn="1" w:lastColumn="0" w:noHBand="0" w:noVBand="1"/>
      </w:tblPr>
      <w:tblGrid>
        <w:gridCol w:w="2547"/>
        <w:gridCol w:w="1918"/>
        <w:gridCol w:w="1918"/>
        <w:gridCol w:w="1919"/>
      </w:tblGrid>
      <w:tr w:rsidR="00D05F05" w14:paraId="26C1B33F" w14:textId="77777777" w:rsidTr="00D05F05">
        <w:tc>
          <w:tcPr>
            <w:tcW w:w="2547" w:type="dxa"/>
            <w:vMerge w:val="restart"/>
            <w:vAlign w:val="bottom"/>
          </w:tcPr>
          <w:p w14:paraId="516AB4A5" w14:textId="3312EC85" w:rsidR="00D05F05" w:rsidRPr="00D05F05" w:rsidRDefault="00D05F05" w:rsidP="00C65A4F">
            <w:pPr>
              <w:keepNext/>
              <w:spacing w:before="60" w:after="60"/>
              <w:jc w:val="right"/>
              <w:rPr>
                <w:b/>
              </w:rPr>
            </w:pPr>
            <w:r w:rsidRPr="00D05F05">
              <w:rPr>
                <w:b/>
              </w:rPr>
              <w:t>LVR (%)</w:t>
            </w:r>
          </w:p>
        </w:tc>
        <w:tc>
          <w:tcPr>
            <w:tcW w:w="5755" w:type="dxa"/>
            <w:gridSpan w:val="3"/>
          </w:tcPr>
          <w:p w14:paraId="40CD8059" w14:textId="78FFA6D1" w:rsidR="00D05F05" w:rsidRPr="00D05F05" w:rsidRDefault="00D05F05" w:rsidP="00C65A4F">
            <w:pPr>
              <w:keepNext/>
              <w:spacing w:before="60" w:after="60"/>
              <w:jc w:val="center"/>
              <w:rPr>
                <w:b/>
              </w:rPr>
            </w:pPr>
            <w:r w:rsidRPr="00D05F05">
              <w:rPr>
                <w:b/>
              </w:rPr>
              <w:t>Risk weight (%)</w:t>
            </w:r>
          </w:p>
        </w:tc>
      </w:tr>
      <w:tr w:rsidR="00D05F05" w14:paraId="5AE1E8AF" w14:textId="77777777" w:rsidTr="00D05F05">
        <w:tc>
          <w:tcPr>
            <w:tcW w:w="2547" w:type="dxa"/>
            <w:vMerge/>
          </w:tcPr>
          <w:p w14:paraId="7006345A" w14:textId="77777777" w:rsidR="00D05F05" w:rsidRDefault="00D05F05" w:rsidP="00C65A4F">
            <w:pPr>
              <w:keepNext/>
              <w:spacing w:before="60" w:after="60"/>
            </w:pPr>
          </w:p>
        </w:tc>
        <w:tc>
          <w:tcPr>
            <w:tcW w:w="1918" w:type="dxa"/>
          </w:tcPr>
          <w:p w14:paraId="391350F0" w14:textId="0931D7E3" w:rsidR="00D05F05" w:rsidRDefault="00D05F05" w:rsidP="00C65A4F">
            <w:pPr>
              <w:keepNext/>
              <w:spacing w:before="60" w:after="60"/>
              <w:jc w:val="center"/>
            </w:pPr>
            <w:r w:rsidRPr="008A1700">
              <w:rPr>
                <w:b/>
              </w:rPr>
              <w:t>≤ 60</w:t>
            </w:r>
          </w:p>
        </w:tc>
        <w:tc>
          <w:tcPr>
            <w:tcW w:w="1918" w:type="dxa"/>
          </w:tcPr>
          <w:p w14:paraId="3514E4EC" w14:textId="7198612A" w:rsidR="00D05F05" w:rsidRDefault="008C31B1" w:rsidP="00C65A4F">
            <w:pPr>
              <w:keepNext/>
              <w:spacing w:before="60" w:after="60"/>
              <w:jc w:val="center"/>
            </w:pPr>
            <w:r>
              <w:rPr>
                <w:b/>
              </w:rPr>
              <w:t>60.01 -</w:t>
            </w:r>
            <w:r w:rsidR="00D05F05">
              <w:rPr>
                <w:b/>
              </w:rPr>
              <w:t xml:space="preserve"> 8</w:t>
            </w:r>
            <w:r w:rsidR="00D05F05" w:rsidRPr="008A1700">
              <w:rPr>
                <w:b/>
              </w:rPr>
              <w:t>0</w:t>
            </w:r>
          </w:p>
        </w:tc>
        <w:tc>
          <w:tcPr>
            <w:tcW w:w="1919" w:type="dxa"/>
          </w:tcPr>
          <w:p w14:paraId="7D9F147D" w14:textId="55D468DF" w:rsidR="00D05F05" w:rsidRDefault="00D05F05" w:rsidP="00C65A4F">
            <w:pPr>
              <w:keepNext/>
              <w:spacing w:before="60" w:after="60"/>
              <w:jc w:val="center"/>
            </w:pPr>
            <w:r w:rsidRPr="00FB5E7D">
              <w:rPr>
                <w:b/>
              </w:rPr>
              <w:t>&gt; 80</w:t>
            </w:r>
          </w:p>
        </w:tc>
      </w:tr>
      <w:tr w:rsidR="00D05F05" w14:paraId="0E67DA5B" w14:textId="77777777" w:rsidTr="000E744A">
        <w:tc>
          <w:tcPr>
            <w:tcW w:w="2547" w:type="dxa"/>
          </w:tcPr>
          <w:p w14:paraId="27A8635C" w14:textId="10165630" w:rsidR="00D05F05" w:rsidRPr="00D05F05" w:rsidRDefault="000E744A" w:rsidP="00C65A4F">
            <w:pPr>
              <w:keepNext/>
              <w:spacing w:before="60" w:after="60"/>
              <w:rPr>
                <w:b/>
              </w:rPr>
            </w:pPr>
            <w:r>
              <w:rPr>
                <w:b/>
              </w:rPr>
              <w:t>Standard</w:t>
            </w:r>
          </w:p>
        </w:tc>
        <w:tc>
          <w:tcPr>
            <w:tcW w:w="1918" w:type="dxa"/>
            <w:vAlign w:val="center"/>
          </w:tcPr>
          <w:p w14:paraId="01F8757A" w14:textId="444CD992" w:rsidR="00D05F05" w:rsidRDefault="00D05F05" w:rsidP="00C65A4F">
            <w:pPr>
              <w:keepNext/>
              <w:spacing w:before="60" w:after="60"/>
              <w:jc w:val="center"/>
            </w:pPr>
            <w:r>
              <w:t>70</w:t>
            </w:r>
          </w:p>
        </w:tc>
        <w:tc>
          <w:tcPr>
            <w:tcW w:w="1918" w:type="dxa"/>
            <w:vAlign w:val="center"/>
          </w:tcPr>
          <w:p w14:paraId="33BF6D83" w14:textId="53437D98" w:rsidR="00D05F05" w:rsidRDefault="00D05F05" w:rsidP="00C65A4F">
            <w:pPr>
              <w:keepNext/>
              <w:spacing w:before="60" w:after="60"/>
              <w:jc w:val="center"/>
            </w:pPr>
            <w:r>
              <w:t>90</w:t>
            </w:r>
          </w:p>
        </w:tc>
        <w:tc>
          <w:tcPr>
            <w:tcW w:w="1919" w:type="dxa"/>
            <w:vAlign w:val="center"/>
          </w:tcPr>
          <w:p w14:paraId="51D90A2A" w14:textId="5F361BF7" w:rsidR="00D05F05" w:rsidRDefault="00D05F05" w:rsidP="00C65A4F">
            <w:pPr>
              <w:keepNext/>
              <w:spacing w:before="60" w:after="60"/>
              <w:jc w:val="center"/>
            </w:pPr>
            <w:r>
              <w:t>110</w:t>
            </w:r>
          </w:p>
        </w:tc>
      </w:tr>
      <w:tr w:rsidR="000E744A" w14:paraId="239C3E7D" w14:textId="77777777" w:rsidTr="000E744A">
        <w:tc>
          <w:tcPr>
            <w:tcW w:w="2547" w:type="dxa"/>
          </w:tcPr>
          <w:p w14:paraId="27A39B2B" w14:textId="7112C177" w:rsidR="000E744A" w:rsidRPr="00D05F05" w:rsidRDefault="000E744A" w:rsidP="00C65A4F">
            <w:pPr>
              <w:keepNext/>
              <w:spacing w:before="60" w:after="60"/>
              <w:rPr>
                <w:b/>
              </w:rPr>
            </w:pPr>
            <w:r>
              <w:rPr>
                <w:b/>
              </w:rPr>
              <w:t>Non-standard</w:t>
            </w:r>
          </w:p>
        </w:tc>
        <w:tc>
          <w:tcPr>
            <w:tcW w:w="5755" w:type="dxa"/>
            <w:gridSpan w:val="3"/>
            <w:vAlign w:val="center"/>
          </w:tcPr>
          <w:p w14:paraId="46180C4A" w14:textId="421F40CC" w:rsidR="000E744A" w:rsidRDefault="000E744A" w:rsidP="00C65A4F">
            <w:pPr>
              <w:keepNext/>
              <w:spacing w:before="60" w:after="60"/>
              <w:jc w:val="center"/>
            </w:pPr>
            <w:r>
              <w:t>150</w:t>
            </w:r>
          </w:p>
        </w:tc>
      </w:tr>
    </w:tbl>
    <w:p w14:paraId="243D9824" w14:textId="61D84714" w:rsidR="00D05F05" w:rsidRDefault="00D05F05" w:rsidP="00902039">
      <w:pPr>
        <w:spacing w:after="120"/>
      </w:pPr>
    </w:p>
    <w:p w14:paraId="13EAF28B" w14:textId="14205D37" w:rsidR="00902039" w:rsidRDefault="00902039" w:rsidP="00902039">
      <w:pPr>
        <w:pStyle w:val="Heading3"/>
      </w:pPr>
      <w:r>
        <w:t xml:space="preserve">Not </w:t>
      </w:r>
      <w:r w:rsidR="00B1023D">
        <w:t>dependent</w:t>
      </w:r>
      <w:r w:rsidR="00B72944">
        <w:t xml:space="preserve"> on property cash flows </w:t>
      </w:r>
    </w:p>
    <w:p w14:paraId="54EFB294" w14:textId="4D32009D" w:rsidR="009400AD" w:rsidRDefault="004F0D52" w:rsidP="003B5F5B">
      <w:pPr>
        <w:pStyle w:val="BodyText1"/>
      </w:pPr>
      <w:bookmarkStart w:id="73" w:name="_Ref3475647"/>
      <w:r>
        <w:t xml:space="preserve">If </w:t>
      </w:r>
      <w:r w:rsidR="006C40FE">
        <w:t>the servicing and</w:t>
      </w:r>
      <w:r w:rsidR="00524BFD">
        <w:t xml:space="preserve"> repayment of </w:t>
      </w:r>
      <w:r w:rsidR="006C40FE">
        <w:t>a</w:t>
      </w:r>
      <w:r w:rsidR="00524BFD">
        <w:t xml:space="preserve"> commercial property exposure</w:t>
      </w:r>
      <w:r w:rsidR="003B5F5B" w:rsidRPr="003B5F5B">
        <w:t xml:space="preserve"> does not meet the </w:t>
      </w:r>
      <w:r w:rsidR="006C40FE">
        <w:t>criteria</w:t>
      </w:r>
      <w:r w:rsidR="003B5F5B" w:rsidRPr="003B5F5B">
        <w:t xml:space="preserve"> for dependence as set out in </w:t>
      </w:r>
      <w:r w:rsidR="00741126" w:rsidRPr="00741126">
        <w:t xml:space="preserve">paragraph </w:t>
      </w:r>
      <w:r w:rsidR="00741126" w:rsidRPr="00741126">
        <w:fldChar w:fldCharType="begin"/>
      </w:r>
      <w:r w:rsidR="00741126" w:rsidRPr="00741126">
        <w:instrText xml:space="preserve"> REF _Ref3473568 \r \h </w:instrText>
      </w:r>
      <w:r w:rsidR="00741126">
        <w:instrText xml:space="preserve"> \* MERGEFORMAT </w:instrText>
      </w:r>
      <w:r w:rsidR="00741126" w:rsidRPr="00741126">
        <w:fldChar w:fldCharType="separate"/>
      </w:r>
      <w:r w:rsidR="0007706D">
        <w:t>23</w:t>
      </w:r>
      <w:r w:rsidR="00741126" w:rsidRPr="00741126">
        <w:fldChar w:fldCharType="end"/>
      </w:r>
      <w:r w:rsidR="003B5F5B" w:rsidRPr="003B5F5B">
        <w:t xml:space="preserve"> of this Attachment</w:t>
      </w:r>
      <w:r w:rsidR="00DE4E7F">
        <w:t>,</w:t>
      </w:r>
      <w:r w:rsidR="00870188">
        <w:t xml:space="preserve"> </w:t>
      </w:r>
      <w:r w:rsidR="003B5F5B" w:rsidRPr="003B5F5B">
        <w:t xml:space="preserve">an ADI must </w:t>
      </w:r>
      <w:r w:rsidR="006F3AD0">
        <w:t>apply the</w:t>
      </w:r>
      <w:r w:rsidR="00EE24B3">
        <w:t xml:space="preserve"> risk weights in </w:t>
      </w:r>
      <w:r w:rsidR="00BB2DB0">
        <w:fldChar w:fldCharType="begin"/>
      </w:r>
      <w:r w:rsidR="00BB2DB0">
        <w:instrText xml:space="preserve"> REF _Ref3964302 \n \h </w:instrText>
      </w:r>
      <w:r w:rsidR="00BB2DB0">
        <w:fldChar w:fldCharType="separate"/>
      </w:r>
      <w:r w:rsidR="0007706D">
        <w:t>Table 4</w:t>
      </w:r>
      <w:r w:rsidR="00BB2DB0">
        <w:fldChar w:fldCharType="end"/>
      </w:r>
      <w:r w:rsidR="00D53B86">
        <w:t xml:space="preserve"> </w:t>
      </w:r>
      <w:r w:rsidR="00EE24B3">
        <w:t>based on</w:t>
      </w:r>
      <w:r w:rsidR="00A604E5">
        <w:t xml:space="preserve"> counterparty type,</w:t>
      </w:r>
      <w:r w:rsidR="00EE24B3">
        <w:t xml:space="preserve"> LVR</w:t>
      </w:r>
      <w:r w:rsidR="00A604E5">
        <w:t xml:space="preserve"> and the classification of the loan as standard or non-standard</w:t>
      </w:r>
      <w:r w:rsidR="00EE24B3">
        <w:t>.</w:t>
      </w:r>
      <w:r w:rsidR="006F3AD0">
        <w:t xml:space="preserve"> </w:t>
      </w:r>
      <w:bookmarkEnd w:id="73"/>
    </w:p>
    <w:p w14:paraId="1B5E574F" w14:textId="3CDCAAF0" w:rsidR="003B5F5B" w:rsidRPr="009400AD" w:rsidRDefault="00DF7A0C" w:rsidP="00DF7A0C">
      <w:pPr>
        <w:pStyle w:val="TableHeadNumber"/>
      </w:pPr>
      <w:bookmarkStart w:id="74" w:name="_Ref3964302"/>
      <w:r>
        <w:t>R</w:t>
      </w:r>
      <w:r w:rsidR="009400AD" w:rsidRPr="009400AD">
        <w:t>isk weights for commercial property</w:t>
      </w:r>
      <w:r w:rsidR="004109CD">
        <w:t xml:space="preserve"> exposures</w:t>
      </w:r>
      <w:r w:rsidR="009400AD" w:rsidRPr="009400AD">
        <w:t xml:space="preserve"> –</w:t>
      </w:r>
      <w:r w:rsidR="005D5AC2">
        <w:t xml:space="preserve"> not</w:t>
      </w:r>
      <w:r w:rsidR="004109CD">
        <w:t xml:space="preserve"> </w:t>
      </w:r>
      <w:r w:rsidR="009400AD" w:rsidRPr="009400AD">
        <w:t>dependent</w:t>
      </w:r>
      <w:r w:rsidR="005D5AC2">
        <w:t xml:space="preserve"> on property cash flows</w:t>
      </w:r>
      <w:bookmarkEnd w:id="74"/>
    </w:p>
    <w:tbl>
      <w:tblPr>
        <w:tblStyle w:val="TableGrid"/>
        <w:tblW w:w="0" w:type="auto"/>
        <w:tblLook w:val="04A0" w:firstRow="1" w:lastRow="0" w:firstColumn="1" w:lastColumn="0" w:noHBand="0" w:noVBand="1"/>
      </w:tblPr>
      <w:tblGrid>
        <w:gridCol w:w="2405"/>
        <w:gridCol w:w="2948"/>
        <w:gridCol w:w="2949"/>
      </w:tblGrid>
      <w:tr w:rsidR="00EE24B3" w14:paraId="03F698CE" w14:textId="77777777" w:rsidTr="00EE24B3">
        <w:tc>
          <w:tcPr>
            <w:tcW w:w="2405" w:type="dxa"/>
            <w:vMerge w:val="restart"/>
            <w:vAlign w:val="center"/>
          </w:tcPr>
          <w:p w14:paraId="0660000E" w14:textId="77777777" w:rsidR="00EE24B3" w:rsidRPr="00EE24B3" w:rsidRDefault="00EE24B3" w:rsidP="00C65A4F">
            <w:pPr>
              <w:keepNext/>
              <w:spacing w:before="60" w:after="60"/>
              <w:rPr>
                <w:b/>
              </w:rPr>
            </w:pPr>
            <w:r w:rsidRPr="00EE24B3">
              <w:rPr>
                <w:b/>
              </w:rPr>
              <w:t>Counterparty</w:t>
            </w:r>
          </w:p>
        </w:tc>
        <w:tc>
          <w:tcPr>
            <w:tcW w:w="5897" w:type="dxa"/>
            <w:gridSpan w:val="2"/>
            <w:vAlign w:val="center"/>
          </w:tcPr>
          <w:p w14:paraId="2BEED1E2" w14:textId="77777777" w:rsidR="00EE24B3" w:rsidRPr="00EE24B3" w:rsidRDefault="00EE24B3" w:rsidP="00C65A4F">
            <w:pPr>
              <w:keepNext/>
              <w:spacing w:before="60" w:after="60"/>
              <w:jc w:val="center"/>
              <w:rPr>
                <w:b/>
              </w:rPr>
            </w:pPr>
            <w:r w:rsidRPr="00EE24B3">
              <w:rPr>
                <w:b/>
              </w:rPr>
              <w:t>Risk weight (%)</w:t>
            </w:r>
          </w:p>
        </w:tc>
      </w:tr>
      <w:tr w:rsidR="00EE24B3" w14:paraId="15E5A4AD" w14:textId="77777777" w:rsidTr="00EE24B3">
        <w:tc>
          <w:tcPr>
            <w:tcW w:w="2405" w:type="dxa"/>
            <w:vMerge/>
            <w:vAlign w:val="center"/>
          </w:tcPr>
          <w:p w14:paraId="2650D82D" w14:textId="77777777" w:rsidR="00EE24B3" w:rsidRPr="00EE24B3" w:rsidRDefault="00EE24B3" w:rsidP="00C65A4F">
            <w:pPr>
              <w:keepNext/>
              <w:spacing w:before="60" w:after="60"/>
              <w:rPr>
                <w:b/>
              </w:rPr>
            </w:pPr>
          </w:p>
        </w:tc>
        <w:tc>
          <w:tcPr>
            <w:tcW w:w="2948" w:type="dxa"/>
            <w:vAlign w:val="center"/>
          </w:tcPr>
          <w:p w14:paraId="0681F8D0" w14:textId="77777777" w:rsidR="00EE24B3" w:rsidRPr="00EE24B3" w:rsidRDefault="00EE24B3" w:rsidP="00C65A4F">
            <w:pPr>
              <w:keepNext/>
              <w:spacing w:before="60" w:after="60"/>
              <w:jc w:val="center"/>
              <w:rPr>
                <w:b/>
              </w:rPr>
            </w:pPr>
            <w:r w:rsidRPr="00EE24B3">
              <w:rPr>
                <w:b/>
              </w:rPr>
              <w:t>LVR ≤ 60</w:t>
            </w:r>
          </w:p>
        </w:tc>
        <w:tc>
          <w:tcPr>
            <w:tcW w:w="2949" w:type="dxa"/>
            <w:vAlign w:val="center"/>
          </w:tcPr>
          <w:p w14:paraId="4332FB76" w14:textId="77777777" w:rsidR="00EE24B3" w:rsidRPr="00EE24B3" w:rsidRDefault="00EE24B3" w:rsidP="00C65A4F">
            <w:pPr>
              <w:keepNext/>
              <w:spacing w:before="60" w:after="60"/>
              <w:jc w:val="center"/>
              <w:rPr>
                <w:b/>
              </w:rPr>
            </w:pPr>
            <w:r w:rsidRPr="00EE24B3">
              <w:rPr>
                <w:b/>
              </w:rPr>
              <w:t>LVR &gt; 60 or non-standard</w:t>
            </w:r>
          </w:p>
        </w:tc>
      </w:tr>
      <w:tr w:rsidR="00EE24B3" w14:paraId="70869152" w14:textId="77777777" w:rsidTr="00EE24B3">
        <w:tc>
          <w:tcPr>
            <w:tcW w:w="2405" w:type="dxa"/>
            <w:vAlign w:val="center"/>
          </w:tcPr>
          <w:p w14:paraId="29CEB64E" w14:textId="05B0789A" w:rsidR="00EE24B3" w:rsidRPr="00C02DBD" w:rsidRDefault="00C12096" w:rsidP="00C65A4F">
            <w:pPr>
              <w:keepNext/>
              <w:spacing w:before="60" w:after="60"/>
              <w:rPr>
                <w:b/>
              </w:rPr>
            </w:pPr>
            <w:r w:rsidRPr="00C02DBD">
              <w:rPr>
                <w:b/>
              </w:rPr>
              <w:t>Rated c</w:t>
            </w:r>
            <w:r w:rsidR="00EE24B3" w:rsidRPr="00C02DBD">
              <w:rPr>
                <w:b/>
              </w:rPr>
              <w:t>orporate</w:t>
            </w:r>
          </w:p>
        </w:tc>
        <w:tc>
          <w:tcPr>
            <w:tcW w:w="2948" w:type="dxa"/>
          </w:tcPr>
          <w:p w14:paraId="6F5C8B5E" w14:textId="77777777" w:rsidR="00EE24B3" w:rsidRDefault="00EE24B3" w:rsidP="00C65A4F">
            <w:pPr>
              <w:keepNext/>
              <w:spacing w:before="60" w:after="60"/>
              <w:jc w:val="center"/>
            </w:pPr>
            <w:r>
              <w:t>60, or</w:t>
            </w:r>
          </w:p>
          <w:p w14:paraId="7A349BCF" w14:textId="65B04E7B" w:rsidR="00EE24B3" w:rsidRDefault="00EE24B3" w:rsidP="00C65A4F">
            <w:pPr>
              <w:keepNext/>
              <w:spacing w:before="60" w:after="60"/>
              <w:jc w:val="center"/>
            </w:pPr>
            <w:r>
              <w:t xml:space="preserve">the risk weights in </w:t>
            </w:r>
            <w:r w:rsidR="00BB2DB0">
              <w:rPr>
                <w:highlight w:val="yellow"/>
              </w:rPr>
              <w:fldChar w:fldCharType="begin"/>
            </w:r>
            <w:r w:rsidR="00BB2DB0">
              <w:instrText xml:space="preserve"> REF _Ref3964404 \n \h </w:instrText>
            </w:r>
            <w:r w:rsidR="00BB2DB0">
              <w:rPr>
                <w:highlight w:val="yellow"/>
              </w:rPr>
            </w:r>
            <w:r w:rsidR="00BB2DB0">
              <w:rPr>
                <w:highlight w:val="yellow"/>
              </w:rPr>
              <w:fldChar w:fldCharType="separate"/>
            </w:r>
            <w:r w:rsidR="0007706D">
              <w:t>Table 10</w:t>
            </w:r>
            <w:r w:rsidR="00BB2DB0">
              <w:rPr>
                <w:highlight w:val="yellow"/>
              </w:rPr>
              <w:fldChar w:fldCharType="end"/>
            </w:r>
          </w:p>
        </w:tc>
        <w:tc>
          <w:tcPr>
            <w:tcW w:w="2949" w:type="dxa"/>
            <w:vAlign w:val="center"/>
          </w:tcPr>
          <w:p w14:paraId="4F4A4D5C" w14:textId="5269F037" w:rsidR="00EE24B3" w:rsidRDefault="00EE24B3" w:rsidP="00C65A4F">
            <w:pPr>
              <w:keepNext/>
              <w:spacing w:before="60" w:after="60"/>
              <w:jc w:val="center"/>
            </w:pPr>
            <w:r>
              <w:t xml:space="preserve">Risk weights in </w:t>
            </w:r>
            <w:r w:rsidR="00BB2DB0">
              <w:fldChar w:fldCharType="begin"/>
            </w:r>
            <w:r w:rsidR="00BB2DB0">
              <w:instrText xml:space="preserve"> REF _Ref3964404 \n \h </w:instrText>
            </w:r>
            <w:r w:rsidR="00BB2DB0">
              <w:fldChar w:fldCharType="separate"/>
            </w:r>
            <w:r w:rsidR="0007706D">
              <w:t>Table 10</w:t>
            </w:r>
            <w:r w:rsidR="00BB2DB0">
              <w:fldChar w:fldCharType="end"/>
            </w:r>
          </w:p>
        </w:tc>
      </w:tr>
      <w:tr w:rsidR="00EE24B3" w14:paraId="5140E265" w14:textId="77777777" w:rsidTr="00EE24B3">
        <w:tc>
          <w:tcPr>
            <w:tcW w:w="2405" w:type="dxa"/>
            <w:vAlign w:val="center"/>
          </w:tcPr>
          <w:p w14:paraId="7581DAE4" w14:textId="77777777" w:rsidR="00EE24B3" w:rsidRPr="00C02DBD" w:rsidRDefault="00EE24B3" w:rsidP="00C65A4F">
            <w:pPr>
              <w:keepNext/>
              <w:spacing w:before="60" w:after="60"/>
              <w:rPr>
                <w:b/>
              </w:rPr>
            </w:pPr>
            <w:r w:rsidRPr="00C02DBD">
              <w:rPr>
                <w:b/>
              </w:rPr>
              <w:t>All other counterparties</w:t>
            </w:r>
          </w:p>
        </w:tc>
        <w:tc>
          <w:tcPr>
            <w:tcW w:w="2948" w:type="dxa"/>
            <w:vAlign w:val="center"/>
          </w:tcPr>
          <w:p w14:paraId="11B75072" w14:textId="77777777" w:rsidR="00EE24B3" w:rsidRDefault="00EE24B3" w:rsidP="00C65A4F">
            <w:pPr>
              <w:keepNext/>
              <w:spacing w:before="60" w:after="60"/>
              <w:jc w:val="center"/>
            </w:pPr>
            <w:r>
              <w:t>60</w:t>
            </w:r>
          </w:p>
        </w:tc>
        <w:tc>
          <w:tcPr>
            <w:tcW w:w="2949" w:type="dxa"/>
          </w:tcPr>
          <w:p w14:paraId="4095E361" w14:textId="54A687B6" w:rsidR="00EE24B3" w:rsidRDefault="00EE24B3" w:rsidP="00C65A4F">
            <w:pPr>
              <w:keepNext/>
              <w:spacing w:before="60" w:after="60"/>
              <w:jc w:val="center"/>
            </w:pPr>
            <w:r>
              <w:t>According to applicable risk weight in Attachment B</w:t>
            </w:r>
          </w:p>
        </w:tc>
      </w:tr>
    </w:tbl>
    <w:p w14:paraId="34BF5C81" w14:textId="77777777" w:rsidR="00EE24B3" w:rsidRDefault="00EE24B3" w:rsidP="009400AD">
      <w:pPr>
        <w:spacing w:after="120"/>
      </w:pPr>
    </w:p>
    <w:p w14:paraId="674D2A59" w14:textId="67C011FE" w:rsidR="00040CDC" w:rsidRDefault="00040CDC" w:rsidP="00040CDC">
      <w:pPr>
        <w:pStyle w:val="BodyText1"/>
      </w:pPr>
      <w:r>
        <w:t xml:space="preserve">An exposure </w:t>
      </w:r>
      <w:r w:rsidR="00327019">
        <w:t>m</w:t>
      </w:r>
      <w:r w:rsidR="00F948D1">
        <w:t>ay</w:t>
      </w:r>
      <w:r>
        <w:t xml:space="preserve"> be classified as ‘</w:t>
      </w:r>
      <w:r w:rsidR="00327019">
        <w:t xml:space="preserve">commercial property exposures - </w:t>
      </w:r>
      <w:r>
        <w:t>not dependent</w:t>
      </w:r>
      <w:r w:rsidR="00327019">
        <w:t xml:space="preserve"> on property cash flows</w:t>
      </w:r>
      <w:r>
        <w:t>’ where an ADI has recourse to a borrower that meets all of the following criteria:</w:t>
      </w:r>
    </w:p>
    <w:p w14:paraId="165E8342" w14:textId="77777777" w:rsidR="00040CDC" w:rsidRDefault="00040CDC" w:rsidP="00040CDC">
      <w:pPr>
        <w:pStyle w:val="BodyText2"/>
      </w:pPr>
      <w:r>
        <w:t>the borrower is a corporate entity that is managed by a recognised, professional and reputable management team;</w:t>
      </w:r>
    </w:p>
    <w:p w14:paraId="42DE362C" w14:textId="77777777" w:rsidR="00040CDC" w:rsidRDefault="00040CDC" w:rsidP="00040CDC">
      <w:pPr>
        <w:pStyle w:val="BodyText2"/>
      </w:pPr>
      <w:r>
        <w:t>the ADI’s exposure to the borrower is not specifically or substantially financing limited recourse development projects;</w:t>
      </w:r>
    </w:p>
    <w:p w14:paraId="61D0FC7D" w14:textId="77777777" w:rsidR="00040CDC" w:rsidRDefault="00040CDC" w:rsidP="00040CDC">
      <w:pPr>
        <w:pStyle w:val="BodyText2"/>
      </w:pPr>
      <w:r>
        <w:t>the borrower has greater than $250 million in tangible assets, to which the ADI has unconditional recourse;</w:t>
      </w:r>
    </w:p>
    <w:p w14:paraId="297344B1" w14:textId="7B4EAED3" w:rsidR="00040CDC" w:rsidRDefault="00040CDC" w:rsidP="00040CDC">
      <w:pPr>
        <w:pStyle w:val="BodyText2"/>
      </w:pPr>
      <w:r>
        <w:t>real estate assets are sufficiently diversified such that</w:t>
      </w:r>
      <w:r w:rsidR="004F0D52">
        <w:t>:</w:t>
      </w:r>
    </w:p>
    <w:p w14:paraId="461F08C0" w14:textId="77777777" w:rsidR="00040CDC" w:rsidRDefault="00040CDC" w:rsidP="00040CDC">
      <w:pPr>
        <w:pStyle w:val="BodyText3"/>
      </w:pPr>
      <w:r>
        <w:t>no single asset represents greater than 25 per cent of the borrower’s real estate portfolio by value; and</w:t>
      </w:r>
    </w:p>
    <w:p w14:paraId="2F9F8E69" w14:textId="6DEBC370" w:rsidR="00040CDC" w:rsidRDefault="00040CDC" w:rsidP="00040CDC">
      <w:pPr>
        <w:pStyle w:val="BodyText3"/>
      </w:pPr>
      <w:r>
        <w:t>real estate assets are not concentrated in one particular specific geographic location; and</w:t>
      </w:r>
    </w:p>
    <w:p w14:paraId="172711C3" w14:textId="1495C2BA" w:rsidR="00040CDC" w:rsidRDefault="00040CDC" w:rsidP="00040CDC">
      <w:pPr>
        <w:pStyle w:val="BodyText2"/>
      </w:pPr>
      <w:r>
        <w:lastRenderedPageBreak/>
        <w:t>for real estate operators or investors, tenants are sufficiently diversified such that no single tenant represents</w:t>
      </w:r>
      <w:r w:rsidR="004F0D52">
        <w:t>:</w:t>
      </w:r>
    </w:p>
    <w:p w14:paraId="66DF33BE" w14:textId="77777777" w:rsidR="00040CDC" w:rsidRDefault="00040CDC" w:rsidP="00040CDC">
      <w:pPr>
        <w:pStyle w:val="BodyText3"/>
      </w:pPr>
      <w:r>
        <w:t>greater than 25 per cent of portfolio net rental income for portfolios of retail shopping centres that typically require significant anchor tenants to attract specialty tenants; and</w:t>
      </w:r>
    </w:p>
    <w:p w14:paraId="7A2CA13C" w14:textId="500914B3" w:rsidR="007723E3" w:rsidRDefault="00040CDC" w:rsidP="004144C1">
      <w:pPr>
        <w:pStyle w:val="BodyText3"/>
      </w:pPr>
      <w:r>
        <w:t>greater than 10 per cent of portfolio net rental income for all other portfolios of real estate assets (e.g. commercial offices, industrial buildings, hotel</w:t>
      </w:r>
      <w:r w:rsidR="007049DF">
        <w:t>s</w:t>
      </w:r>
      <w:r w:rsidR="007723E3">
        <w:t>)</w:t>
      </w:r>
      <w:r>
        <w:t>, with the exception of Government tenants.</w:t>
      </w:r>
    </w:p>
    <w:p w14:paraId="16C4D5DC" w14:textId="091EB5AF" w:rsidR="00986684" w:rsidRDefault="000C58E1" w:rsidP="00986684">
      <w:pPr>
        <w:pStyle w:val="BodyText1"/>
      </w:pPr>
      <w:r>
        <w:t xml:space="preserve">Where an ADI has an exposure to commercial property that is </w:t>
      </w:r>
      <w:r w:rsidR="00986684" w:rsidRPr="00986684">
        <w:t xml:space="preserve">used predominantly for </w:t>
      </w:r>
      <w:r w:rsidR="00EB6DDB">
        <w:t xml:space="preserve">forest or </w:t>
      </w:r>
      <w:r w:rsidR="00986684" w:rsidRPr="00986684">
        <w:t>agricultural purposes</w:t>
      </w:r>
      <w:r w:rsidR="001D3A95">
        <w:t>, it may classify the exposure</w:t>
      </w:r>
      <w:r w:rsidR="00986684" w:rsidRPr="00986684">
        <w:t xml:space="preserve"> as </w:t>
      </w:r>
      <w:r w:rsidR="00A5378E">
        <w:t>‘</w:t>
      </w:r>
      <w:r w:rsidR="00986684" w:rsidRPr="00986684">
        <w:t>not</w:t>
      </w:r>
      <w:r w:rsidR="004109CD">
        <w:t xml:space="preserve"> </w:t>
      </w:r>
      <w:r w:rsidR="00986684" w:rsidRPr="00986684">
        <w:t>dependent</w:t>
      </w:r>
      <w:r w:rsidR="00A5378E">
        <w:t>’</w:t>
      </w:r>
      <w:r w:rsidR="00986684" w:rsidRPr="00986684">
        <w:t xml:space="preserve">, </w:t>
      </w:r>
      <w:r w:rsidR="001D3A95">
        <w:t>unless</w:t>
      </w:r>
      <w:r w:rsidR="00986684" w:rsidRPr="00986684">
        <w:t xml:space="preserve"> the property has been acquired specifically for lease or resale, and the servicing of the debt is depende</w:t>
      </w:r>
      <w:r w:rsidR="00986684">
        <w:t>nt on such lease or resale (</w:t>
      </w:r>
      <w:r w:rsidR="00986684" w:rsidRPr="00986684">
        <w:t>or the lease or resale of other properties).</w:t>
      </w:r>
    </w:p>
    <w:p w14:paraId="4A17A7E1" w14:textId="27BE889C" w:rsidR="00B8786A" w:rsidRDefault="00B8786A" w:rsidP="00B8786A">
      <w:pPr>
        <w:pStyle w:val="Heading1"/>
      </w:pPr>
      <w:bookmarkStart w:id="75" w:name="_Toc4489882"/>
      <w:r>
        <w:t>Land acquisition, development and construction</w:t>
      </w:r>
      <w:bookmarkEnd w:id="75"/>
    </w:p>
    <w:p w14:paraId="5EEA3BA5" w14:textId="5730A158" w:rsidR="00B8786A" w:rsidRDefault="00B8786A" w:rsidP="00B8786A">
      <w:pPr>
        <w:pStyle w:val="BodyText1"/>
      </w:pPr>
      <w:bookmarkStart w:id="76" w:name="_Ref3473350"/>
      <w:r>
        <w:t>Land acquisition, development a</w:t>
      </w:r>
      <w:r w:rsidR="00524BFD">
        <w:t xml:space="preserve">nd construction (ADC) </w:t>
      </w:r>
      <w:r>
        <w:t xml:space="preserve">refers to </w:t>
      </w:r>
      <w:r w:rsidR="00F72DAC">
        <w:t xml:space="preserve">property </w:t>
      </w:r>
      <w:r>
        <w:t>exposures where the security for the loan predominantly relates to any of the land acquisition for development and construction purposes, or development and construction of any residential or commercial property.</w:t>
      </w:r>
      <w:bookmarkEnd w:id="76"/>
    </w:p>
    <w:p w14:paraId="5AFF01CE" w14:textId="377FEAFD" w:rsidR="00B8786A" w:rsidRDefault="00B8786A" w:rsidP="00B8786A">
      <w:pPr>
        <w:pStyle w:val="BodyText1"/>
      </w:pPr>
      <w:bookmarkStart w:id="77" w:name="_Ref3473366"/>
      <w:r>
        <w:t xml:space="preserve">All </w:t>
      </w:r>
      <w:r w:rsidR="00F72DAC">
        <w:t xml:space="preserve">property </w:t>
      </w:r>
      <w:r>
        <w:t xml:space="preserve">exposures where the </w:t>
      </w:r>
      <w:r w:rsidR="0086557A">
        <w:t xml:space="preserve">predominant </w:t>
      </w:r>
      <w:r>
        <w:t xml:space="preserve">property </w:t>
      </w:r>
      <w:r w:rsidR="0086557A">
        <w:t>security</w:t>
      </w:r>
      <w:r>
        <w:t xml:space="preserve"> is not fully completed must be included as ADC unless:</w:t>
      </w:r>
      <w:bookmarkEnd w:id="77"/>
    </w:p>
    <w:p w14:paraId="03F533A6" w14:textId="77777777" w:rsidR="00B8786A" w:rsidRDefault="00B8786A" w:rsidP="00B8786A">
      <w:pPr>
        <w:pStyle w:val="BodyText2"/>
      </w:pPr>
      <w:r>
        <w:t>the property is used predominantly for forest or agricultural purposes; or</w:t>
      </w:r>
    </w:p>
    <w:p w14:paraId="70CB2BC9" w14:textId="148FB3A8" w:rsidR="00B8786A" w:rsidRDefault="00B8786A" w:rsidP="00B8786A">
      <w:pPr>
        <w:pStyle w:val="BodyText2"/>
      </w:pPr>
      <w:r>
        <w:t>the loan is secured by residential property under construction</w:t>
      </w:r>
      <w:r w:rsidR="008D7FBC">
        <w:t>,</w:t>
      </w:r>
      <w:r>
        <w:t xml:space="preserve"> or by land upon which residential property will be constructed, where the property will be the primary residence of the borrower</w:t>
      </w:r>
      <w:r w:rsidR="00657FBA">
        <w:t>.</w:t>
      </w:r>
      <w:r>
        <w:t xml:space="preserve"> </w:t>
      </w:r>
    </w:p>
    <w:p w14:paraId="3D5BBEF9" w14:textId="596044F4" w:rsidR="00B8786A" w:rsidRDefault="00657FBA" w:rsidP="00B8786A">
      <w:pPr>
        <w:pStyle w:val="BodyText1"/>
      </w:pPr>
      <w:r>
        <w:t xml:space="preserve">An ADI </w:t>
      </w:r>
      <w:r w:rsidR="00E10400">
        <w:t xml:space="preserve">may </w:t>
      </w:r>
      <w:r>
        <w:t xml:space="preserve">apply a risk weight of 100 per cent to its </w:t>
      </w:r>
      <w:r w:rsidR="00B8786A">
        <w:t>ADC exposures</w:t>
      </w:r>
      <w:r w:rsidR="0061062F">
        <w:t xml:space="preserve"> </w:t>
      </w:r>
      <w:r w:rsidR="004109CD">
        <w:t xml:space="preserve">secured by </w:t>
      </w:r>
      <w:r w:rsidR="0061062F">
        <w:t>residential property</w:t>
      </w:r>
      <w:r w:rsidR="00B8786A">
        <w:t xml:space="preserve"> if the following conditions are met:</w:t>
      </w:r>
    </w:p>
    <w:p w14:paraId="03BA212A" w14:textId="35DB9FF5" w:rsidR="00B8786A" w:rsidRDefault="008C31B1" w:rsidP="00FC728A">
      <w:pPr>
        <w:pStyle w:val="BodyText2"/>
      </w:pPr>
      <w:r>
        <w:t>the exposure</w:t>
      </w:r>
      <w:r w:rsidR="00B8786A">
        <w:t xml:space="preserve"> meet</w:t>
      </w:r>
      <w:r>
        <w:t>s all of</w:t>
      </w:r>
      <w:r w:rsidR="00B8786A">
        <w:t xml:space="preserve"> the r</w:t>
      </w:r>
      <w:r w:rsidR="00657FBA">
        <w:t>equirements in</w:t>
      </w:r>
      <w:r w:rsidR="00AB3FCF">
        <w:t xml:space="preserve"> </w:t>
      </w:r>
      <w:r w:rsidR="00AB3FCF" w:rsidRPr="00B460AB">
        <w:t xml:space="preserve">paragraphs </w:t>
      </w:r>
      <w:r w:rsidR="00AB3FCF" w:rsidRPr="00B460AB">
        <w:fldChar w:fldCharType="begin"/>
      </w:r>
      <w:r w:rsidR="00AB3FCF" w:rsidRPr="00B460AB">
        <w:instrText xml:space="preserve"> REF _Ref3471313 \r \h  \* MERGEFORMAT </w:instrText>
      </w:r>
      <w:r w:rsidR="00AB3FCF" w:rsidRPr="00B460AB">
        <w:fldChar w:fldCharType="separate"/>
      </w:r>
      <w:r w:rsidR="0007706D">
        <w:t>3</w:t>
      </w:r>
      <w:r w:rsidR="00AB3FCF" w:rsidRPr="00B460AB">
        <w:fldChar w:fldCharType="end"/>
      </w:r>
      <w:r w:rsidR="009A6FA1">
        <w:t xml:space="preserve">, </w:t>
      </w:r>
      <w:r w:rsidR="009A6FA1">
        <w:fldChar w:fldCharType="begin"/>
      </w:r>
      <w:r w:rsidR="009A6FA1">
        <w:instrText xml:space="preserve"> REF _Ref54100645 \r \h </w:instrText>
      </w:r>
      <w:r w:rsidR="009A6FA1">
        <w:fldChar w:fldCharType="separate"/>
      </w:r>
      <w:r w:rsidR="0007706D">
        <w:t>4</w:t>
      </w:r>
      <w:r w:rsidR="009A6FA1">
        <w:fldChar w:fldCharType="end"/>
      </w:r>
      <w:r w:rsidR="009A6FA1">
        <w:t xml:space="preserve">, </w:t>
      </w:r>
      <w:r w:rsidR="009A6FA1">
        <w:fldChar w:fldCharType="begin"/>
      </w:r>
      <w:r w:rsidR="009A6FA1">
        <w:instrText xml:space="preserve"> REF _Ref54100649 \r \h </w:instrText>
      </w:r>
      <w:r w:rsidR="009A6FA1">
        <w:fldChar w:fldCharType="separate"/>
      </w:r>
      <w:r w:rsidR="0007706D">
        <w:t>6</w:t>
      </w:r>
      <w:r w:rsidR="009A6FA1">
        <w:fldChar w:fldCharType="end"/>
      </w:r>
      <w:r w:rsidR="00AB3FCF" w:rsidRPr="00B460AB">
        <w:t xml:space="preserve"> </w:t>
      </w:r>
      <w:r w:rsidR="009A6FA1">
        <w:t>and</w:t>
      </w:r>
      <w:r w:rsidR="00AB3FCF">
        <w:t xml:space="preserve"> </w:t>
      </w:r>
      <w:r w:rsidR="00AB3FCF">
        <w:fldChar w:fldCharType="begin"/>
      </w:r>
      <w:r w:rsidR="00AB3FCF">
        <w:instrText xml:space="preserve"> REF _Ref3471349 \r \h </w:instrText>
      </w:r>
      <w:r w:rsidR="00AB3FCF">
        <w:fldChar w:fldCharType="separate"/>
      </w:r>
      <w:r w:rsidR="0007706D">
        <w:t>7</w:t>
      </w:r>
      <w:r w:rsidR="00AB3FCF">
        <w:fldChar w:fldCharType="end"/>
      </w:r>
      <w:r w:rsidR="00840D63">
        <w:t xml:space="preserve"> of this Attachment; </w:t>
      </w:r>
    </w:p>
    <w:p w14:paraId="2F4861DC" w14:textId="4E195506" w:rsidR="00886042" w:rsidRDefault="00886042" w:rsidP="00FC728A">
      <w:pPr>
        <w:pStyle w:val="BodyText2"/>
      </w:pPr>
      <w:r>
        <w:t xml:space="preserve">total debt to qualifying development costs </w:t>
      </w:r>
      <w:r w:rsidR="004109CD">
        <w:t xml:space="preserve">are </w:t>
      </w:r>
      <w:r>
        <w:t>less than 75 per cent, where debt includes all debt facilities held by the borrower in relation to the underlying property;</w:t>
      </w:r>
    </w:p>
    <w:p w14:paraId="39D106A2" w14:textId="1A15866B" w:rsidR="00B8786A" w:rsidRDefault="00FC728A" w:rsidP="00C34013">
      <w:pPr>
        <w:pStyle w:val="BodyText2"/>
      </w:pPr>
      <w:r>
        <w:t>where</w:t>
      </w:r>
      <w:r w:rsidR="00B8786A">
        <w:t xml:space="preserve"> the exposure to the borrower is greater than $5</w:t>
      </w:r>
      <w:r w:rsidR="008C31B1">
        <w:t xml:space="preserve"> </w:t>
      </w:r>
      <w:r w:rsidR="00B8786A">
        <w:t>m</w:t>
      </w:r>
      <w:r w:rsidR="008C31B1">
        <w:t>illion</w:t>
      </w:r>
      <w:r w:rsidR="00B8786A">
        <w:t xml:space="preserve"> in aggregate</w:t>
      </w:r>
      <w:r w:rsidR="000350B0">
        <w:t xml:space="preserve"> for a single development</w:t>
      </w:r>
      <w:r w:rsidR="00B8786A">
        <w:t xml:space="preserve">, qualifying pre-sales for the underlying property </w:t>
      </w:r>
      <w:r w:rsidR="004109CD">
        <w:t xml:space="preserve">are </w:t>
      </w:r>
      <w:r w:rsidR="00105EF0">
        <w:t>at least equal to</w:t>
      </w:r>
      <w:r w:rsidR="00B8786A">
        <w:t xml:space="preserve"> 100 per cent of the </w:t>
      </w:r>
      <w:r w:rsidR="00C709B4">
        <w:t>total debt</w:t>
      </w:r>
      <w:r w:rsidR="00B8786A">
        <w:t>;</w:t>
      </w:r>
      <w:r w:rsidR="00886042">
        <w:t xml:space="preserve"> </w:t>
      </w:r>
      <w:r w:rsidR="00B8786A">
        <w:t>and</w:t>
      </w:r>
    </w:p>
    <w:p w14:paraId="22F84421" w14:textId="3D0F3ED8" w:rsidR="00B8786A" w:rsidRDefault="00B8786A" w:rsidP="00FC728A">
      <w:pPr>
        <w:pStyle w:val="BodyText2"/>
      </w:pPr>
      <w:r>
        <w:t xml:space="preserve">the </w:t>
      </w:r>
      <w:r w:rsidR="00510F2D">
        <w:t xml:space="preserve">ADI has a policy that defines qualifying pre-sales and </w:t>
      </w:r>
      <w:r w:rsidR="00C709B4">
        <w:t xml:space="preserve">qualifying </w:t>
      </w:r>
      <w:r w:rsidR="00510F2D">
        <w:t>development costs</w:t>
      </w:r>
      <w:r w:rsidR="0012026C">
        <w:t xml:space="preserve"> for the purpose of meeting the requirement</w:t>
      </w:r>
      <w:r w:rsidR="006922FE">
        <w:t>s</w:t>
      </w:r>
      <w:r w:rsidR="0012026C">
        <w:t xml:space="preserve"> under paragraph 29 of this Attachment</w:t>
      </w:r>
      <w:r>
        <w:t xml:space="preserve">. </w:t>
      </w:r>
      <w:r w:rsidR="001829E5">
        <w:t xml:space="preserve"> </w:t>
      </w:r>
    </w:p>
    <w:p w14:paraId="439B2B5B" w14:textId="77B907FB" w:rsidR="0029455F" w:rsidRPr="007D2D7F" w:rsidRDefault="00657FBA" w:rsidP="00D0134D">
      <w:pPr>
        <w:pStyle w:val="BodyText1"/>
      </w:pPr>
      <w:r>
        <w:t>An ADI must apply a risk weight of 150 per cent to a</w:t>
      </w:r>
      <w:r w:rsidR="00B8786A">
        <w:t xml:space="preserve">ll other ADC </w:t>
      </w:r>
      <w:r>
        <w:t>exposures</w:t>
      </w:r>
      <w:r w:rsidR="00B8786A">
        <w:t>.</w:t>
      </w:r>
    </w:p>
    <w:p w14:paraId="32DB1934" w14:textId="77777777" w:rsidR="007D2D7F" w:rsidRPr="00D05F05" w:rsidRDefault="007D2D7F" w:rsidP="0038413F">
      <w:pPr>
        <w:pStyle w:val="Heading2"/>
        <w:sectPr w:rsidR="007D2D7F" w:rsidRPr="00D05F05" w:rsidSect="000D63A8">
          <w:footerReference w:type="default" r:id="rId21"/>
          <w:pgSz w:w="11906" w:h="16838" w:code="9"/>
          <w:pgMar w:top="1440" w:right="1797" w:bottom="1440" w:left="1797" w:header="709" w:footer="709" w:gutter="0"/>
          <w:cols w:space="708"/>
          <w:docGrid w:linePitch="360"/>
        </w:sectPr>
      </w:pPr>
    </w:p>
    <w:p w14:paraId="1A629CE3" w14:textId="216C9B04" w:rsidR="0038413F" w:rsidRDefault="0038413F" w:rsidP="001F6B8D">
      <w:pPr>
        <w:pStyle w:val="Heading2"/>
      </w:pPr>
      <w:bookmarkStart w:id="78" w:name="_Toc454561347"/>
      <w:bookmarkStart w:id="79" w:name="_Toc87376641"/>
      <w:r>
        <w:lastRenderedPageBreak/>
        <w:t xml:space="preserve">Attachment </w:t>
      </w:r>
      <w:r w:rsidR="005B6DC2">
        <w:rPr>
          <w:rStyle w:val="Attachmentfieldtext"/>
        </w:rPr>
        <w:fldChar w:fldCharType="begin"/>
      </w:r>
      <w:r w:rsidR="005B6DC2">
        <w:rPr>
          <w:rStyle w:val="Attachmentfieldtext"/>
        </w:rPr>
        <w:instrText xml:space="preserve"> SEQ Attach \* ALPHABETIC \* MERGEFORMAT </w:instrText>
      </w:r>
      <w:r w:rsidR="005B6DC2">
        <w:rPr>
          <w:rStyle w:val="Attachmentfieldtext"/>
        </w:rPr>
        <w:fldChar w:fldCharType="separate"/>
      </w:r>
      <w:r w:rsidR="004F70DB">
        <w:rPr>
          <w:rStyle w:val="Attachmentfieldtext"/>
          <w:noProof/>
        </w:rPr>
        <w:t>B</w:t>
      </w:r>
      <w:r w:rsidR="005B6DC2">
        <w:rPr>
          <w:rStyle w:val="Attachmentfieldtext"/>
        </w:rPr>
        <w:fldChar w:fldCharType="end"/>
      </w:r>
      <w:r w:rsidR="001F6B8D">
        <w:rPr>
          <w:rStyle w:val="Attachmentfieldtext"/>
        </w:rPr>
        <w:t xml:space="preserve"> </w:t>
      </w:r>
      <w:r w:rsidR="0051062A">
        <w:rPr>
          <w:rStyle w:val="Attachmentfieldtext"/>
        </w:rPr>
        <w:t>–</w:t>
      </w:r>
      <w:r w:rsidR="001F6B8D">
        <w:rPr>
          <w:rStyle w:val="Attachmentfieldtext"/>
        </w:rPr>
        <w:t xml:space="preserve"> </w:t>
      </w:r>
      <w:bookmarkEnd w:id="78"/>
      <w:r w:rsidR="006B49CB">
        <w:rPr>
          <w:rStyle w:val="Attachmentfieldtext"/>
        </w:rPr>
        <w:t xml:space="preserve">Risk weights for </w:t>
      </w:r>
      <w:r w:rsidR="00510F2D">
        <w:t xml:space="preserve">non-property </w:t>
      </w:r>
      <w:r w:rsidR="0051062A">
        <w:t>exposures</w:t>
      </w:r>
      <w:bookmarkEnd w:id="79"/>
    </w:p>
    <w:p w14:paraId="275DA4A2" w14:textId="10BF9016" w:rsidR="00BC0E17" w:rsidRDefault="00CA397F" w:rsidP="000A4BE9">
      <w:pPr>
        <w:pStyle w:val="BodyText1"/>
        <w:numPr>
          <w:ilvl w:val="0"/>
          <w:numId w:val="13"/>
        </w:numPr>
      </w:pPr>
      <w:r>
        <w:t>An ADI must risk-weight all exposures that are not property exposures according to the requirements detailed in this Attachment</w:t>
      </w:r>
      <w:r w:rsidR="00BC0E17">
        <w:t>, with the exception of:</w:t>
      </w:r>
      <w:r>
        <w:t xml:space="preserve"> </w:t>
      </w:r>
    </w:p>
    <w:p w14:paraId="7B73B034" w14:textId="77777777" w:rsidR="00BC0E17" w:rsidRDefault="00BC0E17" w:rsidP="00BC0E17">
      <w:pPr>
        <w:pStyle w:val="BodyText2"/>
      </w:pPr>
      <w:r>
        <w:t>u</w:t>
      </w:r>
      <w:r w:rsidR="00B9675E">
        <w:t>nsettled and failed transactions</w:t>
      </w:r>
      <w:r>
        <w:t>, which</w:t>
      </w:r>
      <w:r w:rsidR="00B9675E">
        <w:t xml:space="preserve"> must be risk-weighted in accordance with Attachment D to this Prudential Standard</w:t>
      </w:r>
      <w:r>
        <w:t>;</w:t>
      </w:r>
      <w:r w:rsidR="00B9675E">
        <w:t xml:space="preserve"> and </w:t>
      </w:r>
    </w:p>
    <w:p w14:paraId="0D3335BD" w14:textId="200750E5" w:rsidR="00CA397F" w:rsidRDefault="00B9675E" w:rsidP="00BC0E17">
      <w:pPr>
        <w:pStyle w:val="BodyText2"/>
      </w:pPr>
      <w:r>
        <w:t xml:space="preserve">defaulted </w:t>
      </w:r>
      <w:r w:rsidR="00CA397F">
        <w:t>exposures</w:t>
      </w:r>
      <w:r w:rsidR="00BC0E17">
        <w:t>, which</w:t>
      </w:r>
      <w:r w:rsidR="00CA397F">
        <w:t xml:space="preserve"> must be risk-weighted in accordance with Attachment E to this Prudential Standard.</w:t>
      </w:r>
    </w:p>
    <w:p w14:paraId="6ACA60B0" w14:textId="53B71DCF" w:rsidR="00663C65" w:rsidRPr="00CA397F" w:rsidRDefault="00663C65" w:rsidP="000A4BE9">
      <w:pPr>
        <w:pStyle w:val="BodyText1"/>
        <w:numPr>
          <w:ilvl w:val="0"/>
          <w:numId w:val="13"/>
        </w:numPr>
      </w:pPr>
      <w:r>
        <w:t xml:space="preserve">Where this Attachment requires an ADI to assign risk weights based on </w:t>
      </w:r>
      <w:r w:rsidR="00E072D6">
        <w:t xml:space="preserve">external </w:t>
      </w:r>
      <w:r>
        <w:t>credit rating</w:t>
      </w:r>
      <w:r w:rsidR="00E072D6">
        <w:t>s</w:t>
      </w:r>
      <w:r>
        <w:t xml:space="preserve">, </w:t>
      </w:r>
      <w:r w:rsidR="003F292C">
        <w:t xml:space="preserve">an ADI must also comply with the requirements set out in Attachment F to this Prudential Standard. </w:t>
      </w:r>
    </w:p>
    <w:p w14:paraId="54295E65" w14:textId="77777777" w:rsidR="00FE646F" w:rsidRDefault="00FE646F" w:rsidP="00736D65">
      <w:pPr>
        <w:pStyle w:val="Heading1"/>
      </w:pPr>
      <w:bookmarkStart w:id="80" w:name="_Toc4489883"/>
      <w:r>
        <w:t>Sovereign exposures</w:t>
      </w:r>
      <w:bookmarkEnd w:id="80"/>
    </w:p>
    <w:p w14:paraId="52172FCB" w14:textId="77777777" w:rsidR="006B342E" w:rsidRDefault="006B342E" w:rsidP="000A4BE9">
      <w:pPr>
        <w:pStyle w:val="BodyText1"/>
        <w:numPr>
          <w:ilvl w:val="0"/>
          <w:numId w:val="13"/>
        </w:numPr>
      </w:pPr>
      <w:bookmarkStart w:id="81" w:name="_Ref3471121"/>
      <w:r>
        <w:t>A sovereign exposure includes:</w:t>
      </w:r>
      <w:bookmarkEnd w:id="81"/>
      <w:r>
        <w:t xml:space="preserve"> </w:t>
      </w:r>
    </w:p>
    <w:p w14:paraId="5E915630" w14:textId="13D22AF8" w:rsidR="006B342E" w:rsidRDefault="006B342E" w:rsidP="00D5525A">
      <w:pPr>
        <w:pStyle w:val="BodyText2"/>
      </w:pPr>
      <w:bookmarkStart w:id="82" w:name="_Ref3473709"/>
      <w:r>
        <w:t>all exposures to Australian and overseas central and subnational governments, where a subnational government is defined as a government of a geographica</w:t>
      </w:r>
      <w:r w:rsidR="00BF419A">
        <w:t xml:space="preserve">lly defined part of a state </w:t>
      </w:r>
      <w:r>
        <w:t xml:space="preserve">which has powers to raise </w:t>
      </w:r>
      <w:r w:rsidR="00510F2D">
        <w:t xml:space="preserve">revenue </w:t>
      </w:r>
      <w:r>
        <w:t>and borrow money;</w:t>
      </w:r>
      <w:bookmarkEnd w:id="82"/>
    </w:p>
    <w:p w14:paraId="08A4484E" w14:textId="77777777" w:rsidR="00FE646F" w:rsidRDefault="006B342E" w:rsidP="00D5525A">
      <w:pPr>
        <w:pStyle w:val="BodyText2"/>
      </w:pPr>
      <w:r>
        <w:t xml:space="preserve">all exposures to </w:t>
      </w:r>
      <w:r w:rsidR="005F6225">
        <w:t xml:space="preserve">the Reserve Bank of Australia and overseas </w:t>
      </w:r>
      <w:r>
        <w:t>central banks</w:t>
      </w:r>
      <w:r w:rsidR="005F6225">
        <w:t>, where a central bank is defined as an entity which is responsible for overseeing and implementing the monetary policy of a state or group of states;</w:t>
      </w:r>
      <w:r w:rsidR="00BD2192">
        <w:t xml:space="preserve"> and</w:t>
      </w:r>
    </w:p>
    <w:p w14:paraId="21769C26" w14:textId="32FF6604" w:rsidR="005F6225" w:rsidRDefault="00510F2D" w:rsidP="00D5525A">
      <w:pPr>
        <w:pStyle w:val="BodyText2"/>
      </w:pPr>
      <w:bookmarkStart w:id="83" w:name="_Ref3473736"/>
      <w:bookmarkStart w:id="84" w:name="_Ref3473775"/>
      <w:r>
        <w:t xml:space="preserve">all </w:t>
      </w:r>
      <w:r w:rsidR="00BD2192">
        <w:t>exposures to institutions and multilateral development banks eligible for a zero per cent risk weight.</w:t>
      </w:r>
      <w:r w:rsidR="00CB207C">
        <w:rPr>
          <w:rStyle w:val="FootnoteReference"/>
        </w:rPr>
        <w:footnoteReference w:id="7"/>
      </w:r>
      <w:bookmarkEnd w:id="83"/>
      <w:bookmarkEnd w:id="84"/>
    </w:p>
    <w:p w14:paraId="5E51200A" w14:textId="222928E4" w:rsidR="0040347C" w:rsidRDefault="0040347C" w:rsidP="0040347C">
      <w:pPr>
        <w:pStyle w:val="BodyText1"/>
      </w:pPr>
      <w:r>
        <w:t xml:space="preserve">An ADI must apply the risk weights in </w:t>
      </w:r>
      <w:r w:rsidR="00420373">
        <w:rPr>
          <w:highlight w:val="yellow"/>
        </w:rPr>
        <w:fldChar w:fldCharType="begin"/>
      </w:r>
      <w:r w:rsidR="00420373">
        <w:instrText xml:space="preserve"> REF _Ref3964471 \n \h </w:instrText>
      </w:r>
      <w:r w:rsidR="00420373">
        <w:rPr>
          <w:highlight w:val="yellow"/>
        </w:rPr>
      </w:r>
      <w:r w:rsidR="00420373">
        <w:rPr>
          <w:highlight w:val="yellow"/>
        </w:rPr>
        <w:fldChar w:fldCharType="separate"/>
      </w:r>
      <w:r w:rsidR="0007706D">
        <w:t>Table 5</w:t>
      </w:r>
      <w:r w:rsidR="00420373">
        <w:rPr>
          <w:highlight w:val="yellow"/>
        </w:rPr>
        <w:fldChar w:fldCharType="end"/>
      </w:r>
      <w:r>
        <w:t xml:space="preserve"> to its sovereign exposures</w:t>
      </w:r>
      <w:r w:rsidR="00FC23C9">
        <w:t xml:space="preserve">, based on the </w:t>
      </w:r>
      <w:r w:rsidR="00263E12">
        <w:t xml:space="preserve">external </w:t>
      </w:r>
      <w:r w:rsidR="00EC7A62">
        <w:t xml:space="preserve">credit </w:t>
      </w:r>
      <w:r w:rsidR="00510F2D">
        <w:t xml:space="preserve">rating </w:t>
      </w:r>
      <w:r w:rsidR="00FC23C9">
        <w:t>of the sovereign</w:t>
      </w:r>
      <w:r w:rsidR="001903A7">
        <w:t xml:space="preserve">, with the exception of those </w:t>
      </w:r>
      <w:r w:rsidR="00D3332A">
        <w:t xml:space="preserve">sovereign exposures eligible for a zero per cent </w:t>
      </w:r>
      <w:r w:rsidR="00542262">
        <w:t xml:space="preserve">risk weight under paragraph </w:t>
      </w:r>
      <w:r w:rsidR="00542262">
        <w:fldChar w:fldCharType="begin"/>
      </w:r>
      <w:r w:rsidR="00542262">
        <w:instrText xml:space="preserve"> REF _Ref3473736 \r \h </w:instrText>
      </w:r>
      <w:r w:rsidR="00542262">
        <w:fldChar w:fldCharType="separate"/>
      </w:r>
      <w:r w:rsidR="0007706D">
        <w:t>3(c)</w:t>
      </w:r>
      <w:r w:rsidR="00542262">
        <w:fldChar w:fldCharType="end"/>
      </w:r>
      <w:r w:rsidR="00D3332A">
        <w:t xml:space="preserve"> of this Attachment</w:t>
      </w:r>
      <w:r>
        <w:t>.</w:t>
      </w:r>
    </w:p>
    <w:p w14:paraId="69470F59" w14:textId="4EE710E6" w:rsidR="0040347C" w:rsidRPr="0040347C" w:rsidRDefault="00DF7A0C" w:rsidP="00DF7A0C">
      <w:pPr>
        <w:pStyle w:val="TableHeadNumber"/>
      </w:pPr>
      <w:bookmarkStart w:id="85" w:name="_Ref3964471"/>
      <w:r>
        <w:lastRenderedPageBreak/>
        <w:t>R</w:t>
      </w:r>
      <w:r w:rsidR="00AC4CB6" w:rsidRPr="00542262">
        <w:t xml:space="preserve">isk weights for </w:t>
      </w:r>
      <w:r w:rsidR="0040347C" w:rsidRPr="00542262">
        <w:t>sovereign exposures</w:t>
      </w:r>
      <w:bookmarkEnd w:id="85"/>
    </w:p>
    <w:tbl>
      <w:tblPr>
        <w:tblStyle w:val="TableGrid"/>
        <w:tblW w:w="0" w:type="auto"/>
        <w:tblLook w:val="04A0" w:firstRow="1" w:lastRow="0" w:firstColumn="1" w:lastColumn="0" w:noHBand="0" w:noVBand="1"/>
      </w:tblPr>
      <w:tblGrid>
        <w:gridCol w:w="1975"/>
        <w:gridCol w:w="1050"/>
        <w:gridCol w:w="1052"/>
        <w:gridCol w:w="1052"/>
        <w:gridCol w:w="1051"/>
        <w:gridCol w:w="1052"/>
        <w:gridCol w:w="1070"/>
      </w:tblGrid>
      <w:tr w:rsidR="0040347C" w14:paraId="0EBFB246" w14:textId="77777777" w:rsidTr="00056816">
        <w:tc>
          <w:tcPr>
            <w:tcW w:w="1980" w:type="dxa"/>
          </w:tcPr>
          <w:p w14:paraId="6624C2DD" w14:textId="77777777" w:rsidR="0040347C" w:rsidRPr="00964D2F" w:rsidRDefault="0040347C" w:rsidP="00C65A4F">
            <w:pPr>
              <w:keepNext/>
              <w:spacing w:before="60" w:after="60"/>
              <w:rPr>
                <w:b/>
              </w:rPr>
            </w:pPr>
            <w:r w:rsidRPr="00964D2F">
              <w:rPr>
                <w:b/>
              </w:rPr>
              <w:t>Credit rating grade</w:t>
            </w:r>
          </w:p>
        </w:tc>
        <w:tc>
          <w:tcPr>
            <w:tcW w:w="1053" w:type="dxa"/>
            <w:vAlign w:val="center"/>
          </w:tcPr>
          <w:p w14:paraId="2B5489F4" w14:textId="77777777" w:rsidR="0040347C" w:rsidRPr="00964D2F" w:rsidRDefault="0040347C" w:rsidP="00C65A4F">
            <w:pPr>
              <w:keepNext/>
              <w:spacing w:before="60" w:after="60"/>
              <w:jc w:val="center"/>
              <w:rPr>
                <w:b/>
              </w:rPr>
            </w:pPr>
            <w:r w:rsidRPr="00964D2F">
              <w:rPr>
                <w:b/>
              </w:rPr>
              <w:t>1</w:t>
            </w:r>
          </w:p>
        </w:tc>
        <w:tc>
          <w:tcPr>
            <w:tcW w:w="1054" w:type="dxa"/>
            <w:vAlign w:val="center"/>
          </w:tcPr>
          <w:p w14:paraId="653D1E2B" w14:textId="77777777" w:rsidR="0040347C" w:rsidRPr="00964D2F" w:rsidRDefault="0040347C" w:rsidP="00C65A4F">
            <w:pPr>
              <w:keepNext/>
              <w:spacing w:before="60" w:after="60"/>
              <w:jc w:val="center"/>
              <w:rPr>
                <w:b/>
              </w:rPr>
            </w:pPr>
            <w:r w:rsidRPr="00964D2F">
              <w:rPr>
                <w:b/>
              </w:rPr>
              <w:t>2</w:t>
            </w:r>
          </w:p>
        </w:tc>
        <w:tc>
          <w:tcPr>
            <w:tcW w:w="1054" w:type="dxa"/>
            <w:vAlign w:val="center"/>
          </w:tcPr>
          <w:p w14:paraId="74BB513A" w14:textId="77777777" w:rsidR="0040347C" w:rsidRPr="00964D2F" w:rsidRDefault="0040347C" w:rsidP="00C65A4F">
            <w:pPr>
              <w:keepNext/>
              <w:spacing w:before="60" w:after="60"/>
              <w:jc w:val="center"/>
              <w:rPr>
                <w:b/>
              </w:rPr>
            </w:pPr>
            <w:r w:rsidRPr="00964D2F">
              <w:rPr>
                <w:b/>
              </w:rPr>
              <w:t>3</w:t>
            </w:r>
          </w:p>
        </w:tc>
        <w:tc>
          <w:tcPr>
            <w:tcW w:w="1053" w:type="dxa"/>
            <w:vAlign w:val="center"/>
          </w:tcPr>
          <w:p w14:paraId="512816B4" w14:textId="77777777" w:rsidR="0040347C" w:rsidRPr="00964D2F" w:rsidRDefault="0040347C" w:rsidP="00C65A4F">
            <w:pPr>
              <w:keepNext/>
              <w:spacing w:before="60" w:after="60"/>
              <w:jc w:val="center"/>
              <w:rPr>
                <w:b/>
              </w:rPr>
            </w:pPr>
            <w:r w:rsidRPr="00964D2F">
              <w:rPr>
                <w:b/>
              </w:rPr>
              <w:t>4, 5</w:t>
            </w:r>
          </w:p>
        </w:tc>
        <w:tc>
          <w:tcPr>
            <w:tcW w:w="1054" w:type="dxa"/>
            <w:vAlign w:val="center"/>
          </w:tcPr>
          <w:p w14:paraId="09FBE251" w14:textId="77777777" w:rsidR="0040347C" w:rsidRPr="00964D2F" w:rsidRDefault="0040347C" w:rsidP="00C65A4F">
            <w:pPr>
              <w:keepNext/>
              <w:spacing w:before="60" w:after="60"/>
              <w:jc w:val="center"/>
              <w:rPr>
                <w:b/>
              </w:rPr>
            </w:pPr>
            <w:r w:rsidRPr="00964D2F">
              <w:rPr>
                <w:b/>
              </w:rPr>
              <w:t>6</w:t>
            </w:r>
          </w:p>
        </w:tc>
        <w:tc>
          <w:tcPr>
            <w:tcW w:w="1054" w:type="dxa"/>
            <w:vAlign w:val="center"/>
          </w:tcPr>
          <w:p w14:paraId="1F25F89F" w14:textId="0AFEB62E" w:rsidR="0040347C" w:rsidRPr="00964D2F" w:rsidRDefault="0040347C" w:rsidP="00C65A4F">
            <w:pPr>
              <w:keepNext/>
              <w:spacing w:before="60" w:after="60"/>
              <w:jc w:val="center"/>
              <w:rPr>
                <w:b/>
              </w:rPr>
            </w:pPr>
            <w:r w:rsidRPr="00964D2F">
              <w:rPr>
                <w:b/>
              </w:rPr>
              <w:t>Unrated</w:t>
            </w:r>
          </w:p>
        </w:tc>
      </w:tr>
      <w:tr w:rsidR="0040347C" w14:paraId="16B0A558" w14:textId="77777777" w:rsidTr="0040347C">
        <w:tc>
          <w:tcPr>
            <w:tcW w:w="1980" w:type="dxa"/>
          </w:tcPr>
          <w:p w14:paraId="6B26D7FB" w14:textId="77777777" w:rsidR="0040347C" w:rsidRPr="00964D2F" w:rsidRDefault="0040347C" w:rsidP="00C65A4F">
            <w:pPr>
              <w:keepNext/>
              <w:spacing w:before="60" w:after="60"/>
              <w:rPr>
                <w:b/>
              </w:rPr>
            </w:pPr>
            <w:r w:rsidRPr="00964D2F">
              <w:rPr>
                <w:b/>
              </w:rPr>
              <w:t>Risk weigh</w:t>
            </w:r>
            <w:r w:rsidR="00FC23C9" w:rsidRPr="00964D2F">
              <w:rPr>
                <w:b/>
              </w:rPr>
              <w:t>t</w:t>
            </w:r>
            <w:r w:rsidRPr="00964D2F">
              <w:rPr>
                <w:b/>
              </w:rPr>
              <w:t xml:space="preserve"> (%)</w:t>
            </w:r>
          </w:p>
        </w:tc>
        <w:tc>
          <w:tcPr>
            <w:tcW w:w="1053" w:type="dxa"/>
          </w:tcPr>
          <w:p w14:paraId="4C38ACFF" w14:textId="77777777" w:rsidR="0040347C" w:rsidRDefault="0040347C" w:rsidP="00C65A4F">
            <w:pPr>
              <w:keepNext/>
              <w:spacing w:before="60" w:after="60"/>
              <w:jc w:val="center"/>
            </w:pPr>
            <w:r>
              <w:t>0</w:t>
            </w:r>
          </w:p>
        </w:tc>
        <w:tc>
          <w:tcPr>
            <w:tcW w:w="1054" w:type="dxa"/>
          </w:tcPr>
          <w:p w14:paraId="3551935F" w14:textId="77777777" w:rsidR="0040347C" w:rsidRDefault="0040347C" w:rsidP="00C65A4F">
            <w:pPr>
              <w:keepNext/>
              <w:spacing w:before="60" w:after="60"/>
              <w:jc w:val="center"/>
            </w:pPr>
            <w:r>
              <w:t>20</w:t>
            </w:r>
          </w:p>
        </w:tc>
        <w:tc>
          <w:tcPr>
            <w:tcW w:w="1054" w:type="dxa"/>
          </w:tcPr>
          <w:p w14:paraId="158F6A19" w14:textId="77777777" w:rsidR="0040347C" w:rsidRDefault="0040347C" w:rsidP="00C65A4F">
            <w:pPr>
              <w:keepNext/>
              <w:spacing w:before="60" w:after="60"/>
              <w:jc w:val="center"/>
            </w:pPr>
            <w:r>
              <w:t>50</w:t>
            </w:r>
          </w:p>
        </w:tc>
        <w:tc>
          <w:tcPr>
            <w:tcW w:w="1053" w:type="dxa"/>
          </w:tcPr>
          <w:p w14:paraId="39E5F89B" w14:textId="77777777" w:rsidR="0040347C" w:rsidRDefault="0040347C" w:rsidP="00C65A4F">
            <w:pPr>
              <w:keepNext/>
              <w:spacing w:before="60" w:after="60"/>
              <w:jc w:val="center"/>
            </w:pPr>
            <w:r>
              <w:t>100</w:t>
            </w:r>
          </w:p>
        </w:tc>
        <w:tc>
          <w:tcPr>
            <w:tcW w:w="1054" w:type="dxa"/>
          </w:tcPr>
          <w:p w14:paraId="467F1CA3" w14:textId="77777777" w:rsidR="0040347C" w:rsidRDefault="0040347C" w:rsidP="00C65A4F">
            <w:pPr>
              <w:keepNext/>
              <w:spacing w:before="60" w:after="60"/>
              <w:jc w:val="center"/>
            </w:pPr>
            <w:r>
              <w:t>150</w:t>
            </w:r>
          </w:p>
        </w:tc>
        <w:tc>
          <w:tcPr>
            <w:tcW w:w="1054" w:type="dxa"/>
          </w:tcPr>
          <w:p w14:paraId="157A7A40" w14:textId="77777777" w:rsidR="0040347C" w:rsidRDefault="0040347C" w:rsidP="00C65A4F">
            <w:pPr>
              <w:keepNext/>
              <w:spacing w:before="60" w:after="60"/>
              <w:jc w:val="center"/>
            </w:pPr>
            <w:r>
              <w:t>100</w:t>
            </w:r>
          </w:p>
        </w:tc>
      </w:tr>
    </w:tbl>
    <w:p w14:paraId="11C3EE5F" w14:textId="77777777" w:rsidR="0040347C" w:rsidRDefault="0040347C" w:rsidP="00636338">
      <w:pPr>
        <w:spacing w:after="120"/>
      </w:pPr>
    </w:p>
    <w:p w14:paraId="249C7E57" w14:textId="0CEAC79A" w:rsidR="00CA7545" w:rsidRDefault="00CA7545" w:rsidP="00CA7545">
      <w:pPr>
        <w:pStyle w:val="BodyText1"/>
      </w:pPr>
      <w:r>
        <w:t xml:space="preserve">Exposures to the Australian Government and Reserve Bank of Australia that are denominated and funded in Australian dollars </w:t>
      </w:r>
      <w:r w:rsidR="00510F2D">
        <w:t>may</w:t>
      </w:r>
      <w:r>
        <w:t xml:space="preserve"> be risk-weighted at zero per cent.</w:t>
      </w:r>
      <w:r w:rsidR="00D85062">
        <w:t xml:space="preserve"> </w:t>
      </w:r>
    </w:p>
    <w:p w14:paraId="7DF884ED" w14:textId="10952C2E" w:rsidR="00DF4401" w:rsidRPr="0086725F" w:rsidRDefault="00510F2D" w:rsidP="00DF4401">
      <w:pPr>
        <w:pStyle w:val="Heading1"/>
      </w:pPr>
      <w:bookmarkStart w:id="86" w:name="_Toc4489884"/>
      <w:r>
        <w:t xml:space="preserve">Domestic public </w:t>
      </w:r>
      <w:r w:rsidR="00DF4401">
        <w:t>sector entities</w:t>
      </w:r>
      <w:bookmarkEnd w:id="86"/>
    </w:p>
    <w:p w14:paraId="22A7A28E" w14:textId="07816964" w:rsidR="00CA7545" w:rsidRDefault="0019779A" w:rsidP="00CA7545">
      <w:pPr>
        <w:pStyle w:val="BodyText1"/>
      </w:pPr>
      <w:bookmarkStart w:id="87" w:name="_Ref10799245"/>
      <w:r>
        <w:t xml:space="preserve">An ADI must apply the risk weights in </w:t>
      </w:r>
      <w:r>
        <w:rPr>
          <w:highlight w:val="yellow"/>
        </w:rPr>
        <w:fldChar w:fldCharType="begin"/>
      </w:r>
      <w:r>
        <w:instrText xml:space="preserve"> REF _Ref3964508 \n \h </w:instrText>
      </w:r>
      <w:r>
        <w:rPr>
          <w:highlight w:val="yellow"/>
        </w:rPr>
      </w:r>
      <w:r>
        <w:rPr>
          <w:highlight w:val="yellow"/>
        </w:rPr>
        <w:fldChar w:fldCharType="separate"/>
      </w:r>
      <w:r w:rsidR="0007706D">
        <w:t>Table 6</w:t>
      </w:r>
      <w:r>
        <w:rPr>
          <w:highlight w:val="yellow"/>
        </w:rPr>
        <w:fldChar w:fldCharType="end"/>
      </w:r>
      <w:r>
        <w:t xml:space="preserve"> to its </w:t>
      </w:r>
      <w:r w:rsidR="00600A4E">
        <w:t xml:space="preserve">exposures </w:t>
      </w:r>
      <w:r w:rsidR="00CA7545">
        <w:t xml:space="preserve">to </w:t>
      </w:r>
      <w:r w:rsidR="00510F2D">
        <w:t xml:space="preserve">domestic </w:t>
      </w:r>
      <w:r w:rsidR="00CA7545">
        <w:t>public sector entities</w:t>
      </w:r>
      <w:r w:rsidR="0030481D">
        <w:t xml:space="preserve"> (PSEs)</w:t>
      </w:r>
      <w:r w:rsidR="00CA7545">
        <w:t xml:space="preserve"> that do not meet the definition of a sovereign exposure</w:t>
      </w:r>
      <w:r w:rsidR="00263E12">
        <w:t xml:space="preserve">, </w:t>
      </w:r>
      <w:r w:rsidR="00FC23C9">
        <w:t xml:space="preserve">based on the </w:t>
      </w:r>
      <w:r w:rsidR="00263E12">
        <w:t xml:space="preserve">external </w:t>
      </w:r>
      <w:r w:rsidR="000607C6">
        <w:t xml:space="preserve">credit rating </w:t>
      </w:r>
      <w:r w:rsidR="00FC23C9">
        <w:t xml:space="preserve">of the </w:t>
      </w:r>
      <w:r w:rsidR="00510F2D">
        <w:t xml:space="preserve">domestic </w:t>
      </w:r>
      <w:r w:rsidR="00F50330">
        <w:t>PSE</w:t>
      </w:r>
      <w:r w:rsidR="00CA7545">
        <w:t>.</w:t>
      </w:r>
      <w:bookmarkEnd w:id="87"/>
      <w:r w:rsidR="00CA7545">
        <w:t xml:space="preserve"> </w:t>
      </w:r>
    </w:p>
    <w:p w14:paraId="1413D7FD" w14:textId="34830E7D" w:rsidR="00CA7545" w:rsidRPr="00FC23C9" w:rsidRDefault="0099752B" w:rsidP="0099752B">
      <w:pPr>
        <w:pStyle w:val="TableHeadNumber"/>
      </w:pPr>
      <w:bookmarkStart w:id="88" w:name="_Ref3964508"/>
      <w:r>
        <w:t>Risk</w:t>
      </w:r>
      <w:r w:rsidR="00AC4CB6" w:rsidRPr="00542262">
        <w:t xml:space="preserve"> weights for</w:t>
      </w:r>
      <w:r w:rsidR="00510F2D" w:rsidRPr="00542262">
        <w:t xml:space="preserve"> domestic</w:t>
      </w:r>
      <w:r w:rsidR="00AC4CB6" w:rsidRPr="00542262">
        <w:t xml:space="preserve"> </w:t>
      </w:r>
      <w:bookmarkEnd w:id="88"/>
      <w:r w:rsidR="0030481D">
        <w:t>PSEs</w:t>
      </w:r>
    </w:p>
    <w:tbl>
      <w:tblPr>
        <w:tblStyle w:val="TableGrid"/>
        <w:tblW w:w="0" w:type="auto"/>
        <w:tblLook w:val="04A0" w:firstRow="1" w:lastRow="0" w:firstColumn="1" w:lastColumn="0" w:noHBand="0" w:noVBand="1"/>
      </w:tblPr>
      <w:tblGrid>
        <w:gridCol w:w="1974"/>
        <w:gridCol w:w="1051"/>
        <w:gridCol w:w="1052"/>
        <w:gridCol w:w="1052"/>
        <w:gridCol w:w="1051"/>
        <w:gridCol w:w="1052"/>
        <w:gridCol w:w="1070"/>
      </w:tblGrid>
      <w:tr w:rsidR="00FC23C9" w14:paraId="030045AE" w14:textId="77777777" w:rsidTr="00056816">
        <w:tc>
          <w:tcPr>
            <w:tcW w:w="1980" w:type="dxa"/>
          </w:tcPr>
          <w:p w14:paraId="5851B371" w14:textId="77777777" w:rsidR="00FC23C9" w:rsidRPr="00964D2F" w:rsidRDefault="00FC23C9" w:rsidP="00C65A4F">
            <w:pPr>
              <w:keepNext/>
              <w:spacing w:before="60" w:after="60"/>
              <w:rPr>
                <w:b/>
              </w:rPr>
            </w:pPr>
            <w:r w:rsidRPr="00964D2F">
              <w:rPr>
                <w:b/>
              </w:rPr>
              <w:t>Credit rating grade</w:t>
            </w:r>
          </w:p>
        </w:tc>
        <w:tc>
          <w:tcPr>
            <w:tcW w:w="1053" w:type="dxa"/>
            <w:vAlign w:val="center"/>
          </w:tcPr>
          <w:p w14:paraId="515DC82C" w14:textId="77777777" w:rsidR="00FC23C9" w:rsidRPr="00964D2F" w:rsidRDefault="00FC23C9" w:rsidP="00C65A4F">
            <w:pPr>
              <w:keepNext/>
              <w:spacing w:before="60" w:after="60"/>
              <w:jc w:val="center"/>
              <w:rPr>
                <w:b/>
              </w:rPr>
            </w:pPr>
            <w:r w:rsidRPr="00964D2F">
              <w:rPr>
                <w:b/>
              </w:rPr>
              <w:t>1</w:t>
            </w:r>
          </w:p>
        </w:tc>
        <w:tc>
          <w:tcPr>
            <w:tcW w:w="1054" w:type="dxa"/>
            <w:vAlign w:val="center"/>
          </w:tcPr>
          <w:p w14:paraId="15D51CD3" w14:textId="77777777" w:rsidR="00FC23C9" w:rsidRPr="00964D2F" w:rsidRDefault="00FC23C9" w:rsidP="00C65A4F">
            <w:pPr>
              <w:keepNext/>
              <w:spacing w:before="60" w:after="60"/>
              <w:jc w:val="center"/>
              <w:rPr>
                <w:b/>
              </w:rPr>
            </w:pPr>
            <w:r w:rsidRPr="00964D2F">
              <w:rPr>
                <w:b/>
              </w:rPr>
              <w:t>2</w:t>
            </w:r>
          </w:p>
        </w:tc>
        <w:tc>
          <w:tcPr>
            <w:tcW w:w="1054" w:type="dxa"/>
            <w:vAlign w:val="center"/>
          </w:tcPr>
          <w:p w14:paraId="2BBF8027" w14:textId="77777777" w:rsidR="00FC23C9" w:rsidRPr="00964D2F" w:rsidRDefault="00FC23C9" w:rsidP="00C65A4F">
            <w:pPr>
              <w:keepNext/>
              <w:spacing w:before="60" w:after="60"/>
              <w:jc w:val="center"/>
              <w:rPr>
                <w:b/>
              </w:rPr>
            </w:pPr>
            <w:r w:rsidRPr="00964D2F">
              <w:rPr>
                <w:b/>
              </w:rPr>
              <w:t>3</w:t>
            </w:r>
          </w:p>
        </w:tc>
        <w:tc>
          <w:tcPr>
            <w:tcW w:w="1053" w:type="dxa"/>
            <w:vAlign w:val="center"/>
          </w:tcPr>
          <w:p w14:paraId="6CA4262A" w14:textId="77777777" w:rsidR="00FC23C9" w:rsidRPr="00964D2F" w:rsidRDefault="00FC23C9" w:rsidP="00C65A4F">
            <w:pPr>
              <w:keepNext/>
              <w:spacing w:before="60" w:after="60"/>
              <w:jc w:val="center"/>
              <w:rPr>
                <w:b/>
              </w:rPr>
            </w:pPr>
            <w:r w:rsidRPr="00964D2F">
              <w:rPr>
                <w:b/>
              </w:rPr>
              <w:t>4, 5</w:t>
            </w:r>
          </w:p>
        </w:tc>
        <w:tc>
          <w:tcPr>
            <w:tcW w:w="1054" w:type="dxa"/>
            <w:vAlign w:val="center"/>
          </w:tcPr>
          <w:p w14:paraId="70591CD4" w14:textId="77777777" w:rsidR="00FC23C9" w:rsidRPr="00964D2F" w:rsidRDefault="00FC23C9" w:rsidP="00C65A4F">
            <w:pPr>
              <w:keepNext/>
              <w:spacing w:before="60" w:after="60"/>
              <w:jc w:val="center"/>
              <w:rPr>
                <w:b/>
              </w:rPr>
            </w:pPr>
            <w:r w:rsidRPr="00964D2F">
              <w:rPr>
                <w:b/>
              </w:rPr>
              <w:t>6</w:t>
            </w:r>
          </w:p>
        </w:tc>
        <w:tc>
          <w:tcPr>
            <w:tcW w:w="1054" w:type="dxa"/>
            <w:vAlign w:val="center"/>
          </w:tcPr>
          <w:p w14:paraId="25B3EFB9" w14:textId="77777777" w:rsidR="00FC23C9" w:rsidRPr="00964D2F" w:rsidRDefault="00FC23C9" w:rsidP="00C65A4F">
            <w:pPr>
              <w:keepNext/>
              <w:spacing w:before="60" w:after="60"/>
              <w:jc w:val="center"/>
              <w:rPr>
                <w:b/>
              </w:rPr>
            </w:pPr>
            <w:r w:rsidRPr="00964D2F">
              <w:rPr>
                <w:b/>
              </w:rPr>
              <w:t>Unrated</w:t>
            </w:r>
          </w:p>
        </w:tc>
      </w:tr>
      <w:tr w:rsidR="00FC23C9" w14:paraId="39B5EF7A" w14:textId="77777777" w:rsidTr="00113DBC">
        <w:tc>
          <w:tcPr>
            <w:tcW w:w="1980" w:type="dxa"/>
          </w:tcPr>
          <w:p w14:paraId="3C7DE3E7" w14:textId="77777777" w:rsidR="00FC23C9" w:rsidRPr="00964D2F" w:rsidRDefault="00FC23C9" w:rsidP="00C65A4F">
            <w:pPr>
              <w:keepNext/>
              <w:spacing w:before="60" w:after="60"/>
              <w:rPr>
                <w:b/>
              </w:rPr>
            </w:pPr>
            <w:r w:rsidRPr="00964D2F">
              <w:rPr>
                <w:b/>
              </w:rPr>
              <w:t>Risk weight (%)</w:t>
            </w:r>
          </w:p>
        </w:tc>
        <w:tc>
          <w:tcPr>
            <w:tcW w:w="1053" w:type="dxa"/>
          </w:tcPr>
          <w:p w14:paraId="449CD788" w14:textId="77777777" w:rsidR="00FC23C9" w:rsidRDefault="001367E5" w:rsidP="00C65A4F">
            <w:pPr>
              <w:keepNext/>
              <w:spacing w:before="60" w:after="60"/>
              <w:jc w:val="center"/>
            </w:pPr>
            <w:r>
              <w:t>20</w:t>
            </w:r>
          </w:p>
        </w:tc>
        <w:tc>
          <w:tcPr>
            <w:tcW w:w="1054" w:type="dxa"/>
          </w:tcPr>
          <w:p w14:paraId="5005593E" w14:textId="77777777" w:rsidR="00FC23C9" w:rsidRDefault="001367E5" w:rsidP="00C65A4F">
            <w:pPr>
              <w:keepNext/>
              <w:spacing w:before="60" w:after="60"/>
              <w:jc w:val="center"/>
            </w:pPr>
            <w:r>
              <w:t>5</w:t>
            </w:r>
            <w:r w:rsidR="00FC23C9">
              <w:t>0</w:t>
            </w:r>
          </w:p>
        </w:tc>
        <w:tc>
          <w:tcPr>
            <w:tcW w:w="1054" w:type="dxa"/>
          </w:tcPr>
          <w:p w14:paraId="783D7B62" w14:textId="77777777" w:rsidR="00FC23C9" w:rsidRDefault="00FC23C9" w:rsidP="00C65A4F">
            <w:pPr>
              <w:keepNext/>
              <w:spacing w:before="60" w:after="60"/>
              <w:jc w:val="center"/>
            </w:pPr>
            <w:r>
              <w:t>50</w:t>
            </w:r>
          </w:p>
        </w:tc>
        <w:tc>
          <w:tcPr>
            <w:tcW w:w="1053" w:type="dxa"/>
          </w:tcPr>
          <w:p w14:paraId="69B352F7" w14:textId="77777777" w:rsidR="00FC23C9" w:rsidRDefault="00FC23C9" w:rsidP="00C65A4F">
            <w:pPr>
              <w:keepNext/>
              <w:spacing w:before="60" w:after="60"/>
              <w:jc w:val="center"/>
            </w:pPr>
            <w:r>
              <w:t>100</w:t>
            </w:r>
          </w:p>
        </w:tc>
        <w:tc>
          <w:tcPr>
            <w:tcW w:w="1054" w:type="dxa"/>
          </w:tcPr>
          <w:p w14:paraId="1F82AB05" w14:textId="77777777" w:rsidR="00FC23C9" w:rsidRDefault="00FC23C9" w:rsidP="00C65A4F">
            <w:pPr>
              <w:keepNext/>
              <w:spacing w:before="60" w:after="60"/>
              <w:jc w:val="center"/>
            </w:pPr>
            <w:r>
              <w:t>150</w:t>
            </w:r>
          </w:p>
        </w:tc>
        <w:tc>
          <w:tcPr>
            <w:tcW w:w="1054" w:type="dxa"/>
          </w:tcPr>
          <w:p w14:paraId="72E797C2" w14:textId="77777777" w:rsidR="00FC23C9" w:rsidRDefault="001367E5" w:rsidP="00C65A4F">
            <w:pPr>
              <w:keepNext/>
              <w:spacing w:before="60" w:after="60"/>
              <w:jc w:val="center"/>
            </w:pPr>
            <w:r>
              <w:t>50</w:t>
            </w:r>
          </w:p>
        </w:tc>
      </w:tr>
    </w:tbl>
    <w:p w14:paraId="13B0FADB" w14:textId="77777777" w:rsidR="00CA7545" w:rsidRPr="00FE646F" w:rsidRDefault="00CA7545" w:rsidP="00636338">
      <w:pPr>
        <w:spacing w:after="120"/>
      </w:pPr>
    </w:p>
    <w:p w14:paraId="07946DBE" w14:textId="0202CAA0" w:rsidR="0051062A" w:rsidRDefault="00736D65" w:rsidP="00736D65">
      <w:pPr>
        <w:pStyle w:val="Heading1"/>
      </w:pPr>
      <w:bookmarkStart w:id="89" w:name="_Toc4489885"/>
      <w:r>
        <w:t>Bank exposures</w:t>
      </w:r>
      <w:bookmarkEnd w:id="89"/>
    </w:p>
    <w:p w14:paraId="6442BEC1" w14:textId="2F411FE6" w:rsidR="00F43824" w:rsidRDefault="00736D65" w:rsidP="00736D65">
      <w:pPr>
        <w:pStyle w:val="BodyText1"/>
      </w:pPr>
      <w:r w:rsidRPr="00736D65">
        <w:t xml:space="preserve">An exposure to </w:t>
      </w:r>
      <w:r w:rsidR="00E45F44">
        <w:t xml:space="preserve">a bank counterparty </w:t>
      </w:r>
      <w:r w:rsidRPr="00736D65">
        <w:t xml:space="preserve">includes all exposures, other than equity or subordinated debt, to an ADI or </w:t>
      </w:r>
      <w:r w:rsidR="00E45F44">
        <w:t>overseas bank</w:t>
      </w:r>
      <w:r>
        <w:t xml:space="preserve">. </w:t>
      </w:r>
      <w:r w:rsidR="00C34B44">
        <w:t xml:space="preserve">It </w:t>
      </w:r>
      <w:r w:rsidR="00E45F44">
        <w:t>includes</w:t>
      </w:r>
      <w:r w:rsidR="00243686">
        <w:t xml:space="preserve"> </w:t>
      </w:r>
      <w:r w:rsidR="00F43824">
        <w:t xml:space="preserve">any exposures to multilateral development banks that are not eligible to be risk-weighted at zero per cent in accordance with </w:t>
      </w:r>
      <w:r w:rsidR="002F5710" w:rsidRPr="002F5710">
        <w:t xml:space="preserve">paragraph </w:t>
      </w:r>
      <w:r w:rsidR="002F5710" w:rsidRPr="002F5710">
        <w:fldChar w:fldCharType="begin"/>
      </w:r>
      <w:r w:rsidR="002F5710" w:rsidRPr="002F5710">
        <w:instrText xml:space="preserve"> REF _Ref3473775 \r \h </w:instrText>
      </w:r>
      <w:r w:rsidR="002F5710">
        <w:instrText xml:space="preserve"> \* MERGEFORMAT </w:instrText>
      </w:r>
      <w:r w:rsidR="002F5710" w:rsidRPr="002F5710">
        <w:fldChar w:fldCharType="separate"/>
      </w:r>
      <w:r w:rsidR="0007706D">
        <w:t>3(c)</w:t>
      </w:r>
      <w:r w:rsidR="002F5710" w:rsidRPr="002F5710">
        <w:fldChar w:fldCharType="end"/>
      </w:r>
      <w:r w:rsidR="00F43824">
        <w:t xml:space="preserve"> of this Attachment.</w:t>
      </w:r>
    </w:p>
    <w:p w14:paraId="470CC34B" w14:textId="4DE134AF" w:rsidR="00307874" w:rsidRPr="00307874" w:rsidRDefault="00600A4E" w:rsidP="00307874">
      <w:pPr>
        <w:pStyle w:val="BodyText1"/>
      </w:pPr>
      <w:bookmarkStart w:id="90" w:name="_Ref3474950"/>
      <w:r>
        <w:t>An ADI must apply the risk weights in</w:t>
      </w:r>
      <w:r w:rsidR="0019779A">
        <w:t xml:space="preserve"> </w:t>
      </w:r>
      <w:r w:rsidR="00420373">
        <w:rPr>
          <w:highlight w:val="yellow"/>
        </w:rPr>
        <w:fldChar w:fldCharType="begin"/>
      </w:r>
      <w:r w:rsidR="00420373">
        <w:instrText xml:space="preserve"> REF _Ref3964536 \n \h </w:instrText>
      </w:r>
      <w:r w:rsidR="00420373">
        <w:rPr>
          <w:highlight w:val="yellow"/>
        </w:rPr>
      </w:r>
      <w:r w:rsidR="00420373">
        <w:rPr>
          <w:highlight w:val="yellow"/>
        </w:rPr>
        <w:fldChar w:fldCharType="separate"/>
      </w:r>
      <w:r w:rsidR="0007706D">
        <w:t>Table 7</w:t>
      </w:r>
      <w:r w:rsidR="00420373">
        <w:rPr>
          <w:highlight w:val="yellow"/>
        </w:rPr>
        <w:fldChar w:fldCharType="end"/>
      </w:r>
      <w:r>
        <w:t xml:space="preserve"> to its bank exposures</w:t>
      </w:r>
      <w:r w:rsidR="00C34B44">
        <w:t>, based on the external credit rating of the bank</w:t>
      </w:r>
      <w:r w:rsidR="002F0ED3">
        <w:t>.</w:t>
      </w:r>
      <w:bookmarkEnd w:id="90"/>
      <w:r w:rsidR="00B5668E">
        <w:t xml:space="preserve"> </w:t>
      </w:r>
    </w:p>
    <w:p w14:paraId="4FACEB3D" w14:textId="3683CE82" w:rsidR="00736D65" w:rsidRPr="00056816" w:rsidRDefault="0099752B" w:rsidP="00857B57">
      <w:pPr>
        <w:pStyle w:val="TableHeadNumber"/>
      </w:pPr>
      <w:bookmarkStart w:id="91" w:name="_Ref3964536"/>
      <w:r>
        <w:t>R</w:t>
      </w:r>
      <w:r w:rsidR="00AC4CB6" w:rsidRPr="002A654C">
        <w:t xml:space="preserve">isk weights for </w:t>
      </w:r>
      <w:r w:rsidR="00736D65" w:rsidRPr="002A654C">
        <w:t>bank exposures</w:t>
      </w:r>
      <w:bookmarkEnd w:id="91"/>
    </w:p>
    <w:tbl>
      <w:tblPr>
        <w:tblStyle w:val="TableGrid"/>
        <w:tblW w:w="0" w:type="auto"/>
        <w:tblLayout w:type="fixed"/>
        <w:tblLook w:val="04A0" w:firstRow="1" w:lastRow="0" w:firstColumn="1" w:lastColumn="0" w:noHBand="0" w:noVBand="1"/>
      </w:tblPr>
      <w:tblGrid>
        <w:gridCol w:w="2122"/>
        <w:gridCol w:w="1030"/>
        <w:gridCol w:w="1030"/>
        <w:gridCol w:w="1030"/>
        <w:gridCol w:w="1030"/>
        <w:gridCol w:w="983"/>
        <w:gridCol w:w="1077"/>
      </w:tblGrid>
      <w:tr w:rsidR="00F43824" w14:paraId="448AF3F1" w14:textId="77777777" w:rsidTr="008C41AF">
        <w:tc>
          <w:tcPr>
            <w:tcW w:w="2122" w:type="dxa"/>
          </w:tcPr>
          <w:p w14:paraId="37C95894" w14:textId="434B5E34" w:rsidR="00F43824" w:rsidRPr="00423E7F" w:rsidRDefault="00F43824" w:rsidP="00C65A4F">
            <w:pPr>
              <w:keepNext/>
              <w:spacing w:before="60" w:after="60"/>
              <w:rPr>
                <w:b/>
              </w:rPr>
            </w:pPr>
            <w:r w:rsidRPr="00423E7F">
              <w:rPr>
                <w:b/>
              </w:rPr>
              <w:t>Credit rating grade</w:t>
            </w:r>
            <w:r w:rsidR="00AF3208">
              <w:rPr>
                <w:b/>
              </w:rPr>
              <w:t xml:space="preserve"> (long-term)</w:t>
            </w:r>
          </w:p>
        </w:tc>
        <w:tc>
          <w:tcPr>
            <w:tcW w:w="1030" w:type="dxa"/>
            <w:vAlign w:val="center"/>
          </w:tcPr>
          <w:p w14:paraId="4258024D" w14:textId="77777777" w:rsidR="00F43824" w:rsidRPr="00964D2F" w:rsidRDefault="00F43824" w:rsidP="00C65A4F">
            <w:pPr>
              <w:keepNext/>
              <w:spacing w:before="60" w:after="60"/>
              <w:jc w:val="center"/>
              <w:rPr>
                <w:b/>
              </w:rPr>
            </w:pPr>
            <w:r w:rsidRPr="00964D2F">
              <w:rPr>
                <w:b/>
              </w:rPr>
              <w:t>1</w:t>
            </w:r>
          </w:p>
        </w:tc>
        <w:tc>
          <w:tcPr>
            <w:tcW w:w="1030" w:type="dxa"/>
            <w:vAlign w:val="center"/>
          </w:tcPr>
          <w:p w14:paraId="455D2A53" w14:textId="77777777" w:rsidR="00F43824" w:rsidRPr="00964D2F" w:rsidRDefault="00F43824" w:rsidP="00C65A4F">
            <w:pPr>
              <w:keepNext/>
              <w:spacing w:before="60" w:after="60"/>
              <w:jc w:val="center"/>
              <w:rPr>
                <w:b/>
              </w:rPr>
            </w:pPr>
            <w:r w:rsidRPr="00964D2F">
              <w:rPr>
                <w:b/>
              </w:rPr>
              <w:t>2</w:t>
            </w:r>
          </w:p>
        </w:tc>
        <w:tc>
          <w:tcPr>
            <w:tcW w:w="1030" w:type="dxa"/>
            <w:vAlign w:val="center"/>
          </w:tcPr>
          <w:p w14:paraId="222D90A4" w14:textId="77777777" w:rsidR="00F43824" w:rsidRPr="00964D2F" w:rsidRDefault="00F43824" w:rsidP="00C65A4F">
            <w:pPr>
              <w:keepNext/>
              <w:spacing w:before="60" w:after="60"/>
              <w:jc w:val="center"/>
              <w:rPr>
                <w:b/>
              </w:rPr>
            </w:pPr>
            <w:r w:rsidRPr="00964D2F">
              <w:rPr>
                <w:b/>
              </w:rPr>
              <w:t>3</w:t>
            </w:r>
          </w:p>
        </w:tc>
        <w:tc>
          <w:tcPr>
            <w:tcW w:w="1030" w:type="dxa"/>
            <w:vAlign w:val="center"/>
          </w:tcPr>
          <w:p w14:paraId="491298ED" w14:textId="77777777" w:rsidR="00F43824" w:rsidRPr="00964D2F" w:rsidRDefault="00F43824" w:rsidP="00C65A4F">
            <w:pPr>
              <w:keepNext/>
              <w:spacing w:before="60" w:after="60"/>
              <w:jc w:val="center"/>
              <w:rPr>
                <w:b/>
              </w:rPr>
            </w:pPr>
            <w:r w:rsidRPr="00964D2F">
              <w:rPr>
                <w:b/>
              </w:rPr>
              <w:t>4, 5</w:t>
            </w:r>
          </w:p>
        </w:tc>
        <w:tc>
          <w:tcPr>
            <w:tcW w:w="983" w:type="dxa"/>
            <w:vAlign w:val="center"/>
          </w:tcPr>
          <w:p w14:paraId="6981A286" w14:textId="77777777" w:rsidR="00F43824" w:rsidRPr="00964D2F" w:rsidRDefault="00F43824" w:rsidP="00C65A4F">
            <w:pPr>
              <w:keepNext/>
              <w:spacing w:before="60" w:after="60"/>
              <w:jc w:val="center"/>
              <w:rPr>
                <w:b/>
              </w:rPr>
            </w:pPr>
            <w:r w:rsidRPr="00964D2F">
              <w:rPr>
                <w:b/>
              </w:rPr>
              <w:t>6</w:t>
            </w:r>
          </w:p>
        </w:tc>
        <w:tc>
          <w:tcPr>
            <w:tcW w:w="1077" w:type="dxa"/>
            <w:vAlign w:val="center"/>
          </w:tcPr>
          <w:p w14:paraId="2D44D422" w14:textId="402413A6" w:rsidR="00F43824" w:rsidRPr="00964D2F" w:rsidRDefault="00F43824" w:rsidP="00C65A4F">
            <w:pPr>
              <w:keepNext/>
              <w:spacing w:before="60" w:after="60"/>
              <w:jc w:val="center"/>
              <w:rPr>
                <w:b/>
              </w:rPr>
            </w:pPr>
            <w:r w:rsidRPr="00964D2F">
              <w:rPr>
                <w:b/>
              </w:rPr>
              <w:t>Unrated</w:t>
            </w:r>
          </w:p>
        </w:tc>
      </w:tr>
      <w:tr w:rsidR="00F43824" w14:paraId="270B3227" w14:textId="77777777" w:rsidTr="008C41AF">
        <w:tc>
          <w:tcPr>
            <w:tcW w:w="2122" w:type="dxa"/>
          </w:tcPr>
          <w:p w14:paraId="21BD4B5B" w14:textId="77777777" w:rsidR="00F43824" w:rsidRPr="00964D2F" w:rsidRDefault="00F43824" w:rsidP="00C65A4F">
            <w:pPr>
              <w:keepNext/>
              <w:spacing w:before="60" w:after="60"/>
              <w:rPr>
                <w:b/>
              </w:rPr>
            </w:pPr>
            <w:r w:rsidRPr="00964D2F">
              <w:rPr>
                <w:b/>
              </w:rPr>
              <w:t>Risk weight</w:t>
            </w:r>
            <w:r w:rsidR="00DB3456" w:rsidRPr="00964D2F">
              <w:rPr>
                <w:b/>
              </w:rPr>
              <w:t xml:space="preserve"> </w:t>
            </w:r>
            <w:r w:rsidRPr="00964D2F">
              <w:rPr>
                <w:b/>
              </w:rPr>
              <w:t>(%)</w:t>
            </w:r>
          </w:p>
          <w:p w14:paraId="76009DA0" w14:textId="77777777" w:rsidR="00082BB3" w:rsidRPr="00964D2F" w:rsidRDefault="00082BB3" w:rsidP="00C65A4F">
            <w:pPr>
              <w:keepNext/>
              <w:spacing w:before="60" w:after="60"/>
              <w:rPr>
                <w:b/>
              </w:rPr>
            </w:pPr>
            <w:r w:rsidRPr="00964D2F">
              <w:rPr>
                <w:b/>
              </w:rPr>
              <w:t>(short-term exposure)</w:t>
            </w:r>
          </w:p>
        </w:tc>
        <w:tc>
          <w:tcPr>
            <w:tcW w:w="1030" w:type="dxa"/>
            <w:vAlign w:val="center"/>
          </w:tcPr>
          <w:p w14:paraId="10ABEC7A" w14:textId="77777777" w:rsidR="00F43824" w:rsidRDefault="00F43824" w:rsidP="00C65A4F">
            <w:pPr>
              <w:keepNext/>
              <w:spacing w:before="60" w:after="60"/>
              <w:jc w:val="center"/>
            </w:pPr>
            <w:r>
              <w:t>20</w:t>
            </w:r>
          </w:p>
        </w:tc>
        <w:tc>
          <w:tcPr>
            <w:tcW w:w="1030" w:type="dxa"/>
            <w:vAlign w:val="center"/>
          </w:tcPr>
          <w:p w14:paraId="2E9BC6C8" w14:textId="77777777" w:rsidR="00F43824" w:rsidRDefault="00082BB3" w:rsidP="00C65A4F">
            <w:pPr>
              <w:keepNext/>
              <w:spacing w:before="60" w:after="60"/>
              <w:jc w:val="center"/>
            </w:pPr>
            <w:r>
              <w:t>2</w:t>
            </w:r>
            <w:r w:rsidR="00F43824">
              <w:t>0</w:t>
            </w:r>
          </w:p>
        </w:tc>
        <w:tc>
          <w:tcPr>
            <w:tcW w:w="1030" w:type="dxa"/>
            <w:vAlign w:val="center"/>
          </w:tcPr>
          <w:p w14:paraId="2925C4EB" w14:textId="77777777" w:rsidR="00F43824" w:rsidRDefault="00082BB3" w:rsidP="00C65A4F">
            <w:pPr>
              <w:keepNext/>
              <w:spacing w:before="60" w:after="60"/>
              <w:jc w:val="center"/>
            </w:pPr>
            <w:r>
              <w:t>2</w:t>
            </w:r>
            <w:r w:rsidR="00F43824">
              <w:t>0</w:t>
            </w:r>
          </w:p>
        </w:tc>
        <w:tc>
          <w:tcPr>
            <w:tcW w:w="1030" w:type="dxa"/>
            <w:vAlign w:val="center"/>
          </w:tcPr>
          <w:p w14:paraId="2900322E" w14:textId="77777777" w:rsidR="00F43824" w:rsidRDefault="00082BB3" w:rsidP="00C65A4F">
            <w:pPr>
              <w:keepNext/>
              <w:spacing w:before="60" w:after="60"/>
              <w:jc w:val="center"/>
            </w:pPr>
            <w:r>
              <w:t>50</w:t>
            </w:r>
          </w:p>
        </w:tc>
        <w:tc>
          <w:tcPr>
            <w:tcW w:w="983" w:type="dxa"/>
            <w:vAlign w:val="center"/>
          </w:tcPr>
          <w:p w14:paraId="0791DB24" w14:textId="4F545C0A" w:rsidR="00F43824" w:rsidRDefault="00B21124" w:rsidP="00C65A4F">
            <w:pPr>
              <w:keepNext/>
              <w:spacing w:before="60" w:after="60"/>
              <w:jc w:val="center"/>
            </w:pPr>
            <w:r>
              <w:t>15</w:t>
            </w:r>
            <w:r w:rsidR="00082BB3">
              <w:t>0</w:t>
            </w:r>
          </w:p>
        </w:tc>
        <w:tc>
          <w:tcPr>
            <w:tcW w:w="1077" w:type="dxa"/>
            <w:vAlign w:val="center"/>
          </w:tcPr>
          <w:p w14:paraId="0190B20C" w14:textId="77777777" w:rsidR="00F43824" w:rsidRDefault="00082BB3" w:rsidP="00C65A4F">
            <w:pPr>
              <w:keepNext/>
              <w:spacing w:before="60" w:after="60"/>
              <w:jc w:val="center"/>
            </w:pPr>
            <w:r>
              <w:t>2</w:t>
            </w:r>
            <w:r w:rsidR="00F43824">
              <w:t>0</w:t>
            </w:r>
          </w:p>
        </w:tc>
      </w:tr>
      <w:tr w:rsidR="00082BB3" w14:paraId="063F4D9F" w14:textId="77777777" w:rsidTr="008C41AF">
        <w:tc>
          <w:tcPr>
            <w:tcW w:w="2122" w:type="dxa"/>
          </w:tcPr>
          <w:p w14:paraId="738FDA0F" w14:textId="77777777" w:rsidR="00082BB3" w:rsidRPr="00964D2F" w:rsidRDefault="00DB3456" w:rsidP="00C65A4F">
            <w:pPr>
              <w:keepNext/>
              <w:spacing w:before="60" w:after="60"/>
              <w:rPr>
                <w:b/>
              </w:rPr>
            </w:pPr>
            <w:r w:rsidRPr="00964D2F">
              <w:rPr>
                <w:b/>
              </w:rPr>
              <w:t xml:space="preserve">Risk weight </w:t>
            </w:r>
            <w:r w:rsidR="00082BB3" w:rsidRPr="00964D2F">
              <w:rPr>
                <w:b/>
              </w:rPr>
              <w:t>(%)</w:t>
            </w:r>
          </w:p>
          <w:p w14:paraId="70AD5942" w14:textId="77777777" w:rsidR="00082BB3" w:rsidRPr="00964D2F" w:rsidRDefault="00082BB3" w:rsidP="00C65A4F">
            <w:pPr>
              <w:keepNext/>
              <w:spacing w:before="60" w:after="60"/>
              <w:rPr>
                <w:b/>
              </w:rPr>
            </w:pPr>
            <w:r w:rsidRPr="00964D2F">
              <w:rPr>
                <w:b/>
              </w:rPr>
              <w:t>(long-term exposure)</w:t>
            </w:r>
          </w:p>
        </w:tc>
        <w:tc>
          <w:tcPr>
            <w:tcW w:w="1030" w:type="dxa"/>
            <w:vAlign w:val="center"/>
          </w:tcPr>
          <w:p w14:paraId="45463F79" w14:textId="77777777" w:rsidR="00082BB3" w:rsidRDefault="00082BB3" w:rsidP="00C65A4F">
            <w:pPr>
              <w:keepNext/>
              <w:spacing w:before="60" w:after="60"/>
              <w:jc w:val="center"/>
            </w:pPr>
            <w:r>
              <w:t>20</w:t>
            </w:r>
          </w:p>
        </w:tc>
        <w:tc>
          <w:tcPr>
            <w:tcW w:w="1030" w:type="dxa"/>
            <w:vAlign w:val="center"/>
          </w:tcPr>
          <w:p w14:paraId="32FDE098" w14:textId="77777777" w:rsidR="00082BB3" w:rsidRDefault="00082BB3" w:rsidP="00C65A4F">
            <w:pPr>
              <w:keepNext/>
              <w:spacing w:before="60" w:after="60"/>
              <w:jc w:val="center"/>
            </w:pPr>
            <w:r>
              <w:t>30</w:t>
            </w:r>
          </w:p>
        </w:tc>
        <w:tc>
          <w:tcPr>
            <w:tcW w:w="1030" w:type="dxa"/>
            <w:vAlign w:val="center"/>
          </w:tcPr>
          <w:p w14:paraId="509E06AD" w14:textId="77777777" w:rsidR="00082BB3" w:rsidRDefault="00082BB3" w:rsidP="00C65A4F">
            <w:pPr>
              <w:keepNext/>
              <w:spacing w:before="60" w:after="60"/>
              <w:jc w:val="center"/>
            </w:pPr>
            <w:r>
              <w:t>50</w:t>
            </w:r>
          </w:p>
        </w:tc>
        <w:tc>
          <w:tcPr>
            <w:tcW w:w="1030" w:type="dxa"/>
            <w:vAlign w:val="center"/>
          </w:tcPr>
          <w:p w14:paraId="5973046C" w14:textId="77777777" w:rsidR="00082BB3" w:rsidRDefault="00082BB3" w:rsidP="00C65A4F">
            <w:pPr>
              <w:keepNext/>
              <w:spacing w:before="60" w:after="60"/>
              <w:jc w:val="center"/>
            </w:pPr>
            <w:r>
              <w:t>100</w:t>
            </w:r>
          </w:p>
        </w:tc>
        <w:tc>
          <w:tcPr>
            <w:tcW w:w="983" w:type="dxa"/>
            <w:vAlign w:val="center"/>
          </w:tcPr>
          <w:p w14:paraId="2C7D7A74" w14:textId="77777777" w:rsidR="00082BB3" w:rsidRDefault="00082BB3" w:rsidP="00C65A4F">
            <w:pPr>
              <w:keepNext/>
              <w:spacing w:before="60" w:after="60"/>
              <w:jc w:val="center"/>
            </w:pPr>
            <w:r>
              <w:t>150</w:t>
            </w:r>
          </w:p>
        </w:tc>
        <w:tc>
          <w:tcPr>
            <w:tcW w:w="1077" w:type="dxa"/>
            <w:vAlign w:val="center"/>
          </w:tcPr>
          <w:p w14:paraId="64CF7819" w14:textId="77777777" w:rsidR="00082BB3" w:rsidRDefault="00082BB3" w:rsidP="00C65A4F">
            <w:pPr>
              <w:keepNext/>
              <w:spacing w:before="60" w:after="60"/>
              <w:jc w:val="center"/>
            </w:pPr>
            <w:r>
              <w:t>50</w:t>
            </w:r>
          </w:p>
        </w:tc>
      </w:tr>
    </w:tbl>
    <w:p w14:paraId="45918DE0" w14:textId="77777777" w:rsidR="00736D65" w:rsidRDefault="00736D65" w:rsidP="00C04A49">
      <w:pPr>
        <w:spacing w:after="120"/>
      </w:pPr>
    </w:p>
    <w:p w14:paraId="7BFC9E4B" w14:textId="0EB98B09" w:rsidR="005764C2" w:rsidRDefault="002F0ED3" w:rsidP="00307874">
      <w:pPr>
        <w:pStyle w:val="BodyText1"/>
      </w:pPr>
      <w:bookmarkStart w:id="92" w:name="_Ref28943856"/>
      <w:proofErr w:type="gramStart"/>
      <w:r>
        <w:t>For the purpose of</w:t>
      </w:r>
      <w:proofErr w:type="gramEnd"/>
      <w:r>
        <w:t xml:space="preserve"> </w:t>
      </w:r>
      <w:r w:rsidR="00420373">
        <w:rPr>
          <w:highlight w:val="yellow"/>
        </w:rPr>
        <w:fldChar w:fldCharType="begin"/>
      </w:r>
      <w:r w:rsidR="00420373">
        <w:instrText xml:space="preserve"> REF _Ref3964536 \n \h </w:instrText>
      </w:r>
      <w:r w:rsidR="00420373">
        <w:rPr>
          <w:highlight w:val="yellow"/>
        </w:rPr>
      </w:r>
      <w:r w:rsidR="00420373">
        <w:rPr>
          <w:highlight w:val="yellow"/>
        </w:rPr>
        <w:fldChar w:fldCharType="separate"/>
      </w:r>
      <w:r w:rsidR="0007706D">
        <w:t>Table 7</w:t>
      </w:r>
      <w:r w:rsidR="00420373">
        <w:rPr>
          <w:highlight w:val="yellow"/>
        </w:rPr>
        <w:fldChar w:fldCharType="end"/>
      </w:r>
      <w:r>
        <w:t xml:space="preserve">, an ADI </w:t>
      </w:r>
      <w:r w:rsidR="005764C2">
        <w:t>may apply the short-term exposure risk weights to its bank exposures, where</w:t>
      </w:r>
      <w:r w:rsidR="001A5B78">
        <w:t xml:space="preserve"> the exposure</w:t>
      </w:r>
      <w:r w:rsidR="005764C2">
        <w:t>:</w:t>
      </w:r>
      <w:bookmarkEnd w:id="92"/>
      <w:r w:rsidR="005764C2">
        <w:t xml:space="preserve"> </w:t>
      </w:r>
    </w:p>
    <w:p w14:paraId="25518DDF" w14:textId="77777777" w:rsidR="00307874" w:rsidRDefault="005764C2" w:rsidP="00D5525A">
      <w:pPr>
        <w:pStyle w:val="BodyText2"/>
      </w:pPr>
      <w:r>
        <w:t>has an original maturity of three months or less; or</w:t>
      </w:r>
    </w:p>
    <w:p w14:paraId="44BC69C5" w14:textId="77777777" w:rsidR="005764C2" w:rsidRDefault="001A5B78" w:rsidP="00D5525A">
      <w:pPr>
        <w:pStyle w:val="BodyText2"/>
      </w:pPr>
      <w:bookmarkStart w:id="93" w:name="_Ref32918847"/>
      <w:r>
        <w:lastRenderedPageBreak/>
        <w:t>arises from the movement of goods across national</w:t>
      </w:r>
      <w:r w:rsidR="00C01127">
        <w:t xml:space="preserve"> borders, with an original maturity of six months or less.</w:t>
      </w:r>
      <w:r w:rsidR="00C01127">
        <w:rPr>
          <w:rStyle w:val="FootnoteReference"/>
        </w:rPr>
        <w:footnoteReference w:id="8"/>
      </w:r>
      <w:bookmarkEnd w:id="93"/>
    </w:p>
    <w:p w14:paraId="1EADE362" w14:textId="1F6D341F" w:rsidR="0099461E" w:rsidRDefault="008A46C4" w:rsidP="00E76EAB">
      <w:pPr>
        <w:pStyle w:val="BodyText1"/>
      </w:pPr>
      <w:bookmarkStart w:id="94" w:name="_Ref3474971"/>
      <w:r>
        <w:t>Unrated bank exposures</w:t>
      </w:r>
      <w:r w:rsidR="00A653AB">
        <w:t xml:space="preserve"> </w:t>
      </w:r>
      <w:r w:rsidR="0099461E">
        <w:t xml:space="preserve">must be risk-weighted </w:t>
      </w:r>
      <w:r w:rsidR="00A653AB">
        <w:t>as</w:t>
      </w:r>
      <w:r w:rsidR="0099461E">
        <w:t xml:space="preserve"> the higher of:</w:t>
      </w:r>
    </w:p>
    <w:p w14:paraId="5B6B0510" w14:textId="3C466F5D" w:rsidR="0099461E" w:rsidRDefault="00A653AB" w:rsidP="00542900">
      <w:pPr>
        <w:pStyle w:val="BodyText2"/>
      </w:pPr>
      <w:r>
        <w:t xml:space="preserve">20 per cent for short-term exposures and </w:t>
      </w:r>
      <w:r w:rsidR="00542900">
        <w:t>50 per cent</w:t>
      </w:r>
      <w:r>
        <w:t xml:space="preserve"> for long-term exposures</w:t>
      </w:r>
      <w:r w:rsidR="00542900">
        <w:t>; and</w:t>
      </w:r>
    </w:p>
    <w:p w14:paraId="1DA48681" w14:textId="2ACB4BEA" w:rsidR="00542900" w:rsidRDefault="00542900" w:rsidP="00542900">
      <w:pPr>
        <w:pStyle w:val="BodyText2"/>
      </w:pPr>
      <w:r>
        <w:t xml:space="preserve">the risk weight applicable to exposures to the sovereign of the country where the bank counterparty is incorporated. </w:t>
      </w:r>
    </w:p>
    <w:p w14:paraId="7115EF75" w14:textId="158BD041" w:rsidR="00AF1088" w:rsidRDefault="00AF1088" w:rsidP="00EE5398">
      <w:pPr>
        <w:ind w:left="567"/>
        <w:jc w:val="both"/>
      </w:pPr>
      <w:r>
        <w:t>The sovereign</w:t>
      </w:r>
      <w:r w:rsidR="004109CD">
        <w:t xml:space="preserve"> risk-weight</w:t>
      </w:r>
      <w:r>
        <w:t xml:space="preserve"> floor does not apply to short-term self-liquidating, trade-related contingent items that arise from the movement of goods.</w:t>
      </w:r>
      <w:r>
        <w:rPr>
          <w:rStyle w:val="FootnoteReference"/>
        </w:rPr>
        <w:footnoteReference w:id="9"/>
      </w:r>
      <w:r>
        <w:t xml:space="preserve"> </w:t>
      </w:r>
    </w:p>
    <w:p w14:paraId="4039B40E" w14:textId="182BB64A" w:rsidR="00E76EAB" w:rsidRPr="00862F8F" w:rsidRDefault="00047287" w:rsidP="00E76EAB">
      <w:pPr>
        <w:pStyle w:val="BodyText1"/>
      </w:pPr>
      <w:r>
        <w:t>A</w:t>
      </w:r>
      <w:r w:rsidRPr="00862F8F">
        <w:t xml:space="preserve">n </w:t>
      </w:r>
      <w:r w:rsidR="00E76EAB" w:rsidRPr="00862F8F">
        <w:t xml:space="preserve">ADI must apply the risk weights in </w:t>
      </w:r>
      <w:r w:rsidR="00FE0C59">
        <w:rPr>
          <w:highlight w:val="yellow"/>
        </w:rPr>
        <w:fldChar w:fldCharType="begin"/>
      </w:r>
      <w:r w:rsidR="00FE0C59">
        <w:instrText xml:space="preserve"> REF _Ref3964599 \n \h </w:instrText>
      </w:r>
      <w:r w:rsidR="00FE0C59">
        <w:rPr>
          <w:highlight w:val="yellow"/>
        </w:rPr>
      </w:r>
      <w:r w:rsidR="00FE0C59">
        <w:rPr>
          <w:highlight w:val="yellow"/>
        </w:rPr>
        <w:fldChar w:fldCharType="separate"/>
      </w:r>
      <w:r w:rsidR="0007706D">
        <w:t>Table 8</w:t>
      </w:r>
      <w:r w:rsidR="00FE0C59">
        <w:rPr>
          <w:highlight w:val="yellow"/>
        </w:rPr>
        <w:fldChar w:fldCharType="end"/>
      </w:r>
      <w:r>
        <w:t xml:space="preserve"> to short-term bank exposures with an issue-specific external credit rating</w:t>
      </w:r>
      <w:r w:rsidR="00E76EAB" w:rsidRPr="00862F8F">
        <w:t>.</w:t>
      </w:r>
      <w:bookmarkEnd w:id="94"/>
      <w:r w:rsidR="00E76EAB" w:rsidRPr="00862F8F">
        <w:t xml:space="preserve"> </w:t>
      </w:r>
    </w:p>
    <w:p w14:paraId="00BD43BF" w14:textId="36D35F4D" w:rsidR="00E76EAB" w:rsidRPr="0099752B" w:rsidRDefault="0099752B" w:rsidP="0099752B">
      <w:pPr>
        <w:pStyle w:val="TableHeadNumber"/>
      </w:pPr>
      <w:bookmarkStart w:id="95" w:name="_Ref3964599"/>
      <w:r w:rsidRPr="0099752B">
        <w:t>R</w:t>
      </w:r>
      <w:r w:rsidR="00E76EAB" w:rsidRPr="0099752B">
        <w:t xml:space="preserve">isk weights for bank exposures (short-term </w:t>
      </w:r>
      <w:r w:rsidR="00AC60A7">
        <w:t xml:space="preserve">issue-specific </w:t>
      </w:r>
      <w:r w:rsidR="00E76EAB" w:rsidRPr="0099752B">
        <w:t>credit rating</w:t>
      </w:r>
      <w:r w:rsidR="00AC60A7">
        <w:t>s</w:t>
      </w:r>
      <w:r w:rsidR="00E76EAB" w:rsidRPr="0099752B">
        <w:t>)</w:t>
      </w:r>
      <w:bookmarkEnd w:id="95"/>
    </w:p>
    <w:tbl>
      <w:tblPr>
        <w:tblStyle w:val="TableGrid"/>
        <w:tblW w:w="0" w:type="auto"/>
        <w:tblLook w:val="04A0" w:firstRow="1" w:lastRow="0" w:firstColumn="1" w:lastColumn="0" w:noHBand="0" w:noVBand="1"/>
      </w:tblPr>
      <w:tblGrid>
        <w:gridCol w:w="2263"/>
        <w:gridCol w:w="1509"/>
        <w:gridCol w:w="1510"/>
        <w:gridCol w:w="1510"/>
        <w:gridCol w:w="1510"/>
      </w:tblGrid>
      <w:tr w:rsidR="00E76EAB" w14:paraId="04867D48" w14:textId="77777777" w:rsidTr="005040DE">
        <w:tc>
          <w:tcPr>
            <w:tcW w:w="2263" w:type="dxa"/>
          </w:tcPr>
          <w:p w14:paraId="77DCB4E0" w14:textId="77777777" w:rsidR="00E76EAB" w:rsidRPr="00AF3208" w:rsidRDefault="00E76EAB" w:rsidP="00C65A4F">
            <w:pPr>
              <w:keepNext/>
              <w:spacing w:before="60" w:after="60"/>
              <w:rPr>
                <w:b/>
              </w:rPr>
            </w:pPr>
            <w:r w:rsidRPr="00964D2F">
              <w:rPr>
                <w:b/>
              </w:rPr>
              <w:t>Credit rating grade</w:t>
            </w:r>
            <w:r>
              <w:rPr>
                <w:b/>
              </w:rPr>
              <w:t xml:space="preserve"> (short term)</w:t>
            </w:r>
          </w:p>
        </w:tc>
        <w:tc>
          <w:tcPr>
            <w:tcW w:w="1509" w:type="dxa"/>
            <w:vAlign w:val="center"/>
          </w:tcPr>
          <w:p w14:paraId="6913E1F2" w14:textId="77777777" w:rsidR="00E76EAB" w:rsidRPr="00964D2F" w:rsidRDefault="00E76EAB" w:rsidP="00C65A4F">
            <w:pPr>
              <w:keepNext/>
              <w:spacing w:before="60" w:after="60"/>
              <w:jc w:val="center"/>
              <w:rPr>
                <w:b/>
              </w:rPr>
            </w:pPr>
            <w:r w:rsidRPr="00964D2F">
              <w:rPr>
                <w:b/>
              </w:rPr>
              <w:t>1</w:t>
            </w:r>
          </w:p>
        </w:tc>
        <w:tc>
          <w:tcPr>
            <w:tcW w:w="1510" w:type="dxa"/>
            <w:vAlign w:val="center"/>
          </w:tcPr>
          <w:p w14:paraId="3ACFEDEF" w14:textId="77777777" w:rsidR="00E76EAB" w:rsidRPr="00964D2F" w:rsidRDefault="00E76EAB" w:rsidP="00C65A4F">
            <w:pPr>
              <w:keepNext/>
              <w:spacing w:before="60" w:after="60"/>
              <w:jc w:val="center"/>
              <w:rPr>
                <w:b/>
              </w:rPr>
            </w:pPr>
            <w:r w:rsidRPr="00964D2F">
              <w:rPr>
                <w:b/>
              </w:rPr>
              <w:t>2</w:t>
            </w:r>
          </w:p>
        </w:tc>
        <w:tc>
          <w:tcPr>
            <w:tcW w:w="1510" w:type="dxa"/>
            <w:vAlign w:val="center"/>
          </w:tcPr>
          <w:p w14:paraId="55E7CEAD" w14:textId="77777777" w:rsidR="00E76EAB" w:rsidRPr="00964D2F" w:rsidRDefault="00E76EAB" w:rsidP="00C65A4F">
            <w:pPr>
              <w:keepNext/>
              <w:spacing w:before="60" w:after="60"/>
              <w:jc w:val="center"/>
              <w:rPr>
                <w:b/>
              </w:rPr>
            </w:pPr>
            <w:r w:rsidRPr="00964D2F">
              <w:rPr>
                <w:b/>
              </w:rPr>
              <w:t>3</w:t>
            </w:r>
          </w:p>
        </w:tc>
        <w:tc>
          <w:tcPr>
            <w:tcW w:w="1510" w:type="dxa"/>
            <w:vAlign w:val="center"/>
          </w:tcPr>
          <w:p w14:paraId="38F0AF6B" w14:textId="77777777" w:rsidR="00E76EAB" w:rsidRPr="00964D2F" w:rsidRDefault="00E76EAB" w:rsidP="00C65A4F">
            <w:pPr>
              <w:keepNext/>
              <w:spacing w:before="60" w:after="60"/>
              <w:jc w:val="center"/>
              <w:rPr>
                <w:b/>
              </w:rPr>
            </w:pPr>
            <w:r w:rsidRPr="00964D2F">
              <w:rPr>
                <w:b/>
              </w:rPr>
              <w:t>4</w:t>
            </w:r>
          </w:p>
        </w:tc>
      </w:tr>
      <w:tr w:rsidR="00E76EAB" w14:paraId="1B56369F" w14:textId="77777777" w:rsidTr="005040DE">
        <w:tc>
          <w:tcPr>
            <w:tcW w:w="2263" w:type="dxa"/>
          </w:tcPr>
          <w:p w14:paraId="3680EBBA" w14:textId="77777777" w:rsidR="00E76EAB" w:rsidRPr="00964D2F" w:rsidRDefault="00E76EAB" w:rsidP="00C65A4F">
            <w:pPr>
              <w:keepNext/>
              <w:spacing w:before="60" w:after="60"/>
              <w:rPr>
                <w:b/>
              </w:rPr>
            </w:pPr>
            <w:r w:rsidRPr="00964D2F">
              <w:rPr>
                <w:b/>
              </w:rPr>
              <w:t>Risk weight (%)</w:t>
            </w:r>
          </w:p>
        </w:tc>
        <w:tc>
          <w:tcPr>
            <w:tcW w:w="1509" w:type="dxa"/>
          </w:tcPr>
          <w:p w14:paraId="0AE01DBC" w14:textId="77777777" w:rsidR="00E76EAB" w:rsidRPr="005C3879" w:rsidRDefault="00E76EAB" w:rsidP="00C65A4F">
            <w:pPr>
              <w:keepNext/>
              <w:spacing w:before="60" w:after="60"/>
              <w:jc w:val="center"/>
            </w:pPr>
            <w:r>
              <w:t>20</w:t>
            </w:r>
          </w:p>
        </w:tc>
        <w:tc>
          <w:tcPr>
            <w:tcW w:w="1510" w:type="dxa"/>
          </w:tcPr>
          <w:p w14:paraId="52E15CA2" w14:textId="77777777" w:rsidR="00E76EAB" w:rsidRPr="005C3879" w:rsidRDefault="00E76EAB" w:rsidP="00C65A4F">
            <w:pPr>
              <w:keepNext/>
              <w:spacing w:before="60" w:after="60"/>
              <w:jc w:val="center"/>
            </w:pPr>
            <w:r>
              <w:t>50</w:t>
            </w:r>
          </w:p>
        </w:tc>
        <w:tc>
          <w:tcPr>
            <w:tcW w:w="1510" w:type="dxa"/>
          </w:tcPr>
          <w:p w14:paraId="2AAB9A8E" w14:textId="77777777" w:rsidR="00E76EAB" w:rsidRPr="005C3879" w:rsidRDefault="00E76EAB" w:rsidP="00C65A4F">
            <w:pPr>
              <w:keepNext/>
              <w:spacing w:before="60" w:after="60"/>
              <w:jc w:val="center"/>
            </w:pPr>
            <w:r>
              <w:t>100</w:t>
            </w:r>
          </w:p>
        </w:tc>
        <w:tc>
          <w:tcPr>
            <w:tcW w:w="1510" w:type="dxa"/>
          </w:tcPr>
          <w:p w14:paraId="1454FC0D" w14:textId="77777777" w:rsidR="00E76EAB" w:rsidRPr="005C3879" w:rsidRDefault="00E76EAB" w:rsidP="00C65A4F">
            <w:pPr>
              <w:keepNext/>
              <w:spacing w:before="60" w:after="60"/>
              <w:jc w:val="center"/>
            </w:pPr>
            <w:r>
              <w:t>150</w:t>
            </w:r>
          </w:p>
        </w:tc>
      </w:tr>
    </w:tbl>
    <w:p w14:paraId="557A3891" w14:textId="77777777" w:rsidR="00E76EAB" w:rsidRDefault="00E76EAB" w:rsidP="00C04A49">
      <w:pPr>
        <w:spacing w:after="120"/>
        <w:rPr>
          <w:b/>
          <w:highlight w:val="yellow"/>
        </w:rPr>
      </w:pPr>
    </w:p>
    <w:p w14:paraId="2800249B" w14:textId="034AD7CF" w:rsidR="00AC60A7" w:rsidRDefault="00E76EAB" w:rsidP="00E76EAB">
      <w:pPr>
        <w:pStyle w:val="BodyText1"/>
      </w:pPr>
      <w:r>
        <w:t xml:space="preserve">If an ADI has a </w:t>
      </w:r>
      <w:r w:rsidR="00AC60A7">
        <w:t xml:space="preserve">bank </w:t>
      </w:r>
      <w:r>
        <w:t>exposure with a</w:t>
      </w:r>
      <w:r w:rsidR="007402B3">
        <w:t>n issue-specific</w:t>
      </w:r>
      <w:r>
        <w:t xml:space="preserve"> short-term external credit rating that maps to a credit rating grade</w:t>
      </w:r>
      <w:r w:rsidR="00AC60A7">
        <w:t>:</w:t>
      </w:r>
      <w:r>
        <w:t xml:space="preserve"> </w:t>
      </w:r>
    </w:p>
    <w:p w14:paraId="4CD90577" w14:textId="421A4173" w:rsidR="00E76EAB" w:rsidRPr="003D3D62" w:rsidRDefault="00E76EAB" w:rsidP="003D3D62">
      <w:pPr>
        <w:pStyle w:val="BodyText2"/>
      </w:pPr>
      <w:r w:rsidRPr="003D3D62">
        <w:t xml:space="preserve">that requires a higher risk weight than would be assigned under </w:t>
      </w:r>
      <w:r w:rsidR="006921CB" w:rsidRPr="003D3D62">
        <w:rPr>
          <w:highlight w:val="yellow"/>
        </w:rPr>
        <w:fldChar w:fldCharType="begin"/>
      </w:r>
      <w:r w:rsidR="006921CB" w:rsidRPr="003D3D62">
        <w:instrText xml:space="preserve"> REF _Ref3964536 \n \h </w:instrText>
      </w:r>
      <w:r w:rsidR="003D3D62">
        <w:rPr>
          <w:highlight w:val="yellow"/>
        </w:rPr>
        <w:instrText xml:space="preserve"> \* MERGEFORMAT </w:instrText>
      </w:r>
      <w:r w:rsidR="006921CB" w:rsidRPr="003D3D62">
        <w:rPr>
          <w:highlight w:val="yellow"/>
        </w:rPr>
      </w:r>
      <w:r w:rsidR="006921CB" w:rsidRPr="003D3D62">
        <w:rPr>
          <w:highlight w:val="yellow"/>
        </w:rPr>
        <w:fldChar w:fldCharType="separate"/>
      </w:r>
      <w:r w:rsidR="0007706D">
        <w:t>Table 7</w:t>
      </w:r>
      <w:r w:rsidR="006921CB" w:rsidRPr="003D3D62">
        <w:rPr>
          <w:highlight w:val="yellow"/>
        </w:rPr>
        <w:fldChar w:fldCharType="end"/>
      </w:r>
      <w:r w:rsidR="006921CB" w:rsidRPr="003D3D62">
        <w:t xml:space="preserve"> (short-term exposure)</w:t>
      </w:r>
      <w:r w:rsidRPr="003D3D62">
        <w:t>, then an ADI must risk-weight the exposure in accordance with</w:t>
      </w:r>
      <w:r w:rsidR="00100703" w:rsidRPr="003D3D62">
        <w:t xml:space="preserve"> </w:t>
      </w:r>
      <w:r w:rsidR="00100703" w:rsidRPr="003D3D62">
        <w:rPr>
          <w:highlight w:val="yellow"/>
        </w:rPr>
        <w:fldChar w:fldCharType="begin"/>
      </w:r>
      <w:r w:rsidR="00100703" w:rsidRPr="003D3D62">
        <w:instrText xml:space="preserve"> REF _Ref3964599 \n \h </w:instrText>
      </w:r>
      <w:r w:rsidR="003D3D62">
        <w:rPr>
          <w:highlight w:val="yellow"/>
        </w:rPr>
        <w:instrText xml:space="preserve"> \* MERGEFORMAT </w:instrText>
      </w:r>
      <w:r w:rsidR="00100703" w:rsidRPr="003D3D62">
        <w:rPr>
          <w:highlight w:val="yellow"/>
        </w:rPr>
      </w:r>
      <w:r w:rsidR="00100703" w:rsidRPr="003D3D62">
        <w:rPr>
          <w:highlight w:val="yellow"/>
        </w:rPr>
        <w:fldChar w:fldCharType="separate"/>
      </w:r>
      <w:r w:rsidR="0007706D">
        <w:t>Table 8</w:t>
      </w:r>
      <w:r w:rsidR="00100703" w:rsidRPr="003D3D62">
        <w:rPr>
          <w:highlight w:val="yellow"/>
        </w:rPr>
        <w:fldChar w:fldCharType="end"/>
      </w:r>
      <w:r w:rsidRPr="003D3D62">
        <w:t xml:space="preserve"> and not</w:t>
      </w:r>
      <w:r w:rsidR="00100703" w:rsidRPr="003D3D62">
        <w:t xml:space="preserve"> </w:t>
      </w:r>
      <w:r w:rsidR="00100703" w:rsidRPr="003D3D62">
        <w:rPr>
          <w:highlight w:val="yellow"/>
        </w:rPr>
        <w:fldChar w:fldCharType="begin"/>
      </w:r>
      <w:r w:rsidR="00100703" w:rsidRPr="003D3D62">
        <w:instrText xml:space="preserve"> REF _Ref3964536 \n \h </w:instrText>
      </w:r>
      <w:r w:rsidR="003D3D62">
        <w:rPr>
          <w:highlight w:val="yellow"/>
        </w:rPr>
        <w:instrText xml:space="preserve"> \* MERGEFORMAT </w:instrText>
      </w:r>
      <w:r w:rsidR="00100703" w:rsidRPr="003D3D62">
        <w:rPr>
          <w:highlight w:val="yellow"/>
        </w:rPr>
      </w:r>
      <w:r w:rsidR="00100703" w:rsidRPr="003D3D62">
        <w:rPr>
          <w:highlight w:val="yellow"/>
        </w:rPr>
        <w:fldChar w:fldCharType="separate"/>
      </w:r>
      <w:r w:rsidR="0007706D">
        <w:t>Table 7</w:t>
      </w:r>
      <w:r w:rsidR="00100703" w:rsidRPr="003D3D62">
        <w:rPr>
          <w:highlight w:val="yellow"/>
        </w:rPr>
        <w:fldChar w:fldCharType="end"/>
      </w:r>
      <w:r w:rsidR="00AC60A7" w:rsidRPr="003D3D62">
        <w:t>;</w:t>
      </w:r>
    </w:p>
    <w:p w14:paraId="3CB38A8F" w14:textId="238E4505" w:rsidR="00E76EAB" w:rsidRPr="003D3D62" w:rsidRDefault="00E76EAB" w:rsidP="003D3D62">
      <w:pPr>
        <w:pStyle w:val="BodyText2"/>
      </w:pPr>
      <w:r w:rsidRPr="003D3D62">
        <w:t>of 2 or 3</w:t>
      </w:r>
      <w:r w:rsidR="0051555B" w:rsidRPr="003D3D62">
        <w:t xml:space="preserve"> under Table 8</w:t>
      </w:r>
      <w:r w:rsidRPr="003D3D62">
        <w:t>, then all unrated short-term exposures to that counterparty must be risk-weighted at 100 per cent</w:t>
      </w:r>
      <w:r w:rsidR="003D3D62" w:rsidRPr="003D3D62">
        <w:t>; and</w:t>
      </w:r>
      <w:r w:rsidRPr="003D3D62">
        <w:t xml:space="preserve"> </w:t>
      </w:r>
    </w:p>
    <w:p w14:paraId="4ED7721B" w14:textId="7943A1B8" w:rsidR="00E76EAB" w:rsidRDefault="00E76EAB" w:rsidP="003D3D62">
      <w:pPr>
        <w:pStyle w:val="BodyText2"/>
      </w:pPr>
      <w:r w:rsidRPr="003D3D62">
        <w:t>of 4</w:t>
      </w:r>
      <w:r w:rsidR="0051555B" w:rsidRPr="003D3D62">
        <w:t xml:space="preserve"> under Table 8</w:t>
      </w:r>
      <w:r w:rsidRPr="003D3D62">
        <w:t xml:space="preserve">, then all unrated exposures to that counterparty, whether they are short-term or long-term exposures, must be risk-weighted at 150 per cent. </w:t>
      </w:r>
    </w:p>
    <w:p w14:paraId="7898486E" w14:textId="1031ADD6" w:rsidR="001638EB" w:rsidRPr="003D3D62" w:rsidRDefault="001638EB" w:rsidP="001638EB">
      <w:pPr>
        <w:pStyle w:val="BodyText1"/>
      </w:pPr>
      <w:r>
        <w:t>When assigning ri</w:t>
      </w:r>
      <w:r w:rsidR="00E90936">
        <w:t>sk-weights to bank exposures based on external credit ratings</w:t>
      </w:r>
      <w:r>
        <w:t xml:space="preserve">, an ADI must not use ratings that incorporate assumptions of implicit government support. </w:t>
      </w:r>
    </w:p>
    <w:p w14:paraId="0B328888" w14:textId="77777777" w:rsidR="00174BF4" w:rsidRDefault="00174BF4" w:rsidP="00174BF4">
      <w:pPr>
        <w:pStyle w:val="Heading3"/>
      </w:pPr>
      <w:r>
        <w:lastRenderedPageBreak/>
        <w:t>Covered bonds</w:t>
      </w:r>
    </w:p>
    <w:p w14:paraId="0EF25AA1" w14:textId="252C540D" w:rsidR="00DD2F90" w:rsidRDefault="007402B3" w:rsidP="00DD2F90">
      <w:pPr>
        <w:pStyle w:val="BodyText1"/>
      </w:pPr>
      <w:bookmarkStart w:id="96" w:name="_Ref3475066"/>
      <w:r>
        <w:t>An ADI may apply the risk weights</w:t>
      </w:r>
      <w:r w:rsidR="000C1BA4">
        <w:t xml:space="preserve"> in </w:t>
      </w:r>
      <w:r w:rsidR="000C1BA4">
        <w:fldChar w:fldCharType="begin"/>
      </w:r>
      <w:r w:rsidR="000C1BA4">
        <w:instrText xml:space="preserve"> REF _Ref28078682 \r \h </w:instrText>
      </w:r>
      <w:r w:rsidR="000C1BA4">
        <w:fldChar w:fldCharType="separate"/>
      </w:r>
      <w:r w:rsidR="0007706D">
        <w:t>Table 9</w:t>
      </w:r>
      <w:r w:rsidR="000C1BA4">
        <w:fldChar w:fldCharType="end"/>
      </w:r>
      <w:r w:rsidR="000C1BA4">
        <w:t xml:space="preserve"> </w:t>
      </w:r>
      <w:r>
        <w:t xml:space="preserve">to its covered bond exposures with an issue-specific external credit rating, where the requirements set out in paragraphs </w:t>
      </w:r>
      <w:r w:rsidR="000C1BA4">
        <w:fldChar w:fldCharType="begin"/>
      </w:r>
      <w:r w:rsidR="000C1BA4">
        <w:instrText xml:space="preserve"> REF _Ref3471065 \r \h </w:instrText>
      </w:r>
      <w:r w:rsidR="000C1BA4">
        <w:fldChar w:fldCharType="separate"/>
      </w:r>
      <w:r w:rsidR="0007706D">
        <w:t>15</w:t>
      </w:r>
      <w:r w:rsidR="000C1BA4">
        <w:fldChar w:fldCharType="end"/>
      </w:r>
      <w:r>
        <w:t xml:space="preserve"> and </w:t>
      </w:r>
      <w:r w:rsidR="000C1BA4">
        <w:fldChar w:fldCharType="begin"/>
      </w:r>
      <w:r w:rsidR="000C1BA4">
        <w:instrText xml:space="preserve"> REF _Ref3475087 \r \h </w:instrText>
      </w:r>
      <w:r w:rsidR="000C1BA4">
        <w:fldChar w:fldCharType="separate"/>
      </w:r>
      <w:r w:rsidR="0007706D">
        <w:t>16</w:t>
      </w:r>
      <w:r w:rsidR="000C1BA4">
        <w:fldChar w:fldCharType="end"/>
      </w:r>
      <w:r>
        <w:t xml:space="preserve"> </w:t>
      </w:r>
      <w:r w:rsidR="001520C6">
        <w:t xml:space="preserve">of this Attachment </w:t>
      </w:r>
      <w:r>
        <w:t>are met.</w:t>
      </w:r>
    </w:p>
    <w:p w14:paraId="028B867E" w14:textId="77777777" w:rsidR="00DD2F90" w:rsidRPr="007844FD" w:rsidRDefault="00DD2F90" w:rsidP="00DD2F90">
      <w:pPr>
        <w:pStyle w:val="TableHeadNumber"/>
      </w:pPr>
      <w:bookmarkStart w:id="97" w:name="_Ref28078682"/>
      <w:r>
        <w:t>Risk</w:t>
      </w:r>
      <w:r w:rsidRPr="004161D0">
        <w:t xml:space="preserve"> weights for rated covered bond exposures</w:t>
      </w:r>
      <w:bookmarkEnd w:id="97"/>
    </w:p>
    <w:tbl>
      <w:tblPr>
        <w:tblStyle w:val="TableGrid"/>
        <w:tblW w:w="8359" w:type="dxa"/>
        <w:tblLook w:val="04A0" w:firstRow="1" w:lastRow="0" w:firstColumn="1" w:lastColumn="0" w:noHBand="0" w:noVBand="1"/>
      </w:tblPr>
      <w:tblGrid>
        <w:gridCol w:w="1979"/>
        <w:gridCol w:w="1595"/>
        <w:gridCol w:w="1595"/>
        <w:gridCol w:w="1595"/>
        <w:gridCol w:w="1595"/>
      </w:tblGrid>
      <w:tr w:rsidR="00DD2F90" w14:paraId="07B71CA6" w14:textId="77777777" w:rsidTr="005040DE">
        <w:tc>
          <w:tcPr>
            <w:tcW w:w="1979" w:type="dxa"/>
          </w:tcPr>
          <w:p w14:paraId="3DB3457F" w14:textId="77777777" w:rsidR="00DD2F90" w:rsidRPr="00964D2F" w:rsidRDefault="00DD2F90" w:rsidP="00C65A4F">
            <w:pPr>
              <w:keepNext/>
              <w:spacing w:before="60" w:after="60"/>
              <w:rPr>
                <w:b/>
              </w:rPr>
            </w:pPr>
            <w:r w:rsidRPr="00964D2F">
              <w:rPr>
                <w:b/>
              </w:rPr>
              <w:t>Credit rating grade</w:t>
            </w:r>
          </w:p>
        </w:tc>
        <w:tc>
          <w:tcPr>
            <w:tcW w:w="1595" w:type="dxa"/>
            <w:vAlign w:val="center"/>
          </w:tcPr>
          <w:p w14:paraId="217DFC0C" w14:textId="77777777" w:rsidR="00DD2F90" w:rsidRPr="00964D2F" w:rsidRDefault="00DD2F90" w:rsidP="00C65A4F">
            <w:pPr>
              <w:spacing w:before="60" w:after="60"/>
              <w:jc w:val="center"/>
              <w:rPr>
                <w:b/>
              </w:rPr>
            </w:pPr>
            <w:r w:rsidRPr="00964D2F">
              <w:rPr>
                <w:b/>
              </w:rPr>
              <w:t>1</w:t>
            </w:r>
          </w:p>
        </w:tc>
        <w:tc>
          <w:tcPr>
            <w:tcW w:w="1595" w:type="dxa"/>
            <w:vAlign w:val="center"/>
          </w:tcPr>
          <w:p w14:paraId="793B19D8" w14:textId="77777777" w:rsidR="00DD2F90" w:rsidRPr="00964D2F" w:rsidRDefault="00DD2F90" w:rsidP="00C65A4F">
            <w:pPr>
              <w:spacing w:before="60" w:after="60"/>
              <w:jc w:val="center"/>
              <w:rPr>
                <w:b/>
              </w:rPr>
            </w:pPr>
            <w:r w:rsidRPr="00964D2F">
              <w:rPr>
                <w:b/>
              </w:rPr>
              <w:t>2</w:t>
            </w:r>
            <w:r>
              <w:rPr>
                <w:b/>
              </w:rPr>
              <w:t>, 3</w:t>
            </w:r>
          </w:p>
        </w:tc>
        <w:tc>
          <w:tcPr>
            <w:tcW w:w="1595" w:type="dxa"/>
            <w:vAlign w:val="center"/>
          </w:tcPr>
          <w:p w14:paraId="6B5B6A3A" w14:textId="77777777" w:rsidR="00DD2F90" w:rsidRPr="00964D2F" w:rsidRDefault="00DD2F90" w:rsidP="00C65A4F">
            <w:pPr>
              <w:spacing w:before="60" w:after="60"/>
              <w:jc w:val="center"/>
              <w:rPr>
                <w:b/>
              </w:rPr>
            </w:pPr>
            <w:r w:rsidRPr="00964D2F">
              <w:rPr>
                <w:b/>
              </w:rPr>
              <w:t>4, 5</w:t>
            </w:r>
          </w:p>
        </w:tc>
        <w:tc>
          <w:tcPr>
            <w:tcW w:w="1595" w:type="dxa"/>
            <w:vAlign w:val="center"/>
          </w:tcPr>
          <w:p w14:paraId="2D072F87" w14:textId="77777777" w:rsidR="00DD2F90" w:rsidRPr="00964D2F" w:rsidRDefault="00DD2F90" w:rsidP="00C65A4F">
            <w:pPr>
              <w:spacing w:before="60" w:after="60"/>
              <w:jc w:val="center"/>
              <w:rPr>
                <w:b/>
              </w:rPr>
            </w:pPr>
            <w:r w:rsidRPr="00964D2F">
              <w:rPr>
                <w:b/>
              </w:rPr>
              <w:t>6</w:t>
            </w:r>
          </w:p>
        </w:tc>
      </w:tr>
      <w:tr w:rsidR="00DD2F90" w14:paraId="6F5EF625" w14:textId="77777777" w:rsidTr="005040DE">
        <w:tc>
          <w:tcPr>
            <w:tcW w:w="1979" w:type="dxa"/>
          </w:tcPr>
          <w:p w14:paraId="16D2AE2D" w14:textId="77777777" w:rsidR="00DD2F90" w:rsidRPr="00964D2F" w:rsidRDefault="00DD2F90" w:rsidP="00C65A4F">
            <w:pPr>
              <w:keepNext/>
              <w:spacing w:before="60" w:after="60"/>
              <w:rPr>
                <w:b/>
              </w:rPr>
            </w:pPr>
            <w:r w:rsidRPr="00964D2F">
              <w:rPr>
                <w:b/>
              </w:rPr>
              <w:t>Risk weight (%)</w:t>
            </w:r>
          </w:p>
        </w:tc>
        <w:tc>
          <w:tcPr>
            <w:tcW w:w="1595" w:type="dxa"/>
          </w:tcPr>
          <w:p w14:paraId="2B70ABB9" w14:textId="77777777" w:rsidR="00DD2F90" w:rsidRDefault="00DD2F90" w:rsidP="00C65A4F">
            <w:pPr>
              <w:spacing w:before="60" w:after="60"/>
              <w:jc w:val="center"/>
            </w:pPr>
            <w:r>
              <w:t>10</w:t>
            </w:r>
          </w:p>
        </w:tc>
        <w:tc>
          <w:tcPr>
            <w:tcW w:w="1595" w:type="dxa"/>
          </w:tcPr>
          <w:p w14:paraId="1C78949A" w14:textId="77777777" w:rsidR="00DD2F90" w:rsidRDefault="00DD2F90" w:rsidP="00C65A4F">
            <w:pPr>
              <w:spacing w:before="60" w:after="60"/>
              <w:jc w:val="center"/>
            </w:pPr>
            <w:r>
              <w:t>20</w:t>
            </w:r>
          </w:p>
        </w:tc>
        <w:tc>
          <w:tcPr>
            <w:tcW w:w="1595" w:type="dxa"/>
          </w:tcPr>
          <w:p w14:paraId="58E99ADB" w14:textId="77777777" w:rsidR="00DD2F90" w:rsidRDefault="00DD2F90" w:rsidP="00C65A4F">
            <w:pPr>
              <w:spacing w:before="60" w:after="60"/>
              <w:jc w:val="center"/>
            </w:pPr>
            <w:r>
              <w:t>50</w:t>
            </w:r>
          </w:p>
        </w:tc>
        <w:tc>
          <w:tcPr>
            <w:tcW w:w="1595" w:type="dxa"/>
          </w:tcPr>
          <w:p w14:paraId="14E6A545" w14:textId="77777777" w:rsidR="00DD2F90" w:rsidRDefault="00DD2F90" w:rsidP="00C65A4F">
            <w:pPr>
              <w:spacing w:before="60" w:after="60"/>
              <w:jc w:val="center"/>
            </w:pPr>
            <w:r>
              <w:t>100</w:t>
            </w:r>
          </w:p>
        </w:tc>
      </w:tr>
    </w:tbl>
    <w:p w14:paraId="6E47E28B" w14:textId="77777777" w:rsidR="00857B57" w:rsidRDefault="00857B57" w:rsidP="00857B57">
      <w:bookmarkStart w:id="98" w:name="_Ref28078624"/>
      <w:bookmarkStart w:id="99" w:name="_Ref28078752"/>
    </w:p>
    <w:p w14:paraId="2CAC7457" w14:textId="33D6A170" w:rsidR="00174BF4" w:rsidRDefault="00174BF4" w:rsidP="00DD2F90">
      <w:pPr>
        <w:pStyle w:val="BodyText1"/>
        <w:spacing w:before="240"/>
      </w:pPr>
      <w:bookmarkStart w:id="100" w:name="_Ref28949137"/>
      <w:r>
        <w:t xml:space="preserve">An ADI may apply the risk weights in </w:t>
      </w:r>
      <w:r w:rsidR="001520C6">
        <w:fldChar w:fldCharType="begin"/>
      </w:r>
      <w:r w:rsidR="001520C6">
        <w:instrText xml:space="preserve"> REF _Ref28078682 \r \h </w:instrText>
      </w:r>
      <w:r w:rsidR="001520C6">
        <w:fldChar w:fldCharType="separate"/>
      </w:r>
      <w:r w:rsidR="0007706D">
        <w:t>Table 9</w:t>
      </w:r>
      <w:r w:rsidR="001520C6">
        <w:fldChar w:fldCharType="end"/>
      </w:r>
      <w:r w:rsidR="001520C6">
        <w:t xml:space="preserve"> </w:t>
      </w:r>
      <w:r w:rsidR="006345A2">
        <w:t>where</w:t>
      </w:r>
      <w:r>
        <w:t>:</w:t>
      </w:r>
      <w:bookmarkEnd w:id="96"/>
      <w:bookmarkEnd w:id="98"/>
      <w:bookmarkEnd w:id="99"/>
      <w:bookmarkEnd w:id="100"/>
    </w:p>
    <w:p w14:paraId="6EF80A84" w14:textId="6D2AF445" w:rsidR="00174BF4" w:rsidRPr="00174BF4" w:rsidRDefault="00174BF4" w:rsidP="00D5525A">
      <w:pPr>
        <w:pStyle w:val="BodyText2"/>
      </w:pPr>
      <w:r w:rsidRPr="00174BF4">
        <w:t>the cover pool include</w:t>
      </w:r>
      <w:r w:rsidR="006345A2">
        <w:t>s</w:t>
      </w:r>
      <w:r w:rsidR="00BA2773">
        <w:t xml:space="preserve"> only</w:t>
      </w:r>
      <w:r w:rsidRPr="00174BF4">
        <w:t xml:space="preserve"> the following</w:t>
      </w:r>
      <w:r w:rsidR="00317506">
        <w:t xml:space="preserve"> assets</w:t>
      </w:r>
      <w:r w:rsidRPr="00174BF4">
        <w:t>:</w:t>
      </w:r>
    </w:p>
    <w:p w14:paraId="3CB84CC9" w14:textId="23E9DCB3" w:rsidR="009B4EB5" w:rsidRDefault="009B4EB5" w:rsidP="00D5525A">
      <w:pPr>
        <w:pStyle w:val="BodyText3"/>
      </w:pPr>
      <w:r w:rsidRPr="009B4EB5">
        <w:t>loans to, or guaranteed by, sovereigns</w:t>
      </w:r>
      <w:r w:rsidR="00CB7D3B">
        <w:t xml:space="preserve"> or</w:t>
      </w:r>
      <w:r w:rsidRPr="009B4EB5">
        <w:t xml:space="preserve"> </w:t>
      </w:r>
      <w:r w:rsidR="00DA7C74">
        <w:t xml:space="preserve">domestic </w:t>
      </w:r>
      <w:r w:rsidR="0030481D">
        <w:t>PSEs</w:t>
      </w:r>
      <w:r w:rsidRPr="009B4EB5">
        <w:t>;</w:t>
      </w:r>
    </w:p>
    <w:p w14:paraId="551D5E61" w14:textId="2D9E525A" w:rsidR="004F21A6" w:rsidRPr="00382BAE" w:rsidRDefault="004F21A6" w:rsidP="004F21A6">
      <w:pPr>
        <w:pStyle w:val="BodyText3"/>
      </w:pPr>
      <w:r w:rsidRPr="00382BAE">
        <w:t>loans to, or guaranteed by, banks that qualify for a</w:t>
      </w:r>
      <w:r w:rsidR="007F11B2">
        <w:t xml:space="preserve"> risk weight of</w:t>
      </w:r>
      <w:r w:rsidRPr="00382BAE">
        <w:t xml:space="preserve"> 30 per cent or lower </w:t>
      </w:r>
      <w:r>
        <w:t xml:space="preserve">in accordance with </w:t>
      </w:r>
      <w:r w:rsidRPr="004161D0">
        <w:t xml:space="preserve">paragraphs </w:t>
      </w:r>
      <w:r w:rsidRPr="004161D0">
        <w:fldChar w:fldCharType="begin"/>
      </w:r>
      <w:r w:rsidRPr="004161D0">
        <w:instrText xml:space="preserve"> REF _Ref3474950 \r \h </w:instrText>
      </w:r>
      <w:r>
        <w:instrText xml:space="preserve"> \* MERGEFORMAT </w:instrText>
      </w:r>
      <w:r w:rsidRPr="004161D0">
        <w:fldChar w:fldCharType="separate"/>
      </w:r>
      <w:r w:rsidR="0007706D">
        <w:t>8</w:t>
      </w:r>
      <w:r w:rsidRPr="004161D0">
        <w:fldChar w:fldCharType="end"/>
      </w:r>
      <w:r w:rsidRPr="004161D0">
        <w:t xml:space="preserve"> to </w:t>
      </w:r>
      <w:r w:rsidRPr="004161D0">
        <w:fldChar w:fldCharType="begin"/>
      </w:r>
      <w:r w:rsidRPr="004161D0">
        <w:instrText xml:space="preserve"> REF _Ref3474971 \r \h </w:instrText>
      </w:r>
      <w:r>
        <w:instrText xml:space="preserve"> \* MERGEFORMAT </w:instrText>
      </w:r>
      <w:r w:rsidRPr="004161D0">
        <w:fldChar w:fldCharType="separate"/>
      </w:r>
      <w:r w:rsidR="0007706D">
        <w:t>10</w:t>
      </w:r>
      <w:r w:rsidRPr="004161D0">
        <w:fldChar w:fldCharType="end"/>
      </w:r>
      <w:r w:rsidRPr="004161D0">
        <w:t xml:space="preserve"> of this Attachment;</w:t>
      </w:r>
      <w:r w:rsidRPr="00382BAE">
        <w:t xml:space="preserve"> however, such assets cannot exceed 15 per cent of the cover pool;</w:t>
      </w:r>
    </w:p>
    <w:p w14:paraId="056684FA" w14:textId="3E9A1C86" w:rsidR="009B4EB5" w:rsidRPr="009B4EB5" w:rsidRDefault="009B4EB5" w:rsidP="00D5525A">
      <w:pPr>
        <w:pStyle w:val="BodyText3"/>
      </w:pPr>
      <w:r w:rsidRPr="009B4EB5">
        <w:t>residential</w:t>
      </w:r>
      <w:r w:rsidR="007F11B2">
        <w:t xml:space="preserve"> property </w:t>
      </w:r>
      <w:r w:rsidR="00BA2773">
        <w:t xml:space="preserve">exposures </w:t>
      </w:r>
      <w:r w:rsidR="004911FB">
        <w:t xml:space="preserve">that meet the requirements </w:t>
      </w:r>
      <w:r w:rsidRPr="009B4EB5">
        <w:t>in</w:t>
      </w:r>
      <w:r w:rsidR="0065350B">
        <w:t xml:space="preserve"> </w:t>
      </w:r>
      <w:r w:rsidR="0065350B" w:rsidRPr="00B460AB">
        <w:t xml:space="preserve">paragraphs </w:t>
      </w:r>
      <w:r w:rsidR="0065350B" w:rsidRPr="00B460AB">
        <w:fldChar w:fldCharType="begin"/>
      </w:r>
      <w:r w:rsidR="0065350B" w:rsidRPr="00B460AB">
        <w:instrText xml:space="preserve"> REF _Ref3471313 \r \h  \* MERGEFORMAT </w:instrText>
      </w:r>
      <w:r w:rsidR="0065350B" w:rsidRPr="00B460AB">
        <w:fldChar w:fldCharType="separate"/>
      </w:r>
      <w:r w:rsidR="0007706D">
        <w:t>3</w:t>
      </w:r>
      <w:r w:rsidR="0065350B" w:rsidRPr="00B460AB">
        <w:fldChar w:fldCharType="end"/>
      </w:r>
      <w:r w:rsidR="0065350B" w:rsidRPr="00B460AB">
        <w:t xml:space="preserve"> to</w:t>
      </w:r>
      <w:r w:rsidR="0065350B">
        <w:t xml:space="preserve"> </w:t>
      </w:r>
      <w:r w:rsidR="0065350B">
        <w:fldChar w:fldCharType="begin"/>
      </w:r>
      <w:r w:rsidR="0065350B">
        <w:instrText xml:space="preserve"> REF _Ref3471349 \r \h </w:instrText>
      </w:r>
      <w:r w:rsidR="0065350B">
        <w:fldChar w:fldCharType="separate"/>
      </w:r>
      <w:r w:rsidR="0007706D">
        <w:t>7</w:t>
      </w:r>
      <w:r w:rsidR="0065350B">
        <w:fldChar w:fldCharType="end"/>
      </w:r>
      <w:r w:rsidRPr="009B4EB5">
        <w:t xml:space="preserve"> of Attachment A to this Prudential Standard</w:t>
      </w:r>
      <w:r>
        <w:t xml:space="preserve"> for covered bonds issued in Australia</w:t>
      </w:r>
      <w:r w:rsidR="0082731E">
        <w:t>,</w:t>
      </w:r>
      <w:r>
        <w:t xml:space="preserve"> and as defined by the relevant supervisory authority for covered bonds issued in other jurisdictions</w:t>
      </w:r>
      <w:r w:rsidRPr="009B4EB5">
        <w:t>, with an LVR equal to or less than 80 per cent;</w:t>
      </w:r>
      <w:r w:rsidR="004F21A6">
        <w:t xml:space="preserve"> and</w:t>
      </w:r>
    </w:p>
    <w:p w14:paraId="49082903" w14:textId="74485668" w:rsidR="00092449" w:rsidRPr="00092449" w:rsidRDefault="00092449" w:rsidP="00D5525A">
      <w:pPr>
        <w:pStyle w:val="BodyText3"/>
      </w:pPr>
      <w:r w:rsidRPr="00092449">
        <w:t>commercial</w:t>
      </w:r>
      <w:r w:rsidR="00233B93">
        <w:t xml:space="preserve"> property</w:t>
      </w:r>
      <w:r w:rsidR="00BA2773">
        <w:t xml:space="preserve"> exposures</w:t>
      </w:r>
      <w:r w:rsidRPr="00092449">
        <w:t xml:space="preserve"> </w:t>
      </w:r>
      <w:r w:rsidR="004911FB">
        <w:t xml:space="preserve">that meet the requirements </w:t>
      </w:r>
      <w:r w:rsidR="004911FB" w:rsidRPr="009B4EB5">
        <w:t xml:space="preserve">in </w:t>
      </w:r>
      <w:r w:rsidR="0065350B" w:rsidRPr="00B460AB">
        <w:t xml:space="preserve">paragraphs </w:t>
      </w:r>
      <w:r w:rsidR="0065350B" w:rsidRPr="00B460AB">
        <w:fldChar w:fldCharType="begin"/>
      </w:r>
      <w:r w:rsidR="0065350B" w:rsidRPr="00B460AB">
        <w:instrText xml:space="preserve"> REF _Ref3471313 \r \h  \* MERGEFORMAT </w:instrText>
      </w:r>
      <w:r w:rsidR="0065350B" w:rsidRPr="00B460AB">
        <w:fldChar w:fldCharType="separate"/>
      </w:r>
      <w:r w:rsidR="0007706D">
        <w:t>3</w:t>
      </w:r>
      <w:r w:rsidR="0065350B" w:rsidRPr="00B460AB">
        <w:fldChar w:fldCharType="end"/>
      </w:r>
      <w:r w:rsidR="0065350B" w:rsidRPr="00B460AB">
        <w:t xml:space="preserve"> to</w:t>
      </w:r>
      <w:r w:rsidR="0065350B">
        <w:t xml:space="preserve"> </w:t>
      </w:r>
      <w:r w:rsidR="0065350B">
        <w:fldChar w:fldCharType="begin"/>
      </w:r>
      <w:r w:rsidR="0065350B">
        <w:instrText xml:space="preserve"> REF _Ref3471349 \r \h </w:instrText>
      </w:r>
      <w:r w:rsidR="0065350B">
        <w:fldChar w:fldCharType="separate"/>
      </w:r>
      <w:r w:rsidR="0007706D">
        <w:t>7</w:t>
      </w:r>
      <w:r w:rsidR="0065350B">
        <w:fldChar w:fldCharType="end"/>
      </w:r>
      <w:r w:rsidR="004911FB">
        <w:t xml:space="preserve"> </w:t>
      </w:r>
      <w:r w:rsidRPr="00092449">
        <w:t>of Attachment A to this Prudential Standard</w:t>
      </w:r>
      <w:r w:rsidR="00382BAE">
        <w:t xml:space="preserve"> for covered bonds issued in Australia</w:t>
      </w:r>
      <w:r w:rsidR="0082731E">
        <w:t>,</w:t>
      </w:r>
      <w:r w:rsidR="00382BAE">
        <w:t xml:space="preserve"> and as defined by the relevant supervisory authority for covered bonds issued in other jurisdictions</w:t>
      </w:r>
      <w:r w:rsidRPr="00092449">
        <w:t>, with an LVR equ</w:t>
      </w:r>
      <w:r w:rsidR="004F21A6">
        <w:t>al to or less than 60 per cent;</w:t>
      </w:r>
    </w:p>
    <w:p w14:paraId="5B9B98E9" w14:textId="3357E112" w:rsidR="00EC1FFD" w:rsidRDefault="00EC1FFD" w:rsidP="00D5525A">
      <w:pPr>
        <w:pStyle w:val="BodyText2"/>
      </w:pPr>
      <w:r>
        <w:t>the nominal value of the cover pool exceed</w:t>
      </w:r>
      <w:r w:rsidR="006345A2">
        <w:t>s</w:t>
      </w:r>
      <w:r>
        <w:t xml:space="preserve"> the nominal outstanding value of the covered bond by at least 10 per cent; and</w:t>
      </w:r>
    </w:p>
    <w:p w14:paraId="7B460014" w14:textId="4D6234FF" w:rsidR="00EC1FFD" w:rsidRDefault="00EC1FFD" w:rsidP="00D5525A">
      <w:pPr>
        <w:pStyle w:val="BodyText2"/>
      </w:pPr>
      <w:r>
        <w:t xml:space="preserve">the conditions set out in this paragraph </w:t>
      </w:r>
      <w:r w:rsidR="008C283A">
        <w:t>are</w:t>
      </w:r>
      <w:r>
        <w:t xml:space="preserve"> satisfied a</w:t>
      </w:r>
      <w:r w:rsidR="00147E07">
        <w:t>t</w:t>
      </w:r>
      <w:r>
        <w:t xml:space="preserve"> the </w:t>
      </w:r>
      <w:r w:rsidR="00DB4986">
        <w:t>time of issu</w:t>
      </w:r>
      <w:r w:rsidR="00CD6680">
        <w:t>ance,</w:t>
      </w:r>
      <w:r>
        <w:t xml:space="preserve"> and </w:t>
      </w:r>
      <w:r w:rsidR="00D25BC8">
        <w:t xml:space="preserve">at all times </w:t>
      </w:r>
      <w:r w:rsidR="0082731E">
        <w:t xml:space="preserve">throughout </w:t>
      </w:r>
      <w:r w:rsidR="00CD6680">
        <w:t>the</w:t>
      </w:r>
      <w:r w:rsidR="0082731E">
        <w:t xml:space="preserve"> remaining</w:t>
      </w:r>
      <w:r>
        <w:t xml:space="preserve"> maturity</w:t>
      </w:r>
      <w:r w:rsidR="00CD6680">
        <w:t xml:space="preserve"> of the covered bond</w:t>
      </w:r>
      <w:r>
        <w:t xml:space="preserve">. </w:t>
      </w:r>
    </w:p>
    <w:p w14:paraId="477DEC83" w14:textId="21BB44C7" w:rsidR="00174BF4" w:rsidRDefault="00EC1FFD" w:rsidP="00EC1FFD">
      <w:pPr>
        <w:pStyle w:val="BodyText1"/>
      </w:pPr>
      <w:bookmarkStart w:id="101" w:name="_Ref3475087"/>
      <w:r>
        <w:t>An ADI must be able to demonstrate to APRA that</w:t>
      </w:r>
      <w:r w:rsidR="00A1595C">
        <w:t>,</w:t>
      </w:r>
      <w:r w:rsidR="007844FD">
        <w:t xml:space="preserve"> at a minimum, the following information is available to</w:t>
      </w:r>
      <w:r w:rsidR="002F2E2D">
        <w:t xml:space="preserve"> the ADI</w:t>
      </w:r>
      <w:r w:rsidR="007844FD">
        <w:t xml:space="preserve"> on at least a semi-annual basis:</w:t>
      </w:r>
      <w:bookmarkEnd w:id="101"/>
    </w:p>
    <w:p w14:paraId="44E73123" w14:textId="77777777" w:rsidR="00EC1FFD" w:rsidRPr="00EC1FFD" w:rsidRDefault="00EC1FFD" w:rsidP="00D5525A">
      <w:pPr>
        <w:pStyle w:val="BodyText2"/>
      </w:pPr>
      <w:r w:rsidRPr="00EC1FFD">
        <w:t>the value of the cover pool and outstanding covered bonds;</w:t>
      </w:r>
    </w:p>
    <w:p w14:paraId="7454D37E" w14:textId="77777777" w:rsidR="00EC1FFD" w:rsidRPr="00EC1FFD" w:rsidRDefault="00EC1FFD" w:rsidP="00D5525A">
      <w:pPr>
        <w:pStyle w:val="BodyText2"/>
      </w:pPr>
      <w:r w:rsidRPr="00EC1FFD">
        <w:t>the geographical distribution and type of cover assets, loan size, interest rate and currency risks;</w:t>
      </w:r>
    </w:p>
    <w:p w14:paraId="7542896C" w14:textId="4594B72D" w:rsidR="00EC1FFD" w:rsidRPr="00EC1FFD" w:rsidRDefault="00EC1FFD" w:rsidP="00D5525A">
      <w:pPr>
        <w:pStyle w:val="BodyText2"/>
      </w:pPr>
      <w:r w:rsidRPr="00EC1FFD">
        <w:lastRenderedPageBreak/>
        <w:t xml:space="preserve">the maturity structure of assets in the cover pool and </w:t>
      </w:r>
      <w:r w:rsidR="00A651C4">
        <w:t xml:space="preserve">of the </w:t>
      </w:r>
      <w:r w:rsidRPr="00EC1FFD">
        <w:t>covered bonds; and</w:t>
      </w:r>
    </w:p>
    <w:p w14:paraId="149EEFCB" w14:textId="4F8D5CFA" w:rsidR="007844FD" w:rsidRDefault="007844FD" w:rsidP="00D5525A">
      <w:pPr>
        <w:pStyle w:val="BodyText2"/>
      </w:pPr>
      <w:r w:rsidRPr="007844FD">
        <w:t>the percentage of l</w:t>
      </w:r>
      <w:r>
        <w:t xml:space="preserve">oans </w:t>
      </w:r>
      <w:r w:rsidR="00510F2D">
        <w:t>that are</w:t>
      </w:r>
      <w:r>
        <w:t xml:space="preserve"> 90 days</w:t>
      </w:r>
      <w:r w:rsidR="00510F2D">
        <w:t xml:space="preserve"> or more</w:t>
      </w:r>
      <w:r>
        <w:t xml:space="preserve"> past</w:t>
      </w:r>
      <w:r w:rsidR="00510F2D">
        <w:t>-</w:t>
      </w:r>
      <w:r>
        <w:t>due.</w:t>
      </w:r>
    </w:p>
    <w:p w14:paraId="111A7F1C" w14:textId="30004274" w:rsidR="003F2F83" w:rsidRPr="003F2F83" w:rsidRDefault="003F2F83" w:rsidP="003F2F83">
      <w:pPr>
        <w:pStyle w:val="BodyText1"/>
      </w:pPr>
      <w:r w:rsidRPr="003F2F83">
        <w:t xml:space="preserve">Where a covered bond is unrated or does not meet the </w:t>
      </w:r>
      <w:r w:rsidR="00CD6680">
        <w:t>requirements</w:t>
      </w:r>
      <w:r w:rsidR="00B42994">
        <w:t xml:space="preserve"> set out in paragraphs</w:t>
      </w:r>
      <w:r w:rsidR="000C1BA4">
        <w:t xml:space="preserve"> </w:t>
      </w:r>
      <w:r w:rsidR="003F72C7">
        <w:fldChar w:fldCharType="begin"/>
      </w:r>
      <w:r w:rsidR="003F72C7">
        <w:instrText xml:space="preserve"> REF _Ref28949137 \r \h </w:instrText>
      </w:r>
      <w:r w:rsidR="003F72C7">
        <w:fldChar w:fldCharType="separate"/>
      </w:r>
      <w:r w:rsidR="0007706D">
        <w:t>15</w:t>
      </w:r>
      <w:r w:rsidR="003F72C7">
        <w:fldChar w:fldCharType="end"/>
      </w:r>
      <w:r w:rsidR="000C1BA4">
        <w:t xml:space="preserve"> and</w:t>
      </w:r>
      <w:r w:rsidR="003F72C7">
        <w:t xml:space="preserve"> </w:t>
      </w:r>
      <w:r w:rsidR="003F72C7">
        <w:fldChar w:fldCharType="begin"/>
      </w:r>
      <w:r w:rsidR="003F72C7">
        <w:instrText xml:space="preserve"> REF _Ref54101437 \r \h </w:instrText>
      </w:r>
      <w:r w:rsidR="003F72C7">
        <w:fldChar w:fldCharType="separate"/>
      </w:r>
      <w:r w:rsidR="0007706D">
        <w:t>16</w:t>
      </w:r>
      <w:r w:rsidR="003F72C7">
        <w:fldChar w:fldCharType="end"/>
      </w:r>
      <w:r w:rsidR="00B42994">
        <w:t xml:space="preserve"> </w:t>
      </w:r>
      <w:r w:rsidR="003F72C7">
        <w:t>of</w:t>
      </w:r>
      <w:r w:rsidRPr="00904D3A">
        <w:t xml:space="preserve"> this</w:t>
      </w:r>
      <w:r>
        <w:t xml:space="preserve"> Attachment</w:t>
      </w:r>
      <w:r w:rsidRPr="003F2F83">
        <w:t>, an ADI must</w:t>
      </w:r>
      <w:r w:rsidR="007402B3">
        <w:t xml:space="preserve"> treat the covered bond as a bank exposure and</w:t>
      </w:r>
      <w:r w:rsidRPr="003F2F83">
        <w:t xml:space="preserve"> apply the risk weights in </w:t>
      </w:r>
      <w:r w:rsidR="004B0F21">
        <w:rPr>
          <w:highlight w:val="yellow"/>
        </w:rPr>
        <w:fldChar w:fldCharType="begin"/>
      </w:r>
      <w:r w:rsidR="004B0F21">
        <w:instrText xml:space="preserve"> REF _Ref3964536 \n \h </w:instrText>
      </w:r>
      <w:r w:rsidR="004B0F21">
        <w:rPr>
          <w:highlight w:val="yellow"/>
        </w:rPr>
      </w:r>
      <w:r w:rsidR="004B0F21">
        <w:rPr>
          <w:highlight w:val="yellow"/>
        </w:rPr>
        <w:fldChar w:fldCharType="separate"/>
      </w:r>
      <w:r w:rsidR="0007706D">
        <w:t>Table 7</w:t>
      </w:r>
      <w:r w:rsidR="004B0F21">
        <w:rPr>
          <w:highlight w:val="yellow"/>
        </w:rPr>
        <w:fldChar w:fldCharType="end"/>
      </w:r>
      <w:r w:rsidRPr="003F2F83">
        <w:t xml:space="preserve">. </w:t>
      </w:r>
    </w:p>
    <w:p w14:paraId="408B1190" w14:textId="77777777" w:rsidR="003F2F83" w:rsidRDefault="00E1258E" w:rsidP="00E1258E">
      <w:pPr>
        <w:pStyle w:val="Heading1"/>
      </w:pPr>
      <w:bookmarkStart w:id="102" w:name="_Toc4489886"/>
      <w:r>
        <w:t>Corporate</w:t>
      </w:r>
      <w:r w:rsidR="00496AEE">
        <w:t xml:space="preserve"> exposure</w:t>
      </w:r>
      <w:r>
        <w:t>s</w:t>
      </w:r>
      <w:bookmarkEnd w:id="102"/>
    </w:p>
    <w:p w14:paraId="1CF61E33" w14:textId="1136CBD9" w:rsidR="00FF5724" w:rsidRDefault="00FF5724" w:rsidP="00FF5724">
      <w:pPr>
        <w:pStyle w:val="BodyText1"/>
      </w:pPr>
      <w:bookmarkStart w:id="103" w:name="_Ref10738097"/>
      <w:r w:rsidRPr="00FF5724">
        <w:t xml:space="preserve">An exposure to a corporate counterparty includes all exposures to incorporated entities, associations, partnerships, proprietorships, trusts, funds and other entities that do not meet the definition </w:t>
      </w:r>
      <w:r>
        <w:t xml:space="preserve">of </w:t>
      </w:r>
      <w:r w:rsidRPr="00FF5724">
        <w:t xml:space="preserve">any other asset class. </w:t>
      </w:r>
      <w:r>
        <w:t>Exposures to</w:t>
      </w:r>
      <w:r w:rsidR="00CA397F">
        <w:t xml:space="preserve"> financial institutions</w:t>
      </w:r>
      <w:r w:rsidR="003F5E8E">
        <w:t>,</w:t>
      </w:r>
      <w:r w:rsidR="00CA397F">
        <w:t xml:space="preserve"> </w:t>
      </w:r>
      <w:r w:rsidR="003F5E8E">
        <w:t>excluding</w:t>
      </w:r>
      <w:r w:rsidR="00CA397F">
        <w:t xml:space="preserve"> bank</w:t>
      </w:r>
      <w:r w:rsidR="00982723">
        <w:t>s</w:t>
      </w:r>
      <w:r w:rsidR="003F5E8E">
        <w:t xml:space="preserve"> but</w:t>
      </w:r>
      <w:r w:rsidR="00CA397F">
        <w:t xml:space="preserve"> including</w:t>
      </w:r>
      <w:r>
        <w:t xml:space="preserve"> insurance companies or securities companies, must be </w:t>
      </w:r>
      <w:r w:rsidR="00CA397F">
        <w:t>treated</w:t>
      </w:r>
      <w:r>
        <w:t xml:space="preserve"> as corporate exposures.</w:t>
      </w:r>
      <w:bookmarkEnd w:id="103"/>
      <w:r>
        <w:t xml:space="preserve"> </w:t>
      </w:r>
      <w:r w:rsidR="003F5E8E" w:rsidRPr="003F5E8E">
        <w:t>Exposures to equity</w:t>
      </w:r>
      <w:r w:rsidR="003F5E8E">
        <w:t xml:space="preserve"> or </w:t>
      </w:r>
      <w:r w:rsidR="003F5E8E" w:rsidRPr="003F5E8E">
        <w:t>subordinated debt</w:t>
      </w:r>
      <w:r w:rsidR="003F5E8E">
        <w:t>,</w:t>
      </w:r>
      <w:r w:rsidR="003F5E8E" w:rsidRPr="003F5E8E">
        <w:t xml:space="preserve"> or</w:t>
      </w:r>
      <w:r w:rsidR="003F5E8E">
        <w:t xml:space="preserve"> exposures</w:t>
      </w:r>
      <w:r w:rsidR="003F5E8E" w:rsidRPr="003F5E8E">
        <w:t xml:space="preserve"> through a third</w:t>
      </w:r>
      <w:r w:rsidR="009C010A">
        <w:t xml:space="preserve"> </w:t>
      </w:r>
      <w:r w:rsidR="003F5E8E" w:rsidRPr="003F5E8E">
        <w:t>party</w:t>
      </w:r>
      <w:r w:rsidR="003F5E8E">
        <w:t xml:space="preserve"> as detailed in paragraph </w:t>
      </w:r>
      <w:r w:rsidR="003F5E8E">
        <w:fldChar w:fldCharType="begin"/>
      </w:r>
      <w:r w:rsidR="003F5E8E">
        <w:instrText xml:space="preserve"> REF _Ref29993872 \r \h </w:instrText>
      </w:r>
      <w:r w:rsidR="003F5E8E">
        <w:fldChar w:fldCharType="separate"/>
      </w:r>
      <w:r w:rsidR="0007706D">
        <w:t>41</w:t>
      </w:r>
      <w:r w:rsidR="003F5E8E">
        <w:fldChar w:fldCharType="end"/>
      </w:r>
      <w:r w:rsidR="003F5E8E">
        <w:t xml:space="preserve"> of this Attachment, must not be included as corporate exposures.</w:t>
      </w:r>
    </w:p>
    <w:p w14:paraId="7501464C" w14:textId="29E37B26" w:rsidR="00CB1D14" w:rsidRPr="00FF5724" w:rsidRDefault="00915EB5" w:rsidP="00CB1D14">
      <w:pPr>
        <w:pStyle w:val="Heading3"/>
      </w:pPr>
      <w:r>
        <w:t>General corporate</w:t>
      </w:r>
      <w:r w:rsidR="004B5B1D">
        <w:t xml:space="preserve"> – rated exposures</w:t>
      </w:r>
    </w:p>
    <w:p w14:paraId="4149FBF9" w14:textId="218317CA" w:rsidR="00FA6F1E" w:rsidRPr="00307874" w:rsidRDefault="001107F1" w:rsidP="00FA6F1E">
      <w:pPr>
        <w:pStyle w:val="BodyText1"/>
      </w:pPr>
      <w:bookmarkStart w:id="104" w:name="_Ref3475270"/>
      <w:r>
        <w:t>A</w:t>
      </w:r>
      <w:r w:rsidRPr="00307874">
        <w:t xml:space="preserve">n </w:t>
      </w:r>
      <w:r w:rsidR="00FA6F1E" w:rsidRPr="00307874">
        <w:t>ADI must a</w:t>
      </w:r>
      <w:r w:rsidR="00FA6F1E">
        <w:t xml:space="preserve">pply the risk weights in </w:t>
      </w:r>
      <w:r w:rsidR="004B0F21">
        <w:rPr>
          <w:highlight w:val="yellow"/>
        </w:rPr>
        <w:fldChar w:fldCharType="begin"/>
      </w:r>
      <w:r w:rsidR="004B0F21">
        <w:instrText xml:space="preserve"> REF _Ref3964404 \n \h </w:instrText>
      </w:r>
      <w:r w:rsidR="004B0F21">
        <w:rPr>
          <w:highlight w:val="yellow"/>
        </w:rPr>
      </w:r>
      <w:r w:rsidR="004B0F21">
        <w:rPr>
          <w:highlight w:val="yellow"/>
        </w:rPr>
        <w:fldChar w:fldCharType="separate"/>
      </w:r>
      <w:r w:rsidR="0007706D">
        <w:t>Table 10</w:t>
      </w:r>
      <w:r w:rsidR="004B0F21">
        <w:rPr>
          <w:highlight w:val="yellow"/>
        </w:rPr>
        <w:fldChar w:fldCharType="end"/>
      </w:r>
      <w:r>
        <w:t xml:space="preserve"> to its </w:t>
      </w:r>
      <w:r w:rsidR="00654E5E">
        <w:t xml:space="preserve">general </w:t>
      </w:r>
      <w:r>
        <w:t xml:space="preserve">corporate exposures with an external </w:t>
      </w:r>
      <w:r w:rsidR="00E823E8">
        <w:t xml:space="preserve">credit </w:t>
      </w:r>
      <w:r>
        <w:t>rating</w:t>
      </w:r>
      <w:r w:rsidR="00FA6F1E">
        <w:t>.</w:t>
      </w:r>
      <w:bookmarkEnd w:id="104"/>
    </w:p>
    <w:p w14:paraId="4E544B82" w14:textId="2E5F0163" w:rsidR="00FA6F1E" w:rsidRPr="00964D2F" w:rsidRDefault="0099752B" w:rsidP="0099752B">
      <w:pPr>
        <w:pStyle w:val="TableHeadNumber"/>
      </w:pPr>
      <w:bookmarkStart w:id="105" w:name="_Ref3964404"/>
      <w:r>
        <w:t>R</w:t>
      </w:r>
      <w:r w:rsidR="00AC4CB6" w:rsidRPr="00C15E69">
        <w:t xml:space="preserve">isk weights for </w:t>
      </w:r>
      <w:r w:rsidR="009656A7">
        <w:t xml:space="preserve">general </w:t>
      </w:r>
      <w:r w:rsidR="00FA6F1E" w:rsidRPr="00C15E69">
        <w:t>corporate exposures</w:t>
      </w:r>
      <w:bookmarkEnd w:id="105"/>
    </w:p>
    <w:tbl>
      <w:tblPr>
        <w:tblStyle w:val="TableGrid"/>
        <w:tblW w:w="0" w:type="auto"/>
        <w:tblLook w:val="04A0" w:firstRow="1" w:lastRow="0" w:firstColumn="1" w:lastColumn="0" w:noHBand="0" w:noVBand="1"/>
      </w:tblPr>
      <w:tblGrid>
        <w:gridCol w:w="2263"/>
        <w:gridCol w:w="1207"/>
        <w:gridCol w:w="1208"/>
        <w:gridCol w:w="1208"/>
        <w:gridCol w:w="1208"/>
        <w:gridCol w:w="1208"/>
      </w:tblGrid>
      <w:tr w:rsidR="00FA6F1E" w:rsidRPr="00964D2F" w14:paraId="2D25AACA" w14:textId="77777777" w:rsidTr="005040DE">
        <w:tc>
          <w:tcPr>
            <w:tcW w:w="2263" w:type="dxa"/>
          </w:tcPr>
          <w:p w14:paraId="12E1A215" w14:textId="6ADAE033" w:rsidR="00FA6F1E" w:rsidRPr="00964D2F" w:rsidRDefault="00FA6F1E" w:rsidP="00C65A4F">
            <w:pPr>
              <w:keepNext/>
              <w:spacing w:before="60" w:after="60"/>
              <w:rPr>
                <w:b/>
              </w:rPr>
            </w:pPr>
            <w:r w:rsidRPr="00964D2F">
              <w:rPr>
                <w:b/>
              </w:rPr>
              <w:t>Credit rating grade</w:t>
            </w:r>
            <w:r w:rsidR="00691EE9">
              <w:rPr>
                <w:b/>
              </w:rPr>
              <w:t xml:space="preserve"> (long-term)</w:t>
            </w:r>
          </w:p>
        </w:tc>
        <w:tc>
          <w:tcPr>
            <w:tcW w:w="1207" w:type="dxa"/>
            <w:vAlign w:val="center"/>
          </w:tcPr>
          <w:p w14:paraId="7513A9A9" w14:textId="77777777" w:rsidR="00FA6F1E" w:rsidRPr="00964D2F" w:rsidRDefault="00FA6F1E" w:rsidP="00C65A4F">
            <w:pPr>
              <w:keepNext/>
              <w:spacing w:before="60" w:after="60"/>
              <w:jc w:val="center"/>
              <w:rPr>
                <w:b/>
              </w:rPr>
            </w:pPr>
            <w:r w:rsidRPr="00964D2F">
              <w:rPr>
                <w:b/>
              </w:rPr>
              <w:t>1</w:t>
            </w:r>
          </w:p>
        </w:tc>
        <w:tc>
          <w:tcPr>
            <w:tcW w:w="1208" w:type="dxa"/>
            <w:vAlign w:val="center"/>
          </w:tcPr>
          <w:p w14:paraId="0E60B4C7" w14:textId="77777777" w:rsidR="00FA6F1E" w:rsidRPr="00964D2F" w:rsidRDefault="00FA6F1E" w:rsidP="00C65A4F">
            <w:pPr>
              <w:keepNext/>
              <w:spacing w:before="60" w:after="60"/>
              <w:jc w:val="center"/>
              <w:rPr>
                <w:b/>
              </w:rPr>
            </w:pPr>
            <w:r w:rsidRPr="00964D2F">
              <w:rPr>
                <w:b/>
              </w:rPr>
              <w:t>2</w:t>
            </w:r>
          </w:p>
        </w:tc>
        <w:tc>
          <w:tcPr>
            <w:tcW w:w="1208" w:type="dxa"/>
            <w:vAlign w:val="center"/>
          </w:tcPr>
          <w:p w14:paraId="2F03FDDA" w14:textId="77777777" w:rsidR="00FA6F1E" w:rsidRPr="00964D2F" w:rsidRDefault="00FA6F1E" w:rsidP="00C65A4F">
            <w:pPr>
              <w:keepNext/>
              <w:spacing w:before="60" w:after="60"/>
              <w:jc w:val="center"/>
              <w:rPr>
                <w:b/>
              </w:rPr>
            </w:pPr>
            <w:r w:rsidRPr="00964D2F">
              <w:rPr>
                <w:b/>
              </w:rPr>
              <w:t>3</w:t>
            </w:r>
          </w:p>
        </w:tc>
        <w:tc>
          <w:tcPr>
            <w:tcW w:w="1208" w:type="dxa"/>
            <w:vAlign w:val="center"/>
          </w:tcPr>
          <w:p w14:paraId="472E5994" w14:textId="77777777" w:rsidR="00FA6F1E" w:rsidRPr="00964D2F" w:rsidRDefault="00FA6F1E" w:rsidP="00C65A4F">
            <w:pPr>
              <w:keepNext/>
              <w:spacing w:before="60" w:after="60"/>
              <w:jc w:val="center"/>
              <w:rPr>
                <w:b/>
              </w:rPr>
            </w:pPr>
            <w:r w:rsidRPr="00964D2F">
              <w:rPr>
                <w:b/>
              </w:rPr>
              <w:t>4</w:t>
            </w:r>
          </w:p>
        </w:tc>
        <w:tc>
          <w:tcPr>
            <w:tcW w:w="1208" w:type="dxa"/>
            <w:vAlign w:val="center"/>
          </w:tcPr>
          <w:p w14:paraId="582F643F" w14:textId="77777777" w:rsidR="00FA6F1E" w:rsidRPr="00964D2F" w:rsidRDefault="00FA6F1E" w:rsidP="00C65A4F">
            <w:pPr>
              <w:keepNext/>
              <w:spacing w:before="60" w:after="60"/>
              <w:jc w:val="center"/>
              <w:rPr>
                <w:b/>
              </w:rPr>
            </w:pPr>
            <w:r w:rsidRPr="00964D2F">
              <w:rPr>
                <w:b/>
              </w:rPr>
              <w:t>5, 6</w:t>
            </w:r>
          </w:p>
        </w:tc>
      </w:tr>
      <w:tr w:rsidR="00FA6F1E" w14:paraId="0929A991" w14:textId="77777777" w:rsidTr="005040DE">
        <w:tc>
          <w:tcPr>
            <w:tcW w:w="2263" w:type="dxa"/>
          </w:tcPr>
          <w:p w14:paraId="1915E26C" w14:textId="77777777" w:rsidR="00FA6F1E" w:rsidRPr="00964D2F" w:rsidRDefault="00FA6F1E" w:rsidP="00C65A4F">
            <w:pPr>
              <w:keepNext/>
              <w:spacing w:before="60" w:after="60"/>
              <w:rPr>
                <w:b/>
              </w:rPr>
            </w:pPr>
            <w:r w:rsidRPr="00964D2F">
              <w:rPr>
                <w:b/>
              </w:rPr>
              <w:t>Risk weight (%)</w:t>
            </w:r>
          </w:p>
        </w:tc>
        <w:tc>
          <w:tcPr>
            <w:tcW w:w="1207" w:type="dxa"/>
          </w:tcPr>
          <w:p w14:paraId="779C174E" w14:textId="77777777" w:rsidR="00FA6F1E" w:rsidRDefault="00FA6F1E" w:rsidP="00C65A4F">
            <w:pPr>
              <w:keepNext/>
              <w:spacing w:before="60" w:after="60"/>
              <w:jc w:val="center"/>
            </w:pPr>
            <w:r>
              <w:t>20</w:t>
            </w:r>
          </w:p>
        </w:tc>
        <w:tc>
          <w:tcPr>
            <w:tcW w:w="1208" w:type="dxa"/>
          </w:tcPr>
          <w:p w14:paraId="3A3715E1" w14:textId="77777777" w:rsidR="00FA6F1E" w:rsidRDefault="00FA6F1E" w:rsidP="00C65A4F">
            <w:pPr>
              <w:keepNext/>
              <w:spacing w:before="60" w:after="60"/>
              <w:jc w:val="center"/>
            </w:pPr>
            <w:r>
              <w:t>50</w:t>
            </w:r>
          </w:p>
        </w:tc>
        <w:tc>
          <w:tcPr>
            <w:tcW w:w="1208" w:type="dxa"/>
          </w:tcPr>
          <w:p w14:paraId="6E4F2D08" w14:textId="77777777" w:rsidR="00FA6F1E" w:rsidRDefault="00FA6F1E" w:rsidP="00C65A4F">
            <w:pPr>
              <w:keepNext/>
              <w:spacing w:before="60" w:after="60"/>
              <w:jc w:val="center"/>
            </w:pPr>
            <w:r>
              <w:t>75</w:t>
            </w:r>
          </w:p>
        </w:tc>
        <w:tc>
          <w:tcPr>
            <w:tcW w:w="1208" w:type="dxa"/>
          </w:tcPr>
          <w:p w14:paraId="6E7F7301" w14:textId="77777777" w:rsidR="00FA6F1E" w:rsidRDefault="00FA6F1E" w:rsidP="00C65A4F">
            <w:pPr>
              <w:keepNext/>
              <w:spacing w:before="60" w:after="60"/>
              <w:jc w:val="center"/>
            </w:pPr>
            <w:r>
              <w:t>100</w:t>
            </w:r>
          </w:p>
        </w:tc>
        <w:tc>
          <w:tcPr>
            <w:tcW w:w="1208" w:type="dxa"/>
          </w:tcPr>
          <w:p w14:paraId="2A6BEB2B" w14:textId="77777777" w:rsidR="00FA6F1E" w:rsidRDefault="00FA6F1E" w:rsidP="00C65A4F">
            <w:pPr>
              <w:keepNext/>
              <w:spacing w:before="60" w:after="60"/>
              <w:jc w:val="center"/>
            </w:pPr>
            <w:r>
              <w:t>150</w:t>
            </w:r>
          </w:p>
        </w:tc>
      </w:tr>
    </w:tbl>
    <w:p w14:paraId="1E5AC418" w14:textId="77777777" w:rsidR="00FA6F1E" w:rsidRDefault="00FA6F1E" w:rsidP="00683CE4">
      <w:pPr>
        <w:spacing w:after="120"/>
      </w:pPr>
    </w:p>
    <w:p w14:paraId="56C9453C" w14:textId="762D3ED8" w:rsidR="00EE4B96" w:rsidRDefault="0066446B" w:rsidP="00EE4B96">
      <w:pPr>
        <w:pStyle w:val="BodyText1"/>
      </w:pPr>
      <w:r>
        <w:t xml:space="preserve">An </w:t>
      </w:r>
      <w:r w:rsidR="00EE4B96">
        <w:t xml:space="preserve">ADI must apply the risk weights in </w:t>
      </w:r>
      <w:r w:rsidR="004B0F21">
        <w:rPr>
          <w:highlight w:val="yellow"/>
        </w:rPr>
        <w:fldChar w:fldCharType="begin"/>
      </w:r>
      <w:r w:rsidR="004B0F21">
        <w:instrText xml:space="preserve"> REF _Ref3966597 \n \h </w:instrText>
      </w:r>
      <w:r w:rsidR="004B0F21">
        <w:rPr>
          <w:highlight w:val="yellow"/>
        </w:rPr>
      </w:r>
      <w:r w:rsidR="004B0F21">
        <w:rPr>
          <w:highlight w:val="yellow"/>
        </w:rPr>
        <w:fldChar w:fldCharType="separate"/>
      </w:r>
      <w:r w:rsidR="0007706D">
        <w:t>Table 11</w:t>
      </w:r>
      <w:r w:rsidR="004B0F21">
        <w:rPr>
          <w:highlight w:val="yellow"/>
        </w:rPr>
        <w:fldChar w:fldCharType="end"/>
      </w:r>
      <w:r>
        <w:t xml:space="preserve"> to short-term </w:t>
      </w:r>
      <w:r w:rsidR="00374359">
        <w:t xml:space="preserve">general </w:t>
      </w:r>
      <w:r>
        <w:t>corporate exposures with an issue-specific external credit rating</w:t>
      </w:r>
      <w:r w:rsidR="00EE4B96">
        <w:t>.</w:t>
      </w:r>
    </w:p>
    <w:p w14:paraId="0271E711" w14:textId="715AE29C" w:rsidR="00EE4B96" w:rsidRPr="0099752B" w:rsidRDefault="0099752B" w:rsidP="0099752B">
      <w:pPr>
        <w:pStyle w:val="TableHeadNumber"/>
      </w:pPr>
      <w:bookmarkStart w:id="106" w:name="_Ref3966597"/>
      <w:r w:rsidRPr="0099752B">
        <w:t xml:space="preserve">Risk </w:t>
      </w:r>
      <w:r w:rsidR="00EE4B96" w:rsidRPr="0099752B">
        <w:t xml:space="preserve">weights for </w:t>
      </w:r>
      <w:r w:rsidR="009656A7">
        <w:t xml:space="preserve">general </w:t>
      </w:r>
      <w:r w:rsidR="00EE4B96" w:rsidRPr="0099752B">
        <w:t xml:space="preserve">corporate exposures (short-term </w:t>
      </w:r>
      <w:r w:rsidR="0066446B">
        <w:t xml:space="preserve">issue-specific </w:t>
      </w:r>
      <w:r w:rsidR="00EE4B96" w:rsidRPr="0099752B">
        <w:t>credit rating</w:t>
      </w:r>
      <w:r w:rsidR="0066446B">
        <w:t>s</w:t>
      </w:r>
      <w:r w:rsidR="00EE4B96" w:rsidRPr="0099752B">
        <w:t>)</w:t>
      </w:r>
      <w:bookmarkEnd w:id="106"/>
    </w:p>
    <w:tbl>
      <w:tblPr>
        <w:tblStyle w:val="TableGrid"/>
        <w:tblW w:w="0" w:type="auto"/>
        <w:tblLook w:val="04A0" w:firstRow="1" w:lastRow="0" w:firstColumn="1" w:lastColumn="0" w:noHBand="0" w:noVBand="1"/>
      </w:tblPr>
      <w:tblGrid>
        <w:gridCol w:w="2263"/>
        <w:gridCol w:w="1509"/>
        <w:gridCol w:w="1510"/>
        <w:gridCol w:w="1510"/>
        <w:gridCol w:w="1510"/>
      </w:tblGrid>
      <w:tr w:rsidR="00EE4B96" w14:paraId="12797B0B" w14:textId="77777777" w:rsidTr="005040DE">
        <w:tc>
          <w:tcPr>
            <w:tcW w:w="2263" w:type="dxa"/>
          </w:tcPr>
          <w:p w14:paraId="66BA299A" w14:textId="77777777" w:rsidR="00EE4B96" w:rsidRPr="00964D2F" w:rsidRDefault="00EE4B96" w:rsidP="00C65A4F">
            <w:pPr>
              <w:keepNext/>
              <w:spacing w:before="60" w:after="60"/>
              <w:rPr>
                <w:b/>
              </w:rPr>
            </w:pPr>
            <w:r w:rsidRPr="00964D2F">
              <w:rPr>
                <w:b/>
              </w:rPr>
              <w:t>Credit rating grade</w:t>
            </w:r>
            <w:r>
              <w:rPr>
                <w:b/>
              </w:rPr>
              <w:t xml:space="preserve"> (short-term)</w:t>
            </w:r>
          </w:p>
        </w:tc>
        <w:tc>
          <w:tcPr>
            <w:tcW w:w="1509" w:type="dxa"/>
            <w:vAlign w:val="center"/>
          </w:tcPr>
          <w:p w14:paraId="0EDADC28" w14:textId="77777777" w:rsidR="00EE4B96" w:rsidRPr="00964D2F" w:rsidRDefault="00EE4B96" w:rsidP="00C65A4F">
            <w:pPr>
              <w:keepNext/>
              <w:spacing w:before="60" w:after="60"/>
              <w:jc w:val="center"/>
              <w:rPr>
                <w:b/>
              </w:rPr>
            </w:pPr>
            <w:r w:rsidRPr="00964D2F">
              <w:rPr>
                <w:b/>
              </w:rPr>
              <w:t>1</w:t>
            </w:r>
          </w:p>
        </w:tc>
        <w:tc>
          <w:tcPr>
            <w:tcW w:w="1510" w:type="dxa"/>
            <w:vAlign w:val="center"/>
          </w:tcPr>
          <w:p w14:paraId="7D3CA186" w14:textId="77777777" w:rsidR="00EE4B96" w:rsidRPr="00964D2F" w:rsidRDefault="00EE4B96" w:rsidP="00C65A4F">
            <w:pPr>
              <w:keepNext/>
              <w:spacing w:before="60" w:after="60"/>
              <w:jc w:val="center"/>
              <w:rPr>
                <w:b/>
              </w:rPr>
            </w:pPr>
            <w:r w:rsidRPr="00964D2F">
              <w:rPr>
                <w:b/>
              </w:rPr>
              <w:t>2</w:t>
            </w:r>
          </w:p>
        </w:tc>
        <w:tc>
          <w:tcPr>
            <w:tcW w:w="1510" w:type="dxa"/>
            <w:vAlign w:val="center"/>
          </w:tcPr>
          <w:p w14:paraId="1A0D9E53" w14:textId="77777777" w:rsidR="00EE4B96" w:rsidRPr="00964D2F" w:rsidRDefault="00EE4B96" w:rsidP="00C65A4F">
            <w:pPr>
              <w:keepNext/>
              <w:spacing w:before="60" w:after="60"/>
              <w:jc w:val="center"/>
              <w:rPr>
                <w:b/>
              </w:rPr>
            </w:pPr>
            <w:r w:rsidRPr="00964D2F">
              <w:rPr>
                <w:b/>
              </w:rPr>
              <w:t>3</w:t>
            </w:r>
          </w:p>
        </w:tc>
        <w:tc>
          <w:tcPr>
            <w:tcW w:w="1510" w:type="dxa"/>
            <w:vAlign w:val="center"/>
          </w:tcPr>
          <w:p w14:paraId="177F8762" w14:textId="77777777" w:rsidR="00EE4B96" w:rsidRPr="00964D2F" w:rsidRDefault="00EE4B96" w:rsidP="00C65A4F">
            <w:pPr>
              <w:keepNext/>
              <w:spacing w:before="60" w:after="60"/>
              <w:jc w:val="center"/>
              <w:rPr>
                <w:b/>
              </w:rPr>
            </w:pPr>
            <w:r w:rsidRPr="00964D2F">
              <w:rPr>
                <w:b/>
              </w:rPr>
              <w:t>4</w:t>
            </w:r>
          </w:p>
        </w:tc>
      </w:tr>
      <w:tr w:rsidR="00EE4B96" w14:paraId="7088E2EB" w14:textId="77777777" w:rsidTr="005040DE">
        <w:tc>
          <w:tcPr>
            <w:tcW w:w="2263" w:type="dxa"/>
          </w:tcPr>
          <w:p w14:paraId="59721090" w14:textId="77777777" w:rsidR="00EE4B96" w:rsidRPr="00964D2F" w:rsidRDefault="00EE4B96" w:rsidP="00C65A4F">
            <w:pPr>
              <w:keepNext/>
              <w:spacing w:before="60" w:after="60"/>
              <w:rPr>
                <w:b/>
              </w:rPr>
            </w:pPr>
            <w:r w:rsidRPr="00964D2F">
              <w:rPr>
                <w:b/>
              </w:rPr>
              <w:t>Risk weight (%)</w:t>
            </w:r>
          </w:p>
        </w:tc>
        <w:tc>
          <w:tcPr>
            <w:tcW w:w="1509" w:type="dxa"/>
          </w:tcPr>
          <w:p w14:paraId="07F24DAA" w14:textId="77777777" w:rsidR="00EE4B96" w:rsidRPr="005C3879" w:rsidRDefault="00EE4B96" w:rsidP="00C65A4F">
            <w:pPr>
              <w:keepNext/>
              <w:spacing w:before="60" w:after="60"/>
              <w:jc w:val="center"/>
            </w:pPr>
            <w:r>
              <w:t>20</w:t>
            </w:r>
          </w:p>
        </w:tc>
        <w:tc>
          <w:tcPr>
            <w:tcW w:w="1510" w:type="dxa"/>
          </w:tcPr>
          <w:p w14:paraId="759A3511" w14:textId="77777777" w:rsidR="00EE4B96" w:rsidRPr="005C3879" w:rsidRDefault="00EE4B96" w:rsidP="00C65A4F">
            <w:pPr>
              <w:keepNext/>
              <w:spacing w:before="60" w:after="60"/>
              <w:jc w:val="center"/>
            </w:pPr>
            <w:r>
              <w:t>50</w:t>
            </w:r>
          </w:p>
        </w:tc>
        <w:tc>
          <w:tcPr>
            <w:tcW w:w="1510" w:type="dxa"/>
          </w:tcPr>
          <w:p w14:paraId="37F2C3DD" w14:textId="77777777" w:rsidR="00EE4B96" w:rsidRPr="005C3879" w:rsidRDefault="00EE4B96" w:rsidP="00C65A4F">
            <w:pPr>
              <w:keepNext/>
              <w:spacing w:before="60" w:after="60"/>
              <w:jc w:val="center"/>
            </w:pPr>
            <w:r>
              <w:t>100</w:t>
            </w:r>
          </w:p>
        </w:tc>
        <w:tc>
          <w:tcPr>
            <w:tcW w:w="1510" w:type="dxa"/>
          </w:tcPr>
          <w:p w14:paraId="7750C455" w14:textId="77777777" w:rsidR="00EE4B96" w:rsidRPr="005C3879" w:rsidRDefault="00EE4B96" w:rsidP="00C65A4F">
            <w:pPr>
              <w:keepNext/>
              <w:spacing w:before="60" w:after="60"/>
              <w:jc w:val="center"/>
            </w:pPr>
            <w:r>
              <w:t>150</w:t>
            </w:r>
          </w:p>
        </w:tc>
      </w:tr>
    </w:tbl>
    <w:p w14:paraId="4E763CE5" w14:textId="77777777" w:rsidR="00EE4B96" w:rsidRDefault="00EE4B96" w:rsidP="00683CE4">
      <w:pPr>
        <w:spacing w:after="120"/>
      </w:pPr>
    </w:p>
    <w:p w14:paraId="290AE9D8" w14:textId="1AC5F548" w:rsidR="00EE4B96" w:rsidRDefault="00EE4B96" w:rsidP="00EE4B96">
      <w:pPr>
        <w:pStyle w:val="BodyText1"/>
      </w:pPr>
      <w:r>
        <w:t xml:space="preserve">If an ADI has a </w:t>
      </w:r>
      <w:r w:rsidR="00374359">
        <w:t xml:space="preserve">general </w:t>
      </w:r>
      <w:r w:rsidR="00654E5E">
        <w:t xml:space="preserve">corporate </w:t>
      </w:r>
      <w:r>
        <w:t>exposure</w:t>
      </w:r>
      <w:r w:rsidR="00654E5E">
        <w:t xml:space="preserve"> with an issue-specific</w:t>
      </w:r>
      <w:r>
        <w:t xml:space="preserve"> short-term external</w:t>
      </w:r>
      <w:r w:rsidR="00654E5E">
        <w:t xml:space="preserve"> credit</w:t>
      </w:r>
      <w:r>
        <w:t xml:space="preserve"> rating mapping to a credit rating grade of 4</w:t>
      </w:r>
      <w:r w:rsidR="007245BB">
        <w:t xml:space="preserve"> under Table 11</w:t>
      </w:r>
      <w:r>
        <w:t xml:space="preserve">, then all unrated exposures to that counterparty, whether they are short-term or long-term exposures, must be risk-weighted at 150 per cent. </w:t>
      </w:r>
    </w:p>
    <w:p w14:paraId="1B218AD6" w14:textId="4016330B" w:rsidR="00A82F71" w:rsidRDefault="004B5B1D" w:rsidP="00443417">
      <w:pPr>
        <w:pStyle w:val="Heading3"/>
      </w:pPr>
      <w:r>
        <w:t xml:space="preserve">General corporate – </w:t>
      </w:r>
      <w:r w:rsidR="004109CD">
        <w:t>unrate</w:t>
      </w:r>
      <w:r w:rsidR="0030127F">
        <w:t>d</w:t>
      </w:r>
      <w:r w:rsidR="004109CD">
        <w:t xml:space="preserve"> </w:t>
      </w:r>
      <w:r w:rsidR="009E1C32">
        <w:t>small- and medium-sized enterprise</w:t>
      </w:r>
      <w:r>
        <w:t xml:space="preserve"> </w:t>
      </w:r>
      <w:r w:rsidR="004109CD">
        <w:t>exposures</w:t>
      </w:r>
    </w:p>
    <w:p w14:paraId="70D7FD78" w14:textId="216006E2" w:rsidR="00443417" w:rsidRDefault="00443417" w:rsidP="00443417">
      <w:pPr>
        <w:pStyle w:val="BodyText1"/>
      </w:pPr>
      <w:bookmarkStart w:id="107" w:name="_Ref3475687"/>
      <w:bookmarkStart w:id="108" w:name="_Ref10733986"/>
      <w:r>
        <w:t xml:space="preserve">An exposure to an SME </w:t>
      </w:r>
      <w:r w:rsidR="00F3241D">
        <w:t>is an</w:t>
      </w:r>
      <w:r>
        <w:t xml:space="preserve"> exposure to a corporate counterparty with </w:t>
      </w:r>
      <w:r w:rsidR="007F37FF">
        <w:t xml:space="preserve">total consolidated </w:t>
      </w:r>
      <w:r w:rsidR="00ED59A2">
        <w:t xml:space="preserve">annual </w:t>
      </w:r>
      <w:r w:rsidR="007F37FF">
        <w:t>revenue</w:t>
      </w:r>
      <w:r>
        <w:t xml:space="preserve"> of less than </w:t>
      </w:r>
      <w:r w:rsidR="00D0058E" w:rsidRPr="00ED32CB">
        <w:t>$</w:t>
      </w:r>
      <w:r w:rsidR="00ED32CB" w:rsidRPr="00ED32CB">
        <w:t>75</w:t>
      </w:r>
      <w:r w:rsidR="00D0058E" w:rsidRPr="00ED32CB">
        <w:t xml:space="preserve"> million</w:t>
      </w:r>
      <w:r w:rsidDel="00123869">
        <w:t>.</w:t>
      </w:r>
      <w:bookmarkEnd w:id="107"/>
      <w:bookmarkEnd w:id="108"/>
      <w:r>
        <w:t xml:space="preserve"> </w:t>
      </w:r>
      <w:r w:rsidR="001D7A88" w:rsidRPr="001D7A88">
        <w:t xml:space="preserve">Where an ADI has an </w:t>
      </w:r>
      <w:r w:rsidR="001D7A88" w:rsidRPr="001D7A88">
        <w:lastRenderedPageBreak/>
        <w:t>exposure to an SME that is part of a corporate group, it may be treated as an SME exposure provided the total consolidated</w:t>
      </w:r>
      <w:r w:rsidR="00EE5398">
        <w:t xml:space="preserve"> annual</w:t>
      </w:r>
      <w:r w:rsidR="001D7A88" w:rsidRPr="001D7A88">
        <w:t xml:space="preserve"> revenue for the group is less than $75 million.</w:t>
      </w:r>
      <w:r w:rsidR="009905C0">
        <w:t xml:space="preserve"> Where a corporate counterparty’s total consolidated annual revenue cannot be determined, and the exposure is less than $5 million, the ADI </w:t>
      </w:r>
      <w:r w:rsidR="004A0750">
        <w:t xml:space="preserve">may </w:t>
      </w:r>
      <w:r w:rsidR="009905C0">
        <w:t>treat the exposure as SME.</w:t>
      </w:r>
    </w:p>
    <w:p w14:paraId="2923DA9C" w14:textId="250A5876" w:rsidR="00C66D5D" w:rsidRDefault="00C66D5D" w:rsidP="00443417">
      <w:pPr>
        <w:pStyle w:val="BodyText1"/>
      </w:pPr>
      <w:r>
        <w:t xml:space="preserve">An ADI must apply the risk weights </w:t>
      </w:r>
      <w:r w:rsidR="001D55B1">
        <w:t xml:space="preserve">in </w:t>
      </w:r>
      <w:r w:rsidR="00E41224">
        <w:rPr>
          <w:highlight w:val="yellow"/>
        </w:rPr>
        <w:fldChar w:fldCharType="begin"/>
      </w:r>
      <w:r w:rsidR="00E41224">
        <w:instrText xml:space="preserve"> REF _Ref3966829 \n \h </w:instrText>
      </w:r>
      <w:r w:rsidR="00E41224">
        <w:rPr>
          <w:highlight w:val="yellow"/>
        </w:rPr>
      </w:r>
      <w:r w:rsidR="00E41224">
        <w:rPr>
          <w:highlight w:val="yellow"/>
        </w:rPr>
        <w:fldChar w:fldCharType="separate"/>
      </w:r>
      <w:r w:rsidR="0007706D">
        <w:t>Table 12</w:t>
      </w:r>
      <w:r w:rsidR="00E41224">
        <w:rPr>
          <w:highlight w:val="yellow"/>
        </w:rPr>
        <w:fldChar w:fldCharType="end"/>
      </w:r>
      <w:r w:rsidR="001D55B1">
        <w:t xml:space="preserve"> to its unrated SME exposures. </w:t>
      </w:r>
    </w:p>
    <w:p w14:paraId="5F864971" w14:textId="5FCD1FBB" w:rsidR="001D55B1" w:rsidRPr="001D55B1" w:rsidRDefault="0099752B" w:rsidP="0099752B">
      <w:pPr>
        <w:pStyle w:val="TableHeadNumber"/>
      </w:pPr>
      <w:bookmarkStart w:id="109" w:name="_Ref3966829"/>
      <w:r>
        <w:t>Risk</w:t>
      </w:r>
      <w:r w:rsidR="00AC4CB6" w:rsidRPr="00C15E69">
        <w:t xml:space="preserve"> weights for </w:t>
      </w:r>
      <w:r w:rsidR="001D55B1" w:rsidRPr="00C15E69">
        <w:t>unrated SME exposures</w:t>
      </w:r>
      <w:bookmarkEnd w:id="109"/>
    </w:p>
    <w:tbl>
      <w:tblPr>
        <w:tblStyle w:val="TableGrid"/>
        <w:tblW w:w="0" w:type="auto"/>
        <w:tblLook w:val="04A0" w:firstRow="1" w:lastRow="0" w:firstColumn="1" w:lastColumn="0" w:noHBand="0" w:noVBand="1"/>
      </w:tblPr>
      <w:tblGrid>
        <w:gridCol w:w="3256"/>
        <w:gridCol w:w="2126"/>
      </w:tblGrid>
      <w:tr w:rsidR="001D55B1" w14:paraId="450A1344" w14:textId="77777777" w:rsidTr="005040DE">
        <w:tc>
          <w:tcPr>
            <w:tcW w:w="3256" w:type="dxa"/>
          </w:tcPr>
          <w:p w14:paraId="3DBC6BC9" w14:textId="77777777" w:rsidR="001D55B1" w:rsidRDefault="001D55B1" w:rsidP="00C65A4F">
            <w:pPr>
              <w:keepNext/>
              <w:spacing w:before="60" w:after="60"/>
            </w:pPr>
          </w:p>
        </w:tc>
        <w:tc>
          <w:tcPr>
            <w:tcW w:w="2126" w:type="dxa"/>
          </w:tcPr>
          <w:p w14:paraId="007FE1E7" w14:textId="77777777" w:rsidR="001D55B1" w:rsidRPr="00964D2F" w:rsidRDefault="001D55B1" w:rsidP="00C65A4F">
            <w:pPr>
              <w:spacing w:before="60" w:after="60"/>
              <w:jc w:val="center"/>
              <w:rPr>
                <w:b/>
              </w:rPr>
            </w:pPr>
            <w:r w:rsidRPr="00964D2F">
              <w:rPr>
                <w:b/>
              </w:rPr>
              <w:t>Risk weight (%)</w:t>
            </w:r>
          </w:p>
        </w:tc>
      </w:tr>
      <w:tr w:rsidR="001D55B1" w14:paraId="7BF594F6" w14:textId="77777777" w:rsidTr="005040DE">
        <w:tc>
          <w:tcPr>
            <w:tcW w:w="3256" w:type="dxa"/>
          </w:tcPr>
          <w:p w14:paraId="2E91E1F6" w14:textId="1CC1C39B" w:rsidR="001D55B1" w:rsidRDefault="0031654E" w:rsidP="00C65A4F">
            <w:pPr>
              <w:keepNext/>
              <w:spacing w:before="60" w:after="60"/>
            </w:pPr>
            <w:r>
              <w:t>SME</w:t>
            </w:r>
            <w:r w:rsidR="00334B8C">
              <w:t xml:space="preserve"> retail</w:t>
            </w:r>
          </w:p>
        </w:tc>
        <w:tc>
          <w:tcPr>
            <w:tcW w:w="2126" w:type="dxa"/>
            <w:vAlign w:val="center"/>
          </w:tcPr>
          <w:p w14:paraId="2D965988" w14:textId="34AB0260" w:rsidR="001D55B1" w:rsidRDefault="00F3241D" w:rsidP="00C65A4F">
            <w:pPr>
              <w:spacing w:before="60" w:after="60"/>
              <w:jc w:val="center"/>
            </w:pPr>
            <w:r>
              <w:t>75</w:t>
            </w:r>
          </w:p>
        </w:tc>
      </w:tr>
      <w:tr w:rsidR="001D55B1" w14:paraId="4261E17A" w14:textId="77777777" w:rsidTr="005040DE">
        <w:tc>
          <w:tcPr>
            <w:tcW w:w="3256" w:type="dxa"/>
          </w:tcPr>
          <w:p w14:paraId="1760AA6A" w14:textId="336D91E3" w:rsidR="001D55B1" w:rsidRDefault="0031654E" w:rsidP="00C65A4F">
            <w:pPr>
              <w:keepNext/>
              <w:spacing w:before="60" w:after="60"/>
            </w:pPr>
            <w:r>
              <w:t>SME</w:t>
            </w:r>
            <w:r w:rsidR="00334B8C">
              <w:t xml:space="preserve"> corporate</w:t>
            </w:r>
            <w:r>
              <w:t xml:space="preserve"> </w:t>
            </w:r>
          </w:p>
        </w:tc>
        <w:tc>
          <w:tcPr>
            <w:tcW w:w="2126" w:type="dxa"/>
            <w:vAlign w:val="center"/>
          </w:tcPr>
          <w:p w14:paraId="72766086" w14:textId="77777777" w:rsidR="001D55B1" w:rsidRDefault="001D55B1" w:rsidP="00C65A4F">
            <w:pPr>
              <w:spacing w:before="60" w:after="60"/>
              <w:jc w:val="center"/>
            </w:pPr>
            <w:r>
              <w:t>85</w:t>
            </w:r>
          </w:p>
        </w:tc>
      </w:tr>
    </w:tbl>
    <w:p w14:paraId="445A44A3" w14:textId="77777777" w:rsidR="001D55B1" w:rsidRDefault="001D55B1" w:rsidP="001C617E">
      <w:pPr>
        <w:spacing w:after="120"/>
      </w:pPr>
    </w:p>
    <w:p w14:paraId="5607F176" w14:textId="46B3A9D4" w:rsidR="00113DBC" w:rsidRDefault="009656A7" w:rsidP="00113DBC">
      <w:pPr>
        <w:pStyle w:val="BodyText1"/>
      </w:pPr>
      <w:bookmarkStart w:id="110" w:name="_Ref3475730"/>
      <w:bookmarkStart w:id="111" w:name="_Ref32937511"/>
      <w:r>
        <w:t>To</w:t>
      </w:r>
      <w:r w:rsidR="003A43C1">
        <w:t xml:space="preserve"> be</w:t>
      </w:r>
      <w:r w:rsidR="00153735">
        <w:t xml:space="preserve"> risk-weighted as </w:t>
      </w:r>
      <w:r w:rsidR="00CF6622">
        <w:t xml:space="preserve">SME </w:t>
      </w:r>
      <w:r w:rsidR="00153735">
        <w:t>retail</w:t>
      </w:r>
      <w:r w:rsidR="00113DBC">
        <w:t xml:space="preserve">, </w:t>
      </w:r>
      <w:r w:rsidR="00147E07">
        <w:t>the following criteria</w:t>
      </w:r>
      <w:r w:rsidR="002F259B">
        <w:t xml:space="preserve"> must be satisfied</w:t>
      </w:r>
      <w:r w:rsidR="003A43C1">
        <w:t>:</w:t>
      </w:r>
      <w:bookmarkEnd w:id="110"/>
      <w:bookmarkEnd w:id="111"/>
    </w:p>
    <w:p w14:paraId="331269BE" w14:textId="79ADE82E" w:rsidR="008863ED" w:rsidRDefault="002030F5" w:rsidP="00FB6759">
      <w:pPr>
        <w:pStyle w:val="BodyText2"/>
      </w:pPr>
      <w:r>
        <w:t>the exposure is</w:t>
      </w:r>
      <w:r w:rsidR="008863ED">
        <w:t xml:space="preserve"> in </w:t>
      </w:r>
      <w:r>
        <w:t xml:space="preserve">the form of a small business lending facility or commitment. </w:t>
      </w:r>
      <w:r w:rsidR="008B00ED">
        <w:t>Derivatives and other securities such as bonds and equities, and exposures secured by residential property are excluded from this category</w:t>
      </w:r>
      <w:r w:rsidR="008863ED">
        <w:t xml:space="preserve">; </w:t>
      </w:r>
      <w:r w:rsidR="00C8054D">
        <w:t>and</w:t>
      </w:r>
    </w:p>
    <w:p w14:paraId="713FC450" w14:textId="1FB133F5" w:rsidR="00C8054D" w:rsidRDefault="002030F5" w:rsidP="00C8054D">
      <w:pPr>
        <w:pStyle w:val="BodyText2"/>
      </w:pPr>
      <w:bookmarkStart w:id="112" w:name="_Ref32937502"/>
      <w:r>
        <w:t xml:space="preserve">the maximum aggregated exposure to </w:t>
      </w:r>
      <w:r w:rsidR="00C8054D">
        <w:t>the</w:t>
      </w:r>
      <w:r>
        <w:t xml:space="preserve"> SME</w:t>
      </w:r>
      <w:r w:rsidR="00A66D6E">
        <w:t xml:space="preserve"> counterparty </w:t>
      </w:r>
      <w:r w:rsidR="00DF49EC">
        <w:t>is less than</w:t>
      </w:r>
      <w:r w:rsidR="00A66D6E">
        <w:t xml:space="preserve"> $1.5 million</w:t>
      </w:r>
      <w:bookmarkEnd w:id="112"/>
      <w:r w:rsidR="00702AAC">
        <w:t xml:space="preserve">. </w:t>
      </w:r>
      <w:r w:rsidR="00C8054D">
        <w:t>For this purpose:</w:t>
      </w:r>
    </w:p>
    <w:p w14:paraId="061D55A4" w14:textId="7A4892A3" w:rsidR="00702AAC" w:rsidRDefault="00D34B10" w:rsidP="00C8054D">
      <w:pPr>
        <w:pStyle w:val="BodyText3"/>
      </w:pPr>
      <w:r>
        <w:t xml:space="preserve">aggregated exposure </w:t>
      </w:r>
      <w:r w:rsidR="00C33FC6">
        <w:t xml:space="preserve">means the gross amount, excluding the application of any credit risk mitigation. </w:t>
      </w:r>
      <w:r w:rsidR="00E1109D">
        <w:t>For off-balance sheet exposures, the gross amount must be calculated after applying CCFs</w:t>
      </w:r>
      <w:r w:rsidR="00702AAC">
        <w:t>; and</w:t>
      </w:r>
    </w:p>
    <w:p w14:paraId="487604A6" w14:textId="0716821F" w:rsidR="00D34B10" w:rsidRDefault="00C8054D" w:rsidP="00702AAC">
      <w:pPr>
        <w:pStyle w:val="BodyText3"/>
      </w:pPr>
      <w:bookmarkStart w:id="113" w:name="_Hlk85545465"/>
      <w:r>
        <w:t>the</w:t>
      </w:r>
      <w:r w:rsidR="006B751C">
        <w:t xml:space="preserve"> SME counterparty means</w:t>
      </w:r>
      <w:r>
        <w:t xml:space="preserve"> either a single SME, or where the SME forms part of a corporate group, the broader group</w:t>
      </w:r>
      <w:r w:rsidR="006B751C">
        <w:t xml:space="preserve">. </w:t>
      </w:r>
    </w:p>
    <w:bookmarkEnd w:id="113"/>
    <w:p w14:paraId="0BB6D385" w14:textId="53584674" w:rsidR="004B5B1D" w:rsidRDefault="004B5B1D" w:rsidP="004B5B1D">
      <w:pPr>
        <w:pStyle w:val="Heading3"/>
      </w:pPr>
      <w:r>
        <w:t xml:space="preserve">General corporate – other </w:t>
      </w:r>
    </w:p>
    <w:p w14:paraId="7FDD3D1A" w14:textId="1572CF1E" w:rsidR="004B5B1D" w:rsidRDefault="004B5B1D" w:rsidP="004B5B1D">
      <w:pPr>
        <w:pStyle w:val="BodyText1"/>
      </w:pPr>
      <w:bookmarkStart w:id="114" w:name="_Ref3475312"/>
      <w:r>
        <w:t>An ADI must risk</w:t>
      </w:r>
      <w:r w:rsidR="00E60E88">
        <w:t>-</w:t>
      </w:r>
      <w:r>
        <w:t>weight all other unrated general corporate exposures at 100 per cent.</w:t>
      </w:r>
      <w:bookmarkEnd w:id="114"/>
    </w:p>
    <w:p w14:paraId="6CDB65E3" w14:textId="6FFF3BA6" w:rsidR="00473A8C" w:rsidRDefault="00473A8C" w:rsidP="00147E07">
      <w:pPr>
        <w:pStyle w:val="Heading3"/>
      </w:pPr>
      <w:r>
        <w:t>Specialised lending</w:t>
      </w:r>
    </w:p>
    <w:p w14:paraId="37E09E11" w14:textId="0ECDA9A2" w:rsidR="00473A8C" w:rsidRDefault="00473A8C" w:rsidP="00473A8C">
      <w:pPr>
        <w:pStyle w:val="BodyText1"/>
      </w:pPr>
      <w:bookmarkStart w:id="115" w:name="_Ref3475426"/>
      <w:r>
        <w:t xml:space="preserve">A corporate exposure must be </w:t>
      </w:r>
      <w:r w:rsidR="00881DDD">
        <w:t>classified</w:t>
      </w:r>
      <w:r>
        <w:t xml:space="preserve"> as a specialised lending exposure if it possesses the following characteristics, either in legal form or economic substance:</w:t>
      </w:r>
      <w:bookmarkEnd w:id="115"/>
    </w:p>
    <w:p w14:paraId="3F1CBB88" w14:textId="5CFF5781" w:rsidR="00473A8C" w:rsidRDefault="00473A8C" w:rsidP="00D5525A">
      <w:pPr>
        <w:pStyle w:val="BodyText2"/>
      </w:pPr>
      <w:bookmarkStart w:id="116" w:name="_Ref3475814"/>
      <w:r w:rsidDel="009905C0">
        <w:t xml:space="preserve">the exposure </w:t>
      </w:r>
      <w:r w:rsidR="000C6265" w:rsidDel="009905C0">
        <w:t xml:space="preserve">satisfies the definition of object finance, project finance or commodities finance as set out in </w:t>
      </w:r>
      <w:r w:rsidR="000C6265" w:rsidRPr="002A19D7" w:rsidDel="009905C0">
        <w:t>paragraph</w:t>
      </w:r>
      <w:r w:rsidR="002A19D7" w:rsidRPr="002A19D7" w:rsidDel="009905C0">
        <w:t xml:space="preserve"> </w:t>
      </w:r>
      <w:r w:rsidR="002A19D7" w:rsidRPr="002A19D7" w:rsidDel="009905C0">
        <w:fldChar w:fldCharType="begin"/>
      </w:r>
      <w:r w:rsidR="002A19D7" w:rsidRPr="002A19D7" w:rsidDel="009905C0">
        <w:instrText xml:space="preserve"> REF _Ref3475341 \r \h </w:instrText>
      </w:r>
      <w:r w:rsidR="002A19D7" w:rsidDel="009905C0">
        <w:instrText xml:space="preserve"> \* MERGEFORMAT </w:instrText>
      </w:r>
      <w:r w:rsidR="002A19D7" w:rsidRPr="002A19D7" w:rsidDel="009905C0">
        <w:fldChar w:fldCharType="separate"/>
      </w:r>
      <w:r w:rsidR="0007706D">
        <w:t>27</w:t>
      </w:r>
      <w:r w:rsidR="002A19D7" w:rsidRPr="002A19D7" w:rsidDel="009905C0">
        <w:fldChar w:fldCharType="end"/>
      </w:r>
      <w:r w:rsidR="000C6265" w:rsidRPr="002A19D7" w:rsidDel="009905C0">
        <w:t xml:space="preserve"> of this Attachment,</w:t>
      </w:r>
      <w:r w:rsidR="000C6265" w:rsidDel="009905C0">
        <w:t xml:space="preserve"> is not a property exposure</w:t>
      </w:r>
      <w:r w:rsidR="00351A6D">
        <w:t xml:space="preserve"> and</w:t>
      </w:r>
      <w:r w:rsidR="009905C0">
        <w:t xml:space="preserve"> is not secured by </w:t>
      </w:r>
      <w:r w:rsidR="00351A6D">
        <w:t>derivatives</w:t>
      </w:r>
      <w:r w:rsidR="009905C0">
        <w:t xml:space="preserve"> or other securities such as bonds or </w:t>
      </w:r>
      <w:proofErr w:type="gramStart"/>
      <w:r w:rsidR="009905C0">
        <w:t>equities</w:t>
      </w:r>
      <w:r w:rsidR="000C6265">
        <w:t>;</w:t>
      </w:r>
      <w:bookmarkEnd w:id="116"/>
      <w:proofErr w:type="gramEnd"/>
    </w:p>
    <w:p w14:paraId="4C532394" w14:textId="37142048" w:rsidR="000C6265" w:rsidRDefault="000C6265" w:rsidP="00D5525A">
      <w:pPr>
        <w:pStyle w:val="BodyText2"/>
      </w:pPr>
      <w:r>
        <w:t>the exposure is typically to an entity</w:t>
      </w:r>
      <w:r w:rsidR="00810F9D">
        <w:t xml:space="preserve"> that was created specifically to finance or operate </w:t>
      </w:r>
      <w:r w:rsidR="007D5E7D">
        <w:t xml:space="preserve">physical </w:t>
      </w:r>
      <w:r w:rsidR="00810F9D">
        <w:t>assets;</w:t>
      </w:r>
    </w:p>
    <w:p w14:paraId="2C88B012" w14:textId="4463680A" w:rsidR="00810F9D" w:rsidRDefault="00855819" w:rsidP="00D5525A">
      <w:pPr>
        <w:pStyle w:val="BodyText2"/>
      </w:pPr>
      <w:r>
        <w:lastRenderedPageBreak/>
        <w:t>other than</w:t>
      </w:r>
      <w:r w:rsidR="00810F9D">
        <w:t xml:space="preserve"> the income that it receives from the assets being financed, the borrowing entity has little or no other material assets or activities, and therefore has little or no independent capacity to repay the obligation;</w:t>
      </w:r>
    </w:p>
    <w:p w14:paraId="12D76B13" w14:textId="77777777" w:rsidR="00810F9D" w:rsidRDefault="00810F9D" w:rsidP="00D5525A">
      <w:pPr>
        <w:pStyle w:val="BodyText2"/>
      </w:pPr>
      <w:bookmarkStart w:id="117" w:name="_Ref3475864"/>
      <w:r>
        <w:t>the terms of the obligation give the ADI a substantial degree of control over the assets and the income that it generates; and</w:t>
      </w:r>
      <w:bookmarkEnd w:id="117"/>
    </w:p>
    <w:p w14:paraId="6D3364C8" w14:textId="4B3FDB7A" w:rsidR="00810F9D" w:rsidRDefault="00810F9D" w:rsidP="00D5525A">
      <w:pPr>
        <w:pStyle w:val="BodyText2"/>
      </w:pPr>
      <w:r>
        <w:t xml:space="preserve">as a result of the characteristics detailed </w:t>
      </w:r>
      <w:r w:rsidRPr="002A19D7">
        <w:t xml:space="preserve">in </w:t>
      </w:r>
      <w:r w:rsidR="002A19D7" w:rsidRPr="002A19D7">
        <w:fldChar w:fldCharType="begin"/>
      </w:r>
      <w:r w:rsidR="002A19D7" w:rsidRPr="002A19D7">
        <w:instrText xml:space="preserve"> REF _Ref3475426 \r \h </w:instrText>
      </w:r>
      <w:r w:rsidR="002A19D7">
        <w:instrText xml:space="preserve"> \* MERGEFORMAT </w:instrText>
      </w:r>
      <w:r w:rsidR="002A19D7" w:rsidRPr="002A19D7">
        <w:fldChar w:fldCharType="separate"/>
      </w:r>
      <w:r w:rsidR="0007706D">
        <w:t>26</w:t>
      </w:r>
      <w:r w:rsidR="002A19D7" w:rsidRPr="002A19D7">
        <w:fldChar w:fldCharType="end"/>
      </w:r>
      <w:r w:rsidR="002A19D7" w:rsidRPr="002A19D7">
        <w:fldChar w:fldCharType="begin"/>
      </w:r>
      <w:r w:rsidR="002A19D7" w:rsidRPr="002A19D7">
        <w:instrText xml:space="preserve"> REF _Ref3475814 \r \h </w:instrText>
      </w:r>
      <w:r w:rsidR="002A19D7">
        <w:instrText xml:space="preserve"> \* MERGEFORMAT </w:instrText>
      </w:r>
      <w:r w:rsidR="002A19D7" w:rsidRPr="002A19D7">
        <w:fldChar w:fldCharType="separate"/>
      </w:r>
      <w:r w:rsidR="0007706D">
        <w:t>(a)</w:t>
      </w:r>
      <w:r w:rsidR="002A19D7" w:rsidRPr="002A19D7">
        <w:fldChar w:fldCharType="end"/>
      </w:r>
      <w:r w:rsidR="002A19D7" w:rsidRPr="002A19D7">
        <w:t xml:space="preserve"> to </w:t>
      </w:r>
      <w:r w:rsidR="002A19D7" w:rsidRPr="002A19D7">
        <w:fldChar w:fldCharType="begin"/>
      </w:r>
      <w:r w:rsidR="002A19D7" w:rsidRPr="002A19D7">
        <w:instrText xml:space="preserve"> REF _Ref3475426 \r \h </w:instrText>
      </w:r>
      <w:r w:rsidR="002A19D7">
        <w:instrText xml:space="preserve"> \* MERGEFORMAT </w:instrText>
      </w:r>
      <w:r w:rsidR="002A19D7" w:rsidRPr="002A19D7">
        <w:fldChar w:fldCharType="separate"/>
      </w:r>
      <w:r w:rsidR="0007706D">
        <w:t>26</w:t>
      </w:r>
      <w:r w:rsidR="002A19D7" w:rsidRPr="002A19D7">
        <w:fldChar w:fldCharType="end"/>
      </w:r>
      <w:r w:rsidR="002A19D7" w:rsidRPr="002A19D7">
        <w:fldChar w:fldCharType="begin"/>
      </w:r>
      <w:r w:rsidR="002A19D7" w:rsidRPr="002A19D7">
        <w:instrText xml:space="preserve"> REF _Ref3475864 \r \h </w:instrText>
      </w:r>
      <w:r w:rsidR="002A19D7">
        <w:instrText xml:space="preserve"> \* MERGEFORMAT </w:instrText>
      </w:r>
      <w:r w:rsidR="002A19D7" w:rsidRPr="002A19D7">
        <w:fldChar w:fldCharType="separate"/>
      </w:r>
      <w:r w:rsidR="0007706D">
        <w:t>(d)</w:t>
      </w:r>
      <w:r w:rsidR="002A19D7" w:rsidRPr="002A19D7">
        <w:fldChar w:fldCharType="end"/>
      </w:r>
      <w:r w:rsidRPr="002A19D7">
        <w:t xml:space="preserve"> of this paragraph</w:t>
      </w:r>
      <w:r>
        <w:t xml:space="preserve">, the primary source of repayment of the obligation is the income generated by the assets rather than the independent capacity of a broader commercial enterprise. </w:t>
      </w:r>
    </w:p>
    <w:p w14:paraId="2214A483" w14:textId="22426D5F" w:rsidR="00667EBE" w:rsidRDefault="00667EBE" w:rsidP="00667EBE">
      <w:pPr>
        <w:pStyle w:val="BodyText1"/>
      </w:pPr>
      <w:bookmarkStart w:id="118" w:name="_Ref3475341"/>
      <w:r>
        <w:t>The specialised lending asset class includes the following three sub-classes:</w:t>
      </w:r>
      <w:bookmarkEnd w:id="118"/>
      <w:r>
        <w:t xml:space="preserve"> </w:t>
      </w:r>
    </w:p>
    <w:p w14:paraId="0CF7F4AF" w14:textId="50826E45" w:rsidR="00667EBE" w:rsidRDefault="00667EBE" w:rsidP="00667EBE">
      <w:pPr>
        <w:pStyle w:val="BodyText2"/>
      </w:pPr>
      <w:bookmarkStart w:id="119" w:name="_Ref34045919"/>
      <w:r>
        <w:t>project finance, refers to the method of funding in which the lender looks primarily to the revenues generated by a single project, both as the source of repayment and as security for the loan;</w:t>
      </w:r>
      <w:bookmarkEnd w:id="119"/>
    </w:p>
    <w:p w14:paraId="1F728ECE" w14:textId="70806B71" w:rsidR="00667EBE" w:rsidRDefault="00667EBE" w:rsidP="00667EBE">
      <w:pPr>
        <w:pStyle w:val="BodyText2"/>
      </w:pPr>
      <w:bookmarkStart w:id="120" w:name="_Ref34045840"/>
      <w:r>
        <w:t>object finance, refers to the method of funding the acquisition of equipment where the repayment of the loan is dependent on the cash flows generated by the specific assets that have been financed and pledged or assigned to the lender; and</w:t>
      </w:r>
      <w:bookmarkEnd w:id="120"/>
      <w:r>
        <w:t xml:space="preserve"> </w:t>
      </w:r>
    </w:p>
    <w:p w14:paraId="08DD3547" w14:textId="3ADABE8A" w:rsidR="00667EBE" w:rsidRDefault="00667EBE" w:rsidP="00667EBE">
      <w:pPr>
        <w:pStyle w:val="BodyText2"/>
      </w:pPr>
      <w:bookmarkStart w:id="121" w:name="_Ref34045377"/>
      <w:r>
        <w:t>commodities finance, refers to short-term lending to finance reserves, inventories, or receivables of exchange-traded commodities, where the loan will be repaid from the proceeds of the sale of the commodity and the borrower has no independent capacity to repay the loan.</w:t>
      </w:r>
      <w:bookmarkEnd w:id="121"/>
      <w:r>
        <w:t xml:space="preserve"> </w:t>
      </w:r>
    </w:p>
    <w:p w14:paraId="4C2E0C83" w14:textId="36651F5B" w:rsidR="00F04EAB" w:rsidRDefault="00F04EAB" w:rsidP="00F04EAB">
      <w:pPr>
        <w:pStyle w:val="BodyText1"/>
      </w:pPr>
      <w:r>
        <w:t xml:space="preserve">Where an issue-specific external </w:t>
      </w:r>
      <w:r w:rsidR="008A37AF">
        <w:t xml:space="preserve">credit </w:t>
      </w:r>
      <w:r>
        <w:t xml:space="preserve">rating is available for a specialised lending exposure, an ADI must apply the risk weights in </w:t>
      </w:r>
      <w:r w:rsidR="00E41224">
        <w:fldChar w:fldCharType="begin"/>
      </w:r>
      <w:r w:rsidR="00E41224">
        <w:instrText xml:space="preserve"> REF _Ref3964404 \n \h </w:instrText>
      </w:r>
      <w:r w:rsidR="00E41224">
        <w:fldChar w:fldCharType="separate"/>
      </w:r>
      <w:r w:rsidR="0007706D">
        <w:t>Table 10</w:t>
      </w:r>
      <w:r w:rsidR="00E41224">
        <w:fldChar w:fldCharType="end"/>
      </w:r>
      <w:r>
        <w:t xml:space="preserve">. </w:t>
      </w:r>
    </w:p>
    <w:p w14:paraId="1DA2D02A" w14:textId="600031EA" w:rsidR="00F04EAB" w:rsidRDefault="00F04EAB" w:rsidP="00F04EAB">
      <w:pPr>
        <w:pStyle w:val="BodyText1"/>
      </w:pPr>
      <w:r>
        <w:t xml:space="preserve">An ADI must apply the risk weights in </w:t>
      </w:r>
      <w:r w:rsidR="00E41224">
        <w:fldChar w:fldCharType="begin"/>
      </w:r>
      <w:r w:rsidR="00E41224">
        <w:instrText xml:space="preserve"> REF _Ref3966908 \n \h </w:instrText>
      </w:r>
      <w:r w:rsidR="00E41224">
        <w:fldChar w:fldCharType="separate"/>
      </w:r>
      <w:r w:rsidR="0007706D">
        <w:t>Table 13</w:t>
      </w:r>
      <w:r w:rsidR="00E41224">
        <w:fldChar w:fldCharType="end"/>
      </w:r>
      <w:r w:rsidR="00E41224">
        <w:t xml:space="preserve"> </w:t>
      </w:r>
      <w:r>
        <w:t>to its unrated specialised lending exposures, including any exposures with an issuer-specific</w:t>
      </w:r>
      <w:r w:rsidR="0030127F">
        <w:t xml:space="preserve"> external credit</w:t>
      </w:r>
      <w:r>
        <w:t xml:space="preserve"> rating.</w:t>
      </w:r>
    </w:p>
    <w:p w14:paraId="0A18952E" w14:textId="6592AA5B" w:rsidR="00F04EAB" w:rsidRPr="001D55B1" w:rsidRDefault="0099752B" w:rsidP="0099752B">
      <w:pPr>
        <w:pStyle w:val="TableHeadNumber"/>
      </w:pPr>
      <w:bookmarkStart w:id="122" w:name="_Ref3966908"/>
      <w:r>
        <w:t>Risk</w:t>
      </w:r>
      <w:r w:rsidR="00F04EAB" w:rsidRPr="002A19D7">
        <w:t xml:space="preserve"> weights for unrated specialised lending exposures</w:t>
      </w:r>
      <w:bookmarkEnd w:id="122"/>
    </w:p>
    <w:tbl>
      <w:tblPr>
        <w:tblStyle w:val="TableGrid"/>
        <w:tblW w:w="0" w:type="auto"/>
        <w:tblLook w:val="04A0" w:firstRow="1" w:lastRow="0" w:firstColumn="1" w:lastColumn="0" w:noHBand="0" w:noVBand="1"/>
      </w:tblPr>
      <w:tblGrid>
        <w:gridCol w:w="4390"/>
        <w:gridCol w:w="2409"/>
      </w:tblGrid>
      <w:tr w:rsidR="00F04EAB" w14:paraId="48C1D6C9" w14:textId="77777777" w:rsidTr="005040DE">
        <w:tc>
          <w:tcPr>
            <w:tcW w:w="4390" w:type="dxa"/>
          </w:tcPr>
          <w:p w14:paraId="6C1FC8D8" w14:textId="77777777" w:rsidR="00F04EAB" w:rsidRDefault="00F04EAB" w:rsidP="00C65A4F">
            <w:pPr>
              <w:keepNext/>
              <w:spacing w:before="60" w:after="60"/>
            </w:pPr>
          </w:p>
        </w:tc>
        <w:tc>
          <w:tcPr>
            <w:tcW w:w="2409" w:type="dxa"/>
          </w:tcPr>
          <w:p w14:paraId="1A68FD15" w14:textId="77777777" w:rsidR="00F04EAB" w:rsidRPr="00964D2F" w:rsidRDefault="00F04EAB" w:rsidP="00C65A4F">
            <w:pPr>
              <w:spacing w:before="60" w:after="60"/>
              <w:jc w:val="center"/>
              <w:rPr>
                <w:b/>
              </w:rPr>
            </w:pPr>
            <w:r w:rsidRPr="00964D2F">
              <w:rPr>
                <w:b/>
              </w:rPr>
              <w:t>Risk weight (%)</w:t>
            </w:r>
          </w:p>
        </w:tc>
      </w:tr>
      <w:tr w:rsidR="00F04EAB" w14:paraId="6148BEA5" w14:textId="77777777" w:rsidTr="005040DE">
        <w:tc>
          <w:tcPr>
            <w:tcW w:w="4390" w:type="dxa"/>
          </w:tcPr>
          <w:p w14:paraId="586B2728" w14:textId="3D0A5EDD" w:rsidR="00F04EAB" w:rsidRDefault="00F04EAB" w:rsidP="00C65A4F">
            <w:pPr>
              <w:keepNext/>
              <w:spacing w:before="60" w:after="60"/>
            </w:pPr>
            <w:r>
              <w:t>Project finance</w:t>
            </w:r>
          </w:p>
        </w:tc>
        <w:tc>
          <w:tcPr>
            <w:tcW w:w="2409" w:type="dxa"/>
          </w:tcPr>
          <w:p w14:paraId="21CA19B3" w14:textId="51E6277D" w:rsidR="00F04EAB" w:rsidRDefault="009A6FA1" w:rsidP="00C65A4F">
            <w:pPr>
              <w:spacing w:before="60" w:after="60"/>
              <w:jc w:val="center"/>
            </w:pPr>
            <w:r>
              <w:t>110</w:t>
            </w:r>
          </w:p>
        </w:tc>
      </w:tr>
      <w:tr w:rsidR="00F04EAB" w14:paraId="3836FC38" w14:textId="77777777" w:rsidTr="005040DE">
        <w:tc>
          <w:tcPr>
            <w:tcW w:w="4390" w:type="dxa"/>
          </w:tcPr>
          <w:p w14:paraId="3EC698E2" w14:textId="77777777" w:rsidR="00F04EAB" w:rsidRDefault="00F04EAB" w:rsidP="00C65A4F">
            <w:pPr>
              <w:keepNext/>
              <w:spacing w:before="60" w:after="60"/>
            </w:pPr>
            <w:r>
              <w:t>Object and commodities finance</w:t>
            </w:r>
          </w:p>
        </w:tc>
        <w:tc>
          <w:tcPr>
            <w:tcW w:w="2409" w:type="dxa"/>
          </w:tcPr>
          <w:p w14:paraId="63E3E0E1" w14:textId="77777777" w:rsidR="00F04EAB" w:rsidRDefault="00F04EAB" w:rsidP="00C65A4F">
            <w:pPr>
              <w:keepNext/>
              <w:spacing w:before="60" w:after="60"/>
              <w:jc w:val="center"/>
            </w:pPr>
            <w:r>
              <w:t>100</w:t>
            </w:r>
          </w:p>
        </w:tc>
      </w:tr>
    </w:tbl>
    <w:p w14:paraId="3B2EF5E8" w14:textId="77777777" w:rsidR="00857B57" w:rsidRDefault="00857B57" w:rsidP="00857B57"/>
    <w:p w14:paraId="1000A3F1" w14:textId="77777777" w:rsidR="002F7560" w:rsidRPr="00522406" w:rsidRDefault="002F7560" w:rsidP="002F7560">
      <w:pPr>
        <w:pStyle w:val="Heading1"/>
      </w:pPr>
      <w:bookmarkStart w:id="123" w:name="_Toc4489887"/>
      <w:r>
        <w:t>Retail</w:t>
      </w:r>
      <w:r w:rsidR="00496AEE">
        <w:t xml:space="preserve"> exposures</w:t>
      </w:r>
      <w:bookmarkEnd w:id="123"/>
    </w:p>
    <w:p w14:paraId="039E1166" w14:textId="6EF306CE" w:rsidR="002F7560" w:rsidRDefault="002F7560" w:rsidP="002F7560">
      <w:pPr>
        <w:pStyle w:val="BodyText1"/>
      </w:pPr>
      <w:bookmarkStart w:id="124" w:name="_Ref32939464"/>
      <w:r>
        <w:t xml:space="preserve">A retail exposure is any exposure to </w:t>
      </w:r>
      <w:r w:rsidR="00A07AE6">
        <w:t xml:space="preserve">one or more </w:t>
      </w:r>
      <w:r>
        <w:t>individual</w:t>
      </w:r>
      <w:r w:rsidR="001C2D3E">
        <w:t>s (that is, natural person</w:t>
      </w:r>
      <w:r w:rsidR="00B57919">
        <w:t>s</w:t>
      </w:r>
      <w:r w:rsidR="001C2D3E">
        <w:t>)</w:t>
      </w:r>
      <w:r>
        <w:t>, that is not a property exposure</w:t>
      </w:r>
      <w:r w:rsidR="009F1733">
        <w:t xml:space="preserve"> or margin lending exposure</w:t>
      </w:r>
      <w:r>
        <w:t>.</w:t>
      </w:r>
      <w:bookmarkEnd w:id="124"/>
    </w:p>
    <w:p w14:paraId="620E160C" w14:textId="2FC0E22C" w:rsidR="002F7560" w:rsidRDefault="002F7560" w:rsidP="002F7560">
      <w:pPr>
        <w:pStyle w:val="BodyText1"/>
      </w:pPr>
      <w:r>
        <w:t xml:space="preserve">An ADI must apply the risk weights in </w:t>
      </w:r>
      <w:r w:rsidR="00E41224">
        <w:rPr>
          <w:highlight w:val="yellow"/>
        </w:rPr>
        <w:fldChar w:fldCharType="begin"/>
      </w:r>
      <w:r w:rsidR="00E41224">
        <w:instrText xml:space="preserve"> REF _Ref3967053 \n \h </w:instrText>
      </w:r>
      <w:r w:rsidR="00E41224">
        <w:rPr>
          <w:highlight w:val="yellow"/>
        </w:rPr>
      </w:r>
      <w:r w:rsidR="00E41224">
        <w:rPr>
          <w:highlight w:val="yellow"/>
        </w:rPr>
        <w:fldChar w:fldCharType="separate"/>
      </w:r>
      <w:r w:rsidR="0007706D">
        <w:t>Table 14</w:t>
      </w:r>
      <w:r w:rsidR="00E41224">
        <w:rPr>
          <w:highlight w:val="yellow"/>
        </w:rPr>
        <w:fldChar w:fldCharType="end"/>
      </w:r>
      <w:r>
        <w:t xml:space="preserve"> to its retail exposures</w:t>
      </w:r>
      <w:r w:rsidR="001C2D3E">
        <w:t>, based on the product type</w:t>
      </w:r>
      <w:r>
        <w:t>.</w:t>
      </w:r>
    </w:p>
    <w:p w14:paraId="5170B9B4" w14:textId="0060694B" w:rsidR="002F7560" w:rsidRPr="001D55B1" w:rsidRDefault="0099752B" w:rsidP="0099752B">
      <w:pPr>
        <w:pStyle w:val="TableHeadNumber"/>
      </w:pPr>
      <w:bookmarkStart w:id="125" w:name="_Ref3967053"/>
      <w:r>
        <w:lastRenderedPageBreak/>
        <w:t>Risk</w:t>
      </w:r>
      <w:r w:rsidR="00AC4CB6" w:rsidRPr="002A19D7">
        <w:t xml:space="preserve"> weights for </w:t>
      </w:r>
      <w:r w:rsidR="002F7560" w:rsidRPr="002A19D7">
        <w:t xml:space="preserve">retail </w:t>
      </w:r>
      <w:r w:rsidR="00456FDF" w:rsidRPr="002A19D7">
        <w:t>exposures</w:t>
      </w:r>
      <w:bookmarkEnd w:id="125"/>
    </w:p>
    <w:tbl>
      <w:tblPr>
        <w:tblStyle w:val="TableGrid"/>
        <w:tblW w:w="0" w:type="auto"/>
        <w:tblLook w:val="04A0" w:firstRow="1" w:lastRow="0" w:firstColumn="1" w:lastColumn="0" w:noHBand="0" w:noVBand="1"/>
      </w:tblPr>
      <w:tblGrid>
        <w:gridCol w:w="3256"/>
        <w:gridCol w:w="1984"/>
      </w:tblGrid>
      <w:tr w:rsidR="002F7560" w14:paraId="5A3F32CA" w14:textId="77777777" w:rsidTr="005040DE">
        <w:tc>
          <w:tcPr>
            <w:tcW w:w="3256" w:type="dxa"/>
          </w:tcPr>
          <w:p w14:paraId="6C910515" w14:textId="77777777" w:rsidR="002F7560" w:rsidRPr="00964D2F" w:rsidRDefault="002F7560" w:rsidP="00C65A4F">
            <w:pPr>
              <w:keepNext/>
              <w:spacing w:before="60" w:after="60"/>
              <w:rPr>
                <w:b/>
              </w:rPr>
            </w:pPr>
          </w:p>
        </w:tc>
        <w:tc>
          <w:tcPr>
            <w:tcW w:w="1984" w:type="dxa"/>
          </w:tcPr>
          <w:p w14:paraId="127CD68A" w14:textId="77777777" w:rsidR="002F7560" w:rsidRPr="00964D2F" w:rsidRDefault="002F7560" w:rsidP="00C65A4F">
            <w:pPr>
              <w:keepNext/>
              <w:spacing w:before="60" w:after="60"/>
              <w:jc w:val="center"/>
              <w:rPr>
                <w:b/>
              </w:rPr>
            </w:pPr>
            <w:r w:rsidRPr="00964D2F">
              <w:rPr>
                <w:b/>
              </w:rPr>
              <w:t>Risk weight (%)</w:t>
            </w:r>
          </w:p>
        </w:tc>
      </w:tr>
      <w:tr w:rsidR="002F7560" w14:paraId="13FEED8F" w14:textId="77777777" w:rsidTr="005040DE">
        <w:tc>
          <w:tcPr>
            <w:tcW w:w="3256" w:type="dxa"/>
          </w:tcPr>
          <w:p w14:paraId="458C543C" w14:textId="77777777" w:rsidR="002F7560" w:rsidRDefault="002F7560" w:rsidP="00C65A4F">
            <w:pPr>
              <w:keepNext/>
              <w:spacing w:before="60" w:after="60"/>
            </w:pPr>
            <w:r>
              <w:t>Credit card exposures</w:t>
            </w:r>
          </w:p>
        </w:tc>
        <w:tc>
          <w:tcPr>
            <w:tcW w:w="1984" w:type="dxa"/>
          </w:tcPr>
          <w:p w14:paraId="33886E5E" w14:textId="77777777" w:rsidR="002F7560" w:rsidRDefault="002F7560" w:rsidP="00C65A4F">
            <w:pPr>
              <w:keepNext/>
              <w:spacing w:before="60" w:after="60"/>
              <w:jc w:val="center"/>
            </w:pPr>
            <w:r>
              <w:t>75</w:t>
            </w:r>
          </w:p>
        </w:tc>
      </w:tr>
      <w:tr w:rsidR="002F7560" w14:paraId="6235DD8D" w14:textId="77777777" w:rsidTr="005040DE">
        <w:tc>
          <w:tcPr>
            <w:tcW w:w="3256" w:type="dxa"/>
          </w:tcPr>
          <w:p w14:paraId="158BD585" w14:textId="77777777" w:rsidR="002F7560" w:rsidRDefault="002F7560" w:rsidP="00C65A4F">
            <w:pPr>
              <w:keepNext/>
              <w:spacing w:before="60" w:after="60"/>
            </w:pPr>
            <w:r>
              <w:t>Other retail exposures</w:t>
            </w:r>
          </w:p>
        </w:tc>
        <w:tc>
          <w:tcPr>
            <w:tcW w:w="1984" w:type="dxa"/>
          </w:tcPr>
          <w:p w14:paraId="308B11C7" w14:textId="1C25C182" w:rsidR="002F7560" w:rsidRDefault="00905EF4" w:rsidP="00C65A4F">
            <w:pPr>
              <w:keepNext/>
              <w:spacing w:before="60" w:after="60"/>
              <w:jc w:val="center"/>
            </w:pPr>
            <w:r>
              <w:t>100</w:t>
            </w:r>
          </w:p>
        </w:tc>
      </w:tr>
    </w:tbl>
    <w:p w14:paraId="47815765" w14:textId="4F13D20E" w:rsidR="002F7560" w:rsidRDefault="002F7560" w:rsidP="00857B57"/>
    <w:p w14:paraId="48028A1E" w14:textId="77777777" w:rsidR="00814D84" w:rsidRDefault="00814D84" w:rsidP="00814D84">
      <w:pPr>
        <w:pStyle w:val="Heading1"/>
      </w:pPr>
      <w:bookmarkStart w:id="126" w:name="_Toc4489888"/>
      <w:r>
        <w:t>Margin lending</w:t>
      </w:r>
      <w:r w:rsidR="00496AEE">
        <w:t xml:space="preserve"> exposures</w:t>
      </w:r>
      <w:bookmarkEnd w:id="126"/>
    </w:p>
    <w:p w14:paraId="3143127B" w14:textId="00474E8D" w:rsidR="003475C7" w:rsidRDefault="00814D84" w:rsidP="00315979">
      <w:pPr>
        <w:pStyle w:val="BodyText1"/>
      </w:pPr>
      <w:r>
        <w:t>An ADI must apply a risk weight of 20 per cent to margin lending exposures secured by</w:t>
      </w:r>
      <w:r w:rsidR="002A19D7">
        <w:t xml:space="preserve"> eligible financial collateral</w:t>
      </w:r>
      <w:r>
        <w:t xml:space="preserve">. </w:t>
      </w:r>
      <w:r w:rsidR="0029229C">
        <w:t xml:space="preserve">Where a margin loan is secured by </w:t>
      </w:r>
      <w:r w:rsidR="00315979">
        <w:t>other collateral, an ADI must apply a risk weight o</w:t>
      </w:r>
      <w:r w:rsidR="000B01B5">
        <w:t>f 100 per cent to its exposure.</w:t>
      </w:r>
    </w:p>
    <w:p w14:paraId="55F955A8" w14:textId="77777777" w:rsidR="00BA21BC" w:rsidRPr="00BA21BC" w:rsidRDefault="00BA21BC" w:rsidP="00D76C69">
      <w:pPr>
        <w:pStyle w:val="Heading1"/>
      </w:pPr>
      <w:r>
        <w:t>Subordinated debt</w:t>
      </w:r>
    </w:p>
    <w:p w14:paraId="3A36CDA4" w14:textId="474A2AA9" w:rsidR="009905C0" w:rsidRDefault="00FC230E" w:rsidP="00FC230E">
      <w:pPr>
        <w:pStyle w:val="BodyText1"/>
      </w:pPr>
      <w:r>
        <w:t>Subordinated debt includes any facility that is expressly subordinated to another facility, or has the effect of conveying economic subordination to another facility</w:t>
      </w:r>
      <w:r w:rsidR="009905C0">
        <w:t>.</w:t>
      </w:r>
      <w:r w:rsidR="00BB036E">
        <w:rPr>
          <w:rStyle w:val="FootnoteReference"/>
        </w:rPr>
        <w:footnoteReference w:id="10"/>
      </w:r>
      <w:r>
        <w:t xml:space="preserve"> Subordinated debt that is not required to be deducted from regulatory capital under APS 111 must be risk weighted at 150 per cent.</w:t>
      </w:r>
      <w:r w:rsidR="009905C0">
        <w:t xml:space="preserve"> </w:t>
      </w:r>
    </w:p>
    <w:p w14:paraId="3F8318FC" w14:textId="77777777" w:rsidR="00247889" w:rsidRDefault="00247889" w:rsidP="00D76C69">
      <w:pPr>
        <w:pStyle w:val="Heading1"/>
      </w:pPr>
      <w:r>
        <w:t>Equity</w:t>
      </w:r>
    </w:p>
    <w:p w14:paraId="23624D85" w14:textId="77777777" w:rsidR="00247889" w:rsidRPr="00247889" w:rsidRDefault="00247889" w:rsidP="00247889">
      <w:pPr>
        <w:pStyle w:val="BodyText1"/>
      </w:pPr>
      <w:bookmarkStart w:id="127" w:name="_Ref34045479"/>
      <w:r w:rsidRPr="00247889">
        <w:t>Equity exposures must be defined on the basis of the economic substance of the instrument. Equity exposures include both direct and</w:t>
      </w:r>
      <w:r>
        <w:t xml:space="preserve"> indirect ownership interests,</w:t>
      </w:r>
      <w:r>
        <w:rPr>
          <w:rStyle w:val="FootnoteReference"/>
        </w:rPr>
        <w:footnoteReference w:id="11"/>
      </w:r>
      <w:r>
        <w:t xml:space="preserve"> </w:t>
      </w:r>
      <w:r w:rsidRPr="00247889">
        <w:t>whether voting or non-voting, in the assets and income of entities, including commercial enterprises and financial institutions. An instrument is considered to be an equity exposure if it meets the following criteria:</w:t>
      </w:r>
      <w:bookmarkEnd w:id="127"/>
      <w:r w:rsidRPr="00247889">
        <w:t xml:space="preserve"> </w:t>
      </w:r>
    </w:p>
    <w:p w14:paraId="0D44B638" w14:textId="29AACA43" w:rsidR="00247889" w:rsidRPr="00247889" w:rsidRDefault="00247889" w:rsidP="002909C2">
      <w:pPr>
        <w:pStyle w:val="BodyText2"/>
      </w:pPr>
      <w:r w:rsidRPr="00247889">
        <w:t>it is irredeemable</w:t>
      </w:r>
      <w:r w:rsidR="001A7AC6">
        <w:t>,</w:t>
      </w:r>
      <w:r w:rsidRPr="00247889">
        <w:t xml:space="preserve"> in that the return of invested funds can be achieved only by the sale of the investment, the sale of the rights to the investment or by the liquidation of the issuer; </w:t>
      </w:r>
    </w:p>
    <w:p w14:paraId="200F4016" w14:textId="77777777" w:rsidR="00247889" w:rsidRDefault="00247889" w:rsidP="002909C2">
      <w:pPr>
        <w:pStyle w:val="BodyText2"/>
      </w:pPr>
      <w:r>
        <w:t>it does not embody an obligation of the issuer; and</w:t>
      </w:r>
    </w:p>
    <w:p w14:paraId="041A593F" w14:textId="77777777" w:rsidR="00247889" w:rsidRDefault="00247889" w:rsidP="002909C2">
      <w:pPr>
        <w:pStyle w:val="BodyText2"/>
      </w:pPr>
      <w:r>
        <w:t>it conveys a residual claim on the assets or income of the issuer.</w:t>
      </w:r>
    </w:p>
    <w:p w14:paraId="01DE83C8" w14:textId="035377A1" w:rsidR="00247889" w:rsidRPr="00247889" w:rsidRDefault="00247889" w:rsidP="00247889">
      <w:pPr>
        <w:pStyle w:val="BodyText1"/>
      </w:pPr>
      <w:r w:rsidRPr="00247889">
        <w:t xml:space="preserve">Debt obligations and other securities, units in trusts, derivatives or other instruments </w:t>
      </w:r>
      <w:r w:rsidR="00B57919">
        <w:t xml:space="preserve">which are </w:t>
      </w:r>
      <w:r w:rsidRPr="00247889">
        <w:t xml:space="preserve">structured </w:t>
      </w:r>
      <w:r w:rsidR="00B57919">
        <w:t xml:space="preserve">for the purpose, </w:t>
      </w:r>
      <w:r w:rsidRPr="00247889">
        <w:t xml:space="preserve">or </w:t>
      </w:r>
      <w:r w:rsidR="00B57919">
        <w:t xml:space="preserve">have the </w:t>
      </w:r>
      <w:r w:rsidRPr="00247889">
        <w:t>effect</w:t>
      </w:r>
      <w:r w:rsidR="00B57919">
        <w:t>,</w:t>
      </w:r>
      <w:r w:rsidRPr="00247889">
        <w:t xml:space="preserve"> of conveying the economic substance of equity ownership must be treated as equity exposures. This includes options and warrants on equities and short positions in equity securities. In addition, if a debt instrument is convertible into equity at the option of an ADI, it should be </w:t>
      </w:r>
      <w:r w:rsidR="00A67FF5">
        <w:t xml:space="preserve">treated </w:t>
      </w:r>
      <w:r w:rsidR="00382C3D">
        <w:t xml:space="preserve">by the ADI </w:t>
      </w:r>
      <w:r w:rsidR="00A67FF5">
        <w:t>as</w:t>
      </w:r>
      <w:r w:rsidRPr="00247889">
        <w:t xml:space="preserve"> equity on conversion. If such an </w:t>
      </w:r>
      <w:r w:rsidRPr="00247889">
        <w:lastRenderedPageBreak/>
        <w:t xml:space="preserve">instrument is convertible at the option of the issuer or automatically by the terms of the instrument, it should be </w:t>
      </w:r>
      <w:r w:rsidR="00A67FF5">
        <w:t>treated</w:t>
      </w:r>
      <w:r w:rsidR="00A67FF5" w:rsidRPr="00247889">
        <w:t xml:space="preserve"> </w:t>
      </w:r>
      <w:r w:rsidRPr="00247889">
        <w:t xml:space="preserve">by the </w:t>
      </w:r>
      <w:r>
        <w:t>ADI as equity from inception.</w:t>
      </w:r>
    </w:p>
    <w:p w14:paraId="5072447B" w14:textId="77777777" w:rsidR="00247889" w:rsidRDefault="00000E83" w:rsidP="00000E83">
      <w:pPr>
        <w:pStyle w:val="BodyText1"/>
      </w:pPr>
      <w:r w:rsidRPr="00000E83">
        <w:t>Equities that are recorded as a loan but arise from a debt/equity swap made as part of the orderly realisation or restructuring of the debt must be treated as an equity exposure.</w:t>
      </w:r>
    </w:p>
    <w:p w14:paraId="4AB9FEB3" w14:textId="71CD5A38" w:rsidR="00000E83" w:rsidRPr="00000E83" w:rsidRDefault="00000E83" w:rsidP="00000E83">
      <w:pPr>
        <w:pStyle w:val="BodyText1"/>
      </w:pPr>
      <w:bookmarkStart w:id="128" w:name="_Ref34045494"/>
      <w:bookmarkStart w:id="129" w:name="_Hlk52282642"/>
      <w:r w:rsidRPr="00000E83">
        <w:t xml:space="preserve">Instruments with a return directly linked to equities must be </w:t>
      </w:r>
      <w:r w:rsidR="00894563">
        <w:t>treated</w:t>
      </w:r>
      <w:r w:rsidR="00894563" w:rsidRPr="00000E83">
        <w:t xml:space="preserve"> </w:t>
      </w:r>
      <w:r w:rsidRPr="00000E83">
        <w:t>as equity exposures.</w:t>
      </w:r>
      <w:r w:rsidR="00EB17CE" w:rsidRPr="00000E83" w:rsidDel="00EB17CE">
        <w:t xml:space="preserve"> </w:t>
      </w:r>
      <w:bookmarkEnd w:id="128"/>
    </w:p>
    <w:bookmarkEnd w:id="129"/>
    <w:p w14:paraId="58B13736" w14:textId="72FF4370" w:rsidR="00000E83" w:rsidRDefault="00000E83" w:rsidP="00000E83">
      <w:pPr>
        <w:pStyle w:val="BodyText1"/>
      </w:pPr>
      <w:r>
        <w:t>An ADI must risk-weight equity exposures that are not required to be deducted from Regulatory Capital under APS</w:t>
      </w:r>
      <w:r w:rsidR="005B1542">
        <w:t> </w:t>
      </w:r>
      <w:r>
        <w:t>111 at:</w:t>
      </w:r>
    </w:p>
    <w:p w14:paraId="219FEC89" w14:textId="1C5DC726" w:rsidR="00000E83" w:rsidRDefault="00433BFA" w:rsidP="005B1542">
      <w:pPr>
        <w:pStyle w:val="BodyText2"/>
      </w:pPr>
      <w:r>
        <w:t>25</w:t>
      </w:r>
      <w:r w:rsidR="005B1542">
        <w:t>0 per cent if</w:t>
      </w:r>
      <w:r w:rsidR="000C014A">
        <w:t xml:space="preserve"> the equity exposure is</w:t>
      </w:r>
      <w:r w:rsidR="005B1542">
        <w:t xml:space="preserve"> listed on a recognised exchange</w:t>
      </w:r>
      <w:r w:rsidR="001F6ED0">
        <w:t>,</w:t>
      </w:r>
      <w:r w:rsidR="00535AF3">
        <w:t xml:space="preserve"> or where the equity exposure is to </w:t>
      </w:r>
      <w:r w:rsidR="001303D7">
        <w:t>the</w:t>
      </w:r>
      <w:r w:rsidR="00535AF3">
        <w:t xml:space="preserve"> ADI’s banking or insurance subsidiary at Level 1</w:t>
      </w:r>
      <w:r w:rsidR="005B1542">
        <w:t>;</w:t>
      </w:r>
      <w:r w:rsidR="0060664A">
        <w:rPr>
          <w:rStyle w:val="FootnoteReference"/>
        </w:rPr>
        <w:footnoteReference w:id="12"/>
      </w:r>
      <w:r w:rsidR="005B1542">
        <w:t xml:space="preserve"> and</w:t>
      </w:r>
    </w:p>
    <w:p w14:paraId="0F41F60D" w14:textId="4B9F3C6A" w:rsidR="005B1542" w:rsidRDefault="005B1542" w:rsidP="005B1542">
      <w:pPr>
        <w:pStyle w:val="BodyText2"/>
      </w:pPr>
      <w:r>
        <w:t>400 per cent if</w:t>
      </w:r>
      <w:r w:rsidR="000C014A">
        <w:t xml:space="preserve"> the equity exposure is</w:t>
      </w:r>
      <w:r>
        <w:t xml:space="preserve"> not listed on a recognised exchange. </w:t>
      </w:r>
    </w:p>
    <w:p w14:paraId="2A629FAA" w14:textId="252F6659" w:rsidR="00EE08A1" w:rsidRPr="005A4DA7" w:rsidRDefault="00D1392D" w:rsidP="00A0749E">
      <w:pPr>
        <w:pStyle w:val="Heading1"/>
      </w:pPr>
      <w:bookmarkStart w:id="130" w:name="_Toc4489890"/>
      <w:r>
        <w:t>L</w:t>
      </w:r>
      <w:r w:rsidR="00BE4B6F">
        <w:t>eases</w:t>
      </w:r>
      <w:bookmarkEnd w:id="130"/>
    </w:p>
    <w:p w14:paraId="377A3D8B" w14:textId="79432160" w:rsidR="00774030" w:rsidRDefault="009426BB" w:rsidP="00EE08A1">
      <w:pPr>
        <w:pStyle w:val="BodyText1"/>
      </w:pPr>
      <w:r>
        <w:t xml:space="preserve">Lease exposures include all lease and asset finance exposures, irrespective of the counterparty type, and include exposures generated by the leasing of right-of-use assets. </w:t>
      </w:r>
      <w:r w:rsidR="006D3328">
        <w:t>For</w:t>
      </w:r>
      <w:r w:rsidR="00774030">
        <w:t xml:space="preserve"> </w:t>
      </w:r>
      <w:r w:rsidR="00D1392D">
        <w:t>lease exposures,</w:t>
      </w:r>
      <w:r w:rsidR="006D3328">
        <w:t xml:space="preserve"> excluding residual value</w:t>
      </w:r>
      <w:r w:rsidR="005B0E7F">
        <w:t xml:space="preserve"> risk</w:t>
      </w:r>
      <w:r w:rsidR="006D3328">
        <w:t xml:space="preserve">, an ADI must apply </w:t>
      </w:r>
      <w:r w:rsidR="005B0E7F">
        <w:t>the</w:t>
      </w:r>
      <w:r w:rsidR="006D3328">
        <w:t xml:space="preserve"> risk weight of the </w:t>
      </w:r>
      <w:r w:rsidR="000A1261">
        <w:t>counterparty</w:t>
      </w:r>
      <w:r w:rsidR="005B0E7F">
        <w:t>, as specified in this Attachment</w:t>
      </w:r>
      <w:r w:rsidR="006D3328">
        <w:t xml:space="preserve">. </w:t>
      </w:r>
    </w:p>
    <w:p w14:paraId="7FA1CA79" w14:textId="556B1C0E" w:rsidR="00EE08A1" w:rsidRDefault="00446A3E" w:rsidP="00EE08A1">
      <w:pPr>
        <w:pStyle w:val="BodyText1"/>
      </w:pPr>
      <w:r>
        <w:t xml:space="preserve">Where an ADI </w:t>
      </w:r>
      <w:r w:rsidR="00D1392D">
        <w:t xml:space="preserve">is exposed to residual value risk, such as when it </w:t>
      </w:r>
      <w:r>
        <w:t>acts as the lessor in operating leases</w:t>
      </w:r>
      <w:r w:rsidR="00D1392D">
        <w:t>,</w:t>
      </w:r>
      <w:r>
        <w:t xml:space="preserve"> it must measure the aggregate residual value</w:t>
      </w:r>
      <w:r w:rsidR="0084607C">
        <w:t xml:space="preserve"> </w:t>
      </w:r>
      <w:r>
        <w:t xml:space="preserve">and </w:t>
      </w:r>
      <w:r w:rsidR="00EE08A1">
        <w:t>apply the</w:t>
      </w:r>
      <w:r w:rsidR="0030127F">
        <w:t xml:space="preserve"> </w:t>
      </w:r>
      <w:r w:rsidR="00EE08A1">
        <w:t>risk weight</w:t>
      </w:r>
      <w:r w:rsidR="00D333D1">
        <w:t>s</w:t>
      </w:r>
      <w:r w:rsidR="00EE08A1">
        <w:t xml:space="preserve"> in </w:t>
      </w:r>
      <w:r w:rsidR="00425CEB">
        <w:fldChar w:fldCharType="begin"/>
      </w:r>
      <w:r w:rsidR="00425CEB">
        <w:instrText xml:space="preserve"> REF _Ref3967783 \n \h </w:instrText>
      </w:r>
      <w:r w:rsidR="00425CEB">
        <w:fldChar w:fldCharType="separate"/>
      </w:r>
      <w:r w:rsidR="0007706D">
        <w:t>Table 15</w:t>
      </w:r>
      <w:r w:rsidR="00425CEB">
        <w:fldChar w:fldCharType="end"/>
      </w:r>
      <w:r w:rsidR="00BA4765">
        <w:t xml:space="preserve"> to the residual value of its </w:t>
      </w:r>
      <w:r w:rsidR="00D1392D">
        <w:t>leased assets</w:t>
      </w:r>
      <w:r w:rsidR="00BA4765">
        <w:t>.</w:t>
      </w:r>
    </w:p>
    <w:p w14:paraId="18C0B8AC" w14:textId="29DAEC5F" w:rsidR="00EE08A1" w:rsidRPr="00EE08A1" w:rsidRDefault="0099752B" w:rsidP="0099752B">
      <w:pPr>
        <w:pStyle w:val="TableHeadNumber"/>
      </w:pPr>
      <w:bookmarkStart w:id="131" w:name="_Ref3967783"/>
      <w:r>
        <w:t>Risk</w:t>
      </w:r>
      <w:r w:rsidR="00EE08A1">
        <w:t xml:space="preserve"> </w:t>
      </w:r>
      <w:r w:rsidR="00AD1682">
        <w:t>weights for residual value</w:t>
      </w:r>
      <w:r w:rsidR="002909C2">
        <w:t xml:space="preserve"> under</w:t>
      </w:r>
      <w:r w:rsidR="00EE08A1">
        <w:t xml:space="preserve"> </w:t>
      </w:r>
      <w:r w:rsidR="00BE4B6F">
        <w:t>lease</w:t>
      </w:r>
      <w:r w:rsidR="00AD1682">
        <w:t xml:space="preserve"> </w:t>
      </w:r>
      <w:r w:rsidR="00AD1682" w:rsidRPr="009C1E27">
        <w:t>ex</w:t>
      </w:r>
      <w:r w:rsidR="00AD1682" w:rsidRPr="00E541D4">
        <w:t>posu</w:t>
      </w:r>
      <w:r w:rsidR="00AD1682" w:rsidRPr="000A3073">
        <w:t>re</w:t>
      </w:r>
      <w:r w:rsidR="002909C2" w:rsidRPr="003D1973">
        <w:t>s</w:t>
      </w:r>
      <w:bookmarkEnd w:id="131"/>
    </w:p>
    <w:tbl>
      <w:tblPr>
        <w:tblStyle w:val="TableGrid"/>
        <w:tblW w:w="0" w:type="auto"/>
        <w:tblLook w:val="04A0" w:firstRow="1" w:lastRow="0" w:firstColumn="1" w:lastColumn="0" w:noHBand="0" w:noVBand="1"/>
      </w:tblPr>
      <w:tblGrid>
        <w:gridCol w:w="2263"/>
        <w:gridCol w:w="3019"/>
        <w:gridCol w:w="3020"/>
      </w:tblGrid>
      <w:tr w:rsidR="00EE08A1" w14:paraId="4524D151" w14:textId="77777777" w:rsidTr="005040DE">
        <w:tc>
          <w:tcPr>
            <w:tcW w:w="2263" w:type="dxa"/>
          </w:tcPr>
          <w:p w14:paraId="4D5BFC26" w14:textId="77777777" w:rsidR="00EE08A1" w:rsidRDefault="00EE08A1" w:rsidP="00C65A4F">
            <w:pPr>
              <w:keepNext/>
              <w:spacing w:before="60" w:after="60"/>
            </w:pPr>
          </w:p>
        </w:tc>
        <w:tc>
          <w:tcPr>
            <w:tcW w:w="3019" w:type="dxa"/>
          </w:tcPr>
          <w:p w14:paraId="5CE51C83" w14:textId="2685BE5F" w:rsidR="00EE08A1" w:rsidRPr="00364155" w:rsidRDefault="00EE08A1" w:rsidP="00C65A4F">
            <w:pPr>
              <w:spacing w:before="60" w:after="60"/>
              <w:jc w:val="center"/>
              <w:rPr>
                <w:b/>
              </w:rPr>
            </w:pPr>
            <w:r w:rsidRPr="00364155">
              <w:rPr>
                <w:b/>
              </w:rPr>
              <w:t xml:space="preserve">Risk weight </w:t>
            </w:r>
            <w:r w:rsidR="00364155" w:rsidRPr="00364155">
              <w:rPr>
                <w:b/>
              </w:rPr>
              <w:t xml:space="preserve">(%) </w:t>
            </w:r>
            <w:r w:rsidRPr="00364155">
              <w:rPr>
                <w:b/>
              </w:rPr>
              <w:t xml:space="preserve">applying to the portion of aggregate </w:t>
            </w:r>
            <w:r w:rsidR="00BA4765">
              <w:rPr>
                <w:b/>
              </w:rPr>
              <w:t>residual value</w:t>
            </w:r>
            <w:r w:rsidR="00BA4765" w:rsidRPr="00364155">
              <w:rPr>
                <w:b/>
              </w:rPr>
              <w:t xml:space="preserve"> </w:t>
            </w:r>
            <w:r w:rsidR="001E45AA">
              <w:rPr>
                <w:b/>
              </w:rPr>
              <w:t>≤ </w:t>
            </w:r>
            <w:r w:rsidRPr="00364155">
              <w:rPr>
                <w:b/>
              </w:rPr>
              <w:t xml:space="preserve">10% of Tier 1 capital </w:t>
            </w:r>
          </w:p>
        </w:tc>
        <w:tc>
          <w:tcPr>
            <w:tcW w:w="3020" w:type="dxa"/>
          </w:tcPr>
          <w:p w14:paraId="5C83BE35" w14:textId="255B452E" w:rsidR="00EE08A1" w:rsidRPr="00364155" w:rsidRDefault="00EE08A1" w:rsidP="00C65A4F">
            <w:pPr>
              <w:spacing w:before="60" w:after="60"/>
              <w:jc w:val="center"/>
              <w:rPr>
                <w:b/>
              </w:rPr>
            </w:pPr>
            <w:r w:rsidRPr="00364155">
              <w:rPr>
                <w:b/>
              </w:rPr>
              <w:t xml:space="preserve">Risk weight </w:t>
            </w:r>
            <w:r w:rsidR="00364155" w:rsidRPr="00364155">
              <w:rPr>
                <w:b/>
              </w:rPr>
              <w:t xml:space="preserve">(%) </w:t>
            </w:r>
            <w:r w:rsidRPr="00364155">
              <w:rPr>
                <w:b/>
              </w:rPr>
              <w:t xml:space="preserve">applying to the portion of aggregate </w:t>
            </w:r>
            <w:r w:rsidR="00BA4765">
              <w:rPr>
                <w:b/>
              </w:rPr>
              <w:t>residual value</w:t>
            </w:r>
            <w:r w:rsidR="00BA4765" w:rsidRPr="00364155">
              <w:rPr>
                <w:b/>
              </w:rPr>
              <w:t xml:space="preserve"> </w:t>
            </w:r>
            <w:r w:rsidR="001E45AA">
              <w:rPr>
                <w:b/>
              </w:rPr>
              <w:t>&gt; </w:t>
            </w:r>
            <w:r w:rsidRPr="00364155">
              <w:rPr>
                <w:b/>
              </w:rPr>
              <w:t>10% of Tier 1 capital</w:t>
            </w:r>
          </w:p>
        </w:tc>
      </w:tr>
      <w:tr w:rsidR="00EE08A1" w14:paraId="66663166" w14:textId="77777777" w:rsidTr="005040DE">
        <w:tc>
          <w:tcPr>
            <w:tcW w:w="2263" w:type="dxa"/>
          </w:tcPr>
          <w:p w14:paraId="307EF701" w14:textId="3979CAFB" w:rsidR="00EE08A1" w:rsidRDefault="00EE08A1" w:rsidP="00C65A4F">
            <w:pPr>
              <w:keepNext/>
              <w:spacing w:before="60" w:after="60"/>
            </w:pPr>
            <w:r>
              <w:t>Exposures to</w:t>
            </w:r>
            <w:r w:rsidR="00BA4765">
              <w:t xml:space="preserve"> residual value</w:t>
            </w:r>
          </w:p>
        </w:tc>
        <w:tc>
          <w:tcPr>
            <w:tcW w:w="3019" w:type="dxa"/>
            <w:vAlign w:val="center"/>
          </w:tcPr>
          <w:p w14:paraId="11D6AE65" w14:textId="77777777" w:rsidR="00EE08A1" w:rsidRDefault="00EE08A1" w:rsidP="00C65A4F">
            <w:pPr>
              <w:spacing w:before="60" w:after="60"/>
              <w:jc w:val="center"/>
            </w:pPr>
            <w:r>
              <w:t>100</w:t>
            </w:r>
          </w:p>
        </w:tc>
        <w:tc>
          <w:tcPr>
            <w:tcW w:w="3020" w:type="dxa"/>
            <w:vAlign w:val="center"/>
          </w:tcPr>
          <w:p w14:paraId="73ED01AD" w14:textId="77777777" w:rsidR="00EE08A1" w:rsidRDefault="00EE08A1" w:rsidP="00C65A4F">
            <w:pPr>
              <w:spacing w:before="60" w:after="60"/>
              <w:jc w:val="center"/>
            </w:pPr>
            <w:r>
              <w:t>250</w:t>
            </w:r>
          </w:p>
        </w:tc>
      </w:tr>
    </w:tbl>
    <w:p w14:paraId="680BB82D" w14:textId="77777777" w:rsidR="00EE08A1" w:rsidRPr="00EE08A1" w:rsidRDefault="00EE08A1" w:rsidP="00EE08A1">
      <w:pPr>
        <w:spacing w:after="120"/>
      </w:pPr>
    </w:p>
    <w:p w14:paraId="2F37E394" w14:textId="391F6040" w:rsidR="00296404" w:rsidRDefault="00296404" w:rsidP="00A0749E">
      <w:pPr>
        <w:pStyle w:val="Heading1"/>
      </w:pPr>
      <w:bookmarkStart w:id="132" w:name="_Toc4489891"/>
      <w:r>
        <w:t>Exposures through</w:t>
      </w:r>
      <w:r w:rsidR="001A1410">
        <w:t xml:space="preserve"> a</w:t>
      </w:r>
      <w:r>
        <w:t xml:space="preserve"> third</w:t>
      </w:r>
      <w:r w:rsidR="008169CD">
        <w:t xml:space="preserve"> </w:t>
      </w:r>
      <w:r>
        <w:t>party</w:t>
      </w:r>
      <w:bookmarkEnd w:id="132"/>
    </w:p>
    <w:p w14:paraId="7B69964A" w14:textId="0684C26F" w:rsidR="00330368" w:rsidRDefault="001875B1" w:rsidP="000157F1">
      <w:pPr>
        <w:pStyle w:val="BodyText1"/>
      </w:pPr>
      <w:bookmarkStart w:id="133" w:name="_Ref29993872"/>
      <w:r>
        <w:t xml:space="preserve">An ADI must apply a risk weight of 150 per cent to </w:t>
      </w:r>
      <w:r w:rsidR="00AB2044">
        <w:t xml:space="preserve">credit </w:t>
      </w:r>
      <w:r>
        <w:t>exposures</w:t>
      </w:r>
      <w:r w:rsidR="00A37E42">
        <w:t xml:space="preserve"> originated</w:t>
      </w:r>
      <w:r>
        <w:t xml:space="preserve"> through</w:t>
      </w:r>
      <w:r w:rsidR="00433FFE">
        <w:t xml:space="preserve"> a third</w:t>
      </w:r>
      <w:r w:rsidR="008169CD">
        <w:t xml:space="preserve"> </w:t>
      </w:r>
      <w:r w:rsidR="00433FFE">
        <w:t>party</w:t>
      </w:r>
      <w:r>
        <w:t>, where</w:t>
      </w:r>
      <w:r w:rsidR="00433FFE">
        <w:t xml:space="preserve"> the ADI</w:t>
      </w:r>
      <w:r>
        <w:t>:</w:t>
      </w:r>
      <w:bookmarkEnd w:id="133"/>
    </w:p>
    <w:p w14:paraId="77A9397A" w14:textId="537837B5" w:rsidR="002745CA" w:rsidRDefault="00433FFE" w:rsidP="00AB2044">
      <w:pPr>
        <w:pStyle w:val="BodyText2"/>
      </w:pPr>
      <w:r>
        <w:t>does not undertake</w:t>
      </w:r>
      <w:r w:rsidR="001875B1">
        <w:t xml:space="preserve"> the credit assessment </w:t>
      </w:r>
      <w:r w:rsidR="0058514C">
        <w:t>and approval of the underlying borrower under its own credit risk policies an</w:t>
      </w:r>
      <w:r>
        <w:t>d processes</w:t>
      </w:r>
      <w:r w:rsidR="0058514C">
        <w:t xml:space="preserve">; </w:t>
      </w:r>
    </w:p>
    <w:p w14:paraId="146B1F94" w14:textId="008FA2FB" w:rsidR="001875B1" w:rsidRDefault="00433FFE" w:rsidP="00AB2044">
      <w:pPr>
        <w:pStyle w:val="BodyText2"/>
      </w:pPr>
      <w:r>
        <w:lastRenderedPageBreak/>
        <w:t xml:space="preserve">is unable to </w:t>
      </w:r>
      <w:r w:rsidR="002745CA">
        <w:t xml:space="preserve">administer the workout or default processes; </w:t>
      </w:r>
      <w:r w:rsidR="0058514C">
        <w:t>and</w:t>
      </w:r>
    </w:p>
    <w:p w14:paraId="52CEE4FF" w14:textId="64D26455" w:rsidR="0058514C" w:rsidRDefault="002745CA" w:rsidP="00AB2044">
      <w:pPr>
        <w:pStyle w:val="BodyText2"/>
      </w:pPr>
      <w:r>
        <w:t xml:space="preserve">does not have </w:t>
      </w:r>
      <w:r w:rsidR="003A2861">
        <w:t xml:space="preserve">direct </w:t>
      </w:r>
      <w:r>
        <w:t>recourse to the third</w:t>
      </w:r>
      <w:r w:rsidR="00F511B1">
        <w:t xml:space="preserve"> </w:t>
      </w:r>
      <w:r>
        <w:t>party</w:t>
      </w:r>
      <w:r w:rsidR="003A2861">
        <w:t xml:space="preserve"> or underlying borrower in the event of default</w:t>
      </w:r>
      <w:r w:rsidR="00F43B3F">
        <w:t>.</w:t>
      </w:r>
    </w:p>
    <w:p w14:paraId="0300EA96" w14:textId="037D3CCC" w:rsidR="000023BC" w:rsidRPr="000023BC" w:rsidRDefault="000157F1" w:rsidP="000023BC">
      <w:pPr>
        <w:ind w:left="567"/>
        <w:jc w:val="both"/>
      </w:pPr>
      <w:r>
        <w:t>The risk weight prescribed in this paragraph must be applied to all such arrangements irrespective of the characteri</w:t>
      </w:r>
      <w:r w:rsidR="003A2861">
        <w:t>sation of the third</w:t>
      </w:r>
      <w:r w:rsidR="008169CD">
        <w:t xml:space="preserve"> </w:t>
      </w:r>
      <w:r w:rsidR="003A2861">
        <w:t>party</w:t>
      </w:r>
      <w:r>
        <w:t xml:space="preserve"> or underlying borrower</w:t>
      </w:r>
      <w:r w:rsidR="000023BC">
        <w:t>.</w:t>
      </w:r>
    </w:p>
    <w:p w14:paraId="7088FFA0" w14:textId="79A3D89C" w:rsidR="00A0749E" w:rsidRDefault="00A0749E" w:rsidP="00A0749E">
      <w:pPr>
        <w:pStyle w:val="Heading1"/>
      </w:pPr>
      <w:bookmarkStart w:id="134" w:name="_Toc4489892"/>
      <w:r>
        <w:t>Other exposures</w:t>
      </w:r>
      <w:bookmarkEnd w:id="134"/>
    </w:p>
    <w:p w14:paraId="52C39216" w14:textId="2F272917" w:rsidR="008D520A" w:rsidRDefault="008D520A" w:rsidP="008D520A">
      <w:pPr>
        <w:pStyle w:val="BodyText1"/>
      </w:pPr>
      <w:r>
        <w:t xml:space="preserve">An ADI must apply the risk weights in </w:t>
      </w:r>
      <w:r w:rsidR="00425CEB">
        <w:rPr>
          <w:highlight w:val="yellow"/>
        </w:rPr>
        <w:fldChar w:fldCharType="begin"/>
      </w:r>
      <w:r w:rsidR="00425CEB">
        <w:instrText xml:space="preserve"> REF _Ref3967836 \n \h </w:instrText>
      </w:r>
      <w:r w:rsidR="00425CEB">
        <w:rPr>
          <w:highlight w:val="yellow"/>
        </w:rPr>
      </w:r>
      <w:r w:rsidR="00425CEB">
        <w:rPr>
          <w:highlight w:val="yellow"/>
        </w:rPr>
        <w:fldChar w:fldCharType="separate"/>
      </w:r>
      <w:r w:rsidR="0007706D">
        <w:t>Table 16</w:t>
      </w:r>
      <w:r w:rsidR="00425CEB">
        <w:rPr>
          <w:highlight w:val="yellow"/>
        </w:rPr>
        <w:fldChar w:fldCharType="end"/>
      </w:r>
      <w:r>
        <w:t xml:space="preserve"> to all </w:t>
      </w:r>
      <w:r w:rsidRPr="008D520A">
        <w:t>othe</w:t>
      </w:r>
      <w:r>
        <w:t xml:space="preserve">r exposures </w:t>
      </w:r>
      <w:r w:rsidR="00AA40CC">
        <w:t xml:space="preserve">that are not property exposures or </w:t>
      </w:r>
      <w:r w:rsidR="00E6058C">
        <w:t>included within one of the other asset classes specified in this Attachment.</w:t>
      </w:r>
    </w:p>
    <w:p w14:paraId="33C844AA" w14:textId="15C46DEE" w:rsidR="008D520A" w:rsidRDefault="0099752B" w:rsidP="0099752B">
      <w:pPr>
        <w:pStyle w:val="TableHeadNumber"/>
      </w:pPr>
      <w:bookmarkStart w:id="135" w:name="_Ref3967836"/>
      <w:r>
        <w:t>R</w:t>
      </w:r>
      <w:r w:rsidR="00AC4CB6" w:rsidRPr="000B01B5">
        <w:t xml:space="preserve">isk weights for </w:t>
      </w:r>
      <w:r w:rsidR="00EE08A1" w:rsidRPr="000B01B5">
        <w:t>other exposures</w:t>
      </w:r>
      <w:bookmarkEnd w:id="135"/>
    </w:p>
    <w:tbl>
      <w:tblPr>
        <w:tblStyle w:val="TableGrid"/>
        <w:tblW w:w="0" w:type="auto"/>
        <w:tblLook w:val="04A0" w:firstRow="1" w:lastRow="0" w:firstColumn="1" w:lastColumn="0" w:noHBand="0" w:noVBand="1"/>
      </w:tblPr>
      <w:tblGrid>
        <w:gridCol w:w="6091"/>
        <w:gridCol w:w="2211"/>
      </w:tblGrid>
      <w:tr w:rsidR="008D520A" w14:paraId="3BE2AB21" w14:textId="77777777" w:rsidTr="000A7B6D">
        <w:tc>
          <w:tcPr>
            <w:tcW w:w="6091" w:type="dxa"/>
          </w:tcPr>
          <w:p w14:paraId="24FEEC1A" w14:textId="77777777" w:rsidR="008D520A" w:rsidRDefault="008D520A" w:rsidP="00C65A4F">
            <w:pPr>
              <w:keepNext/>
              <w:spacing w:before="60" w:after="60"/>
            </w:pPr>
          </w:p>
        </w:tc>
        <w:tc>
          <w:tcPr>
            <w:tcW w:w="2211" w:type="dxa"/>
          </w:tcPr>
          <w:p w14:paraId="62B459B7" w14:textId="77777777" w:rsidR="008D520A" w:rsidRPr="00964D2F" w:rsidRDefault="008D520A" w:rsidP="00C65A4F">
            <w:pPr>
              <w:keepNext/>
              <w:spacing w:before="60" w:after="60"/>
              <w:jc w:val="center"/>
              <w:rPr>
                <w:b/>
              </w:rPr>
            </w:pPr>
            <w:r w:rsidRPr="00964D2F">
              <w:rPr>
                <w:b/>
              </w:rPr>
              <w:t>Risk weight (%)</w:t>
            </w:r>
          </w:p>
        </w:tc>
      </w:tr>
      <w:tr w:rsidR="008D520A" w14:paraId="1F6E6EFD" w14:textId="77777777" w:rsidTr="00364155">
        <w:tc>
          <w:tcPr>
            <w:tcW w:w="6091" w:type="dxa"/>
          </w:tcPr>
          <w:p w14:paraId="01CBEF2D" w14:textId="77777777" w:rsidR="008D520A" w:rsidRDefault="008D520A" w:rsidP="00C65A4F">
            <w:pPr>
              <w:keepNext/>
              <w:spacing w:before="60" w:after="60"/>
            </w:pPr>
            <w:r>
              <w:t>Cash owned and held at the ADI or in transit</w:t>
            </w:r>
          </w:p>
        </w:tc>
        <w:tc>
          <w:tcPr>
            <w:tcW w:w="2211" w:type="dxa"/>
            <w:vAlign w:val="center"/>
          </w:tcPr>
          <w:p w14:paraId="07A35131" w14:textId="77777777" w:rsidR="008D520A" w:rsidRDefault="008D520A" w:rsidP="00C65A4F">
            <w:pPr>
              <w:keepNext/>
              <w:spacing w:before="60" w:after="60"/>
              <w:jc w:val="center"/>
            </w:pPr>
            <w:r>
              <w:t>0</w:t>
            </w:r>
          </w:p>
        </w:tc>
      </w:tr>
      <w:tr w:rsidR="008D520A" w14:paraId="4F83BF10" w14:textId="77777777" w:rsidTr="00364155">
        <w:tc>
          <w:tcPr>
            <w:tcW w:w="6091" w:type="dxa"/>
          </w:tcPr>
          <w:p w14:paraId="6AA4B47E" w14:textId="7D6B1831" w:rsidR="008D520A" w:rsidRDefault="008D520A" w:rsidP="00C65A4F">
            <w:pPr>
              <w:keepNext/>
              <w:spacing w:before="60" w:after="60"/>
            </w:pPr>
            <w:r w:rsidRPr="008D520A">
              <w:t xml:space="preserve">Gold bullion held at the </w:t>
            </w:r>
            <w:r w:rsidR="00A01CBC">
              <w:t>ADI</w:t>
            </w:r>
            <w:r w:rsidRPr="008D520A">
              <w:t xml:space="preserve"> or held in another </w:t>
            </w:r>
            <w:r w:rsidR="00A01CBC">
              <w:t>ADI</w:t>
            </w:r>
            <w:r w:rsidR="00A01CBC" w:rsidRPr="008D520A">
              <w:t xml:space="preserve"> </w:t>
            </w:r>
            <w:r w:rsidRPr="008D520A">
              <w:t>on an allocated basis, to the extent the gold bullion assets are backed by gold bullion liabilities</w:t>
            </w:r>
          </w:p>
        </w:tc>
        <w:tc>
          <w:tcPr>
            <w:tcW w:w="2211" w:type="dxa"/>
            <w:vAlign w:val="center"/>
          </w:tcPr>
          <w:p w14:paraId="4BAD3980" w14:textId="77777777" w:rsidR="008D520A" w:rsidRDefault="008D520A" w:rsidP="00C65A4F">
            <w:pPr>
              <w:keepNext/>
              <w:spacing w:before="60" w:after="60"/>
              <w:jc w:val="center"/>
            </w:pPr>
            <w:r>
              <w:t>0</w:t>
            </w:r>
          </w:p>
        </w:tc>
      </w:tr>
      <w:tr w:rsidR="008D520A" w14:paraId="3E3C1AF7" w14:textId="77777777" w:rsidTr="00364155">
        <w:tc>
          <w:tcPr>
            <w:tcW w:w="6091" w:type="dxa"/>
          </w:tcPr>
          <w:p w14:paraId="0C45A14E" w14:textId="60922439" w:rsidR="008D520A" w:rsidRDefault="008D520A" w:rsidP="00C65A4F">
            <w:pPr>
              <w:keepNext/>
              <w:spacing w:before="60" w:after="60"/>
            </w:pPr>
            <w:r w:rsidRPr="008D520A">
              <w:t>Cash items in the process of collection (e.g. cheques, draft and other items drawn on banks that are payable immediately upon presentation and that ar</w:t>
            </w:r>
            <w:r>
              <w:t>e in the process of collection)</w:t>
            </w:r>
          </w:p>
        </w:tc>
        <w:tc>
          <w:tcPr>
            <w:tcW w:w="2211" w:type="dxa"/>
            <w:vAlign w:val="center"/>
          </w:tcPr>
          <w:p w14:paraId="6649F4AA" w14:textId="77777777" w:rsidR="008D520A" w:rsidRDefault="008D520A" w:rsidP="00C65A4F">
            <w:pPr>
              <w:keepNext/>
              <w:spacing w:before="60" w:after="60"/>
              <w:jc w:val="center"/>
            </w:pPr>
            <w:r>
              <w:t>20</w:t>
            </w:r>
          </w:p>
        </w:tc>
      </w:tr>
      <w:tr w:rsidR="00BE4B6F" w14:paraId="2E300B22" w14:textId="77777777" w:rsidTr="00364155">
        <w:tc>
          <w:tcPr>
            <w:tcW w:w="6091" w:type="dxa"/>
          </w:tcPr>
          <w:p w14:paraId="59F449DA" w14:textId="1D045418" w:rsidR="00BE4B6F" w:rsidRDefault="00BE4B6F" w:rsidP="00C65A4F">
            <w:pPr>
              <w:keepNext/>
              <w:spacing w:before="60" w:after="60"/>
            </w:pPr>
            <w:r w:rsidRPr="00BE4B6F">
              <w:t>Investments in premises, plant and equipment, and all other fixed assets</w:t>
            </w:r>
          </w:p>
        </w:tc>
        <w:tc>
          <w:tcPr>
            <w:tcW w:w="2211" w:type="dxa"/>
            <w:vAlign w:val="center"/>
          </w:tcPr>
          <w:p w14:paraId="0BC20B16" w14:textId="4A1AF150" w:rsidR="00BE4B6F" w:rsidRDefault="00BE4B6F" w:rsidP="00C65A4F">
            <w:pPr>
              <w:keepNext/>
              <w:spacing w:before="60" w:after="60"/>
              <w:jc w:val="center"/>
            </w:pPr>
            <w:r>
              <w:t>100</w:t>
            </w:r>
          </w:p>
        </w:tc>
      </w:tr>
      <w:tr w:rsidR="005C6C4A" w14:paraId="5E292D7B" w14:textId="77777777" w:rsidTr="00364155">
        <w:tc>
          <w:tcPr>
            <w:tcW w:w="6091" w:type="dxa"/>
          </w:tcPr>
          <w:p w14:paraId="38AED4A8" w14:textId="77777777" w:rsidR="005C6C4A" w:rsidRDefault="005C6C4A" w:rsidP="00C65A4F">
            <w:pPr>
              <w:keepNext/>
              <w:spacing w:before="60" w:after="60"/>
            </w:pPr>
            <w:r>
              <w:t>All other exposures not specified elsewhere</w:t>
            </w:r>
          </w:p>
        </w:tc>
        <w:tc>
          <w:tcPr>
            <w:tcW w:w="2211" w:type="dxa"/>
            <w:vAlign w:val="center"/>
          </w:tcPr>
          <w:p w14:paraId="262114D6" w14:textId="77777777" w:rsidR="005C6C4A" w:rsidRDefault="005C6C4A" w:rsidP="00C65A4F">
            <w:pPr>
              <w:keepNext/>
              <w:spacing w:before="60" w:after="60"/>
              <w:jc w:val="center"/>
            </w:pPr>
            <w:r>
              <w:t>100</w:t>
            </w:r>
          </w:p>
        </w:tc>
      </w:tr>
    </w:tbl>
    <w:p w14:paraId="6CC2BC6B" w14:textId="77777777" w:rsidR="008D520A" w:rsidRDefault="008D520A" w:rsidP="004C77EF">
      <w:pPr>
        <w:spacing w:after="120"/>
      </w:pPr>
    </w:p>
    <w:p w14:paraId="05C354ED" w14:textId="6EFD30FB" w:rsidR="00C536C2" w:rsidRDefault="00C536C2" w:rsidP="00C536C2">
      <w:pPr>
        <w:pStyle w:val="Heading1"/>
      </w:pPr>
      <w:bookmarkStart w:id="136" w:name="_Toc4489893"/>
      <w:r>
        <w:t xml:space="preserve">Risk weight multiplier </w:t>
      </w:r>
      <w:r w:rsidR="00ED382D">
        <w:t>for</w:t>
      </w:r>
      <w:r>
        <w:t xml:space="preserve"> certain exposures with currency mismatch</w:t>
      </w:r>
      <w:bookmarkEnd w:id="136"/>
    </w:p>
    <w:p w14:paraId="319DCBE9" w14:textId="39B1A9D1" w:rsidR="00C536C2" w:rsidRDefault="001303D7" w:rsidP="00C536C2">
      <w:pPr>
        <w:pStyle w:val="BodyText1"/>
      </w:pPr>
      <w:bookmarkStart w:id="137" w:name="_Ref34048979"/>
      <w:r>
        <w:t xml:space="preserve">For exposures originated after 1 January 2023, an </w:t>
      </w:r>
      <w:r w:rsidR="00C536C2">
        <w:t xml:space="preserve">ADI must apply a 1.5 times multiplier to the applicable risk weight for any unhedged retail or </w:t>
      </w:r>
      <w:r w:rsidR="00456FDF">
        <w:t>residential property exposure</w:t>
      </w:r>
      <w:r w:rsidR="00A67D93">
        <w:t xml:space="preserve"> to individuals</w:t>
      </w:r>
      <w:r w:rsidR="00C536C2">
        <w:t>, where the lending currency differs from the currency of the borrower’s source of income.</w:t>
      </w:r>
      <w:bookmarkEnd w:id="137"/>
      <w:r w:rsidR="00D5237A">
        <w:t xml:space="preserve"> </w:t>
      </w:r>
    </w:p>
    <w:p w14:paraId="77CB8674" w14:textId="177805C7" w:rsidR="0051062A" w:rsidRPr="007D2D7F" w:rsidRDefault="00C536C2" w:rsidP="00506F03">
      <w:pPr>
        <w:pStyle w:val="BodyText1"/>
      </w:pPr>
      <w:r>
        <w:t>An unhedged exposure is an exposure to a borrower that has no natural or financial hedge against the foreign exchange risk resulting from the currency mismatch between the currency of the borrower’s income and the currency of the loan. A natural hedge exists where the borrower</w:t>
      </w:r>
      <w:r w:rsidR="0030127F">
        <w:t xml:space="preserve"> </w:t>
      </w:r>
      <w:r>
        <w:t>receives foreign currency income that matches the currency of a given loan. A financial hedge generally includes a legal contract with a financial institution. For the purpose of the application of the multiplier, an ADI may only treat an exposure as hedged where the natural or financial hedge covers at least 9</w:t>
      </w:r>
      <w:r w:rsidR="005A5D7F">
        <w:t xml:space="preserve">0 per cent of the loan </w:t>
      </w:r>
      <w:r w:rsidR="00643357">
        <w:t xml:space="preserve">repayment </w:t>
      </w:r>
      <w:r w:rsidR="005A5D7F">
        <w:t xml:space="preserve">amount. </w:t>
      </w:r>
    </w:p>
    <w:p w14:paraId="55F209AC" w14:textId="77777777" w:rsidR="0051062A" w:rsidRDefault="0051062A" w:rsidP="0051062A">
      <w:pPr>
        <w:pStyle w:val="Heading2"/>
        <w:sectPr w:rsidR="0051062A" w:rsidSect="000D63A8">
          <w:footerReference w:type="default" r:id="rId22"/>
          <w:pgSz w:w="11906" w:h="16838" w:code="9"/>
          <w:pgMar w:top="1440" w:right="1797" w:bottom="1440" w:left="1797" w:header="709" w:footer="709" w:gutter="0"/>
          <w:cols w:space="708"/>
          <w:docGrid w:linePitch="360"/>
        </w:sectPr>
      </w:pPr>
    </w:p>
    <w:p w14:paraId="4169FD4D" w14:textId="6FCC76D6" w:rsidR="0051062A" w:rsidRDefault="0051062A" w:rsidP="0051062A">
      <w:pPr>
        <w:pStyle w:val="Heading2"/>
      </w:pPr>
      <w:bookmarkStart w:id="138" w:name="_Toc87376642"/>
      <w:r>
        <w:lastRenderedPageBreak/>
        <w:t xml:space="preserve">Attachment </w:t>
      </w:r>
      <w:r w:rsidR="008F685A">
        <w:rPr>
          <w:rStyle w:val="Attachmentfieldtext"/>
        </w:rPr>
        <w:t>C</w:t>
      </w:r>
      <w:r>
        <w:rPr>
          <w:rStyle w:val="Attachmentfieldtext"/>
        </w:rPr>
        <w:t xml:space="preserve"> – </w:t>
      </w:r>
      <w:r w:rsidRPr="008F685A">
        <w:t>Off</w:t>
      </w:r>
      <w:r>
        <w:t xml:space="preserve">-balance sheet </w:t>
      </w:r>
      <w:r w:rsidR="008D2E06">
        <w:t>commitments</w:t>
      </w:r>
      <w:bookmarkEnd w:id="138"/>
    </w:p>
    <w:p w14:paraId="3F3CEE75" w14:textId="2DB6CD3C" w:rsidR="002F057D" w:rsidRDefault="002F057D" w:rsidP="000A4BE9">
      <w:pPr>
        <w:pStyle w:val="BodyText1"/>
        <w:numPr>
          <w:ilvl w:val="0"/>
          <w:numId w:val="14"/>
        </w:numPr>
      </w:pPr>
      <w:bookmarkStart w:id="139" w:name="_Hlk85552413"/>
      <w:bookmarkStart w:id="140" w:name="_Ref34047157"/>
      <w:r>
        <w:t>A commitment is any</w:t>
      </w:r>
      <w:r w:rsidR="00FE0D78">
        <w:t xml:space="preserve"> </w:t>
      </w:r>
      <w:r>
        <w:t xml:space="preserve">arrangement that has been offered by the ADI and accepted by the </w:t>
      </w:r>
      <w:r w:rsidR="0030127F">
        <w:t xml:space="preserve">borrower </w:t>
      </w:r>
      <w:r>
        <w:t xml:space="preserve">to extend credit, purchase assets or issue credit substitutes. </w:t>
      </w:r>
      <w:r w:rsidR="00531B86">
        <w:t>It includes SFTs</w:t>
      </w:r>
      <w:bookmarkEnd w:id="139"/>
      <w:r w:rsidR="00531B86">
        <w:t>.</w:t>
      </w:r>
      <w:bookmarkEnd w:id="140"/>
    </w:p>
    <w:p w14:paraId="1F94D0DA" w14:textId="4FE3ADB1" w:rsidR="002F057D" w:rsidRDefault="002F057D" w:rsidP="002F057D">
      <w:pPr>
        <w:pStyle w:val="BodyText1"/>
      </w:pPr>
      <w:r>
        <w:t>A commitment includes any</w:t>
      </w:r>
      <w:r w:rsidR="002F2E2D">
        <w:t xml:space="preserve"> </w:t>
      </w:r>
      <w:r>
        <w:t xml:space="preserve">arrangement that can be unconditionally cancelled by the ADI at any time without prior notice to the </w:t>
      </w:r>
      <w:r w:rsidR="00B31B8E">
        <w:t>borrower</w:t>
      </w:r>
      <w:r>
        <w:t>. It also includes any such arrangement that can be cancelled by the ADI if conditions set out in the facility documentation</w:t>
      </w:r>
      <w:r w:rsidR="00983BAE">
        <w:t xml:space="preserve"> are not met</w:t>
      </w:r>
      <w:r>
        <w:t xml:space="preserve">, including conditions that must be met by the </w:t>
      </w:r>
      <w:r w:rsidR="00B31B8E">
        <w:t>borrower</w:t>
      </w:r>
      <w:r>
        <w:t xml:space="preserve"> </w:t>
      </w:r>
      <w:r w:rsidR="00983BAE">
        <w:t xml:space="preserve">or third parties (conditions precedent) </w:t>
      </w:r>
      <w:r>
        <w:t xml:space="preserve">prior to any initial or subsequent drawdown under the arrangement. </w:t>
      </w:r>
    </w:p>
    <w:p w14:paraId="2B1D0693" w14:textId="122F7045" w:rsidR="002F057D" w:rsidRDefault="002F057D" w:rsidP="002F057D">
      <w:pPr>
        <w:pStyle w:val="BodyText1"/>
      </w:pPr>
      <w:bookmarkStart w:id="141" w:name="_Ref34047160"/>
      <w:r>
        <w:t>Where an ADI enters into a</w:t>
      </w:r>
      <w:r w:rsidR="00FE0D78">
        <w:t>n</w:t>
      </w:r>
      <w:r w:rsidR="002F2E2D">
        <w:t xml:space="preserve"> </w:t>
      </w:r>
      <w:r>
        <w:t>arrangement that meets all of the following conditions, it may be excluded from the definition of commitment:</w:t>
      </w:r>
      <w:bookmarkEnd w:id="141"/>
    </w:p>
    <w:p w14:paraId="139204E8" w14:textId="77777777" w:rsidR="002F057D" w:rsidRDefault="002F057D" w:rsidP="002F057D">
      <w:pPr>
        <w:pStyle w:val="BodyText2"/>
      </w:pPr>
      <w:r>
        <w:t>the ADI receives no fees or commissions to establish or maintain the arrangement;</w:t>
      </w:r>
      <w:r>
        <w:rPr>
          <w:rStyle w:val="FootnoteReference"/>
        </w:rPr>
        <w:footnoteReference w:id="13"/>
      </w:r>
      <w:r>
        <w:t xml:space="preserve"> </w:t>
      </w:r>
    </w:p>
    <w:p w14:paraId="63D2E10A" w14:textId="6B68D9C0" w:rsidR="002F057D" w:rsidRDefault="002F057D" w:rsidP="002F057D">
      <w:pPr>
        <w:pStyle w:val="BodyText2"/>
      </w:pPr>
      <w:r>
        <w:t xml:space="preserve">the </w:t>
      </w:r>
      <w:r w:rsidR="00600FEB">
        <w:t xml:space="preserve">borrower </w:t>
      </w:r>
      <w:r>
        <w:t xml:space="preserve">is required to apply to the ADI for the initial and each subsequent drawdown; </w:t>
      </w:r>
    </w:p>
    <w:p w14:paraId="2C1035A5" w14:textId="30767EB5" w:rsidR="002F057D" w:rsidRDefault="002F057D" w:rsidP="002F057D">
      <w:pPr>
        <w:pStyle w:val="BodyText2"/>
      </w:pPr>
      <w:r>
        <w:t xml:space="preserve">the ADI has full authority, regardless of the fulfilment by the </w:t>
      </w:r>
      <w:r w:rsidR="00EC7AD0">
        <w:t xml:space="preserve">borrower </w:t>
      </w:r>
      <w:r>
        <w:t>of the conditions set out in the facility documentation, over the execution of each drawdown;</w:t>
      </w:r>
      <w:r>
        <w:rPr>
          <w:rStyle w:val="FootnoteReference"/>
        </w:rPr>
        <w:footnoteReference w:id="14"/>
      </w:r>
      <w:r>
        <w:t xml:space="preserve"> </w:t>
      </w:r>
    </w:p>
    <w:p w14:paraId="6CA9BF9C" w14:textId="19D399B5" w:rsidR="00456FDF" w:rsidRDefault="002F057D" w:rsidP="002F057D">
      <w:pPr>
        <w:pStyle w:val="BodyText2"/>
      </w:pPr>
      <w:r>
        <w:t>the ADI’s decision on the execution of each drawdown is made</w:t>
      </w:r>
      <w:r w:rsidR="00B15E51">
        <w:t xml:space="preserve"> only</w:t>
      </w:r>
      <w:r>
        <w:t xml:space="preserve"> after assessing the creditworthiness of the </w:t>
      </w:r>
      <w:r w:rsidR="00EC7AD0">
        <w:t xml:space="preserve">borrower </w:t>
      </w:r>
      <w:r>
        <w:t>immediately prior to drawdown. This assessment of creditworthiness must be undertaken by an independent party</w:t>
      </w:r>
      <w:r w:rsidR="005A22DA">
        <w:t xml:space="preserve"> </w:t>
      </w:r>
      <w:r>
        <w:t xml:space="preserve">and, at a minimum, include confirmation of the </w:t>
      </w:r>
      <w:r w:rsidR="00EC7AD0">
        <w:t>borrower</w:t>
      </w:r>
      <w:r>
        <w:t xml:space="preserve">’s good credit standing and that no material adverse information has arisen subsequent to </w:t>
      </w:r>
      <w:r w:rsidR="00E22C13">
        <w:t xml:space="preserve">the </w:t>
      </w:r>
      <w:r>
        <w:t xml:space="preserve">limit approval or the most recent credit review that would affect the </w:t>
      </w:r>
      <w:r w:rsidR="00EC7AD0">
        <w:t>borrower</w:t>
      </w:r>
      <w:r>
        <w:t>’s creditworthiness</w:t>
      </w:r>
      <w:r w:rsidR="00456FDF">
        <w:t>;</w:t>
      </w:r>
      <w:r w:rsidR="00F82F17">
        <w:rPr>
          <w:rStyle w:val="FootnoteReference"/>
        </w:rPr>
        <w:footnoteReference w:id="15"/>
      </w:r>
      <w:r w:rsidR="00456FDF">
        <w:t xml:space="preserve"> and</w:t>
      </w:r>
    </w:p>
    <w:p w14:paraId="2013A630" w14:textId="6C50D21D" w:rsidR="004C28B7" w:rsidRDefault="00456FDF" w:rsidP="00456FDF">
      <w:pPr>
        <w:pStyle w:val="BodyText2"/>
      </w:pPr>
      <w:r>
        <w:t xml:space="preserve">the </w:t>
      </w:r>
      <w:r w:rsidR="00EC7AD0">
        <w:t xml:space="preserve">borrower </w:t>
      </w:r>
      <w:r>
        <w:t>is a</w:t>
      </w:r>
      <w:r w:rsidR="004C28B7" w:rsidRPr="004C28B7">
        <w:t xml:space="preserve"> corporate </w:t>
      </w:r>
      <w:r>
        <w:t>counterparty</w:t>
      </w:r>
      <w:r w:rsidRPr="004C28B7">
        <w:t xml:space="preserve"> </w:t>
      </w:r>
      <w:r w:rsidR="003D7EDF">
        <w:t>that</w:t>
      </w:r>
      <w:r w:rsidR="004C28B7" w:rsidRPr="004C28B7">
        <w:t xml:space="preserve"> </w:t>
      </w:r>
      <w:r>
        <w:t>is</w:t>
      </w:r>
      <w:r w:rsidRPr="004C28B7">
        <w:t xml:space="preserve"> </w:t>
      </w:r>
      <w:r w:rsidR="004C28B7" w:rsidRPr="004C28B7">
        <w:t>closely monitored on an ongoing basis</w:t>
      </w:r>
      <w:r w:rsidR="001303D7">
        <w:t xml:space="preserve">, and is not an SME retail </w:t>
      </w:r>
      <w:r w:rsidR="000B5D96">
        <w:t>borrower</w:t>
      </w:r>
      <w:r w:rsidR="004C28B7" w:rsidRPr="004C28B7">
        <w:t>.</w:t>
      </w:r>
    </w:p>
    <w:p w14:paraId="73999D0A" w14:textId="6491893F" w:rsidR="0088752F" w:rsidRDefault="0088752F" w:rsidP="0035177E">
      <w:pPr>
        <w:pStyle w:val="BodyText1"/>
      </w:pPr>
      <w:r>
        <w:t xml:space="preserve">In respect of margin lending, the committed amount is the maximum amount that the borrower can draw down based on the terms of the loan (such as the notional credit limit and the maximum allowable LVR) and the value of the security underlying the loan. However, if an ADI does not adjust the credit limit before a </w:t>
      </w:r>
      <w:r>
        <w:lastRenderedPageBreak/>
        <w:t>drawdown in response to a decline in security value</w:t>
      </w:r>
      <w:r w:rsidR="007B78FF">
        <w:t>,</w:t>
      </w:r>
      <w:r>
        <w:t xml:space="preserve"> then the ADI must use the original amount in the loan contract that is independent of the security value.</w:t>
      </w:r>
    </w:p>
    <w:p w14:paraId="22C09965" w14:textId="6199B958" w:rsidR="002F057D" w:rsidRDefault="002F057D" w:rsidP="002F057D">
      <w:pPr>
        <w:pStyle w:val="BodyText1"/>
      </w:pPr>
      <w:r>
        <w:t>Where a commitment exists</w:t>
      </w:r>
      <w:r w:rsidR="00456FDF">
        <w:t>,</w:t>
      </w:r>
      <w:r w:rsidR="00C408F4">
        <w:t xml:space="preserve"> </w:t>
      </w:r>
      <w:r>
        <w:t xml:space="preserve">an ADI must multiply the committed but undrawn amount of the exposure by the relevant CCF in </w:t>
      </w:r>
      <w:r w:rsidR="00E87819">
        <w:rPr>
          <w:highlight w:val="yellow"/>
        </w:rPr>
        <w:fldChar w:fldCharType="begin"/>
      </w:r>
      <w:r w:rsidR="00E87819">
        <w:instrText xml:space="preserve"> REF _Ref3968115 \n \h </w:instrText>
      </w:r>
      <w:r w:rsidR="00E87819">
        <w:rPr>
          <w:highlight w:val="yellow"/>
        </w:rPr>
      </w:r>
      <w:r w:rsidR="00E87819">
        <w:rPr>
          <w:highlight w:val="yellow"/>
        </w:rPr>
        <w:fldChar w:fldCharType="separate"/>
      </w:r>
      <w:r w:rsidR="0007706D">
        <w:t>Table 17</w:t>
      </w:r>
      <w:r w:rsidR="00E87819">
        <w:rPr>
          <w:highlight w:val="yellow"/>
        </w:rPr>
        <w:fldChar w:fldCharType="end"/>
      </w:r>
      <w:r w:rsidR="00456FDF">
        <w:t xml:space="preserve">, and </w:t>
      </w:r>
      <w:r w:rsidR="00477B0D">
        <w:t xml:space="preserve">then </w:t>
      </w:r>
      <w:r w:rsidR="00456FDF">
        <w:t>risk-weight the exposure according to the relevant requirements set out in Attachments A, B</w:t>
      </w:r>
      <w:r w:rsidR="00D82EFF">
        <w:t xml:space="preserve"> and</w:t>
      </w:r>
      <w:r w:rsidR="00456FDF">
        <w:t xml:space="preserve"> D </w:t>
      </w:r>
      <w:r w:rsidR="003A0057">
        <w:t>to</w:t>
      </w:r>
      <w:r w:rsidR="00456FDF">
        <w:t xml:space="preserve"> this Prudential Standard.</w:t>
      </w:r>
      <w:r>
        <w:t xml:space="preserve"> </w:t>
      </w:r>
    </w:p>
    <w:p w14:paraId="4E94082B" w14:textId="2BB9F750" w:rsidR="00763DDF" w:rsidRPr="00575A4E" w:rsidRDefault="00763DDF" w:rsidP="0099752B">
      <w:pPr>
        <w:pStyle w:val="TableHeadNumber"/>
      </w:pPr>
      <w:bookmarkStart w:id="142" w:name="_Ref3968115"/>
      <w:r w:rsidRPr="009F16A0">
        <w:t>CCFs</w:t>
      </w:r>
      <w:bookmarkEnd w:id="142"/>
      <w:r w:rsidRPr="00575A4E">
        <w:t xml:space="preserve"> </w:t>
      </w:r>
    </w:p>
    <w:tbl>
      <w:tblPr>
        <w:tblStyle w:val="TableGrid"/>
        <w:tblW w:w="0" w:type="auto"/>
        <w:tblLook w:val="04A0" w:firstRow="1" w:lastRow="0" w:firstColumn="1" w:lastColumn="0" w:noHBand="0" w:noVBand="1"/>
      </w:tblPr>
      <w:tblGrid>
        <w:gridCol w:w="6374"/>
        <w:gridCol w:w="1928"/>
      </w:tblGrid>
      <w:tr w:rsidR="00763DDF" w14:paraId="7FE4788B" w14:textId="77777777" w:rsidTr="006D5860">
        <w:tc>
          <w:tcPr>
            <w:tcW w:w="6374" w:type="dxa"/>
          </w:tcPr>
          <w:p w14:paraId="2040D8ED" w14:textId="1990DA39" w:rsidR="00763DDF" w:rsidRPr="00763DDF" w:rsidRDefault="00575A4E" w:rsidP="00C65A4F">
            <w:pPr>
              <w:spacing w:before="60" w:after="60"/>
              <w:jc w:val="center"/>
              <w:rPr>
                <w:b/>
              </w:rPr>
            </w:pPr>
            <w:r>
              <w:rPr>
                <w:b/>
              </w:rPr>
              <w:t>Transaction type</w:t>
            </w:r>
          </w:p>
        </w:tc>
        <w:tc>
          <w:tcPr>
            <w:tcW w:w="1928" w:type="dxa"/>
          </w:tcPr>
          <w:p w14:paraId="72CEBAE3" w14:textId="73C39707" w:rsidR="00763DDF" w:rsidRPr="00763DDF" w:rsidRDefault="00763DDF" w:rsidP="00C65A4F">
            <w:pPr>
              <w:spacing w:before="60" w:after="60"/>
              <w:jc w:val="center"/>
              <w:rPr>
                <w:b/>
              </w:rPr>
            </w:pPr>
            <w:r>
              <w:rPr>
                <w:b/>
              </w:rPr>
              <w:t xml:space="preserve">CCF </w:t>
            </w:r>
            <w:r w:rsidRPr="00763DDF">
              <w:rPr>
                <w:b/>
              </w:rPr>
              <w:t>(%)</w:t>
            </w:r>
          </w:p>
        </w:tc>
      </w:tr>
      <w:tr w:rsidR="00763DDF" w14:paraId="5EBE1D43" w14:textId="77777777" w:rsidTr="006D5860">
        <w:tc>
          <w:tcPr>
            <w:tcW w:w="6374" w:type="dxa"/>
          </w:tcPr>
          <w:p w14:paraId="7AF163DB" w14:textId="2FEF5942" w:rsidR="00763DDF" w:rsidRDefault="00575A4E" w:rsidP="00C65A4F">
            <w:pPr>
              <w:spacing w:before="60" w:after="60"/>
            </w:pPr>
            <w:r>
              <w:t>Direct credit substitutes</w:t>
            </w:r>
          </w:p>
        </w:tc>
        <w:tc>
          <w:tcPr>
            <w:tcW w:w="1928" w:type="dxa"/>
          </w:tcPr>
          <w:p w14:paraId="1990B00A" w14:textId="0C40003D" w:rsidR="00763DDF" w:rsidRDefault="00575A4E" w:rsidP="00C65A4F">
            <w:pPr>
              <w:spacing w:before="60" w:after="60"/>
              <w:jc w:val="center"/>
            </w:pPr>
            <w:r>
              <w:t>100</w:t>
            </w:r>
          </w:p>
        </w:tc>
      </w:tr>
      <w:tr w:rsidR="00763DDF" w14:paraId="7A255B54" w14:textId="77777777" w:rsidTr="006D5860">
        <w:tc>
          <w:tcPr>
            <w:tcW w:w="6374" w:type="dxa"/>
          </w:tcPr>
          <w:p w14:paraId="3E7584EE" w14:textId="0C2794EC" w:rsidR="00763DDF" w:rsidRDefault="00056D00" w:rsidP="00C65A4F">
            <w:pPr>
              <w:spacing w:before="60" w:after="60"/>
            </w:pPr>
            <w:r>
              <w:t>Sale and repurchase agreements and asset sales with recourse</w:t>
            </w:r>
            <w:r>
              <w:rPr>
                <w:rStyle w:val="FootnoteReference"/>
              </w:rPr>
              <w:footnoteReference w:id="16"/>
            </w:r>
          </w:p>
        </w:tc>
        <w:tc>
          <w:tcPr>
            <w:tcW w:w="1928" w:type="dxa"/>
          </w:tcPr>
          <w:p w14:paraId="3D798663" w14:textId="75470B41" w:rsidR="00763DDF" w:rsidRDefault="00056D00" w:rsidP="00C65A4F">
            <w:pPr>
              <w:spacing w:before="60" w:after="60"/>
              <w:jc w:val="center"/>
            </w:pPr>
            <w:r>
              <w:t>100</w:t>
            </w:r>
          </w:p>
        </w:tc>
      </w:tr>
      <w:tr w:rsidR="00763DDF" w14:paraId="762789CD" w14:textId="77777777" w:rsidTr="006D5860">
        <w:tc>
          <w:tcPr>
            <w:tcW w:w="6374" w:type="dxa"/>
          </w:tcPr>
          <w:p w14:paraId="062D9DC8" w14:textId="4631020E" w:rsidR="00763DDF" w:rsidRDefault="00056D00" w:rsidP="00C65A4F">
            <w:pPr>
              <w:spacing w:before="60" w:after="60"/>
            </w:pPr>
            <w:r>
              <w:t>Lending of securities or posting of securities as collateral</w:t>
            </w:r>
          </w:p>
        </w:tc>
        <w:tc>
          <w:tcPr>
            <w:tcW w:w="1928" w:type="dxa"/>
          </w:tcPr>
          <w:p w14:paraId="1F0AA34D" w14:textId="4187A73D" w:rsidR="00763DDF" w:rsidRDefault="00056D00" w:rsidP="00C65A4F">
            <w:pPr>
              <w:spacing w:before="60" w:after="60"/>
              <w:jc w:val="center"/>
            </w:pPr>
            <w:r>
              <w:t>100</w:t>
            </w:r>
          </w:p>
        </w:tc>
      </w:tr>
      <w:tr w:rsidR="00763DDF" w14:paraId="02AD8382" w14:textId="77777777" w:rsidTr="006D5860">
        <w:tc>
          <w:tcPr>
            <w:tcW w:w="6374" w:type="dxa"/>
          </w:tcPr>
          <w:p w14:paraId="65DE6C97" w14:textId="74FE0847" w:rsidR="00763DDF" w:rsidRDefault="00CA7E29" w:rsidP="00C65A4F">
            <w:pPr>
              <w:spacing w:before="60" w:after="60"/>
            </w:pPr>
            <w:r>
              <w:t>Forward asset purchases, forward deposits and partly paid shares and securities</w:t>
            </w:r>
            <w:r>
              <w:rPr>
                <w:rStyle w:val="FootnoteReference"/>
              </w:rPr>
              <w:footnoteReference w:id="17"/>
            </w:r>
          </w:p>
        </w:tc>
        <w:tc>
          <w:tcPr>
            <w:tcW w:w="1928" w:type="dxa"/>
          </w:tcPr>
          <w:p w14:paraId="20F8C515" w14:textId="357B0D79" w:rsidR="00763DDF" w:rsidRDefault="00CA7E29" w:rsidP="00C65A4F">
            <w:pPr>
              <w:spacing w:before="60" w:after="60"/>
              <w:jc w:val="center"/>
            </w:pPr>
            <w:r>
              <w:t>100</w:t>
            </w:r>
          </w:p>
        </w:tc>
      </w:tr>
      <w:tr w:rsidR="00763DDF" w14:paraId="74C4B1DE" w14:textId="77777777" w:rsidTr="006D5860">
        <w:tc>
          <w:tcPr>
            <w:tcW w:w="6374" w:type="dxa"/>
          </w:tcPr>
          <w:p w14:paraId="559AD3A3" w14:textId="3A4896DF" w:rsidR="00763DDF" w:rsidRDefault="00CA7E29" w:rsidP="00C65A4F">
            <w:pPr>
              <w:spacing w:before="60" w:after="60"/>
            </w:pPr>
            <w:r>
              <w:t>Other off-balance sheet items that are credit substitutes</w:t>
            </w:r>
          </w:p>
        </w:tc>
        <w:tc>
          <w:tcPr>
            <w:tcW w:w="1928" w:type="dxa"/>
          </w:tcPr>
          <w:p w14:paraId="2FB60403" w14:textId="0DD0AB1A" w:rsidR="00763DDF" w:rsidRDefault="00CA7E29" w:rsidP="00C65A4F">
            <w:pPr>
              <w:spacing w:before="60" w:after="60"/>
              <w:jc w:val="center"/>
            </w:pPr>
            <w:r>
              <w:t>100</w:t>
            </w:r>
          </w:p>
        </w:tc>
      </w:tr>
      <w:tr w:rsidR="00550790" w14:paraId="39C1D400" w14:textId="77777777" w:rsidTr="006D5860">
        <w:tc>
          <w:tcPr>
            <w:tcW w:w="6374" w:type="dxa"/>
          </w:tcPr>
          <w:p w14:paraId="02DCC42A" w14:textId="29F23828" w:rsidR="00550790" w:rsidRDefault="00550790" w:rsidP="00C65A4F">
            <w:pPr>
              <w:spacing w:before="60" w:after="60"/>
            </w:pPr>
            <w:r>
              <w:t xml:space="preserve">Unsettled securities, commodities and </w:t>
            </w:r>
            <w:r w:rsidR="001533DA">
              <w:t>foreign exchange transactions accounted for at settlement dat</w:t>
            </w:r>
            <w:r w:rsidR="00AF6214">
              <w:t>e</w:t>
            </w:r>
          </w:p>
        </w:tc>
        <w:tc>
          <w:tcPr>
            <w:tcW w:w="1928" w:type="dxa"/>
          </w:tcPr>
          <w:p w14:paraId="6A5E2BC3" w14:textId="73704616" w:rsidR="00550790" w:rsidRDefault="001533DA" w:rsidP="00C65A4F">
            <w:pPr>
              <w:spacing w:before="60" w:after="60"/>
              <w:jc w:val="center"/>
            </w:pPr>
            <w:r>
              <w:t>100</w:t>
            </w:r>
          </w:p>
        </w:tc>
      </w:tr>
      <w:tr w:rsidR="007D5F0A" w14:paraId="3EB6CE6C" w14:textId="77777777" w:rsidTr="006D5860">
        <w:tc>
          <w:tcPr>
            <w:tcW w:w="6374" w:type="dxa"/>
          </w:tcPr>
          <w:p w14:paraId="40DD9A6E" w14:textId="5A63F5EF" w:rsidR="007D5F0A" w:rsidRDefault="007D5F0A" w:rsidP="00C65A4F">
            <w:pPr>
              <w:spacing w:before="60" w:after="60"/>
            </w:pPr>
            <w:r>
              <w:t>Other commitments with certain drawdown</w:t>
            </w:r>
          </w:p>
        </w:tc>
        <w:tc>
          <w:tcPr>
            <w:tcW w:w="1928" w:type="dxa"/>
          </w:tcPr>
          <w:p w14:paraId="107A4BB3" w14:textId="77777777" w:rsidR="007D5F0A" w:rsidRDefault="007D5F0A" w:rsidP="00C65A4F">
            <w:pPr>
              <w:spacing w:before="60" w:after="60"/>
              <w:jc w:val="center"/>
            </w:pPr>
            <w:r>
              <w:t>100</w:t>
            </w:r>
          </w:p>
        </w:tc>
      </w:tr>
      <w:tr w:rsidR="00763DDF" w14:paraId="6A00D75C" w14:textId="77777777" w:rsidTr="006D5860">
        <w:tc>
          <w:tcPr>
            <w:tcW w:w="6374" w:type="dxa"/>
          </w:tcPr>
          <w:p w14:paraId="38E87621" w14:textId="04CAB264" w:rsidR="00763DDF" w:rsidRDefault="008C3068" w:rsidP="00C65A4F">
            <w:pPr>
              <w:spacing w:before="60" w:after="60"/>
            </w:pPr>
            <w:r>
              <w:t xml:space="preserve">Note issuance and </w:t>
            </w:r>
            <w:r w:rsidR="00E43D55">
              <w:t xml:space="preserve">revolving </w:t>
            </w:r>
            <w:r>
              <w:t>underwriting facilities</w:t>
            </w:r>
          </w:p>
        </w:tc>
        <w:tc>
          <w:tcPr>
            <w:tcW w:w="1928" w:type="dxa"/>
          </w:tcPr>
          <w:p w14:paraId="490899CB" w14:textId="1A0B40A3" w:rsidR="00763DDF" w:rsidRDefault="008C3068" w:rsidP="00C65A4F">
            <w:pPr>
              <w:spacing w:before="60" w:after="60"/>
              <w:jc w:val="center"/>
            </w:pPr>
            <w:r>
              <w:t>50</w:t>
            </w:r>
          </w:p>
        </w:tc>
      </w:tr>
      <w:tr w:rsidR="00763DDF" w14:paraId="36C737D0" w14:textId="77777777" w:rsidTr="006D5860">
        <w:tc>
          <w:tcPr>
            <w:tcW w:w="6374" w:type="dxa"/>
          </w:tcPr>
          <w:p w14:paraId="3D52E3BA" w14:textId="1F2981D8" w:rsidR="00763DDF" w:rsidRDefault="008C3068" w:rsidP="00C65A4F">
            <w:pPr>
              <w:spacing w:before="60" w:after="60"/>
            </w:pPr>
            <w:r>
              <w:t>Performance-related contingencies</w:t>
            </w:r>
          </w:p>
        </w:tc>
        <w:tc>
          <w:tcPr>
            <w:tcW w:w="1928" w:type="dxa"/>
          </w:tcPr>
          <w:p w14:paraId="2FF7215A" w14:textId="1666F910" w:rsidR="00763DDF" w:rsidRDefault="008C3068" w:rsidP="00C65A4F">
            <w:pPr>
              <w:spacing w:before="60" w:after="60"/>
              <w:jc w:val="center"/>
            </w:pPr>
            <w:r>
              <w:t>50</w:t>
            </w:r>
          </w:p>
        </w:tc>
      </w:tr>
      <w:tr w:rsidR="001F4055" w14:paraId="7F3C2C4E" w14:textId="77777777" w:rsidTr="006D5860">
        <w:tc>
          <w:tcPr>
            <w:tcW w:w="6374" w:type="dxa"/>
          </w:tcPr>
          <w:p w14:paraId="1C1D320B" w14:textId="77777777" w:rsidR="001F4055" w:rsidRDefault="001F4055" w:rsidP="00C65A4F">
            <w:pPr>
              <w:spacing w:before="60" w:after="60"/>
            </w:pPr>
            <w:r>
              <w:t>Other commitments</w:t>
            </w:r>
          </w:p>
        </w:tc>
        <w:tc>
          <w:tcPr>
            <w:tcW w:w="1928" w:type="dxa"/>
          </w:tcPr>
          <w:p w14:paraId="27158280" w14:textId="77777777" w:rsidR="001F4055" w:rsidRDefault="001F4055" w:rsidP="00C65A4F">
            <w:pPr>
              <w:spacing w:before="60" w:after="60"/>
              <w:jc w:val="center"/>
            </w:pPr>
            <w:r>
              <w:t>40</w:t>
            </w:r>
          </w:p>
        </w:tc>
      </w:tr>
      <w:tr w:rsidR="00E43D55" w14:paraId="4248BB07" w14:textId="77777777" w:rsidTr="006D5860">
        <w:tc>
          <w:tcPr>
            <w:tcW w:w="6374" w:type="dxa"/>
          </w:tcPr>
          <w:p w14:paraId="5279E5C0" w14:textId="77777777" w:rsidR="00E43D55" w:rsidRDefault="00E43D55" w:rsidP="00C65A4F">
            <w:pPr>
              <w:spacing w:before="60" w:after="60"/>
            </w:pPr>
            <w:r>
              <w:t>Short-term self-liquidating trade letters of credit arising from the movement of goods</w:t>
            </w:r>
            <w:r>
              <w:rPr>
                <w:rStyle w:val="FootnoteReference"/>
              </w:rPr>
              <w:footnoteReference w:id="18"/>
            </w:r>
          </w:p>
        </w:tc>
        <w:tc>
          <w:tcPr>
            <w:tcW w:w="1928" w:type="dxa"/>
          </w:tcPr>
          <w:p w14:paraId="296FD4F0" w14:textId="77777777" w:rsidR="00E43D55" w:rsidRDefault="00E43D55" w:rsidP="00C65A4F">
            <w:pPr>
              <w:spacing w:before="60" w:after="60"/>
              <w:jc w:val="center"/>
            </w:pPr>
            <w:r>
              <w:t>20</w:t>
            </w:r>
          </w:p>
        </w:tc>
      </w:tr>
      <w:tr w:rsidR="002C7C0F" w14:paraId="60A81E79" w14:textId="77777777" w:rsidTr="006D5860">
        <w:tc>
          <w:tcPr>
            <w:tcW w:w="6374" w:type="dxa"/>
          </w:tcPr>
          <w:p w14:paraId="4450538D" w14:textId="66A14BC2" w:rsidR="002C7C0F" w:rsidRDefault="002C7C0F" w:rsidP="00777EB3">
            <w:pPr>
              <w:spacing w:before="60" w:after="60"/>
            </w:pPr>
            <w:r>
              <w:t xml:space="preserve">Intraday limits </w:t>
            </w:r>
          </w:p>
        </w:tc>
        <w:tc>
          <w:tcPr>
            <w:tcW w:w="1928" w:type="dxa"/>
          </w:tcPr>
          <w:p w14:paraId="58A22D13" w14:textId="785174C8" w:rsidR="002C7C0F" w:rsidRDefault="002C7C0F" w:rsidP="00777EB3">
            <w:pPr>
              <w:spacing w:before="60" w:after="60"/>
              <w:jc w:val="center"/>
            </w:pPr>
            <w:r>
              <w:t>0</w:t>
            </w:r>
          </w:p>
        </w:tc>
      </w:tr>
      <w:tr w:rsidR="00A65C57" w14:paraId="798A944E" w14:textId="77777777" w:rsidTr="006D5860">
        <w:tc>
          <w:tcPr>
            <w:tcW w:w="6374" w:type="dxa"/>
          </w:tcPr>
          <w:p w14:paraId="33712FFA" w14:textId="589B0A30" w:rsidR="00A65C57" w:rsidRDefault="00A65C57" w:rsidP="00777EB3">
            <w:pPr>
              <w:spacing w:before="60" w:after="60"/>
            </w:pPr>
            <w:r>
              <w:t>Irrevocable standby commitments under industry support arrangements</w:t>
            </w:r>
          </w:p>
        </w:tc>
        <w:tc>
          <w:tcPr>
            <w:tcW w:w="1928" w:type="dxa"/>
          </w:tcPr>
          <w:p w14:paraId="184A6828" w14:textId="4EE2AD20" w:rsidR="00A65C57" w:rsidRDefault="00A65C57" w:rsidP="00777EB3">
            <w:pPr>
              <w:spacing w:before="60" w:after="60"/>
              <w:jc w:val="center"/>
            </w:pPr>
            <w:r>
              <w:t>0</w:t>
            </w:r>
          </w:p>
        </w:tc>
      </w:tr>
    </w:tbl>
    <w:p w14:paraId="00EDE22B" w14:textId="77777777" w:rsidR="00271A2C" w:rsidRDefault="00271A2C" w:rsidP="00271A2C"/>
    <w:p w14:paraId="156868E1" w14:textId="491A7D2F" w:rsidR="0057152C" w:rsidRDefault="00E913E3" w:rsidP="00E913E3">
      <w:pPr>
        <w:pStyle w:val="BodyText1"/>
      </w:pPr>
      <w:r>
        <w:t xml:space="preserve">Where an ADI has given a commitment to provide an off-balance sheet exposure, it may apply the lower of the CCFs applicable to the commitment and the off-balance sheet exposure. </w:t>
      </w:r>
    </w:p>
    <w:p w14:paraId="36CE952A" w14:textId="77777777" w:rsidR="00E913E3" w:rsidRPr="008F685A" w:rsidRDefault="00E913E3" w:rsidP="008F685A">
      <w:pPr>
        <w:sectPr w:rsidR="00E913E3" w:rsidRPr="008F685A" w:rsidSect="000D63A8">
          <w:footerReference w:type="default" r:id="rId23"/>
          <w:pgSz w:w="11906" w:h="16838" w:code="9"/>
          <w:pgMar w:top="1440" w:right="1797" w:bottom="1440" w:left="1797" w:header="709" w:footer="709" w:gutter="0"/>
          <w:cols w:space="708"/>
          <w:docGrid w:linePitch="360"/>
        </w:sectPr>
      </w:pPr>
    </w:p>
    <w:p w14:paraId="5F34CF1B" w14:textId="77777777" w:rsidR="001F6B8D" w:rsidRDefault="0051062A" w:rsidP="008F685A">
      <w:pPr>
        <w:pStyle w:val="Heading2"/>
      </w:pPr>
      <w:bookmarkStart w:id="143" w:name="_Toc87376643"/>
      <w:r>
        <w:lastRenderedPageBreak/>
        <w:t xml:space="preserve">Attachment </w:t>
      </w:r>
      <w:r w:rsidR="008F685A">
        <w:rPr>
          <w:rStyle w:val="Attachmentfieldtext"/>
        </w:rPr>
        <w:t>D</w:t>
      </w:r>
      <w:r>
        <w:rPr>
          <w:rStyle w:val="Attachmentfieldtext"/>
        </w:rPr>
        <w:t xml:space="preserve"> – </w:t>
      </w:r>
      <w:r>
        <w:t>Unsettled and failed transactions</w:t>
      </w:r>
      <w:bookmarkEnd w:id="143"/>
    </w:p>
    <w:p w14:paraId="134B32EE" w14:textId="41D4BA6E" w:rsidR="000A7B6D" w:rsidRDefault="000A7B6D" w:rsidP="000A4BE9">
      <w:pPr>
        <w:pStyle w:val="BodyText1"/>
        <w:numPr>
          <w:ilvl w:val="0"/>
          <w:numId w:val="5"/>
        </w:numPr>
      </w:pPr>
      <w:r>
        <w:t>D</w:t>
      </w:r>
      <w:r w:rsidR="00A70DEA">
        <w:t>elivery-</w:t>
      </w:r>
      <w:r>
        <w:t>v</w:t>
      </w:r>
      <w:r w:rsidR="00A70DEA">
        <w:t>ersus-payment (</w:t>
      </w:r>
      <w:proofErr w:type="spellStart"/>
      <w:r w:rsidR="00A70DEA">
        <w:t>DvP</w:t>
      </w:r>
      <w:proofErr w:type="spellEnd"/>
      <w:r w:rsidR="00A70DEA">
        <w:t>)</w:t>
      </w:r>
      <w:r>
        <w:t xml:space="preserve"> transactions include any transaction settled through a system which provides for the simultaneous exchange of securities or commodities for cash, and expose</w:t>
      </w:r>
      <w:r w:rsidR="00716D49">
        <w:t xml:space="preserve"> an ADI to the risk of loss on the difference between the transaction valued at the agreed settlement price and the transaction valued at the current market price. This includes payme</w:t>
      </w:r>
      <w:r w:rsidR="00B92B09">
        <w:t xml:space="preserve">nt-versus-payment transactions. </w:t>
      </w:r>
    </w:p>
    <w:p w14:paraId="21C3ECDC" w14:textId="77BFB70C" w:rsidR="00A70DEA" w:rsidRDefault="00A70DEA" w:rsidP="000A4BE9">
      <w:pPr>
        <w:pStyle w:val="BodyText1"/>
        <w:numPr>
          <w:ilvl w:val="0"/>
          <w:numId w:val="5"/>
        </w:numPr>
      </w:pPr>
      <w:r>
        <w:t xml:space="preserve">An ADI must apply the risk weights in </w:t>
      </w:r>
      <w:r w:rsidR="00E87819">
        <w:rPr>
          <w:highlight w:val="yellow"/>
        </w:rPr>
        <w:fldChar w:fldCharType="begin"/>
      </w:r>
      <w:r w:rsidR="00E87819">
        <w:instrText xml:space="preserve"> REF _Ref3968148 \n \h </w:instrText>
      </w:r>
      <w:r w:rsidR="00E87819">
        <w:rPr>
          <w:highlight w:val="yellow"/>
        </w:rPr>
      </w:r>
      <w:r w:rsidR="00E87819">
        <w:rPr>
          <w:highlight w:val="yellow"/>
        </w:rPr>
        <w:fldChar w:fldCharType="separate"/>
      </w:r>
      <w:r w:rsidR="0007706D">
        <w:t>Table 18</w:t>
      </w:r>
      <w:r w:rsidR="00E87819">
        <w:rPr>
          <w:highlight w:val="yellow"/>
        </w:rPr>
        <w:fldChar w:fldCharType="end"/>
      </w:r>
      <w:r>
        <w:t xml:space="preserve"> to all </w:t>
      </w:r>
      <w:proofErr w:type="spellStart"/>
      <w:r>
        <w:t>DvP</w:t>
      </w:r>
      <w:proofErr w:type="spellEnd"/>
      <w:r>
        <w:t xml:space="preserve"> transactions, excluding SFTs, which remain unsettled after their due delivery dates. The amount that must be multiplied by the relevant risk weight is the positive current exposure amount</w:t>
      </w:r>
      <w:r w:rsidR="00414FDA">
        <w:t xml:space="preserve"> of the </w:t>
      </w:r>
      <w:proofErr w:type="spellStart"/>
      <w:r w:rsidR="00414FDA">
        <w:t>DvP</w:t>
      </w:r>
      <w:proofErr w:type="spellEnd"/>
      <w:r w:rsidR="00414FDA">
        <w:t xml:space="preserve"> transaction, i.e. the difference between the agreed settlement price of the transaction and the current</w:t>
      </w:r>
      <w:r w:rsidR="00BA09F8">
        <w:t xml:space="preserve"> market price</w:t>
      </w:r>
      <w:r>
        <w:t xml:space="preserve"> of the </w:t>
      </w:r>
      <w:r w:rsidR="00414FDA">
        <w:t xml:space="preserve">transaction where this would result in a loss to </w:t>
      </w:r>
      <w:r w:rsidR="00BC5C0A">
        <w:t xml:space="preserve">the </w:t>
      </w:r>
      <w:r w:rsidR="00414FDA">
        <w:t>ADI.</w:t>
      </w:r>
    </w:p>
    <w:p w14:paraId="56012D50" w14:textId="32B3DFB6" w:rsidR="00B94F75" w:rsidRPr="00964D2F" w:rsidRDefault="0099752B" w:rsidP="0099752B">
      <w:pPr>
        <w:pStyle w:val="TableHeadNumber"/>
      </w:pPr>
      <w:bookmarkStart w:id="144" w:name="_Ref3968148"/>
      <w:r>
        <w:t>Risk</w:t>
      </w:r>
      <w:r w:rsidR="00964D2F" w:rsidRPr="009F16A0">
        <w:t xml:space="preserve"> weights for </w:t>
      </w:r>
      <w:proofErr w:type="spellStart"/>
      <w:r w:rsidR="00964D2F" w:rsidRPr="009F16A0">
        <w:t>DvP</w:t>
      </w:r>
      <w:proofErr w:type="spellEnd"/>
      <w:r w:rsidR="00964D2F" w:rsidRPr="009F16A0">
        <w:t xml:space="preserve"> transactions</w:t>
      </w:r>
      <w:bookmarkEnd w:id="144"/>
    </w:p>
    <w:tbl>
      <w:tblPr>
        <w:tblStyle w:val="TableGrid"/>
        <w:tblW w:w="0" w:type="auto"/>
        <w:tblLook w:val="04A0" w:firstRow="1" w:lastRow="0" w:firstColumn="1" w:lastColumn="0" w:noHBand="0" w:noVBand="1"/>
      </w:tblPr>
      <w:tblGrid>
        <w:gridCol w:w="5382"/>
        <w:gridCol w:w="2920"/>
      </w:tblGrid>
      <w:tr w:rsidR="00964D2F" w14:paraId="620A113A" w14:textId="77777777" w:rsidTr="005040DE">
        <w:tc>
          <w:tcPr>
            <w:tcW w:w="5382" w:type="dxa"/>
          </w:tcPr>
          <w:p w14:paraId="350E4727" w14:textId="061E04B5" w:rsidR="00964D2F" w:rsidRPr="00964D2F" w:rsidRDefault="00964D2F" w:rsidP="00C65A4F">
            <w:pPr>
              <w:keepNext/>
              <w:spacing w:before="60" w:after="60"/>
              <w:jc w:val="center"/>
              <w:rPr>
                <w:b/>
              </w:rPr>
            </w:pPr>
            <w:r w:rsidRPr="00964D2F">
              <w:rPr>
                <w:b/>
              </w:rPr>
              <w:t>Number of business days after settlement date</w:t>
            </w:r>
          </w:p>
        </w:tc>
        <w:tc>
          <w:tcPr>
            <w:tcW w:w="2920" w:type="dxa"/>
          </w:tcPr>
          <w:p w14:paraId="7FCC774F" w14:textId="77777777" w:rsidR="00964D2F" w:rsidRPr="00964D2F" w:rsidRDefault="00964D2F" w:rsidP="00C65A4F">
            <w:pPr>
              <w:spacing w:before="60" w:after="60"/>
              <w:jc w:val="center"/>
              <w:rPr>
                <w:b/>
              </w:rPr>
            </w:pPr>
            <w:r w:rsidRPr="00964D2F">
              <w:rPr>
                <w:b/>
              </w:rPr>
              <w:t>Risk weight (%)</w:t>
            </w:r>
          </w:p>
        </w:tc>
      </w:tr>
      <w:tr w:rsidR="00964D2F" w14:paraId="729F0F11" w14:textId="77777777" w:rsidTr="005040DE">
        <w:tc>
          <w:tcPr>
            <w:tcW w:w="5382" w:type="dxa"/>
          </w:tcPr>
          <w:p w14:paraId="3743BDE8" w14:textId="24F25107" w:rsidR="00964D2F" w:rsidRDefault="00964D2F" w:rsidP="00C65A4F">
            <w:pPr>
              <w:keepNext/>
              <w:spacing w:before="60" w:after="60"/>
              <w:jc w:val="center"/>
            </w:pPr>
            <w:r>
              <w:t>5 to 15</w:t>
            </w:r>
          </w:p>
        </w:tc>
        <w:tc>
          <w:tcPr>
            <w:tcW w:w="2920" w:type="dxa"/>
          </w:tcPr>
          <w:p w14:paraId="3CD92CF9" w14:textId="5EB502B2" w:rsidR="00964D2F" w:rsidRDefault="00964D2F" w:rsidP="00C65A4F">
            <w:pPr>
              <w:spacing w:before="60" w:after="60"/>
              <w:jc w:val="center"/>
            </w:pPr>
            <w:r>
              <w:t>100</w:t>
            </w:r>
          </w:p>
        </w:tc>
      </w:tr>
      <w:tr w:rsidR="00964D2F" w14:paraId="0B6F3C3B" w14:textId="77777777" w:rsidTr="005040DE">
        <w:tc>
          <w:tcPr>
            <w:tcW w:w="5382" w:type="dxa"/>
          </w:tcPr>
          <w:p w14:paraId="5B11EB5F" w14:textId="7F1B44FE" w:rsidR="00964D2F" w:rsidRDefault="00964D2F" w:rsidP="00C65A4F">
            <w:pPr>
              <w:keepNext/>
              <w:spacing w:before="60" w:after="60"/>
              <w:jc w:val="center"/>
            </w:pPr>
            <w:r>
              <w:t>16 to 30</w:t>
            </w:r>
          </w:p>
        </w:tc>
        <w:tc>
          <w:tcPr>
            <w:tcW w:w="2920" w:type="dxa"/>
          </w:tcPr>
          <w:p w14:paraId="597F8070" w14:textId="6135503C" w:rsidR="00964D2F" w:rsidRDefault="00964D2F" w:rsidP="00C65A4F">
            <w:pPr>
              <w:spacing w:before="60" w:after="60"/>
              <w:jc w:val="center"/>
            </w:pPr>
            <w:r>
              <w:t>625</w:t>
            </w:r>
          </w:p>
        </w:tc>
      </w:tr>
      <w:tr w:rsidR="00964D2F" w14:paraId="16D6D5CA" w14:textId="77777777" w:rsidTr="005040DE">
        <w:tc>
          <w:tcPr>
            <w:tcW w:w="5382" w:type="dxa"/>
          </w:tcPr>
          <w:p w14:paraId="45665A5B" w14:textId="3A26F3F6" w:rsidR="00964D2F" w:rsidRDefault="00964D2F" w:rsidP="00C65A4F">
            <w:pPr>
              <w:keepNext/>
              <w:spacing w:before="60" w:after="60"/>
              <w:jc w:val="center"/>
            </w:pPr>
            <w:r>
              <w:t>31 to 45</w:t>
            </w:r>
          </w:p>
        </w:tc>
        <w:tc>
          <w:tcPr>
            <w:tcW w:w="2920" w:type="dxa"/>
          </w:tcPr>
          <w:p w14:paraId="02A5345F" w14:textId="55540B60" w:rsidR="00964D2F" w:rsidRDefault="00964D2F" w:rsidP="00C65A4F">
            <w:pPr>
              <w:spacing w:before="60" w:after="60"/>
              <w:jc w:val="center"/>
            </w:pPr>
            <w:r>
              <w:t>937.5</w:t>
            </w:r>
          </w:p>
        </w:tc>
      </w:tr>
      <w:tr w:rsidR="00964D2F" w14:paraId="19F9F9D7" w14:textId="77777777" w:rsidTr="005040DE">
        <w:tc>
          <w:tcPr>
            <w:tcW w:w="5382" w:type="dxa"/>
          </w:tcPr>
          <w:p w14:paraId="5DF41705" w14:textId="25F26262" w:rsidR="00964D2F" w:rsidRDefault="00964D2F" w:rsidP="00C65A4F">
            <w:pPr>
              <w:spacing w:before="60" w:after="60"/>
              <w:jc w:val="center"/>
            </w:pPr>
            <w:r>
              <w:t>46 or more</w:t>
            </w:r>
          </w:p>
        </w:tc>
        <w:tc>
          <w:tcPr>
            <w:tcW w:w="2920" w:type="dxa"/>
          </w:tcPr>
          <w:p w14:paraId="78240C54" w14:textId="14454C34" w:rsidR="00964D2F" w:rsidRDefault="00964D2F" w:rsidP="00C65A4F">
            <w:pPr>
              <w:spacing w:before="60" w:after="60"/>
              <w:jc w:val="center"/>
            </w:pPr>
            <w:r>
              <w:t>1250</w:t>
            </w:r>
          </w:p>
        </w:tc>
      </w:tr>
    </w:tbl>
    <w:p w14:paraId="37E1004F" w14:textId="155B1CA5" w:rsidR="00964D2F" w:rsidRDefault="00964D2F" w:rsidP="004C77EF">
      <w:pPr>
        <w:spacing w:after="120"/>
      </w:pPr>
    </w:p>
    <w:p w14:paraId="53AD355D" w14:textId="6131180C" w:rsidR="00417AA8" w:rsidRDefault="00417AA8" w:rsidP="00417AA8">
      <w:pPr>
        <w:pStyle w:val="BodyText1"/>
      </w:pPr>
      <w:r>
        <w:t>An ADI must hold Regulatory Capital against a non-</w:t>
      </w:r>
      <w:proofErr w:type="spellStart"/>
      <w:r>
        <w:t>DvP</w:t>
      </w:r>
      <w:proofErr w:type="spellEnd"/>
      <w:r>
        <w:t xml:space="preserve"> transaction which exposes the ADI to the risk of loss on the full amount of cash paid or deliverables delivered, where:</w:t>
      </w:r>
    </w:p>
    <w:p w14:paraId="26B92BA9" w14:textId="77777777" w:rsidR="00417AA8" w:rsidRDefault="00417AA8" w:rsidP="005423F4">
      <w:pPr>
        <w:pStyle w:val="BodyText2"/>
      </w:pPr>
      <w:r>
        <w:t>it has paid for debt instruments, equities, foreign currencies or commodities before receiving them or it has delivered debt instruments, equities, foreign currencies or commodities before receiving payment for them; and</w:t>
      </w:r>
    </w:p>
    <w:p w14:paraId="28CCC5CB" w14:textId="77777777" w:rsidR="00417AA8" w:rsidRDefault="00417AA8" w:rsidP="005423F4">
      <w:pPr>
        <w:pStyle w:val="BodyText2"/>
      </w:pPr>
      <w:r>
        <w:t>in the case of a cross-border transaction, one day or more has elapsed since it made that payment or delivery.</w:t>
      </w:r>
    </w:p>
    <w:p w14:paraId="0BEEBF64" w14:textId="75339EEF" w:rsidR="00417AA8" w:rsidRDefault="00417AA8" w:rsidP="00417AA8">
      <w:pPr>
        <w:pStyle w:val="BodyText1"/>
      </w:pPr>
      <w:bookmarkStart w:id="145" w:name="_Ref3480726"/>
      <w:r>
        <w:t>An ADI must calculate the capital requirement for a non-</w:t>
      </w:r>
      <w:proofErr w:type="spellStart"/>
      <w:r>
        <w:t>DvP</w:t>
      </w:r>
      <w:proofErr w:type="spellEnd"/>
      <w:r>
        <w:t xml:space="preserve"> transaction as follows:</w:t>
      </w:r>
      <w:bookmarkEnd w:id="145"/>
    </w:p>
    <w:p w14:paraId="10D59350" w14:textId="29ECD846" w:rsidR="00417AA8" w:rsidRDefault="00417AA8" w:rsidP="005423F4">
      <w:pPr>
        <w:pStyle w:val="BodyText2"/>
      </w:pPr>
      <w:bookmarkStart w:id="146" w:name="_Ref3480731"/>
      <w:r>
        <w:t>from the business day after the ADI has made its payment or delivery for up to and including four business days after the counterparty payment or delivery is due, the ADI must treat the transaction as an exposure; and</w:t>
      </w:r>
      <w:bookmarkEnd w:id="146"/>
    </w:p>
    <w:p w14:paraId="6C811417" w14:textId="7FDC3BCA" w:rsidR="00417AA8" w:rsidRDefault="00417AA8" w:rsidP="005423F4">
      <w:pPr>
        <w:pStyle w:val="BodyText2"/>
      </w:pPr>
      <w:r>
        <w:t>from five business days after the ADI has made its payment or delivery until extinction of the transaction, the ADI must apply a 1250 per cent risk weight to the value transferred plus the positive current exposure</w:t>
      </w:r>
      <w:r w:rsidR="00CE40DF">
        <w:t xml:space="preserve"> amount</w:t>
      </w:r>
      <w:r>
        <w:t>.</w:t>
      </w:r>
    </w:p>
    <w:p w14:paraId="2083583E" w14:textId="3B4F46EB" w:rsidR="00A827B2" w:rsidRDefault="00CE40DF" w:rsidP="00417AA8">
      <w:pPr>
        <w:pStyle w:val="BodyText1"/>
      </w:pPr>
      <w:r>
        <w:t>Where a non-</w:t>
      </w:r>
      <w:proofErr w:type="spellStart"/>
      <w:r>
        <w:t>DvP</w:t>
      </w:r>
      <w:proofErr w:type="spellEnd"/>
      <w:r>
        <w:t xml:space="preserve"> transaction must be treated as an exposure in accordance with </w:t>
      </w:r>
      <w:r w:rsidRPr="009F16A0">
        <w:t>paragraph</w:t>
      </w:r>
      <w:r w:rsidR="009F16A0" w:rsidRPr="009F16A0">
        <w:t xml:space="preserve"> </w:t>
      </w:r>
      <w:r w:rsidR="009F16A0" w:rsidRPr="009F16A0">
        <w:fldChar w:fldCharType="begin"/>
      </w:r>
      <w:r w:rsidR="009F16A0" w:rsidRPr="009F16A0">
        <w:instrText xml:space="preserve"> REF _Ref3480731 \r \h </w:instrText>
      </w:r>
      <w:r w:rsidR="009F16A0">
        <w:instrText xml:space="preserve"> \* MERGEFORMAT </w:instrText>
      </w:r>
      <w:r w:rsidR="009F16A0" w:rsidRPr="009F16A0">
        <w:fldChar w:fldCharType="separate"/>
      </w:r>
      <w:r w:rsidR="0007706D">
        <w:t>4(a)</w:t>
      </w:r>
      <w:r w:rsidR="009F16A0" w:rsidRPr="009F16A0">
        <w:fldChar w:fldCharType="end"/>
      </w:r>
      <w:r w:rsidR="009F16A0" w:rsidRPr="009F16A0">
        <w:t xml:space="preserve"> </w:t>
      </w:r>
      <w:r w:rsidRPr="009F16A0">
        <w:t>of</w:t>
      </w:r>
      <w:r>
        <w:t xml:space="preserve"> this Attachment, an ADI may</w:t>
      </w:r>
      <w:r w:rsidR="00A827B2">
        <w:t>:</w:t>
      </w:r>
      <w:r>
        <w:t xml:space="preserve"> </w:t>
      </w:r>
    </w:p>
    <w:p w14:paraId="076628B0" w14:textId="57C0AA54" w:rsidR="00417AA8" w:rsidRDefault="00CE40DF" w:rsidP="005423F4">
      <w:pPr>
        <w:pStyle w:val="BodyText2"/>
      </w:pPr>
      <w:r>
        <w:lastRenderedPageBreak/>
        <w:t>apply the relevant risk weight</w:t>
      </w:r>
      <w:r w:rsidR="006E3B51">
        <w:t xml:space="preserve"> </w:t>
      </w:r>
      <w:r w:rsidR="006E3B51" w:rsidRPr="00AD61C8">
        <w:t>based on the counterparty</w:t>
      </w:r>
      <w:r>
        <w:t xml:space="preserve"> as detailed in </w:t>
      </w:r>
      <w:r w:rsidRPr="009F16A0">
        <w:t>Attachment B</w:t>
      </w:r>
      <w:r>
        <w:t xml:space="preserve"> to this Prudential Standard</w:t>
      </w:r>
      <w:r w:rsidR="00A827B2">
        <w:t>; or</w:t>
      </w:r>
    </w:p>
    <w:p w14:paraId="3963F659" w14:textId="4A042B23" w:rsidR="00A827B2" w:rsidRDefault="00A827B2" w:rsidP="005423F4">
      <w:pPr>
        <w:pStyle w:val="BodyText2"/>
      </w:pPr>
      <w:r>
        <w:t>where expos</w:t>
      </w:r>
      <w:r w:rsidR="006E3B51">
        <w:t xml:space="preserve">ures are not material, apply a 100 per cent risk weight provided that all such exposures are risk-weighted consistently. </w:t>
      </w:r>
    </w:p>
    <w:p w14:paraId="07FA228B" w14:textId="77777777" w:rsidR="008F685A" w:rsidRDefault="008F685A" w:rsidP="008F685A"/>
    <w:p w14:paraId="220BD8E8" w14:textId="77777777" w:rsidR="008F685A" w:rsidRPr="008F685A" w:rsidRDefault="008F685A" w:rsidP="008F685A">
      <w:pPr>
        <w:sectPr w:rsidR="008F685A" w:rsidRPr="008F685A" w:rsidSect="000D63A8">
          <w:footerReference w:type="default" r:id="rId24"/>
          <w:pgSz w:w="11906" w:h="16838" w:code="9"/>
          <w:pgMar w:top="1440" w:right="1797" w:bottom="1440" w:left="1797" w:header="709" w:footer="709" w:gutter="0"/>
          <w:cols w:space="708"/>
          <w:docGrid w:linePitch="360"/>
        </w:sectPr>
      </w:pPr>
    </w:p>
    <w:p w14:paraId="3B8D0EC7" w14:textId="77777777" w:rsidR="008F685A" w:rsidRDefault="008F685A" w:rsidP="008F685A">
      <w:pPr>
        <w:pStyle w:val="Heading2"/>
      </w:pPr>
      <w:bookmarkStart w:id="147" w:name="_Toc87376644"/>
      <w:r>
        <w:lastRenderedPageBreak/>
        <w:t xml:space="preserve">Attachment </w:t>
      </w:r>
      <w:r>
        <w:rPr>
          <w:rStyle w:val="Attachmentfieldtext"/>
        </w:rPr>
        <w:t xml:space="preserve">E – </w:t>
      </w:r>
      <w:r>
        <w:t>Defaulted exposures</w:t>
      </w:r>
      <w:bookmarkEnd w:id="147"/>
    </w:p>
    <w:p w14:paraId="65037CC5" w14:textId="5065299C" w:rsidR="002B1427" w:rsidRDefault="002B1427" w:rsidP="003A19BA">
      <w:pPr>
        <w:pStyle w:val="BodyText1"/>
        <w:numPr>
          <w:ilvl w:val="0"/>
          <w:numId w:val="32"/>
        </w:numPr>
      </w:pPr>
      <w:r>
        <w:t>Where an exposure is in default, an ADI must apply the risk weights in</w:t>
      </w:r>
      <w:r w:rsidR="00E87819">
        <w:t xml:space="preserve"> </w:t>
      </w:r>
      <w:r w:rsidR="00E87819">
        <w:fldChar w:fldCharType="begin"/>
      </w:r>
      <w:r w:rsidR="00E87819">
        <w:instrText xml:space="preserve"> REF _Ref3968193 \n \h </w:instrText>
      </w:r>
      <w:r w:rsidR="00E87819">
        <w:fldChar w:fldCharType="separate"/>
      </w:r>
      <w:r w:rsidR="0007706D">
        <w:t>Table 19</w:t>
      </w:r>
      <w:r w:rsidR="00E87819">
        <w:fldChar w:fldCharType="end"/>
      </w:r>
      <w:r w:rsidR="00E87819">
        <w:t xml:space="preserve"> or </w:t>
      </w:r>
      <w:r w:rsidR="00E87819">
        <w:fldChar w:fldCharType="begin"/>
      </w:r>
      <w:r w:rsidR="00E87819">
        <w:instrText xml:space="preserve"> REF _Ref3968220 \n \h </w:instrText>
      </w:r>
      <w:r w:rsidR="00E87819">
        <w:fldChar w:fldCharType="separate"/>
      </w:r>
      <w:r w:rsidR="0007706D">
        <w:t>Table 20</w:t>
      </w:r>
      <w:r w:rsidR="00E87819">
        <w:fldChar w:fldCharType="end"/>
      </w:r>
      <w:r>
        <w:t xml:space="preserve"> </w:t>
      </w:r>
      <w:r w:rsidR="00767DD6">
        <w:t>to the exposure amount</w:t>
      </w:r>
      <w:r>
        <w:t xml:space="preserve">, net of </w:t>
      </w:r>
      <w:r w:rsidR="00AC7D14">
        <w:t xml:space="preserve">any </w:t>
      </w:r>
      <w:r>
        <w:t>provisions</w:t>
      </w:r>
      <w:r w:rsidR="00AC7D14">
        <w:t xml:space="preserve"> for defaulted exposures</w:t>
      </w:r>
      <w:r>
        <w:t xml:space="preserve"> and partial write-offs. </w:t>
      </w:r>
    </w:p>
    <w:p w14:paraId="494484F5" w14:textId="12DEB0AA" w:rsidR="00242625" w:rsidRDefault="00C03606" w:rsidP="002B1427">
      <w:pPr>
        <w:pStyle w:val="BodyText1"/>
      </w:pPr>
      <w:r>
        <w:t xml:space="preserve">An </w:t>
      </w:r>
      <w:r w:rsidR="00242625">
        <w:t xml:space="preserve">ADI may recognise </w:t>
      </w:r>
      <w:r w:rsidR="00EF68E6">
        <w:t xml:space="preserve">eligible credit risk mitigation </w:t>
      </w:r>
      <w:r w:rsidR="00242625">
        <w:t xml:space="preserve">in calculating the exposure amount. </w:t>
      </w:r>
    </w:p>
    <w:p w14:paraId="4C9EF13C" w14:textId="22C78BC4" w:rsidR="00876DB8" w:rsidRDefault="002B1427" w:rsidP="006D3060">
      <w:pPr>
        <w:pStyle w:val="Heading1"/>
      </w:pPr>
      <w:r>
        <w:t xml:space="preserve">Risk weights for </w:t>
      </w:r>
      <w:r w:rsidR="00876DB8">
        <w:t>residential property exposures</w:t>
      </w:r>
    </w:p>
    <w:p w14:paraId="45D1D144" w14:textId="3DD4138C" w:rsidR="00876DB8" w:rsidRDefault="00876DB8" w:rsidP="00876DB8">
      <w:pPr>
        <w:pStyle w:val="BodyText1"/>
      </w:pPr>
      <w:r>
        <w:t xml:space="preserve">An ADI must apply the risk weights in </w:t>
      </w:r>
      <w:r w:rsidR="00E87819">
        <w:fldChar w:fldCharType="begin"/>
      </w:r>
      <w:r w:rsidR="00E87819">
        <w:instrText xml:space="preserve"> REF _Ref3968193 \n \h </w:instrText>
      </w:r>
      <w:r w:rsidR="00E87819">
        <w:fldChar w:fldCharType="separate"/>
      </w:r>
      <w:r w:rsidR="0007706D">
        <w:t>Table 19</w:t>
      </w:r>
      <w:r w:rsidR="00E87819">
        <w:fldChar w:fldCharType="end"/>
      </w:r>
      <w:r w:rsidR="00E87819">
        <w:t xml:space="preserve"> </w:t>
      </w:r>
      <w:r>
        <w:t>to its defaulted residential property exposures.</w:t>
      </w:r>
    </w:p>
    <w:p w14:paraId="493056AC" w14:textId="6434E89C" w:rsidR="00876DB8" w:rsidRPr="00964D2F" w:rsidRDefault="0099752B" w:rsidP="0099752B">
      <w:pPr>
        <w:pStyle w:val="TableHeadNumber"/>
      </w:pPr>
      <w:bookmarkStart w:id="148" w:name="_Ref3968193"/>
      <w:r>
        <w:t>Risk</w:t>
      </w:r>
      <w:r w:rsidR="00876DB8" w:rsidRPr="005253A1">
        <w:t xml:space="preserve"> weights for defaulted residential property exposures</w:t>
      </w:r>
      <w:bookmarkEnd w:id="148"/>
    </w:p>
    <w:tbl>
      <w:tblPr>
        <w:tblStyle w:val="TableGrid"/>
        <w:tblW w:w="0" w:type="auto"/>
        <w:tblLook w:val="04A0" w:firstRow="1" w:lastRow="0" w:firstColumn="1" w:lastColumn="0" w:noHBand="0" w:noVBand="1"/>
      </w:tblPr>
      <w:tblGrid>
        <w:gridCol w:w="6091"/>
        <w:gridCol w:w="2211"/>
      </w:tblGrid>
      <w:tr w:rsidR="00876DB8" w14:paraId="0516D75D" w14:textId="77777777" w:rsidTr="00570859">
        <w:tc>
          <w:tcPr>
            <w:tcW w:w="6091" w:type="dxa"/>
          </w:tcPr>
          <w:p w14:paraId="5E79EBCF" w14:textId="36C78414" w:rsidR="00876DB8" w:rsidRPr="00964D2F" w:rsidRDefault="00876DB8" w:rsidP="00C65A4F">
            <w:pPr>
              <w:spacing w:before="60" w:after="60"/>
              <w:jc w:val="center"/>
              <w:rPr>
                <w:b/>
              </w:rPr>
            </w:pPr>
          </w:p>
        </w:tc>
        <w:tc>
          <w:tcPr>
            <w:tcW w:w="2211" w:type="dxa"/>
          </w:tcPr>
          <w:p w14:paraId="0658508D" w14:textId="77777777" w:rsidR="00876DB8" w:rsidRPr="00964D2F" w:rsidRDefault="00876DB8" w:rsidP="00C65A4F">
            <w:pPr>
              <w:spacing w:before="60" w:after="60"/>
              <w:jc w:val="center"/>
              <w:rPr>
                <w:b/>
              </w:rPr>
            </w:pPr>
            <w:r w:rsidRPr="00964D2F">
              <w:rPr>
                <w:b/>
              </w:rPr>
              <w:t>Risk weight (%)</w:t>
            </w:r>
          </w:p>
        </w:tc>
      </w:tr>
      <w:tr w:rsidR="00876DB8" w14:paraId="6AC4C700" w14:textId="77777777" w:rsidTr="00F160E8">
        <w:tc>
          <w:tcPr>
            <w:tcW w:w="6091" w:type="dxa"/>
          </w:tcPr>
          <w:p w14:paraId="5850CFB8" w14:textId="042C209C" w:rsidR="00876DB8" w:rsidRDefault="008340A5" w:rsidP="00C65A4F">
            <w:pPr>
              <w:spacing w:before="60" w:after="60"/>
            </w:pPr>
            <w:r>
              <w:t xml:space="preserve">Owner-occupied principal-and-interest </w:t>
            </w:r>
            <w:r w:rsidR="00876DB8">
              <w:t>with LMI</w:t>
            </w:r>
          </w:p>
        </w:tc>
        <w:tc>
          <w:tcPr>
            <w:tcW w:w="2211" w:type="dxa"/>
            <w:vAlign w:val="center"/>
          </w:tcPr>
          <w:p w14:paraId="2F3DA3E1" w14:textId="2BEBB2A7" w:rsidR="00876DB8" w:rsidRDefault="00400905" w:rsidP="00C65A4F">
            <w:pPr>
              <w:spacing w:before="60" w:after="60"/>
              <w:jc w:val="center"/>
            </w:pPr>
            <w:r>
              <w:t>8</w:t>
            </w:r>
            <w:r w:rsidR="00876DB8">
              <w:t>0</w:t>
            </w:r>
          </w:p>
        </w:tc>
      </w:tr>
      <w:tr w:rsidR="00876DB8" w14:paraId="2575121B" w14:textId="77777777" w:rsidTr="00F160E8">
        <w:tc>
          <w:tcPr>
            <w:tcW w:w="6091" w:type="dxa"/>
          </w:tcPr>
          <w:p w14:paraId="1A134A28" w14:textId="0C316A11" w:rsidR="00876DB8" w:rsidRDefault="008340A5" w:rsidP="00C65A4F">
            <w:pPr>
              <w:spacing w:before="60" w:after="60"/>
            </w:pPr>
            <w:r>
              <w:t xml:space="preserve">Owner-occupied principal-and-interest </w:t>
            </w:r>
            <w:r w:rsidR="00876DB8">
              <w:t>without LMI</w:t>
            </w:r>
          </w:p>
        </w:tc>
        <w:tc>
          <w:tcPr>
            <w:tcW w:w="2211" w:type="dxa"/>
            <w:vAlign w:val="center"/>
          </w:tcPr>
          <w:p w14:paraId="71109D72" w14:textId="478F292C" w:rsidR="00876DB8" w:rsidRDefault="00876DB8" w:rsidP="00C65A4F">
            <w:pPr>
              <w:spacing w:before="60" w:after="60"/>
              <w:jc w:val="center"/>
            </w:pPr>
            <w:r>
              <w:t>100</w:t>
            </w:r>
          </w:p>
        </w:tc>
      </w:tr>
      <w:tr w:rsidR="00284BFD" w14:paraId="5BAF50FA" w14:textId="77777777" w:rsidTr="00F160E8">
        <w:tc>
          <w:tcPr>
            <w:tcW w:w="6091" w:type="dxa"/>
          </w:tcPr>
          <w:p w14:paraId="2E89EBED" w14:textId="46ECADAB" w:rsidR="00284BFD" w:rsidRDefault="008340A5" w:rsidP="00C65A4F">
            <w:pPr>
              <w:spacing w:before="60" w:after="60"/>
            </w:pPr>
            <w:r>
              <w:t xml:space="preserve">Other </w:t>
            </w:r>
            <w:r w:rsidR="00C200A7">
              <w:t xml:space="preserve">standard residential property </w:t>
            </w:r>
            <w:r>
              <w:t>with LMI</w:t>
            </w:r>
          </w:p>
        </w:tc>
        <w:tc>
          <w:tcPr>
            <w:tcW w:w="2211" w:type="dxa"/>
            <w:vAlign w:val="center"/>
          </w:tcPr>
          <w:p w14:paraId="7C2CBF2E" w14:textId="3DA03821" w:rsidR="00284BFD" w:rsidRDefault="008340A5" w:rsidP="00C65A4F">
            <w:pPr>
              <w:spacing w:before="60" w:after="60"/>
              <w:jc w:val="center"/>
            </w:pPr>
            <w:r>
              <w:t>95</w:t>
            </w:r>
          </w:p>
        </w:tc>
      </w:tr>
      <w:tr w:rsidR="00284BFD" w14:paraId="14A24CC7" w14:textId="77777777" w:rsidTr="00F160E8">
        <w:tc>
          <w:tcPr>
            <w:tcW w:w="6091" w:type="dxa"/>
          </w:tcPr>
          <w:p w14:paraId="1F4A24B6" w14:textId="34293E04" w:rsidR="00284BFD" w:rsidRDefault="008340A5" w:rsidP="00C65A4F">
            <w:pPr>
              <w:spacing w:before="60" w:after="60"/>
            </w:pPr>
            <w:r>
              <w:t xml:space="preserve">Other </w:t>
            </w:r>
            <w:r w:rsidR="00C200A7">
              <w:t xml:space="preserve">standard residential property </w:t>
            </w:r>
            <w:r>
              <w:t>without LMI</w:t>
            </w:r>
          </w:p>
        </w:tc>
        <w:tc>
          <w:tcPr>
            <w:tcW w:w="2211" w:type="dxa"/>
            <w:vAlign w:val="center"/>
          </w:tcPr>
          <w:p w14:paraId="7A6F2318" w14:textId="37DE2ED4" w:rsidR="00284BFD" w:rsidRDefault="008340A5" w:rsidP="00C65A4F">
            <w:pPr>
              <w:spacing w:before="60" w:after="60"/>
              <w:jc w:val="center"/>
            </w:pPr>
            <w:r>
              <w:t>120</w:t>
            </w:r>
          </w:p>
        </w:tc>
      </w:tr>
      <w:tr w:rsidR="003712CD" w14:paraId="643A4D74" w14:textId="77777777" w:rsidTr="00F160E8">
        <w:tc>
          <w:tcPr>
            <w:tcW w:w="6091" w:type="dxa"/>
          </w:tcPr>
          <w:p w14:paraId="415F9E38" w14:textId="59D3AC2A" w:rsidR="003712CD" w:rsidRDefault="003712CD" w:rsidP="00C65A4F">
            <w:pPr>
              <w:spacing w:before="60" w:after="60"/>
            </w:pPr>
            <w:r>
              <w:t xml:space="preserve">Non-standard </w:t>
            </w:r>
            <w:r w:rsidR="009E33EC">
              <w:t>loans</w:t>
            </w:r>
          </w:p>
        </w:tc>
        <w:tc>
          <w:tcPr>
            <w:tcW w:w="2211" w:type="dxa"/>
            <w:vAlign w:val="center"/>
          </w:tcPr>
          <w:p w14:paraId="0C45938D" w14:textId="311A85AB" w:rsidR="003712CD" w:rsidRDefault="003712CD" w:rsidP="00C65A4F">
            <w:pPr>
              <w:spacing w:before="60" w:after="60"/>
              <w:jc w:val="center"/>
            </w:pPr>
            <w:r>
              <w:t>150</w:t>
            </w:r>
          </w:p>
        </w:tc>
      </w:tr>
    </w:tbl>
    <w:p w14:paraId="36521CF9" w14:textId="77777777" w:rsidR="00876DB8" w:rsidRDefault="00876DB8" w:rsidP="003F0CBD">
      <w:pPr>
        <w:spacing w:after="120"/>
      </w:pPr>
    </w:p>
    <w:p w14:paraId="61B2E865" w14:textId="2F9841D5" w:rsidR="003F0CBD" w:rsidRPr="00F160E8" w:rsidRDefault="003F0CBD" w:rsidP="006D3060">
      <w:pPr>
        <w:pStyle w:val="Heading1"/>
        <w:rPr>
          <w:i/>
        </w:rPr>
      </w:pPr>
      <w:r>
        <w:t>Risk weights for other defaulted exposures</w:t>
      </w:r>
    </w:p>
    <w:p w14:paraId="41428294" w14:textId="44E9C56B" w:rsidR="003F0CBD" w:rsidRDefault="002B1427" w:rsidP="003F0CBD">
      <w:pPr>
        <w:pStyle w:val="BodyText1"/>
      </w:pPr>
      <w:r>
        <w:t>A</w:t>
      </w:r>
      <w:r w:rsidR="003F0CBD">
        <w:t xml:space="preserve">n ADI must apply the risk weights in </w:t>
      </w:r>
      <w:r w:rsidR="00E87819">
        <w:fldChar w:fldCharType="begin"/>
      </w:r>
      <w:r w:rsidR="00E87819">
        <w:instrText xml:space="preserve"> REF _Ref3968220 \n \h </w:instrText>
      </w:r>
      <w:r w:rsidR="00E87819">
        <w:fldChar w:fldCharType="separate"/>
      </w:r>
      <w:r w:rsidR="0007706D">
        <w:t>Table 20</w:t>
      </w:r>
      <w:r w:rsidR="00E87819">
        <w:fldChar w:fldCharType="end"/>
      </w:r>
      <w:r w:rsidR="00E87819">
        <w:t xml:space="preserve"> </w:t>
      </w:r>
      <w:r>
        <w:t xml:space="preserve">to its defaulted exposures that are not residential property exposures. </w:t>
      </w:r>
    </w:p>
    <w:p w14:paraId="66DA1879" w14:textId="3729040B" w:rsidR="0006028C" w:rsidRPr="00964D2F" w:rsidRDefault="0099752B" w:rsidP="0099752B">
      <w:pPr>
        <w:pStyle w:val="TableHeadNumber"/>
      </w:pPr>
      <w:bookmarkStart w:id="149" w:name="_Ref3968220"/>
      <w:r>
        <w:t>Risk</w:t>
      </w:r>
      <w:r w:rsidR="0006028C" w:rsidRPr="005253A1">
        <w:t xml:space="preserve"> weights for other defaulted exposures</w:t>
      </w:r>
      <w:bookmarkEnd w:id="149"/>
    </w:p>
    <w:tbl>
      <w:tblPr>
        <w:tblStyle w:val="TableGrid"/>
        <w:tblW w:w="0" w:type="auto"/>
        <w:tblLook w:val="04A0" w:firstRow="1" w:lastRow="0" w:firstColumn="1" w:lastColumn="0" w:noHBand="0" w:noVBand="1"/>
      </w:tblPr>
      <w:tblGrid>
        <w:gridCol w:w="6091"/>
        <w:gridCol w:w="2211"/>
      </w:tblGrid>
      <w:tr w:rsidR="0006028C" w14:paraId="0EFF0169" w14:textId="77777777" w:rsidTr="00570859">
        <w:tc>
          <w:tcPr>
            <w:tcW w:w="6091" w:type="dxa"/>
          </w:tcPr>
          <w:p w14:paraId="57E9B9B7" w14:textId="77777777" w:rsidR="0006028C" w:rsidRPr="00964D2F" w:rsidRDefault="0006028C" w:rsidP="00C65A4F">
            <w:pPr>
              <w:keepNext/>
              <w:spacing w:before="60" w:after="60"/>
              <w:jc w:val="center"/>
              <w:rPr>
                <w:b/>
              </w:rPr>
            </w:pPr>
          </w:p>
        </w:tc>
        <w:tc>
          <w:tcPr>
            <w:tcW w:w="2211" w:type="dxa"/>
          </w:tcPr>
          <w:p w14:paraId="3C868091" w14:textId="77777777" w:rsidR="0006028C" w:rsidRPr="00964D2F" w:rsidRDefault="0006028C" w:rsidP="00C65A4F">
            <w:pPr>
              <w:spacing w:before="60" w:after="60"/>
              <w:jc w:val="center"/>
              <w:rPr>
                <w:b/>
              </w:rPr>
            </w:pPr>
            <w:r w:rsidRPr="00964D2F">
              <w:rPr>
                <w:b/>
              </w:rPr>
              <w:t>Risk weight (%)</w:t>
            </w:r>
          </w:p>
        </w:tc>
      </w:tr>
      <w:tr w:rsidR="0006028C" w14:paraId="38F7DE79" w14:textId="77777777" w:rsidTr="00F160E8">
        <w:tc>
          <w:tcPr>
            <w:tcW w:w="6091" w:type="dxa"/>
          </w:tcPr>
          <w:p w14:paraId="67E5DE9A" w14:textId="5EBEC6E5" w:rsidR="0006028C" w:rsidRDefault="002672BF" w:rsidP="00C65A4F">
            <w:pPr>
              <w:keepNext/>
              <w:spacing w:before="60" w:after="60"/>
            </w:pPr>
            <w:r>
              <w:t xml:space="preserve">Provisions </w:t>
            </w:r>
            <w:r w:rsidR="00FC02A9">
              <w:t xml:space="preserve">for </w:t>
            </w:r>
            <w:r>
              <w:t>the defaulted exposure</w:t>
            </w:r>
            <w:r w:rsidR="0006028C">
              <w:t xml:space="preserve"> are </w:t>
            </w:r>
            <w:r w:rsidR="00F160E8">
              <w:t>≥ </w:t>
            </w:r>
            <w:r w:rsidR="0006028C">
              <w:t xml:space="preserve">20 per cent of the outstanding </w:t>
            </w:r>
            <w:r w:rsidR="003E6DA2">
              <w:t>exposure amount</w:t>
            </w:r>
          </w:p>
        </w:tc>
        <w:tc>
          <w:tcPr>
            <w:tcW w:w="2211" w:type="dxa"/>
            <w:vAlign w:val="center"/>
          </w:tcPr>
          <w:p w14:paraId="7899A264" w14:textId="67590C11" w:rsidR="0006028C" w:rsidRDefault="0006028C" w:rsidP="00C65A4F">
            <w:pPr>
              <w:spacing w:before="60" w:after="60"/>
              <w:jc w:val="center"/>
            </w:pPr>
            <w:r>
              <w:t>100</w:t>
            </w:r>
          </w:p>
        </w:tc>
      </w:tr>
      <w:tr w:rsidR="0006028C" w14:paraId="10964BA5" w14:textId="77777777" w:rsidTr="00F160E8">
        <w:tc>
          <w:tcPr>
            <w:tcW w:w="6091" w:type="dxa"/>
          </w:tcPr>
          <w:p w14:paraId="181EA372" w14:textId="57E12C49" w:rsidR="0006028C" w:rsidRDefault="002672BF" w:rsidP="00C65A4F">
            <w:pPr>
              <w:spacing w:before="60" w:after="60"/>
            </w:pPr>
            <w:r>
              <w:t>Provisions</w:t>
            </w:r>
            <w:r w:rsidR="00FC02A9">
              <w:t xml:space="preserve"> for</w:t>
            </w:r>
            <w:r>
              <w:t xml:space="preserve"> the defaulted exposure</w:t>
            </w:r>
            <w:r w:rsidR="0006028C">
              <w:t xml:space="preserve"> are </w:t>
            </w:r>
            <w:r w:rsidR="00F160E8">
              <w:t>&lt; </w:t>
            </w:r>
            <w:r w:rsidR="0006028C">
              <w:t xml:space="preserve">20 per cent of the outstanding </w:t>
            </w:r>
            <w:r w:rsidR="003E6DA2">
              <w:t xml:space="preserve">exposure </w:t>
            </w:r>
            <w:r w:rsidR="0006028C">
              <w:t>amount</w:t>
            </w:r>
          </w:p>
        </w:tc>
        <w:tc>
          <w:tcPr>
            <w:tcW w:w="2211" w:type="dxa"/>
            <w:vAlign w:val="center"/>
          </w:tcPr>
          <w:p w14:paraId="6A711DEF" w14:textId="131C3C43" w:rsidR="0006028C" w:rsidRDefault="0006028C" w:rsidP="00C65A4F">
            <w:pPr>
              <w:spacing w:before="60" w:after="60"/>
              <w:jc w:val="center"/>
            </w:pPr>
            <w:r>
              <w:t>150</w:t>
            </w:r>
          </w:p>
        </w:tc>
      </w:tr>
    </w:tbl>
    <w:p w14:paraId="261C44EE" w14:textId="77777777" w:rsidR="00E56793" w:rsidRPr="008F685A" w:rsidRDefault="00E56793" w:rsidP="00E56793">
      <w:pPr>
        <w:sectPr w:rsidR="00E56793" w:rsidRPr="008F685A" w:rsidSect="000D63A8">
          <w:footerReference w:type="default" r:id="rId25"/>
          <w:pgSz w:w="11906" w:h="16838" w:code="9"/>
          <w:pgMar w:top="1440" w:right="1797" w:bottom="1440" w:left="1797" w:header="709" w:footer="709" w:gutter="0"/>
          <w:cols w:space="708"/>
          <w:docGrid w:linePitch="360"/>
        </w:sectPr>
      </w:pPr>
    </w:p>
    <w:p w14:paraId="258D2E56" w14:textId="77777777" w:rsidR="00E56793" w:rsidRDefault="00E56793" w:rsidP="00E56793">
      <w:pPr>
        <w:pStyle w:val="Heading2"/>
      </w:pPr>
      <w:bookmarkStart w:id="150" w:name="_Toc87376645"/>
      <w:r>
        <w:lastRenderedPageBreak/>
        <w:t xml:space="preserve">Attachment </w:t>
      </w:r>
      <w:r>
        <w:rPr>
          <w:rStyle w:val="Attachmentfieldtext"/>
        </w:rPr>
        <w:t xml:space="preserve">F – </w:t>
      </w:r>
      <w:r>
        <w:t>External credit ratings</w:t>
      </w:r>
      <w:bookmarkEnd w:id="150"/>
    </w:p>
    <w:p w14:paraId="38E0F5B8" w14:textId="13DE8B64" w:rsidR="004960C9" w:rsidRDefault="004960C9" w:rsidP="000A4BE9">
      <w:pPr>
        <w:pStyle w:val="BodyText1"/>
        <w:numPr>
          <w:ilvl w:val="0"/>
          <w:numId w:val="7"/>
        </w:numPr>
      </w:pPr>
      <w:r>
        <w:t xml:space="preserve">An ADI may only use </w:t>
      </w:r>
      <w:r w:rsidR="0042748F">
        <w:t xml:space="preserve">the solicited ratings of ECAIs </w:t>
      </w:r>
      <w:r w:rsidR="0042748F" w:rsidRPr="0042748F">
        <w:t>to determine the credit rating grades that correspond to the risk weights for counterparties and exposures.</w:t>
      </w:r>
      <w:r w:rsidR="00A72023">
        <w:rPr>
          <w:rStyle w:val="FootnoteReference"/>
        </w:rPr>
        <w:footnoteReference w:id="19"/>
      </w:r>
      <w:r w:rsidR="0042748F" w:rsidRPr="0042748F">
        <w:t xml:space="preserve"> Ratings must be used consistently for each type of </w:t>
      </w:r>
      <w:r w:rsidR="00CD6ADC">
        <w:t>exposure</w:t>
      </w:r>
      <w:r w:rsidR="0042748F" w:rsidRPr="0042748F">
        <w:t>.</w:t>
      </w:r>
    </w:p>
    <w:p w14:paraId="0F88806B" w14:textId="3A9ED0FA" w:rsidR="00805884" w:rsidRDefault="00805884" w:rsidP="000A4BE9">
      <w:pPr>
        <w:pStyle w:val="BodyText1"/>
        <w:numPr>
          <w:ilvl w:val="0"/>
          <w:numId w:val="7"/>
        </w:numPr>
      </w:pPr>
      <w:r>
        <w:t xml:space="preserve">An ADI must only use an ECAI rating that takes into account and reflects the entire amount of credit risk exposure that the ADI has with regard to all amounts owed to it. </w:t>
      </w:r>
    </w:p>
    <w:p w14:paraId="651CE0AB" w14:textId="5C12FA9C" w:rsidR="00E1780E" w:rsidRDefault="00E1780E" w:rsidP="00E1780E">
      <w:pPr>
        <w:pStyle w:val="BodyText1"/>
        <w:numPr>
          <w:ilvl w:val="0"/>
          <w:numId w:val="7"/>
        </w:numPr>
      </w:pPr>
      <w:r>
        <w:t>Where an ADI uses the ratings of ECAIs, it must perform due diligence to ensure that the external ratings appropriately and conservatively reflect the creditworthiness of the counterparty. If the due diligence analysis reflects higher risk characteristics than that implied by</w:t>
      </w:r>
      <w:r w:rsidR="00580685">
        <w:t xml:space="preserve"> the exposure’s</w:t>
      </w:r>
      <w:r>
        <w:t xml:space="preserve"> external rating, an ADI must assign a risk weight at least one bucket higher than that determined by the external rating. Due diligence analysis must not result in the application of a lower risk weight than that determined by the external</w:t>
      </w:r>
      <w:r w:rsidRPr="00A71A1A">
        <w:t xml:space="preserve"> </w:t>
      </w:r>
      <w:r>
        <w:t>rating.</w:t>
      </w:r>
    </w:p>
    <w:p w14:paraId="692D6D44" w14:textId="5EB29DEA" w:rsidR="00D74E54" w:rsidRDefault="00D74E54" w:rsidP="000A4BE9">
      <w:pPr>
        <w:pStyle w:val="BodyText1"/>
        <w:numPr>
          <w:ilvl w:val="0"/>
          <w:numId w:val="7"/>
        </w:numPr>
      </w:pPr>
      <w:r w:rsidRPr="00D74E54">
        <w:t>An ADI must not use credit ratings for one entity within a corporate group to determine the risk weight for other entities within the s</w:t>
      </w:r>
      <w:r>
        <w:t xml:space="preserve">ame group. If a rated entity </w:t>
      </w:r>
      <w:r w:rsidRPr="00D74E54">
        <w:t xml:space="preserve">has guaranteed </w:t>
      </w:r>
      <w:r>
        <w:t>another</w:t>
      </w:r>
      <w:r w:rsidRPr="00D74E54">
        <w:t xml:space="preserve"> entity’s exposure to the ADI, the guarantee may be recognised for risk-weighting purposes if the criteria set out in </w:t>
      </w:r>
      <w:r w:rsidRPr="005253A1">
        <w:t>Attachment</w:t>
      </w:r>
      <w:r w:rsidR="00DB5521" w:rsidRPr="005253A1">
        <w:t xml:space="preserve"> I</w:t>
      </w:r>
      <w:r w:rsidR="005253A1">
        <w:t xml:space="preserve"> to</w:t>
      </w:r>
      <w:r w:rsidRPr="00D74E54">
        <w:t xml:space="preserve"> this Prudential Standard are satisfied. </w:t>
      </w:r>
    </w:p>
    <w:p w14:paraId="39E16BF1" w14:textId="3C6A3960" w:rsidR="001E76E7" w:rsidRDefault="001E76E7" w:rsidP="001E76E7">
      <w:pPr>
        <w:pStyle w:val="Heading1"/>
      </w:pPr>
      <w:bookmarkStart w:id="151" w:name="_Toc4489896"/>
      <w:r>
        <w:t>Issue-specific and issuer ratings</w:t>
      </w:r>
      <w:bookmarkEnd w:id="151"/>
    </w:p>
    <w:p w14:paraId="4AB4B8B0" w14:textId="248B820D" w:rsidR="00400149" w:rsidRDefault="00400149" w:rsidP="001E76E7">
      <w:pPr>
        <w:pStyle w:val="BodyText1"/>
      </w:pPr>
      <w:r>
        <w:t>Where an ADI has an exposure with an issue-specific rating, the risk weight of the exposure must be assigned based on this rating. Where an exposure does not have an issue-specific rating, the ADI must apply the following requirements:</w:t>
      </w:r>
    </w:p>
    <w:p w14:paraId="322CB03D" w14:textId="746CD857" w:rsidR="00743583" w:rsidRPr="00743583" w:rsidRDefault="00743583" w:rsidP="00C0368C">
      <w:pPr>
        <w:pStyle w:val="BodyText2"/>
      </w:pPr>
      <w:r w:rsidRPr="00743583">
        <w:t xml:space="preserve">where the counterparty has a specific rating for an issued debt, but the ADI’s exposure is not an investment in </w:t>
      </w:r>
      <w:r>
        <w:t xml:space="preserve">that </w:t>
      </w:r>
      <w:r w:rsidRPr="00743583">
        <w:t xml:space="preserve">particular debt, a credit rating which maps to a risk weight lower than that which applies to an unrated exposure may only be applied if the exposure ranks senior or </w:t>
      </w:r>
      <w:proofErr w:type="spellStart"/>
      <w:r w:rsidRPr="00743583">
        <w:rPr>
          <w:i/>
        </w:rPr>
        <w:t>pari</w:t>
      </w:r>
      <w:proofErr w:type="spellEnd"/>
      <w:r w:rsidRPr="00743583">
        <w:rPr>
          <w:i/>
        </w:rPr>
        <w:t xml:space="preserve"> passu</w:t>
      </w:r>
      <w:r w:rsidRPr="00743583">
        <w:t xml:space="preserve"> in all respects to the rated debt issue. If the exposure does not rank senior or </w:t>
      </w:r>
      <w:proofErr w:type="spellStart"/>
      <w:r w:rsidRPr="00743583">
        <w:rPr>
          <w:i/>
        </w:rPr>
        <w:t>pari</w:t>
      </w:r>
      <w:proofErr w:type="spellEnd"/>
      <w:r w:rsidRPr="00743583">
        <w:rPr>
          <w:i/>
        </w:rPr>
        <w:t xml:space="preserve"> passu</w:t>
      </w:r>
      <w:r w:rsidRPr="00743583">
        <w:t xml:space="preserve"> with the rated </w:t>
      </w:r>
      <w:r w:rsidR="00580685">
        <w:t xml:space="preserve">debt </w:t>
      </w:r>
      <w:r w:rsidRPr="00743583">
        <w:t>issue, then the ADI must treat the exposure as unrated and apply the corresponding risk weight;</w:t>
      </w:r>
    </w:p>
    <w:p w14:paraId="79BC54C4" w14:textId="1B2C5BE1" w:rsidR="00743583" w:rsidRPr="00743583" w:rsidRDefault="00743583" w:rsidP="00C0368C">
      <w:pPr>
        <w:pStyle w:val="BodyText2"/>
      </w:pPr>
      <w:r w:rsidRPr="00743583">
        <w:t xml:space="preserve">where the counterparty has an issuer rating, only senior exposures to that counterparty may be assigned a risk weight that corresponds to the issuer rating. If either the issuer or a single issue has a rating grade that maps to a risk weight higher than that applied to unrated exposures, then an exposure to that counterparty which ranks </w:t>
      </w:r>
      <w:proofErr w:type="spellStart"/>
      <w:r w:rsidRPr="00E34DBF">
        <w:rPr>
          <w:i/>
        </w:rPr>
        <w:t>pari</w:t>
      </w:r>
      <w:proofErr w:type="spellEnd"/>
      <w:r w:rsidRPr="00E34DBF">
        <w:rPr>
          <w:i/>
        </w:rPr>
        <w:t xml:space="preserve"> passu</w:t>
      </w:r>
      <w:r w:rsidRPr="00743583">
        <w:t xml:space="preserve"> or is subordinated to either the senior unsecured issuer rating or the exposure with a low credit rating grade </w:t>
      </w:r>
      <w:r w:rsidRPr="00743583">
        <w:lastRenderedPageBreak/>
        <w:t>must be assigned the same risk weight as is applicable to the low credit rating grade; and</w:t>
      </w:r>
    </w:p>
    <w:p w14:paraId="3C449816" w14:textId="1D3E551F" w:rsidR="00053B96" w:rsidRDefault="00053B96" w:rsidP="00C0368C">
      <w:pPr>
        <w:pStyle w:val="BodyText2"/>
      </w:pPr>
      <w:r w:rsidRPr="00053B96">
        <w:t>where the counterparty has a specific high-quality rating that only applies to a limited class of liabilities, this rating may only be used for exposure</w:t>
      </w:r>
      <w:r w:rsidR="009952F6">
        <w:t xml:space="preserve">s that fall within that class. </w:t>
      </w:r>
    </w:p>
    <w:p w14:paraId="50CA4DF7" w14:textId="5CE7783D" w:rsidR="00D74E54" w:rsidRDefault="001E76E7" w:rsidP="001E76E7">
      <w:pPr>
        <w:pStyle w:val="Heading1"/>
      </w:pPr>
      <w:bookmarkStart w:id="152" w:name="_Toc4489897"/>
      <w:r>
        <w:t>Multiple assessments</w:t>
      </w:r>
      <w:bookmarkEnd w:id="152"/>
    </w:p>
    <w:p w14:paraId="0EA452F4" w14:textId="0EB46A0F" w:rsidR="001E76E7" w:rsidRPr="001E76E7" w:rsidRDefault="001E76E7" w:rsidP="001E76E7">
      <w:pPr>
        <w:pStyle w:val="BodyText1"/>
      </w:pPr>
      <w:r w:rsidRPr="001E76E7">
        <w:t>Where a counterparty has multiple ECAI general issuer ratings</w:t>
      </w:r>
      <w:r w:rsidR="00C22AAD">
        <w:t>,</w:t>
      </w:r>
      <w:r w:rsidRPr="001E76E7">
        <w:t xml:space="preserve"> or where an issue has multiple ECAI issue-specific ratings and these ratings correspond to multiple credit rating grades, an ADI must apply the following requirement</w:t>
      </w:r>
      <w:r w:rsidR="00580685">
        <w:t>s</w:t>
      </w:r>
      <w:r w:rsidRPr="001E76E7">
        <w:t>:</w:t>
      </w:r>
    </w:p>
    <w:p w14:paraId="35860E2F" w14:textId="77777777" w:rsidR="001E76E7" w:rsidRPr="001E76E7" w:rsidRDefault="001E76E7" w:rsidP="00C0368C">
      <w:pPr>
        <w:pStyle w:val="BodyText2"/>
      </w:pPr>
      <w:r w:rsidRPr="001E76E7">
        <w:t>where there are two ratings that correspond to different credit rating grades, the credit rating grade that corresponds to the higher risk weight must be used; or</w:t>
      </w:r>
    </w:p>
    <w:p w14:paraId="39F07D76" w14:textId="0B9E819E" w:rsidR="001E76E7" w:rsidRPr="001E76E7" w:rsidRDefault="001E76E7" w:rsidP="00C0368C">
      <w:pPr>
        <w:pStyle w:val="BodyText2"/>
      </w:pPr>
      <w:r w:rsidRPr="001E76E7">
        <w:t xml:space="preserve">where there are three or more ratings that correspond to different credit rating grades, the credit rating grades corresponding to the two lowest risk weights must be </w:t>
      </w:r>
      <w:r w:rsidR="0050003A">
        <w:t xml:space="preserve">referred to </w:t>
      </w:r>
      <w:r w:rsidRPr="001E76E7">
        <w:t>and the higher of those two risk weights must be used.</w:t>
      </w:r>
    </w:p>
    <w:p w14:paraId="0206E0B7" w14:textId="494BCB7F" w:rsidR="001E76E7" w:rsidRDefault="009952F6" w:rsidP="009952F6">
      <w:pPr>
        <w:pStyle w:val="Heading1"/>
      </w:pPr>
      <w:bookmarkStart w:id="153" w:name="_Toc4489898"/>
      <w:r>
        <w:t>Domestic and foreign currency exposures</w:t>
      </w:r>
      <w:bookmarkEnd w:id="153"/>
    </w:p>
    <w:p w14:paraId="37EE5F8D" w14:textId="09EA5A3B" w:rsidR="009952F6" w:rsidRPr="009952F6" w:rsidRDefault="009952F6" w:rsidP="009952F6">
      <w:pPr>
        <w:pStyle w:val="BodyText1"/>
      </w:pPr>
      <w:r w:rsidRPr="009952F6">
        <w:t xml:space="preserve">An ADI must not use an ECAI rating that refers to </w:t>
      </w:r>
      <w:r w:rsidR="007744D1">
        <w:t>an exposure</w:t>
      </w:r>
      <w:r w:rsidRPr="009952F6">
        <w:t xml:space="preserve"> denominated in a particular currency to derive the credit rating grade for another </w:t>
      </w:r>
      <w:r w:rsidR="007744D1">
        <w:t>exposure</w:t>
      </w:r>
      <w:r w:rsidRPr="009952F6">
        <w:t xml:space="preserve"> </w:t>
      </w:r>
      <w:r w:rsidR="006048CD">
        <w:t>to</w:t>
      </w:r>
      <w:r w:rsidRPr="009952F6">
        <w:t xml:space="preserve"> the same counterparty if that </w:t>
      </w:r>
      <w:r w:rsidR="007744D1">
        <w:t>exposure</w:t>
      </w:r>
      <w:r w:rsidRPr="009952F6">
        <w:t xml:space="preserve"> is denominated in another currency.</w:t>
      </w:r>
    </w:p>
    <w:p w14:paraId="16AB22AC" w14:textId="37A55149" w:rsidR="00423E7F" w:rsidRDefault="00423E7F" w:rsidP="00423E7F">
      <w:pPr>
        <w:pStyle w:val="Heading1"/>
      </w:pPr>
      <w:bookmarkStart w:id="154" w:name="_Toc4489899"/>
      <w:r>
        <w:t>Mapping of credit rating grades</w:t>
      </w:r>
      <w:bookmarkEnd w:id="154"/>
    </w:p>
    <w:p w14:paraId="455DB995" w14:textId="51F75F89" w:rsidR="00423E7F" w:rsidRDefault="00DB7822" w:rsidP="00423E7F">
      <w:pPr>
        <w:pStyle w:val="BodyText1"/>
      </w:pPr>
      <w:r>
        <w:t>Where the E</w:t>
      </w:r>
      <w:bookmarkStart w:id="155" w:name="_Hlk85103548"/>
      <w:r>
        <w:t xml:space="preserve">CAI is </w:t>
      </w:r>
      <w:r w:rsidR="00FB526F">
        <w:t>S&amp;P Global</w:t>
      </w:r>
      <w:r w:rsidR="000E7B21">
        <w:t xml:space="preserve"> Ratings</w:t>
      </w:r>
      <w:r>
        <w:t>, Moody’s or Fitch</w:t>
      </w:r>
      <w:r w:rsidR="00974BDA">
        <w:t xml:space="preserve"> Ratings</w:t>
      </w:r>
      <w:r>
        <w:t>, ratings must be mapped in accordance with</w:t>
      </w:r>
      <w:bookmarkEnd w:id="155"/>
      <w:r w:rsidR="00963E22">
        <w:t xml:space="preserve"> </w:t>
      </w:r>
      <w:r w:rsidR="00292676">
        <w:fldChar w:fldCharType="begin"/>
      </w:r>
      <w:r w:rsidR="00292676">
        <w:instrText xml:space="preserve"> REF _Ref3972825 \n \h </w:instrText>
      </w:r>
      <w:r w:rsidR="00292676">
        <w:fldChar w:fldCharType="separate"/>
      </w:r>
      <w:r w:rsidR="0007706D">
        <w:t>Table 21</w:t>
      </w:r>
      <w:r w:rsidR="00292676">
        <w:fldChar w:fldCharType="end"/>
      </w:r>
      <w:r w:rsidR="00292676">
        <w:t xml:space="preserve"> and </w:t>
      </w:r>
      <w:r w:rsidR="00292676">
        <w:fldChar w:fldCharType="begin"/>
      </w:r>
      <w:r w:rsidR="00292676">
        <w:instrText xml:space="preserve"> REF _Ref3972843 \n \h </w:instrText>
      </w:r>
      <w:r w:rsidR="00292676">
        <w:fldChar w:fldCharType="separate"/>
      </w:r>
      <w:r w:rsidR="0007706D">
        <w:t>Table 22</w:t>
      </w:r>
      <w:r w:rsidR="00292676">
        <w:fldChar w:fldCharType="end"/>
      </w:r>
      <w:r>
        <w:t>.</w:t>
      </w:r>
    </w:p>
    <w:p w14:paraId="5337FB89" w14:textId="6DF1B6FC" w:rsidR="00DB7822" w:rsidRPr="00475981" w:rsidRDefault="0099752B" w:rsidP="0099752B">
      <w:pPr>
        <w:pStyle w:val="TableHeadNumber"/>
      </w:pPr>
      <w:bookmarkStart w:id="156" w:name="_Ref3972825"/>
      <w:r>
        <w:t>R</w:t>
      </w:r>
      <w:r w:rsidR="00DB7822" w:rsidRPr="005253A1">
        <w:t>ecognised long-term ratings and equivalent credit rating grades</w:t>
      </w:r>
      <w:bookmarkEnd w:id="156"/>
    </w:p>
    <w:tbl>
      <w:tblPr>
        <w:tblStyle w:val="TableGrid"/>
        <w:tblW w:w="0" w:type="auto"/>
        <w:tblLook w:val="04A0" w:firstRow="1" w:lastRow="0" w:firstColumn="1" w:lastColumn="0" w:noHBand="0" w:noVBand="1"/>
      </w:tblPr>
      <w:tblGrid>
        <w:gridCol w:w="2075"/>
        <w:gridCol w:w="2075"/>
        <w:gridCol w:w="2076"/>
        <w:gridCol w:w="2076"/>
      </w:tblGrid>
      <w:tr w:rsidR="00475981" w14:paraId="0A6F0F0F" w14:textId="77777777" w:rsidTr="00475981">
        <w:tc>
          <w:tcPr>
            <w:tcW w:w="2075" w:type="dxa"/>
          </w:tcPr>
          <w:p w14:paraId="1EC29F1D" w14:textId="1CA5A946" w:rsidR="00475981" w:rsidRPr="00475981" w:rsidRDefault="00475981" w:rsidP="00C65A4F">
            <w:pPr>
              <w:spacing w:before="60" w:after="60"/>
              <w:rPr>
                <w:b/>
              </w:rPr>
            </w:pPr>
            <w:r w:rsidRPr="00475981">
              <w:rPr>
                <w:b/>
              </w:rPr>
              <w:t>Credit rating grade</w:t>
            </w:r>
          </w:p>
        </w:tc>
        <w:tc>
          <w:tcPr>
            <w:tcW w:w="2075" w:type="dxa"/>
          </w:tcPr>
          <w:p w14:paraId="2B5EDC47" w14:textId="1FF2CC55" w:rsidR="00475981" w:rsidRPr="00475981" w:rsidRDefault="00FB526F" w:rsidP="00C65A4F">
            <w:pPr>
              <w:spacing w:before="60" w:after="60"/>
              <w:jc w:val="center"/>
              <w:rPr>
                <w:b/>
              </w:rPr>
            </w:pPr>
            <w:r>
              <w:rPr>
                <w:b/>
              </w:rPr>
              <w:t>S&amp;P Global</w:t>
            </w:r>
            <w:r w:rsidR="000E7B21">
              <w:rPr>
                <w:b/>
              </w:rPr>
              <w:t xml:space="preserve"> Ratings</w:t>
            </w:r>
          </w:p>
        </w:tc>
        <w:tc>
          <w:tcPr>
            <w:tcW w:w="2076" w:type="dxa"/>
          </w:tcPr>
          <w:p w14:paraId="713557DF" w14:textId="46E7C54B" w:rsidR="00475981" w:rsidRPr="00475981" w:rsidRDefault="00475981" w:rsidP="00C65A4F">
            <w:pPr>
              <w:spacing w:before="60" w:after="60"/>
              <w:jc w:val="center"/>
              <w:rPr>
                <w:b/>
              </w:rPr>
            </w:pPr>
            <w:r w:rsidRPr="00475981">
              <w:rPr>
                <w:b/>
              </w:rPr>
              <w:t>Moody’s</w:t>
            </w:r>
          </w:p>
        </w:tc>
        <w:tc>
          <w:tcPr>
            <w:tcW w:w="2076" w:type="dxa"/>
          </w:tcPr>
          <w:p w14:paraId="2678FC2D" w14:textId="062D9D67" w:rsidR="00475981" w:rsidRPr="00475981" w:rsidRDefault="00475981" w:rsidP="00C65A4F">
            <w:pPr>
              <w:spacing w:before="60" w:after="60"/>
              <w:jc w:val="center"/>
              <w:rPr>
                <w:b/>
              </w:rPr>
            </w:pPr>
            <w:r w:rsidRPr="00475981">
              <w:rPr>
                <w:b/>
              </w:rPr>
              <w:t>Fitch Ratings</w:t>
            </w:r>
          </w:p>
        </w:tc>
      </w:tr>
      <w:tr w:rsidR="00475981" w14:paraId="2CCE01D4" w14:textId="77777777" w:rsidTr="00475981">
        <w:tc>
          <w:tcPr>
            <w:tcW w:w="2075" w:type="dxa"/>
          </w:tcPr>
          <w:p w14:paraId="61A17B94" w14:textId="1EFC338A" w:rsidR="00475981" w:rsidRDefault="00475981" w:rsidP="00C65A4F">
            <w:pPr>
              <w:spacing w:before="60" w:after="60"/>
              <w:jc w:val="center"/>
            </w:pPr>
            <w:r>
              <w:t>1</w:t>
            </w:r>
          </w:p>
        </w:tc>
        <w:tc>
          <w:tcPr>
            <w:tcW w:w="2075" w:type="dxa"/>
          </w:tcPr>
          <w:p w14:paraId="6F7C69CA" w14:textId="77777777" w:rsidR="00475981" w:rsidRDefault="00475981" w:rsidP="00C65A4F">
            <w:pPr>
              <w:spacing w:before="60" w:after="60"/>
              <w:jc w:val="center"/>
            </w:pPr>
            <w:r>
              <w:t>AAA</w:t>
            </w:r>
          </w:p>
          <w:p w14:paraId="12F351F0" w14:textId="77777777" w:rsidR="00475981" w:rsidRDefault="00475981" w:rsidP="00C65A4F">
            <w:pPr>
              <w:spacing w:before="60" w:after="60"/>
              <w:jc w:val="center"/>
            </w:pPr>
            <w:r>
              <w:t>AA+</w:t>
            </w:r>
          </w:p>
          <w:p w14:paraId="1B9B18DD" w14:textId="77777777" w:rsidR="00475981" w:rsidRDefault="00475981" w:rsidP="00C65A4F">
            <w:pPr>
              <w:spacing w:before="60" w:after="60"/>
              <w:jc w:val="center"/>
            </w:pPr>
            <w:r>
              <w:t>AA</w:t>
            </w:r>
          </w:p>
          <w:p w14:paraId="0B0EC166" w14:textId="2815A45D" w:rsidR="00475981" w:rsidRDefault="00475981" w:rsidP="00C65A4F">
            <w:pPr>
              <w:spacing w:before="60" w:after="60"/>
              <w:jc w:val="center"/>
            </w:pPr>
            <w:r>
              <w:t>AA-</w:t>
            </w:r>
          </w:p>
        </w:tc>
        <w:tc>
          <w:tcPr>
            <w:tcW w:w="2076" w:type="dxa"/>
          </w:tcPr>
          <w:p w14:paraId="30CFCD29" w14:textId="77777777" w:rsidR="00475981" w:rsidRDefault="00475981" w:rsidP="00C65A4F">
            <w:pPr>
              <w:spacing w:before="60" w:after="60"/>
              <w:jc w:val="center"/>
            </w:pPr>
            <w:proofErr w:type="spellStart"/>
            <w:r>
              <w:t>Aaa</w:t>
            </w:r>
            <w:proofErr w:type="spellEnd"/>
          </w:p>
          <w:p w14:paraId="2EFE7137" w14:textId="77777777" w:rsidR="00475981" w:rsidRDefault="00475981" w:rsidP="00C65A4F">
            <w:pPr>
              <w:spacing w:before="60" w:after="60"/>
              <w:jc w:val="center"/>
            </w:pPr>
            <w:r>
              <w:t>Aa1</w:t>
            </w:r>
          </w:p>
          <w:p w14:paraId="724A2438" w14:textId="77777777" w:rsidR="00475981" w:rsidRDefault="00475981" w:rsidP="00C65A4F">
            <w:pPr>
              <w:spacing w:before="60" w:after="60"/>
              <w:jc w:val="center"/>
            </w:pPr>
            <w:r>
              <w:t>Aa2</w:t>
            </w:r>
          </w:p>
          <w:p w14:paraId="501E175B" w14:textId="215C5EFF" w:rsidR="00475981" w:rsidRDefault="00475981" w:rsidP="00C65A4F">
            <w:pPr>
              <w:spacing w:before="60" w:after="60"/>
              <w:jc w:val="center"/>
            </w:pPr>
            <w:r>
              <w:t>Aa3</w:t>
            </w:r>
          </w:p>
        </w:tc>
        <w:tc>
          <w:tcPr>
            <w:tcW w:w="2076" w:type="dxa"/>
          </w:tcPr>
          <w:p w14:paraId="30BBEC21" w14:textId="77777777" w:rsidR="00475981" w:rsidRDefault="00475981" w:rsidP="00C65A4F">
            <w:pPr>
              <w:spacing w:before="60" w:after="60"/>
              <w:jc w:val="center"/>
            </w:pPr>
            <w:r>
              <w:t>AAA</w:t>
            </w:r>
          </w:p>
          <w:p w14:paraId="345E6E94" w14:textId="77777777" w:rsidR="00475981" w:rsidRDefault="00475981" w:rsidP="00C65A4F">
            <w:pPr>
              <w:spacing w:before="60" w:after="60"/>
              <w:jc w:val="center"/>
            </w:pPr>
            <w:r>
              <w:t>AA+</w:t>
            </w:r>
          </w:p>
          <w:p w14:paraId="25C4ED46" w14:textId="77777777" w:rsidR="00475981" w:rsidRDefault="00475981" w:rsidP="00C65A4F">
            <w:pPr>
              <w:spacing w:before="60" w:after="60"/>
              <w:jc w:val="center"/>
            </w:pPr>
            <w:r>
              <w:t>AA</w:t>
            </w:r>
          </w:p>
          <w:p w14:paraId="2D72EBD4" w14:textId="0ECF512D" w:rsidR="00475981" w:rsidRDefault="00475981" w:rsidP="00C65A4F">
            <w:pPr>
              <w:spacing w:before="60" w:after="60"/>
              <w:jc w:val="center"/>
            </w:pPr>
            <w:r>
              <w:t>AA-</w:t>
            </w:r>
          </w:p>
        </w:tc>
      </w:tr>
      <w:tr w:rsidR="00475981" w14:paraId="1E0F7A93" w14:textId="77777777" w:rsidTr="00475981">
        <w:tc>
          <w:tcPr>
            <w:tcW w:w="2075" w:type="dxa"/>
          </w:tcPr>
          <w:p w14:paraId="7628E560" w14:textId="4C51F4AC" w:rsidR="00475981" w:rsidRDefault="00475981" w:rsidP="00C65A4F">
            <w:pPr>
              <w:spacing w:before="60" w:after="60"/>
              <w:jc w:val="center"/>
            </w:pPr>
            <w:r>
              <w:t>2</w:t>
            </w:r>
          </w:p>
        </w:tc>
        <w:tc>
          <w:tcPr>
            <w:tcW w:w="2075" w:type="dxa"/>
          </w:tcPr>
          <w:p w14:paraId="0779E322" w14:textId="77777777" w:rsidR="00475981" w:rsidRDefault="00475981" w:rsidP="00C65A4F">
            <w:pPr>
              <w:spacing w:before="60" w:after="60"/>
              <w:jc w:val="center"/>
            </w:pPr>
            <w:r>
              <w:t>A+</w:t>
            </w:r>
          </w:p>
          <w:p w14:paraId="6A0B4EF7" w14:textId="77777777" w:rsidR="00475981" w:rsidRDefault="00475981" w:rsidP="00C65A4F">
            <w:pPr>
              <w:spacing w:before="60" w:after="60"/>
              <w:jc w:val="center"/>
            </w:pPr>
            <w:r>
              <w:t>A</w:t>
            </w:r>
          </w:p>
          <w:p w14:paraId="19F47908" w14:textId="4EE13BBC" w:rsidR="00475981" w:rsidRDefault="00475981" w:rsidP="00C65A4F">
            <w:pPr>
              <w:spacing w:before="60" w:after="60"/>
              <w:jc w:val="center"/>
            </w:pPr>
            <w:r>
              <w:t>A-</w:t>
            </w:r>
          </w:p>
        </w:tc>
        <w:tc>
          <w:tcPr>
            <w:tcW w:w="2076" w:type="dxa"/>
          </w:tcPr>
          <w:p w14:paraId="231B4F57" w14:textId="77777777" w:rsidR="00475981" w:rsidRDefault="00475981" w:rsidP="00C65A4F">
            <w:pPr>
              <w:spacing w:before="60" w:after="60"/>
              <w:jc w:val="center"/>
            </w:pPr>
            <w:r>
              <w:t>A1</w:t>
            </w:r>
          </w:p>
          <w:p w14:paraId="69BF716D" w14:textId="77777777" w:rsidR="00475981" w:rsidRDefault="00475981" w:rsidP="00C65A4F">
            <w:pPr>
              <w:spacing w:before="60" w:after="60"/>
              <w:jc w:val="center"/>
            </w:pPr>
            <w:r>
              <w:t>A2</w:t>
            </w:r>
          </w:p>
          <w:p w14:paraId="52D3E3C6" w14:textId="706F64F8" w:rsidR="00475981" w:rsidRDefault="00475981" w:rsidP="00C65A4F">
            <w:pPr>
              <w:spacing w:before="60" w:after="60"/>
              <w:jc w:val="center"/>
            </w:pPr>
            <w:r>
              <w:t>A3</w:t>
            </w:r>
          </w:p>
        </w:tc>
        <w:tc>
          <w:tcPr>
            <w:tcW w:w="2076" w:type="dxa"/>
          </w:tcPr>
          <w:p w14:paraId="56B8B84A" w14:textId="77777777" w:rsidR="00475981" w:rsidRDefault="00475981" w:rsidP="00C65A4F">
            <w:pPr>
              <w:spacing w:before="60" w:after="60"/>
              <w:jc w:val="center"/>
            </w:pPr>
            <w:r>
              <w:t>A+</w:t>
            </w:r>
          </w:p>
          <w:p w14:paraId="0782C880" w14:textId="77777777" w:rsidR="00475981" w:rsidRDefault="00475981" w:rsidP="00C65A4F">
            <w:pPr>
              <w:spacing w:before="60" w:after="60"/>
              <w:jc w:val="center"/>
            </w:pPr>
            <w:r>
              <w:t>A</w:t>
            </w:r>
          </w:p>
          <w:p w14:paraId="25D601CA" w14:textId="3F529344" w:rsidR="00475981" w:rsidRDefault="00475981" w:rsidP="00C65A4F">
            <w:pPr>
              <w:spacing w:before="60" w:after="60"/>
              <w:jc w:val="center"/>
            </w:pPr>
            <w:r>
              <w:t>A-</w:t>
            </w:r>
          </w:p>
        </w:tc>
      </w:tr>
      <w:tr w:rsidR="00475981" w14:paraId="3FE011D5" w14:textId="77777777" w:rsidTr="00475981">
        <w:tc>
          <w:tcPr>
            <w:tcW w:w="2075" w:type="dxa"/>
          </w:tcPr>
          <w:p w14:paraId="52DE2B39" w14:textId="7F244585" w:rsidR="00475981" w:rsidRDefault="00475981" w:rsidP="00C65A4F">
            <w:pPr>
              <w:spacing w:before="60" w:after="60"/>
              <w:jc w:val="center"/>
            </w:pPr>
            <w:r>
              <w:t>3</w:t>
            </w:r>
          </w:p>
        </w:tc>
        <w:tc>
          <w:tcPr>
            <w:tcW w:w="2075" w:type="dxa"/>
          </w:tcPr>
          <w:p w14:paraId="675912DB" w14:textId="77777777" w:rsidR="00475981" w:rsidRDefault="00475981" w:rsidP="00C65A4F">
            <w:pPr>
              <w:spacing w:before="60" w:after="60"/>
              <w:jc w:val="center"/>
            </w:pPr>
            <w:r>
              <w:t>BBB+</w:t>
            </w:r>
          </w:p>
          <w:p w14:paraId="5F3545A8" w14:textId="77777777" w:rsidR="00475981" w:rsidRDefault="00475981" w:rsidP="00C65A4F">
            <w:pPr>
              <w:spacing w:before="60" w:after="60"/>
              <w:jc w:val="center"/>
            </w:pPr>
            <w:r>
              <w:t>BBB</w:t>
            </w:r>
          </w:p>
          <w:p w14:paraId="302D1109" w14:textId="19BE36AB" w:rsidR="00475981" w:rsidRDefault="00475981" w:rsidP="00C65A4F">
            <w:pPr>
              <w:spacing w:before="60" w:after="60"/>
              <w:jc w:val="center"/>
            </w:pPr>
            <w:r>
              <w:t>BBB-</w:t>
            </w:r>
          </w:p>
        </w:tc>
        <w:tc>
          <w:tcPr>
            <w:tcW w:w="2076" w:type="dxa"/>
          </w:tcPr>
          <w:p w14:paraId="69DF15C7" w14:textId="77777777" w:rsidR="00475981" w:rsidRDefault="00475981" w:rsidP="00C65A4F">
            <w:pPr>
              <w:spacing w:before="60" w:after="60"/>
              <w:jc w:val="center"/>
            </w:pPr>
            <w:r>
              <w:t>Baa1</w:t>
            </w:r>
          </w:p>
          <w:p w14:paraId="2E53743F" w14:textId="77777777" w:rsidR="00475981" w:rsidRDefault="00475981" w:rsidP="00C65A4F">
            <w:pPr>
              <w:spacing w:before="60" w:after="60"/>
              <w:jc w:val="center"/>
            </w:pPr>
            <w:r>
              <w:t>Baa2</w:t>
            </w:r>
          </w:p>
          <w:p w14:paraId="4BF34C41" w14:textId="529F5F84" w:rsidR="00475981" w:rsidRDefault="00475981" w:rsidP="00C65A4F">
            <w:pPr>
              <w:spacing w:before="60" w:after="60"/>
              <w:jc w:val="center"/>
            </w:pPr>
            <w:r>
              <w:t>Baa3</w:t>
            </w:r>
          </w:p>
        </w:tc>
        <w:tc>
          <w:tcPr>
            <w:tcW w:w="2076" w:type="dxa"/>
          </w:tcPr>
          <w:p w14:paraId="3882CDEA" w14:textId="77777777" w:rsidR="00475981" w:rsidRDefault="00475981" w:rsidP="00C65A4F">
            <w:pPr>
              <w:spacing w:before="60" w:after="60"/>
              <w:jc w:val="center"/>
            </w:pPr>
            <w:r>
              <w:t>BBB+</w:t>
            </w:r>
          </w:p>
          <w:p w14:paraId="0D225EAE" w14:textId="77777777" w:rsidR="00475981" w:rsidRDefault="00475981" w:rsidP="00C65A4F">
            <w:pPr>
              <w:spacing w:before="60" w:after="60"/>
              <w:jc w:val="center"/>
            </w:pPr>
            <w:r>
              <w:t>BBB</w:t>
            </w:r>
          </w:p>
          <w:p w14:paraId="4FC1261D" w14:textId="7A96F66D" w:rsidR="00475981" w:rsidRDefault="00475981" w:rsidP="00C65A4F">
            <w:pPr>
              <w:spacing w:before="60" w:after="60"/>
              <w:jc w:val="center"/>
            </w:pPr>
            <w:r>
              <w:t>BBB-</w:t>
            </w:r>
          </w:p>
        </w:tc>
      </w:tr>
      <w:tr w:rsidR="00475981" w14:paraId="0655B316" w14:textId="77777777" w:rsidTr="00475981">
        <w:tc>
          <w:tcPr>
            <w:tcW w:w="2075" w:type="dxa"/>
          </w:tcPr>
          <w:p w14:paraId="1218F66B" w14:textId="2D8BF3C2" w:rsidR="00475981" w:rsidRDefault="00475981" w:rsidP="00C65A4F">
            <w:pPr>
              <w:spacing w:before="60" w:after="60"/>
              <w:jc w:val="center"/>
            </w:pPr>
            <w:r>
              <w:t>4</w:t>
            </w:r>
          </w:p>
        </w:tc>
        <w:tc>
          <w:tcPr>
            <w:tcW w:w="2075" w:type="dxa"/>
          </w:tcPr>
          <w:p w14:paraId="7991C16F" w14:textId="77777777" w:rsidR="00475981" w:rsidRDefault="00475981" w:rsidP="00C65A4F">
            <w:pPr>
              <w:spacing w:before="60" w:after="60"/>
              <w:jc w:val="center"/>
            </w:pPr>
            <w:r>
              <w:t>BB+</w:t>
            </w:r>
          </w:p>
          <w:p w14:paraId="67B6A90C" w14:textId="77777777" w:rsidR="00475981" w:rsidRDefault="00475981" w:rsidP="00C65A4F">
            <w:pPr>
              <w:spacing w:before="60" w:after="60"/>
              <w:jc w:val="center"/>
            </w:pPr>
            <w:r>
              <w:lastRenderedPageBreak/>
              <w:t>BB</w:t>
            </w:r>
          </w:p>
          <w:p w14:paraId="62B218C6" w14:textId="65801696" w:rsidR="00475981" w:rsidRDefault="00475981" w:rsidP="00C65A4F">
            <w:pPr>
              <w:spacing w:before="60" w:after="60"/>
              <w:jc w:val="center"/>
            </w:pPr>
            <w:r>
              <w:t>BB-</w:t>
            </w:r>
          </w:p>
        </w:tc>
        <w:tc>
          <w:tcPr>
            <w:tcW w:w="2076" w:type="dxa"/>
          </w:tcPr>
          <w:p w14:paraId="44DD3CD0" w14:textId="77777777" w:rsidR="00475981" w:rsidRDefault="00475981" w:rsidP="00C65A4F">
            <w:pPr>
              <w:spacing w:before="60" w:after="60"/>
              <w:jc w:val="center"/>
            </w:pPr>
            <w:r>
              <w:lastRenderedPageBreak/>
              <w:t>Ba1</w:t>
            </w:r>
          </w:p>
          <w:p w14:paraId="7672D632" w14:textId="77777777" w:rsidR="00475981" w:rsidRDefault="00475981" w:rsidP="00C65A4F">
            <w:pPr>
              <w:spacing w:before="60" w:after="60"/>
              <w:jc w:val="center"/>
            </w:pPr>
            <w:r>
              <w:lastRenderedPageBreak/>
              <w:t>Ba2</w:t>
            </w:r>
          </w:p>
          <w:p w14:paraId="656D3CB8" w14:textId="2E9025D0" w:rsidR="00475981" w:rsidRDefault="00475981" w:rsidP="00C65A4F">
            <w:pPr>
              <w:spacing w:before="60" w:after="60"/>
              <w:jc w:val="center"/>
            </w:pPr>
            <w:r>
              <w:t>Ba3</w:t>
            </w:r>
          </w:p>
        </w:tc>
        <w:tc>
          <w:tcPr>
            <w:tcW w:w="2076" w:type="dxa"/>
          </w:tcPr>
          <w:p w14:paraId="56478F7A" w14:textId="77777777" w:rsidR="00475981" w:rsidRDefault="00475981" w:rsidP="00C65A4F">
            <w:pPr>
              <w:spacing w:before="60" w:after="60"/>
              <w:jc w:val="center"/>
            </w:pPr>
            <w:r>
              <w:lastRenderedPageBreak/>
              <w:t>BB+</w:t>
            </w:r>
          </w:p>
          <w:p w14:paraId="12580EB8" w14:textId="77777777" w:rsidR="00475981" w:rsidRDefault="00475981" w:rsidP="00C65A4F">
            <w:pPr>
              <w:spacing w:before="60" w:after="60"/>
              <w:jc w:val="center"/>
            </w:pPr>
            <w:r>
              <w:lastRenderedPageBreak/>
              <w:t>BB</w:t>
            </w:r>
          </w:p>
          <w:p w14:paraId="2ABF420D" w14:textId="573962B0" w:rsidR="00475981" w:rsidRDefault="00475981" w:rsidP="00C65A4F">
            <w:pPr>
              <w:spacing w:before="60" w:after="60"/>
              <w:jc w:val="center"/>
            </w:pPr>
            <w:r>
              <w:t>BB-</w:t>
            </w:r>
          </w:p>
        </w:tc>
      </w:tr>
      <w:tr w:rsidR="00475981" w14:paraId="369A94A5" w14:textId="77777777" w:rsidTr="00475981">
        <w:tc>
          <w:tcPr>
            <w:tcW w:w="2075" w:type="dxa"/>
          </w:tcPr>
          <w:p w14:paraId="20C3F59C" w14:textId="6D131771" w:rsidR="00475981" w:rsidRDefault="00475981" w:rsidP="00C65A4F">
            <w:pPr>
              <w:spacing w:before="60" w:after="60"/>
              <w:jc w:val="center"/>
            </w:pPr>
            <w:r>
              <w:lastRenderedPageBreak/>
              <w:t>5</w:t>
            </w:r>
          </w:p>
        </w:tc>
        <w:tc>
          <w:tcPr>
            <w:tcW w:w="2075" w:type="dxa"/>
          </w:tcPr>
          <w:p w14:paraId="63D40E54" w14:textId="77777777" w:rsidR="00475981" w:rsidRDefault="00475981" w:rsidP="00C65A4F">
            <w:pPr>
              <w:spacing w:before="60" w:after="60"/>
              <w:jc w:val="center"/>
            </w:pPr>
            <w:r>
              <w:t>B+</w:t>
            </w:r>
          </w:p>
          <w:p w14:paraId="59368A1A" w14:textId="77777777" w:rsidR="00475981" w:rsidRDefault="00475981" w:rsidP="00C65A4F">
            <w:pPr>
              <w:spacing w:before="60" w:after="60"/>
              <w:jc w:val="center"/>
            </w:pPr>
            <w:r>
              <w:t>B</w:t>
            </w:r>
          </w:p>
          <w:p w14:paraId="18B2385E" w14:textId="1C5CDC44" w:rsidR="00475981" w:rsidRDefault="00475981" w:rsidP="00C65A4F">
            <w:pPr>
              <w:spacing w:before="60" w:after="60"/>
              <w:jc w:val="center"/>
            </w:pPr>
            <w:r>
              <w:t>B-</w:t>
            </w:r>
          </w:p>
        </w:tc>
        <w:tc>
          <w:tcPr>
            <w:tcW w:w="2076" w:type="dxa"/>
          </w:tcPr>
          <w:p w14:paraId="1B53B4FF" w14:textId="77777777" w:rsidR="00475981" w:rsidRDefault="00475981" w:rsidP="00C65A4F">
            <w:pPr>
              <w:spacing w:before="60" w:after="60"/>
              <w:jc w:val="center"/>
            </w:pPr>
            <w:r>
              <w:t>B1</w:t>
            </w:r>
          </w:p>
          <w:p w14:paraId="75535AB3" w14:textId="77777777" w:rsidR="00475981" w:rsidRDefault="00475981" w:rsidP="00C65A4F">
            <w:pPr>
              <w:spacing w:before="60" w:after="60"/>
              <w:jc w:val="center"/>
            </w:pPr>
            <w:r>
              <w:t>B2</w:t>
            </w:r>
          </w:p>
          <w:p w14:paraId="082927B2" w14:textId="19CB6A7C" w:rsidR="00475981" w:rsidRDefault="00475981" w:rsidP="00C65A4F">
            <w:pPr>
              <w:spacing w:before="60" w:after="60"/>
              <w:jc w:val="center"/>
            </w:pPr>
            <w:r>
              <w:t>B3</w:t>
            </w:r>
          </w:p>
        </w:tc>
        <w:tc>
          <w:tcPr>
            <w:tcW w:w="2076" w:type="dxa"/>
          </w:tcPr>
          <w:p w14:paraId="4B909883" w14:textId="77777777" w:rsidR="00475981" w:rsidRDefault="00475981" w:rsidP="00C65A4F">
            <w:pPr>
              <w:spacing w:before="60" w:after="60"/>
              <w:jc w:val="center"/>
            </w:pPr>
            <w:r>
              <w:t>B+</w:t>
            </w:r>
          </w:p>
          <w:p w14:paraId="0537A8A5" w14:textId="77777777" w:rsidR="00475981" w:rsidRDefault="00475981" w:rsidP="00C65A4F">
            <w:pPr>
              <w:spacing w:before="60" w:after="60"/>
              <w:jc w:val="center"/>
            </w:pPr>
            <w:r>
              <w:t>B</w:t>
            </w:r>
          </w:p>
          <w:p w14:paraId="2DE49E53" w14:textId="434D6741" w:rsidR="00475981" w:rsidRDefault="00475981" w:rsidP="00C65A4F">
            <w:pPr>
              <w:spacing w:before="60" w:after="60"/>
              <w:jc w:val="center"/>
            </w:pPr>
            <w:r>
              <w:t>B-</w:t>
            </w:r>
          </w:p>
        </w:tc>
      </w:tr>
      <w:tr w:rsidR="00475981" w14:paraId="66A8E62C" w14:textId="77777777" w:rsidTr="00475981">
        <w:tc>
          <w:tcPr>
            <w:tcW w:w="2075" w:type="dxa"/>
          </w:tcPr>
          <w:p w14:paraId="63454426" w14:textId="10772C36" w:rsidR="00475981" w:rsidRDefault="00475981" w:rsidP="00C65A4F">
            <w:pPr>
              <w:spacing w:before="60" w:after="60"/>
              <w:jc w:val="center"/>
            </w:pPr>
            <w:r>
              <w:t>6</w:t>
            </w:r>
          </w:p>
        </w:tc>
        <w:tc>
          <w:tcPr>
            <w:tcW w:w="2075" w:type="dxa"/>
          </w:tcPr>
          <w:p w14:paraId="0C8B149B" w14:textId="77777777" w:rsidR="007F29E3" w:rsidRDefault="007F29E3" w:rsidP="00C65A4F">
            <w:pPr>
              <w:spacing w:before="60" w:after="60"/>
              <w:jc w:val="center"/>
            </w:pPr>
            <w:r>
              <w:t>CCC+</w:t>
            </w:r>
          </w:p>
          <w:p w14:paraId="4EA23887" w14:textId="77777777" w:rsidR="007F29E3" w:rsidRDefault="007F29E3" w:rsidP="00C65A4F">
            <w:pPr>
              <w:spacing w:before="60" w:after="60"/>
              <w:jc w:val="center"/>
            </w:pPr>
            <w:r>
              <w:t>CCC</w:t>
            </w:r>
          </w:p>
          <w:p w14:paraId="405F720D" w14:textId="77777777" w:rsidR="007F29E3" w:rsidRDefault="007F29E3" w:rsidP="00C65A4F">
            <w:pPr>
              <w:spacing w:before="60" w:after="60"/>
              <w:jc w:val="center"/>
            </w:pPr>
            <w:r>
              <w:t>CCC-</w:t>
            </w:r>
          </w:p>
          <w:p w14:paraId="28A742DA" w14:textId="77777777" w:rsidR="007F29E3" w:rsidRDefault="007F29E3" w:rsidP="00C65A4F">
            <w:pPr>
              <w:spacing w:before="60" w:after="60"/>
              <w:jc w:val="center"/>
            </w:pPr>
            <w:r>
              <w:t>CC</w:t>
            </w:r>
          </w:p>
          <w:p w14:paraId="33BC6EC7" w14:textId="77777777" w:rsidR="007F29E3" w:rsidRDefault="007F29E3" w:rsidP="00C65A4F">
            <w:pPr>
              <w:spacing w:before="60" w:after="60"/>
              <w:jc w:val="center"/>
            </w:pPr>
            <w:r>
              <w:t>C</w:t>
            </w:r>
          </w:p>
          <w:p w14:paraId="73544735" w14:textId="5EF28A01" w:rsidR="00475981" w:rsidRDefault="007F29E3" w:rsidP="00C65A4F">
            <w:pPr>
              <w:spacing w:before="60" w:after="60"/>
              <w:jc w:val="center"/>
            </w:pPr>
            <w:r>
              <w:t>D</w:t>
            </w:r>
          </w:p>
        </w:tc>
        <w:tc>
          <w:tcPr>
            <w:tcW w:w="2076" w:type="dxa"/>
          </w:tcPr>
          <w:p w14:paraId="48520822" w14:textId="77777777" w:rsidR="007F29E3" w:rsidRDefault="007F29E3" w:rsidP="00C65A4F">
            <w:pPr>
              <w:spacing w:before="60" w:after="60"/>
              <w:jc w:val="center"/>
            </w:pPr>
            <w:r>
              <w:t>Caa1</w:t>
            </w:r>
          </w:p>
          <w:p w14:paraId="0E0EDFF7" w14:textId="77777777" w:rsidR="007F29E3" w:rsidRDefault="007F29E3" w:rsidP="00C65A4F">
            <w:pPr>
              <w:spacing w:before="60" w:after="60"/>
              <w:jc w:val="center"/>
            </w:pPr>
            <w:r>
              <w:t>Caa2</w:t>
            </w:r>
          </w:p>
          <w:p w14:paraId="6BB2B183" w14:textId="77777777" w:rsidR="007F29E3" w:rsidRDefault="007F29E3" w:rsidP="00C65A4F">
            <w:pPr>
              <w:spacing w:before="60" w:after="60"/>
              <w:jc w:val="center"/>
            </w:pPr>
            <w:r>
              <w:t>Caa3</w:t>
            </w:r>
          </w:p>
          <w:p w14:paraId="4150E3EE" w14:textId="77777777" w:rsidR="007F29E3" w:rsidRDefault="007F29E3" w:rsidP="00C65A4F">
            <w:pPr>
              <w:spacing w:before="60" w:after="60"/>
              <w:jc w:val="center"/>
            </w:pPr>
            <w:r>
              <w:t>Ca</w:t>
            </w:r>
          </w:p>
          <w:p w14:paraId="033CC18E" w14:textId="5744E652" w:rsidR="00475981" w:rsidRDefault="007F29E3" w:rsidP="00C65A4F">
            <w:pPr>
              <w:spacing w:before="60" w:after="60"/>
              <w:jc w:val="center"/>
            </w:pPr>
            <w:r>
              <w:t>C</w:t>
            </w:r>
          </w:p>
        </w:tc>
        <w:tc>
          <w:tcPr>
            <w:tcW w:w="2076" w:type="dxa"/>
          </w:tcPr>
          <w:p w14:paraId="2B37A53E" w14:textId="77777777" w:rsidR="007F29E3" w:rsidRDefault="007F29E3" w:rsidP="00C65A4F">
            <w:pPr>
              <w:spacing w:before="60" w:after="60"/>
              <w:jc w:val="center"/>
            </w:pPr>
            <w:r>
              <w:t>CCC+</w:t>
            </w:r>
          </w:p>
          <w:p w14:paraId="10CB0302" w14:textId="77777777" w:rsidR="007F29E3" w:rsidRDefault="007F29E3" w:rsidP="00C65A4F">
            <w:pPr>
              <w:spacing w:before="60" w:after="60"/>
              <w:jc w:val="center"/>
            </w:pPr>
            <w:r>
              <w:t>CCC</w:t>
            </w:r>
          </w:p>
          <w:p w14:paraId="573F2224" w14:textId="77777777" w:rsidR="007F29E3" w:rsidRDefault="007F29E3" w:rsidP="00C65A4F">
            <w:pPr>
              <w:spacing w:before="60" w:after="60"/>
              <w:jc w:val="center"/>
            </w:pPr>
            <w:r>
              <w:t>CCC-</w:t>
            </w:r>
          </w:p>
          <w:p w14:paraId="2C0DA4AF" w14:textId="77777777" w:rsidR="007F29E3" w:rsidRDefault="007F29E3" w:rsidP="00C65A4F">
            <w:pPr>
              <w:spacing w:before="60" w:after="60"/>
              <w:jc w:val="center"/>
            </w:pPr>
            <w:r>
              <w:t>CC</w:t>
            </w:r>
          </w:p>
          <w:p w14:paraId="22738CBE" w14:textId="77777777" w:rsidR="007F29E3" w:rsidRDefault="007F29E3" w:rsidP="00C65A4F">
            <w:pPr>
              <w:spacing w:before="60" w:after="60"/>
              <w:jc w:val="center"/>
            </w:pPr>
            <w:r>
              <w:t>C</w:t>
            </w:r>
          </w:p>
          <w:p w14:paraId="4CDA1D75" w14:textId="45EB0D38" w:rsidR="00475981" w:rsidRDefault="007F29E3" w:rsidP="00C65A4F">
            <w:pPr>
              <w:spacing w:before="60" w:after="60"/>
              <w:jc w:val="center"/>
            </w:pPr>
            <w:r>
              <w:t>D</w:t>
            </w:r>
          </w:p>
        </w:tc>
      </w:tr>
    </w:tbl>
    <w:p w14:paraId="2B64A82A" w14:textId="77777777" w:rsidR="00DB7822" w:rsidRDefault="00DB7822" w:rsidP="00DB7822"/>
    <w:p w14:paraId="0DB7B1E7" w14:textId="4A8C37B9" w:rsidR="00AF3736" w:rsidRPr="00475981" w:rsidRDefault="0099752B" w:rsidP="0099752B">
      <w:pPr>
        <w:pStyle w:val="TableHeadNumber"/>
      </w:pPr>
      <w:bookmarkStart w:id="157" w:name="_Ref3972843"/>
      <w:r>
        <w:t>R</w:t>
      </w:r>
      <w:r w:rsidR="00AF3736" w:rsidRPr="005253A1">
        <w:t>ecognised short-term ratings and equivalent credit rating grades</w:t>
      </w:r>
      <w:bookmarkEnd w:id="157"/>
    </w:p>
    <w:tbl>
      <w:tblPr>
        <w:tblStyle w:val="TableGrid"/>
        <w:tblW w:w="0" w:type="auto"/>
        <w:tblLook w:val="04A0" w:firstRow="1" w:lastRow="0" w:firstColumn="1" w:lastColumn="0" w:noHBand="0" w:noVBand="1"/>
      </w:tblPr>
      <w:tblGrid>
        <w:gridCol w:w="2075"/>
        <w:gridCol w:w="2075"/>
        <w:gridCol w:w="2076"/>
        <w:gridCol w:w="2076"/>
      </w:tblGrid>
      <w:tr w:rsidR="00AF3736" w14:paraId="4DBE1F2C" w14:textId="77777777" w:rsidTr="004D1CE1">
        <w:tc>
          <w:tcPr>
            <w:tcW w:w="2075" w:type="dxa"/>
          </w:tcPr>
          <w:p w14:paraId="5B3097E0" w14:textId="77777777" w:rsidR="00AF3736" w:rsidRPr="00475981" w:rsidRDefault="00AF3736" w:rsidP="00C65A4F">
            <w:pPr>
              <w:spacing w:before="60" w:after="60"/>
              <w:rPr>
                <w:b/>
              </w:rPr>
            </w:pPr>
            <w:r w:rsidRPr="00475981">
              <w:rPr>
                <w:b/>
              </w:rPr>
              <w:t>Credit rating grade</w:t>
            </w:r>
          </w:p>
        </w:tc>
        <w:tc>
          <w:tcPr>
            <w:tcW w:w="2075" w:type="dxa"/>
          </w:tcPr>
          <w:p w14:paraId="723F5C9D" w14:textId="4EF36BC8" w:rsidR="00AF3736" w:rsidRPr="00475981" w:rsidRDefault="00FB526F" w:rsidP="00C65A4F">
            <w:pPr>
              <w:spacing w:before="60" w:after="60"/>
              <w:jc w:val="center"/>
              <w:rPr>
                <w:b/>
              </w:rPr>
            </w:pPr>
            <w:r>
              <w:rPr>
                <w:b/>
              </w:rPr>
              <w:t>S&amp;P Global</w:t>
            </w:r>
            <w:r w:rsidR="000E7B21">
              <w:rPr>
                <w:b/>
              </w:rPr>
              <w:t xml:space="preserve"> Ratings</w:t>
            </w:r>
          </w:p>
        </w:tc>
        <w:tc>
          <w:tcPr>
            <w:tcW w:w="2076" w:type="dxa"/>
          </w:tcPr>
          <w:p w14:paraId="03D0F6FD" w14:textId="77777777" w:rsidR="00AF3736" w:rsidRPr="00475981" w:rsidRDefault="00AF3736" w:rsidP="00C65A4F">
            <w:pPr>
              <w:spacing w:before="60" w:after="60"/>
              <w:jc w:val="center"/>
              <w:rPr>
                <w:b/>
              </w:rPr>
            </w:pPr>
            <w:r w:rsidRPr="00475981">
              <w:rPr>
                <w:b/>
              </w:rPr>
              <w:t>Moody’s</w:t>
            </w:r>
          </w:p>
        </w:tc>
        <w:tc>
          <w:tcPr>
            <w:tcW w:w="2076" w:type="dxa"/>
          </w:tcPr>
          <w:p w14:paraId="029FF672" w14:textId="77777777" w:rsidR="00AF3736" w:rsidRPr="00475981" w:rsidRDefault="00AF3736" w:rsidP="00C65A4F">
            <w:pPr>
              <w:spacing w:before="60" w:after="60"/>
              <w:jc w:val="center"/>
              <w:rPr>
                <w:b/>
              </w:rPr>
            </w:pPr>
            <w:r w:rsidRPr="00475981">
              <w:rPr>
                <w:b/>
              </w:rPr>
              <w:t>Fitch Ratings</w:t>
            </w:r>
          </w:p>
        </w:tc>
      </w:tr>
      <w:tr w:rsidR="00AF3736" w14:paraId="7C679F77" w14:textId="77777777" w:rsidTr="004D1CE1">
        <w:tc>
          <w:tcPr>
            <w:tcW w:w="2075" w:type="dxa"/>
          </w:tcPr>
          <w:p w14:paraId="11BEB7D3" w14:textId="77777777" w:rsidR="00AF3736" w:rsidRDefault="00AF3736" w:rsidP="00C65A4F">
            <w:pPr>
              <w:spacing w:before="60" w:after="60"/>
              <w:jc w:val="center"/>
            </w:pPr>
            <w:r>
              <w:t>1</w:t>
            </w:r>
          </w:p>
        </w:tc>
        <w:tc>
          <w:tcPr>
            <w:tcW w:w="2075" w:type="dxa"/>
          </w:tcPr>
          <w:p w14:paraId="214CA8F9" w14:textId="18998A26" w:rsidR="00AF3736" w:rsidRDefault="00AF3736" w:rsidP="00C65A4F">
            <w:pPr>
              <w:spacing w:before="60" w:after="60"/>
              <w:jc w:val="center"/>
            </w:pPr>
            <w:r w:rsidRPr="00EE73EA">
              <w:t>A-1</w:t>
            </w:r>
          </w:p>
        </w:tc>
        <w:tc>
          <w:tcPr>
            <w:tcW w:w="2076" w:type="dxa"/>
          </w:tcPr>
          <w:p w14:paraId="3C37CC81" w14:textId="55558B67" w:rsidR="00AF3736" w:rsidRDefault="00AF3736" w:rsidP="00C65A4F">
            <w:pPr>
              <w:spacing w:before="60" w:after="60"/>
              <w:jc w:val="center"/>
            </w:pPr>
            <w:r w:rsidRPr="00EE73EA">
              <w:t>P-1</w:t>
            </w:r>
          </w:p>
        </w:tc>
        <w:tc>
          <w:tcPr>
            <w:tcW w:w="2076" w:type="dxa"/>
          </w:tcPr>
          <w:p w14:paraId="357C4B75" w14:textId="4DD1BFB7" w:rsidR="00AF3736" w:rsidRDefault="00AF3736" w:rsidP="00C65A4F">
            <w:pPr>
              <w:spacing w:before="60" w:after="60"/>
              <w:jc w:val="center"/>
            </w:pPr>
            <w:r w:rsidRPr="00EE73EA">
              <w:t>F-1</w:t>
            </w:r>
          </w:p>
        </w:tc>
      </w:tr>
      <w:tr w:rsidR="00AF3736" w14:paraId="02C7885C" w14:textId="77777777" w:rsidTr="004D1CE1">
        <w:tc>
          <w:tcPr>
            <w:tcW w:w="2075" w:type="dxa"/>
          </w:tcPr>
          <w:p w14:paraId="2E5DA1E0" w14:textId="77777777" w:rsidR="00AF3736" w:rsidRDefault="00AF3736" w:rsidP="00C65A4F">
            <w:pPr>
              <w:spacing w:before="60" w:after="60"/>
              <w:jc w:val="center"/>
            </w:pPr>
            <w:r>
              <w:t>2</w:t>
            </w:r>
          </w:p>
        </w:tc>
        <w:tc>
          <w:tcPr>
            <w:tcW w:w="2075" w:type="dxa"/>
          </w:tcPr>
          <w:p w14:paraId="426AD135" w14:textId="02B4AC65" w:rsidR="00AF3736" w:rsidRDefault="00AF3736" w:rsidP="00C65A4F">
            <w:pPr>
              <w:spacing w:before="60" w:after="60"/>
              <w:jc w:val="center"/>
            </w:pPr>
            <w:r w:rsidRPr="00EE73EA">
              <w:t>A-2</w:t>
            </w:r>
          </w:p>
        </w:tc>
        <w:tc>
          <w:tcPr>
            <w:tcW w:w="2076" w:type="dxa"/>
          </w:tcPr>
          <w:p w14:paraId="4118F174" w14:textId="68465B28" w:rsidR="00AF3736" w:rsidRDefault="00AF3736" w:rsidP="00C65A4F">
            <w:pPr>
              <w:spacing w:before="60" w:after="60"/>
              <w:jc w:val="center"/>
            </w:pPr>
            <w:r w:rsidRPr="00EE73EA">
              <w:t>P-2</w:t>
            </w:r>
          </w:p>
        </w:tc>
        <w:tc>
          <w:tcPr>
            <w:tcW w:w="2076" w:type="dxa"/>
          </w:tcPr>
          <w:p w14:paraId="39E434BA" w14:textId="6E23FDC6" w:rsidR="00AF3736" w:rsidRDefault="00AF3736" w:rsidP="00C65A4F">
            <w:pPr>
              <w:spacing w:before="60" w:after="60"/>
              <w:jc w:val="center"/>
            </w:pPr>
            <w:r w:rsidRPr="00EE73EA">
              <w:t>F-2</w:t>
            </w:r>
          </w:p>
        </w:tc>
      </w:tr>
      <w:tr w:rsidR="00AF3736" w14:paraId="0CA636A2" w14:textId="77777777" w:rsidTr="004D1CE1">
        <w:tc>
          <w:tcPr>
            <w:tcW w:w="2075" w:type="dxa"/>
          </w:tcPr>
          <w:p w14:paraId="4EE1F0B6" w14:textId="61F7ADA0" w:rsidR="00AF3736" w:rsidRDefault="00AF3736" w:rsidP="00C65A4F">
            <w:pPr>
              <w:spacing w:before="60" w:after="60"/>
              <w:jc w:val="center"/>
            </w:pPr>
            <w:r>
              <w:t>3</w:t>
            </w:r>
          </w:p>
        </w:tc>
        <w:tc>
          <w:tcPr>
            <w:tcW w:w="2075" w:type="dxa"/>
          </w:tcPr>
          <w:p w14:paraId="4CDC5128" w14:textId="75CB8984" w:rsidR="00AF3736" w:rsidRDefault="00AF3736" w:rsidP="00C65A4F">
            <w:pPr>
              <w:spacing w:before="60" w:after="60"/>
              <w:jc w:val="center"/>
            </w:pPr>
            <w:r w:rsidRPr="00EE73EA">
              <w:t>A-3</w:t>
            </w:r>
          </w:p>
        </w:tc>
        <w:tc>
          <w:tcPr>
            <w:tcW w:w="2076" w:type="dxa"/>
          </w:tcPr>
          <w:p w14:paraId="3B22399B" w14:textId="1C677F12" w:rsidR="00AF3736" w:rsidRDefault="00AF3736" w:rsidP="00C65A4F">
            <w:pPr>
              <w:spacing w:before="60" w:after="60"/>
              <w:jc w:val="center"/>
            </w:pPr>
            <w:r w:rsidRPr="00EE73EA">
              <w:t>P-3</w:t>
            </w:r>
          </w:p>
        </w:tc>
        <w:tc>
          <w:tcPr>
            <w:tcW w:w="2076" w:type="dxa"/>
          </w:tcPr>
          <w:p w14:paraId="2B08D37D" w14:textId="4982A197" w:rsidR="00AF3736" w:rsidRDefault="00AF3736" w:rsidP="00C65A4F">
            <w:pPr>
              <w:spacing w:before="60" w:after="60"/>
              <w:jc w:val="center"/>
            </w:pPr>
            <w:r w:rsidRPr="00EE73EA">
              <w:t>F-3</w:t>
            </w:r>
          </w:p>
        </w:tc>
      </w:tr>
      <w:tr w:rsidR="00AF3736" w14:paraId="146AD846" w14:textId="77777777" w:rsidTr="004D1CE1">
        <w:tc>
          <w:tcPr>
            <w:tcW w:w="2075" w:type="dxa"/>
          </w:tcPr>
          <w:p w14:paraId="250B2246" w14:textId="75CCB5CD" w:rsidR="00AF3736" w:rsidRDefault="00AF3736" w:rsidP="00C65A4F">
            <w:pPr>
              <w:spacing w:before="60" w:after="60"/>
              <w:jc w:val="center"/>
            </w:pPr>
            <w:r>
              <w:t>4</w:t>
            </w:r>
          </w:p>
        </w:tc>
        <w:tc>
          <w:tcPr>
            <w:tcW w:w="2075" w:type="dxa"/>
          </w:tcPr>
          <w:p w14:paraId="372E9EEA" w14:textId="49678224" w:rsidR="00AF3736" w:rsidRDefault="00AF3736" w:rsidP="00C65A4F">
            <w:pPr>
              <w:spacing w:before="60" w:after="60"/>
              <w:jc w:val="center"/>
            </w:pPr>
            <w:r>
              <w:t>Others</w:t>
            </w:r>
          </w:p>
        </w:tc>
        <w:tc>
          <w:tcPr>
            <w:tcW w:w="2076" w:type="dxa"/>
          </w:tcPr>
          <w:p w14:paraId="1293356D" w14:textId="22F884E8" w:rsidR="00AF3736" w:rsidRDefault="00AF3736" w:rsidP="00C65A4F">
            <w:pPr>
              <w:spacing w:before="60" w:after="60"/>
              <w:jc w:val="center"/>
            </w:pPr>
            <w:r>
              <w:t>Others</w:t>
            </w:r>
          </w:p>
        </w:tc>
        <w:tc>
          <w:tcPr>
            <w:tcW w:w="2076" w:type="dxa"/>
          </w:tcPr>
          <w:p w14:paraId="347555D7" w14:textId="330F8C5A" w:rsidR="00AF3736" w:rsidRDefault="00AF3736" w:rsidP="00C65A4F">
            <w:pPr>
              <w:spacing w:before="60" w:after="60"/>
              <w:jc w:val="center"/>
            </w:pPr>
            <w:r>
              <w:t>Others</w:t>
            </w:r>
          </w:p>
        </w:tc>
      </w:tr>
    </w:tbl>
    <w:p w14:paraId="343764D9" w14:textId="77777777" w:rsidR="00E56793" w:rsidRPr="00E56793" w:rsidRDefault="00E56793" w:rsidP="00E56793">
      <w:pPr>
        <w:pStyle w:val="BodyText1"/>
        <w:numPr>
          <w:ilvl w:val="0"/>
          <w:numId w:val="0"/>
        </w:numPr>
        <w:ind w:left="567" w:hanging="567"/>
      </w:pPr>
    </w:p>
    <w:p w14:paraId="4C2496DF" w14:textId="77777777" w:rsidR="00E56793" w:rsidRPr="008F685A" w:rsidRDefault="00E56793" w:rsidP="00E56793">
      <w:pPr>
        <w:sectPr w:rsidR="00E56793" w:rsidRPr="008F685A" w:rsidSect="000D63A8">
          <w:footerReference w:type="default" r:id="rId26"/>
          <w:pgSz w:w="11906" w:h="16838" w:code="9"/>
          <w:pgMar w:top="1440" w:right="1797" w:bottom="1440" w:left="1797" w:header="709" w:footer="709" w:gutter="0"/>
          <w:cols w:space="708"/>
          <w:docGrid w:linePitch="360"/>
        </w:sectPr>
      </w:pPr>
    </w:p>
    <w:p w14:paraId="32BCD223" w14:textId="4D96F11D" w:rsidR="00E56793" w:rsidRDefault="00E56793" w:rsidP="00E56793">
      <w:pPr>
        <w:pStyle w:val="Heading2"/>
      </w:pPr>
      <w:bookmarkStart w:id="158" w:name="_Toc87376646"/>
      <w:r>
        <w:lastRenderedPageBreak/>
        <w:t xml:space="preserve">Attachment </w:t>
      </w:r>
      <w:r>
        <w:rPr>
          <w:rStyle w:val="Attachmentfieldtext"/>
        </w:rPr>
        <w:t xml:space="preserve">G – </w:t>
      </w:r>
      <w:r w:rsidR="00040EA0">
        <w:t>Collateralised transaction</w:t>
      </w:r>
      <w:r w:rsidR="00370072">
        <w:t>s</w:t>
      </w:r>
      <w:bookmarkEnd w:id="158"/>
    </w:p>
    <w:p w14:paraId="2C8FC124" w14:textId="5ADF442B" w:rsidR="008151F0" w:rsidRDefault="00566D41" w:rsidP="00D35E4A">
      <w:pPr>
        <w:pStyle w:val="BodyText1"/>
        <w:numPr>
          <w:ilvl w:val="0"/>
          <w:numId w:val="36"/>
        </w:numPr>
      </w:pPr>
      <w:r>
        <w:t xml:space="preserve">This </w:t>
      </w:r>
      <w:r w:rsidR="00AC2C84">
        <w:t>A</w:t>
      </w:r>
      <w:r>
        <w:t>ttachment specifies</w:t>
      </w:r>
      <w:r w:rsidR="00632ACC">
        <w:t xml:space="preserve"> how</w:t>
      </w:r>
      <w:r w:rsidR="006B7C98">
        <w:t xml:space="preserve"> an</w:t>
      </w:r>
      <w:r w:rsidR="00632ACC">
        <w:t xml:space="preserve"> ADI</w:t>
      </w:r>
      <w:r w:rsidR="008151F0">
        <w:t>:</w:t>
      </w:r>
    </w:p>
    <w:p w14:paraId="6552973A" w14:textId="3A557D05" w:rsidR="00632ACC" w:rsidRDefault="00632ACC" w:rsidP="008151F0">
      <w:pPr>
        <w:pStyle w:val="BodyText2"/>
        <w:numPr>
          <w:ilvl w:val="1"/>
          <w:numId w:val="4"/>
        </w:numPr>
      </w:pPr>
      <w:r>
        <w:t xml:space="preserve">may apply credit risk mitigation to transactions secured by </w:t>
      </w:r>
      <w:r w:rsidR="00F34EDA">
        <w:t>received</w:t>
      </w:r>
      <w:r>
        <w:t xml:space="preserve"> collateral</w:t>
      </w:r>
      <w:r w:rsidR="006B7C98">
        <w:t xml:space="preserve">, to reduce its </w:t>
      </w:r>
      <w:r w:rsidR="00A94DE7">
        <w:t>exposure amount for the purpose of calculating</w:t>
      </w:r>
      <w:r w:rsidR="00406617">
        <w:t xml:space="preserve"> its</w:t>
      </w:r>
      <w:r w:rsidR="00A94DE7">
        <w:t xml:space="preserve"> </w:t>
      </w:r>
      <w:r w:rsidR="006B7C98">
        <w:t>Regulatory Capital</w:t>
      </w:r>
      <w:r w:rsidR="00406617">
        <w:t xml:space="preserve"> requirement</w:t>
      </w:r>
      <w:r>
        <w:t>; and</w:t>
      </w:r>
    </w:p>
    <w:p w14:paraId="753ADB7D" w14:textId="585A6446" w:rsidR="008151F0" w:rsidRDefault="00C441DD" w:rsidP="008151F0">
      <w:pPr>
        <w:pStyle w:val="BodyText2"/>
        <w:numPr>
          <w:ilvl w:val="1"/>
          <w:numId w:val="4"/>
        </w:numPr>
      </w:pPr>
      <w:r>
        <w:t>must</w:t>
      </w:r>
      <w:r w:rsidR="00566D41">
        <w:t xml:space="preserve"> determine</w:t>
      </w:r>
      <w:r w:rsidR="00632ACC">
        <w:t xml:space="preserve"> the EAD</w:t>
      </w:r>
      <w:r w:rsidR="00566D41">
        <w:t xml:space="preserve"> </w:t>
      </w:r>
      <w:r w:rsidR="008151F0">
        <w:t>for SFTs or, for ADIs that use the simple approach, the risk</w:t>
      </w:r>
      <w:r w:rsidR="00406617">
        <w:t xml:space="preserve"> </w:t>
      </w:r>
      <w:r w:rsidR="008151F0">
        <w:t>weights</w:t>
      </w:r>
      <w:r w:rsidR="00632ACC">
        <w:t>.</w:t>
      </w:r>
    </w:p>
    <w:p w14:paraId="146DB477" w14:textId="508D0BCC" w:rsidR="00004C29" w:rsidRDefault="00004C29" w:rsidP="009F74B1">
      <w:pPr>
        <w:pStyle w:val="BodyText1"/>
      </w:pPr>
      <w:r>
        <w:t>In this Attachment:</w:t>
      </w:r>
    </w:p>
    <w:p w14:paraId="6655AF95" w14:textId="4D8F2626" w:rsidR="00004C29" w:rsidRDefault="00004C29" w:rsidP="00004C29">
      <w:pPr>
        <w:pStyle w:val="BodyText2"/>
      </w:pPr>
      <w:r>
        <w:t xml:space="preserve">“received collateral” refers to </w:t>
      </w:r>
      <w:r w:rsidR="00425A09">
        <w:t>eligible financial</w:t>
      </w:r>
      <w:r>
        <w:t xml:space="preserve"> collateral</w:t>
      </w:r>
      <w:r w:rsidR="006B7C98">
        <w:t xml:space="preserve"> (as defined in </w:t>
      </w:r>
      <w:r w:rsidR="006B7C98" w:rsidRPr="00EF68E6">
        <w:t xml:space="preserve">paragraphs </w:t>
      </w:r>
      <w:r w:rsidR="00EF68E6" w:rsidRPr="00EF68E6">
        <w:fldChar w:fldCharType="begin"/>
      </w:r>
      <w:r w:rsidR="00EF68E6" w:rsidRPr="00EF68E6">
        <w:instrText xml:space="preserve"> REF _Ref56152187 \r \h </w:instrText>
      </w:r>
      <w:r w:rsidR="00EF68E6">
        <w:instrText xml:space="preserve"> \* MERGEFORMAT </w:instrText>
      </w:r>
      <w:r w:rsidR="00EF68E6" w:rsidRPr="00EF68E6">
        <w:fldChar w:fldCharType="separate"/>
      </w:r>
      <w:r w:rsidR="0007706D">
        <w:t>14</w:t>
      </w:r>
      <w:r w:rsidR="00EF68E6" w:rsidRPr="00EF68E6">
        <w:fldChar w:fldCharType="end"/>
      </w:r>
      <w:r w:rsidR="006B7C98" w:rsidRPr="00EF68E6">
        <w:t xml:space="preserve"> </w:t>
      </w:r>
      <w:r w:rsidR="009C349F" w:rsidRPr="00EF68E6">
        <w:t>or</w:t>
      </w:r>
      <w:r w:rsidR="006B7C98" w:rsidRPr="00EF68E6">
        <w:t xml:space="preserve"> </w:t>
      </w:r>
      <w:r w:rsidR="00EF68E6" w:rsidRPr="00EF68E6">
        <w:fldChar w:fldCharType="begin"/>
      </w:r>
      <w:r w:rsidR="00EF68E6" w:rsidRPr="00EF68E6">
        <w:instrText xml:space="preserve"> REF _Ref56152203 \r \h </w:instrText>
      </w:r>
      <w:r w:rsidR="00EF68E6">
        <w:instrText xml:space="preserve"> \* MERGEFORMAT </w:instrText>
      </w:r>
      <w:r w:rsidR="00EF68E6" w:rsidRPr="00EF68E6">
        <w:fldChar w:fldCharType="separate"/>
      </w:r>
      <w:r w:rsidR="0007706D">
        <w:t>22</w:t>
      </w:r>
      <w:r w:rsidR="00EF68E6" w:rsidRPr="00EF68E6">
        <w:fldChar w:fldCharType="end"/>
      </w:r>
      <w:r w:rsidR="00095E51">
        <w:t xml:space="preserve"> of this Attachment</w:t>
      </w:r>
      <w:r w:rsidR="006B7C98" w:rsidRPr="00EF68E6">
        <w:t>)</w:t>
      </w:r>
      <w:r>
        <w:t xml:space="preserve"> </w:t>
      </w:r>
      <w:r w:rsidR="002F7A6D">
        <w:t>that</w:t>
      </w:r>
      <w:r>
        <w:t xml:space="preserve"> an ADI receives from the counterparty in a transaction, including where the counterparty has lent those securities to the ADI, or the transaction is a reverse </w:t>
      </w:r>
      <w:r w:rsidR="00632ACC">
        <w:t>repurchase agreement</w:t>
      </w:r>
      <w:r>
        <w:t xml:space="preserve"> from the ADI’s perspective;</w:t>
      </w:r>
      <w:r w:rsidRPr="00004C29">
        <w:t xml:space="preserve"> </w:t>
      </w:r>
      <w:r>
        <w:t>and</w:t>
      </w:r>
    </w:p>
    <w:p w14:paraId="3AC860B7" w14:textId="4CB644E2" w:rsidR="00004C29" w:rsidRDefault="00004C29" w:rsidP="00004C29">
      <w:pPr>
        <w:pStyle w:val="BodyText2"/>
      </w:pPr>
      <w:r>
        <w:t xml:space="preserve">“posted collateral” refers to collateral </w:t>
      </w:r>
      <w:r w:rsidR="002F7A6D">
        <w:t xml:space="preserve">that </w:t>
      </w:r>
      <w:r>
        <w:t xml:space="preserve">an ADI posts to the counterparty in a transaction, including where the ADI has lent those securities to the counterparty, or the transaction is a </w:t>
      </w:r>
      <w:r w:rsidR="00632ACC">
        <w:t>repurchase agreement</w:t>
      </w:r>
      <w:r>
        <w:t xml:space="preserve"> from the ADI’s perspective.  </w:t>
      </w:r>
    </w:p>
    <w:p w14:paraId="6ACDF081" w14:textId="109442BB" w:rsidR="00040EA0" w:rsidRPr="00040EA0" w:rsidRDefault="00040EA0" w:rsidP="00040EA0">
      <w:pPr>
        <w:pStyle w:val="BodyText1"/>
      </w:pPr>
      <w:r w:rsidRPr="00040EA0">
        <w:t>An ADI must select either the simple</w:t>
      </w:r>
      <w:r>
        <w:t xml:space="preserve"> approach</w:t>
      </w:r>
      <w:r w:rsidRPr="00040EA0">
        <w:t xml:space="preserve"> or the comprehensive approach and apply that approach</w:t>
      </w:r>
      <w:r>
        <w:t xml:space="preserve"> consistently to all of </w:t>
      </w:r>
      <w:r w:rsidRPr="00040EA0">
        <w:t>its</w:t>
      </w:r>
      <w:r>
        <w:t xml:space="preserve"> banking book exposures </w:t>
      </w:r>
      <w:r w:rsidR="00A306D3">
        <w:t>for which it has received</w:t>
      </w:r>
      <w:r w:rsidRPr="00040EA0">
        <w:t xml:space="preserve"> collateral.</w:t>
      </w:r>
      <w:r w:rsidR="009121E2">
        <w:t xml:space="preserve"> An </w:t>
      </w:r>
      <w:r w:rsidR="00406617">
        <w:t>A</w:t>
      </w:r>
      <w:r w:rsidR="009121E2">
        <w:t>DI</w:t>
      </w:r>
      <w:r w:rsidR="00406617">
        <w:t xml:space="preserve"> that is approved to use the internal ratings-based approach to credit risk</w:t>
      </w:r>
      <w:r w:rsidR="009121E2">
        <w:t xml:space="preserve"> is not permitted to use the simple approach.</w:t>
      </w:r>
    </w:p>
    <w:p w14:paraId="79908117" w14:textId="27E15DC8" w:rsidR="00040EA0" w:rsidRDefault="00040EA0" w:rsidP="00040EA0">
      <w:pPr>
        <w:pStyle w:val="BodyText1"/>
      </w:pPr>
      <w:r w:rsidRPr="00040EA0">
        <w:t xml:space="preserve">For trading book exposures, an ADI must use the comprehensive approach where </w:t>
      </w:r>
      <w:r w:rsidR="00CD4156">
        <w:t xml:space="preserve">it has received </w:t>
      </w:r>
      <w:r w:rsidRPr="00040EA0">
        <w:t xml:space="preserve">collateral </w:t>
      </w:r>
      <w:r w:rsidR="00CD4156">
        <w:t>from the counterparty.</w:t>
      </w:r>
      <w:r w:rsidRPr="00040EA0">
        <w:t xml:space="preserve"> </w:t>
      </w:r>
    </w:p>
    <w:p w14:paraId="68F8D60E" w14:textId="5EF44103" w:rsidR="002A7E5E" w:rsidRDefault="009757F3" w:rsidP="009757F3">
      <w:pPr>
        <w:pStyle w:val="BodyText1"/>
      </w:pPr>
      <w:r>
        <w:t xml:space="preserve">Where an ADI acting as an agent in a SFT provides a guarantee that </w:t>
      </w:r>
      <w:r w:rsidR="00914677">
        <w:t xml:space="preserve">its </w:t>
      </w:r>
      <w:r w:rsidR="00BE4C46">
        <w:t>principal</w:t>
      </w:r>
      <w:r>
        <w:t xml:space="preserve"> will perform its obligations, the risk to the ADI is the same as if the ADI had entered into the transaction as the principal. In such circumstances, the ADI must calculate </w:t>
      </w:r>
      <w:r w:rsidR="009D14C0">
        <w:t xml:space="preserve">a Regulatory Capital requirement </w:t>
      </w:r>
      <w:r>
        <w:t>as if it were the principal.</w:t>
      </w:r>
      <w:r>
        <w:rPr>
          <w:rStyle w:val="CommentReference"/>
          <w:rFonts w:eastAsia="Calibri"/>
        </w:rPr>
        <w:t xml:space="preserve"> </w:t>
      </w:r>
    </w:p>
    <w:p w14:paraId="3D8075C3" w14:textId="5C249DF4" w:rsidR="000E6F83" w:rsidRDefault="000E6F83" w:rsidP="000E6F83">
      <w:pPr>
        <w:pStyle w:val="Heading1"/>
      </w:pPr>
      <w:bookmarkStart w:id="159" w:name="_Toc4489900"/>
      <w:r>
        <w:t>Minimum conditions for collateralised transactions</w:t>
      </w:r>
      <w:bookmarkEnd w:id="159"/>
    </w:p>
    <w:p w14:paraId="466AADB1" w14:textId="5B6EF16C" w:rsidR="000E6F83" w:rsidRPr="000E6F83" w:rsidRDefault="000E6F83" w:rsidP="000E6F83">
      <w:pPr>
        <w:pStyle w:val="BodyText1"/>
      </w:pPr>
      <w:r w:rsidRPr="000E6F83">
        <w:t xml:space="preserve">There must be a </w:t>
      </w:r>
      <w:r w:rsidR="00A92B1B">
        <w:t>contract</w:t>
      </w:r>
      <w:r>
        <w:t xml:space="preserve"> between the ADI</w:t>
      </w:r>
      <w:r w:rsidRPr="000E6F83">
        <w:t xml:space="preserve"> and the party lodging </w:t>
      </w:r>
      <w:r w:rsidR="00A306D3">
        <w:t xml:space="preserve">received </w:t>
      </w:r>
      <w:r w:rsidRPr="000E6F83">
        <w:t xml:space="preserve">collateral which establishes the </w:t>
      </w:r>
      <w:r>
        <w:t>ADI</w:t>
      </w:r>
      <w:r w:rsidRPr="000E6F83">
        <w:t xml:space="preserve">’s direct, explicit, irrevocable and unconditional recourse to the </w:t>
      </w:r>
      <w:r w:rsidR="00A306D3">
        <w:t xml:space="preserve">received </w:t>
      </w:r>
      <w:r w:rsidRPr="000E6F83">
        <w:t>collateral. In the case of cash collateral, this may include a contractual right of set-off on credit balances, but a common law right of set-off is insufficient on its own to satisfy this condition.</w:t>
      </w:r>
    </w:p>
    <w:p w14:paraId="05962703" w14:textId="43FB414E" w:rsidR="000E6F83" w:rsidRPr="000E6F83" w:rsidRDefault="000E6F83" w:rsidP="000E6F83">
      <w:pPr>
        <w:pStyle w:val="BodyText1"/>
      </w:pPr>
      <w:r>
        <w:t>An</w:t>
      </w:r>
      <w:r w:rsidRPr="000E6F83">
        <w:t xml:space="preserve"> ADI must take all steps necessary to </w:t>
      </w:r>
      <w:r>
        <w:t>obtain and maintain an enforceable security</w:t>
      </w:r>
      <w:r w:rsidRPr="000E6F83">
        <w:t xml:space="preserve"> interest in the </w:t>
      </w:r>
      <w:r w:rsidR="00A306D3">
        <w:t xml:space="preserve">received </w:t>
      </w:r>
      <w:r w:rsidRPr="000E6F83">
        <w:t>collateral.</w:t>
      </w:r>
      <w:r>
        <w:t xml:space="preserve"> </w:t>
      </w:r>
      <w:r w:rsidRPr="000E6F83">
        <w:t xml:space="preserve">The legal mechanism by which collateral is pledged or transferred must allow the ADI the right to liquidate or take legal possession of the </w:t>
      </w:r>
      <w:r w:rsidR="00A306D3">
        <w:t xml:space="preserve">received </w:t>
      </w:r>
      <w:r w:rsidRPr="000E6F83">
        <w:t xml:space="preserve">collateral in a timely manner. </w:t>
      </w:r>
      <w:r w:rsidR="008E79AC">
        <w:t>An ADI must have</w:t>
      </w:r>
      <w:r w:rsidRPr="000E6F83">
        <w:t xml:space="preserve"> clear and robust procedures for the timely liquidation of collateral to ensure </w:t>
      </w:r>
      <w:r w:rsidRPr="000E6F83">
        <w:lastRenderedPageBreak/>
        <w:t xml:space="preserve">that any legal conditions required for declaring the default of the counterparty and liquidating the </w:t>
      </w:r>
      <w:r w:rsidR="00A306D3">
        <w:t xml:space="preserve">received </w:t>
      </w:r>
      <w:r w:rsidRPr="000E6F83">
        <w:t xml:space="preserve">collateral are observed. </w:t>
      </w:r>
    </w:p>
    <w:p w14:paraId="6C634B0B" w14:textId="11781BB8" w:rsidR="000E6F83" w:rsidRPr="000E6F83" w:rsidRDefault="000E6F83" w:rsidP="00AC1324">
      <w:pPr>
        <w:pStyle w:val="BodyText1"/>
      </w:pPr>
      <w:r w:rsidRPr="000E6F83">
        <w:t>In the event of</w:t>
      </w:r>
      <w:r w:rsidR="00AC1324">
        <w:t xml:space="preserve"> the counterparty’s</w:t>
      </w:r>
      <w:r w:rsidRPr="000E6F83">
        <w:t xml:space="preserve"> default, any requirement on the </w:t>
      </w:r>
      <w:r w:rsidR="00AC1324">
        <w:t xml:space="preserve">ADI </w:t>
      </w:r>
      <w:r w:rsidRPr="000E6F83">
        <w:t xml:space="preserve">to serve notice on the party lodging the </w:t>
      </w:r>
      <w:r w:rsidR="00A306D3">
        <w:t xml:space="preserve">received </w:t>
      </w:r>
      <w:r w:rsidRPr="000E6F83">
        <w:t xml:space="preserve">collateral must not unnecessarily impede the </w:t>
      </w:r>
      <w:r w:rsidR="00AC1324">
        <w:t>ADI</w:t>
      </w:r>
      <w:r w:rsidRPr="000E6F83">
        <w:t xml:space="preserve">’s recourse to the </w:t>
      </w:r>
      <w:r w:rsidR="00A306D3">
        <w:t xml:space="preserve">received </w:t>
      </w:r>
      <w:r w:rsidRPr="000E6F83">
        <w:t>collateral.</w:t>
      </w:r>
    </w:p>
    <w:p w14:paraId="384736ED" w14:textId="39054091" w:rsidR="00607345" w:rsidRDefault="006A6B75" w:rsidP="00607345">
      <w:pPr>
        <w:pStyle w:val="BodyText1"/>
      </w:pPr>
      <w:r>
        <w:t xml:space="preserve">Where </w:t>
      </w:r>
      <w:r w:rsidR="00A306D3">
        <w:t xml:space="preserve">posted or received </w:t>
      </w:r>
      <w:r w:rsidR="00607345">
        <w:t xml:space="preserve">collateral is held by </w:t>
      </w:r>
      <w:r w:rsidR="002D27E2">
        <w:t>a</w:t>
      </w:r>
      <w:r w:rsidR="00607345">
        <w:t xml:space="preserve"> custodian or a third</w:t>
      </w:r>
      <w:r w:rsidR="00AD7F9D">
        <w:t xml:space="preserve"> </w:t>
      </w:r>
      <w:r w:rsidR="00607345">
        <w:t>party, the ADI must take reasonable s</w:t>
      </w:r>
      <w:r w:rsidR="00CC1D73">
        <w:t xml:space="preserve">teps to ensure that </w:t>
      </w:r>
      <w:r w:rsidR="00607345">
        <w:t>the custodian or third</w:t>
      </w:r>
      <w:r w:rsidR="00AD7F9D">
        <w:t xml:space="preserve"> </w:t>
      </w:r>
      <w:r w:rsidR="00607345">
        <w:t xml:space="preserve">party segregates the collateral from </w:t>
      </w:r>
      <w:r w:rsidR="00984441">
        <w:t>other</w:t>
      </w:r>
      <w:r w:rsidR="00607345">
        <w:t xml:space="preserve"> assets. </w:t>
      </w:r>
    </w:p>
    <w:p w14:paraId="736DB9A9" w14:textId="07131187" w:rsidR="000E6F83" w:rsidRPr="000E6F83" w:rsidRDefault="000E6F83" w:rsidP="002D27E2">
      <w:pPr>
        <w:pStyle w:val="BodyText1"/>
      </w:pPr>
      <w:r w:rsidRPr="000E6F83">
        <w:t>Where</w:t>
      </w:r>
      <w:r w:rsidR="005B044F">
        <w:t xml:space="preserve"> the</w:t>
      </w:r>
      <w:r w:rsidR="00A306D3">
        <w:t xml:space="preserve"> received</w:t>
      </w:r>
      <w:r w:rsidRPr="000E6F83">
        <w:t xml:space="preserve"> collateral is lodged with an overseas branch of </w:t>
      </w:r>
      <w:r w:rsidR="001E2806">
        <w:t>the</w:t>
      </w:r>
      <w:r w:rsidR="001E2806" w:rsidRPr="000E6F83">
        <w:t xml:space="preserve"> </w:t>
      </w:r>
      <w:r w:rsidRPr="000E6F83">
        <w:t xml:space="preserve">ADI, the branch holding the collateral must be bound to act in accordance with the agreement between the ADI and the party lodging the </w:t>
      </w:r>
      <w:r w:rsidR="00A306D3">
        <w:t xml:space="preserve">received </w:t>
      </w:r>
      <w:r w:rsidRPr="000E6F83">
        <w:t>collateral.</w:t>
      </w:r>
    </w:p>
    <w:p w14:paraId="53787604" w14:textId="7B5967BD" w:rsidR="000E6F83" w:rsidRPr="000E6F83" w:rsidRDefault="000E6F83" w:rsidP="002D27E2">
      <w:pPr>
        <w:pStyle w:val="BodyText1"/>
      </w:pPr>
      <w:r w:rsidRPr="000E6F83">
        <w:t xml:space="preserve">Where </w:t>
      </w:r>
      <w:r w:rsidR="005B044F">
        <w:t xml:space="preserve">the </w:t>
      </w:r>
      <w:r w:rsidR="00A306D3">
        <w:t xml:space="preserve">received </w:t>
      </w:r>
      <w:r w:rsidRPr="000E6F83">
        <w:t>collateral is lodged by a third</w:t>
      </w:r>
      <w:r w:rsidR="0075006A">
        <w:t xml:space="preserve"> </w:t>
      </w:r>
      <w:r w:rsidRPr="000E6F83">
        <w:t>party, that third</w:t>
      </w:r>
      <w:r w:rsidR="0075006A">
        <w:t xml:space="preserve"> </w:t>
      </w:r>
      <w:r w:rsidRPr="000E6F83">
        <w:t xml:space="preserve">party must indemnify or guarantee the </w:t>
      </w:r>
      <w:r w:rsidR="008623DE">
        <w:t xml:space="preserve">performance of the </w:t>
      </w:r>
      <w:r w:rsidR="00A306D3">
        <w:t>counterparty</w:t>
      </w:r>
      <w:r w:rsidR="00A306D3" w:rsidRPr="000E6F83">
        <w:t xml:space="preserve">’s </w:t>
      </w:r>
      <w:r w:rsidRPr="000E6F83">
        <w:t xml:space="preserve">obligations (or those of the party on which a claim is held) to the </w:t>
      </w:r>
      <w:r w:rsidR="002D27E2">
        <w:t>ADI</w:t>
      </w:r>
      <w:r w:rsidRPr="000E6F83">
        <w:t xml:space="preserve">. The </w:t>
      </w:r>
      <w:r w:rsidR="002D27E2">
        <w:t>ADI</w:t>
      </w:r>
      <w:r w:rsidRPr="000E6F83">
        <w:t xml:space="preserve"> must ensure that the </w:t>
      </w:r>
      <w:r w:rsidR="00984441">
        <w:t>indemnity or guarantee is legally enforceable (</w:t>
      </w:r>
      <w:r w:rsidR="00A15129">
        <w:t>e.g.</w:t>
      </w:r>
      <w:r w:rsidR="00984441">
        <w:t xml:space="preserve"> that it </w:t>
      </w:r>
      <w:r w:rsidRPr="000E6F83">
        <w:t>will not fail for lack of consideration</w:t>
      </w:r>
      <w:r w:rsidR="00984441">
        <w:t>)</w:t>
      </w:r>
      <w:r w:rsidR="000E0C1A">
        <w:t>.</w:t>
      </w:r>
    </w:p>
    <w:p w14:paraId="37B555DA" w14:textId="57F9D2C7" w:rsidR="00040EA0" w:rsidRPr="00040EA0" w:rsidRDefault="00040EA0" w:rsidP="00040EA0">
      <w:pPr>
        <w:pStyle w:val="BodyText1"/>
      </w:pPr>
      <w:r w:rsidRPr="00040EA0">
        <w:t xml:space="preserve">An ADI must ensure that sufficient resources are devoted to the orderly operation of margin agreements with OTC derivative and securities-financing counterparties, as measured by the timeliness and accuracy of its outgoing calls and response time to incoming calls. An ADI must have collateral </w:t>
      </w:r>
      <w:r w:rsidR="0098576D">
        <w:t xml:space="preserve">risk </w:t>
      </w:r>
      <w:r w:rsidRPr="00040EA0">
        <w:t>management policies in place to control, monitor and report:</w:t>
      </w:r>
    </w:p>
    <w:p w14:paraId="42AB67D5" w14:textId="10B5654B" w:rsidR="00040EA0" w:rsidRPr="00040EA0" w:rsidRDefault="00040EA0" w:rsidP="00D306D1">
      <w:pPr>
        <w:pStyle w:val="BodyText2"/>
      </w:pPr>
      <w:r w:rsidRPr="00040EA0">
        <w:t>the risk to which margin agreements expose it</w:t>
      </w:r>
      <w:r w:rsidR="00355E3B">
        <w:t>,</w:t>
      </w:r>
      <w:r w:rsidRPr="00040EA0">
        <w:t xml:space="preserve"> such as the volatility and liquidity of the securities exchanged as collateral;</w:t>
      </w:r>
    </w:p>
    <w:p w14:paraId="44BB35D6" w14:textId="77777777" w:rsidR="00040EA0" w:rsidRPr="00040EA0" w:rsidRDefault="00040EA0" w:rsidP="00D306D1">
      <w:pPr>
        <w:pStyle w:val="BodyText2"/>
      </w:pPr>
      <w:r w:rsidRPr="00040EA0">
        <w:t>the concentration risk to particular types of collateral;</w:t>
      </w:r>
    </w:p>
    <w:p w14:paraId="5D0D3C51" w14:textId="77777777" w:rsidR="00040EA0" w:rsidRPr="00040EA0" w:rsidRDefault="00040EA0" w:rsidP="00D306D1">
      <w:pPr>
        <w:pStyle w:val="BodyText2"/>
      </w:pPr>
      <w:r w:rsidRPr="00040EA0">
        <w:t>the re-use of collateral (both cash and non-cash) including the potential liquidity shortfalls resulting from the re-use of collateral received from counterparties; and</w:t>
      </w:r>
    </w:p>
    <w:p w14:paraId="5FCFC6A4" w14:textId="77777777" w:rsidR="00040EA0" w:rsidRDefault="00040EA0" w:rsidP="00D306D1">
      <w:pPr>
        <w:pStyle w:val="BodyText2"/>
      </w:pPr>
      <w:r w:rsidRPr="00040EA0">
        <w:t xml:space="preserve">the surrender of rights on collateral posted to counterparties. </w:t>
      </w:r>
    </w:p>
    <w:p w14:paraId="22A125A1" w14:textId="730F645F" w:rsidR="00C2453E" w:rsidRDefault="00C2453E" w:rsidP="00C2453E">
      <w:pPr>
        <w:pStyle w:val="Heading1"/>
      </w:pPr>
      <w:bookmarkStart w:id="160" w:name="_Toc4489901"/>
      <w:r>
        <w:t>The simple approach</w:t>
      </w:r>
      <w:bookmarkEnd w:id="160"/>
    </w:p>
    <w:p w14:paraId="539CEE4A" w14:textId="2BC664F2" w:rsidR="00E67EB2" w:rsidRPr="00E67EB2" w:rsidRDefault="00E67EB2" w:rsidP="006D3DA1">
      <w:pPr>
        <w:pStyle w:val="BodyText1"/>
      </w:pPr>
      <w:r w:rsidRPr="00E67EB2">
        <w:t xml:space="preserve">For </w:t>
      </w:r>
      <w:r w:rsidR="00FB6C25">
        <w:t xml:space="preserve">received </w:t>
      </w:r>
      <w:r w:rsidRPr="00E67EB2">
        <w:t xml:space="preserve">collateral to be </w:t>
      </w:r>
      <w:r w:rsidR="006D3DA1">
        <w:t>recognised under</w:t>
      </w:r>
      <w:r w:rsidRPr="00E67EB2">
        <w:t xml:space="preserve"> the simple approach, it must be pledged for at least the life of the exposure</w:t>
      </w:r>
      <w:r w:rsidR="002673ED">
        <w:t xml:space="preserve"> (i.e. maturity mismatches are not permitted)</w:t>
      </w:r>
      <w:r w:rsidRPr="00E67EB2">
        <w:t xml:space="preserve"> and be marked</w:t>
      </w:r>
      <w:r w:rsidR="00006E44">
        <w:t>-</w:t>
      </w:r>
      <w:r w:rsidRPr="00E67EB2">
        <w:t>to</w:t>
      </w:r>
      <w:r w:rsidR="00006E44">
        <w:t>-</w:t>
      </w:r>
      <w:r w:rsidRPr="00E67EB2">
        <w:t>market</w:t>
      </w:r>
      <w:r w:rsidR="00557FF1">
        <w:t xml:space="preserve"> and revalued</w:t>
      </w:r>
      <w:r w:rsidRPr="00E67EB2">
        <w:t xml:space="preserve"> with a minimum frequency of six months. The release of </w:t>
      </w:r>
      <w:r w:rsidR="00FB6C25">
        <w:t xml:space="preserve">received </w:t>
      </w:r>
      <w:r w:rsidRPr="00E67EB2">
        <w:t xml:space="preserve">collateral by the ADI must be conditional upon the repayment of the exposure. </w:t>
      </w:r>
      <w:r w:rsidR="00FB6C25">
        <w:t>Received c</w:t>
      </w:r>
      <w:r w:rsidRPr="00E67EB2">
        <w:t xml:space="preserve">ollateral may be reduced in proportion to the amount of the reduction in the exposure amount. </w:t>
      </w:r>
    </w:p>
    <w:p w14:paraId="59FA5157" w14:textId="5A5C8B66" w:rsidR="00C2453E" w:rsidRDefault="00D26AC9" w:rsidP="00D26AC9">
      <w:pPr>
        <w:pStyle w:val="Heading3"/>
      </w:pPr>
      <w:r>
        <w:t>Eligible financial collateral under the simple approach</w:t>
      </w:r>
    </w:p>
    <w:p w14:paraId="1400F954" w14:textId="38EAAAA8" w:rsidR="00D26AC9" w:rsidRPr="00D306D1" w:rsidRDefault="00BA330B" w:rsidP="00D306D1">
      <w:pPr>
        <w:pStyle w:val="BodyText1"/>
      </w:pPr>
      <w:bookmarkStart w:id="161" w:name="_Ref3470947"/>
      <w:bookmarkStart w:id="162" w:name="_Ref56152187"/>
      <w:r>
        <w:t xml:space="preserve">An ADI using </w:t>
      </w:r>
      <w:r w:rsidR="00D26AC9" w:rsidRPr="00D306D1">
        <w:t>the simple approach</w:t>
      </w:r>
      <w:r w:rsidR="00C01D97">
        <w:t xml:space="preserve"> may only recognise the following items as</w:t>
      </w:r>
      <w:r w:rsidR="004559EC">
        <w:t xml:space="preserve"> eligible financial collateral</w:t>
      </w:r>
      <w:r w:rsidR="00D26AC9" w:rsidRPr="00D306D1">
        <w:t>:</w:t>
      </w:r>
      <w:bookmarkEnd w:id="161"/>
      <w:bookmarkEnd w:id="162"/>
    </w:p>
    <w:p w14:paraId="0469C524" w14:textId="01E0A5A5" w:rsidR="00D26AC9" w:rsidRPr="00D26AC9" w:rsidRDefault="00D26AC9" w:rsidP="00D306D1">
      <w:pPr>
        <w:pStyle w:val="BodyText2"/>
      </w:pPr>
      <w:bookmarkStart w:id="163" w:name="_Ref3481553"/>
      <w:r w:rsidRPr="00D26AC9">
        <w:lastRenderedPageBreak/>
        <w:t>cash collateral (cash, certificates of deposit and bank bills issued by the ADI) on deposit with the ADI</w:t>
      </w:r>
      <w:r w:rsidR="008B4579">
        <w:t>;</w:t>
      </w:r>
      <w:r w:rsidR="000D406A">
        <w:rPr>
          <w:rStyle w:val="FootnoteReference"/>
        </w:rPr>
        <w:footnoteReference w:id="20"/>
      </w:r>
      <w:r w:rsidR="000D406A">
        <w:t xml:space="preserve"> </w:t>
      </w:r>
      <w:bookmarkEnd w:id="163"/>
    </w:p>
    <w:p w14:paraId="68BC9D57" w14:textId="77777777" w:rsidR="00D26AC9" w:rsidRPr="00D26AC9" w:rsidRDefault="00D26AC9" w:rsidP="00D306D1">
      <w:pPr>
        <w:pStyle w:val="BodyText2"/>
      </w:pPr>
      <w:r w:rsidRPr="00D26AC9">
        <w:t>gold bullion;</w:t>
      </w:r>
    </w:p>
    <w:p w14:paraId="26ECF357" w14:textId="1E6C48C7" w:rsidR="00D26AC9" w:rsidRPr="00D26AC9" w:rsidRDefault="00D26AC9" w:rsidP="00D306D1">
      <w:pPr>
        <w:pStyle w:val="BodyText2"/>
      </w:pPr>
      <w:r w:rsidRPr="00D26AC9">
        <w:t xml:space="preserve">debt securities rated by an ECAI </w:t>
      </w:r>
      <w:r w:rsidR="00C652D1">
        <w:t>that</w:t>
      </w:r>
      <w:r w:rsidRPr="00D26AC9">
        <w:t xml:space="preserve"> have a credit rating grade of either:</w:t>
      </w:r>
    </w:p>
    <w:p w14:paraId="7366D457" w14:textId="40EA10E5" w:rsidR="00C652D1" w:rsidRPr="00D26AC9" w:rsidRDefault="00D26AC9" w:rsidP="00D306D1">
      <w:pPr>
        <w:pStyle w:val="BodyText3"/>
      </w:pPr>
      <w:r w:rsidRPr="00D26AC9">
        <w:t>four (or better) for long-term securities issued by</w:t>
      </w:r>
      <w:r w:rsidR="00C652D1">
        <w:t xml:space="preserve"> sovereigns;</w:t>
      </w:r>
      <w:r w:rsidR="0028005E">
        <w:rPr>
          <w:rStyle w:val="FootnoteReference"/>
        </w:rPr>
        <w:footnoteReference w:id="21"/>
      </w:r>
      <w:r w:rsidR="00C652D1">
        <w:t xml:space="preserve"> or</w:t>
      </w:r>
    </w:p>
    <w:p w14:paraId="14C66A53" w14:textId="2E1B56C2" w:rsidR="00D26AC9" w:rsidRPr="00D26AC9" w:rsidRDefault="00D26AC9" w:rsidP="00D306D1">
      <w:pPr>
        <w:pStyle w:val="BodyText3"/>
      </w:pPr>
      <w:r w:rsidRPr="00D26AC9">
        <w:t xml:space="preserve">three (or better) for short-term or long-term securities issued by </w:t>
      </w:r>
      <w:r w:rsidR="00C652D1">
        <w:t>other counterparties</w:t>
      </w:r>
      <w:r w:rsidRPr="00D26AC9">
        <w:t>;</w:t>
      </w:r>
    </w:p>
    <w:p w14:paraId="45F66EF8" w14:textId="1F3F77A5" w:rsidR="00C652D1" w:rsidRDefault="00D26AC9" w:rsidP="00D306D1">
      <w:pPr>
        <w:pStyle w:val="BodyText2"/>
      </w:pPr>
      <w:bookmarkStart w:id="164" w:name="_Ref3482753"/>
      <w:r w:rsidRPr="00D26AC9">
        <w:t>debt securities not rated by an ECAI where</w:t>
      </w:r>
      <w:r w:rsidR="00C652D1">
        <w:t>:</w:t>
      </w:r>
      <w:bookmarkEnd w:id="164"/>
      <w:r w:rsidRPr="00D26AC9">
        <w:t xml:space="preserve"> </w:t>
      </w:r>
    </w:p>
    <w:p w14:paraId="61DBA56F" w14:textId="302E56BD" w:rsidR="00C652D1" w:rsidRDefault="00D26AC9" w:rsidP="00D306D1">
      <w:pPr>
        <w:pStyle w:val="BodyText3"/>
      </w:pPr>
      <w:r w:rsidRPr="00D26AC9">
        <w:t>the securities are issued by a bank as senior debt and are listed on a recognised exchange</w:t>
      </w:r>
      <w:r w:rsidR="00C652D1">
        <w:t>;</w:t>
      </w:r>
      <w:r w:rsidRPr="00D26AC9">
        <w:t xml:space="preserve"> </w:t>
      </w:r>
    </w:p>
    <w:p w14:paraId="4E92AD79" w14:textId="7CC27091" w:rsidR="00C652D1" w:rsidRDefault="00D26AC9" w:rsidP="00D306D1">
      <w:pPr>
        <w:pStyle w:val="BodyText3"/>
      </w:pPr>
      <w:r w:rsidRPr="00D26AC9">
        <w:t>all rated issues of the same seniority by the issuing bank have a long-term or short-term credit rating grade of at least three</w:t>
      </w:r>
      <w:r w:rsidR="00C652D1">
        <w:t>;</w:t>
      </w:r>
      <w:r w:rsidRPr="00D26AC9">
        <w:t xml:space="preserve"> and </w:t>
      </w:r>
    </w:p>
    <w:p w14:paraId="1AE9BC8F" w14:textId="7E1AF6F6" w:rsidR="00D26AC9" w:rsidRPr="00D26AC9" w:rsidRDefault="00D26AC9" w:rsidP="00D306D1">
      <w:pPr>
        <w:pStyle w:val="BodyText3"/>
      </w:pPr>
      <w:r w:rsidRPr="00D26AC9">
        <w:t xml:space="preserve">the ADI holding the security has no information suggesting that the security justifies a rating below this level; </w:t>
      </w:r>
    </w:p>
    <w:p w14:paraId="0865BED7" w14:textId="1B72F573" w:rsidR="009B47B0" w:rsidRDefault="00B35A26" w:rsidP="00D306D1">
      <w:pPr>
        <w:pStyle w:val="BodyText2"/>
      </w:pPr>
      <w:bookmarkStart w:id="165" w:name="_Ref3481590"/>
      <w:r>
        <w:t xml:space="preserve">senior </w:t>
      </w:r>
      <w:r w:rsidR="009B47B0">
        <w:t>securitisation exposures, as defined in APS 120, with a</w:t>
      </w:r>
      <w:r w:rsidR="00EE761B">
        <w:t xml:space="preserve">n </w:t>
      </w:r>
      <w:r w:rsidR="008F291D">
        <w:t xml:space="preserve">external credit rating </w:t>
      </w:r>
      <w:r>
        <w:t xml:space="preserve">grade of </w:t>
      </w:r>
      <w:r w:rsidR="00207EA8">
        <w:t>one</w:t>
      </w:r>
      <w:r w:rsidR="009B47B0">
        <w:t>;</w:t>
      </w:r>
      <w:bookmarkEnd w:id="165"/>
    </w:p>
    <w:p w14:paraId="3618A2D6" w14:textId="56617299" w:rsidR="00B74AFF" w:rsidRDefault="00D26AC9" w:rsidP="00D306D1">
      <w:pPr>
        <w:pStyle w:val="BodyText2"/>
      </w:pPr>
      <w:bookmarkStart w:id="166" w:name="_Ref3481800"/>
      <w:r w:rsidRPr="00D26AC9">
        <w:t>units in a listed</w:t>
      </w:r>
      <w:r w:rsidR="00B74AFF">
        <w:t xml:space="preserve"> or unlisted</w:t>
      </w:r>
      <w:r w:rsidRPr="00D26AC9">
        <w:t xml:space="preserve"> trust where</w:t>
      </w:r>
      <w:r w:rsidR="00B74AFF">
        <w:t>:</w:t>
      </w:r>
      <w:bookmarkEnd w:id="166"/>
      <w:r w:rsidRPr="00D26AC9">
        <w:t xml:space="preserve"> </w:t>
      </w:r>
    </w:p>
    <w:p w14:paraId="2DAC26C4" w14:textId="77777777" w:rsidR="00B74AFF" w:rsidRDefault="00D26AC9" w:rsidP="00D306D1">
      <w:pPr>
        <w:pStyle w:val="BodyText3"/>
      </w:pPr>
      <w:r w:rsidRPr="00D26AC9">
        <w:t>the unit price of the trust is publicly quoted on a daily basis</w:t>
      </w:r>
      <w:r w:rsidR="00B74AFF">
        <w:t>;</w:t>
      </w:r>
    </w:p>
    <w:p w14:paraId="29B2BB46" w14:textId="3E564A60" w:rsidR="00B74AFF" w:rsidRDefault="00D26AC9" w:rsidP="00D306D1">
      <w:pPr>
        <w:pStyle w:val="BodyText3"/>
      </w:pPr>
      <w:r w:rsidRPr="00D26AC9">
        <w:t>the trust is limited to investing in the inst</w:t>
      </w:r>
      <w:r w:rsidR="00B74AFF">
        <w:t xml:space="preserve">ruments detailed in </w:t>
      </w:r>
      <w:r w:rsidR="00A56C45" w:rsidRPr="00A56C45">
        <w:t xml:space="preserve">paragraphs </w:t>
      </w:r>
      <w:r w:rsidR="00A56C45" w:rsidRPr="00A56C45">
        <w:fldChar w:fldCharType="begin"/>
      </w:r>
      <w:r w:rsidR="00A56C45" w:rsidRPr="00A56C45">
        <w:instrText xml:space="preserve"> REF _Ref3470947 \r \h </w:instrText>
      </w:r>
      <w:r w:rsidR="00A56C45">
        <w:instrText xml:space="preserve"> \* MERGEFORMAT </w:instrText>
      </w:r>
      <w:r w:rsidR="00A56C45" w:rsidRPr="00A56C45">
        <w:fldChar w:fldCharType="separate"/>
      </w:r>
      <w:r w:rsidR="0007706D">
        <w:t>14</w:t>
      </w:r>
      <w:r w:rsidR="00A56C45" w:rsidRPr="00A56C45">
        <w:fldChar w:fldCharType="end"/>
      </w:r>
      <w:r w:rsidR="00A56C45" w:rsidRPr="00A56C45">
        <w:fldChar w:fldCharType="begin"/>
      </w:r>
      <w:r w:rsidR="00A56C45" w:rsidRPr="00A56C45">
        <w:instrText xml:space="preserve"> REF _Ref3481553 \r \h </w:instrText>
      </w:r>
      <w:r w:rsidR="00A56C45">
        <w:instrText xml:space="preserve"> \* MERGEFORMAT </w:instrText>
      </w:r>
      <w:r w:rsidR="00A56C45" w:rsidRPr="00A56C45">
        <w:fldChar w:fldCharType="separate"/>
      </w:r>
      <w:r w:rsidR="0007706D">
        <w:t>(a)</w:t>
      </w:r>
      <w:r w:rsidR="00A56C45" w:rsidRPr="00A56C45">
        <w:fldChar w:fldCharType="end"/>
      </w:r>
      <w:r w:rsidR="00A56C45" w:rsidRPr="00A56C45">
        <w:t xml:space="preserve"> to </w:t>
      </w:r>
      <w:r w:rsidR="00A56C45" w:rsidRPr="00A56C45">
        <w:fldChar w:fldCharType="begin"/>
      </w:r>
      <w:r w:rsidR="00A56C45" w:rsidRPr="00A56C45">
        <w:instrText xml:space="preserve"> REF _Ref3470947 \r \h </w:instrText>
      </w:r>
      <w:r w:rsidR="00A56C45">
        <w:instrText xml:space="preserve"> \* MERGEFORMAT </w:instrText>
      </w:r>
      <w:r w:rsidR="00A56C45" w:rsidRPr="00A56C45">
        <w:fldChar w:fldCharType="separate"/>
      </w:r>
      <w:r w:rsidR="0007706D">
        <w:t>14</w:t>
      </w:r>
      <w:r w:rsidR="00A56C45" w:rsidRPr="00A56C45">
        <w:fldChar w:fldCharType="end"/>
      </w:r>
      <w:r w:rsidR="00A56C45" w:rsidRPr="00A56C45">
        <w:fldChar w:fldCharType="begin"/>
      </w:r>
      <w:r w:rsidR="00A56C45" w:rsidRPr="00A56C45">
        <w:instrText xml:space="preserve"> REF _Ref3481590 \r \h </w:instrText>
      </w:r>
      <w:r w:rsidR="00A56C45">
        <w:instrText xml:space="preserve"> \* MERGEFORMAT </w:instrText>
      </w:r>
      <w:r w:rsidR="00A56C45" w:rsidRPr="00A56C45">
        <w:fldChar w:fldCharType="separate"/>
      </w:r>
      <w:r w:rsidR="0007706D">
        <w:t>(e)</w:t>
      </w:r>
      <w:r w:rsidR="00A56C45" w:rsidRPr="00A56C45">
        <w:fldChar w:fldCharType="end"/>
      </w:r>
      <w:r w:rsidRPr="00D26AC9">
        <w:t xml:space="preserve"> of this Attachment</w:t>
      </w:r>
      <w:r w:rsidR="00B74AFF">
        <w:t>;</w:t>
      </w:r>
      <w:r w:rsidR="00354943">
        <w:rPr>
          <w:rStyle w:val="FootnoteReference"/>
        </w:rPr>
        <w:footnoteReference w:id="22"/>
      </w:r>
      <w:r w:rsidR="00B74AFF">
        <w:t xml:space="preserve"> and</w:t>
      </w:r>
    </w:p>
    <w:p w14:paraId="13F37B97" w14:textId="049731BC" w:rsidR="00D26AC9" w:rsidRPr="00D26AC9" w:rsidRDefault="00354943" w:rsidP="00D306D1">
      <w:pPr>
        <w:pStyle w:val="BodyText3"/>
      </w:pPr>
      <w:r>
        <w:t xml:space="preserve">for unlisted trusts, the ADI can redeem its investment within three </w:t>
      </w:r>
      <w:r w:rsidR="006D4BDB">
        <w:t xml:space="preserve">business </w:t>
      </w:r>
      <w:r>
        <w:t>days</w:t>
      </w:r>
      <w:r w:rsidR="00D26AC9" w:rsidRPr="00D26AC9">
        <w:t xml:space="preserve">. </w:t>
      </w:r>
    </w:p>
    <w:p w14:paraId="670E1DCA" w14:textId="21500A0B" w:rsidR="00D26AC9" w:rsidRPr="00D26AC9" w:rsidRDefault="00D26AC9" w:rsidP="007C57DC">
      <w:pPr>
        <w:pStyle w:val="BodyText1"/>
      </w:pPr>
      <w:proofErr w:type="spellStart"/>
      <w:r w:rsidRPr="00D26AC9">
        <w:t>Resecuritisation</w:t>
      </w:r>
      <w:proofErr w:type="spellEnd"/>
      <w:r w:rsidR="009B47B0">
        <w:t xml:space="preserve"> exposure</w:t>
      </w:r>
      <w:r w:rsidRPr="00D26AC9">
        <w:t xml:space="preserve">s, </w:t>
      </w:r>
      <w:r w:rsidR="00883BD6">
        <w:t>as defined in APS 120</w:t>
      </w:r>
      <w:r w:rsidRPr="00D26AC9">
        <w:t>, are not eligible financial collateral.</w:t>
      </w:r>
    </w:p>
    <w:p w14:paraId="0873B7BD" w14:textId="3837E045" w:rsidR="00D26AC9" w:rsidRDefault="009C4843" w:rsidP="003F716B">
      <w:pPr>
        <w:pStyle w:val="Heading3"/>
      </w:pPr>
      <w:r>
        <w:t xml:space="preserve">Risk weights under the </w:t>
      </w:r>
      <w:r w:rsidR="008B4579">
        <w:t>simple approach</w:t>
      </w:r>
    </w:p>
    <w:p w14:paraId="6ACECB8F" w14:textId="150C6CC1" w:rsidR="008B4579" w:rsidRDefault="008B4579" w:rsidP="008B4579">
      <w:pPr>
        <w:pStyle w:val="BodyText1"/>
      </w:pPr>
      <w:bookmarkStart w:id="167" w:name="_Ref3481369"/>
      <w:r w:rsidRPr="00E67EB2">
        <w:t xml:space="preserve">Under the simple approach, the portion of </w:t>
      </w:r>
      <w:r>
        <w:t>an exposure</w:t>
      </w:r>
      <w:r w:rsidRPr="00E67EB2">
        <w:t xml:space="preserve"> </w:t>
      </w:r>
      <w:r>
        <w:t xml:space="preserve">that is </w:t>
      </w:r>
      <w:r w:rsidRPr="00E67EB2">
        <w:t xml:space="preserve">secured </w:t>
      </w:r>
      <w:r>
        <w:t xml:space="preserve">by received collateral </w:t>
      </w:r>
      <w:r w:rsidRPr="00E67EB2">
        <w:t xml:space="preserve">may be risk-weighted according to the risk weight of the </w:t>
      </w:r>
      <w:r>
        <w:t xml:space="preserve">received </w:t>
      </w:r>
      <w:r w:rsidRPr="00E67EB2">
        <w:lastRenderedPageBreak/>
        <w:t>collateral. The risk weight on th</w:t>
      </w:r>
      <w:r>
        <w:t>at</w:t>
      </w:r>
      <w:r w:rsidRPr="00E67EB2">
        <w:t xml:space="preserve"> portion </w:t>
      </w:r>
      <w:r>
        <w:t xml:space="preserve">is </w:t>
      </w:r>
      <w:r w:rsidRPr="00E67EB2">
        <w:t>subject to a floor of 20 per cent</w:t>
      </w:r>
      <w:r>
        <w:t>,</w:t>
      </w:r>
      <w:r w:rsidRPr="00E67EB2">
        <w:t xml:space="preserve"> except under the conditions specified in </w:t>
      </w:r>
      <w:r w:rsidRPr="00EA6485">
        <w:t xml:space="preserve">paragraphs </w:t>
      </w:r>
      <w:r w:rsidR="0011660E">
        <w:fldChar w:fldCharType="begin"/>
      </w:r>
      <w:r w:rsidR="0011660E">
        <w:instrText xml:space="preserve"> REF _Ref56155709 \r \h </w:instrText>
      </w:r>
      <w:r w:rsidR="0011660E">
        <w:fldChar w:fldCharType="separate"/>
      </w:r>
      <w:r w:rsidR="0007706D">
        <w:t>18</w:t>
      </w:r>
      <w:r w:rsidR="0011660E">
        <w:fldChar w:fldCharType="end"/>
      </w:r>
      <w:r w:rsidRPr="00EA6485">
        <w:t xml:space="preserve"> to </w:t>
      </w:r>
      <w:r w:rsidRPr="00EA6485">
        <w:fldChar w:fldCharType="begin"/>
      </w:r>
      <w:r w:rsidRPr="00EA6485">
        <w:instrText xml:space="preserve"> REF _Ref3481397 \r \h </w:instrText>
      </w:r>
      <w:r>
        <w:instrText xml:space="preserve"> \* MERGEFORMAT </w:instrText>
      </w:r>
      <w:r w:rsidRPr="00EA6485">
        <w:fldChar w:fldCharType="separate"/>
      </w:r>
      <w:r w:rsidR="0007706D">
        <w:t>20</w:t>
      </w:r>
      <w:r w:rsidRPr="00EA6485">
        <w:fldChar w:fldCharType="end"/>
      </w:r>
      <w:r w:rsidRPr="00E67EB2">
        <w:t xml:space="preserve"> of this Attachment. The unsecured portion of </w:t>
      </w:r>
      <w:r>
        <w:t>an exposure</w:t>
      </w:r>
      <w:r w:rsidRPr="00E67EB2">
        <w:t xml:space="preserve"> must be risk-weighted according to the risk weight applicable to the original counterparty.</w:t>
      </w:r>
    </w:p>
    <w:p w14:paraId="757733BD" w14:textId="5ECD77F0" w:rsidR="008B4579" w:rsidRPr="00E67EB2" w:rsidRDefault="008B4579" w:rsidP="008B4579">
      <w:pPr>
        <w:pStyle w:val="BodyText1"/>
      </w:pPr>
      <w:r>
        <w:t xml:space="preserve">Where cash on deposit, certificates of deposit and bank bills issued by the ADI are held as </w:t>
      </w:r>
      <w:r w:rsidR="00D710E9">
        <w:t xml:space="preserve">received </w:t>
      </w:r>
      <w:r>
        <w:t>collateral at a third-party bank in a non-custodial arrangement, and are pledged or assigned to the ADI and the pledge or assignment is unconditional and irrevocable, the exposure amount covered by the</w:t>
      </w:r>
      <w:r w:rsidR="00D710E9">
        <w:t xml:space="preserve"> received</w:t>
      </w:r>
      <w:r>
        <w:t xml:space="preserve"> collateral may be assigned the risk weight of the third-party bank, determined in accordance with Attachment B to this Prudential Standard</w:t>
      </w:r>
      <w:r w:rsidR="00AE4180">
        <w:t>.</w:t>
      </w:r>
    </w:p>
    <w:p w14:paraId="0735E54A" w14:textId="5B1EC0CA" w:rsidR="00D306D1" w:rsidRPr="00D306D1" w:rsidRDefault="00D306D1" w:rsidP="00D306D1">
      <w:pPr>
        <w:pStyle w:val="BodyText1"/>
      </w:pPr>
      <w:bookmarkStart w:id="168" w:name="_Ref56155709"/>
      <w:r w:rsidRPr="00D306D1">
        <w:t>A zero per cent risk weight may be applied to collateralised transactions where the exposure and the collateral are denominated in the same currency and either:</w:t>
      </w:r>
      <w:bookmarkEnd w:id="167"/>
      <w:bookmarkEnd w:id="168"/>
    </w:p>
    <w:p w14:paraId="39A9EE52" w14:textId="3A9DEC8F" w:rsidR="00D306D1" w:rsidRPr="00D306D1" w:rsidRDefault="00D306D1" w:rsidP="00893A77">
      <w:pPr>
        <w:pStyle w:val="BodyText2"/>
      </w:pPr>
      <w:r w:rsidRPr="00D306D1">
        <w:t>the collateral is cash on deposit</w:t>
      </w:r>
      <w:r w:rsidR="00A56C45">
        <w:t xml:space="preserve"> as defined in paragraph</w:t>
      </w:r>
      <w:r w:rsidR="00A56C45" w:rsidRPr="00A56C45">
        <w:t xml:space="preserve"> </w:t>
      </w:r>
      <w:r w:rsidR="00A56C45" w:rsidRPr="00A56C45">
        <w:fldChar w:fldCharType="begin"/>
      </w:r>
      <w:r w:rsidR="00A56C45" w:rsidRPr="00A56C45">
        <w:instrText xml:space="preserve"> REF _Ref3481553 \r \h </w:instrText>
      </w:r>
      <w:r w:rsidR="00A56C45">
        <w:instrText xml:space="preserve"> \* MERGEFORMAT </w:instrText>
      </w:r>
      <w:r w:rsidR="00A56C45" w:rsidRPr="00A56C45">
        <w:fldChar w:fldCharType="separate"/>
      </w:r>
      <w:r w:rsidR="0007706D">
        <w:t>14(a)</w:t>
      </w:r>
      <w:r w:rsidR="00A56C45" w:rsidRPr="00A56C45">
        <w:fldChar w:fldCharType="end"/>
      </w:r>
      <w:r w:rsidR="00A56C45">
        <w:t xml:space="preserve"> </w:t>
      </w:r>
      <w:r w:rsidR="00893A77">
        <w:t>of this Attachment</w:t>
      </w:r>
      <w:r w:rsidRPr="00D306D1">
        <w:t>;</w:t>
      </w:r>
      <w:r w:rsidR="00893A77">
        <w:t xml:space="preserve"> </w:t>
      </w:r>
      <w:r w:rsidRPr="00D306D1">
        <w:t>or</w:t>
      </w:r>
    </w:p>
    <w:p w14:paraId="4728A099" w14:textId="383BFE2B" w:rsidR="00D306D1" w:rsidRPr="00D306D1" w:rsidRDefault="00D306D1" w:rsidP="00893A77">
      <w:pPr>
        <w:pStyle w:val="BodyText2"/>
      </w:pPr>
      <w:r w:rsidRPr="00D306D1">
        <w:t xml:space="preserve">the collateral is in the form of sovereign securities eligible for a zero per cent risk weight as detailed in Attachment </w:t>
      </w:r>
      <w:r w:rsidR="00893A77">
        <w:t xml:space="preserve">B </w:t>
      </w:r>
      <w:r w:rsidR="00897D10">
        <w:t>to</w:t>
      </w:r>
      <w:r w:rsidR="00893A77">
        <w:t xml:space="preserve"> this Prudential Standard,</w:t>
      </w:r>
      <w:r w:rsidR="00893A77" w:rsidRPr="00D306D1">
        <w:t xml:space="preserve"> </w:t>
      </w:r>
      <w:r w:rsidRPr="00D306D1">
        <w:t xml:space="preserve">and </w:t>
      </w:r>
      <w:r w:rsidR="00893A77">
        <w:t>its</w:t>
      </w:r>
      <w:r w:rsidR="00893A77" w:rsidRPr="00D306D1">
        <w:t xml:space="preserve"> </w:t>
      </w:r>
      <w:r w:rsidRPr="00D306D1">
        <w:t>market value has been discounted by 20 per cent.</w:t>
      </w:r>
    </w:p>
    <w:p w14:paraId="05276B3D" w14:textId="3EED27D9" w:rsidR="00AB409F" w:rsidRDefault="00AB409F" w:rsidP="00AB409F">
      <w:pPr>
        <w:pStyle w:val="BodyText1"/>
      </w:pPr>
      <w:bookmarkStart w:id="169" w:name="_Ref3481716"/>
      <w:r>
        <w:t xml:space="preserve">SFTs that fulfil </w:t>
      </w:r>
      <w:proofErr w:type="gramStart"/>
      <w:r>
        <w:t>all of</w:t>
      </w:r>
      <w:proofErr w:type="gramEnd"/>
      <w:r>
        <w:t xml:space="preserve"> the following conditions may be </w:t>
      </w:r>
      <w:r w:rsidR="00E11380">
        <w:t>risk-weighted at 10 per cent</w:t>
      </w:r>
      <w:r w:rsidR="00933F05">
        <w:t xml:space="preserve">, or at zero per cent where the counterparty is a core market participant as defined in paragraph </w:t>
      </w:r>
      <w:r w:rsidR="00933F05">
        <w:fldChar w:fldCharType="begin"/>
      </w:r>
      <w:r w:rsidR="00933F05">
        <w:instrText xml:space="preserve"> REF _Ref3481397 \r \h </w:instrText>
      </w:r>
      <w:r w:rsidR="00933F05">
        <w:fldChar w:fldCharType="separate"/>
      </w:r>
      <w:r w:rsidR="0007706D">
        <w:t>20</w:t>
      </w:r>
      <w:r w:rsidR="00933F05">
        <w:fldChar w:fldCharType="end"/>
      </w:r>
      <w:r>
        <w:t>:</w:t>
      </w:r>
      <w:bookmarkEnd w:id="169"/>
    </w:p>
    <w:p w14:paraId="5449BB0E" w14:textId="30197A4E" w:rsidR="00AB409F" w:rsidRDefault="00AB409F" w:rsidP="00A02E46">
      <w:pPr>
        <w:pStyle w:val="BodyText2"/>
      </w:pPr>
      <w:r>
        <w:t xml:space="preserve">both the exposure and the collateral are cash, or a sovereign security qualifying for a zero per cent risk weight as set out in Attachment </w:t>
      </w:r>
      <w:r w:rsidR="006E4784">
        <w:t>B to</w:t>
      </w:r>
      <w:r>
        <w:t xml:space="preserve"> this Prudential Standard;</w:t>
      </w:r>
    </w:p>
    <w:p w14:paraId="2B99F542" w14:textId="5ADB74D8" w:rsidR="00AB409F" w:rsidRDefault="00AB409F" w:rsidP="00A02E46">
      <w:pPr>
        <w:pStyle w:val="BodyText2"/>
      </w:pPr>
      <w:r>
        <w:t>both the exposure and the collateral are denominated in the same currency;</w:t>
      </w:r>
    </w:p>
    <w:p w14:paraId="4C62B167" w14:textId="159686EE" w:rsidR="00AB409F" w:rsidRDefault="00AB409F" w:rsidP="00A02E46">
      <w:pPr>
        <w:pStyle w:val="BodyText2"/>
      </w:pPr>
      <w:r>
        <w:t xml:space="preserve">either the transaction is overnight, or both the exposure and the collateral are marked-to-market daily and are subject to daily </w:t>
      </w:r>
      <w:proofErr w:type="spellStart"/>
      <w:r>
        <w:t>remargining</w:t>
      </w:r>
      <w:proofErr w:type="spellEnd"/>
      <w:r>
        <w:t>;</w:t>
      </w:r>
    </w:p>
    <w:p w14:paraId="013CA0C0" w14:textId="03608A19" w:rsidR="00AB409F" w:rsidRDefault="00AB409F" w:rsidP="00A02E46">
      <w:pPr>
        <w:pStyle w:val="BodyText2"/>
      </w:pPr>
      <w:r>
        <w:t xml:space="preserve">following a counterparty’s failure to </w:t>
      </w:r>
      <w:proofErr w:type="spellStart"/>
      <w:r>
        <w:t>remargin</w:t>
      </w:r>
      <w:proofErr w:type="spellEnd"/>
      <w:r>
        <w:t xml:space="preserve">, the time between the last mark-to-market before the failure to </w:t>
      </w:r>
      <w:proofErr w:type="spellStart"/>
      <w:r>
        <w:t>remargin</w:t>
      </w:r>
      <w:proofErr w:type="spellEnd"/>
      <w:r>
        <w:t xml:space="preserve"> and the liquidation of the collateral is no more than four business days; </w:t>
      </w:r>
    </w:p>
    <w:p w14:paraId="0DEFA18C" w14:textId="1F80824E" w:rsidR="00AB409F" w:rsidRDefault="00AB409F" w:rsidP="00A02E46">
      <w:pPr>
        <w:pStyle w:val="BodyText2"/>
      </w:pPr>
      <w:r>
        <w:t>the transaction is settled across an established settlement system for that type of transaction;</w:t>
      </w:r>
    </w:p>
    <w:p w14:paraId="3D152963" w14:textId="1EBF60AB" w:rsidR="00AB409F" w:rsidRDefault="00AB409F" w:rsidP="00A02E46">
      <w:pPr>
        <w:pStyle w:val="BodyText2"/>
      </w:pPr>
      <w:r>
        <w:t>the documentation for the transaction is standard market documentation;</w:t>
      </w:r>
    </w:p>
    <w:p w14:paraId="6FE1A2C6" w14:textId="767E2387" w:rsidR="00AB409F" w:rsidRDefault="00AB409F" w:rsidP="00A02E46">
      <w:pPr>
        <w:pStyle w:val="BodyText2"/>
      </w:pPr>
      <w:r>
        <w:t>the documentation for the transaction specifies that if the counterparty fails to satisfy an obligation to deliver cash</w:t>
      </w:r>
      <w:r w:rsidR="00897D10">
        <w:t>,</w:t>
      </w:r>
      <w:r>
        <w:t xml:space="preserve"> securities or a margin call</w:t>
      </w:r>
      <w:r w:rsidR="00897D10">
        <w:t>,</w:t>
      </w:r>
      <w:r>
        <w:t xml:space="preserve"> or otherwise defaults, the transaction is immediately terminable; and</w:t>
      </w:r>
    </w:p>
    <w:p w14:paraId="3E2E8C5A" w14:textId="02435C02" w:rsidR="00AB409F" w:rsidRDefault="00AB409F" w:rsidP="00A02E46">
      <w:pPr>
        <w:pStyle w:val="BodyText2"/>
      </w:pPr>
      <w:r>
        <w:t>upon any default event, regardless of whether the counterparty is insolvent or bankrupt, the ADI has an unequivocal, legally enforceable right to immediately seize and liquidate the collateral.</w:t>
      </w:r>
    </w:p>
    <w:p w14:paraId="1ACB2D71" w14:textId="62BDFCFA" w:rsidR="00AB409F" w:rsidRDefault="00A02E46" w:rsidP="00E11380">
      <w:pPr>
        <w:pStyle w:val="BodyText1"/>
      </w:pPr>
      <w:bookmarkStart w:id="170" w:name="_Ref3481397"/>
      <w:bookmarkStart w:id="171" w:name="_Ref3483198"/>
      <w:r>
        <w:lastRenderedPageBreak/>
        <w:t>The</w:t>
      </w:r>
      <w:r w:rsidR="00AB409F">
        <w:t xml:space="preserve"> following entities are core market participants:</w:t>
      </w:r>
      <w:bookmarkEnd w:id="170"/>
      <w:bookmarkEnd w:id="171"/>
    </w:p>
    <w:p w14:paraId="7F9B0C3B" w14:textId="0B87A1B3" w:rsidR="00AB409F" w:rsidRDefault="00AB409F" w:rsidP="00144136">
      <w:pPr>
        <w:pStyle w:val="BodyText2"/>
      </w:pPr>
      <w:r>
        <w:t>the Australian Government and the Reserve Bank of Australia;</w:t>
      </w:r>
    </w:p>
    <w:p w14:paraId="7A313EDF" w14:textId="6114CB1D" w:rsidR="00AB409F" w:rsidRDefault="00A02E46" w:rsidP="00144136">
      <w:pPr>
        <w:pStyle w:val="BodyText2"/>
      </w:pPr>
      <w:r>
        <w:t>sovereigns</w:t>
      </w:r>
      <w:r w:rsidR="00AB409F">
        <w:t xml:space="preserve"> that qualify for a zero per cent risk weight</w:t>
      </w:r>
      <w:r>
        <w:t xml:space="preserve"> in accordance with Attachment B to this Prudential Standard</w:t>
      </w:r>
      <w:r w:rsidR="00AB409F">
        <w:t>;</w:t>
      </w:r>
    </w:p>
    <w:p w14:paraId="4E45F290" w14:textId="4B114FFA" w:rsidR="00AB409F" w:rsidRDefault="00AB409F" w:rsidP="00144136">
      <w:pPr>
        <w:pStyle w:val="BodyText2"/>
      </w:pPr>
      <w:r>
        <w:t>banks;</w:t>
      </w:r>
    </w:p>
    <w:p w14:paraId="6C775A66" w14:textId="75E99AB3" w:rsidR="00AB409F" w:rsidRDefault="00AB409F" w:rsidP="00144136">
      <w:pPr>
        <w:pStyle w:val="BodyText2"/>
      </w:pPr>
      <w:r>
        <w:t xml:space="preserve">other financial </w:t>
      </w:r>
      <w:r w:rsidR="00A02E46">
        <w:t xml:space="preserve">institutions </w:t>
      </w:r>
      <w:r>
        <w:t xml:space="preserve">(including insurance companies) eligible for a 20 per cent risk weight as set out in Attachment </w:t>
      </w:r>
      <w:r w:rsidR="00A02E46">
        <w:t>B to this Prudential Standard</w:t>
      </w:r>
      <w:r>
        <w:t>; and</w:t>
      </w:r>
    </w:p>
    <w:p w14:paraId="49E32810" w14:textId="1C330241" w:rsidR="00AB409F" w:rsidRDefault="00A02E46" w:rsidP="00144136">
      <w:pPr>
        <w:pStyle w:val="BodyText2"/>
      </w:pPr>
      <w:r>
        <w:t>qualifying central counterparties</w:t>
      </w:r>
      <w:r w:rsidR="000E4820">
        <w:t>, as defined in APS 180</w:t>
      </w:r>
      <w:r w:rsidR="00AB409F">
        <w:t>.</w:t>
      </w:r>
    </w:p>
    <w:p w14:paraId="6AD4A58D" w14:textId="71F66024" w:rsidR="00144136" w:rsidRDefault="00144136" w:rsidP="00144136">
      <w:pPr>
        <w:pStyle w:val="Heading1"/>
      </w:pPr>
      <w:bookmarkStart w:id="172" w:name="_Toc4489902"/>
      <w:r>
        <w:t>The comprehensive approach</w:t>
      </w:r>
      <w:bookmarkEnd w:id="172"/>
    </w:p>
    <w:p w14:paraId="106F3EB9" w14:textId="0F70A6AC" w:rsidR="00644095" w:rsidRDefault="00644095" w:rsidP="00144136">
      <w:pPr>
        <w:pStyle w:val="BodyText1"/>
      </w:pPr>
      <w:r>
        <w:t>An</w:t>
      </w:r>
      <w:r w:rsidR="00144136" w:rsidRPr="00144136">
        <w:t xml:space="preserve"> ADI</w:t>
      </w:r>
      <w:r>
        <w:t xml:space="preserve"> using the comprehensive approach</w:t>
      </w:r>
      <w:r w:rsidR="00144136" w:rsidRPr="00144136">
        <w:t xml:space="preserve"> </w:t>
      </w:r>
      <w:r w:rsidR="003A7E50">
        <w:t>may</w:t>
      </w:r>
      <w:r w:rsidR="00CF2401" w:rsidRPr="00144136">
        <w:t xml:space="preserve"> </w:t>
      </w:r>
      <w:r w:rsidR="00144136" w:rsidRPr="00144136">
        <w:t xml:space="preserve">take into account the </w:t>
      </w:r>
      <w:r>
        <w:t xml:space="preserve">risk mitigating </w:t>
      </w:r>
      <w:r w:rsidR="00144136" w:rsidRPr="00144136">
        <w:t>effects of any eligible collateral</w:t>
      </w:r>
      <w:r w:rsidR="003A7E50">
        <w:t xml:space="preserve">, in </w:t>
      </w:r>
      <w:r w:rsidR="003A7E50" w:rsidRPr="00144136">
        <w:t>calculat</w:t>
      </w:r>
      <w:r w:rsidR="003A7E50">
        <w:t>ing</w:t>
      </w:r>
      <w:r w:rsidR="003A7E50" w:rsidRPr="00144136">
        <w:t xml:space="preserve"> </w:t>
      </w:r>
      <w:r w:rsidR="003A7E50">
        <w:t>the EAD</w:t>
      </w:r>
      <w:r w:rsidR="003A7E50" w:rsidRPr="00144136">
        <w:t xml:space="preserve"> </w:t>
      </w:r>
      <w:r w:rsidR="0072081C">
        <w:t>for</w:t>
      </w:r>
      <w:r w:rsidR="003A7E50" w:rsidRPr="00144136">
        <w:t xml:space="preserve"> </w:t>
      </w:r>
      <w:r w:rsidR="003A7E50">
        <w:t>each</w:t>
      </w:r>
      <w:r w:rsidR="003A7E50" w:rsidRPr="00144136">
        <w:t xml:space="preserve"> counterparty</w:t>
      </w:r>
      <w:r w:rsidR="00144136" w:rsidRPr="00144136">
        <w:t xml:space="preserve">. </w:t>
      </w:r>
    </w:p>
    <w:p w14:paraId="48AB2737" w14:textId="78477419" w:rsidR="00907326" w:rsidRDefault="00907326" w:rsidP="00907326">
      <w:pPr>
        <w:pStyle w:val="Heading3"/>
      </w:pPr>
      <w:r>
        <w:t>Eligible financial collateral under the comprehensive approach</w:t>
      </w:r>
    </w:p>
    <w:p w14:paraId="1FA37C46" w14:textId="200F0390" w:rsidR="00680368" w:rsidRPr="00680368" w:rsidRDefault="006E4EFC" w:rsidP="00680368">
      <w:pPr>
        <w:pStyle w:val="BodyText1"/>
      </w:pPr>
      <w:bookmarkStart w:id="173" w:name="_Ref3470975"/>
      <w:bookmarkStart w:id="174" w:name="_Ref3481826"/>
      <w:bookmarkStart w:id="175" w:name="_Ref56152203"/>
      <w:r>
        <w:t>U</w:t>
      </w:r>
      <w:r w:rsidRPr="00680368">
        <w:t xml:space="preserve">nder </w:t>
      </w:r>
      <w:r w:rsidR="00680368" w:rsidRPr="00680368">
        <w:t>the comprehensive approach</w:t>
      </w:r>
      <w:r>
        <w:t>, eligible financial collateral is limited to</w:t>
      </w:r>
      <w:r w:rsidR="00680368" w:rsidRPr="00680368">
        <w:t>:</w:t>
      </w:r>
      <w:bookmarkEnd w:id="173"/>
      <w:bookmarkEnd w:id="174"/>
      <w:bookmarkEnd w:id="175"/>
    </w:p>
    <w:p w14:paraId="186103E3" w14:textId="61ACB551" w:rsidR="006E4EFC" w:rsidRDefault="006E4EFC" w:rsidP="00680368">
      <w:pPr>
        <w:pStyle w:val="BodyText2"/>
      </w:pPr>
      <w:bookmarkStart w:id="176" w:name="_Ref54004804"/>
      <w:bookmarkStart w:id="177" w:name="_Ref3481845"/>
      <w:r>
        <w:t xml:space="preserve">collateral </w:t>
      </w:r>
      <w:r w:rsidRPr="00680368">
        <w:t>items listed in</w:t>
      </w:r>
      <w:r>
        <w:t xml:space="preserve"> paragraph </w:t>
      </w:r>
      <w:r>
        <w:fldChar w:fldCharType="begin"/>
      </w:r>
      <w:r>
        <w:instrText xml:space="preserve"> REF _Ref3470947 \r \h </w:instrText>
      </w:r>
      <w:r>
        <w:fldChar w:fldCharType="separate"/>
      </w:r>
      <w:r w:rsidR="0007706D">
        <w:t>14</w:t>
      </w:r>
      <w:r>
        <w:fldChar w:fldCharType="end"/>
      </w:r>
      <w:r>
        <w:t xml:space="preserve"> </w:t>
      </w:r>
      <w:r w:rsidRPr="00680368">
        <w:t xml:space="preserve">of this </w:t>
      </w:r>
      <w:proofErr w:type="gramStart"/>
      <w:r w:rsidRPr="00680368">
        <w:t>Attachment</w:t>
      </w:r>
      <w:r>
        <w:t>;</w:t>
      </w:r>
      <w:bookmarkEnd w:id="176"/>
      <w:proofErr w:type="gramEnd"/>
    </w:p>
    <w:p w14:paraId="5DE35B06" w14:textId="6458624B" w:rsidR="00680368" w:rsidRDefault="00680368" w:rsidP="00680368">
      <w:pPr>
        <w:pStyle w:val="BodyText2"/>
      </w:pPr>
      <w:bookmarkStart w:id="178" w:name="_Ref54004850"/>
      <w:r>
        <w:t>equities (including convertible bonds) that are included in a main index or listed on a recognised exchange; and</w:t>
      </w:r>
      <w:bookmarkEnd w:id="177"/>
      <w:bookmarkEnd w:id="178"/>
    </w:p>
    <w:p w14:paraId="7627EDF6" w14:textId="17337383" w:rsidR="00680368" w:rsidRPr="006F6456" w:rsidRDefault="00680368" w:rsidP="00680368">
      <w:pPr>
        <w:pStyle w:val="BodyText2"/>
      </w:pPr>
      <w:bookmarkStart w:id="179" w:name="_Ref3481822"/>
      <w:r w:rsidRPr="006F6456">
        <w:t>units in trusts that</w:t>
      </w:r>
      <w:r w:rsidR="008B2026" w:rsidRPr="006F6456">
        <w:t xml:space="preserve"> meet the conditions of </w:t>
      </w:r>
      <w:r w:rsidR="006F6456" w:rsidRPr="006F6456">
        <w:t xml:space="preserve">paragraph </w:t>
      </w:r>
      <w:r w:rsidR="006F6456" w:rsidRPr="006F6456">
        <w:fldChar w:fldCharType="begin"/>
      </w:r>
      <w:r w:rsidR="006F6456" w:rsidRPr="006F6456">
        <w:instrText xml:space="preserve"> REF _Ref3481800 \r \h </w:instrText>
      </w:r>
      <w:r w:rsidR="006F6456">
        <w:instrText xml:space="preserve"> \* MERGEFORMAT </w:instrText>
      </w:r>
      <w:r w:rsidR="006F6456" w:rsidRPr="006F6456">
        <w:fldChar w:fldCharType="separate"/>
      </w:r>
      <w:r w:rsidR="0007706D">
        <w:t>14(f)</w:t>
      </w:r>
      <w:r w:rsidR="006F6456" w:rsidRPr="006F6456">
        <w:fldChar w:fldCharType="end"/>
      </w:r>
      <w:r w:rsidR="008B2026" w:rsidRPr="006F6456">
        <w:t xml:space="preserve"> of this Attachment and that</w:t>
      </w:r>
      <w:r w:rsidRPr="006F6456">
        <w:t xml:space="preserve"> invest in </w:t>
      </w:r>
      <w:r w:rsidR="00EB566F">
        <w:t>the item</w:t>
      </w:r>
      <w:r w:rsidR="00EB566F" w:rsidRPr="00EB566F">
        <w:t xml:space="preserve">s detailed in paragraphs </w:t>
      </w:r>
      <w:r w:rsidR="00EB566F">
        <w:fldChar w:fldCharType="begin"/>
      </w:r>
      <w:r w:rsidR="00EB566F">
        <w:instrText xml:space="preserve"> REF _Ref3470975 \r \h </w:instrText>
      </w:r>
      <w:r w:rsidR="00EB566F">
        <w:fldChar w:fldCharType="separate"/>
      </w:r>
      <w:r w:rsidR="0007706D">
        <w:t>22</w:t>
      </w:r>
      <w:r w:rsidR="00EB566F">
        <w:fldChar w:fldCharType="end"/>
      </w:r>
      <w:r w:rsidR="00EB566F">
        <w:fldChar w:fldCharType="begin"/>
      </w:r>
      <w:r w:rsidR="00EB566F">
        <w:instrText xml:space="preserve"> REF _Ref54004804 \r \h </w:instrText>
      </w:r>
      <w:r w:rsidR="00EB566F">
        <w:fldChar w:fldCharType="separate"/>
      </w:r>
      <w:r w:rsidR="0007706D">
        <w:t>(a)</w:t>
      </w:r>
      <w:r w:rsidR="00EB566F">
        <w:fldChar w:fldCharType="end"/>
      </w:r>
      <w:r w:rsidR="00EB566F" w:rsidRPr="00EB566F">
        <w:t xml:space="preserve"> </w:t>
      </w:r>
      <w:r w:rsidR="00EB566F">
        <w:t>or</w:t>
      </w:r>
      <w:r w:rsidR="00EB566F" w:rsidRPr="00EB566F">
        <w:t xml:space="preserve"> </w:t>
      </w:r>
      <w:r w:rsidR="00EB566F">
        <w:fldChar w:fldCharType="begin"/>
      </w:r>
      <w:r w:rsidR="00EB566F">
        <w:instrText xml:space="preserve"> REF _Ref3470975 \r \h </w:instrText>
      </w:r>
      <w:r w:rsidR="00EB566F">
        <w:fldChar w:fldCharType="separate"/>
      </w:r>
      <w:r w:rsidR="0007706D">
        <w:t>22</w:t>
      </w:r>
      <w:r w:rsidR="00EB566F">
        <w:fldChar w:fldCharType="end"/>
      </w:r>
      <w:r w:rsidR="00EB566F">
        <w:fldChar w:fldCharType="begin"/>
      </w:r>
      <w:r w:rsidR="00EB566F">
        <w:instrText xml:space="preserve"> REF _Ref54004850 \r \h </w:instrText>
      </w:r>
      <w:r w:rsidR="00EB566F">
        <w:fldChar w:fldCharType="separate"/>
      </w:r>
      <w:r w:rsidR="0007706D">
        <w:t>(b)</w:t>
      </w:r>
      <w:r w:rsidR="00EB566F">
        <w:fldChar w:fldCharType="end"/>
      </w:r>
      <w:r w:rsidR="00EB566F">
        <w:t xml:space="preserve"> </w:t>
      </w:r>
      <w:r w:rsidRPr="006F6456">
        <w:t>of this Attachment.</w:t>
      </w:r>
      <w:bookmarkEnd w:id="179"/>
    </w:p>
    <w:p w14:paraId="3833E637" w14:textId="77777777" w:rsidR="008B2026" w:rsidRPr="008B2026" w:rsidRDefault="008B2026" w:rsidP="008B2026">
      <w:pPr>
        <w:pStyle w:val="Heading3"/>
      </w:pPr>
      <w:bookmarkStart w:id="180" w:name="_Toc460484834"/>
      <w:bookmarkStart w:id="181" w:name="_Toc461699122"/>
      <w:r w:rsidRPr="008B2026">
        <w:t>Calculation of Regulatory Capital for collateralised transactions</w:t>
      </w:r>
      <w:bookmarkEnd w:id="180"/>
      <w:bookmarkEnd w:id="181"/>
    </w:p>
    <w:p w14:paraId="10A6459A" w14:textId="4AD8CD7A" w:rsidR="002A5458" w:rsidRDefault="008B2026" w:rsidP="002A5458">
      <w:pPr>
        <w:pStyle w:val="BodyText1"/>
      </w:pPr>
      <w:bookmarkStart w:id="182" w:name="_Ref460427055"/>
      <w:bookmarkStart w:id="183" w:name="_Ref3482362"/>
      <w:r w:rsidRPr="008B2026">
        <w:t xml:space="preserve">For a collateralised transaction under the comprehensive approach, </w:t>
      </w:r>
      <w:r w:rsidR="00F11A56">
        <w:t xml:space="preserve">including SFTs, </w:t>
      </w:r>
      <w:r w:rsidR="00DD28D4">
        <w:t xml:space="preserve">an ADI must </w:t>
      </w:r>
      <w:r w:rsidR="00F11A56">
        <w:t>adjust EAD</w:t>
      </w:r>
      <w:r w:rsidR="00DD28D4">
        <w:t xml:space="preserve"> </w:t>
      </w:r>
      <w:r w:rsidRPr="008B2026">
        <w:t>as follows:</w:t>
      </w:r>
      <w:bookmarkEnd w:id="182"/>
      <w:bookmarkEnd w:id="183"/>
    </w:p>
    <w:p w14:paraId="10091D4F" w14:textId="40D3B5D1" w:rsidR="00967449" w:rsidRDefault="00967449" w:rsidP="0029642F">
      <w:pPr>
        <w:spacing w:after="0"/>
        <w:rPr>
          <w:rFonts w:eastAsia="Times New Roman"/>
        </w:rPr>
      </w:pPr>
      <w:bookmarkStart w:id="184" w:name="_Hlk81993870"/>
      <w:r w:rsidRPr="00967449">
        <w:rPr>
          <w:noProof/>
        </w:rPr>
        <w:drawing>
          <wp:inline distT="0" distB="0" distL="0" distR="0" wp14:anchorId="132FEADC" wp14:editId="0D4D792B">
            <wp:extent cx="5278120" cy="588010"/>
            <wp:effectExtent l="0" t="0" r="0" b="0"/>
            <wp:docPr id="4" name="Picture 4" descr="A formula for E*, the adjusted EAD, for a collateralised transaction under the comprehensive approach, including SF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formula for E*, the adjusted EAD, for a collateralised transaction under the comprehensive approach, including SFTs."/>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278120" cy="588010"/>
                    </a:xfrm>
                    <a:prstGeom prst="rect">
                      <a:avLst/>
                    </a:prstGeom>
                    <a:noFill/>
                    <a:ln>
                      <a:noFill/>
                    </a:ln>
                  </pic:spPr>
                </pic:pic>
              </a:graphicData>
            </a:graphic>
          </wp:inline>
        </w:drawing>
      </w:r>
    </w:p>
    <w:bookmarkEnd w:id="184"/>
    <w:p w14:paraId="348F17E2" w14:textId="77777777" w:rsidR="008B2026" w:rsidRPr="00EE73EA" w:rsidRDefault="008B2026" w:rsidP="008B2026">
      <w:pPr>
        <w:ind w:left="567"/>
      </w:pPr>
      <w:r w:rsidRPr="00EE73EA">
        <w:t>where:</w:t>
      </w:r>
    </w:p>
    <w:p w14:paraId="70940A52" w14:textId="1463C209" w:rsidR="008B2026" w:rsidRPr="008F2E80" w:rsidRDefault="008B2026" w:rsidP="00406931">
      <w:pPr>
        <w:ind w:left="1134"/>
        <w:jc w:val="both"/>
      </w:pPr>
      <w:r w:rsidRPr="00C05B8D">
        <w:rPr>
          <w:rFonts w:asciiTheme="minorHAnsi" w:hAnsiTheme="minorHAnsi" w:cstheme="minorHAnsi"/>
          <w:i/>
        </w:rPr>
        <w:t>E*</w:t>
      </w:r>
      <w:r w:rsidRPr="008F2E80">
        <w:tab/>
      </w:r>
      <w:r w:rsidR="001848C9">
        <w:t xml:space="preserve">is </w:t>
      </w:r>
      <w:r w:rsidRPr="008F2E80">
        <w:t xml:space="preserve">the adjusted </w:t>
      </w:r>
      <w:r w:rsidR="00F11A56" w:rsidRPr="008F2E80">
        <w:t>EAD</w:t>
      </w:r>
    </w:p>
    <w:p w14:paraId="7A5CE818" w14:textId="1A258499" w:rsidR="008B2026" w:rsidRPr="008F2E80" w:rsidRDefault="008B2026" w:rsidP="00D65738">
      <w:pPr>
        <w:ind w:left="1701" w:hanging="567"/>
        <w:jc w:val="both"/>
      </w:pPr>
      <w:r w:rsidRPr="00C05B8D">
        <w:rPr>
          <w:rFonts w:asciiTheme="minorHAnsi" w:hAnsiTheme="minorHAnsi" w:cstheme="minorHAnsi"/>
          <w:i/>
        </w:rPr>
        <w:t>E</w:t>
      </w:r>
      <w:r w:rsidR="00EB175E" w:rsidRPr="00C05B8D">
        <w:rPr>
          <w:rFonts w:asciiTheme="minorHAnsi" w:hAnsiTheme="minorHAnsi" w:cstheme="minorHAnsi"/>
          <w:i/>
        </w:rPr>
        <w:t>’</w:t>
      </w:r>
      <w:r w:rsidRPr="008F2E80">
        <w:tab/>
      </w:r>
      <w:r w:rsidR="001848C9">
        <w:t>is</w:t>
      </w:r>
      <w:r w:rsidR="00C05B8D">
        <w:t xml:space="preserve"> </w:t>
      </w:r>
      <w:r w:rsidR="00C05B8D">
        <w:rPr>
          <w:noProof/>
        </w:rPr>
        <w:drawing>
          <wp:inline distT="0" distB="0" distL="0" distR="0" wp14:anchorId="76EA5980" wp14:editId="3E2BA616">
            <wp:extent cx="1131083" cy="199970"/>
            <wp:effectExtent l="0" t="0" r="0" b="0"/>
            <wp:docPr id="14" name="Picture 14" descr="A formula for E', an element in the formula for E*, the adjusted EAD, for a collateralised transaction under the comprehensive approach, including SF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formula for E', an element in the formula for E*, the adjusted EAD, for a collateralised transaction under the comprehensive approach, including SFTs."/>
                    <pic:cNvPicPr/>
                  </pic:nvPicPr>
                  <pic:blipFill>
                    <a:blip r:embed="rId28"/>
                    <a:stretch>
                      <a:fillRect/>
                    </a:stretch>
                  </pic:blipFill>
                  <pic:spPr>
                    <a:xfrm>
                      <a:off x="0" y="0"/>
                      <a:ext cx="1196495" cy="211535"/>
                    </a:xfrm>
                    <a:prstGeom prst="rect">
                      <a:avLst/>
                    </a:prstGeom>
                  </pic:spPr>
                </pic:pic>
              </a:graphicData>
            </a:graphic>
          </wp:inline>
        </w:drawing>
      </w:r>
      <w:r w:rsidR="00C05B8D">
        <w:t xml:space="preserve"> </w:t>
      </w:r>
      <w:r w:rsidR="00B14C1C" w:rsidRPr="008F2E80">
        <w:t xml:space="preserve">where </w:t>
      </w:r>
      <w:proofErr w:type="spellStart"/>
      <w:r w:rsidR="00B14C1C" w:rsidRPr="008F2E80">
        <w:rPr>
          <w:i/>
        </w:rPr>
        <w:t>E</w:t>
      </w:r>
      <w:r w:rsidR="004E4E83" w:rsidRPr="008F2E80">
        <w:rPr>
          <w:i/>
          <w:vertAlign w:val="subscript"/>
        </w:rPr>
        <w:t>j</w:t>
      </w:r>
      <w:proofErr w:type="spellEnd"/>
      <w:r w:rsidR="00B14C1C" w:rsidRPr="008F2E80">
        <w:t xml:space="preserve"> is the </w:t>
      </w:r>
      <w:r w:rsidR="00F11A56" w:rsidRPr="008F2E80">
        <w:t xml:space="preserve">EAD </w:t>
      </w:r>
      <w:r w:rsidR="004E4E83" w:rsidRPr="008F2E80">
        <w:t xml:space="preserve">of the </w:t>
      </w:r>
      <w:r w:rsidR="004E4E83" w:rsidRPr="008F2E80">
        <w:rPr>
          <w:i/>
        </w:rPr>
        <w:t>j</w:t>
      </w:r>
      <w:r w:rsidR="004E4E83" w:rsidRPr="008F2E80">
        <w:t>-</w:t>
      </w:r>
      <w:proofErr w:type="spellStart"/>
      <w:r w:rsidR="004E4E83" w:rsidRPr="008F2E80">
        <w:t>th</w:t>
      </w:r>
      <w:proofErr w:type="spellEnd"/>
      <w:r w:rsidR="004E4E83" w:rsidRPr="008F2E80">
        <w:t xml:space="preserve"> item of exposure or posted collateral under the transaction, </w:t>
      </w:r>
      <w:r w:rsidR="00F11A56" w:rsidRPr="008F2E80">
        <w:t xml:space="preserve">prior to </w:t>
      </w:r>
      <w:r w:rsidR="004E4E83" w:rsidRPr="008F2E80">
        <w:t xml:space="preserve">haircuts or </w:t>
      </w:r>
      <w:r w:rsidR="00F11A56" w:rsidRPr="008F2E80">
        <w:t xml:space="preserve">adjustment for </w:t>
      </w:r>
      <w:r w:rsidR="004E4E83" w:rsidRPr="008F2E80">
        <w:t xml:space="preserve">received </w:t>
      </w:r>
      <w:r w:rsidR="00F11A56" w:rsidRPr="008F2E80">
        <w:t>collateral</w:t>
      </w:r>
      <w:r w:rsidR="003A642B" w:rsidRPr="008F2E80">
        <w:t>. For</w:t>
      </w:r>
      <w:r w:rsidR="00EB175E" w:rsidRPr="008F2E80">
        <w:t xml:space="preserve"> OTC derivatives to which the ADI applies the adjusted CEM (refer to Attachment E to APS 180), </w:t>
      </w:r>
      <w:r w:rsidR="00EB175E" w:rsidRPr="00746113">
        <w:rPr>
          <w:rFonts w:asciiTheme="minorHAnsi" w:hAnsiTheme="minorHAnsi" w:cstheme="minorHAnsi"/>
          <w:i/>
        </w:rPr>
        <w:lastRenderedPageBreak/>
        <w:t>E’</w:t>
      </w:r>
      <w:r w:rsidR="00EB175E" w:rsidRPr="00746113">
        <w:rPr>
          <w:rFonts w:asciiTheme="minorHAnsi" w:hAnsiTheme="minorHAnsi" w:cstheme="minorHAnsi"/>
        </w:rPr>
        <w:t xml:space="preserve"> </w:t>
      </w:r>
      <w:r w:rsidR="00EB175E" w:rsidRPr="008F2E80">
        <w:t>is the credit equivalent amount of the OTC derivative without adjustment for the impact of collateral</w:t>
      </w:r>
    </w:p>
    <w:p w14:paraId="5940C7BE" w14:textId="49EF60C1" w:rsidR="008B2026" w:rsidRPr="008F2E80" w:rsidRDefault="008B2026" w:rsidP="002411D0">
      <w:pPr>
        <w:ind w:left="1701" w:hanging="567"/>
        <w:jc w:val="both"/>
      </w:pPr>
      <w:proofErr w:type="spellStart"/>
      <w:r w:rsidRPr="008F2E80">
        <w:rPr>
          <w:i/>
        </w:rPr>
        <w:t>H</w:t>
      </w:r>
      <w:r w:rsidR="0064349C" w:rsidRPr="008F2E80">
        <w:rPr>
          <w:i/>
          <w:vertAlign w:val="subscript"/>
        </w:rPr>
        <w:t>j</w:t>
      </w:r>
      <w:proofErr w:type="spellEnd"/>
      <w:r w:rsidRPr="008F2E80">
        <w:tab/>
      </w:r>
      <w:r w:rsidR="007C08A5" w:rsidRPr="008F2E80">
        <w:t xml:space="preserve">is the </w:t>
      </w:r>
      <w:r w:rsidRPr="008F2E80">
        <w:t xml:space="preserve">haircut appropriate to the </w:t>
      </w:r>
      <w:r w:rsidR="0064349C" w:rsidRPr="008F2E80">
        <w:rPr>
          <w:i/>
        </w:rPr>
        <w:t>j</w:t>
      </w:r>
      <w:r w:rsidR="0064349C" w:rsidRPr="008F2E80">
        <w:t>-</w:t>
      </w:r>
      <w:proofErr w:type="spellStart"/>
      <w:r w:rsidR="0064349C" w:rsidRPr="008F2E80">
        <w:t>th</w:t>
      </w:r>
      <w:proofErr w:type="spellEnd"/>
      <w:r w:rsidR="0064349C" w:rsidRPr="008F2E80">
        <w:t xml:space="preserve"> item of </w:t>
      </w:r>
      <w:r w:rsidRPr="008F2E80">
        <w:t>exposure</w:t>
      </w:r>
      <w:r w:rsidR="0064349C" w:rsidRPr="008F2E80">
        <w:t xml:space="preserve"> or posted collateral</w:t>
      </w:r>
      <w:r w:rsidR="004E4E83" w:rsidRPr="008F2E80">
        <w:t xml:space="preserve"> under the transaction</w:t>
      </w:r>
      <w:r w:rsidR="007C08A5" w:rsidRPr="008F2E80">
        <w:t>,</w:t>
      </w:r>
      <w:r w:rsidR="008D148E" w:rsidRPr="008F2E80">
        <w:t xml:space="preserve"> calculated in accordance with </w:t>
      </w:r>
      <w:r w:rsidR="00DC3B14" w:rsidRPr="008F2E80">
        <w:t xml:space="preserve">paragraph </w:t>
      </w:r>
      <w:r w:rsidR="00DC3B14" w:rsidRPr="008F2E80">
        <w:fldChar w:fldCharType="begin"/>
      </w:r>
      <w:r w:rsidR="00DC3B14" w:rsidRPr="008F2E80">
        <w:instrText xml:space="preserve"> REF _Ref3482205 \r \h  \* MERGEFORMAT </w:instrText>
      </w:r>
      <w:r w:rsidR="00DC3B14" w:rsidRPr="008F2E80">
        <w:fldChar w:fldCharType="separate"/>
      </w:r>
      <w:r w:rsidR="0007706D">
        <w:t>28</w:t>
      </w:r>
      <w:r w:rsidR="00DC3B14" w:rsidRPr="008F2E80">
        <w:fldChar w:fldCharType="end"/>
      </w:r>
      <w:r w:rsidR="008D148E" w:rsidRPr="008F2E80">
        <w:t xml:space="preserve"> of this Attachment</w:t>
      </w:r>
    </w:p>
    <w:p w14:paraId="708B24EC" w14:textId="7674E4F0" w:rsidR="00E63E3E" w:rsidRPr="008F2E80" w:rsidRDefault="008B2026" w:rsidP="004801FC">
      <w:pPr>
        <w:ind w:left="1689" w:hanging="555"/>
        <w:jc w:val="both"/>
      </w:pPr>
      <w:r w:rsidRPr="008F2E80">
        <w:rPr>
          <w:i/>
        </w:rPr>
        <w:t>C</w:t>
      </w:r>
      <w:r w:rsidR="008C456A" w:rsidRPr="008F2E80">
        <w:rPr>
          <w:i/>
          <w:vertAlign w:val="subscript"/>
        </w:rPr>
        <w:t>i</w:t>
      </w:r>
      <w:r w:rsidRPr="008F2E80">
        <w:tab/>
      </w:r>
      <w:r w:rsidR="007C08A5" w:rsidRPr="008F2E80">
        <w:t xml:space="preserve">is </w:t>
      </w:r>
      <w:r w:rsidRPr="008F2E80">
        <w:t xml:space="preserve">the current value of the </w:t>
      </w:r>
      <w:proofErr w:type="spellStart"/>
      <w:r w:rsidR="008C456A" w:rsidRPr="008F2E80">
        <w:rPr>
          <w:i/>
        </w:rPr>
        <w:t>i</w:t>
      </w:r>
      <w:r w:rsidR="008C456A" w:rsidRPr="008F2E80">
        <w:t>-th</w:t>
      </w:r>
      <w:proofErr w:type="spellEnd"/>
      <w:r w:rsidR="008C456A" w:rsidRPr="008F2E80">
        <w:t xml:space="preserve"> item of </w:t>
      </w:r>
      <w:r w:rsidR="00975685" w:rsidRPr="008F2E80">
        <w:t>received</w:t>
      </w:r>
      <w:r w:rsidR="007B3471" w:rsidRPr="008F2E80">
        <w:t xml:space="preserve"> </w:t>
      </w:r>
      <w:r w:rsidRPr="008F2E80">
        <w:t>collateral</w:t>
      </w:r>
      <w:r w:rsidR="00DC4485" w:rsidRPr="008F2E80">
        <w:t xml:space="preserve"> under the transaction</w:t>
      </w:r>
      <w:r w:rsidR="00C9512A" w:rsidRPr="008F2E80">
        <w:t xml:space="preserve">, adjusted for any maturity mismatch in accordance with </w:t>
      </w:r>
      <w:r w:rsidR="00DC3B14" w:rsidRPr="008F2E80">
        <w:t xml:space="preserve">paragraphs </w:t>
      </w:r>
      <w:r w:rsidR="00DC3B14" w:rsidRPr="008F2E80">
        <w:fldChar w:fldCharType="begin"/>
      </w:r>
      <w:r w:rsidR="00DC3B14" w:rsidRPr="008F2E80">
        <w:instrText xml:space="preserve"> REF _Ref3482282 \r \h  \* MERGEFORMAT </w:instrText>
      </w:r>
      <w:r w:rsidR="00DC3B14" w:rsidRPr="008F2E80">
        <w:fldChar w:fldCharType="separate"/>
      </w:r>
      <w:r w:rsidR="0007706D">
        <w:t>24</w:t>
      </w:r>
      <w:r w:rsidR="00DC3B14" w:rsidRPr="008F2E80">
        <w:fldChar w:fldCharType="end"/>
      </w:r>
      <w:r w:rsidR="00DC3B14" w:rsidRPr="008F2E80">
        <w:t xml:space="preserve"> to </w:t>
      </w:r>
      <w:r w:rsidR="00DC3B14" w:rsidRPr="008F2E80">
        <w:fldChar w:fldCharType="begin"/>
      </w:r>
      <w:r w:rsidR="00DC3B14" w:rsidRPr="008F2E80">
        <w:instrText xml:space="preserve"> REF _Ref3482299 \r \h  \* MERGEFORMAT </w:instrText>
      </w:r>
      <w:r w:rsidR="00DC3B14" w:rsidRPr="008F2E80">
        <w:fldChar w:fldCharType="separate"/>
      </w:r>
      <w:r w:rsidR="0007706D">
        <w:t>27</w:t>
      </w:r>
      <w:r w:rsidR="00DC3B14" w:rsidRPr="008F2E80">
        <w:fldChar w:fldCharType="end"/>
      </w:r>
      <w:r w:rsidR="00C9512A" w:rsidRPr="008F2E80">
        <w:t xml:space="preserve"> of this Attachment</w:t>
      </w:r>
    </w:p>
    <w:p w14:paraId="7F7F46C6" w14:textId="2A710FAA" w:rsidR="008B2026" w:rsidRPr="008F2E80" w:rsidRDefault="008B2026" w:rsidP="004801FC">
      <w:pPr>
        <w:ind w:left="1689" w:hanging="555"/>
        <w:jc w:val="both"/>
      </w:pPr>
      <w:r w:rsidRPr="008F2E80">
        <w:rPr>
          <w:i/>
        </w:rPr>
        <w:t>H</w:t>
      </w:r>
      <w:r w:rsidR="00DC4485" w:rsidRPr="008F2E80">
        <w:rPr>
          <w:vertAlign w:val="subscript"/>
        </w:rPr>
        <w:t>i</w:t>
      </w:r>
      <w:r w:rsidRPr="008F2E80">
        <w:tab/>
      </w:r>
      <w:r w:rsidR="00B366AE" w:rsidRPr="008F2E80">
        <w:t xml:space="preserve">is the </w:t>
      </w:r>
      <w:r w:rsidRPr="008F2E80">
        <w:t xml:space="preserve">haircut appropriate to the </w:t>
      </w:r>
      <w:proofErr w:type="spellStart"/>
      <w:r w:rsidR="00DC4485" w:rsidRPr="008F2E80">
        <w:rPr>
          <w:i/>
        </w:rPr>
        <w:t>i</w:t>
      </w:r>
      <w:r w:rsidR="00DC4485" w:rsidRPr="008F2E80">
        <w:t>-th</w:t>
      </w:r>
      <w:proofErr w:type="spellEnd"/>
      <w:r w:rsidR="00DC4485" w:rsidRPr="008F2E80">
        <w:t xml:space="preserve"> item of </w:t>
      </w:r>
      <w:r w:rsidR="00D91003" w:rsidRPr="008F2E80">
        <w:t>received</w:t>
      </w:r>
      <w:r w:rsidR="00B366AE" w:rsidRPr="008F2E80">
        <w:t xml:space="preserve"> </w:t>
      </w:r>
      <w:r w:rsidRPr="008F2E80">
        <w:t>collateral</w:t>
      </w:r>
      <w:r w:rsidR="008D148E" w:rsidRPr="008F2E80">
        <w:t xml:space="preserve"> </w:t>
      </w:r>
      <w:r w:rsidR="00DC4485" w:rsidRPr="008F2E80">
        <w:t>under the transaction,</w:t>
      </w:r>
      <w:r w:rsidR="008D148E" w:rsidRPr="008F2E80">
        <w:t xml:space="preserve"> calculated in accordance with </w:t>
      </w:r>
      <w:r w:rsidR="00DC3B14" w:rsidRPr="008F2E80">
        <w:t xml:space="preserve">paragraph </w:t>
      </w:r>
      <w:r w:rsidR="00DC3B14" w:rsidRPr="008F2E80">
        <w:fldChar w:fldCharType="begin"/>
      </w:r>
      <w:r w:rsidR="00DC3B14" w:rsidRPr="008F2E80">
        <w:instrText xml:space="preserve"> REF _Ref3482205 \r \h  \* MERGEFORMAT </w:instrText>
      </w:r>
      <w:r w:rsidR="00DC3B14" w:rsidRPr="008F2E80">
        <w:fldChar w:fldCharType="separate"/>
      </w:r>
      <w:r w:rsidR="0007706D">
        <w:t>28</w:t>
      </w:r>
      <w:r w:rsidR="00DC3B14" w:rsidRPr="008F2E80">
        <w:fldChar w:fldCharType="end"/>
      </w:r>
      <w:r w:rsidR="00DC3B14" w:rsidRPr="008F2E80">
        <w:t xml:space="preserve"> </w:t>
      </w:r>
      <w:r w:rsidR="008D148E" w:rsidRPr="008F2E80">
        <w:t>of this Attachment</w:t>
      </w:r>
    </w:p>
    <w:p w14:paraId="5C444934" w14:textId="20515A43" w:rsidR="00EB175E" w:rsidRPr="008F2E80" w:rsidRDefault="008B2026" w:rsidP="004801FC">
      <w:pPr>
        <w:ind w:left="1689" w:hanging="555"/>
        <w:jc w:val="both"/>
      </w:pPr>
      <w:proofErr w:type="spellStart"/>
      <w:proofErr w:type="gramStart"/>
      <w:r w:rsidRPr="008F2E80">
        <w:rPr>
          <w:i/>
        </w:rPr>
        <w:t>H</w:t>
      </w:r>
      <w:r w:rsidRPr="008F2E80">
        <w:rPr>
          <w:i/>
          <w:vertAlign w:val="subscript"/>
        </w:rPr>
        <w:t>fx</w:t>
      </w:r>
      <w:r w:rsidR="00DC4485" w:rsidRPr="008F2E80">
        <w:rPr>
          <w:vertAlign w:val="subscript"/>
        </w:rPr>
        <w:t>,</w:t>
      </w:r>
      <w:r w:rsidR="00DC4485" w:rsidRPr="008F2E80">
        <w:rPr>
          <w:i/>
          <w:vertAlign w:val="subscript"/>
        </w:rPr>
        <w:t>i</w:t>
      </w:r>
      <w:proofErr w:type="spellEnd"/>
      <w:proofErr w:type="gramEnd"/>
      <w:r w:rsidRPr="008F2E80">
        <w:tab/>
      </w:r>
      <w:r w:rsidR="00536D58" w:rsidRPr="008F2E80">
        <w:t xml:space="preserve">is the </w:t>
      </w:r>
      <w:r w:rsidRPr="008F2E80">
        <w:t>haircut appropriate for currency mismatch between the</w:t>
      </w:r>
      <w:r w:rsidR="00B366AE" w:rsidRPr="008F2E80">
        <w:t xml:space="preserve"> </w:t>
      </w:r>
      <w:r w:rsidR="00527BF6" w:rsidRPr="008F2E80">
        <w:t xml:space="preserve">exposure and </w:t>
      </w:r>
      <w:r w:rsidRPr="008F2E80">
        <w:t>the</w:t>
      </w:r>
      <w:r w:rsidR="00B366AE" w:rsidRPr="008F2E80">
        <w:t xml:space="preserve"> </w:t>
      </w:r>
      <w:proofErr w:type="spellStart"/>
      <w:r w:rsidR="00DC4485" w:rsidRPr="008F2E80">
        <w:rPr>
          <w:i/>
        </w:rPr>
        <w:t>i</w:t>
      </w:r>
      <w:r w:rsidR="00DC4485" w:rsidRPr="008F2E80">
        <w:t>-th</w:t>
      </w:r>
      <w:proofErr w:type="spellEnd"/>
      <w:r w:rsidR="00DC4485" w:rsidRPr="008F2E80">
        <w:t xml:space="preserve"> item of </w:t>
      </w:r>
      <w:r w:rsidR="00D91003" w:rsidRPr="008F2E80">
        <w:t>received</w:t>
      </w:r>
      <w:r w:rsidRPr="008F2E80">
        <w:t xml:space="preserve"> collateral </w:t>
      </w:r>
      <w:r w:rsidR="00DC4485" w:rsidRPr="008F2E80">
        <w:t xml:space="preserve">under the transaction, </w:t>
      </w:r>
      <w:r w:rsidR="00A67A20" w:rsidRPr="008F2E80">
        <w:t xml:space="preserve">calculated in accordance with </w:t>
      </w:r>
      <w:r w:rsidR="00DC3B14" w:rsidRPr="008F2E80">
        <w:t xml:space="preserve">paragraph </w:t>
      </w:r>
      <w:r w:rsidR="00DC3B14" w:rsidRPr="008F2E80">
        <w:fldChar w:fldCharType="begin"/>
      </w:r>
      <w:r w:rsidR="00DC3B14" w:rsidRPr="008F2E80">
        <w:instrText xml:space="preserve"> REF _Ref3482320 \r \h  \* MERGEFORMAT </w:instrText>
      </w:r>
      <w:r w:rsidR="00DC3B14" w:rsidRPr="008F2E80">
        <w:fldChar w:fldCharType="separate"/>
      </w:r>
      <w:r w:rsidR="0007706D">
        <w:t>29</w:t>
      </w:r>
      <w:r w:rsidR="00DC3B14" w:rsidRPr="008F2E80">
        <w:fldChar w:fldCharType="end"/>
      </w:r>
      <w:r w:rsidR="00A67A20" w:rsidRPr="008F2E80">
        <w:t xml:space="preserve"> of this Attachment</w:t>
      </w:r>
    </w:p>
    <w:p w14:paraId="50CB25F8" w14:textId="69F09E06" w:rsidR="008B2026" w:rsidRDefault="00EB175E" w:rsidP="004801FC">
      <w:pPr>
        <w:ind w:left="1689" w:hanging="555"/>
        <w:jc w:val="both"/>
      </w:pPr>
      <w:r w:rsidRPr="008F2E80">
        <w:rPr>
          <w:i/>
        </w:rPr>
        <w:t>A</w:t>
      </w:r>
      <w:r w:rsidRPr="008F2E80">
        <w:rPr>
          <w:i/>
        </w:rPr>
        <w:tab/>
      </w:r>
      <w:r w:rsidRPr="008F2E80">
        <w:t>is the margining frequency adjustment factor</w:t>
      </w:r>
      <w:r w:rsidR="00182DEC" w:rsidRPr="008F2E80">
        <w:t xml:space="preserve"> determined in accordance wi</w:t>
      </w:r>
      <w:r w:rsidR="000F6D82" w:rsidRPr="008F2E80">
        <w:t>t</w:t>
      </w:r>
      <w:r w:rsidR="00182DEC" w:rsidRPr="008F2E80">
        <w:t xml:space="preserve">h paragraph </w:t>
      </w:r>
      <w:r w:rsidR="00B24379" w:rsidRPr="008F2E80">
        <w:fldChar w:fldCharType="begin"/>
      </w:r>
      <w:r w:rsidR="00B24379" w:rsidRPr="008F2E80">
        <w:instrText xml:space="preserve"> REF _Ref3484694 \r \h </w:instrText>
      </w:r>
      <w:r w:rsidR="008F2E80">
        <w:instrText xml:space="preserve"> \* MERGEFORMAT </w:instrText>
      </w:r>
      <w:r w:rsidR="00B24379" w:rsidRPr="008F2E80">
        <w:fldChar w:fldCharType="separate"/>
      </w:r>
      <w:r w:rsidR="0007706D">
        <w:t>32</w:t>
      </w:r>
      <w:r w:rsidR="00B24379" w:rsidRPr="008F2E80">
        <w:fldChar w:fldCharType="end"/>
      </w:r>
      <w:r w:rsidR="00182DEC" w:rsidRPr="008F2E80">
        <w:t xml:space="preserve"> of this Attachment.</w:t>
      </w:r>
    </w:p>
    <w:p w14:paraId="32C6591E" w14:textId="0A71C08E" w:rsidR="00B87D92" w:rsidRPr="00C2522D" w:rsidRDefault="00C2522D" w:rsidP="00C53901">
      <w:pPr>
        <w:pStyle w:val="Heading4"/>
      </w:pPr>
      <w:r>
        <w:t>Collateral m</w:t>
      </w:r>
      <w:r w:rsidRPr="00C2522D">
        <w:t xml:space="preserve">aturity </w:t>
      </w:r>
      <w:r w:rsidR="00B87D92" w:rsidRPr="00C2522D">
        <w:t>mismatch</w:t>
      </w:r>
    </w:p>
    <w:p w14:paraId="0BBABD1F" w14:textId="77777777" w:rsidR="00B87D92" w:rsidRPr="00B87D92" w:rsidRDefault="00B87D92" w:rsidP="000E49E2">
      <w:pPr>
        <w:pStyle w:val="BodyText1"/>
      </w:pPr>
      <w:bookmarkStart w:id="185" w:name="_Ref3482282"/>
      <w:r w:rsidRPr="00B87D92">
        <w:t>A maturity mismatch exists where the residual maturity of the term of lodgement of the collateral is less than the maturity of the exposure covered by the collateral.</w:t>
      </w:r>
      <w:bookmarkEnd w:id="185"/>
    </w:p>
    <w:p w14:paraId="15F60FFA" w14:textId="31D4985E" w:rsidR="00B87D92" w:rsidRPr="00B87D92" w:rsidRDefault="00B87D92" w:rsidP="00B87D92">
      <w:pPr>
        <w:pStyle w:val="BodyText1"/>
      </w:pPr>
      <w:r w:rsidRPr="00B87D92">
        <w:t>Where there is a maturity mismatch, the collateral may only be recognised where the original maturity of the term of lodgement of the collateral is greater than or equal to 12 months</w:t>
      </w:r>
      <w:r w:rsidR="005E69C4">
        <w:t xml:space="preserve"> and the residual maturity is greater than or equal to 3 months</w:t>
      </w:r>
      <w:r w:rsidR="000E49E2">
        <w:t>.</w:t>
      </w:r>
    </w:p>
    <w:p w14:paraId="07667D6E" w14:textId="16A0159B" w:rsidR="00734EC7" w:rsidRDefault="00734EC7" w:rsidP="005E69C4">
      <w:pPr>
        <w:pStyle w:val="BodyText1"/>
      </w:pPr>
      <w:r>
        <w:t>For the p</w:t>
      </w:r>
      <w:r w:rsidR="009A67DE">
        <w:t>urpose of determining maturity:</w:t>
      </w:r>
    </w:p>
    <w:p w14:paraId="4B8C132F" w14:textId="6C294397" w:rsidR="00734EC7" w:rsidRDefault="00734EC7" w:rsidP="00837A33">
      <w:pPr>
        <w:pStyle w:val="BodyText2"/>
      </w:pPr>
      <w:r>
        <w:t xml:space="preserve">the effective maturity of the underlying exposure must be calculated using </w:t>
      </w:r>
      <w:r w:rsidR="00B87D92" w:rsidRPr="00B87D92">
        <w:t>the longest possible remaining time before the counterparty is scheduled to fulfil its obligation</w:t>
      </w:r>
      <w:r>
        <w:t>; and</w:t>
      </w:r>
    </w:p>
    <w:p w14:paraId="32C172D1" w14:textId="1814E564" w:rsidR="00B87D92" w:rsidRPr="00B87D92" w:rsidRDefault="00734EC7" w:rsidP="0094204F">
      <w:pPr>
        <w:pStyle w:val="BodyText2"/>
      </w:pPr>
      <w:r>
        <w:t xml:space="preserve">for the collateral, </w:t>
      </w:r>
      <w:r w:rsidR="00B87D92" w:rsidRPr="00B87D92">
        <w:t>an ADI must take into account any clause</w:t>
      </w:r>
      <w:r w:rsidR="009A67DE">
        <w:t xml:space="preserve"> or incentive</w:t>
      </w:r>
      <w:r w:rsidR="00B87D92" w:rsidRPr="00B87D92">
        <w:t xml:space="preserve"> within the documentation supporting the transaction that may reduce its term of lodgement so that the shortest possible effective maturity is used. </w:t>
      </w:r>
    </w:p>
    <w:p w14:paraId="42BE0534" w14:textId="28758538" w:rsidR="00B87D92" w:rsidRDefault="00B87D92" w:rsidP="005B50EE">
      <w:pPr>
        <w:pStyle w:val="BodyText1"/>
      </w:pPr>
      <w:bookmarkStart w:id="186" w:name="_Ref3482299"/>
      <w:r w:rsidRPr="00B87D92">
        <w:t>Where there is a maturity mismatch</w:t>
      </w:r>
      <w:r w:rsidR="005B50EE">
        <w:t>,</w:t>
      </w:r>
      <w:r w:rsidRPr="00B87D92">
        <w:t xml:space="preserve"> an ADI must apply the following adjustment:</w:t>
      </w:r>
      <w:bookmarkEnd w:id="186"/>
    </w:p>
    <w:p w14:paraId="0D1C423B" w14:textId="520F528C" w:rsidR="008E1ED5" w:rsidRDefault="008E1ED5" w:rsidP="0029642F">
      <w:pPr>
        <w:spacing w:after="0"/>
        <w:ind w:left="2693"/>
        <w:rPr>
          <w:rFonts w:eastAsia="Times New Roman"/>
        </w:rPr>
      </w:pPr>
      <w:r w:rsidRPr="008E1ED5">
        <w:rPr>
          <w:noProof/>
        </w:rPr>
        <w:drawing>
          <wp:inline distT="0" distB="0" distL="0" distR="0" wp14:anchorId="658C1FBC" wp14:editId="3554D47D">
            <wp:extent cx="2705676" cy="353683"/>
            <wp:effectExtent l="0" t="0" r="0" b="8890"/>
            <wp:docPr id="5" name="Picture 5" descr="Start formula C equals P times start fraction t minus 0.25 over T minus 0.25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tart formula C equals P times start fraction t minus 0.25 over T minus 0.25 end fraction end formula."/>
                    <pic:cNvPicPr>
                      <a:picLocks noChangeAspect="1" noChangeArrowheads="1"/>
                    </pic:cNvPicPr>
                  </pic:nvPicPr>
                  <pic:blipFill rotWithShape="1">
                    <a:blip r:embed="rId29" cstate="print">
                      <a:extLst>
                        <a:ext uri="{28A0092B-C50C-407E-A947-70E740481C1C}">
                          <a14:useLocalDpi xmlns:a14="http://schemas.microsoft.com/office/drawing/2010/main" val="0"/>
                        </a:ext>
                      </a:extLst>
                    </a:blip>
                    <a:srcRect l="37264" r="12718" b="25143"/>
                    <a:stretch/>
                  </pic:blipFill>
                  <pic:spPr bwMode="auto">
                    <a:xfrm>
                      <a:off x="0" y="0"/>
                      <a:ext cx="2725593" cy="356287"/>
                    </a:xfrm>
                    <a:prstGeom prst="rect">
                      <a:avLst/>
                    </a:prstGeom>
                    <a:noFill/>
                    <a:ln>
                      <a:noFill/>
                    </a:ln>
                    <a:extLst>
                      <a:ext uri="{53640926-AAD7-44D8-BBD7-CCE9431645EC}">
                        <a14:shadowObscured xmlns:a14="http://schemas.microsoft.com/office/drawing/2010/main"/>
                      </a:ext>
                    </a:extLst>
                  </pic:spPr>
                </pic:pic>
              </a:graphicData>
            </a:graphic>
          </wp:inline>
        </w:drawing>
      </w:r>
    </w:p>
    <w:p w14:paraId="0EFCB1D9" w14:textId="77777777" w:rsidR="00517F9F" w:rsidRDefault="00517F9F" w:rsidP="00517F9F">
      <w:pPr>
        <w:ind w:firstLine="567"/>
      </w:pPr>
      <w:r w:rsidRPr="00B87D92">
        <w:t>where:</w:t>
      </w:r>
    </w:p>
    <w:p w14:paraId="61E0E1E0" w14:textId="7330259A" w:rsidR="00B87D92" w:rsidRPr="00B87D92" w:rsidRDefault="00F34D50" w:rsidP="006467FC">
      <w:pPr>
        <w:ind w:left="567" w:firstLine="567"/>
        <w:jc w:val="both"/>
      </w:pPr>
      <w:r>
        <w:rPr>
          <w:i/>
        </w:rPr>
        <w:t>C</w:t>
      </w:r>
      <w:r w:rsidR="00B87D92" w:rsidRPr="00B87D92">
        <w:tab/>
        <w:t xml:space="preserve">= </w:t>
      </w:r>
      <w:r w:rsidR="00B477E5">
        <w:tab/>
      </w:r>
      <w:r w:rsidR="00B87D92" w:rsidRPr="00B87D92">
        <w:t>value of the collateral adjusted for maturity mismatch</w:t>
      </w:r>
    </w:p>
    <w:p w14:paraId="0B46285E" w14:textId="191F835A" w:rsidR="00B87D92" w:rsidRPr="00B87D92" w:rsidRDefault="00B87D92" w:rsidP="006467FC">
      <w:pPr>
        <w:ind w:left="567" w:firstLine="567"/>
        <w:jc w:val="both"/>
      </w:pPr>
      <w:r w:rsidRPr="005B50EE">
        <w:rPr>
          <w:i/>
        </w:rPr>
        <w:t>P</w:t>
      </w:r>
      <w:r w:rsidRPr="00B87D92">
        <w:tab/>
        <w:t xml:space="preserve">= </w:t>
      </w:r>
      <w:r w:rsidR="00B477E5">
        <w:tab/>
      </w:r>
      <w:r w:rsidRPr="00B87D92">
        <w:t xml:space="preserve">collateral amount </w:t>
      </w:r>
    </w:p>
    <w:p w14:paraId="1D875765" w14:textId="15B2D51B" w:rsidR="00B87D92" w:rsidRPr="00B87D92" w:rsidRDefault="00B87D92" w:rsidP="006467FC">
      <w:pPr>
        <w:ind w:left="1701" w:hanging="567"/>
        <w:jc w:val="both"/>
      </w:pPr>
      <w:r w:rsidRPr="005B50EE">
        <w:rPr>
          <w:i/>
        </w:rPr>
        <w:lastRenderedPageBreak/>
        <w:t>t</w:t>
      </w:r>
      <w:r w:rsidRPr="00B87D92">
        <w:tab/>
        <w:t>=</w:t>
      </w:r>
      <w:r w:rsidR="00B477E5">
        <w:tab/>
      </w:r>
      <w:r w:rsidRPr="00B87D92">
        <w:t>min (T, residual maturity of the term of lodgement of the collateral) expressed in years</w:t>
      </w:r>
    </w:p>
    <w:p w14:paraId="6C308ED6" w14:textId="449536C8" w:rsidR="00B87D92" w:rsidRPr="00B87D92" w:rsidRDefault="00B87D92" w:rsidP="006467FC">
      <w:pPr>
        <w:ind w:left="567" w:firstLine="567"/>
        <w:jc w:val="both"/>
      </w:pPr>
      <w:r w:rsidRPr="005B50EE">
        <w:rPr>
          <w:i/>
        </w:rPr>
        <w:t>T</w:t>
      </w:r>
      <w:r w:rsidRPr="00B87D92">
        <w:tab/>
        <w:t xml:space="preserve">= </w:t>
      </w:r>
      <w:r w:rsidR="00B477E5">
        <w:tab/>
      </w:r>
      <w:r w:rsidRPr="00B87D92">
        <w:t>min (5, residual maturity of the exposure) expressed in years.</w:t>
      </w:r>
    </w:p>
    <w:p w14:paraId="48189419" w14:textId="41E24F25" w:rsidR="00144136" w:rsidRDefault="00D710ED" w:rsidP="00C53901">
      <w:pPr>
        <w:pStyle w:val="Heading4"/>
      </w:pPr>
      <w:r>
        <w:t>Supervisory haircuts</w:t>
      </w:r>
    </w:p>
    <w:p w14:paraId="11C15B90" w14:textId="3E864E43" w:rsidR="00244B73" w:rsidRDefault="00244B73" w:rsidP="00244B73">
      <w:pPr>
        <w:pStyle w:val="BodyText1"/>
      </w:pPr>
      <w:bookmarkStart w:id="187" w:name="_Ref55835423"/>
      <w:bookmarkStart w:id="188" w:name="_Ref3482205"/>
      <w:r>
        <w:t xml:space="preserve">An ADI must use the supervisory haircuts set out in </w:t>
      </w:r>
      <w:r w:rsidR="00CB62A7">
        <w:fldChar w:fldCharType="begin"/>
      </w:r>
      <w:r w:rsidR="00CB62A7">
        <w:instrText xml:space="preserve"> REF _Ref3975406 \n \h </w:instrText>
      </w:r>
      <w:r w:rsidR="00CB62A7">
        <w:fldChar w:fldCharType="separate"/>
      </w:r>
      <w:r w:rsidR="0007706D">
        <w:t>Table 23</w:t>
      </w:r>
      <w:r w:rsidR="00CB62A7">
        <w:fldChar w:fldCharType="end"/>
      </w:r>
      <w:r>
        <w:t xml:space="preserve"> to </w:t>
      </w:r>
      <w:r w:rsidR="00260E13">
        <w:t xml:space="preserve">determine </w:t>
      </w:r>
      <w:r>
        <w:t xml:space="preserve">the haircuts for </w:t>
      </w:r>
      <w:r w:rsidRPr="00244B73">
        <w:t>the collateral (</w:t>
      </w:r>
      <w:r w:rsidR="004B2A22" w:rsidRPr="008F2E80">
        <w:rPr>
          <w:i/>
        </w:rPr>
        <w:t>H</w:t>
      </w:r>
      <w:r w:rsidR="004B2A22" w:rsidRPr="008F2E80">
        <w:rPr>
          <w:vertAlign w:val="subscript"/>
        </w:rPr>
        <w:t>i</w:t>
      </w:r>
      <w:r w:rsidRPr="00244B73">
        <w:t xml:space="preserve">) and </w:t>
      </w:r>
      <w:r w:rsidR="00401E36">
        <w:t xml:space="preserve">the </w:t>
      </w:r>
      <w:r w:rsidRPr="00244B73">
        <w:t>exposure (</w:t>
      </w:r>
      <w:proofErr w:type="spellStart"/>
      <w:r w:rsidR="004B2A22" w:rsidRPr="008F2E80">
        <w:rPr>
          <w:i/>
        </w:rPr>
        <w:t>H</w:t>
      </w:r>
      <w:r w:rsidR="004B2A22" w:rsidRPr="008F2E80">
        <w:rPr>
          <w:i/>
          <w:vertAlign w:val="subscript"/>
        </w:rPr>
        <w:t>j</w:t>
      </w:r>
      <w:proofErr w:type="spellEnd"/>
      <w:r w:rsidRPr="00244B73">
        <w:t>).</w:t>
      </w:r>
      <w:bookmarkEnd w:id="187"/>
      <w:bookmarkEnd w:id="188"/>
    </w:p>
    <w:p w14:paraId="07C3715F" w14:textId="555642B6" w:rsidR="00244B73" w:rsidRPr="00244B73" w:rsidRDefault="004C15CF" w:rsidP="0099752B">
      <w:pPr>
        <w:pStyle w:val="TableHeadNumber"/>
      </w:pPr>
      <w:bookmarkStart w:id="189" w:name="_Ref3975406"/>
      <w:r>
        <w:t>S</w:t>
      </w:r>
      <w:r w:rsidR="00244B73" w:rsidRPr="00244B73">
        <w:t>upervisory haircuts</w:t>
      </w:r>
      <w:bookmarkEnd w:id="189"/>
    </w:p>
    <w:tbl>
      <w:tblPr>
        <w:tblStyle w:val="TableGrid"/>
        <w:tblW w:w="0" w:type="auto"/>
        <w:tblInd w:w="-5" w:type="dxa"/>
        <w:tblLook w:val="04A0" w:firstRow="1" w:lastRow="0" w:firstColumn="1" w:lastColumn="0" w:noHBand="0" w:noVBand="1"/>
      </w:tblPr>
      <w:tblGrid>
        <w:gridCol w:w="2081"/>
        <w:gridCol w:w="1493"/>
        <w:gridCol w:w="1605"/>
        <w:gridCol w:w="1477"/>
        <w:gridCol w:w="1651"/>
      </w:tblGrid>
      <w:tr w:rsidR="00244B73" w:rsidRPr="009E6D46" w14:paraId="20855003" w14:textId="77777777" w:rsidTr="0099752B">
        <w:tc>
          <w:tcPr>
            <w:tcW w:w="2081" w:type="dxa"/>
            <w:vAlign w:val="center"/>
          </w:tcPr>
          <w:p w14:paraId="5F4F4FC8" w14:textId="77777777" w:rsidR="00244B73" w:rsidRPr="00D3043E" w:rsidRDefault="00244B73" w:rsidP="00C65A4F">
            <w:pPr>
              <w:keepNext/>
              <w:spacing w:before="60" w:after="60"/>
              <w:rPr>
                <w:b/>
              </w:rPr>
            </w:pPr>
            <w:r w:rsidRPr="00D3043E">
              <w:rPr>
                <w:b/>
              </w:rPr>
              <w:t>Credit rating grade for debt securities</w:t>
            </w:r>
          </w:p>
        </w:tc>
        <w:tc>
          <w:tcPr>
            <w:tcW w:w="1493" w:type="dxa"/>
          </w:tcPr>
          <w:p w14:paraId="00B493D0" w14:textId="77777777" w:rsidR="00244B73" w:rsidRPr="00D3043E" w:rsidRDefault="00244B73" w:rsidP="00C65A4F">
            <w:pPr>
              <w:spacing w:before="60" w:after="60"/>
              <w:jc w:val="center"/>
              <w:rPr>
                <w:b/>
              </w:rPr>
            </w:pPr>
            <w:r w:rsidRPr="00D3043E">
              <w:rPr>
                <w:b/>
              </w:rPr>
              <w:t>Residual maturity</w:t>
            </w:r>
          </w:p>
        </w:tc>
        <w:tc>
          <w:tcPr>
            <w:tcW w:w="1605" w:type="dxa"/>
          </w:tcPr>
          <w:p w14:paraId="2A97321C" w14:textId="5B9337A5" w:rsidR="00244B73" w:rsidRPr="00D3043E" w:rsidRDefault="00244B73" w:rsidP="00C65A4F">
            <w:pPr>
              <w:spacing w:before="60" w:after="60"/>
              <w:jc w:val="center"/>
              <w:rPr>
                <w:b/>
              </w:rPr>
            </w:pPr>
            <w:r w:rsidRPr="00D3043E">
              <w:rPr>
                <w:b/>
              </w:rPr>
              <w:t>Sovereign</w:t>
            </w:r>
            <w:r w:rsidR="00B10DC8">
              <w:rPr>
                <w:b/>
              </w:rPr>
              <w:t xml:space="preserve"> (%)</w:t>
            </w:r>
          </w:p>
        </w:tc>
        <w:tc>
          <w:tcPr>
            <w:tcW w:w="1477" w:type="dxa"/>
          </w:tcPr>
          <w:p w14:paraId="056A21B6" w14:textId="57AFC24D" w:rsidR="00244B73" w:rsidRPr="00D3043E" w:rsidRDefault="00244B73" w:rsidP="00C65A4F">
            <w:pPr>
              <w:spacing w:before="60" w:after="60"/>
              <w:jc w:val="center"/>
              <w:rPr>
                <w:b/>
              </w:rPr>
            </w:pPr>
            <w:r w:rsidRPr="00D3043E">
              <w:rPr>
                <w:b/>
              </w:rPr>
              <w:t>Other issuer</w:t>
            </w:r>
            <w:r w:rsidRPr="00D3043E">
              <w:rPr>
                <w:rStyle w:val="FootnoteReference"/>
                <w:b/>
              </w:rPr>
              <w:footnoteReference w:id="23"/>
            </w:r>
            <w:r w:rsidR="00B10DC8">
              <w:rPr>
                <w:b/>
              </w:rPr>
              <w:t xml:space="preserve"> (%)</w:t>
            </w:r>
          </w:p>
        </w:tc>
        <w:tc>
          <w:tcPr>
            <w:tcW w:w="1651" w:type="dxa"/>
          </w:tcPr>
          <w:p w14:paraId="539BF14F" w14:textId="53CC8A6E" w:rsidR="00244B73" w:rsidRPr="00D3043E" w:rsidRDefault="00244B73" w:rsidP="00C65A4F">
            <w:pPr>
              <w:spacing w:before="60" w:after="60"/>
              <w:jc w:val="center"/>
              <w:rPr>
                <w:b/>
              </w:rPr>
            </w:pPr>
            <w:r w:rsidRPr="00D3043E">
              <w:rPr>
                <w:b/>
              </w:rPr>
              <w:t xml:space="preserve">Securitisation </w:t>
            </w:r>
            <w:r w:rsidR="001848C9">
              <w:rPr>
                <w:b/>
              </w:rPr>
              <w:t>e</w:t>
            </w:r>
            <w:r w:rsidRPr="00D3043E">
              <w:rPr>
                <w:b/>
              </w:rPr>
              <w:t>xposure</w:t>
            </w:r>
            <w:r w:rsidRPr="00D3043E">
              <w:rPr>
                <w:rStyle w:val="FootnoteReference"/>
                <w:b/>
              </w:rPr>
              <w:footnoteReference w:id="24"/>
            </w:r>
            <w:r w:rsidR="00B10DC8">
              <w:rPr>
                <w:b/>
              </w:rPr>
              <w:t xml:space="preserve"> (%)</w:t>
            </w:r>
          </w:p>
        </w:tc>
      </w:tr>
      <w:tr w:rsidR="00244B73" w:rsidRPr="009E6D46" w14:paraId="392FDB16" w14:textId="77777777" w:rsidTr="0099752B">
        <w:tc>
          <w:tcPr>
            <w:tcW w:w="2081" w:type="dxa"/>
            <w:vMerge w:val="restart"/>
            <w:vAlign w:val="center"/>
          </w:tcPr>
          <w:p w14:paraId="07A24658" w14:textId="1B09ED94" w:rsidR="00244B73" w:rsidRPr="009E6D46" w:rsidRDefault="00D3043E" w:rsidP="00C65A4F">
            <w:pPr>
              <w:spacing w:before="60" w:after="60"/>
            </w:pPr>
            <w:r>
              <w:t>1 (long- and short-term)</w:t>
            </w:r>
          </w:p>
        </w:tc>
        <w:tc>
          <w:tcPr>
            <w:tcW w:w="1493" w:type="dxa"/>
            <w:vAlign w:val="center"/>
          </w:tcPr>
          <w:p w14:paraId="77714454" w14:textId="11EAC27C" w:rsidR="00244B73" w:rsidRPr="009E6D46" w:rsidRDefault="00244B73" w:rsidP="00C65A4F">
            <w:pPr>
              <w:spacing w:before="60" w:after="60"/>
              <w:jc w:val="center"/>
            </w:pPr>
            <w:r w:rsidRPr="00EE73EA">
              <w:sym w:font="Symbol" w:char="00A3"/>
            </w:r>
            <w:r w:rsidR="00246B8B">
              <w:t> </w:t>
            </w:r>
            <w:r w:rsidRPr="00EE73EA">
              <w:t>1 year</w:t>
            </w:r>
          </w:p>
        </w:tc>
        <w:tc>
          <w:tcPr>
            <w:tcW w:w="1605" w:type="dxa"/>
            <w:vAlign w:val="center"/>
          </w:tcPr>
          <w:p w14:paraId="4F574AB8" w14:textId="77777777" w:rsidR="00244B73" w:rsidRPr="009E6D46" w:rsidRDefault="00244B73" w:rsidP="00C65A4F">
            <w:pPr>
              <w:spacing w:before="60" w:after="60"/>
              <w:jc w:val="center"/>
            </w:pPr>
            <w:r>
              <w:t>0.5</w:t>
            </w:r>
          </w:p>
        </w:tc>
        <w:tc>
          <w:tcPr>
            <w:tcW w:w="1477" w:type="dxa"/>
            <w:vAlign w:val="center"/>
          </w:tcPr>
          <w:p w14:paraId="62DA4697" w14:textId="77777777" w:rsidR="00244B73" w:rsidRPr="009E6D46" w:rsidRDefault="00244B73" w:rsidP="00C65A4F">
            <w:pPr>
              <w:spacing w:before="60" w:after="60"/>
              <w:jc w:val="center"/>
            </w:pPr>
            <w:r>
              <w:t>1</w:t>
            </w:r>
          </w:p>
        </w:tc>
        <w:tc>
          <w:tcPr>
            <w:tcW w:w="1651" w:type="dxa"/>
            <w:vAlign w:val="center"/>
          </w:tcPr>
          <w:p w14:paraId="6AD2EF36" w14:textId="77777777" w:rsidR="00244B73" w:rsidRPr="009E6D46" w:rsidRDefault="00244B73" w:rsidP="00C65A4F">
            <w:pPr>
              <w:spacing w:before="60" w:after="60"/>
              <w:jc w:val="center"/>
            </w:pPr>
            <w:r>
              <w:t>2</w:t>
            </w:r>
          </w:p>
        </w:tc>
      </w:tr>
      <w:tr w:rsidR="00244B73" w:rsidRPr="009E6D46" w14:paraId="470CB180" w14:textId="77777777" w:rsidTr="0099752B">
        <w:tc>
          <w:tcPr>
            <w:tcW w:w="2081" w:type="dxa"/>
            <w:vMerge/>
          </w:tcPr>
          <w:p w14:paraId="7BF4A731" w14:textId="77777777" w:rsidR="00244B73" w:rsidRPr="009E6D46" w:rsidRDefault="00244B73" w:rsidP="00C65A4F">
            <w:pPr>
              <w:spacing w:before="60" w:after="60"/>
            </w:pPr>
          </w:p>
        </w:tc>
        <w:tc>
          <w:tcPr>
            <w:tcW w:w="1493" w:type="dxa"/>
            <w:vAlign w:val="center"/>
          </w:tcPr>
          <w:p w14:paraId="73BEF896" w14:textId="45D36C67" w:rsidR="00244B73" w:rsidRPr="009E6D46" w:rsidRDefault="00244B73" w:rsidP="00C65A4F">
            <w:pPr>
              <w:spacing w:before="60" w:after="60"/>
              <w:jc w:val="center"/>
            </w:pPr>
            <w:r w:rsidRPr="00EE73EA">
              <w:t>&gt;</w:t>
            </w:r>
            <w:r w:rsidR="00246B8B">
              <w:t> </w:t>
            </w:r>
            <w:r w:rsidRPr="00EE73EA">
              <w:t xml:space="preserve">1 year, </w:t>
            </w:r>
            <w:r w:rsidRPr="00EE73EA">
              <w:sym w:font="Symbol" w:char="00A3"/>
            </w:r>
            <w:r w:rsidR="00246B8B">
              <w:t> </w:t>
            </w:r>
            <w:r>
              <w:t>3</w:t>
            </w:r>
            <w:r w:rsidRPr="00EE73EA">
              <w:t xml:space="preserve"> years</w:t>
            </w:r>
          </w:p>
        </w:tc>
        <w:tc>
          <w:tcPr>
            <w:tcW w:w="1605" w:type="dxa"/>
            <w:vMerge w:val="restart"/>
            <w:vAlign w:val="center"/>
          </w:tcPr>
          <w:p w14:paraId="00538104" w14:textId="77777777" w:rsidR="00244B73" w:rsidRPr="009E6D46" w:rsidRDefault="00244B73" w:rsidP="00C65A4F">
            <w:pPr>
              <w:spacing w:before="60" w:after="60"/>
              <w:jc w:val="center"/>
            </w:pPr>
            <w:r>
              <w:t>2</w:t>
            </w:r>
          </w:p>
        </w:tc>
        <w:tc>
          <w:tcPr>
            <w:tcW w:w="1477" w:type="dxa"/>
            <w:vAlign w:val="center"/>
          </w:tcPr>
          <w:p w14:paraId="1E8926EF" w14:textId="77777777" w:rsidR="00244B73" w:rsidRPr="009E6D46" w:rsidRDefault="00244B73" w:rsidP="00C65A4F">
            <w:pPr>
              <w:spacing w:before="60" w:after="60"/>
              <w:jc w:val="center"/>
            </w:pPr>
            <w:r>
              <w:t>3</w:t>
            </w:r>
          </w:p>
        </w:tc>
        <w:tc>
          <w:tcPr>
            <w:tcW w:w="1651" w:type="dxa"/>
            <w:vMerge w:val="restart"/>
            <w:vAlign w:val="center"/>
          </w:tcPr>
          <w:p w14:paraId="0EA76650" w14:textId="77777777" w:rsidR="00244B73" w:rsidRPr="009E6D46" w:rsidRDefault="00244B73" w:rsidP="00C65A4F">
            <w:pPr>
              <w:spacing w:before="60" w:after="60"/>
              <w:jc w:val="center"/>
            </w:pPr>
            <w:r>
              <w:t>8</w:t>
            </w:r>
          </w:p>
        </w:tc>
      </w:tr>
      <w:tr w:rsidR="00244B73" w:rsidRPr="009E6D46" w14:paraId="2108DC80" w14:textId="77777777" w:rsidTr="0099752B">
        <w:tc>
          <w:tcPr>
            <w:tcW w:w="2081" w:type="dxa"/>
            <w:vMerge/>
          </w:tcPr>
          <w:p w14:paraId="4D025C4F" w14:textId="77777777" w:rsidR="00244B73" w:rsidRPr="009E6D46" w:rsidRDefault="00244B73" w:rsidP="00C65A4F">
            <w:pPr>
              <w:spacing w:before="60" w:after="60"/>
            </w:pPr>
          </w:p>
        </w:tc>
        <w:tc>
          <w:tcPr>
            <w:tcW w:w="1493" w:type="dxa"/>
            <w:vAlign w:val="center"/>
          </w:tcPr>
          <w:p w14:paraId="6E9C103F" w14:textId="2242E56E" w:rsidR="00244B73" w:rsidRPr="009E6D46" w:rsidRDefault="00244B73" w:rsidP="00C65A4F">
            <w:pPr>
              <w:spacing w:before="60" w:after="60"/>
              <w:jc w:val="center"/>
            </w:pPr>
            <w:r>
              <w:t>&gt;</w:t>
            </w:r>
            <w:r w:rsidR="00246B8B">
              <w:t> </w:t>
            </w:r>
            <w:r>
              <w:t xml:space="preserve">3 years, </w:t>
            </w:r>
            <w:r w:rsidRPr="00EE73EA">
              <w:sym w:font="Symbol" w:char="00A3"/>
            </w:r>
            <w:r>
              <w:t> 5 years</w:t>
            </w:r>
          </w:p>
        </w:tc>
        <w:tc>
          <w:tcPr>
            <w:tcW w:w="1605" w:type="dxa"/>
            <w:vMerge/>
            <w:vAlign w:val="center"/>
          </w:tcPr>
          <w:p w14:paraId="74284103" w14:textId="77777777" w:rsidR="00244B73" w:rsidRPr="009E6D46" w:rsidRDefault="00244B73" w:rsidP="00C65A4F">
            <w:pPr>
              <w:spacing w:before="60" w:after="60"/>
              <w:jc w:val="center"/>
            </w:pPr>
          </w:p>
        </w:tc>
        <w:tc>
          <w:tcPr>
            <w:tcW w:w="1477" w:type="dxa"/>
            <w:vAlign w:val="center"/>
          </w:tcPr>
          <w:p w14:paraId="4753014E" w14:textId="77777777" w:rsidR="00244B73" w:rsidRPr="009E6D46" w:rsidRDefault="00244B73" w:rsidP="00C65A4F">
            <w:pPr>
              <w:spacing w:before="60" w:after="60"/>
              <w:jc w:val="center"/>
            </w:pPr>
            <w:r>
              <w:t>4</w:t>
            </w:r>
          </w:p>
        </w:tc>
        <w:tc>
          <w:tcPr>
            <w:tcW w:w="1651" w:type="dxa"/>
            <w:vMerge/>
            <w:vAlign w:val="center"/>
          </w:tcPr>
          <w:p w14:paraId="5665F8DB" w14:textId="77777777" w:rsidR="00244B73" w:rsidRPr="009E6D46" w:rsidRDefault="00244B73" w:rsidP="00C65A4F">
            <w:pPr>
              <w:spacing w:before="60" w:after="60"/>
              <w:jc w:val="center"/>
            </w:pPr>
          </w:p>
        </w:tc>
      </w:tr>
      <w:tr w:rsidR="00244B73" w:rsidRPr="009E6D46" w14:paraId="609C30C4" w14:textId="77777777" w:rsidTr="0099752B">
        <w:tc>
          <w:tcPr>
            <w:tcW w:w="2081" w:type="dxa"/>
            <w:vMerge/>
          </w:tcPr>
          <w:p w14:paraId="6BFFE666" w14:textId="77777777" w:rsidR="00244B73" w:rsidRPr="009E6D46" w:rsidRDefault="00244B73" w:rsidP="00C65A4F">
            <w:pPr>
              <w:spacing w:before="60" w:after="60"/>
            </w:pPr>
          </w:p>
        </w:tc>
        <w:tc>
          <w:tcPr>
            <w:tcW w:w="1493" w:type="dxa"/>
            <w:vAlign w:val="center"/>
          </w:tcPr>
          <w:p w14:paraId="5336D755" w14:textId="2F8D5731" w:rsidR="00244B73" w:rsidRPr="009E6D46" w:rsidRDefault="00244B73" w:rsidP="00C65A4F">
            <w:pPr>
              <w:spacing w:before="60" w:after="60"/>
              <w:jc w:val="center"/>
            </w:pPr>
            <w:r>
              <w:t>&gt;</w:t>
            </w:r>
            <w:r w:rsidR="00246B8B">
              <w:t> </w:t>
            </w:r>
            <w:r>
              <w:t xml:space="preserve">5 years, </w:t>
            </w:r>
            <w:r w:rsidRPr="00EE73EA">
              <w:sym w:font="Symbol" w:char="00A3"/>
            </w:r>
            <w:r>
              <w:t> 10 years</w:t>
            </w:r>
          </w:p>
        </w:tc>
        <w:tc>
          <w:tcPr>
            <w:tcW w:w="1605" w:type="dxa"/>
            <w:vMerge w:val="restart"/>
            <w:vAlign w:val="center"/>
          </w:tcPr>
          <w:p w14:paraId="79EFB084" w14:textId="77777777" w:rsidR="00244B73" w:rsidRPr="009E6D46" w:rsidRDefault="00244B73" w:rsidP="00C65A4F">
            <w:pPr>
              <w:spacing w:before="60" w:after="60"/>
              <w:jc w:val="center"/>
            </w:pPr>
            <w:r>
              <w:t>4</w:t>
            </w:r>
          </w:p>
        </w:tc>
        <w:tc>
          <w:tcPr>
            <w:tcW w:w="1477" w:type="dxa"/>
            <w:vAlign w:val="center"/>
          </w:tcPr>
          <w:p w14:paraId="7B53B395" w14:textId="77777777" w:rsidR="00244B73" w:rsidRPr="009E6D46" w:rsidRDefault="00244B73" w:rsidP="00C65A4F">
            <w:pPr>
              <w:spacing w:before="60" w:after="60"/>
              <w:jc w:val="center"/>
            </w:pPr>
            <w:r>
              <w:t>6</w:t>
            </w:r>
          </w:p>
        </w:tc>
        <w:tc>
          <w:tcPr>
            <w:tcW w:w="1651" w:type="dxa"/>
            <w:vMerge w:val="restart"/>
            <w:vAlign w:val="center"/>
          </w:tcPr>
          <w:p w14:paraId="551D503E" w14:textId="151C373C" w:rsidR="00244B73" w:rsidRPr="009E6D46" w:rsidRDefault="00ED4E94" w:rsidP="00C65A4F">
            <w:pPr>
              <w:spacing w:before="60" w:after="60"/>
              <w:jc w:val="center"/>
            </w:pPr>
            <w:r>
              <w:t>1</w:t>
            </w:r>
            <w:r w:rsidR="0036698D">
              <w:t>6</w:t>
            </w:r>
          </w:p>
        </w:tc>
      </w:tr>
      <w:tr w:rsidR="00244B73" w:rsidRPr="009E6D46" w14:paraId="420CADEA" w14:textId="77777777" w:rsidTr="0099752B">
        <w:tc>
          <w:tcPr>
            <w:tcW w:w="2081" w:type="dxa"/>
            <w:vMerge/>
          </w:tcPr>
          <w:p w14:paraId="6307ABAA" w14:textId="77777777" w:rsidR="00244B73" w:rsidRPr="009E6D46" w:rsidRDefault="00244B73" w:rsidP="00244B73"/>
        </w:tc>
        <w:tc>
          <w:tcPr>
            <w:tcW w:w="1493" w:type="dxa"/>
            <w:vAlign w:val="center"/>
          </w:tcPr>
          <w:p w14:paraId="38517824" w14:textId="3413D9F0" w:rsidR="00244B73" w:rsidRPr="009E6D46" w:rsidRDefault="00244B73" w:rsidP="00246B8B">
            <w:pPr>
              <w:spacing w:before="120" w:after="120"/>
              <w:jc w:val="center"/>
            </w:pPr>
            <w:r>
              <w:t>&gt;</w:t>
            </w:r>
            <w:r w:rsidR="00246B8B">
              <w:t> </w:t>
            </w:r>
            <w:r>
              <w:t>10 years</w:t>
            </w:r>
          </w:p>
        </w:tc>
        <w:tc>
          <w:tcPr>
            <w:tcW w:w="1605" w:type="dxa"/>
            <w:vMerge/>
            <w:vAlign w:val="center"/>
          </w:tcPr>
          <w:p w14:paraId="287ADFAF" w14:textId="77777777" w:rsidR="00244B73" w:rsidRPr="009E6D46" w:rsidRDefault="00244B73" w:rsidP="003152A4">
            <w:pPr>
              <w:jc w:val="center"/>
            </w:pPr>
          </w:p>
        </w:tc>
        <w:tc>
          <w:tcPr>
            <w:tcW w:w="1477" w:type="dxa"/>
            <w:vAlign w:val="center"/>
          </w:tcPr>
          <w:p w14:paraId="0CE417EA" w14:textId="77777777" w:rsidR="00244B73" w:rsidRPr="009E6D46" w:rsidRDefault="00244B73" w:rsidP="00246B8B">
            <w:pPr>
              <w:spacing w:before="120" w:after="120"/>
              <w:jc w:val="center"/>
            </w:pPr>
            <w:r>
              <w:t>12</w:t>
            </w:r>
          </w:p>
        </w:tc>
        <w:tc>
          <w:tcPr>
            <w:tcW w:w="1651" w:type="dxa"/>
            <w:vMerge/>
            <w:vAlign w:val="center"/>
          </w:tcPr>
          <w:p w14:paraId="25762F98" w14:textId="77777777" w:rsidR="00244B73" w:rsidRPr="009E6D46" w:rsidRDefault="00244B73" w:rsidP="003152A4">
            <w:pPr>
              <w:jc w:val="center"/>
            </w:pPr>
          </w:p>
        </w:tc>
      </w:tr>
      <w:tr w:rsidR="00ED4E94" w:rsidRPr="009E6D46" w14:paraId="1A19B960" w14:textId="77777777" w:rsidTr="0099752B">
        <w:tc>
          <w:tcPr>
            <w:tcW w:w="2081" w:type="dxa"/>
            <w:vMerge w:val="restart"/>
            <w:vAlign w:val="center"/>
          </w:tcPr>
          <w:p w14:paraId="7B033B8E" w14:textId="38562D11" w:rsidR="00ED4E94" w:rsidRPr="009E6D46" w:rsidRDefault="00ED4E94" w:rsidP="00C65A4F">
            <w:pPr>
              <w:spacing w:before="60" w:after="60"/>
            </w:pPr>
            <w:r>
              <w:t>2-3 (long- and short-term) and unrated bank securities</w:t>
            </w:r>
            <w:r>
              <w:rPr>
                <w:rStyle w:val="FootnoteReference"/>
              </w:rPr>
              <w:footnoteReference w:id="25"/>
            </w:r>
          </w:p>
        </w:tc>
        <w:tc>
          <w:tcPr>
            <w:tcW w:w="1493" w:type="dxa"/>
            <w:vAlign w:val="center"/>
          </w:tcPr>
          <w:p w14:paraId="4610A674" w14:textId="3C3EFEF4" w:rsidR="00ED4E94" w:rsidRPr="009E6D46" w:rsidRDefault="00ED4E94" w:rsidP="00C65A4F">
            <w:pPr>
              <w:keepNext/>
              <w:keepLines/>
              <w:spacing w:before="60" w:after="60"/>
              <w:jc w:val="center"/>
            </w:pPr>
            <w:r w:rsidRPr="00EE73EA">
              <w:sym w:font="Symbol" w:char="00A3"/>
            </w:r>
            <w:r>
              <w:t> </w:t>
            </w:r>
            <w:r w:rsidRPr="00EE73EA">
              <w:t>1 year</w:t>
            </w:r>
          </w:p>
        </w:tc>
        <w:tc>
          <w:tcPr>
            <w:tcW w:w="1605" w:type="dxa"/>
            <w:vAlign w:val="center"/>
          </w:tcPr>
          <w:p w14:paraId="07CE9154" w14:textId="77777777" w:rsidR="00ED4E94" w:rsidRPr="009E6D46" w:rsidRDefault="00ED4E94" w:rsidP="00C65A4F">
            <w:pPr>
              <w:keepNext/>
              <w:keepLines/>
              <w:spacing w:before="60" w:after="60"/>
              <w:jc w:val="center"/>
            </w:pPr>
            <w:r>
              <w:t>1</w:t>
            </w:r>
          </w:p>
        </w:tc>
        <w:tc>
          <w:tcPr>
            <w:tcW w:w="1477" w:type="dxa"/>
            <w:vAlign w:val="center"/>
          </w:tcPr>
          <w:p w14:paraId="1AA9E72F" w14:textId="77777777" w:rsidR="00ED4E94" w:rsidRPr="009E6D46" w:rsidRDefault="00ED4E94" w:rsidP="00C65A4F">
            <w:pPr>
              <w:keepNext/>
              <w:keepLines/>
              <w:spacing w:before="60" w:after="60"/>
              <w:jc w:val="center"/>
            </w:pPr>
            <w:r>
              <w:t>2</w:t>
            </w:r>
          </w:p>
        </w:tc>
        <w:tc>
          <w:tcPr>
            <w:tcW w:w="1651" w:type="dxa"/>
            <w:vMerge w:val="restart"/>
            <w:vAlign w:val="center"/>
          </w:tcPr>
          <w:p w14:paraId="0316BB3D" w14:textId="2A336FC0" w:rsidR="00ED4E94" w:rsidRPr="009E6D46" w:rsidRDefault="00ED4E94" w:rsidP="00C65A4F">
            <w:pPr>
              <w:keepNext/>
              <w:spacing w:before="60" w:after="60"/>
              <w:jc w:val="center"/>
            </w:pPr>
            <w:r>
              <w:t>Not eligible</w:t>
            </w:r>
          </w:p>
        </w:tc>
      </w:tr>
      <w:tr w:rsidR="00ED4E94" w:rsidRPr="009E6D46" w14:paraId="76811CE2" w14:textId="77777777" w:rsidTr="0099752B">
        <w:tc>
          <w:tcPr>
            <w:tcW w:w="2081" w:type="dxa"/>
            <w:vMerge/>
          </w:tcPr>
          <w:p w14:paraId="67E963C7" w14:textId="77777777" w:rsidR="00ED4E94" w:rsidRPr="009E6D46" w:rsidRDefault="00ED4E94" w:rsidP="00C65A4F">
            <w:pPr>
              <w:spacing w:before="60" w:after="60"/>
            </w:pPr>
          </w:p>
        </w:tc>
        <w:tc>
          <w:tcPr>
            <w:tcW w:w="1493" w:type="dxa"/>
            <w:vAlign w:val="center"/>
          </w:tcPr>
          <w:p w14:paraId="7FA5BA35" w14:textId="2C0E6B32" w:rsidR="00ED4E94" w:rsidRPr="009E6D46" w:rsidRDefault="00ED4E94" w:rsidP="00C65A4F">
            <w:pPr>
              <w:keepNext/>
              <w:keepLines/>
              <w:spacing w:before="60" w:after="60"/>
              <w:jc w:val="center"/>
            </w:pPr>
            <w:r w:rsidRPr="00EE73EA">
              <w:t>&gt;</w:t>
            </w:r>
            <w:r>
              <w:t> </w:t>
            </w:r>
            <w:r w:rsidRPr="00EE73EA">
              <w:t xml:space="preserve">1 year, </w:t>
            </w:r>
            <w:r w:rsidRPr="00EE73EA">
              <w:sym w:font="Symbol" w:char="00A3"/>
            </w:r>
            <w:r>
              <w:t> 3</w:t>
            </w:r>
            <w:r w:rsidRPr="00EE73EA">
              <w:t xml:space="preserve"> years</w:t>
            </w:r>
          </w:p>
        </w:tc>
        <w:tc>
          <w:tcPr>
            <w:tcW w:w="1605" w:type="dxa"/>
            <w:vMerge w:val="restart"/>
            <w:vAlign w:val="center"/>
          </w:tcPr>
          <w:p w14:paraId="13E57932" w14:textId="77777777" w:rsidR="00ED4E94" w:rsidRPr="009E6D46" w:rsidRDefault="00ED4E94" w:rsidP="00C65A4F">
            <w:pPr>
              <w:keepNext/>
              <w:keepLines/>
              <w:spacing w:before="60" w:after="60"/>
              <w:jc w:val="center"/>
            </w:pPr>
            <w:r>
              <w:t>3</w:t>
            </w:r>
          </w:p>
        </w:tc>
        <w:tc>
          <w:tcPr>
            <w:tcW w:w="1477" w:type="dxa"/>
            <w:vAlign w:val="center"/>
          </w:tcPr>
          <w:p w14:paraId="6567230B" w14:textId="77777777" w:rsidR="00ED4E94" w:rsidRPr="009E6D46" w:rsidRDefault="00ED4E94" w:rsidP="00C65A4F">
            <w:pPr>
              <w:keepNext/>
              <w:keepLines/>
              <w:spacing w:before="60" w:after="60"/>
              <w:jc w:val="center"/>
            </w:pPr>
            <w:r>
              <w:t>4</w:t>
            </w:r>
          </w:p>
        </w:tc>
        <w:tc>
          <w:tcPr>
            <w:tcW w:w="1651" w:type="dxa"/>
            <w:vMerge/>
            <w:vAlign w:val="center"/>
          </w:tcPr>
          <w:p w14:paraId="40B83975" w14:textId="32F10C6D" w:rsidR="00ED4E94" w:rsidRPr="009E6D46" w:rsidRDefault="00ED4E94" w:rsidP="00C65A4F">
            <w:pPr>
              <w:spacing w:before="60" w:after="60"/>
              <w:jc w:val="center"/>
            </w:pPr>
          </w:p>
        </w:tc>
      </w:tr>
      <w:tr w:rsidR="00ED4E94" w:rsidRPr="009E6D46" w14:paraId="761D5B44" w14:textId="77777777" w:rsidTr="0099752B">
        <w:tc>
          <w:tcPr>
            <w:tcW w:w="2081" w:type="dxa"/>
            <w:vMerge/>
          </w:tcPr>
          <w:p w14:paraId="523E1312" w14:textId="77777777" w:rsidR="00ED4E94" w:rsidRPr="009E6D46" w:rsidRDefault="00ED4E94" w:rsidP="00C65A4F">
            <w:pPr>
              <w:spacing w:before="60" w:after="60"/>
            </w:pPr>
          </w:p>
        </w:tc>
        <w:tc>
          <w:tcPr>
            <w:tcW w:w="1493" w:type="dxa"/>
            <w:vAlign w:val="center"/>
          </w:tcPr>
          <w:p w14:paraId="326E74E1" w14:textId="05764E33" w:rsidR="00ED4E94" w:rsidRPr="009E6D46" w:rsidRDefault="00ED4E94" w:rsidP="00C65A4F">
            <w:pPr>
              <w:keepNext/>
              <w:keepLines/>
              <w:spacing w:before="60" w:after="60"/>
              <w:jc w:val="center"/>
            </w:pPr>
            <w:r>
              <w:t xml:space="preserve">&gt; 3 years, </w:t>
            </w:r>
            <w:r w:rsidRPr="00EE73EA">
              <w:sym w:font="Symbol" w:char="00A3"/>
            </w:r>
            <w:r>
              <w:t> 5 years</w:t>
            </w:r>
          </w:p>
        </w:tc>
        <w:tc>
          <w:tcPr>
            <w:tcW w:w="1605" w:type="dxa"/>
            <w:vMerge/>
            <w:vAlign w:val="center"/>
          </w:tcPr>
          <w:p w14:paraId="52869F53" w14:textId="77777777" w:rsidR="00ED4E94" w:rsidRPr="009E6D46" w:rsidRDefault="00ED4E94" w:rsidP="00C65A4F">
            <w:pPr>
              <w:keepNext/>
              <w:keepLines/>
              <w:spacing w:before="60" w:after="60"/>
              <w:jc w:val="center"/>
            </w:pPr>
          </w:p>
        </w:tc>
        <w:tc>
          <w:tcPr>
            <w:tcW w:w="1477" w:type="dxa"/>
            <w:vAlign w:val="center"/>
          </w:tcPr>
          <w:p w14:paraId="119B06DA" w14:textId="77777777" w:rsidR="00ED4E94" w:rsidRPr="009E6D46" w:rsidRDefault="00ED4E94" w:rsidP="00C65A4F">
            <w:pPr>
              <w:keepNext/>
              <w:keepLines/>
              <w:spacing w:before="60" w:after="60"/>
              <w:jc w:val="center"/>
            </w:pPr>
            <w:r>
              <w:t>6</w:t>
            </w:r>
          </w:p>
        </w:tc>
        <w:tc>
          <w:tcPr>
            <w:tcW w:w="1651" w:type="dxa"/>
            <w:vMerge/>
            <w:vAlign w:val="center"/>
          </w:tcPr>
          <w:p w14:paraId="0362888E" w14:textId="77777777" w:rsidR="00ED4E94" w:rsidRPr="009E6D46" w:rsidRDefault="00ED4E94" w:rsidP="00C65A4F">
            <w:pPr>
              <w:spacing w:before="60" w:after="60"/>
              <w:jc w:val="center"/>
            </w:pPr>
          </w:p>
        </w:tc>
      </w:tr>
      <w:tr w:rsidR="00ED4E94" w:rsidRPr="009E6D46" w14:paraId="5952537B" w14:textId="77777777" w:rsidTr="0099752B">
        <w:tc>
          <w:tcPr>
            <w:tcW w:w="2081" w:type="dxa"/>
            <w:vMerge/>
          </w:tcPr>
          <w:p w14:paraId="5F433BEF" w14:textId="77777777" w:rsidR="00ED4E94" w:rsidRPr="009E6D46" w:rsidRDefault="00ED4E94" w:rsidP="00C65A4F">
            <w:pPr>
              <w:spacing w:before="60" w:after="60"/>
            </w:pPr>
          </w:p>
        </w:tc>
        <w:tc>
          <w:tcPr>
            <w:tcW w:w="1493" w:type="dxa"/>
            <w:vAlign w:val="center"/>
          </w:tcPr>
          <w:p w14:paraId="315F1FF5" w14:textId="28F5BA94" w:rsidR="00ED4E94" w:rsidRPr="009E6D46" w:rsidRDefault="00ED4E94" w:rsidP="00C65A4F">
            <w:pPr>
              <w:keepNext/>
              <w:keepLines/>
              <w:spacing w:before="60" w:after="60"/>
              <w:jc w:val="center"/>
            </w:pPr>
            <w:r>
              <w:t xml:space="preserve">&gt; 5 years, </w:t>
            </w:r>
            <w:r w:rsidRPr="00EE73EA">
              <w:sym w:font="Symbol" w:char="00A3"/>
            </w:r>
            <w:r>
              <w:t> 10 years</w:t>
            </w:r>
          </w:p>
        </w:tc>
        <w:tc>
          <w:tcPr>
            <w:tcW w:w="1605" w:type="dxa"/>
            <w:vMerge w:val="restart"/>
            <w:vAlign w:val="center"/>
          </w:tcPr>
          <w:p w14:paraId="2959D591" w14:textId="77777777" w:rsidR="00ED4E94" w:rsidRPr="009E6D46" w:rsidRDefault="00ED4E94" w:rsidP="00C65A4F">
            <w:pPr>
              <w:keepNext/>
              <w:keepLines/>
              <w:spacing w:before="60" w:after="60"/>
              <w:jc w:val="center"/>
            </w:pPr>
            <w:r>
              <w:t>6</w:t>
            </w:r>
          </w:p>
        </w:tc>
        <w:tc>
          <w:tcPr>
            <w:tcW w:w="1477" w:type="dxa"/>
            <w:vAlign w:val="center"/>
          </w:tcPr>
          <w:p w14:paraId="7662F42A" w14:textId="77777777" w:rsidR="00ED4E94" w:rsidRPr="009E6D46" w:rsidRDefault="00ED4E94" w:rsidP="00C65A4F">
            <w:pPr>
              <w:keepNext/>
              <w:keepLines/>
              <w:spacing w:before="60" w:after="60"/>
              <w:jc w:val="center"/>
            </w:pPr>
            <w:r>
              <w:t>12</w:t>
            </w:r>
          </w:p>
        </w:tc>
        <w:tc>
          <w:tcPr>
            <w:tcW w:w="1651" w:type="dxa"/>
            <w:vMerge/>
            <w:vAlign w:val="center"/>
          </w:tcPr>
          <w:p w14:paraId="4D3DDCF4" w14:textId="12AB0892" w:rsidR="00ED4E94" w:rsidRPr="009E6D46" w:rsidRDefault="00ED4E94" w:rsidP="00C65A4F">
            <w:pPr>
              <w:spacing w:before="60" w:after="60"/>
              <w:jc w:val="center"/>
            </w:pPr>
          </w:p>
        </w:tc>
      </w:tr>
      <w:tr w:rsidR="00ED4E94" w:rsidRPr="009E6D46" w14:paraId="01CD43F4" w14:textId="77777777" w:rsidTr="0099752B">
        <w:tc>
          <w:tcPr>
            <w:tcW w:w="2081" w:type="dxa"/>
            <w:vMerge/>
          </w:tcPr>
          <w:p w14:paraId="46598387" w14:textId="77777777" w:rsidR="00ED4E94" w:rsidRPr="009E6D46" w:rsidRDefault="00ED4E94" w:rsidP="00C65A4F">
            <w:pPr>
              <w:spacing w:before="60" w:after="60"/>
            </w:pPr>
          </w:p>
        </w:tc>
        <w:tc>
          <w:tcPr>
            <w:tcW w:w="1493" w:type="dxa"/>
            <w:vAlign w:val="center"/>
          </w:tcPr>
          <w:p w14:paraId="7317B6D2" w14:textId="5C4BCC12" w:rsidR="00ED4E94" w:rsidRPr="009E6D46" w:rsidRDefault="00ED4E94" w:rsidP="00C65A4F">
            <w:pPr>
              <w:keepNext/>
              <w:keepLines/>
              <w:spacing w:before="60" w:after="60"/>
              <w:jc w:val="center"/>
            </w:pPr>
            <w:r>
              <w:t>&gt; 10 years</w:t>
            </w:r>
          </w:p>
        </w:tc>
        <w:tc>
          <w:tcPr>
            <w:tcW w:w="1605" w:type="dxa"/>
            <w:vMerge/>
            <w:vAlign w:val="center"/>
          </w:tcPr>
          <w:p w14:paraId="6FCD7BE4" w14:textId="77777777" w:rsidR="00ED4E94" w:rsidRPr="009E6D46" w:rsidRDefault="00ED4E94" w:rsidP="00C65A4F">
            <w:pPr>
              <w:keepNext/>
              <w:keepLines/>
              <w:spacing w:before="60" w:after="60"/>
              <w:jc w:val="center"/>
            </w:pPr>
          </w:p>
        </w:tc>
        <w:tc>
          <w:tcPr>
            <w:tcW w:w="1477" w:type="dxa"/>
            <w:vAlign w:val="center"/>
          </w:tcPr>
          <w:p w14:paraId="3916BF5B" w14:textId="77777777" w:rsidR="00ED4E94" w:rsidRPr="009E6D46" w:rsidRDefault="00ED4E94" w:rsidP="00C65A4F">
            <w:pPr>
              <w:keepNext/>
              <w:keepLines/>
              <w:spacing w:before="60" w:after="60"/>
              <w:jc w:val="center"/>
            </w:pPr>
            <w:r>
              <w:t>20</w:t>
            </w:r>
          </w:p>
        </w:tc>
        <w:tc>
          <w:tcPr>
            <w:tcW w:w="1651" w:type="dxa"/>
            <w:vMerge/>
            <w:vAlign w:val="center"/>
          </w:tcPr>
          <w:p w14:paraId="38B7E4B2" w14:textId="77777777" w:rsidR="00ED4E94" w:rsidRPr="009E6D46" w:rsidRDefault="00ED4E94" w:rsidP="00C65A4F">
            <w:pPr>
              <w:spacing w:before="60" w:after="60"/>
              <w:jc w:val="center"/>
            </w:pPr>
          </w:p>
        </w:tc>
      </w:tr>
      <w:tr w:rsidR="00244B73" w:rsidRPr="009E6D46" w14:paraId="39D1CC07" w14:textId="77777777" w:rsidTr="0099752B">
        <w:tc>
          <w:tcPr>
            <w:tcW w:w="2081" w:type="dxa"/>
            <w:vAlign w:val="center"/>
          </w:tcPr>
          <w:p w14:paraId="3AB49F76" w14:textId="491CD2D0" w:rsidR="00244B73" w:rsidRPr="009E6D46" w:rsidRDefault="00D3043E" w:rsidP="00C65A4F">
            <w:pPr>
              <w:spacing w:before="60" w:after="60"/>
            </w:pPr>
            <w:r>
              <w:t>4 (long-term)</w:t>
            </w:r>
          </w:p>
        </w:tc>
        <w:tc>
          <w:tcPr>
            <w:tcW w:w="1493" w:type="dxa"/>
            <w:vAlign w:val="center"/>
          </w:tcPr>
          <w:p w14:paraId="3E565812" w14:textId="77777777" w:rsidR="00244B73" w:rsidRPr="009E6D46" w:rsidRDefault="00244B73" w:rsidP="00C65A4F">
            <w:pPr>
              <w:spacing w:before="60" w:after="60"/>
              <w:jc w:val="center"/>
            </w:pPr>
            <w:r>
              <w:t>All</w:t>
            </w:r>
          </w:p>
        </w:tc>
        <w:tc>
          <w:tcPr>
            <w:tcW w:w="1605" w:type="dxa"/>
            <w:vAlign w:val="center"/>
          </w:tcPr>
          <w:p w14:paraId="117D9218" w14:textId="77777777" w:rsidR="00244B73" w:rsidRPr="009E6D46" w:rsidRDefault="00244B73" w:rsidP="00C65A4F">
            <w:pPr>
              <w:spacing w:before="60" w:after="60"/>
              <w:jc w:val="center"/>
            </w:pPr>
            <w:r>
              <w:t>15</w:t>
            </w:r>
          </w:p>
        </w:tc>
        <w:tc>
          <w:tcPr>
            <w:tcW w:w="3128" w:type="dxa"/>
            <w:gridSpan w:val="2"/>
            <w:vAlign w:val="center"/>
          </w:tcPr>
          <w:p w14:paraId="195A573F" w14:textId="77777777" w:rsidR="00244B73" w:rsidRPr="009E6D46" w:rsidRDefault="00244B73" w:rsidP="00C65A4F">
            <w:pPr>
              <w:spacing w:before="60" w:after="60"/>
              <w:jc w:val="center"/>
            </w:pPr>
            <w:r>
              <w:t>Not eligible</w:t>
            </w:r>
          </w:p>
        </w:tc>
      </w:tr>
      <w:tr w:rsidR="00244B73" w:rsidRPr="009E6D46" w14:paraId="17CE92B0" w14:textId="77777777" w:rsidTr="0099752B">
        <w:tc>
          <w:tcPr>
            <w:tcW w:w="3574" w:type="dxa"/>
            <w:gridSpan w:val="2"/>
            <w:vAlign w:val="center"/>
          </w:tcPr>
          <w:p w14:paraId="408CEE9A" w14:textId="77777777" w:rsidR="00244B73" w:rsidRPr="009E6D46" w:rsidRDefault="00244B73" w:rsidP="00C65A4F">
            <w:pPr>
              <w:spacing w:before="60" w:after="60"/>
            </w:pPr>
            <w:r>
              <w:t>Main index equities (including convertible bonds) and gold</w:t>
            </w:r>
          </w:p>
        </w:tc>
        <w:tc>
          <w:tcPr>
            <w:tcW w:w="4733" w:type="dxa"/>
            <w:gridSpan w:val="3"/>
            <w:vAlign w:val="center"/>
          </w:tcPr>
          <w:p w14:paraId="79AA5D6A" w14:textId="77777777" w:rsidR="00244B73" w:rsidRPr="009E6D46" w:rsidRDefault="00244B73" w:rsidP="00C65A4F">
            <w:pPr>
              <w:spacing w:before="60" w:after="60"/>
              <w:jc w:val="center"/>
            </w:pPr>
            <w:r>
              <w:t>20</w:t>
            </w:r>
          </w:p>
        </w:tc>
      </w:tr>
      <w:tr w:rsidR="00244B73" w:rsidRPr="009E6D46" w14:paraId="73148C52" w14:textId="77777777" w:rsidTr="0099752B">
        <w:tc>
          <w:tcPr>
            <w:tcW w:w="3574" w:type="dxa"/>
            <w:gridSpan w:val="2"/>
            <w:vAlign w:val="center"/>
          </w:tcPr>
          <w:p w14:paraId="6ADE220E" w14:textId="0F6A7ED8" w:rsidR="00244B73" w:rsidRPr="009E6D46" w:rsidRDefault="00244B73" w:rsidP="000D770B">
            <w:pPr>
              <w:spacing w:before="60" w:after="60"/>
            </w:pPr>
            <w:r>
              <w:t>Other equities and convertible bonds listed on a recognised exchange</w:t>
            </w:r>
          </w:p>
        </w:tc>
        <w:tc>
          <w:tcPr>
            <w:tcW w:w="4733" w:type="dxa"/>
            <w:gridSpan w:val="3"/>
            <w:vAlign w:val="center"/>
          </w:tcPr>
          <w:p w14:paraId="66CD7529" w14:textId="77777777" w:rsidR="00244B73" w:rsidRPr="009E6D46" w:rsidRDefault="00244B73" w:rsidP="00C65A4F">
            <w:pPr>
              <w:spacing w:before="60" w:after="60"/>
              <w:jc w:val="center"/>
            </w:pPr>
            <w:r>
              <w:t>30</w:t>
            </w:r>
          </w:p>
        </w:tc>
      </w:tr>
      <w:tr w:rsidR="000D770B" w:rsidRPr="009E6D46" w14:paraId="370EA46A" w14:textId="77777777" w:rsidTr="0099752B">
        <w:tc>
          <w:tcPr>
            <w:tcW w:w="3574" w:type="dxa"/>
            <w:gridSpan w:val="2"/>
            <w:vAlign w:val="center"/>
          </w:tcPr>
          <w:p w14:paraId="08ABF195" w14:textId="1A48B182" w:rsidR="000D770B" w:rsidRDefault="000D770B" w:rsidP="00C65A4F">
            <w:pPr>
              <w:spacing w:before="60" w:after="60"/>
            </w:pPr>
            <w:r>
              <w:lastRenderedPageBreak/>
              <w:t>Securities that are posted collateral but not eligible financial collateral</w:t>
            </w:r>
          </w:p>
        </w:tc>
        <w:tc>
          <w:tcPr>
            <w:tcW w:w="4733" w:type="dxa"/>
            <w:gridSpan w:val="3"/>
            <w:vAlign w:val="center"/>
          </w:tcPr>
          <w:p w14:paraId="475F88C4" w14:textId="27B5ADD8" w:rsidR="000D770B" w:rsidRDefault="000D770B" w:rsidP="00C65A4F">
            <w:pPr>
              <w:spacing w:before="60" w:after="60"/>
              <w:jc w:val="center"/>
            </w:pPr>
            <w:r>
              <w:t>30</w:t>
            </w:r>
          </w:p>
        </w:tc>
      </w:tr>
      <w:tr w:rsidR="00244B73" w:rsidRPr="009E6D46" w14:paraId="5B6CFC27" w14:textId="77777777" w:rsidTr="0099752B">
        <w:tc>
          <w:tcPr>
            <w:tcW w:w="3574" w:type="dxa"/>
            <w:gridSpan w:val="2"/>
            <w:vAlign w:val="center"/>
          </w:tcPr>
          <w:p w14:paraId="76580B3D" w14:textId="0D88C557" w:rsidR="00244B73" w:rsidRPr="009E6D46" w:rsidRDefault="00244B73" w:rsidP="00C65A4F">
            <w:pPr>
              <w:spacing w:before="60" w:after="60"/>
            </w:pPr>
            <w:r>
              <w:t>Units in trusts</w:t>
            </w:r>
          </w:p>
        </w:tc>
        <w:tc>
          <w:tcPr>
            <w:tcW w:w="4733" w:type="dxa"/>
            <w:gridSpan w:val="3"/>
            <w:vAlign w:val="center"/>
          </w:tcPr>
          <w:p w14:paraId="2AB42144" w14:textId="7F3F5F15" w:rsidR="00244B73" w:rsidRPr="009E6D46" w:rsidRDefault="00244B73" w:rsidP="00C65A4F">
            <w:pPr>
              <w:spacing w:before="60" w:after="60"/>
              <w:jc w:val="center"/>
            </w:pPr>
            <w:r>
              <w:t xml:space="preserve">Highest haircut applicable to any security in which the </w:t>
            </w:r>
            <w:r w:rsidR="00A55A16">
              <w:t xml:space="preserve">trust </w:t>
            </w:r>
            <w:r>
              <w:t>can invest</w:t>
            </w:r>
          </w:p>
        </w:tc>
      </w:tr>
      <w:tr w:rsidR="00244B73" w:rsidRPr="009E6D46" w14:paraId="13745A93" w14:textId="77777777" w:rsidTr="0099752B">
        <w:tc>
          <w:tcPr>
            <w:tcW w:w="3574" w:type="dxa"/>
            <w:gridSpan w:val="2"/>
            <w:vAlign w:val="center"/>
          </w:tcPr>
          <w:p w14:paraId="7F1244D2" w14:textId="2D07C6FB" w:rsidR="00244B73" w:rsidRPr="009E6D46" w:rsidRDefault="00244B73" w:rsidP="00C65A4F">
            <w:pPr>
              <w:spacing w:before="60" w:after="60"/>
            </w:pPr>
            <w:r>
              <w:t>Cash</w:t>
            </w:r>
            <w:r>
              <w:rPr>
                <w:rStyle w:val="FootnoteReference"/>
              </w:rPr>
              <w:footnoteReference w:id="26"/>
            </w:r>
          </w:p>
        </w:tc>
        <w:tc>
          <w:tcPr>
            <w:tcW w:w="4733" w:type="dxa"/>
            <w:gridSpan w:val="3"/>
            <w:vAlign w:val="center"/>
          </w:tcPr>
          <w:p w14:paraId="7AE738A0" w14:textId="77777777" w:rsidR="00244B73" w:rsidRPr="009E6D46" w:rsidRDefault="00244B73" w:rsidP="00C65A4F">
            <w:pPr>
              <w:spacing w:before="60" w:after="60"/>
              <w:jc w:val="center"/>
            </w:pPr>
            <w:r>
              <w:t>0</w:t>
            </w:r>
          </w:p>
        </w:tc>
      </w:tr>
      <w:tr w:rsidR="000611D9" w:rsidRPr="009E6D46" w14:paraId="0A1EE6AE" w14:textId="77777777" w:rsidTr="0099752B">
        <w:tc>
          <w:tcPr>
            <w:tcW w:w="3574" w:type="dxa"/>
            <w:gridSpan w:val="2"/>
            <w:vAlign w:val="center"/>
          </w:tcPr>
          <w:p w14:paraId="32CC6FCC" w14:textId="4E424533" w:rsidR="000611D9" w:rsidRDefault="000611D9" w:rsidP="00C65A4F">
            <w:pPr>
              <w:spacing w:before="60" w:after="60"/>
            </w:pPr>
            <w:r>
              <w:t xml:space="preserve">Securities </w:t>
            </w:r>
            <w:r w:rsidR="00E50C30">
              <w:t>forming part of posted or received</w:t>
            </w:r>
            <w:r>
              <w:t xml:space="preserve"> collateral for transactions that satisfy the criteria in paragraphs </w:t>
            </w:r>
            <w:r>
              <w:fldChar w:fldCharType="begin"/>
            </w:r>
            <w:r>
              <w:instrText xml:space="preserve"> REF _Ref3481716 \r \h </w:instrText>
            </w:r>
            <w:r>
              <w:fldChar w:fldCharType="separate"/>
            </w:r>
            <w:r w:rsidR="0007706D">
              <w:t>19</w:t>
            </w:r>
            <w:r>
              <w:fldChar w:fldCharType="end"/>
            </w:r>
            <w:r>
              <w:t xml:space="preserve"> and </w:t>
            </w:r>
            <w:r>
              <w:fldChar w:fldCharType="begin"/>
            </w:r>
            <w:r>
              <w:instrText xml:space="preserve"> REF _Ref3481397 \r \h </w:instrText>
            </w:r>
            <w:r>
              <w:fldChar w:fldCharType="separate"/>
            </w:r>
            <w:r w:rsidR="0007706D">
              <w:t>20</w:t>
            </w:r>
            <w:r>
              <w:fldChar w:fldCharType="end"/>
            </w:r>
            <w:r>
              <w:t xml:space="preserve"> of this Attachment, provided that, if the transaction is in a netting set, all transactions in that netting set satisfy those criteria</w:t>
            </w:r>
            <w:r w:rsidR="00D877E1">
              <w:rPr>
                <w:rStyle w:val="FootnoteReference"/>
              </w:rPr>
              <w:footnoteReference w:id="27"/>
            </w:r>
            <w:r>
              <w:t xml:space="preserve"> </w:t>
            </w:r>
          </w:p>
        </w:tc>
        <w:tc>
          <w:tcPr>
            <w:tcW w:w="4733" w:type="dxa"/>
            <w:gridSpan w:val="3"/>
            <w:vAlign w:val="center"/>
          </w:tcPr>
          <w:p w14:paraId="67E9A9AB" w14:textId="76478B9F" w:rsidR="000611D9" w:rsidRDefault="000611D9" w:rsidP="00C65A4F">
            <w:pPr>
              <w:spacing w:before="60" w:after="60"/>
              <w:jc w:val="center"/>
            </w:pPr>
            <w:r>
              <w:t>0</w:t>
            </w:r>
          </w:p>
        </w:tc>
      </w:tr>
    </w:tbl>
    <w:p w14:paraId="7C7CD9D7" w14:textId="77777777" w:rsidR="00244B73" w:rsidRDefault="00244B73" w:rsidP="005B50EE">
      <w:pPr>
        <w:spacing w:after="120"/>
      </w:pPr>
    </w:p>
    <w:p w14:paraId="7FD265D2" w14:textId="33753400" w:rsidR="00DC3B14" w:rsidRPr="00236F35" w:rsidRDefault="00DC3B14" w:rsidP="00DC3B14">
      <w:pPr>
        <w:pStyle w:val="BodyText1"/>
      </w:pPr>
      <w:bookmarkStart w:id="190" w:name="_Ref3482320"/>
      <w:r w:rsidRPr="00236F35">
        <w:t>An ADI must apply a haircut of 8 per cent for currency risk (</w:t>
      </w:r>
      <w:proofErr w:type="spellStart"/>
      <w:r w:rsidRPr="00236F35">
        <w:rPr>
          <w:i/>
        </w:rPr>
        <w:t>H</w:t>
      </w:r>
      <w:r w:rsidRPr="00236F35">
        <w:rPr>
          <w:i/>
          <w:vertAlign w:val="subscript"/>
        </w:rPr>
        <w:t>fx</w:t>
      </w:r>
      <w:r w:rsidR="00FE5BBE">
        <w:rPr>
          <w:i/>
          <w:vertAlign w:val="subscript"/>
        </w:rPr>
        <w:t>,i</w:t>
      </w:r>
      <w:proofErr w:type="spellEnd"/>
      <w:r w:rsidRPr="00236F35">
        <w:t>) where the exposure and collateral are denominated in different currencies</w:t>
      </w:r>
      <w:r w:rsidR="00293240">
        <w:t xml:space="preserve">, and zero </w:t>
      </w:r>
      <w:r w:rsidR="008017D6">
        <w:t xml:space="preserve">per cent </w:t>
      </w:r>
      <w:r w:rsidR="00293240">
        <w:t>where they are denominated in the same currency</w:t>
      </w:r>
      <w:r w:rsidRPr="00236F35">
        <w:t>.</w:t>
      </w:r>
      <w:bookmarkEnd w:id="190"/>
      <w:r w:rsidRPr="00236F35">
        <w:t xml:space="preserve"> </w:t>
      </w:r>
    </w:p>
    <w:p w14:paraId="28442E68" w14:textId="5C3870FD" w:rsidR="00236F35" w:rsidRDefault="00787051" w:rsidP="00C53901">
      <w:pPr>
        <w:pStyle w:val="Heading4"/>
      </w:pPr>
      <w:r>
        <w:t xml:space="preserve">Adjustments for different holding periods and non-daily mark-to-market or </w:t>
      </w:r>
      <w:proofErr w:type="spellStart"/>
      <w:r>
        <w:t>remargining</w:t>
      </w:r>
      <w:proofErr w:type="spellEnd"/>
    </w:p>
    <w:p w14:paraId="1BF92BC3" w14:textId="644ACAC6" w:rsidR="002B0B41" w:rsidRPr="002B0B41" w:rsidRDefault="002B0B41" w:rsidP="002B0B41">
      <w:pPr>
        <w:pStyle w:val="BodyText1"/>
      </w:pPr>
      <w:bookmarkStart w:id="191" w:name="_Ref460430988"/>
      <w:r>
        <w:t>An ADI must apply the</w:t>
      </w:r>
      <w:r w:rsidRPr="002B0B41">
        <w:t xml:space="preserve"> minimum holding periods</w:t>
      </w:r>
      <w:r>
        <w:t xml:space="preserve"> and conditions in </w:t>
      </w:r>
      <w:r w:rsidR="00CB62A7">
        <w:rPr>
          <w:highlight w:val="yellow"/>
        </w:rPr>
        <w:fldChar w:fldCharType="begin"/>
      </w:r>
      <w:r w:rsidR="00CB62A7">
        <w:instrText xml:space="preserve"> REF _Ref3975436 \n \h </w:instrText>
      </w:r>
      <w:r w:rsidR="00CB62A7">
        <w:rPr>
          <w:highlight w:val="yellow"/>
        </w:rPr>
      </w:r>
      <w:r w:rsidR="00CB62A7">
        <w:rPr>
          <w:highlight w:val="yellow"/>
        </w:rPr>
        <w:fldChar w:fldCharType="separate"/>
      </w:r>
      <w:r w:rsidR="0007706D">
        <w:t>Table 24</w:t>
      </w:r>
      <w:r w:rsidR="00CB62A7">
        <w:rPr>
          <w:highlight w:val="yellow"/>
        </w:rPr>
        <w:fldChar w:fldCharType="end"/>
      </w:r>
      <w:r>
        <w:t xml:space="preserve"> to</w:t>
      </w:r>
      <w:r w:rsidRPr="002B0B41">
        <w:t xml:space="preserve"> SFTs, other capital-market-driven transactions (</w:t>
      </w:r>
      <w:proofErr w:type="gramStart"/>
      <w:r w:rsidR="00CA5289">
        <w:t>e.g.</w:t>
      </w:r>
      <w:proofErr w:type="gramEnd"/>
      <w:r w:rsidR="00CA5289">
        <w:t xml:space="preserve"> </w:t>
      </w:r>
      <w:r w:rsidRPr="002B0B41">
        <w:t>OTC derivative transactions) and secured lending.</w:t>
      </w:r>
      <w:bookmarkEnd w:id="191"/>
    </w:p>
    <w:p w14:paraId="4110A338" w14:textId="3B1F5829" w:rsidR="002B0B41" w:rsidRPr="002B0B41" w:rsidRDefault="00D1225D" w:rsidP="00D1225D">
      <w:pPr>
        <w:pStyle w:val="TableHeadNumber"/>
      </w:pPr>
      <w:bookmarkStart w:id="192" w:name="_Ref460431988"/>
      <w:bookmarkStart w:id="193" w:name="_Ref3975436"/>
      <w:bookmarkEnd w:id="192"/>
      <w:r>
        <w:t>M</w:t>
      </w:r>
      <w:r w:rsidR="002B0B41" w:rsidRPr="002B0B41">
        <w:t>inimum holding periods</w:t>
      </w:r>
      <w:r w:rsidR="002B0B41">
        <w:t xml:space="preserve"> and conditions</w:t>
      </w:r>
      <w:bookmarkEnd w:id="193"/>
    </w:p>
    <w:tbl>
      <w:tblPr>
        <w:tblStyle w:val="TableGrid"/>
        <w:tblW w:w="0" w:type="auto"/>
        <w:tblInd w:w="-5" w:type="dxa"/>
        <w:tblLook w:val="04A0" w:firstRow="1" w:lastRow="0" w:firstColumn="1" w:lastColumn="0" w:noHBand="0" w:noVBand="1"/>
      </w:tblPr>
      <w:tblGrid>
        <w:gridCol w:w="3402"/>
        <w:gridCol w:w="2552"/>
        <w:gridCol w:w="2353"/>
      </w:tblGrid>
      <w:tr w:rsidR="002B0B41" w:rsidRPr="00EE73EA" w14:paraId="53F00189" w14:textId="77777777" w:rsidTr="00C65A4F">
        <w:tc>
          <w:tcPr>
            <w:tcW w:w="3402" w:type="dxa"/>
            <w:vAlign w:val="center"/>
          </w:tcPr>
          <w:p w14:paraId="36526AD8" w14:textId="77777777" w:rsidR="002B0B41" w:rsidRPr="002B0B41" w:rsidRDefault="002B0B41" w:rsidP="00C65A4F">
            <w:pPr>
              <w:keepNext/>
              <w:spacing w:before="60" w:after="60"/>
              <w:rPr>
                <w:b/>
              </w:rPr>
            </w:pPr>
            <w:r w:rsidRPr="002B0B41">
              <w:rPr>
                <w:b/>
              </w:rPr>
              <w:t>Transaction type</w:t>
            </w:r>
          </w:p>
        </w:tc>
        <w:tc>
          <w:tcPr>
            <w:tcW w:w="2552" w:type="dxa"/>
          </w:tcPr>
          <w:p w14:paraId="12D9AF99" w14:textId="77777777" w:rsidR="002B0B41" w:rsidRPr="002B0B41" w:rsidRDefault="002B0B41" w:rsidP="00C65A4F">
            <w:pPr>
              <w:spacing w:before="60" w:after="60"/>
              <w:jc w:val="center"/>
              <w:rPr>
                <w:b/>
              </w:rPr>
            </w:pPr>
            <w:r w:rsidRPr="002B0B41">
              <w:rPr>
                <w:b/>
              </w:rPr>
              <w:t>Minimum holding period (business days)</w:t>
            </w:r>
          </w:p>
        </w:tc>
        <w:tc>
          <w:tcPr>
            <w:tcW w:w="2353" w:type="dxa"/>
            <w:vAlign w:val="center"/>
          </w:tcPr>
          <w:p w14:paraId="44322CDD" w14:textId="77777777" w:rsidR="002B0B41" w:rsidRPr="002B0B41" w:rsidRDefault="002B0B41" w:rsidP="00C65A4F">
            <w:pPr>
              <w:spacing w:before="60" w:after="60"/>
              <w:jc w:val="center"/>
              <w:rPr>
                <w:b/>
              </w:rPr>
            </w:pPr>
            <w:r w:rsidRPr="002B0B41">
              <w:rPr>
                <w:b/>
              </w:rPr>
              <w:t>Condition</w:t>
            </w:r>
          </w:p>
        </w:tc>
      </w:tr>
      <w:tr w:rsidR="002B0B41" w:rsidRPr="00EE73EA" w14:paraId="68EA13DF" w14:textId="77777777" w:rsidTr="00C65A4F">
        <w:tc>
          <w:tcPr>
            <w:tcW w:w="3402" w:type="dxa"/>
          </w:tcPr>
          <w:p w14:paraId="3977CA26" w14:textId="0664D535" w:rsidR="002B0B41" w:rsidRPr="00EE73EA" w:rsidRDefault="002B0B41" w:rsidP="00C65A4F">
            <w:pPr>
              <w:spacing w:before="60" w:after="60"/>
            </w:pPr>
            <w:r>
              <w:t>SFTs</w:t>
            </w:r>
          </w:p>
        </w:tc>
        <w:tc>
          <w:tcPr>
            <w:tcW w:w="2552" w:type="dxa"/>
            <w:vAlign w:val="center"/>
          </w:tcPr>
          <w:p w14:paraId="4392E46D" w14:textId="024A847A" w:rsidR="002B0B41" w:rsidRPr="00EE73EA" w:rsidRDefault="002B0B41" w:rsidP="00C65A4F">
            <w:pPr>
              <w:spacing w:before="60" w:after="60"/>
              <w:jc w:val="center"/>
            </w:pPr>
            <w:r>
              <w:t>5</w:t>
            </w:r>
          </w:p>
        </w:tc>
        <w:tc>
          <w:tcPr>
            <w:tcW w:w="2353" w:type="dxa"/>
            <w:vAlign w:val="center"/>
          </w:tcPr>
          <w:p w14:paraId="75521484" w14:textId="77777777" w:rsidR="002B0B41" w:rsidRPr="00EE73EA" w:rsidRDefault="002B0B41" w:rsidP="00C65A4F">
            <w:pPr>
              <w:spacing w:before="60" w:after="60"/>
              <w:jc w:val="center"/>
            </w:pPr>
            <w:r w:rsidRPr="00EE73EA">
              <w:t xml:space="preserve">Daily </w:t>
            </w:r>
            <w:proofErr w:type="spellStart"/>
            <w:r w:rsidRPr="00EE73EA">
              <w:t>remargining</w:t>
            </w:r>
            <w:proofErr w:type="spellEnd"/>
          </w:p>
        </w:tc>
      </w:tr>
      <w:tr w:rsidR="002B0B41" w:rsidRPr="00EE73EA" w14:paraId="7CA15A81" w14:textId="77777777" w:rsidTr="00C65A4F">
        <w:tc>
          <w:tcPr>
            <w:tcW w:w="3402" w:type="dxa"/>
          </w:tcPr>
          <w:p w14:paraId="77093F08" w14:textId="7DE26274" w:rsidR="002B0B41" w:rsidRPr="00EE73EA" w:rsidRDefault="002B0B41" w:rsidP="00C65A4F">
            <w:pPr>
              <w:spacing w:before="60" w:after="60"/>
            </w:pPr>
            <w:r w:rsidRPr="00EE73EA">
              <w:t xml:space="preserve">Other capital market transactions </w:t>
            </w:r>
          </w:p>
        </w:tc>
        <w:tc>
          <w:tcPr>
            <w:tcW w:w="2552" w:type="dxa"/>
            <w:vAlign w:val="center"/>
          </w:tcPr>
          <w:p w14:paraId="38C3FAC3" w14:textId="0F988CE3" w:rsidR="002B0B41" w:rsidRPr="00EE73EA" w:rsidRDefault="002B0B41" w:rsidP="00C65A4F">
            <w:pPr>
              <w:spacing w:before="60" w:after="60"/>
              <w:jc w:val="center"/>
            </w:pPr>
            <w:r>
              <w:t>10</w:t>
            </w:r>
          </w:p>
        </w:tc>
        <w:tc>
          <w:tcPr>
            <w:tcW w:w="2353" w:type="dxa"/>
            <w:vAlign w:val="center"/>
          </w:tcPr>
          <w:p w14:paraId="5177D132" w14:textId="77777777" w:rsidR="002B0B41" w:rsidRPr="00EE73EA" w:rsidRDefault="002B0B41" w:rsidP="00C65A4F">
            <w:pPr>
              <w:spacing w:before="60" w:after="60"/>
              <w:jc w:val="center"/>
            </w:pPr>
            <w:r w:rsidRPr="00EE73EA">
              <w:t xml:space="preserve">Daily </w:t>
            </w:r>
            <w:proofErr w:type="spellStart"/>
            <w:r w:rsidRPr="00EE73EA">
              <w:t>remargining</w:t>
            </w:r>
            <w:proofErr w:type="spellEnd"/>
          </w:p>
        </w:tc>
      </w:tr>
      <w:tr w:rsidR="002B0B41" w:rsidRPr="00EE73EA" w14:paraId="57F8E84E" w14:textId="77777777" w:rsidTr="00C65A4F">
        <w:tc>
          <w:tcPr>
            <w:tcW w:w="3402" w:type="dxa"/>
          </w:tcPr>
          <w:p w14:paraId="551A03EB" w14:textId="77777777" w:rsidR="002B0B41" w:rsidRPr="00EE73EA" w:rsidRDefault="002B0B41" w:rsidP="00C65A4F">
            <w:pPr>
              <w:spacing w:before="60" w:after="60"/>
            </w:pPr>
            <w:r w:rsidRPr="00EE73EA">
              <w:t>Secured lending</w:t>
            </w:r>
          </w:p>
        </w:tc>
        <w:tc>
          <w:tcPr>
            <w:tcW w:w="2552" w:type="dxa"/>
            <w:vAlign w:val="center"/>
          </w:tcPr>
          <w:p w14:paraId="62152E5A" w14:textId="298E5FBE" w:rsidR="002B0B41" w:rsidRPr="00EE73EA" w:rsidRDefault="002B0B41" w:rsidP="00C65A4F">
            <w:pPr>
              <w:spacing w:before="60" w:after="60"/>
              <w:jc w:val="center"/>
            </w:pPr>
            <w:r>
              <w:t>20</w:t>
            </w:r>
          </w:p>
        </w:tc>
        <w:tc>
          <w:tcPr>
            <w:tcW w:w="2353" w:type="dxa"/>
            <w:vAlign w:val="center"/>
          </w:tcPr>
          <w:p w14:paraId="61A026AF" w14:textId="6404037C" w:rsidR="002B0B41" w:rsidRPr="00EE73EA" w:rsidRDefault="002B0B41" w:rsidP="00C65A4F">
            <w:pPr>
              <w:spacing w:before="60" w:after="60"/>
              <w:jc w:val="center"/>
            </w:pPr>
            <w:r w:rsidRPr="00EE73EA">
              <w:t>Daily revalu</w:t>
            </w:r>
            <w:r>
              <w:t>ation</w:t>
            </w:r>
          </w:p>
        </w:tc>
      </w:tr>
    </w:tbl>
    <w:p w14:paraId="02F4E549" w14:textId="77777777" w:rsidR="002B0B41" w:rsidRPr="002B0B41" w:rsidRDefault="002B0B41" w:rsidP="00C226EB">
      <w:pPr>
        <w:pStyle w:val="BodyText1"/>
        <w:spacing w:before="240"/>
      </w:pPr>
      <w:bookmarkStart w:id="194" w:name="_Ref460427144"/>
      <w:r w:rsidRPr="002B0B41">
        <w:t>Under the following circumstances, an ADI must apply a higher minimum holding period:</w:t>
      </w:r>
      <w:bookmarkEnd w:id="194"/>
    </w:p>
    <w:p w14:paraId="080CD90C" w14:textId="77777777" w:rsidR="002B0B41" w:rsidRPr="002B0B41" w:rsidRDefault="002B0B41" w:rsidP="002B0B41">
      <w:pPr>
        <w:pStyle w:val="BodyText2"/>
      </w:pPr>
      <w:r w:rsidRPr="002B0B41">
        <w:t>for all netting sets where the number of trades exceeds 5,000 at any point during a quarter, an ADI must set the minimum holding period to 20 business days for the following quarter;</w:t>
      </w:r>
    </w:p>
    <w:p w14:paraId="6FEF4553" w14:textId="6E9F246C" w:rsidR="002B0B41" w:rsidRPr="002B0B41" w:rsidRDefault="002B0B41" w:rsidP="002B0B41">
      <w:pPr>
        <w:pStyle w:val="BodyText2"/>
      </w:pPr>
      <w:r w:rsidRPr="002B0B41">
        <w:lastRenderedPageBreak/>
        <w:t>for netting sets containing one or more trades involving either illiquid collateral, or an OTC derivative that cannot be easily replaced, an ADI must set the minimum holding period to 20 business days. An ADI must determine both liquidity and ease of replacement in the context of stressed market conditions</w:t>
      </w:r>
      <w:r w:rsidR="00CA6BA6">
        <w:t>;</w:t>
      </w:r>
      <w:r w:rsidR="00542F9A">
        <w:t xml:space="preserve"> and</w:t>
      </w:r>
    </w:p>
    <w:p w14:paraId="3C8CA3F7" w14:textId="77777777" w:rsidR="002B0B41" w:rsidRDefault="002B0B41" w:rsidP="002B0B41">
      <w:pPr>
        <w:pStyle w:val="BodyText2"/>
      </w:pPr>
      <w:r w:rsidRPr="002B0B41">
        <w:t>if an ADI has experienced more than two margin call disputes on a particular netting set over the previous two quarters that have lasted longer than the applicable minimum holding period (before consideration of this provision), the ADI must use a minimum holding period that is at least double the supervisory floor for that netting set for the subsequent two quarters.</w:t>
      </w:r>
    </w:p>
    <w:p w14:paraId="530DC4CF" w14:textId="0F9BD7CB" w:rsidR="00542F9A" w:rsidRPr="002B0B41" w:rsidRDefault="00542F9A" w:rsidP="00542F9A">
      <w:pPr>
        <w:ind w:left="567"/>
        <w:jc w:val="both"/>
      </w:pPr>
      <w:r>
        <w:t>In</w:t>
      </w:r>
      <w:r w:rsidRPr="00542F9A">
        <w:t xml:space="preserve"> determining the holding period, an ADI must consider whether trades or securities it holds as collateral are concentrated in a particular counterparty and</w:t>
      </w:r>
      <w:r w:rsidR="00F35B10">
        <w:t xml:space="preserve"> whether</w:t>
      </w:r>
      <w:r w:rsidRPr="00542F9A">
        <w:t>, if that counterparty exited the market precipitously, the ADI would be</w:t>
      </w:r>
      <w:r>
        <w:t xml:space="preserve"> able to replace its trades.</w:t>
      </w:r>
    </w:p>
    <w:p w14:paraId="0B236D01" w14:textId="78267C64" w:rsidR="00CA6BA6" w:rsidRDefault="008E71C9" w:rsidP="00CA6BA6">
      <w:pPr>
        <w:pStyle w:val="BodyText1"/>
      </w:pPr>
      <w:bookmarkStart w:id="195" w:name="_Ref3484694"/>
      <w:bookmarkStart w:id="196" w:name="_Ref55835835"/>
      <w:bookmarkStart w:id="197" w:name="_Ref460430469"/>
      <w:r>
        <w:t>An ADI must calculate the margining frequency adjustment factor for a transaction or netting set as</w:t>
      </w:r>
      <w:r w:rsidR="002E6F83">
        <w:t>:</w:t>
      </w:r>
      <w:bookmarkEnd w:id="195"/>
      <w:bookmarkEnd w:id="196"/>
      <w:r w:rsidR="002E6F83">
        <w:t xml:space="preserve"> </w:t>
      </w:r>
      <w:bookmarkEnd w:id="197"/>
    </w:p>
    <w:p w14:paraId="10846153" w14:textId="0B977DE7" w:rsidR="00E13E99" w:rsidRPr="0029642F" w:rsidRDefault="00E13E99" w:rsidP="0029642F">
      <w:pPr>
        <w:pStyle w:val="BodyText1"/>
        <w:numPr>
          <w:ilvl w:val="0"/>
          <w:numId w:val="0"/>
        </w:numPr>
        <w:spacing w:after="0"/>
        <w:ind w:left="1985"/>
      </w:pPr>
      <w:r w:rsidRPr="00E13E99">
        <w:rPr>
          <w:noProof/>
        </w:rPr>
        <w:drawing>
          <wp:inline distT="0" distB="0" distL="0" distR="0" wp14:anchorId="01D14F02" wp14:editId="70C9F022">
            <wp:extent cx="2889849" cy="544107"/>
            <wp:effectExtent l="0" t="0" r="0" b="8890"/>
            <wp:docPr id="6" name="Picture 6" descr="Start formula A equals square root of start fraction N subscript R plus open round bracket T subscript M minus 1 close round bracket over 10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Start formula A equals square root of start fraction N subscript R plus open round bracket T subscript M minus 1 close round bracket over 10 end fraction end formula."/>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929324" cy="551539"/>
                    </a:xfrm>
                    <a:prstGeom prst="rect">
                      <a:avLst/>
                    </a:prstGeom>
                    <a:noFill/>
                    <a:ln>
                      <a:noFill/>
                    </a:ln>
                  </pic:spPr>
                </pic:pic>
              </a:graphicData>
            </a:graphic>
          </wp:inline>
        </w:drawing>
      </w:r>
    </w:p>
    <w:p w14:paraId="100CB725" w14:textId="77777777" w:rsidR="00CA6BA6" w:rsidRPr="00EE73EA" w:rsidRDefault="00CA6BA6" w:rsidP="00156428">
      <w:pPr>
        <w:ind w:firstLine="567"/>
      </w:pPr>
      <w:r w:rsidRPr="00EE73EA">
        <w:t>where:</w:t>
      </w:r>
    </w:p>
    <w:p w14:paraId="6D59B1A1" w14:textId="1F97F8E8" w:rsidR="00CA6BA6" w:rsidRPr="00EE73EA" w:rsidRDefault="009721EE" w:rsidP="00F44D85">
      <w:pPr>
        <w:ind w:left="1689" w:hanging="555"/>
        <w:jc w:val="both"/>
      </w:pPr>
      <w:r w:rsidRPr="00EE73EA">
        <w:rPr>
          <w:i/>
        </w:rPr>
        <w:t>T</w:t>
      </w:r>
      <w:r>
        <w:rPr>
          <w:i/>
          <w:vertAlign w:val="subscript"/>
        </w:rPr>
        <w:t>M</w:t>
      </w:r>
      <w:r w:rsidRPr="00EE73EA">
        <w:rPr>
          <w:i/>
        </w:rPr>
        <w:t xml:space="preserve"> </w:t>
      </w:r>
      <w:r w:rsidR="00CA6BA6" w:rsidRPr="00EE73EA">
        <w:tab/>
      </w:r>
      <w:r w:rsidR="00E82FA5">
        <w:t xml:space="preserve">is the </w:t>
      </w:r>
      <w:r w:rsidR="00CA6BA6" w:rsidRPr="00EE73EA">
        <w:t>minimum holding period for the type of transaction</w:t>
      </w:r>
      <w:r w:rsidR="00F44D85">
        <w:t xml:space="preserve"> determined in accordance with paragraphs </w:t>
      </w:r>
      <w:r w:rsidR="00F44D85">
        <w:fldChar w:fldCharType="begin"/>
      </w:r>
      <w:r w:rsidR="00F44D85">
        <w:instrText xml:space="preserve"> REF _Ref460430988 \r \h </w:instrText>
      </w:r>
      <w:r w:rsidR="00F44D85">
        <w:fldChar w:fldCharType="separate"/>
      </w:r>
      <w:r w:rsidR="0007706D">
        <w:t>30</w:t>
      </w:r>
      <w:r w:rsidR="00F44D85">
        <w:fldChar w:fldCharType="end"/>
      </w:r>
      <w:r w:rsidR="00F44D85">
        <w:t xml:space="preserve"> to </w:t>
      </w:r>
      <w:r w:rsidR="00F44D85">
        <w:fldChar w:fldCharType="begin"/>
      </w:r>
      <w:r w:rsidR="00F44D85">
        <w:instrText xml:space="preserve"> REF _Ref460427144 \r \h </w:instrText>
      </w:r>
      <w:r w:rsidR="00F44D85">
        <w:fldChar w:fldCharType="separate"/>
      </w:r>
      <w:r w:rsidR="0007706D">
        <w:t>31</w:t>
      </w:r>
      <w:r w:rsidR="00F44D85">
        <w:fldChar w:fldCharType="end"/>
      </w:r>
      <w:r w:rsidR="00F44D85">
        <w:t xml:space="preserve"> of this Attachment</w:t>
      </w:r>
    </w:p>
    <w:p w14:paraId="25005E7B" w14:textId="76192508" w:rsidR="00CA6BA6" w:rsidRPr="00EE73EA" w:rsidRDefault="009721EE" w:rsidP="006467FC">
      <w:pPr>
        <w:ind w:left="1689" w:hanging="555"/>
        <w:jc w:val="both"/>
      </w:pPr>
      <w:r w:rsidRPr="00EE73EA">
        <w:rPr>
          <w:i/>
        </w:rPr>
        <w:t>N</w:t>
      </w:r>
      <w:r>
        <w:rPr>
          <w:i/>
          <w:vertAlign w:val="subscript"/>
        </w:rPr>
        <w:t>R</w:t>
      </w:r>
      <w:r w:rsidRPr="00EE73EA">
        <w:t xml:space="preserve"> </w:t>
      </w:r>
      <w:r w:rsidR="00CA6BA6" w:rsidRPr="00EE73EA">
        <w:tab/>
      </w:r>
      <w:r w:rsidR="00F44D85">
        <w:t>is the</w:t>
      </w:r>
      <w:r w:rsidR="00CA6BA6" w:rsidRPr="00EE73EA">
        <w:t xml:space="preserve"> number of business days between </w:t>
      </w:r>
      <w:proofErr w:type="spellStart"/>
      <w:r w:rsidR="00CA6BA6" w:rsidRPr="00EE73EA">
        <w:t>remargining</w:t>
      </w:r>
      <w:r w:rsidR="00F44D85">
        <w:t>s</w:t>
      </w:r>
      <w:proofErr w:type="spellEnd"/>
      <w:r w:rsidR="00CA6BA6" w:rsidRPr="00EE73EA">
        <w:t xml:space="preserve"> or revaluation</w:t>
      </w:r>
      <w:r w:rsidR="00F44D85">
        <w:t>s</w:t>
      </w:r>
      <w:r w:rsidR="00CA6BA6" w:rsidRPr="00EE73EA">
        <w:t>.</w:t>
      </w:r>
    </w:p>
    <w:p w14:paraId="5FBE71EB" w14:textId="4F576D7A" w:rsidR="00970D7E" w:rsidRDefault="00970D7E" w:rsidP="00035716">
      <w:pPr>
        <w:pStyle w:val="Heading3"/>
      </w:pPr>
      <w:r>
        <w:t>Treatment of SFTs covered by master netting agreements</w:t>
      </w:r>
    </w:p>
    <w:p w14:paraId="36B94CDA" w14:textId="75850681" w:rsidR="00A708F8" w:rsidRDefault="006F3ED3" w:rsidP="00A708F8">
      <w:pPr>
        <w:pStyle w:val="BodyText1"/>
      </w:pPr>
      <w:bookmarkStart w:id="198" w:name="_Ref460427165"/>
      <w:r>
        <w:t>For</w:t>
      </w:r>
      <w:r w:rsidR="007F2A10">
        <w:t xml:space="preserve"> </w:t>
      </w:r>
      <w:r w:rsidR="001A5487">
        <w:t xml:space="preserve">SFTs covered by an eligible bilateral netting agreement that meets the requirements detailed in </w:t>
      </w:r>
      <w:r w:rsidR="001A5487" w:rsidRPr="008539DA">
        <w:t>Attachment H</w:t>
      </w:r>
      <w:r w:rsidR="001A5487">
        <w:t xml:space="preserve"> to this Prudential Standard, a</w:t>
      </w:r>
      <w:r w:rsidR="001A5487" w:rsidRPr="00A708F8">
        <w:t xml:space="preserve">n </w:t>
      </w:r>
      <w:r w:rsidR="00A708F8" w:rsidRPr="00A708F8">
        <w:t xml:space="preserve">ADI that uses the comprehensive approach must </w:t>
      </w:r>
      <w:r w:rsidR="006D7BE9">
        <w:t xml:space="preserve">calculate the </w:t>
      </w:r>
      <w:r w:rsidR="00AE7D9D">
        <w:t>EAD</w:t>
      </w:r>
      <w:r w:rsidR="006D7BE9">
        <w:t xml:space="preserve"> as</w:t>
      </w:r>
      <w:r w:rsidR="00647252">
        <w:t>:</w:t>
      </w:r>
      <w:bookmarkEnd w:id="198"/>
    </w:p>
    <w:p w14:paraId="491BA32B" w14:textId="7A8EDBE7" w:rsidR="00E01075" w:rsidRDefault="00E01075" w:rsidP="0029642F">
      <w:pPr>
        <w:spacing w:after="0"/>
        <w:ind w:left="-283" w:hanging="142"/>
        <w:rPr>
          <w:rFonts w:eastAsia="Times New Roman"/>
          <w:sz w:val="20"/>
          <w:szCs w:val="20"/>
        </w:rPr>
      </w:pPr>
      <w:r w:rsidRPr="00E01075">
        <w:rPr>
          <w:noProof/>
        </w:rPr>
        <w:drawing>
          <wp:inline distT="0" distB="0" distL="0" distR="0" wp14:anchorId="04ABDEA0" wp14:editId="59C42B12">
            <wp:extent cx="5962325" cy="664234"/>
            <wp:effectExtent l="0" t="0" r="0" b="0"/>
            <wp:docPr id="7" name="Picture 7" descr="A formula for E*, the adjusted EAD of the netting set, that an ADI that uses the comprehensive approach must use to calculate EAD, for SFTs covered by an eligible bilateral netting agreement that meets the requirements in Attachment H to this Prudential Standar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formula for E*, the adjusted EAD of the netting set, that an ADI that uses the comprehensive approach must use to calculate EAD, for SFTs covered by an eligible bilateral netting agreement that meets the requirements in Attachment H to this Prudential Standard. "/>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993662" cy="667725"/>
                    </a:xfrm>
                    <a:prstGeom prst="rect">
                      <a:avLst/>
                    </a:prstGeom>
                    <a:noFill/>
                    <a:ln>
                      <a:noFill/>
                    </a:ln>
                  </pic:spPr>
                </pic:pic>
              </a:graphicData>
            </a:graphic>
          </wp:inline>
        </w:drawing>
      </w:r>
    </w:p>
    <w:p w14:paraId="33057DEE" w14:textId="77777777" w:rsidR="00A708F8" w:rsidRPr="00EE73EA" w:rsidRDefault="00A708F8" w:rsidP="00A708F8">
      <w:pPr>
        <w:ind w:firstLine="567"/>
      </w:pPr>
      <w:r w:rsidRPr="00EE73EA">
        <w:t>where:</w:t>
      </w:r>
    </w:p>
    <w:p w14:paraId="74BCD086" w14:textId="210D0265" w:rsidR="00A708F8" w:rsidRPr="00EE73EA" w:rsidRDefault="00A708F8" w:rsidP="006467FC">
      <w:pPr>
        <w:ind w:left="567" w:firstLine="567"/>
        <w:jc w:val="both"/>
      </w:pPr>
      <w:r w:rsidRPr="00EE73EA">
        <w:rPr>
          <w:i/>
        </w:rPr>
        <w:t xml:space="preserve">E* </w:t>
      </w:r>
      <w:r w:rsidRPr="00EE73EA">
        <w:rPr>
          <w:i/>
        </w:rPr>
        <w:tab/>
      </w:r>
      <w:r w:rsidR="00501876">
        <w:t xml:space="preserve">is </w:t>
      </w:r>
      <w:r w:rsidRPr="00EE73EA">
        <w:t xml:space="preserve">the </w:t>
      </w:r>
      <w:r w:rsidR="00AE7D9D">
        <w:t xml:space="preserve">adjusted </w:t>
      </w:r>
      <w:r w:rsidR="00501876">
        <w:t>EAD</w:t>
      </w:r>
      <w:r w:rsidRPr="00EE73EA">
        <w:t xml:space="preserve"> </w:t>
      </w:r>
      <w:r w:rsidR="001A5487">
        <w:t>of the netting set</w:t>
      </w:r>
    </w:p>
    <w:p w14:paraId="0A98A64F" w14:textId="569F4A56" w:rsidR="00A708F8" w:rsidRPr="00EE73EA" w:rsidRDefault="00A708F8" w:rsidP="006467FC">
      <w:pPr>
        <w:ind w:left="1701" w:hanging="567"/>
        <w:jc w:val="both"/>
      </w:pPr>
      <w:proofErr w:type="spellStart"/>
      <w:r w:rsidRPr="00EE73EA">
        <w:rPr>
          <w:i/>
        </w:rPr>
        <w:t>E</w:t>
      </w:r>
      <w:r w:rsidR="001A5487" w:rsidRPr="001A5487">
        <w:rPr>
          <w:i/>
          <w:vertAlign w:val="subscript"/>
        </w:rPr>
        <w:t>i</w:t>
      </w:r>
      <w:proofErr w:type="spellEnd"/>
      <w:r w:rsidRPr="00EE73EA">
        <w:rPr>
          <w:i/>
        </w:rPr>
        <w:t xml:space="preserve"> </w:t>
      </w:r>
      <w:r w:rsidRPr="00EE73EA">
        <w:rPr>
          <w:i/>
        </w:rPr>
        <w:tab/>
      </w:r>
      <w:r w:rsidR="00501876">
        <w:t xml:space="preserve">is the </w:t>
      </w:r>
      <w:r w:rsidRPr="00EE73EA">
        <w:t xml:space="preserve">current value of </w:t>
      </w:r>
      <w:r w:rsidR="00114472">
        <w:t>all cash lent</w:t>
      </w:r>
      <w:r w:rsidR="00ED4BB7">
        <w:t xml:space="preserve"> and </w:t>
      </w:r>
      <w:r w:rsidR="00B15A1C">
        <w:t xml:space="preserve">non-cash </w:t>
      </w:r>
      <w:r w:rsidR="00ED4BB7">
        <w:t>posted collateral</w:t>
      </w:r>
    </w:p>
    <w:p w14:paraId="1D30E178" w14:textId="43712F68" w:rsidR="00A708F8" w:rsidRDefault="00A708F8" w:rsidP="006467FC">
      <w:pPr>
        <w:ind w:left="1701" w:hanging="567"/>
        <w:jc w:val="both"/>
      </w:pPr>
      <w:proofErr w:type="spellStart"/>
      <w:r w:rsidRPr="00EE73EA">
        <w:rPr>
          <w:i/>
        </w:rPr>
        <w:t>C</w:t>
      </w:r>
      <w:r w:rsidR="00114472">
        <w:rPr>
          <w:i/>
          <w:vertAlign w:val="subscript"/>
        </w:rPr>
        <w:t>j</w:t>
      </w:r>
      <w:proofErr w:type="spellEnd"/>
      <w:r w:rsidRPr="00EE73EA">
        <w:rPr>
          <w:i/>
        </w:rPr>
        <w:t xml:space="preserve"> </w:t>
      </w:r>
      <w:r w:rsidRPr="00EE73EA">
        <w:rPr>
          <w:i/>
        </w:rPr>
        <w:tab/>
      </w:r>
      <w:r w:rsidR="00501876">
        <w:t xml:space="preserve">is the </w:t>
      </w:r>
      <w:r w:rsidR="00114472" w:rsidRPr="00114472">
        <w:t xml:space="preserve">current value of all </w:t>
      </w:r>
      <w:r w:rsidR="000F5EEA">
        <w:t xml:space="preserve">cash </w:t>
      </w:r>
      <w:r w:rsidR="00B15A1C">
        <w:t>borrowed and non-cash received collateral</w:t>
      </w:r>
      <w:r w:rsidR="007B3471">
        <w:t xml:space="preserve"> </w:t>
      </w:r>
    </w:p>
    <w:p w14:paraId="3A323039" w14:textId="77777777" w:rsidR="00833E56" w:rsidRDefault="00833E56" w:rsidP="0095021D">
      <w:pPr>
        <w:ind w:left="1134"/>
        <w:jc w:val="both"/>
        <w:rPr>
          <w:sz w:val="22"/>
          <w:szCs w:val="22"/>
        </w:rPr>
      </w:pPr>
    </w:p>
    <w:p w14:paraId="7CF3E6EF" w14:textId="044F404A" w:rsidR="00833E56" w:rsidRDefault="00833E56" w:rsidP="00262E12">
      <w:pPr>
        <w:ind w:left="1134"/>
        <w:rPr>
          <w:sz w:val="22"/>
          <w:szCs w:val="22"/>
        </w:rPr>
      </w:pPr>
      <w:r w:rsidRPr="00833E56">
        <w:rPr>
          <w:noProof/>
        </w:rPr>
        <w:lastRenderedPageBreak/>
        <w:drawing>
          <wp:inline distT="0" distB="0" distL="0" distR="0" wp14:anchorId="62B57043" wp14:editId="1A6AB73E">
            <wp:extent cx="2682815" cy="594944"/>
            <wp:effectExtent l="0" t="0" r="0" b="0"/>
            <wp:docPr id="11" name="Picture 11" descr="Start formula net exposure equals absolute value of the sum across S of E subscript S H subscript S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Start formula net exposure equals absolute value of the sum across S of E subscript S H subscript S end formula."/>
                    <pic:cNvPicPr>
                      <a:picLocks noChangeAspect="1" noChangeArrowheads="1"/>
                    </pic:cNvPicPr>
                  </pic:nvPicPr>
                  <pic:blipFill rotWithShape="1">
                    <a:blip r:embed="rId32" cstate="print">
                      <a:extLst>
                        <a:ext uri="{28A0092B-C50C-407E-A947-70E740481C1C}">
                          <a14:useLocalDpi xmlns:a14="http://schemas.microsoft.com/office/drawing/2010/main" val="0"/>
                        </a:ext>
                      </a:extLst>
                    </a:blip>
                    <a:srcRect l="13238" r="35928"/>
                    <a:stretch/>
                  </pic:blipFill>
                  <pic:spPr bwMode="auto">
                    <a:xfrm>
                      <a:off x="0" y="0"/>
                      <a:ext cx="2683047" cy="594995"/>
                    </a:xfrm>
                    <a:prstGeom prst="rect">
                      <a:avLst/>
                    </a:prstGeom>
                    <a:noFill/>
                    <a:ln>
                      <a:noFill/>
                    </a:ln>
                    <a:extLst>
                      <a:ext uri="{53640926-AAD7-44D8-BBD7-CCE9431645EC}">
                        <a14:shadowObscured xmlns:a14="http://schemas.microsoft.com/office/drawing/2010/main"/>
                      </a:ext>
                    </a:extLst>
                  </pic:spPr>
                </pic:pic>
              </a:graphicData>
            </a:graphic>
          </wp:inline>
        </w:drawing>
      </w:r>
    </w:p>
    <w:p w14:paraId="6F62179E" w14:textId="0577A618" w:rsidR="00262E12" w:rsidRDefault="00262E12" w:rsidP="0029642F">
      <w:pPr>
        <w:ind w:left="1134"/>
        <w:rPr>
          <w:sz w:val="22"/>
          <w:szCs w:val="22"/>
        </w:rPr>
      </w:pPr>
      <w:r w:rsidRPr="00262E12">
        <w:rPr>
          <w:noProof/>
        </w:rPr>
        <w:drawing>
          <wp:inline distT="0" distB="0" distL="0" distR="0" wp14:anchorId="1FE38510" wp14:editId="0F9CA779">
            <wp:extent cx="2665562" cy="536191"/>
            <wp:effectExtent l="0" t="0" r="0" b="0"/>
            <wp:docPr id="12" name="Picture 12" descr="Start formula gross exposure equals the sum across S of E subscript S absolute value of H subscript S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Start formula gross exposure equals the sum across S of E subscript S absolute value of H subscript S end formula."/>
                    <pic:cNvPicPr>
                      <a:picLocks noChangeAspect="1" noChangeArrowheads="1"/>
                    </pic:cNvPicPr>
                  </pic:nvPicPr>
                  <pic:blipFill rotWithShape="1">
                    <a:blip r:embed="rId33" cstate="print">
                      <a:extLst>
                        <a:ext uri="{28A0092B-C50C-407E-A947-70E740481C1C}">
                          <a14:useLocalDpi xmlns:a14="http://schemas.microsoft.com/office/drawing/2010/main" val="0"/>
                        </a:ext>
                      </a:extLst>
                    </a:blip>
                    <a:srcRect l="13565" r="36854"/>
                    <a:stretch/>
                  </pic:blipFill>
                  <pic:spPr bwMode="auto">
                    <a:xfrm>
                      <a:off x="0" y="0"/>
                      <a:ext cx="2673147" cy="537717"/>
                    </a:xfrm>
                    <a:prstGeom prst="rect">
                      <a:avLst/>
                    </a:prstGeom>
                    <a:noFill/>
                    <a:ln>
                      <a:noFill/>
                    </a:ln>
                    <a:extLst>
                      <a:ext uri="{53640926-AAD7-44D8-BBD7-CCE9431645EC}">
                        <a14:shadowObscured xmlns:a14="http://schemas.microsoft.com/office/drawing/2010/main"/>
                      </a:ext>
                    </a:extLst>
                  </pic:spPr>
                </pic:pic>
              </a:graphicData>
            </a:graphic>
          </wp:inline>
        </w:drawing>
      </w:r>
    </w:p>
    <w:p w14:paraId="774677FB" w14:textId="68348DEF" w:rsidR="00A708F8" w:rsidRPr="00EE73EA" w:rsidRDefault="00A708F8" w:rsidP="00746113">
      <w:pPr>
        <w:ind w:left="1689" w:hanging="555"/>
        <w:jc w:val="both"/>
      </w:pPr>
      <w:r w:rsidRPr="00EE73EA">
        <w:rPr>
          <w:i/>
        </w:rPr>
        <w:t>E</w:t>
      </w:r>
      <w:r w:rsidRPr="00EE73EA">
        <w:rPr>
          <w:i/>
          <w:vertAlign w:val="subscript"/>
        </w:rPr>
        <w:t xml:space="preserve">s </w:t>
      </w:r>
      <w:r w:rsidRPr="00EE73EA">
        <w:tab/>
      </w:r>
      <w:r w:rsidR="00593A99">
        <w:t xml:space="preserve">is </w:t>
      </w:r>
      <w:r w:rsidR="00114472">
        <w:t>the net current value of each security issuance under the netting set (always a positive value)</w:t>
      </w:r>
    </w:p>
    <w:p w14:paraId="142F5838" w14:textId="088E9B03" w:rsidR="00114472" w:rsidRPr="00EE73EA" w:rsidRDefault="00A708F8" w:rsidP="00DE6106">
      <w:pPr>
        <w:ind w:left="1701" w:hanging="567"/>
        <w:jc w:val="both"/>
      </w:pPr>
      <w:r w:rsidRPr="00EE73EA">
        <w:rPr>
          <w:i/>
        </w:rPr>
        <w:t>H</w:t>
      </w:r>
      <w:r w:rsidRPr="00EE73EA">
        <w:rPr>
          <w:i/>
          <w:vertAlign w:val="subscript"/>
        </w:rPr>
        <w:t xml:space="preserve">s </w:t>
      </w:r>
      <w:r w:rsidRPr="00EE73EA">
        <w:tab/>
      </w:r>
      <w:r w:rsidR="00593A99">
        <w:t xml:space="preserve">is the </w:t>
      </w:r>
      <w:r w:rsidRPr="00EE73EA">
        <w:t xml:space="preserve">haircut appropriate to </w:t>
      </w:r>
      <w:r w:rsidRPr="00DA66D0">
        <w:rPr>
          <w:i/>
        </w:rPr>
        <w:t>E</w:t>
      </w:r>
      <w:r w:rsidRPr="00DA66D0">
        <w:rPr>
          <w:i/>
          <w:vertAlign w:val="subscript"/>
        </w:rPr>
        <w:t>s</w:t>
      </w:r>
      <w:r w:rsidR="00114472">
        <w:t xml:space="preserve">, </w:t>
      </w:r>
      <w:r w:rsidR="00114472" w:rsidDel="008E472B">
        <w:t>as set out in</w:t>
      </w:r>
      <w:r w:rsidR="00CB62A7" w:rsidDel="008E472B">
        <w:t xml:space="preserve"> </w:t>
      </w:r>
      <w:r w:rsidR="00CB62A7" w:rsidDel="008E472B">
        <w:fldChar w:fldCharType="begin"/>
      </w:r>
      <w:r w:rsidR="00CB62A7" w:rsidDel="008E472B">
        <w:instrText xml:space="preserve"> REF _Ref3975406 \n \h </w:instrText>
      </w:r>
      <w:r w:rsidR="00DE6106">
        <w:instrText xml:space="preserve"> \* MERGEFORMAT </w:instrText>
      </w:r>
      <w:r w:rsidR="00CB62A7" w:rsidDel="008E472B">
        <w:fldChar w:fldCharType="separate"/>
      </w:r>
      <w:r w:rsidR="0007706D">
        <w:t>Table 23</w:t>
      </w:r>
      <w:r w:rsidR="00CB62A7" w:rsidDel="008E472B">
        <w:fldChar w:fldCharType="end"/>
      </w:r>
      <w:r w:rsidR="00B74B0C">
        <w:t xml:space="preserve"> </w:t>
      </w:r>
      <w:r w:rsidR="00371EED">
        <w:t>and scaled by the</w:t>
      </w:r>
      <w:r w:rsidR="006204C1">
        <w:t xml:space="preserve"> </w:t>
      </w:r>
      <w:r w:rsidR="006204C1" w:rsidRPr="006204C1">
        <w:t>margining frequency adjustment factor</w:t>
      </w:r>
      <w:r w:rsidR="006204C1">
        <w:t xml:space="preserve"> in</w:t>
      </w:r>
      <w:r w:rsidR="00371EED">
        <w:t xml:space="preserve"> paragraph </w:t>
      </w:r>
      <w:r w:rsidR="00371EED">
        <w:fldChar w:fldCharType="begin"/>
      </w:r>
      <w:r w:rsidR="00371EED">
        <w:instrText xml:space="preserve"> REF _Ref3484694 \r \h </w:instrText>
      </w:r>
      <w:r w:rsidR="00DE6106">
        <w:instrText xml:space="preserve"> \* MERGEFORMAT </w:instrText>
      </w:r>
      <w:r w:rsidR="00371EED">
        <w:fldChar w:fldCharType="separate"/>
      </w:r>
      <w:r w:rsidR="0007706D">
        <w:t>32</w:t>
      </w:r>
      <w:r w:rsidR="00371EED">
        <w:fldChar w:fldCharType="end"/>
      </w:r>
      <w:r w:rsidR="00371EED">
        <w:t xml:space="preserve"> </w:t>
      </w:r>
      <w:r w:rsidR="00B74B0C">
        <w:t>of this</w:t>
      </w:r>
      <w:r w:rsidR="00371EED">
        <w:t xml:space="preserve"> Attachment</w:t>
      </w:r>
      <w:r w:rsidR="00AA7ECA">
        <w:t xml:space="preserve">. </w:t>
      </w:r>
      <w:r w:rsidR="00114472" w:rsidRPr="00EE73EA">
        <w:rPr>
          <w:i/>
        </w:rPr>
        <w:t>H</w:t>
      </w:r>
      <w:r w:rsidR="00114472" w:rsidRPr="00EE73EA">
        <w:rPr>
          <w:i/>
          <w:vertAlign w:val="subscript"/>
        </w:rPr>
        <w:t>s</w:t>
      </w:r>
      <w:r w:rsidR="00114472">
        <w:t xml:space="preserve"> has a positive</w:t>
      </w:r>
      <w:r w:rsidR="00AA7ECA">
        <w:t xml:space="preserve"> (negative)</w:t>
      </w:r>
      <w:r w:rsidR="00114472">
        <w:t xml:space="preserve"> sign if the security is </w:t>
      </w:r>
      <w:r w:rsidR="00AA7ECA">
        <w:t>posted (received) collateral</w:t>
      </w:r>
      <w:r w:rsidR="00371EED">
        <w:t xml:space="preserve"> </w:t>
      </w:r>
    </w:p>
    <w:p w14:paraId="4B4ABD8C" w14:textId="1C87A97B" w:rsidR="00C10FB2" w:rsidRPr="00400F81" w:rsidRDefault="00C10FB2" w:rsidP="00DE6106">
      <w:pPr>
        <w:ind w:left="1701" w:hanging="567"/>
        <w:jc w:val="both"/>
      </w:pPr>
      <w:r>
        <w:rPr>
          <w:i/>
        </w:rPr>
        <w:t>N</w:t>
      </w:r>
      <w:r w:rsidRPr="00EE73EA">
        <w:rPr>
          <w:i/>
          <w:vertAlign w:val="subscript"/>
        </w:rPr>
        <w:t xml:space="preserve"> </w:t>
      </w:r>
      <w:r w:rsidRPr="00EE73EA">
        <w:tab/>
      </w:r>
      <w:r w:rsidR="00593A99">
        <w:t xml:space="preserve">is </w:t>
      </w:r>
      <w:r>
        <w:t xml:space="preserve">the number of security issues contained in the netting set (except that issuances where the value of </w:t>
      </w:r>
      <w:r w:rsidRPr="00EE73EA">
        <w:rPr>
          <w:i/>
        </w:rPr>
        <w:t>E</w:t>
      </w:r>
      <w:r w:rsidRPr="00EE73EA">
        <w:rPr>
          <w:i/>
          <w:vertAlign w:val="subscript"/>
        </w:rPr>
        <w:t>s</w:t>
      </w:r>
      <w:r>
        <w:rPr>
          <w:i/>
          <w:vertAlign w:val="subscript"/>
        </w:rPr>
        <w:t xml:space="preserve"> </w:t>
      </w:r>
      <w:r>
        <w:t xml:space="preserve">is less than one tenth of the value of the largest </w:t>
      </w:r>
      <w:r w:rsidRPr="00EE73EA">
        <w:rPr>
          <w:i/>
        </w:rPr>
        <w:t>E</w:t>
      </w:r>
      <w:r w:rsidRPr="00EE73EA">
        <w:rPr>
          <w:i/>
          <w:vertAlign w:val="subscript"/>
        </w:rPr>
        <w:t>s</w:t>
      </w:r>
      <w:r>
        <w:rPr>
          <w:i/>
          <w:vertAlign w:val="subscript"/>
        </w:rPr>
        <w:t xml:space="preserve"> </w:t>
      </w:r>
      <w:r>
        <w:t>in the netting set are not included in the count)</w:t>
      </w:r>
    </w:p>
    <w:p w14:paraId="731275B2" w14:textId="1B7D8DAE" w:rsidR="00A708F8" w:rsidRPr="00EE73EA" w:rsidRDefault="00A708F8" w:rsidP="00DE6106">
      <w:pPr>
        <w:ind w:left="1704" w:hanging="570"/>
        <w:jc w:val="both"/>
      </w:pPr>
      <w:proofErr w:type="spellStart"/>
      <w:r w:rsidRPr="00EE73EA">
        <w:rPr>
          <w:i/>
        </w:rPr>
        <w:t>E</w:t>
      </w:r>
      <w:r w:rsidRPr="00EE73EA">
        <w:rPr>
          <w:i/>
          <w:vertAlign w:val="subscript"/>
        </w:rPr>
        <w:t>fx</w:t>
      </w:r>
      <w:proofErr w:type="spellEnd"/>
      <w:r w:rsidRPr="00EE73EA">
        <w:rPr>
          <w:i/>
          <w:vertAlign w:val="subscript"/>
        </w:rPr>
        <w:t xml:space="preserve"> </w:t>
      </w:r>
      <w:r w:rsidRPr="00EE73EA">
        <w:tab/>
      </w:r>
      <w:r w:rsidR="00593A99">
        <w:t xml:space="preserve">is the </w:t>
      </w:r>
      <w:r w:rsidRPr="00EE73EA">
        <w:t xml:space="preserve">absolute value of the net position in </w:t>
      </w:r>
      <w:r w:rsidR="00C10FB2">
        <w:t>each</w:t>
      </w:r>
      <w:r w:rsidR="00C10FB2" w:rsidRPr="00EE73EA">
        <w:t xml:space="preserve"> </w:t>
      </w:r>
      <w:r w:rsidRPr="00EE73EA">
        <w:t>currency</w:t>
      </w:r>
      <w:r w:rsidR="00C10FB2">
        <w:t xml:space="preserve"> </w:t>
      </w:r>
      <w:proofErr w:type="spellStart"/>
      <w:r w:rsidR="00C10FB2" w:rsidRPr="00C10FB2">
        <w:rPr>
          <w:i/>
        </w:rPr>
        <w:t>fx</w:t>
      </w:r>
      <w:proofErr w:type="spellEnd"/>
      <w:r w:rsidRPr="00EE73EA">
        <w:t xml:space="preserve"> different from the settlement currency</w:t>
      </w:r>
    </w:p>
    <w:p w14:paraId="263A1810" w14:textId="3AB11651" w:rsidR="00A708F8" w:rsidRDefault="00A708F8" w:rsidP="00284DA9">
      <w:pPr>
        <w:ind w:left="567" w:firstLine="567"/>
        <w:jc w:val="both"/>
      </w:pPr>
      <w:proofErr w:type="spellStart"/>
      <w:r w:rsidRPr="00EE73EA">
        <w:rPr>
          <w:i/>
        </w:rPr>
        <w:t>H</w:t>
      </w:r>
      <w:r w:rsidRPr="00EE73EA">
        <w:rPr>
          <w:i/>
          <w:vertAlign w:val="subscript"/>
        </w:rPr>
        <w:t>fx</w:t>
      </w:r>
      <w:proofErr w:type="spellEnd"/>
      <w:r w:rsidRPr="00EE73EA">
        <w:rPr>
          <w:i/>
          <w:vertAlign w:val="subscript"/>
        </w:rPr>
        <w:t xml:space="preserve"> </w:t>
      </w:r>
      <w:r w:rsidRPr="00EE73EA">
        <w:tab/>
      </w:r>
      <w:r w:rsidR="00593A99">
        <w:t xml:space="preserve">is the </w:t>
      </w:r>
      <w:r w:rsidRPr="00EE73EA">
        <w:t>haircut appropriate for currency mismatch</w:t>
      </w:r>
      <w:r w:rsidR="00C10FB2">
        <w:t xml:space="preserve"> of currency </w:t>
      </w:r>
      <w:proofErr w:type="spellStart"/>
      <w:r w:rsidR="00C10FB2" w:rsidRPr="00C10FB2">
        <w:rPr>
          <w:i/>
        </w:rPr>
        <w:t>fx</w:t>
      </w:r>
      <w:proofErr w:type="spellEnd"/>
      <w:r w:rsidRPr="00EE73EA">
        <w:t>.</w:t>
      </w:r>
    </w:p>
    <w:p w14:paraId="44FB56A4" w14:textId="1F28F35F" w:rsidR="00E56793" w:rsidRPr="008F685A" w:rsidRDefault="00E56793" w:rsidP="003F2E2A">
      <w:pPr>
        <w:pStyle w:val="BodyText1"/>
        <w:numPr>
          <w:ilvl w:val="0"/>
          <w:numId w:val="0"/>
        </w:numPr>
        <w:ind w:left="567"/>
        <w:sectPr w:rsidR="00E56793" w:rsidRPr="008F685A" w:rsidSect="000D63A8">
          <w:footerReference w:type="default" r:id="rId34"/>
          <w:pgSz w:w="11906" w:h="16838" w:code="9"/>
          <w:pgMar w:top="1440" w:right="1797" w:bottom="1440" w:left="1797" w:header="709" w:footer="709" w:gutter="0"/>
          <w:cols w:space="708"/>
          <w:docGrid w:linePitch="360"/>
        </w:sectPr>
      </w:pPr>
    </w:p>
    <w:p w14:paraId="3E954339" w14:textId="59E16F99" w:rsidR="00E56793" w:rsidRDefault="00E56793" w:rsidP="00E56793">
      <w:pPr>
        <w:pStyle w:val="Heading2"/>
      </w:pPr>
      <w:bookmarkStart w:id="199" w:name="_Toc87376647"/>
      <w:r>
        <w:lastRenderedPageBreak/>
        <w:t xml:space="preserve">Attachment </w:t>
      </w:r>
      <w:r>
        <w:rPr>
          <w:rStyle w:val="Attachmentfieldtext"/>
        </w:rPr>
        <w:t xml:space="preserve">H – </w:t>
      </w:r>
      <w:r w:rsidR="00040EA0">
        <w:t>Netting</w:t>
      </w:r>
      <w:bookmarkEnd w:id="199"/>
    </w:p>
    <w:p w14:paraId="5A658AAF" w14:textId="765834DC" w:rsidR="00517F9F" w:rsidRDefault="00517F9F" w:rsidP="00974BDA">
      <w:pPr>
        <w:pStyle w:val="BodyText1"/>
        <w:numPr>
          <w:ilvl w:val="0"/>
          <w:numId w:val="31"/>
        </w:numPr>
      </w:pPr>
      <w:r>
        <w:t>An ADI may reduce its exposure amount</w:t>
      </w:r>
      <w:r w:rsidR="007C1C42">
        <w:t>,</w:t>
      </w:r>
      <w:r>
        <w:t xml:space="preserve"> for the purpose of calculating </w:t>
      </w:r>
      <w:r w:rsidR="001848C9">
        <w:t xml:space="preserve">its </w:t>
      </w:r>
      <w:r>
        <w:t>Regulatory Cap</w:t>
      </w:r>
      <w:r w:rsidR="00A3453C">
        <w:t>ital</w:t>
      </w:r>
      <w:r w:rsidR="001848C9">
        <w:t xml:space="preserve"> requirement</w:t>
      </w:r>
      <w:r w:rsidR="007C1C42">
        <w:t>,</w:t>
      </w:r>
      <w:r w:rsidR="00A3453C">
        <w:t xml:space="preserve"> through the application of</w:t>
      </w:r>
      <w:r w:rsidR="000E2FDC">
        <w:t xml:space="preserve"> close-out netting or netting by novation, </w:t>
      </w:r>
      <w:r w:rsidR="007C1C42">
        <w:t>in accordance with the requirements set out in this Attachment.</w:t>
      </w:r>
    </w:p>
    <w:p w14:paraId="367D4F05" w14:textId="4CD98832" w:rsidR="00040EA0" w:rsidRDefault="00040EA0" w:rsidP="00040EA0">
      <w:pPr>
        <w:pStyle w:val="BodyText1"/>
      </w:pPr>
      <w:r>
        <w:t>An ADI that chooses to net transactions must do so</w:t>
      </w:r>
      <w:r w:rsidR="00357C34">
        <w:t xml:space="preserve"> on a consistent basis,</w:t>
      </w:r>
      <w:r>
        <w:t xml:space="preserve"> and must apply netting to all transactions in both the banking book and trading book that are </w:t>
      </w:r>
      <w:r w:rsidR="007F0913">
        <w:t>covered by a netting agreement.</w:t>
      </w:r>
    </w:p>
    <w:p w14:paraId="154F33E3" w14:textId="010D4348" w:rsidR="00DA6C12" w:rsidRDefault="005F5AE2" w:rsidP="00040EA0">
      <w:pPr>
        <w:pStyle w:val="BodyText1"/>
      </w:pPr>
      <w:r>
        <w:t xml:space="preserve">An ADI </w:t>
      </w:r>
      <w:r w:rsidDel="001571A3">
        <w:t xml:space="preserve">that applies netting for </w:t>
      </w:r>
      <w:r w:rsidR="008831C0">
        <w:t xml:space="preserve">Regulatory Capital </w:t>
      </w:r>
      <w:r w:rsidDel="001571A3">
        <w:t xml:space="preserve">purposes </w:t>
      </w:r>
      <w:r>
        <w:t>must have a netting policy that</w:t>
      </w:r>
      <w:r w:rsidR="000E0C1A">
        <w:t>, at a minimum,</w:t>
      </w:r>
      <w:r w:rsidR="00D970DD">
        <w:t xml:space="preserve"> addresses</w:t>
      </w:r>
      <w:r>
        <w:t xml:space="preserve"> the requirements </w:t>
      </w:r>
      <w:r w:rsidR="00FB0457">
        <w:t xml:space="preserve">in </w:t>
      </w:r>
      <w:r>
        <w:t xml:space="preserve">this Prudential Standard. </w:t>
      </w:r>
      <w:r w:rsidR="00E871DB">
        <w:t>The netting policy must</w:t>
      </w:r>
      <w:r w:rsidR="00DA6C12">
        <w:t xml:space="preserve"> apply to all transactions subject to netting and</w:t>
      </w:r>
      <w:r w:rsidR="00E871DB">
        <w:t xml:space="preserve"> include</w:t>
      </w:r>
      <w:r w:rsidR="00DA6C12">
        <w:t xml:space="preserve"> systems and controls for:</w:t>
      </w:r>
    </w:p>
    <w:p w14:paraId="6B8BC333" w14:textId="0C110CCE" w:rsidR="00DA6C12" w:rsidRDefault="00E871DB" w:rsidP="007C1C42">
      <w:pPr>
        <w:pStyle w:val="BodyText2"/>
      </w:pPr>
      <w:r>
        <w:t>monitoring</w:t>
      </w:r>
      <w:r w:rsidR="00822104">
        <w:t xml:space="preserve"> and reporting netted transactions on a gross and net basis</w:t>
      </w:r>
      <w:r w:rsidR="00DA6C12">
        <w:t>; and</w:t>
      </w:r>
    </w:p>
    <w:p w14:paraId="4144A28A" w14:textId="52180AC8" w:rsidR="005F5AE2" w:rsidRDefault="00E871DB" w:rsidP="007C1C42">
      <w:pPr>
        <w:pStyle w:val="BodyText2"/>
      </w:pPr>
      <w:r>
        <w:t>monitoring and managing</w:t>
      </w:r>
      <w:r w:rsidR="00393331">
        <w:t xml:space="preserve"> roll-off risk and termination risk.</w:t>
      </w:r>
    </w:p>
    <w:p w14:paraId="4701B40F" w14:textId="07AC5898" w:rsidR="00CB200D" w:rsidRDefault="00CB200D" w:rsidP="00040EA0">
      <w:pPr>
        <w:pStyle w:val="BodyText1"/>
      </w:pPr>
      <w:r>
        <w:t xml:space="preserve">An ADI </w:t>
      </w:r>
      <w:r w:rsidR="00822104">
        <w:t>must maintain adequate records to support the application of the netting agreement</w:t>
      </w:r>
      <w:r w:rsidR="007F0913">
        <w:t>.</w:t>
      </w:r>
    </w:p>
    <w:p w14:paraId="004D4577" w14:textId="77777777" w:rsidR="00040EA0" w:rsidRPr="000F7EA9" w:rsidRDefault="00040EA0" w:rsidP="00040EA0">
      <w:pPr>
        <w:pStyle w:val="Heading1"/>
      </w:pPr>
      <w:bookmarkStart w:id="200" w:name="_Toc4489903"/>
      <w:r>
        <w:t>Use of netting</w:t>
      </w:r>
      <w:bookmarkEnd w:id="200"/>
    </w:p>
    <w:p w14:paraId="2DF1E9E2" w14:textId="79CF6368" w:rsidR="00D735E1" w:rsidRPr="00D735E1" w:rsidRDefault="005B185A" w:rsidP="00D735E1">
      <w:pPr>
        <w:pStyle w:val="BodyText1"/>
      </w:pPr>
      <w:r>
        <w:t xml:space="preserve">For </w:t>
      </w:r>
      <w:r w:rsidR="00F171DC">
        <w:t xml:space="preserve">Regulatory Capital </w:t>
      </w:r>
      <w:r>
        <w:t>purposes, a</w:t>
      </w:r>
      <w:r w:rsidR="00D735E1" w:rsidRPr="00D735E1">
        <w:t>n ADI may</w:t>
      </w:r>
      <w:r>
        <w:t xml:space="preserve"> only</w:t>
      </w:r>
      <w:r w:rsidR="00D735E1" w:rsidRPr="00D735E1">
        <w:t xml:space="preserve"> net the following types of transactions:</w:t>
      </w:r>
    </w:p>
    <w:p w14:paraId="60937C68" w14:textId="512117BA" w:rsidR="00D735E1" w:rsidRDefault="00D735E1" w:rsidP="007662CF">
      <w:pPr>
        <w:pStyle w:val="BodyText2"/>
      </w:pPr>
      <w:r w:rsidRPr="00D735E1">
        <w:t>on-balance sheet loans and deposits;</w:t>
      </w:r>
    </w:p>
    <w:p w14:paraId="0AEA94B4" w14:textId="02E7F789" w:rsidR="00D970DD" w:rsidRPr="00D735E1" w:rsidRDefault="00D970DD" w:rsidP="007662CF">
      <w:pPr>
        <w:pStyle w:val="BodyText2"/>
      </w:pPr>
      <w:r>
        <w:t>SFTs; and</w:t>
      </w:r>
    </w:p>
    <w:p w14:paraId="151891F4" w14:textId="3D9A62FA" w:rsidR="00D735E1" w:rsidRPr="00D735E1" w:rsidRDefault="00D735E1" w:rsidP="00283229">
      <w:pPr>
        <w:pStyle w:val="BodyText2"/>
      </w:pPr>
      <w:r w:rsidRPr="00D735E1">
        <w:t xml:space="preserve">OTC derivative transactions (across both the banking and trading books) with a single counterparty. This may include netting across different </w:t>
      </w:r>
      <w:r w:rsidR="00D44115">
        <w:t>types of</w:t>
      </w:r>
      <w:r w:rsidRPr="00D735E1">
        <w:t xml:space="preserve"> derivatives, </w:t>
      </w:r>
      <w:r w:rsidR="00D44115">
        <w:t xml:space="preserve">but not </w:t>
      </w:r>
      <w:r w:rsidR="00D970DD">
        <w:t xml:space="preserve">across </w:t>
      </w:r>
      <w:r w:rsidR="00F52283">
        <w:t xml:space="preserve">derivatives and </w:t>
      </w:r>
      <w:r w:rsidR="00D44115">
        <w:t>SFTs</w:t>
      </w:r>
      <w:r w:rsidR="00D970DD">
        <w:t>.</w:t>
      </w:r>
    </w:p>
    <w:p w14:paraId="536AF8CD" w14:textId="64E40F81" w:rsidR="00D735E1" w:rsidRPr="00D735E1" w:rsidRDefault="00D735E1" w:rsidP="00D74573">
      <w:pPr>
        <w:pStyle w:val="BodyText1"/>
      </w:pPr>
      <w:r w:rsidRPr="00D735E1">
        <w:t xml:space="preserve">An ADI may only net </w:t>
      </w:r>
      <w:r w:rsidR="00357C34">
        <w:t>internal transactions between</w:t>
      </w:r>
      <w:r w:rsidRPr="00D735E1">
        <w:t xml:space="preserve"> the banking</w:t>
      </w:r>
      <w:r w:rsidR="00357C34">
        <w:t xml:space="preserve"> book</w:t>
      </w:r>
      <w:r w:rsidRPr="00D735E1">
        <w:t xml:space="preserve"> and trading book if:</w:t>
      </w:r>
    </w:p>
    <w:p w14:paraId="49D7AD89" w14:textId="3B6A4D82" w:rsidR="00D735E1" w:rsidRPr="00D735E1" w:rsidRDefault="00357C34" w:rsidP="00357C34">
      <w:pPr>
        <w:pStyle w:val="BodyText2"/>
      </w:pPr>
      <w:r>
        <w:t xml:space="preserve">the netted transactions </w:t>
      </w:r>
      <w:r w:rsidR="00D735E1" w:rsidRPr="00D735E1">
        <w:t>are marked-to-market daily, where applicable;</w:t>
      </w:r>
      <w:r w:rsidR="004275FD">
        <w:rPr>
          <w:rStyle w:val="FootnoteReference"/>
        </w:rPr>
        <w:footnoteReference w:id="28"/>
      </w:r>
      <w:r w:rsidR="00D735E1" w:rsidRPr="00D735E1">
        <w:t xml:space="preserve"> and</w:t>
      </w:r>
    </w:p>
    <w:p w14:paraId="72292B2C" w14:textId="44DEE0CB" w:rsidR="00D735E1" w:rsidRPr="00D735E1" w:rsidRDefault="00D735E1" w:rsidP="00357C34">
      <w:pPr>
        <w:pStyle w:val="BodyText2"/>
      </w:pPr>
      <w:r w:rsidRPr="00D735E1">
        <w:t>any collateralised instruments used in the transactions comply with the criteria for eligible collateral in the banking book</w:t>
      </w:r>
      <w:r w:rsidR="00357C34">
        <w:t xml:space="preserve"> as detailed in </w:t>
      </w:r>
      <w:r w:rsidR="00357C34" w:rsidRPr="00CD4EBB">
        <w:t>Attachment</w:t>
      </w:r>
      <w:r w:rsidR="005B185A" w:rsidRPr="00CD4EBB">
        <w:t> </w:t>
      </w:r>
      <w:r w:rsidR="00357C34" w:rsidRPr="00CD4EBB">
        <w:t>G</w:t>
      </w:r>
      <w:r w:rsidR="00357C34">
        <w:t xml:space="preserve"> to this Prudential Standard</w:t>
      </w:r>
      <w:r w:rsidRPr="00D735E1">
        <w:t>.</w:t>
      </w:r>
    </w:p>
    <w:p w14:paraId="35B30DDD" w14:textId="7DCC1292" w:rsidR="00040EA0" w:rsidRDefault="00515ADE" w:rsidP="00DB2AB0">
      <w:pPr>
        <w:pStyle w:val="Heading1"/>
      </w:pPr>
      <w:bookmarkStart w:id="201" w:name="_Toc4489904"/>
      <w:r>
        <w:lastRenderedPageBreak/>
        <w:t>On-balance sheet netting</w:t>
      </w:r>
      <w:bookmarkEnd w:id="201"/>
    </w:p>
    <w:p w14:paraId="588077AE" w14:textId="77A83D94" w:rsidR="0094204F" w:rsidRDefault="0094204F" w:rsidP="00466968">
      <w:pPr>
        <w:pStyle w:val="BodyText1"/>
      </w:pPr>
      <w:bookmarkStart w:id="202" w:name="_Ref3484207"/>
      <w:r>
        <w:t xml:space="preserve">An ADI may </w:t>
      </w:r>
      <w:r w:rsidR="00FB100B">
        <w:t xml:space="preserve">only </w:t>
      </w:r>
      <w:r>
        <w:t xml:space="preserve">use the net exposures of loans and deposits as the basis for its </w:t>
      </w:r>
      <w:r w:rsidR="00E0263A">
        <w:t>RWA</w:t>
      </w:r>
      <w:r>
        <w:t xml:space="preserve"> calculation where it:</w:t>
      </w:r>
      <w:bookmarkEnd w:id="202"/>
    </w:p>
    <w:p w14:paraId="1BC92A71" w14:textId="296F2D09" w:rsidR="00466968" w:rsidRDefault="00823B0A" w:rsidP="00466968">
      <w:pPr>
        <w:pStyle w:val="BodyText2"/>
      </w:pPr>
      <w:r>
        <w:t xml:space="preserve">has a well-founded </w:t>
      </w:r>
      <w:r w:rsidR="00466968">
        <w:t xml:space="preserve">basis for concluding that the netting or offsetting agreement is </w:t>
      </w:r>
      <w:r>
        <w:t xml:space="preserve">legally </w:t>
      </w:r>
      <w:r w:rsidR="00466968">
        <w:t>enforceable in each relevant jurisdiction regardless of whether the counterparty is insolvent or bankrupt;</w:t>
      </w:r>
    </w:p>
    <w:p w14:paraId="73804A46" w14:textId="7D1D6FFC" w:rsidR="0032636B" w:rsidRDefault="00466968" w:rsidP="00893E01">
      <w:pPr>
        <w:pStyle w:val="BodyText2"/>
      </w:pPr>
      <w:r>
        <w:t xml:space="preserve">is able at any time to determine those </w:t>
      </w:r>
      <w:r w:rsidR="00100371">
        <w:t xml:space="preserve">loans </w:t>
      </w:r>
      <w:r>
        <w:t xml:space="preserve">and </w:t>
      </w:r>
      <w:r w:rsidR="00100371">
        <w:t xml:space="preserve">deposits </w:t>
      </w:r>
      <w:r>
        <w:t>with the same counterparty that are subject to the netting agreement</w:t>
      </w:r>
      <w:r w:rsidR="000C6A64">
        <w:t xml:space="preserve">, and </w:t>
      </w:r>
      <w:r w:rsidR="00A82A67">
        <w:t>the deposits</w:t>
      </w:r>
      <w:r w:rsidR="000C6A64">
        <w:t xml:space="preserve"> meet the criteria for eligible financial collateral</w:t>
      </w:r>
      <w:r>
        <w:t>;</w:t>
      </w:r>
    </w:p>
    <w:p w14:paraId="07FE6889" w14:textId="3F1F1B15" w:rsidR="00466968" w:rsidRDefault="00466968" w:rsidP="00466968">
      <w:pPr>
        <w:pStyle w:val="BodyText2"/>
      </w:pPr>
      <w:r>
        <w:t>monitors and controls its roll-off risks; and</w:t>
      </w:r>
    </w:p>
    <w:p w14:paraId="18166FC3" w14:textId="717D6504" w:rsidR="00466968" w:rsidRDefault="00466968" w:rsidP="00466968">
      <w:pPr>
        <w:pStyle w:val="BodyText2"/>
      </w:pPr>
      <w:r>
        <w:t>monitors and controls the exposures on a net basis</w:t>
      </w:r>
      <w:r w:rsidR="0094204F">
        <w:t>.</w:t>
      </w:r>
    </w:p>
    <w:p w14:paraId="2CF9AABB" w14:textId="097714F3" w:rsidR="00190137" w:rsidRDefault="00081AAD" w:rsidP="00A82A67">
      <w:pPr>
        <w:pStyle w:val="BodyText1"/>
      </w:pPr>
      <w:r>
        <w:t xml:space="preserve">Where </w:t>
      </w:r>
      <w:proofErr w:type="gramStart"/>
      <w:r w:rsidR="0094204F">
        <w:t>all of</w:t>
      </w:r>
      <w:proofErr w:type="gramEnd"/>
      <w:r w:rsidR="0094204F">
        <w:t xml:space="preserve"> the conditions in </w:t>
      </w:r>
      <w:r w:rsidR="00CD4EBB" w:rsidRPr="00CD4EBB">
        <w:t xml:space="preserve">paragraph </w:t>
      </w:r>
      <w:r w:rsidR="00CD4EBB" w:rsidRPr="00CD4EBB">
        <w:fldChar w:fldCharType="begin"/>
      </w:r>
      <w:r w:rsidR="00CD4EBB" w:rsidRPr="00CD4EBB">
        <w:instrText xml:space="preserve"> REF _Ref3484207 \r \h </w:instrText>
      </w:r>
      <w:r w:rsidR="00CD4EBB">
        <w:instrText xml:space="preserve"> \* MERGEFORMAT </w:instrText>
      </w:r>
      <w:r w:rsidR="00CD4EBB" w:rsidRPr="00CD4EBB">
        <w:fldChar w:fldCharType="separate"/>
      </w:r>
      <w:r w:rsidR="0007706D">
        <w:t>7</w:t>
      </w:r>
      <w:r w:rsidR="00CD4EBB" w:rsidRPr="00CD4EBB">
        <w:fldChar w:fldCharType="end"/>
      </w:r>
      <w:r w:rsidR="0094204F" w:rsidRPr="00CD4EBB">
        <w:t xml:space="preserve"> of this</w:t>
      </w:r>
      <w:r w:rsidR="0094204F">
        <w:t xml:space="preserve"> Attachment are satisfied, an ADI may </w:t>
      </w:r>
      <w:r w:rsidR="001D16F8">
        <w:t>net</w:t>
      </w:r>
      <w:r w:rsidR="0094204F">
        <w:t xml:space="preserve"> loans and deposits </w:t>
      </w:r>
      <w:r w:rsidR="001D16F8">
        <w:t>to calculate</w:t>
      </w:r>
      <w:r w:rsidR="001D17F0">
        <w:t xml:space="preserve"> RWA by applying the relevant requirements under either the simple or comprehensive approach</w:t>
      </w:r>
      <w:r w:rsidR="0094204F">
        <w:t xml:space="preserve"> </w:t>
      </w:r>
      <w:r w:rsidR="00A82A67">
        <w:t xml:space="preserve">as set out in </w:t>
      </w:r>
      <w:r w:rsidR="0094204F" w:rsidRPr="00FE0BF5">
        <w:t>Attachment G</w:t>
      </w:r>
      <w:r w:rsidR="00190137" w:rsidRPr="00FE0BF5">
        <w:t xml:space="preserve"> to</w:t>
      </w:r>
      <w:r w:rsidR="00190137">
        <w:t xml:space="preserve"> this Prudential Standard</w:t>
      </w:r>
      <w:r w:rsidR="00A82A67">
        <w:t xml:space="preserve">. For this purpose, </w:t>
      </w:r>
      <w:r w:rsidR="00190137">
        <w:t>loans must be treated as exposures</w:t>
      </w:r>
      <w:r w:rsidR="00A82A67">
        <w:t xml:space="preserve"> and</w:t>
      </w:r>
      <w:r w:rsidR="00F42F5D">
        <w:t xml:space="preserve"> </w:t>
      </w:r>
      <w:r w:rsidR="00190137">
        <w:t xml:space="preserve">deposits must be treated as </w:t>
      </w:r>
      <w:r w:rsidR="00A82A67">
        <w:t xml:space="preserve">eligible financial </w:t>
      </w:r>
      <w:r w:rsidR="00190137">
        <w:t>collateral</w:t>
      </w:r>
      <w:r w:rsidR="00A82A67">
        <w:t>.</w:t>
      </w:r>
    </w:p>
    <w:p w14:paraId="29577869" w14:textId="77777777" w:rsidR="00040EA0" w:rsidRDefault="00040EA0" w:rsidP="00040EA0">
      <w:pPr>
        <w:pStyle w:val="Heading1"/>
      </w:pPr>
      <w:bookmarkStart w:id="203" w:name="_Toc4489905"/>
      <w:r>
        <w:t>Eligible bilateral netting agreement</w:t>
      </w:r>
      <w:bookmarkEnd w:id="203"/>
    </w:p>
    <w:p w14:paraId="23E21DE0" w14:textId="77777777" w:rsidR="006B3EF7" w:rsidRDefault="005D7DAD" w:rsidP="006B3EF7">
      <w:pPr>
        <w:pStyle w:val="BodyText1"/>
      </w:pPr>
      <w:bookmarkStart w:id="204" w:name="_Ref3470851"/>
      <w:r>
        <w:t>An eligible bilateral netting agreement</w:t>
      </w:r>
      <w:r w:rsidR="00F67861">
        <w:t>,</w:t>
      </w:r>
      <w:r>
        <w:t xml:space="preserve"> </w:t>
      </w:r>
      <w:r w:rsidR="00F67861">
        <w:t xml:space="preserve">which includes </w:t>
      </w:r>
      <w:r w:rsidR="00040EA0">
        <w:t xml:space="preserve">a master netting agreement, </w:t>
      </w:r>
      <w:r>
        <w:t>is a</w:t>
      </w:r>
      <w:r w:rsidR="00040EA0">
        <w:t xml:space="preserve"> netting agreement</w:t>
      </w:r>
      <w:r>
        <w:t xml:space="preserve"> with a counterparty which</w:t>
      </w:r>
      <w:r w:rsidR="00040EA0">
        <w:t>:</w:t>
      </w:r>
      <w:bookmarkEnd w:id="204"/>
    </w:p>
    <w:p w14:paraId="2E06F479" w14:textId="7087C232" w:rsidR="00040EA0" w:rsidRPr="00077385" w:rsidRDefault="00077385" w:rsidP="006B3EF7">
      <w:pPr>
        <w:pStyle w:val="BodyText2"/>
      </w:pPr>
      <w:r w:rsidRPr="00077385">
        <w:t>provides the non-defaulting part</w:t>
      </w:r>
      <w:r w:rsidR="00E109FE">
        <w:t>y</w:t>
      </w:r>
      <w:r w:rsidRPr="00077385">
        <w:t xml:space="preserve"> the right to </w:t>
      </w:r>
      <w:r w:rsidR="00040EA0" w:rsidRPr="00077385">
        <w:t>terminate and close</w:t>
      </w:r>
      <w:r w:rsidR="002A22AF">
        <w:t xml:space="preserve"> </w:t>
      </w:r>
      <w:r w:rsidR="00040EA0" w:rsidRPr="00077385">
        <w:t>out, in a timely manner, all transactions under the netting agreement</w:t>
      </w:r>
      <w:r>
        <w:t xml:space="preserve"> upon an event of default, including in the event of insolvency or bankruptcy of the counterparty</w:t>
      </w:r>
      <w:r w:rsidR="00040EA0" w:rsidRPr="00077385">
        <w:t>;</w:t>
      </w:r>
      <w:r w:rsidR="00F6426D">
        <w:rPr>
          <w:rStyle w:val="FootnoteReference"/>
        </w:rPr>
        <w:footnoteReference w:id="29"/>
      </w:r>
      <w:r w:rsidR="00F6426D">
        <w:t xml:space="preserve"> </w:t>
      </w:r>
    </w:p>
    <w:p w14:paraId="5BDD8D36" w14:textId="5F88CC93" w:rsidR="00040EA0" w:rsidRDefault="00077385" w:rsidP="00DB2AB0">
      <w:pPr>
        <w:pStyle w:val="BodyText2"/>
      </w:pPr>
      <w:r>
        <w:t xml:space="preserve">provides for the </w:t>
      </w:r>
      <w:r w:rsidR="00040EA0">
        <w:t>net</w:t>
      </w:r>
      <w:r>
        <w:t>ting of</w:t>
      </w:r>
      <w:r w:rsidR="00040EA0">
        <w:t xml:space="preserve"> gains and losses on</w:t>
      </w:r>
      <w:r w:rsidR="00813EC4">
        <w:t xml:space="preserve"> transactions</w:t>
      </w:r>
      <w:r w:rsidR="00040EA0">
        <w:t xml:space="preserve"> </w:t>
      </w:r>
      <w:r w:rsidR="00813EC4">
        <w:t>(</w:t>
      </w:r>
      <w:r w:rsidR="00040EA0">
        <w:t>includ</w:t>
      </w:r>
      <w:r w:rsidR="00813EC4">
        <w:t>ing the value of any collateral)</w:t>
      </w:r>
      <w:r w:rsidR="00040EA0">
        <w:t xml:space="preserve"> terminated and closed out under </w:t>
      </w:r>
      <w:r>
        <w:t>it</w:t>
      </w:r>
      <w:r w:rsidR="00813EC4">
        <w:t>,</w:t>
      </w:r>
      <w:r w:rsidR="00040EA0">
        <w:t xml:space="preserve"> so that</w:t>
      </w:r>
      <w:r w:rsidR="00B06D5F">
        <w:t xml:space="preserve"> only a single net amount is owed by one party to the other</w:t>
      </w:r>
      <w:r w:rsidR="00040EA0">
        <w:t>;</w:t>
      </w:r>
      <w:r w:rsidR="004522D2">
        <w:rPr>
          <w:rStyle w:val="FootnoteReference"/>
        </w:rPr>
        <w:footnoteReference w:id="30"/>
      </w:r>
    </w:p>
    <w:p w14:paraId="5D7F46DA" w14:textId="71D49043" w:rsidR="00040EA0" w:rsidRDefault="00930425" w:rsidP="00DB2AB0">
      <w:pPr>
        <w:pStyle w:val="BodyText2"/>
      </w:pPr>
      <w:r>
        <w:t>allows for the prompt liquidation</w:t>
      </w:r>
      <w:r w:rsidR="00040EA0">
        <w:t xml:space="preserve"> or set-off </w:t>
      </w:r>
      <w:r>
        <w:t xml:space="preserve">of </w:t>
      </w:r>
      <w:r w:rsidR="00040EA0">
        <w:t>collateral</w:t>
      </w:r>
      <w:r>
        <w:t xml:space="preserve"> upon the event of default</w:t>
      </w:r>
      <w:r w:rsidR="00F40493">
        <w:t>;</w:t>
      </w:r>
      <w:r w:rsidR="006B3EF7">
        <w:t xml:space="preserve"> </w:t>
      </w:r>
    </w:p>
    <w:p w14:paraId="75B20A95" w14:textId="3389D1E2" w:rsidR="006B3EF7" w:rsidRDefault="002A22AF" w:rsidP="00DB2AB0">
      <w:pPr>
        <w:pStyle w:val="BodyText2"/>
      </w:pPr>
      <w:r>
        <w:t>is legally enforceable in each relevant jurisdiction</w:t>
      </w:r>
      <w:r w:rsidR="003F00F2">
        <w:t xml:space="preserve"> regardless of whether the counterparty is insolvent or bankrupt;</w:t>
      </w:r>
      <w:r>
        <w:t xml:space="preserve"> and</w:t>
      </w:r>
      <w:r w:rsidR="00040EA0">
        <w:t xml:space="preserve"> </w:t>
      </w:r>
    </w:p>
    <w:p w14:paraId="0E976CC8" w14:textId="4A6E28FD" w:rsidR="002A22AF" w:rsidRDefault="00DB2AB0" w:rsidP="00DB2AB0">
      <w:pPr>
        <w:pStyle w:val="BodyText2"/>
      </w:pPr>
      <w:r>
        <w:rPr>
          <w:rStyle w:val="BodyText2Char"/>
        </w:rPr>
        <w:lastRenderedPageBreak/>
        <w:t>does not include</w:t>
      </w:r>
      <w:r w:rsidR="002A22AF">
        <w:t xml:space="preserve"> a walkaway clause</w:t>
      </w:r>
      <w:r>
        <w:t xml:space="preserve"> </w:t>
      </w:r>
      <w:r w:rsidR="001B6D19">
        <w:t>(</w:t>
      </w:r>
      <w:r>
        <w:t>i.e. any clause which, in the event of default of a counterparty, permits a non-defaulting counterparty to make limited payments only, or no payments at all, to a defaulting party, even if the defaulting party is a net creditor</w:t>
      </w:r>
      <w:r w:rsidR="001B6D19">
        <w:t>)</w:t>
      </w:r>
      <w:r w:rsidR="002A22AF">
        <w:t>.</w:t>
      </w:r>
    </w:p>
    <w:p w14:paraId="2FA77BEA" w14:textId="05C72A27" w:rsidR="00DB2AB0" w:rsidRDefault="00DB2AB0" w:rsidP="00DB2AB0">
      <w:pPr>
        <w:pStyle w:val="Heading1"/>
      </w:pPr>
      <w:bookmarkStart w:id="205" w:name="_Toc4489906"/>
      <w:r>
        <w:t xml:space="preserve">Legal </w:t>
      </w:r>
      <w:r w:rsidR="00823B0A">
        <w:t>enforceability</w:t>
      </w:r>
      <w:bookmarkEnd w:id="205"/>
    </w:p>
    <w:p w14:paraId="570D00F5" w14:textId="7F3EA4D9" w:rsidR="003F00F2" w:rsidRDefault="00A42BFC" w:rsidP="004246B0">
      <w:pPr>
        <w:pStyle w:val="BodyText1"/>
      </w:pPr>
      <w:r>
        <w:t>To</w:t>
      </w:r>
      <w:r w:rsidR="0086725F">
        <w:t xml:space="preserve"> ensure </w:t>
      </w:r>
      <w:r>
        <w:t>the legal enforceability of a netting agreement, an ADI must</w:t>
      </w:r>
      <w:r w:rsidR="004246B0">
        <w:t>:</w:t>
      </w:r>
    </w:p>
    <w:p w14:paraId="179F9FB4" w14:textId="7BBB0A52" w:rsidR="004246B0" w:rsidRDefault="004246B0" w:rsidP="0086725F">
      <w:pPr>
        <w:pStyle w:val="BodyText2"/>
      </w:pPr>
      <w:r>
        <w:t>obtain a written and reasoned legal opinion that concludes that in the event of default, liquidation, bankruptcy or other similar circumstances of a party to the netting agreement, the relevant courts and authorities would find the ADI’s exposure is limited to the single net sum determined in the netting agreement under:</w:t>
      </w:r>
    </w:p>
    <w:p w14:paraId="61BE8931" w14:textId="77777777" w:rsidR="004246B0" w:rsidRDefault="004246B0" w:rsidP="0086725F">
      <w:pPr>
        <w:pStyle w:val="BodyText3"/>
      </w:pPr>
      <w:r>
        <w:t>the law of the jurisdiction in which the counterparty is incorporated, formed or resides (in the case of a natural person), and if a foreign branch of the counterparty is involved, the law of the jurisdiction in which the branch is located;</w:t>
      </w:r>
    </w:p>
    <w:p w14:paraId="65A1FD9B" w14:textId="77777777" w:rsidR="004246B0" w:rsidRDefault="004246B0" w:rsidP="0086725F">
      <w:pPr>
        <w:pStyle w:val="BodyText3"/>
      </w:pPr>
      <w:r>
        <w:t>the law that governs the individual transactions involved; and</w:t>
      </w:r>
    </w:p>
    <w:p w14:paraId="128B173A" w14:textId="41CE3986" w:rsidR="004246B0" w:rsidRDefault="004246B0" w:rsidP="0086725F">
      <w:pPr>
        <w:pStyle w:val="BodyText3"/>
      </w:pPr>
      <w:r>
        <w:t>the law that governs any contract or agreement necessary to give effect to the netting;</w:t>
      </w:r>
      <w:r w:rsidR="004A5CD4">
        <w:t xml:space="preserve"> and</w:t>
      </w:r>
    </w:p>
    <w:p w14:paraId="5BE502B1" w14:textId="214717B0" w:rsidR="004246B0" w:rsidRPr="003F00F2" w:rsidRDefault="00516077" w:rsidP="0086725F">
      <w:pPr>
        <w:pStyle w:val="BodyText2"/>
      </w:pPr>
      <w:r>
        <w:t xml:space="preserve">have policies and procedures in place to ensure that the legal enforceability of netting agreements </w:t>
      </w:r>
      <w:r w:rsidR="00750DCF">
        <w:t xml:space="preserve">is </w:t>
      </w:r>
      <w:r>
        <w:t>kept under review in response to possible changes in relevant laws.</w:t>
      </w:r>
    </w:p>
    <w:p w14:paraId="28C16D39" w14:textId="7EB98A52" w:rsidR="008E39A1" w:rsidRPr="001C6CFA" w:rsidRDefault="00DB2AB0" w:rsidP="007A38DA">
      <w:pPr>
        <w:pStyle w:val="BodyText1"/>
      </w:pPr>
      <w:r w:rsidRPr="00DB2AB0">
        <w:t>An ADI must not recognise a netting agreement</w:t>
      </w:r>
      <w:r w:rsidR="00EE4E2F">
        <w:t xml:space="preserve"> </w:t>
      </w:r>
      <w:r w:rsidR="00C072E2">
        <w:t xml:space="preserve">for </w:t>
      </w:r>
      <w:r w:rsidR="00FE0ED9">
        <w:t xml:space="preserve">Regulatory Capital </w:t>
      </w:r>
      <w:r w:rsidR="00C072E2">
        <w:t xml:space="preserve">purposes </w:t>
      </w:r>
      <w:r w:rsidRPr="00DB2AB0">
        <w:t xml:space="preserve">if there is any doubt as to </w:t>
      </w:r>
      <w:r w:rsidR="00EE4E2F">
        <w:t>its</w:t>
      </w:r>
      <w:r w:rsidR="00EE4E2F" w:rsidRPr="00DB2AB0">
        <w:t xml:space="preserve"> </w:t>
      </w:r>
      <w:r w:rsidR="00516077">
        <w:t xml:space="preserve">legal </w:t>
      </w:r>
      <w:r w:rsidRPr="00DB2AB0">
        <w:t>enforceability.</w:t>
      </w:r>
      <w:r w:rsidR="007A38DA">
        <w:t xml:space="preserve"> Where an ADI </w:t>
      </w:r>
      <w:r w:rsidR="008E39A1" w:rsidRPr="001C6CFA">
        <w:t>becomes aware that a regulator or supervisor of a counterparty has given notice that it is not satisfied that netting is enforceable under the laws of the regulator’s or supervisor’s home country</w:t>
      </w:r>
      <w:r w:rsidR="007A38DA">
        <w:t>, it</w:t>
      </w:r>
      <w:r w:rsidR="008E39A1" w:rsidRPr="001C6CFA">
        <w:t xml:space="preserve"> must not recognise the netting agreement for </w:t>
      </w:r>
      <w:r w:rsidR="00FE0ED9">
        <w:t>Regulatory Capital</w:t>
      </w:r>
      <w:r w:rsidR="00FE0ED9" w:rsidRPr="001C6CFA">
        <w:t xml:space="preserve"> </w:t>
      </w:r>
      <w:r w:rsidR="008E39A1" w:rsidRPr="001C6CFA">
        <w:t>purposes regardless of any legal opinion obtained by the ADI.</w:t>
      </w:r>
    </w:p>
    <w:p w14:paraId="70DDC1BC" w14:textId="77777777" w:rsidR="00E56793" w:rsidRPr="008F685A" w:rsidRDefault="00E56793" w:rsidP="00E56793">
      <w:pPr>
        <w:sectPr w:rsidR="00E56793" w:rsidRPr="008F685A" w:rsidSect="000D63A8">
          <w:footerReference w:type="default" r:id="rId35"/>
          <w:pgSz w:w="11906" w:h="16838" w:code="9"/>
          <w:pgMar w:top="1440" w:right="1797" w:bottom="1440" w:left="1797" w:header="709" w:footer="709" w:gutter="0"/>
          <w:cols w:space="708"/>
          <w:docGrid w:linePitch="360"/>
        </w:sectPr>
      </w:pPr>
    </w:p>
    <w:p w14:paraId="065E4F33" w14:textId="4028C004" w:rsidR="00E56793" w:rsidRDefault="00E56793" w:rsidP="00E56793">
      <w:pPr>
        <w:pStyle w:val="Heading2"/>
      </w:pPr>
      <w:bookmarkStart w:id="206" w:name="_Toc87376648"/>
      <w:r>
        <w:lastRenderedPageBreak/>
        <w:t xml:space="preserve">Attachment </w:t>
      </w:r>
      <w:r>
        <w:rPr>
          <w:rStyle w:val="Attachmentfieldtext"/>
        </w:rPr>
        <w:t xml:space="preserve">I – </w:t>
      </w:r>
      <w:r w:rsidR="00FB100B">
        <w:t>Guarantees</w:t>
      </w:r>
      <w:bookmarkEnd w:id="206"/>
    </w:p>
    <w:p w14:paraId="4D70B932" w14:textId="5CAA939F" w:rsidR="0053053A" w:rsidRDefault="0053053A" w:rsidP="000A4BE9">
      <w:pPr>
        <w:pStyle w:val="BodyText1"/>
        <w:numPr>
          <w:ilvl w:val="0"/>
          <w:numId w:val="11"/>
        </w:numPr>
      </w:pPr>
      <w:r>
        <w:t xml:space="preserve">Where an ADI’s exposure to a counterparty is </w:t>
      </w:r>
      <w:r w:rsidR="0054383A">
        <w:t>covered</w:t>
      </w:r>
      <w:r>
        <w:t xml:space="preserve"> by a guarantee from an eligible guarantor</w:t>
      </w:r>
      <w:r w:rsidR="0054383A">
        <w:t xml:space="preserve">, </w:t>
      </w:r>
      <w:r w:rsidR="009020B8">
        <w:t>an ADI may substitute the risk weight of the counterparty for the risk weight of the guarantor for the covered portion of the exposure.</w:t>
      </w:r>
      <w:r w:rsidR="007B3A0E">
        <w:rPr>
          <w:rStyle w:val="FootnoteReference"/>
        </w:rPr>
        <w:footnoteReference w:id="31"/>
      </w:r>
      <w:r w:rsidR="009020B8">
        <w:t xml:space="preserve"> </w:t>
      </w:r>
      <w:r w:rsidRPr="0053053A">
        <w:t xml:space="preserve">The </w:t>
      </w:r>
      <w:r w:rsidR="007B3A0E">
        <w:t>uncovered</w:t>
      </w:r>
      <w:r w:rsidR="007B3A0E" w:rsidRPr="0053053A">
        <w:t xml:space="preserve"> </w:t>
      </w:r>
      <w:r w:rsidRPr="0053053A">
        <w:t xml:space="preserve">portion of the </w:t>
      </w:r>
      <w:r w:rsidR="007B3A0E">
        <w:t>exposure</w:t>
      </w:r>
      <w:r w:rsidR="007B3A0E" w:rsidRPr="0053053A">
        <w:t xml:space="preserve"> </w:t>
      </w:r>
      <w:r w:rsidRPr="0053053A">
        <w:t xml:space="preserve">must be </w:t>
      </w:r>
      <w:r w:rsidR="007B3A0E">
        <w:t>risk-</w:t>
      </w:r>
      <w:r w:rsidRPr="0053053A">
        <w:t>weighted according to the risk weight applicable to the original counterparty</w:t>
      </w:r>
      <w:r w:rsidR="007B3A0E">
        <w:t>.</w:t>
      </w:r>
    </w:p>
    <w:p w14:paraId="00C65E94" w14:textId="3A82F1E3" w:rsidR="003642F3" w:rsidRDefault="003642F3" w:rsidP="003642F3">
      <w:pPr>
        <w:pStyle w:val="Heading1"/>
      </w:pPr>
      <w:bookmarkStart w:id="207" w:name="_Toc4489908"/>
      <w:r>
        <w:t>Minimum requirements</w:t>
      </w:r>
      <w:bookmarkEnd w:id="207"/>
    </w:p>
    <w:p w14:paraId="51C578C9" w14:textId="26D0098A" w:rsidR="007B3A0E" w:rsidRPr="0053053A" w:rsidRDefault="002E404E" w:rsidP="00B8044F">
      <w:pPr>
        <w:pStyle w:val="BodyText1"/>
      </w:pPr>
      <w:r>
        <w:t>To</w:t>
      </w:r>
      <w:r w:rsidR="003642F3">
        <w:t xml:space="preserve"> be recognised as eligible CRM, a</w:t>
      </w:r>
      <w:r w:rsidR="007B3A0E">
        <w:t xml:space="preserve"> guarantee must:</w:t>
      </w:r>
    </w:p>
    <w:p w14:paraId="787D9C5C" w14:textId="34C87C43" w:rsidR="0053053A" w:rsidRDefault="00B8044F" w:rsidP="00E04341">
      <w:pPr>
        <w:pStyle w:val="BodyText2"/>
      </w:pPr>
      <w:bookmarkStart w:id="208" w:name="_Ref460431287"/>
      <w:r>
        <w:t>represent</w:t>
      </w:r>
      <w:r w:rsidR="0053053A" w:rsidRPr="0053053A">
        <w:t xml:space="preserve"> a direct claim on an eligible guarantor;</w:t>
      </w:r>
    </w:p>
    <w:p w14:paraId="738106DA" w14:textId="62D9D001" w:rsidR="00E04341" w:rsidRPr="00E04341" w:rsidRDefault="00B27966" w:rsidP="00E04341">
      <w:pPr>
        <w:pStyle w:val="BodyText2"/>
      </w:pPr>
      <w:r>
        <w:t>be</w:t>
      </w:r>
      <w:r w:rsidR="004871E2">
        <w:t xml:space="preserve"> </w:t>
      </w:r>
      <w:r w:rsidR="00E04341" w:rsidRPr="00E04341">
        <w:t xml:space="preserve">an explicitly documented obligation assumed by the guarantor; </w:t>
      </w:r>
    </w:p>
    <w:p w14:paraId="05E47687" w14:textId="7CE57892" w:rsidR="0053053A" w:rsidRPr="0053053A" w:rsidRDefault="00B27966" w:rsidP="00E04341">
      <w:pPr>
        <w:pStyle w:val="BodyText2"/>
      </w:pPr>
      <w:r>
        <w:t>be</w:t>
      </w:r>
      <w:r w:rsidR="0053053A" w:rsidRPr="0053053A">
        <w:t xml:space="preserve"> explicitly referenced to specific exposures or a pool of exposures, so that the extent of the cover is clearly defined and incontrovertible;</w:t>
      </w:r>
    </w:p>
    <w:p w14:paraId="28A3CB52" w14:textId="24CB9E34" w:rsidR="0053053A" w:rsidRPr="0053053A" w:rsidRDefault="0053053A" w:rsidP="00E04341">
      <w:pPr>
        <w:pStyle w:val="BodyText2"/>
      </w:pPr>
      <w:r w:rsidRPr="0053053A">
        <w:t>be irrevocable, except in the case of non-payment by a protection purchaser of money due in respect of the credit protection contract. The guarantee must not contain any clauses that would allow the guarantor to unilaterally cancel the cover of the guarantee</w:t>
      </w:r>
      <w:r w:rsidR="001B6D19">
        <w:t>,</w:t>
      </w:r>
      <w:r w:rsidRPr="0053053A">
        <w:t xml:space="preserve"> or that would increase the effective cost of cover as a result of deteriorating credit quality in the guaranteed exposure</w:t>
      </w:r>
      <w:r w:rsidR="00B8044F">
        <w:t>;</w:t>
      </w:r>
      <w:r w:rsidRPr="0053053A">
        <w:rPr>
          <w:vertAlign w:val="superscript"/>
        </w:rPr>
        <w:footnoteReference w:id="32"/>
      </w:r>
      <w:r w:rsidRPr="0053053A">
        <w:t xml:space="preserve"> </w:t>
      </w:r>
    </w:p>
    <w:p w14:paraId="2EBBDE0F" w14:textId="1B041F6D" w:rsidR="0053053A" w:rsidRDefault="0053053A" w:rsidP="00E04341">
      <w:pPr>
        <w:pStyle w:val="BodyText2"/>
      </w:pPr>
      <w:r w:rsidRPr="0053053A">
        <w:t xml:space="preserve">be unconditional. The guarantee must not include any clauses that are outside the direct control of </w:t>
      </w:r>
      <w:r w:rsidR="00697E25">
        <w:t>the</w:t>
      </w:r>
      <w:r w:rsidR="00697E25" w:rsidRPr="0053053A">
        <w:t xml:space="preserve"> </w:t>
      </w:r>
      <w:r w:rsidRPr="0053053A">
        <w:t>ADI, or that could prevent the guarantor from being obliged to pay out in a timely manner in the event that the underlying counterparty fails to make the payment(s) due</w:t>
      </w:r>
      <w:bookmarkEnd w:id="208"/>
      <w:r w:rsidR="00E04341">
        <w:t>;</w:t>
      </w:r>
    </w:p>
    <w:p w14:paraId="670F8113" w14:textId="7C26659D" w:rsidR="00E04341" w:rsidRPr="00E04341" w:rsidRDefault="00E04341" w:rsidP="00E04341">
      <w:pPr>
        <w:pStyle w:val="BodyText2"/>
      </w:pPr>
      <w:r w:rsidRPr="00E04341">
        <w:t>on the default</w:t>
      </w:r>
      <w:r>
        <w:t xml:space="preserve"> or </w:t>
      </w:r>
      <w:r w:rsidRPr="00E04341">
        <w:t xml:space="preserve">non-payment of the counterparty, </w:t>
      </w:r>
      <w:r w:rsidR="00F47E77">
        <w:t xml:space="preserve">allow </w:t>
      </w:r>
      <w:r w:rsidRPr="00E04341">
        <w:t>the ADI to pursue, in a timely manner, the guarantor for any monies outstanding under the documentation governing the transaction. The ADI must have the right to receive payment from the guarantor without first having to take legal action in order to pursue the counterparty for payment;</w:t>
      </w:r>
      <w:r>
        <w:t xml:space="preserve"> and</w:t>
      </w:r>
    </w:p>
    <w:p w14:paraId="17F9FB3E" w14:textId="05FB087C" w:rsidR="00E04341" w:rsidRPr="00E04341" w:rsidRDefault="00E04341" w:rsidP="00E04341">
      <w:pPr>
        <w:pStyle w:val="BodyText2"/>
      </w:pPr>
      <w:r w:rsidRPr="00E04341">
        <w:t xml:space="preserve">cover all types of payments the underlying </w:t>
      </w:r>
      <w:r w:rsidR="00B31B8E">
        <w:t>borrower</w:t>
      </w:r>
      <w:r w:rsidRPr="00E04341">
        <w:t xml:space="preserve"> is expected to make under the documentation governing the transaction. Where a guarantee covers payment of principal only, interest and other amounts not covered by the guarantee must be treated as uncovered.</w:t>
      </w:r>
    </w:p>
    <w:p w14:paraId="6F488ACC" w14:textId="4D0199A3" w:rsidR="0054383A" w:rsidRPr="0053053A" w:rsidRDefault="0054383A" w:rsidP="00B8044F">
      <w:pPr>
        <w:pStyle w:val="Heading1"/>
      </w:pPr>
      <w:bookmarkStart w:id="209" w:name="_Toc4489909"/>
      <w:r>
        <w:lastRenderedPageBreak/>
        <w:t>Eligible guarantors</w:t>
      </w:r>
      <w:bookmarkEnd w:id="209"/>
    </w:p>
    <w:p w14:paraId="7842B40C" w14:textId="1F3586DA" w:rsidR="0053053A" w:rsidRPr="0053053A" w:rsidRDefault="00082798" w:rsidP="00275842">
      <w:pPr>
        <w:pStyle w:val="BodyText1"/>
      </w:pPr>
      <w:bookmarkStart w:id="210" w:name="_Ref460431270"/>
      <w:r>
        <w:t xml:space="preserve">An ADI must only recognise guarantees provided by </w:t>
      </w:r>
      <w:r w:rsidR="0053053A" w:rsidRPr="0053053A">
        <w:t>the following entities</w:t>
      </w:r>
      <w:bookmarkEnd w:id="210"/>
      <w:r w:rsidR="005A4278">
        <w:t xml:space="preserve"> when they have a lower risk weight than the counterparty</w:t>
      </w:r>
      <w:r w:rsidR="00976B89">
        <w:t>:</w:t>
      </w:r>
    </w:p>
    <w:p w14:paraId="32021EF4" w14:textId="70D4D221" w:rsidR="0053053A" w:rsidRPr="0053053A" w:rsidRDefault="0053053A" w:rsidP="000E2946">
      <w:pPr>
        <w:pStyle w:val="BodyText2"/>
      </w:pPr>
      <w:r w:rsidRPr="0053053A">
        <w:t xml:space="preserve">sovereigns; </w:t>
      </w:r>
    </w:p>
    <w:p w14:paraId="166A5461" w14:textId="4B62CD79" w:rsidR="0053053A" w:rsidRPr="0053053A" w:rsidRDefault="0053053A" w:rsidP="000E2946">
      <w:pPr>
        <w:pStyle w:val="BodyText2"/>
      </w:pPr>
      <w:r w:rsidRPr="0053053A">
        <w:t xml:space="preserve">banks; </w:t>
      </w:r>
    </w:p>
    <w:p w14:paraId="0833C9A2" w14:textId="0A81334C" w:rsidR="0053053A" w:rsidRPr="0053053A" w:rsidRDefault="0053053A" w:rsidP="000E2946">
      <w:pPr>
        <w:pStyle w:val="BodyText2"/>
      </w:pPr>
      <w:r w:rsidRPr="0053053A">
        <w:t xml:space="preserve">other entities that are externally rated, where credit protection is provided to a non-securitisation exposure. This includes guarantees provided by parent, subsidiary and affiliate companies where they have a lower risk weight than the </w:t>
      </w:r>
      <w:r w:rsidR="00B31B8E">
        <w:t>borrower</w:t>
      </w:r>
      <w:r w:rsidRPr="0053053A">
        <w:t xml:space="preserve">; and </w:t>
      </w:r>
    </w:p>
    <w:p w14:paraId="45CB0EC3" w14:textId="1999B192" w:rsidR="0053053A" w:rsidRPr="0053053A" w:rsidRDefault="0053053A" w:rsidP="000E2946">
      <w:pPr>
        <w:pStyle w:val="BodyText2"/>
      </w:pPr>
      <w:r w:rsidRPr="0053053A">
        <w:t xml:space="preserve">where credit protection is provided to a securitisation exposure, other entities with a credit rating grade of three or better and that were externally rated two or better at the time the credit protection was provided. This also includes guarantees provided by parent, subsidiary and affiliated companies where they have a lower risk weight than the </w:t>
      </w:r>
      <w:r w:rsidR="00B31B8E">
        <w:t>borrower</w:t>
      </w:r>
      <w:r w:rsidRPr="0053053A">
        <w:t>.</w:t>
      </w:r>
    </w:p>
    <w:p w14:paraId="1A02308D" w14:textId="188D2A42" w:rsidR="0053053A" w:rsidRPr="0053053A" w:rsidRDefault="0053053A" w:rsidP="00275842">
      <w:pPr>
        <w:pStyle w:val="BodyText1"/>
      </w:pPr>
      <w:r w:rsidRPr="0053053A">
        <w:t>A claim that is indirectly guaranteed by the Australian Government (i.e. the Commonwealth’s guarantee of the entity that provides the guarantee) may be treated as guaranteed by the Australian Government provided that:</w:t>
      </w:r>
    </w:p>
    <w:p w14:paraId="610D3F4D" w14:textId="77777777" w:rsidR="0053053A" w:rsidRPr="0053053A" w:rsidRDefault="0053053A" w:rsidP="000E2946">
      <w:pPr>
        <w:pStyle w:val="BodyText2"/>
      </w:pPr>
      <w:r w:rsidRPr="0053053A">
        <w:t>the indirect guarantee covers all credit risk elements of the claim;</w:t>
      </w:r>
    </w:p>
    <w:p w14:paraId="54426202" w14:textId="3C576494" w:rsidR="0053053A" w:rsidRPr="0053053A" w:rsidRDefault="0053053A" w:rsidP="000E2946">
      <w:pPr>
        <w:pStyle w:val="BodyText2"/>
      </w:pPr>
      <w:r w:rsidRPr="0053053A">
        <w:t>both the original guarantee and the indirect guarantee meet all the requirements</w:t>
      </w:r>
      <w:r w:rsidR="000E2946">
        <w:t xml:space="preserve"> detailed in paragraph 2 of this Attachment,</w:t>
      </w:r>
      <w:r w:rsidRPr="0053053A">
        <w:t xml:space="preserve"> except that the indirect guarantee need not be direct and explicit to the original claim; and</w:t>
      </w:r>
    </w:p>
    <w:p w14:paraId="11B6DC4B" w14:textId="77777777" w:rsidR="0053053A" w:rsidRPr="0053053A" w:rsidRDefault="0053053A" w:rsidP="000E2946">
      <w:pPr>
        <w:pStyle w:val="BodyText2"/>
      </w:pPr>
      <w:r w:rsidRPr="0053053A">
        <w:t>the ADI is satisfied that the cover of the indirect guarantee is robust and there is no historical evidence to suggest that the coverage of the indirect guarantee is not equivalent to that of a direct guarantee of the Australian Government.</w:t>
      </w:r>
    </w:p>
    <w:p w14:paraId="2F2DDC80" w14:textId="77777777" w:rsidR="0053053A" w:rsidRPr="000E6872" w:rsidRDefault="0053053A" w:rsidP="00275842">
      <w:pPr>
        <w:pStyle w:val="BodyText1"/>
      </w:pPr>
      <w:r w:rsidRPr="000E6872">
        <w:t>Letters of comfort do not qualify as eligible guarantees for CRM purposes.</w:t>
      </w:r>
    </w:p>
    <w:p w14:paraId="3182A5DA" w14:textId="77777777" w:rsidR="0053053A" w:rsidRPr="0053053A" w:rsidRDefault="0053053A" w:rsidP="00275842">
      <w:pPr>
        <w:pStyle w:val="Heading1"/>
      </w:pPr>
      <w:bookmarkStart w:id="211" w:name="_Toc507403956"/>
      <w:bookmarkStart w:id="212" w:name="_Toc461699106"/>
      <w:bookmarkStart w:id="213" w:name="_Toc460484818"/>
      <w:bookmarkStart w:id="214" w:name="_Toc4489910"/>
      <w:r w:rsidRPr="0053053A">
        <w:t>Materiality thresholds</w:t>
      </w:r>
      <w:bookmarkEnd w:id="211"/>
      <w:bookmarkEnd w:id="212"/>
      <w:bookmarkEnd w:id="213"/>
      <w:bookmarkEnd w:id="214"/>
    </w:p>
    <w:p w14:paraId="7C2158CF" w14:textId="73ACCA2D" w:rsidR="0053053A" w:rsidRPr="0053053A" w:rsidRDefault="0053053A" w:rsidP="00275842">
      <w:pPr>
        <w:pStyle w:val="BodyText1"/>
      </w:pPr>
      <w:r w:rsidRPr="0053053A">
        <w:t xml:space="preserve">Where a guarantee provides for a materiality threshold on payments below which no payment will be made in the event of loss, </w:t>
      </w:r>
      <w:r w:rsidR="001B6D19">
        <w:t>it</w:t>
      </w:r>
      <w:r w:rsidR="001B6D19" w:rsidRPr="0053053A">
        <w:t xml:space="preserve"> </w:t>
      </w:r>
      <w:r w:rsidRPr="0053053A">
        <w:t>is equivalent to a retained first loss position and must be deducted from Common Equity Tier 1 Capital in accordance with APS</w:t>
      </w:r>
      <w:r w:rsidR="000E2946">
        <w:t> </w:t>
      </w:r>
      <w:r w:rsidRPr="0053053A">
        <w:t>111. This deduction will be capped at the amount of capital the ADI would be required to hold against the full value of the</w:t>
      </w:r>
      <w:r w:rsidR="00AE18D3">
        <w:t xml:space="preserve"> underlying</w:t>
      </w:r>
      <w:r w:rsidRPr="0053053A">
        <w:t xml:space="preserve"> exposure.</w:t>
      </w:r>
    </w:p>
    <w:p w14:paraId="2658FB61" w14:textId="75563176" w:rsidR="0053053A" w:rsidRPr="0053053A" w:rsidRDefault="0053053A" w:rsidP="00275842">
      <w:pPr>
        <w:pStyle w:val="Heading1"/>
      </w:pPr>
      <w:bookmarkStart w:id="215" w:name="_Toc507403957"/>
      <w:bookmarkStart w:id="216" w:name="_Toc461699107"/>
      <w:bookmarkStart w:id="217" w:name="_Toc460484819"/>
      <w:bookmarkStart w:id="218" w:name="_Toc4489911"/>
      <w:r w:rsidRPr="0053053A">
        <w:t xml:space="preserve">Proportional </w:t>
      </w:r>
      <w:r w:rsidR="000E2946">
        <w:t xml:space="preserve">and </w:t>
      </w:r>
      <w:proofErr w:type="spellStart"/>
      <w:r w:rsidR="000E2946">
        <w:t>tranched</w:t>
      </w:r>
      <w:proofErr w:type="spellEnd"/>
      <w:r w:rsidR="000E2946">
        <w:t xml:space="preserve"> </w:t>
      </w:r>
      <w:r w:rsidRPr="0053053A">
        <w:t>cover</w:t>
      </w:r>
      <w:bookmarkEnd w:id="215"/>
      <w:bookmarkEnd w:id="216"/>
      <w:bookmarkEnd w:id="217"/>
      <w:bookmarkEnd w:id="218"/>
    </w:p>
    <w:p w14:paraId="3EB08D95" w14:textId="77777777" w:rsidR="0053053A" w:rsidRPr="0053053A" w:rsidRDefault="0053053A" w:rsidP="00275842">
      <w:pPr>
        <w:pStyle w:val="BodyText1"/>
      </w:pPr>
      <w:r w:rsidRPr="0053053A">
        <w:t xml:space="preserve">Where there is partial coverage of an exposure by a guarantee and the covered and uncovered portions are of equal seniority (i.e. the ADI and the guarantor share losses on a </w:t>
      </w:r>
      <w:r w:rsidRPr="0053053A">
        <w:rPr>
          <w:i/>
        </w:rPr>
        <w:t>pro rata</w:t>
      </w:r>
      <w:r w:rsidRPr="0053053A">
        <w:t xml:space="preserve"> basis), capital relief will be afforded on a proportional basis. </w:t>
      </w:r>
      <w:r w:rsidRPr="0053053A">
        <w:lastRenderedPageBreak/>
        <w:t>This means that the covered portion of the exposure will receive the treatment applicable to eligible guarantees with the remainder treated as uncovered.</w:t>
      </w:r>
    </w:p>
    <w:p w14:paraId="72BB3122" w14:textId="2653BBF1" w:rsidR="0053053A" w:rsidRPr="0053053A" w:rsidRDefault="0053053A" w:rsidP="00275842">
      <w:pPr>
        <w:pStyle w:val="BodyText1"/>
      </w:pPr>
      <w:r w:rsidRPr="0053053A">
        <w:t xml:space="preserve">Where there is partial coverage of an exposure by a guarantee and there is a difference in seniority between the covered and uncovered portions of the exposure, then the arrangement is considered to be a synthetic securitisation and is subject to the requirements set out in </w:t>
      </w:r>
      <w:r w:rsidR="000E2946" w:rsidRPr="0053053A">
        <w:t>APS</w:t>
      </w:r>
      <w:r w:rsidR="000E2946">
        <w:t> </w:t>
      </w:r>
      <w:r w:rsidRPr="0053053A">
        <w:t>120.</w:t>
      </w:r>
    </w:p>
    <w:p w14:paraId="1258E9D4" w14:textId="77777777" w:rsidR="0053053A" w:rsidRPr="0053053A" w:rsidRDefault="0053053A" w:rsidP="00275842">
      <w:pPr>
        <w:pStyle w:val="Heading1"/>
      </w:pPr>
      <w:bookmarkStart w:id="219" w:name="_Toc507403959"/>
      <w:bookmarkStart w:id="220" w:name="_Toc461699109"/>
      <w:bookmarkStart w:id="221" w:name="_Toc460484821"/>
      <w:bookmarkStart w:id="222" w:name="_Toc4489912"/>
      <w:r w:rsidRPr="0053053A">
        <w:t>Currency mismatch</w:t>
      </w:r>
      <w:bookmarkEnd w:id="219"/>
      <w:bookmarkEnd w:id="220"/>
      <w:bookmarkEnd w:id="221"/>
      <w:bookmarkEnd w:id="222"/>
    </w:p>
    <w:p w14:paraId="780F22E2" w14:textId="77777777" w:rsidR="0053053A" w:rsidRDefault="0053053A" w:rsidP="00275842">
      <w:pPr>
        <w:pStyle w:val="BodyText1"/>
      </w:pPr>
      <w:bookmarkStart w:id="223" w:name="_Ref460431314"/>
      <w:r w:rsidRPr="0053053A">
        <w:t>A currency mismatch exists where a guarantee is denominated in a different currency from that in which the exposure is denominated. In this case, the amount of the exposure deemed to be protected (</w:t>
      </w:r>
      <w:r w:rsidRPr="0053053A">
        <w:rPr>
          <w:i/>
        </w:rPr>
        <w:t>G</w:t>
      </w:r>
      <w:r w:rsidRPr="0053053A">
        <w:rPr>
          <w:i/>
          <w:vertAlign w:val="subscript"/>
        </w:rPr>
        <w:t>a</w:t>
      </w:r>
      <w:r w:rsidRPr="0053053A">
        <w:t>) must be reduced by the application of a haircut (</w:t>
      </w:r>
      <w:proofErr w:type="spellStart"/>
      <w:r w:rsidRPr="0053053A">
        <w:rPr>
          <w:i/>
        </w:rPr>
        <w:t>H</w:t>
      </w:r>
      <w:r w:rsidRPr="0053053A">
        <w:rPr>
          <w:i/>
          <w:vertAlign w:val="subscript"/>
        </w:rPr>
        <w:t>fx</w:t>
      </w:r>
      <w:proofErr w:type="spellEnd"/>
      <w:r w:rsidRPr="0053053A">
        <w:t>) as follows:</w:t>
      </w:r>
      <w:bookmarkEnd w:id="223"/>
    </w:p>
    <w:p w14:paraId="5EC13758" w14:textId="1A7B74C8" w:rsidR="00833E56" w:rsidRPr="0029642F" w:rsidRDefault="00833E56" w:rsidP="0029642F">
      <w:pPr>
        <w:spacing w:after="0"/>
        <w:ind w:left="992"/>
        <w:rPr>
          <w:rFonts w:eastAsia="Times New Roman"/>
        </w:rPr>
      </w:pPr>
      <w:r w:rsidRPr="00833E56">
        <w:rPr>
          <w:noProof/>
        </w:rPr>
        <w:drawing>
          <wp:inline distT="0" distB="0" distL="0" distR="0" wp14:anchorId="6A861F59" wp14:editId="4CA66CF0">
            <wp:extent cx="3997657" cy="241539"/>
            <wp:effectExtent l="0" t="0" r="0" b="6350"/>
            <wp:docPr id="10" name="Picture 10" descr="Start formula G subscript a equals G times open bracket 1 minus H subscript fx close bracke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Start formula G subscript a equals G times open bracket 1 minus H subscript fx close bracket end formula."/>
                    <pic:cNvPicPr>
                      <a:picLocks noChangeAspect="1" noChangeArrowheads="1"/>
                    </pic:cNvPicPr>
                  </pic:nvPicPr>
                  <pic:blipFill rotWithShape="1">
                    <a:blip r:embed="rId36" cstate="print">
                      <a:extLst>
                        <a:ext uri="{28A0092B-C50C-407E-A947-70E740481C1C}">
                          <a14:useLocalDpi xmlns:a14="http://schemas.microsoft.com/office/drawing/2010/main" val="0"/>
                        </a:ext>
                      </a:extLst>
                    </a:blip>
                    <a:srcRect l="17006" t="1" r="17301" b="34016"/>
                    <a:stretch/>
                  </pic:blipFill>
                  <pic:spPr bwMode="auto">
                    <a:xfrm>
                      <a:off x="0" y="0"/>
                      <a:ext cx="4037284" cy="243933"/>
                    </a:xfrm>
                    <a:prstGeom prst="rect">
                      <a:avLst/>
                    </a:prstGeom>
                    <a:noFill/>
                    <a:ln>
                      <a:noFill/>
                    </a:ln>
                    <a:extLst>
                      <a:ext uri="{53640926-AAD7-44D8-BBD7-CCE9431645EC}">
                        <a14:shadowObscured xmlns:a14="http://schemas.microsoft.com/office/drawing/2010/main"/>
                      </a:ext>
                    </a:extLst>
                  </pic:spPr>
                </pic:pic>
              </a:graphicData>
            </a:graphic>
          </wp:inline>
        </w:drawing>
      </w:r>
    </w:p>
    <w:p w14:paraId="3D488315" w14:textId="10A639AC" w:rsidR="0053053A" w:rsidRDefault="0053053A" w:rsidP="000E2946">
      <w:pPr>
        <w:ind w:firstLine="567"/>
      </w:pPr>
      <w:r w:rsidRPr="0053053A">
        <w:t>where: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6317"/>
      </w:tblGrid>
      <w:tr w:rsidR="00A73083" w14:paraId="33320922" w14:textId="77777777" w:rsidTr="00A73083">
        <w:tc>
          <w:tcPr>
            <w:tcW w:w="1985" w:type="dxa"/>
          </w:tcPr>
          <w:p w14:paraId="40AA2A32" w14:textId="27C9DEA0" w:rsidR="00A73083" w:rsidRDefault="00A73083" w:rsidP="00A73083">
            <w:pPr>
              <w:jc w:val="right"/>
            </w:pPr>
            <w:r w:rsidRPr="0053053A">
              <w:rPr>
                <w:i/>
              </w:rPr>
              <w:t>G</w:t>
            </w:r>
            <w:r w:rsidRPr="0053053A">
              <w:t xml:space="preserve"> </w:t>
            </w:r>
            <w:r w:rsidRPr="0053053A">
              <w:tab/>
              <w:t>=</w:t>
            </w:r>
          </w:p>
        </w:tc>
        <w:tc>
          <w:tcPr>
            <w:tcW w:w="6317" w:type="dxa"/>
          </w:tcPr>
          <w:p w14:paraId="5B219A87" w14:textId="3B458827" w:rsidR="00A73083" w:rsidRDefault="00A73083" w:rsidP="000E2946">
            <w:r w:rsidRPr="0053053A">
              <w:t>nominal amount of the guarantee</w:t>
            </w:r>
          </w:p>
        </w:tc>
      </w:tr>
      <w:tr w:rsidR="00A73083" w14:paraId="12BF541A" w14:textId="77777777" w:rsidTr="00A73083">
        <w:tc>
          <w:tcPr>
            <w:tcW w:w="1985" w:type="dxa"/>
          </w:tcPr>
          <w:p w14:paraId="219519E5" w14:textId="7A01476A" w:rsidR="00A73083" w:rsidRDefault="00A73083" w:rsidP="00A73083">
            <w:pPr>
              <w:jc w:val="right"/>
            </w:pPr>
            <w:proofErr w:type="spellStart"/>
            <w:r w:rsidRPr="0007789D">
              <w:rPr>
                <w:i/>
              </w:rPr>
              <w:t>H</w:t>
            </w:r>
            <w:r w:rsidRPr="0007789D">
              <w:rPr>
                <w:i/>
                <w:vertAlign w:val="subscript"/>
              </w:rPr>
              <w:t>fx</w:t>
            </w:r>
            <w:proofErr w:type="spellEnd"/>
            <w:r w:rsidRPr="0053053A">
              <w:rPr>
                <w:i/>
              </w:rPr>
              <w:t xml:space="preserve"> </w:t>
            </w:r>
            <w:r w:rsidRPr="0053053A">
              <w:tab/>
              <w:t>=</w:t>
            </w:r>
          </w:p>
        </w:tc>
        <w:tc>
          <w:tcPr>
            <w:tcW w:w="6317" w:type="dxa"/>
          </w:tcPr>
          <w:p w14:paraId="700F3709" w14:textId="16ABC9FE" w:rsidR="00A73083" w:rsidRDefault="00A73083" w:rsidP="00DE6106">
            <w:pPr>
              <w:jc w:val="both"/>
            </w:pPr>
            <w:r w:rsidRPr="0053053A">
              <w:t>haircut appropriate for the currency mismatch between the guarantee and the underlying exposure</w:t>
            </w:r>
            <w:r>
              <w:t>.</w:t>
            </w:r>
          </w:p>
        </w:tc>
      </w:tr>
    </w:tbl>
    <w:p w14:paraId="161D539D" w14:textId="099AC5E9" w:rsidR="0053053A" w:rsidRPr="0053053A" w:rsidRDefault="0053053A" w:rsidP="00275842">
      <w:pPr>
        <w:pStyle w:val="BodyText1"/>
      </w:pPr>
      <w:r w:rsidRPr="0053053A">
        <w:t>Where there is a currency mismatch, an ADI must apply a haircut of 8 per cent (based on a 10 business day holding period and daily mark</w:t>
      </w:r>
      <w:r w:rsidR="006C0F04">
        <w:t>ing</w:t>
      </w:r>
      <w:r w:rsidRPr="0053053A">
        <w:t xml:space="preserve">-to-market). The haircut must be adjusted depending on the actual frequency of revaluation of the currency mismatch, in accordance with </w:t>
      </w:r>
      <w:r w:rsidR="00FF3E26" w:rsidRPr="00FF3E26">
        <w:t xml:space="preserve">paragraph </w:t>
      </w:r>
      <w:r w:rsidR="00FF3E26" w:rsidRPr="00FF3E26">
        <w:fldChar w:fldCharType="begin"/>
      </w:r>
      <w:r w:rsidR="00FF3E26" w:rsidRPr="00FF3E26">
        <w:instrText xml:space="preserve"> REF _Ref3484694 \r \h </w:instrText>
      </w:r>
      <w:r w:rsidR="00FF3E26">
        <w:instrText xml:space="preserve"> \* MERGEFORMAT </w:instrText>
      </w:r>
      <w:r w:rsidR="00FF3E26" w:rsidRPr="00FF3E26">
        <w:fldChar w:fldCharType="separate"/>
      </w:r>
      <w:r w:rsidR="0007706D">
        <w:t>32</w:t>
      </w:r>
      <w:r w:rsidR="00FF3E26" w:rsidRPr="00FF3E26">
        <w:fldChar w:fldCharType="end"/>
      </w:r>
      <w:r w:rsidRPr="00FF3E26">
        <w:t xml:space="preserve"> of Attachment </w:t>
      </w:r>
      <w:r w:rsidR="006C0F04" w:rsidRPr="00FF3E26">
        <w:t>G</w:t>
      </w:r>
      <w:r w:rsidRPr="0053053A">
        <w:t xml:space="preserve"> </w:t>
      </w:r>
      <w:r w:rsidR="00A00D85">
        <w:t>to</w:t>
      </w:r>
      <w:r w:rsidRPr="0053053A">
        <w:t xml:space="preserve"> this Prudential Standard.</w:t>
      </w:r>
    </w:p>
    <w:p w14:paraId="7E1D7A62" w14:textId="77777777" w:rsidR="0053053A" w:rsidRDefault="0053053A" w:rsidP="00275842">
      <w:pPr>
        <w:pStyle w:val="Heading1"/>
      </w:pPr>
      <w:bookmarkStart w:id="224" w:name="_Toc507403960"/>
      <w:bookmarkStart w:id="225" w:name="_Toc461699110"/>
      <w:bookmarkStart w:id="226" w:name="_Toc460484822"/>
      <w:bookmarkStart w:id="227" w:name="_Toc4489913"/>
      <w:r w:rsidRPr="0053053A">
        <w:t>Maturity mismatch</w:t>
      </w:r>
      <w:bookmarkEnd w:id="224"/>
      <w:bookmarkEnd w:id="225"/>
      <w:bookmarkEnd w:id="226"/>
      <w:bookmarkEnd w:id="227"/>
    </w:p>
    <w:p w14:paraId="1BF9A9BC" w14:textId="77777777" w:rsidR="00B34FAB" w:rsidRDefault="00B34FAB" w:rsidP="00B34FAB">
      <w:pPr>
        <w:pStyle w:val="BodyText1"/>
      </w:pPr>
      <w:r w:rsidRPr="0053053A">
        <w:t>A maturity mismatch exists where the residual maturity of a guarantee is less than the maturity of the exposure covered by the guarantee.</w:t>
      </w:r>
    </w:p>
    <w:p w14:paraId="3E5BB0A8" w14:textId="30E0BF00" w:rsidR="00B34FAB" w:rsidRDefault="00B34FAB" w:rsidP="00B34FAB">
      <w:pPr>
        <w:pStyle w:val="BodyText1"/>
      </w:pPr>
      <w:r w:rsidRPr="0053053A">
        <w:t xml:space="preserve">Where there is a maturity mismatch, a guarantee may only be recognised </w:t>
      </w:r>
      <w:r w:rsidR="00A00D85">
        <w:t xml:space="preserve">as eligible CRM </w:t>
      </w:r>
      <w:r w:rsidRPr="0053053A">
        <w:t>where the original maturity of the guarantee is greater than or equal to 12 months</w:t>
      </w:r>
      <w:r>
        <w:t xml:space="preserve"> and the residual maturity is greater than or equal to 3 months</w:t>
      </w:r>
      <w:r w:rsidRPr="0053053A">
        <w:t xml:space="preserve">. </w:t>
      </w:r>
    </w:p>
    <w:p w14:paraId="4F7C8708" w14:textId="77777777" w:rsidR="00B34FAB" w:rsidRPr="0053053A" w:rsidRDefault="00B34FAB" w:rsidP="00B34FAB">
      <w:pPr>
        <w:pStyle w:val="BodyText1"/>
      </w:pPr>
      <w:r w:rsidRPr="0053053A">
        <w:t>Where credit protection provided by a single guarantor to the same underlying exposure has different maturities, an ADI must divide the exposure into separate covered portions for risk-weighting purposes.</w:t>
      </w:r>
    </w:p>
    <w:p w14:paraId="4FF2A949" w14:textId="002DF1FA" w:rsidR="004049A1" w:rsidRDefault="004049A1" w:rsidP="004049A1">
      <w:pPr>
        <w:pStyle w:val="BodyText1"/>
      </w:pPr>
      <w:r>
        <w:t>For the purposes of determining maturity:</w:t>
      </w:r>
    </w:p>
    <w:p w14:paraId="5F74812C" w14:textId="17FAA79B" w:rsidR="00FF7C07" w:rsidRDefault="004049A1" w:rsidP="009A67DE">
      <w:pPr>
        <w:pStyle w:val="BodyText2"/>
      </w:pPr>
      <w:r>
        <w:t>the effective maturity of the underlying exposure must be calculated using</w:t>
      </w:r>
      <w:r w:rsidRPr="0053053A">
        <w:t xml:space="preserve"> the longest possible remaining time before the counterparty is scheduled to fulfil its obligation</w:t>
      </w:r>
      <w:r w:rsidR="00FF7C07">
        <w:t>; and</w:t>
      </w:r>
    </w:p>
    <w:p w14:paraId="27A01EE4" w14:textId="2711AF1B" w:rsidR="004049A1" w:rsidRPr="0053053A" w:rsidRDefault="00FF7C07" w:rsidP="009A67DE">
      <w:pPr>
        <w:pStyle w:val="BodyText2"/>
      </w:pPr>
      <w:r>
        <w:rPr>
          <w:rFonts w:eastAsia="Times New Roman"/>
        </w:rPr>
        <w:t xml:space="preserve">for the </w:t>
      </w:r>
      <w:r w:rsidR="004049A1" w:rsidRPr="0053053A">
        <w:t>guarantee, an ADI must take into account any clause</w:t>
      </w:r>
      <w:r>
        <w:t xml:space="preserve"> or incentive</w:t>
      </w:r>
      <w:r w:rsidR="004049A1" w:rsidRPr="0053053A">
        <w:t xml:space="preserve"> within the documentation supporting the transaction that may reduce its maturity so that the shortest possible effective maturity is used. </w:t>
      </w:r>
    </w:p>
    <w:p w14:paraId="2103D073" w14:textId="626ACF8A" w:rsidR="00B34FAB" w:rsidRPr="00B87D92" w:rsidRDefault="00B34FAB" w:rsidP="00B34FAB">
      <w:pPr>
        <w:pStyle w:val="BodyText1"/>
      </w:pPr>
      <w:r w:rsidRPr="00B87D92">
        <w:lastRenderedPageBreak/>
        <w:t>Where there is a maturity mismatch</w:t>
      </w:r>
      <w:r>
        <w:t>,</w:t>
      </w:r>
      <w:r w:rsidRPr="00B87D92">
        <w:t xml:space="preserve"> an ADI must apply the following adjustment:</w:t>
      </w:r>
    </w:p>
    <w:p w14:paraId="5FA0781A" w14:textId="1484FB99" w:rsidR="00EA67A4" w:rsidRPr="0029642F" w:rsidRDefault="00EA67A4" w:rsidP="0029642F">
      <w:pPr>
        <w:spacing w:after="0"/>
        <w:ind w:left="3261" w:hanging="142"/>
        <w:rPr>
          <w:rFonts w:eastAsia="Times New Roman"/>
        </w:rPr>
      </w:pPr>
      <w:r w:rsidRPr="00EA67A4">
        <w:rPr>
          <w:noProof/>
        </w:rPr>
        <w:drawing>
          <wp:inline distT="0" distB="0" distL="0" distR="0" wp14:anchorId="31F09127" wp14:editId="7D7A2ED8">
            <wp:extent cx="1611630" cy="414021"/>
            <wp:effectExtent l="0" t="0" r="0" b="0"/>
            <wp:docPr id="9" name="Picture 9" descr="Start formula P subscript a equals P times start fraction t minus 0.25 over T minus 0.25 end fraction end formul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Start formula P subscript a equals P times start fraction t minus 0.25 over T minus 0.25 end fraction end formula. "/>
                    <pic:cNvPicPr>
                      <a:picLocks noChangeAspect="1" noChangeArrowheads="1"/>
                    </pic:cNvPicPr>
                  </pic:nvPicPr>
                  <pic:blipFill rotWithShape="1">
                    <a:blip r:embed="rId37" cstate="print">
                      <a:extLst>
                        <a:ext uri="{28A0092B-C50C-407E-A947-70E740481C1C}">
                          <a14:useLocalDpi xmlns:a14="http://schemas.microsoft.com/office/drawing/2010/main" val="0"/>
                        </a:ext>
                      </a:extLst>
                    </a:blip>
                    <a:srcRect l="38912" r="30540" b="17219"/>
                    <a:stretch/>
                  </pic:blipFill>
                  <pic:spPr bwMode="auto">
                    <a:xfrm>
                      <a:off x="0" y="0"/>
                      <a:ext cx="1618742" cy="415848"/>
                    </a:xfrm>
                    <a:prstGeom prst="rect">
                      <a:avLst/>
                    </a:prstGeom>
                    <a:noFill/>
                    <a:ln>
                      <a:noFill/>
                    </a:ln>
                    <a:extLst>
                      <a:ext uri="{53640926-AAD7-44D8-BBD7-CCE9431645EC}">
                        <a14:shadowObscured xmlns:a14="http://schemas.microsoft.com/office/drawing/2010/main"/>
                      </a:ext>
                    </a:extLst>
                  </pic:spPr>
                </pic:pic>
              </a:graphicData>
            </a:graphic>
          </wp:inline>
        </w:drawing>
      </w:r>
    </w:p>
    <w:p w14:paraId="57236290" w14:textId="77777777" w:rsidR="00B34FAB" w:rsidRDefault="00B34FAB" w:rsidP="00B34FAB">
      <w:pPr>
        <w:ind w:firstLine="567"/>
      </w:pPr>
      <w:r w:rsidRPr="00B87D92">
        <w:t>where:</w:t>
      </w:r>
    </w:p>
    <w:p w14:paraId="03891591" w14:textId="1A5E6182" w:rsidR="00B34FAB" w:rsidRPr="00B87D92" w:rsidRDefault="00B34FAB" w:rsidP="00C81539">
      <w:pPr>
        <w:ind w:left="567" w:firstLine="567"/>
      </w:pPr>
      <w:r w:rsidRPr="005B50EE">
        <w:rPr>
          <w:i/>
        </w:rPr>
        <w:t>P</w:t>
      </w:r>
      <w:r w:rsidRPr="005B50EE">
        <w:rPr>
          <w:i/>
          <w:vertAlign w:val="subscript"/>
        </w:rPr>
        <w:t>a</w:t>
      </w:r>
      <w:r w:rsidRPr="00B87D92">
        <w:tab/>
        <w:t>=</w:t>
      </w:r>
      <w:r w:rsidR="00750DCF">
        <w:tab/>
      </w:r>
      <w:r w:rsidRPr="00B87D92">
        <w:t xml:space="preserve">value of the </w:t>
      </w:r>
      <w:r w:rsidR="00FF7C07">
        <w:t>guarantee</w:t>
      </w:r>
      <w:r w:rsidR="00FF7C07" w:rsidRPr="00B87D92">
        <w:t xml:space="preserve"> </w:t>
      </w:r>
      <w:r w:rsidRPr="00B87D92">
        <w:t>adjusted for maturity mismatch</w:t>
      </w:r>
    </w:p>
    <w:p w14:paraId="3D0D1AB1" w14:textId="5714FAEE" w:rsidR="00B34FAB" w:rsidRPr="00B87D92" w:rsidRDefault="00B34FAB" w:rsidP="00DE6106">
      <w:pPr>
        <w:ind w:left="1701" w:hanging="567"/>
        <w:jc w:val="both"/>
      </w:pPr>
      <w:r w:rsidRPr="005B50EE">
        <w:rPr>
          <w:i/>
        </w:rPr>
        <w:t>P</w:t>
      </w:r>
      <w:r w:rsidRPr="00B87D92">
        <w:tab/>
        <w:t>=</w:t>
      </w:r>
      <w:r w:rsidR="00750DCF">
        <w:tab/>
      </w:r>
      <w:r w:rsidR="00FF7C07" w:rsidRPr="00FF7C07">
        <w:t xml:space="preserve">guarantee amount adjusted for any haircuts (in which case, </w:t>
      </w:r>
      <w:r w:rsidR="00AB6196">
        <w:br/>
        <w:t xml:space="preserve">          </w:t>
      </w:r>
      <w:r w:rsidR="00FF7C07" w:rsidRPr="0007789D">
        <w:rPr>
          <w:i/>
        </w:rPr>
        <w:t xml:space="preserve">P </w:t>
      </w:r>
      <w:r w:rsidR="00FF7C07" w:rsidRPr="00FF7C07">
        <w:t xml:space="preserve">= </w:t>
      </w:r>
      <w:r w:rsidR="00FF7C07" w:rsidRPr="0007789D">
        <w:rPr>
          <w:i/>
        </w:rPr>
        <w:t>G</w:t>
      </w:r>
      <w:r w:rsidR="00FF7C07" w:rsidRPr="0007789D">
        <w:rPr>
          <w:i/>
          <w:vertAlign w:val="subscript"/>
        </w:rPr>
        <w:t>a</w:t>
      </w:r>
      <w:r w:rsidR="00FF7C07" w:rsidRPr="0007789D">
        <w:rPr>
          <w:i/>
        </w:rPr>
        <w:t xml:space="preserve"> </w:t>
      </w:r>
      <w:r w:rsidR="00FF7C07" w:rsidRPr="00FF7C07">
        <w:t xml:space="preserve">as determined in </w:t>
      </w:r>
      <w:r w:rsidR="008D497A" w:rsidRPr="008D497A">
        <w:t xml:space="preserve">paragraph </w:t>
      </w:r>
      <w:r w:rsidR="008D497A" w:rsidRPr="008D497A">
        <w:fldChar w:fldCharType="begin"/>
      </w:r>
      <w:r w:rsidR="008D497A" w:rsidRPr="008D497A">
        <w:instrText xml:space="preserve"> REF _Ref460431314 \r \h </w:instrText>
      </w:r>
      <w:r w:rsidR="008D497A">
        <w:instrText xml:space="preserve"> \* MERGEFORMAT </w:instrText>
      </w:r>
      <w:r w:rsidR="008D497A" w:rsidRPr="008D497A">
        <w:fldChar w:fldCharType="separate"/>
      </w:r>
      <w:r w:rsidR="0007706D">
        <w:t>9</w:t>
      </w:r>
      <w:r w:rsidR="008D497A" w:rsidRPr="008D497A">
        <w:fldChar w:fldCharType="end"/>
      </w:r>
      <w:r w:rsidR="00FF7C07" w:rsidRPr="008D497A">
        <w:t xml:space="preserve"> of this Attachment</w:t>
      </w:r>
      <w:r w:rsidR="00FF7C07" w:rsidRPr="00FF7C07">
        <w:t>)</w:t>
      </w:r>
    </w:p>
    <w:p w14:paraId="3AC5C8ED" w14:textId="6AFD7786" w:rsidR="00B34FAB" w:rsidRPr="00B87D92" w:rsidRDefault="00B34FAB" w:rsidP="00C81539">
      <w:pPr>
        <w:ind w:left="1701" w:hanging="567"/>
      </w:pPr>
      <w:r w:rsidRPr="005B50EE">
        <w:rPr>
          <w:i/>
        </w:rPr>
        <w:t>t</w:t>
      </w:r>
      <w:r w:rsidRPr="00B87D92">
        <w:tab/>
        <w:t>=</w:t>
      </w:r>
      <w:r w:rsidR="00750DCF">
        <w:tab/>
      </w:r>
      <w:r w:rsidRPr="00B87D92">
        <w:t>min (</w:t>
      </w:r>
      <w:r w:rsidRPr="0007789D">
        <w:rPr>
          <w:i/>
        </w:rPr>
        <w:t>T</w:t>
      </w:r>
      <w:r w:rsidRPr="00B87D92">
        <w:t xml:space="preserve">, residual maturity of the </w:t>
      </w:r>
      <w:r w:rsidR="009A67DE">
        <w:t>guarantee</w:t>
      </w:r>
      <w:r w:rsidRPr="00B87D92">
        <w:t>) expressed in years</w:t>
      </w:r>
    </w:p>
    <w:p w14:paraId="50B9F0A8" w14:textId="0689217F" w:rsidR="00B34FAB" w:rsidRPr="00B87D92" w:rsidRDefault="00B34FAB" w:rsidP="00C81539">
      <w:pPr>
        <w:ind w:left="567" w:firstLine="567"/>
      </w:pPr>
      <w:r w:rsidRPr="005B50EE">
        <w:rPr>
          <w:i/>
        </w:rPr>
        <w:t>T</w:t>
      </w:r>
      <w:r w:rsidRPr="00B87D92">
        <w:tab/>
        <w:t>=</w:t>
      </w:r>
      <w:r w:rsidR="00750DCF">
        <w:tab/>
      </w:r>
      <w:r w:rsidRPr="00B87D92">
        <w:t>min (5, residual maturity of the exposure) expressed in years.</w:t>
      </w:r>
    </w:p>
    <w:p w14:paraId="6B10FB6A" w14:textId="77777777" w:rsidR="00E56793" w:rsidRPr="00E56793" w:rsidRDefault="00E56793" w:rsidP="00E56793">
      <w:pPr>
        <w:pStyle w:val="BodyText1"/>
        <w:numPr>
          <w:ilvl w:val="0"/>
          <w:numId w:val="0"/>
        </w:numPr>
        <w:ind w:left="567" w:hanging="567"/>
      </w:pPr>
    </w:p>
    <w:p w14:paraId="058A11F0" w14:textId="77777777" w:rsidR="00E56793" w:rsidRPr="008F685A" w:rsidRDefault="00E56793" w:rsidP="00E56793">
      <w:pPr>
        <w:sectPr w:rsidR="00E56793" w:rsidRPr="008F685A" w:rsidSect="000D63A8">
          <w:footerReference w:type="default" r:id="rId38"/>
          <w:pgSz w:w="11906" w:h="16838" w:code="9"/>
          <w:pgMar w:top="1440" w:right="1797" w:bottom="1440" w:left="1797" w:header="709" w:footer="709" w:gutter="0"/>
          <w:cols w:space="708"/>
          <w:docGrid w:linePitch="360"/>
        </w:sectPr>
      </w:pPr>
    </w:p>
    <w:p w14:paraId="1CDEE48E" w14:textId="7F875406" w:rsidR="00E56793" w:rsidRDefault="00E56793" w:rsidP="00E56793">
      <w:pPr>
        <w:pStyle w:val="Heading2"/>
      </w:pPr>
      <w:bookmarkStart w:id="228" w:name="_Toc87376649"/>
      <w:r>
        <w:lastRenderedPageBreak/>
        <w:t xml:space="preserve">Attachment </w:t>
      </w:r>
      <w:r>
        <w:rPr>
          <w:rStyle w:val="Attachmentfieldtext"/>
        </w:rPr>
        <w:t xml:space="preserve">J – </w:t>
      </w:r>
      <w:r>
        <w:t>Credit derivatives</w:t>
      </w:r>
      <w:bookmarkEnd w:id="228"/>
    </w:p>
    <w:p w14:paraId="5F1E929C" w14:textId="6B6C2DD7" w:rsidR="00873F30" w:rsidRPr="00873F30" w:rsidRDefault="00873F30" w:rsidP="00873F30">
      <w:pPr>
        <w:pStyle w:val="Heading1"/>
      </w:pPr>
      <w:bookmarkStart w:id="229" w:name="_Toc4489914"/>
      <w:r>
        <w:t>Purchased credit protection</w:t>
      </w:r>
      <w:bookmarkEnd w:id="229"/>
    </w:p>
    <w:p w14:paraId="5E3081AA" w14:textId="5B3006CC" w:rsidR="006B09F3" w:rsidRDefault="00BA5520" w:rsidP="000A4BE9">
      <w:pPr>
        <w:pStyle w:val="BodyText1"/>
        <w:numPr>
          <w:ilvl w:val="0"/>
          <w:numId w:val="10"/>
        </w:numPr>
      </w:pPr>
      <w:r w:rsidRPr="00BA5520">
        <w:t>Where an</w:t>
      </w:r>
      <w:r w:rsidR="006B09F3">
        <w:t xml:space="preserve"> ADI purchases credit protection through an eligible credit derivative, it may substitute the risk weight of the counterparty with the risk weight of the credit protection seller for the covered portion of the exposure.</w:t>
      </w:r>
      <w:r w:rsidR="006703C8" w:rsidRPr="00275842">
        <w:rPr>
          <w:vertAlign w:val="superscript"/>
        </w:rPr>
        <w:footnoteReference w:id="33"/>
      </w:r>
      <w:r w:rsidR="006B09F3">
        <w:t xml:space="preserve"> The uncovered portion of the exposure must be risk-weighted according to the risk weight applicable to the original counterparty.</w:t>
      </w:r>
    </w:p>
    <w:p w14:paraId="0AF6CEA7" w14:textId="67A77999" w:rsidR="00275842" w:rsidRPr="00275842" w:rsidRDefault="00275842" w:rsidP="000A4BE9">
      <w:pPr>
        <w:pStyle w:val="BodyText1"/>
        <w:numPr>
          <w:ilvl w:val="0"/>
          <w:numId w:val="10"/>
        </w:numPr>
      </w:pPr>
      <w:r w:rsidRPr="00275842">
        <w:t xml:space="preserve">For the purposes of </w:t>
      </w:r>
      <w:r w:rsidR="00FE240E">
        <w:t>CRM</w:t>
      </w:r>
      <w:r w:rsidR="006B09F3">
        <w:t xml:space="preserve">, </w:t>
      </w:r>
      <w:r w:rsidR="003B6B15">
        <w:t>eligible</w:t>
      </w:r>
      <w:r w:rsidR="00FE240E">
        <w:t xml:space="preserve"> </w:t>
      </w:r>
      <w:r w:rsidRPr="00275842">
        <w:t>credit derivatives</w:t>
      </w:r>
      <w:r w:rsidR="003B6B15">
        <w:t xml:space="preserve"> are limited to</w:t>
      </w:r>
      <w:r w:rsidRPr="00275842">
        <w:t>:</w:t>
      </w:r>
    </w:p>
    <w:p w14:paraId="1D3EC375" w14:textId="54E1C6AF" w:rsidR="00FE240E" w:rsidRDefault="00275842" w:rsidP="00F63864">
      <w:pPr>
        <w:pStyle w:val="BodyText2"/>
      </w:pPr>
      <w:r w:rsidRPr="00275842">
        <w:t>single-name credit-default</w:t>
      </w:r>
      <w:r w:rsidR="00FE240E">
        <w:t xml:space="preserve"> swaps;</w:t>
      </w:r>
      <w:r w:rsidRPr="00275842">
        <w:t xml:space="preserve"> and </w:t>
      </w:r>
    </w:p>
    <w:p w14:paraId="325DE793" w14:textId="77777777" w:rsidR="00515CE8" w:rsidRDefault="00275842" w:rsidP="00F63864">
      <w:pPr>
        <w:pStyle w:val="BodyText2"/>
      </w:pPr>
      <w:r w:rsidRPr="00275842">
        <w:t>certain total-rate-of-return swaps</w:t>
      </w:r>
      <w:r w:rsidR="00FE240E">
        <w:t>.</w:t>
      </w:r>
    </w:p>
    <w:p w14:paraId="396296AA" w14:textId="6E06BCC3" w:rsidR="00275842" w:rsidRDefault="00515CE8" w:rsidP="004A72F9">
      <w:pPr>
        <w:ind w:left="567"/>
        <w:jc w:val="both"/>
      </w:pPr>
      <w:r>
        <w:t>Where an ADI purchases credit protection through a total-rate-of-return swap and records the net payments received on the swap as net income, but does not record offsetting deterioration in the value of the asset that is protected</w:t>
      </w:r>
      <w:r w:rsidR="004A72F9">
        <w:t xml:space="preserve"> (either through reductions in fair value or by an addition to reserves), the credit protection must not be recognised.</w:t>
      </w:r>
    </w:p>
    <w:p w14:paraId="5981FA87" w14:textId="1462B6BB" w:rsidR="004A72F9" w:rsidRPr="00275842" w:rsidRDefault="004A72F9" w:rsidP="004A72F9">
      <w:pPr>
        <w:pStyle w:val="BodyText1"/>
      </w:pPr>
      <w:r>
        <w:t>Cash-funded credit linked notes issued by an ADI against exposures in the banking book that satisfy the minimum requirements for credit derivatives</w:t>
      </w:r>
      <w:r w:rsidR="00F05598">
        <w:t xml:space="preserve"> as detailed in this Attachment (with the exception of eligible credit protection providers set out in </w:t>
      </w:r>
      <w:r w:rsidR="00F05598" w:rsidRPr="008D497A">
        <w:t>par</w:t>
      </w:r>
      <w:r w:rsidR="008D497A" w:rsidRPr="008D497A">
        <w:t xml:space="preserve">agraph </w:t>
      </w:r>
      <w:r w:rsidR="008D497A" w:rsidRPr="008D497A">
        <w:fldChar w:fldCharType="begin"/>
      </w:r>
      <w:r w:rsidR="008D497A" w:rsidRPr="008D497A">
        <w:instrText xml:space="preserve"> REF _Ref3790351 \r \h </w:instrText>
      </w:r>
      <w:r w:rsidR="008D497A">
        <w:instrText xml:space="preserve"> \* MERGEFORMAT </w:instrText>
      </w:r>
      <w:r w:rsidR="008D497A" w:rsidRPr="008D497A">
        <w:fldChar w:fldCharType="separate"/>
      </w:r>
      <w:r w:rsidR="0007706D">
        <w:t>12</w:t>
      </w:r>
      <w:r w:rsidR="008D497A" w:rsidRPr="008D497A">
        <w:fldChar w:fldCharType="end"/>
      </w:r>
      <w:r w:rsidR="00FB0457">
        <w:t xml:space="preserve"> of this Attachment</w:t>
      </w:r>
      <w:r w:rsidR="00F05598" w:rsidRPr="008D497A">
        <w:t>)</w:t>
      </w:r>
      <w:r w:rsidRPr="008D497A">
        <w:t xml:space="preserve"> may be treated as cash-collateralised transactions</w:t>
      </w:r>
      <w:r w:rsidR="00A07345" w:rsidRPr="008D497A">
        <w:t xml:space="preserve"> under Attachment G</w:t>
      </w:r>
      <w:r w:rsidR="00A07345">
        <w:t xml:space="preserve"> to this Prudential Standard</w:t>
      </w:r>
      <w:r>
        <w:t xml:space="preserve">. </w:t>
      </w:r>
    </w:p>
    <w:p w14:paraId="71941101" w14:textId="717B6B0B" w:rsidR="00275842" w:rsidRPr="00275842" w:rsidRDefault="00275842" w:rsidP="000A4BE9">
      <w:pPr>
        <w:numPr>
          <w:ilvl w:val="0"/>
          <w:numId w:val="4"/>
        </w:numPr>
        <w:jc w:val="both"/>
        <w:rPr>
          <w:rFonts w:eastAsia="Times New Roman"/>
        </w:rPr>
      </w:pPr>
      <w:r w:rsidRPr="00275842">
        <w:rPr>
          <w:rFonts w:eastAsia="Times New Roman"/>
        </w:rPr>
        <w:t xml:space="preserve">Where an ADI buys credit protection through a credit derivative that forms part of a synthetic securitisation, </w:t>
      </w:r>
      <w:r w:rsidR="00893C93">
        <w:rPr>
          <w:rFonts w:eastAsia="Times New Roman"/>
        </w:rPr>
        <w:t>the requirements detailed in</w:t>
      </w:r>
      <w:r w:rsidRPr="00275842">
        <w:rPr>
          <w:rFonts w:eastAsia="Times New Roman"/>
        </w:rPr>
        <w:t xml:space="preserve"> APS</w:t>
      </w:r>
      <w:r w:rsidR="002F23A7">
        <w:rPr>
          <w:rFonts w:eastAsia="Times New Roman"/>
        </w:rPr>
        <w:t> </w:t>
      </w:r>
      <w:r w:rsidRPr="00275842">
        <w:rPr>
          <w:rFonts w:eastAsia="Times New Roman"/>
        </w:rPr>
        <w:t>120</w:t>
      </w:r>
      <w:r w:rsidR="000625A2">
        <w:rPr>
          <w:rFonts w:eastAsia="Times New Roman"/>
        </w:rPr>
        <w:t xml:space="preserve"> apply</w:t>
      </w:r>
      <w:r w:rsidRPr="00275842">
        <w:rPr>
          <w:rFonts w:eastAsia="Times New Roman"/>
        </w:rPr>
        <w:t>.</w:t>
      </w:r>
    </w:p>
    <w:p w14:paraId="4FE13A06" w14:textId="22B31482" w:rsidR="00FA3E9D" w:rsidRPr="00551BC1" w:rsidRDefault="00FA3E9D" w:rsidP="00551BC1">
      <w:pPr>
        <w:pStyle w:val="Heading3"/>
      </w:pPr>
      <w:r w:rsidRPr="00551BC1">
        <w:t>Minimum requirements</w:t>
      </w:r>
    </w:p>
    <w:p w14:paraId="4EAAE8EF" w14:textId="28444F09" w:rsidR="00FA3E9D" w:rsidRPr="0053053A" w:rsidRDefault="002E404E" w:rsidP="000A4BE9">
      <w:pPr>
        <w:pStyle w:val="BodyText1"/>
        <w:numPr>
          <w:ilvl w:val="0"/>
          <w:numId w:val="3"/>
        </w:numPr>
      </w:pPr>
      <w:bookmarkStart w:id="230" w:name="_Ref3790795"/>
      <w:r>
        <w:t>To</w:t>
      </w:r>
      <w:r w:rsidR="00FA3E9D">
        <w:t xml:space="preserve"> be recognised as eligible CRM, a credit derivative must:</w:t>
      </w:r>
      <w:bookmarkEnd w:id="230"/>
    </w:p>
    <w:p w14:paraId="1EC3F852" w14:textId="117A2E8A" w:rsidR="0040282B" w:rsidRDefault="00FA3E9D" w:rsidP="000A4BE9">
      <w:pPr>
        <w:numPr>
          <w:ilvl w:val="1"/>
          <w:numId w:val="3"/>
        </w:numPr>
        <w:jc w:val="both"/>
      </w:pPr>
      <w:r w:rsidRPr="00275842">
        <w:t>represent a direct claim on the protection seller</w:t>
      </w:r>
      <w:r w:rsidR="0040282B">
        <w:t>;</w:t>
      </w:r>
    </w:p>
    <w:p w14:paraId="1F2CF927" w14:textId="2D0C8520" w:rsidR="0040282B" w:rsidRPr="0053053A" w:rsidRDefault="00096C51" w:rsidP="000A4BE9">
      <w:pPr>
        <w:pStyle w:val="BodyText2"/>
        <w:numPr>
          <w:ilvl w:val="1"/>
          <w:numId w:val="3"/>
        </w:numPr>
      </w:pPr>
      <w:r>
        <w:t>be</w:t>
      </w:r>
      <w:r w:rsidR="0040282B" w:rsidRPr="0053053A">
        <w:t xml:space="preserve"> explicitly referenced to specific exposures or a pool of exposures, so that the extent of the cover is clearly defined and incontrovertible;</w:t>
      </w:r>
    </w:p>
    <w:p w14:paraId="602F4954" w14:textId="4783A854" w:rsidR="0040282B" w:rsidRDefault="00FA3E9D" w:rsidP="000A4BE9">
      <w:pPr>
        <w:numPr>
          <w:ilvl w:val="1"/>
          <w:numId w:val="3"/>
        </w:numPr>
        <w:jc w:val="both"/>
      </w:pPr>
      <w:r w:rsidRPr="00275842">
        <w:t>be irrevocable</w:t>
      </w:r>
      <w:r w:rsidR="0040282B">
        <w:t>, except in the case of non-payment by a protection purchaser of money due in respect of the credit protection contract. The credit derivative</w:t>
      </w:r>
      <w:r w:rsidR="0040282B" w:rsidRPr="00275842">
        <w:t xml:space="preserve"> </w:t>
      </w:r>
      <w:r w:rsidR="0040282B">
        <w:t>contract</w:t>
      </w:r>
      <w:r w:rsidR="00150DFD">
        <w:t xml:space="preserve"> </w:t>
      </w:r>
      <w:r w:rsidRPr="00275842">
        <w:t xml:space="preserve">must </w:t>
      </w:r>
      <w:r w:rsidR="0040282B">
        <w:t>not include any</w:t>
      </w:r>
      <w:r w:rsidRPr="00275842">
        <w:t xml:space="preserve"> clause that would allow the protection seller to </w:t>
      </w:r>
      <w:r w:rsidR="00476AC6">
        <w:t xml:space="preserve">unilaterally </w:t>
      </w:r>
      <w:r w:rsidRPr="00275842">
        <w:t>cancel the protection of the credit derivative</w:t>
      </w:r>
      <w:r w:rsidR="00476AC6">
        <w:t xml:space="preserve">, </w:t>
      </w:r>
      <w:r w:rsidR="00476AC6">
        <w:lastRenderedPageBreak/>
        <w:t>or that would increase the effective cost of cover as a result of deteriorating credit quality in the hedged exposure</w:t>
      </w:r>
      <w:r w:rsidR="00150DFD">
        <w:t>;</w:t>
      </w:r>
      <w:r w:rsidRPr="00275842">
        <w:rPr>
          <w:vertAlign w:val="superscript"/>
        </w:rPr>
        <w:footnoteReference w:id="34"/>
      </w:r>
      <w:r w:rsidRPr="00275842">
        <w:t xml:space="preserve"> </w:t>
      </w:r>
    </w:p>
    <w:p w14:paraId="7235773B" w14:textId="227468A9" w:rsidR="00FA3E9D" w:rsidRDefault="00FA3E9D" w:rsidP="000A4BE9">
      <w:pPr>
        <w:numPr>
          <w:ilvl w:val="1"/>
          <w:numId w:val="3"/>
        </w:numPr>
        <w:jc w:val="both"/>
      </w:pPr>
      <w:r w:rsidRPr="00275842">
        <w:t>be unconditional</w:t>
      </w:r>
      <w:r w:rsidR="00B51F8D">
        <w:t>.</w:t>
      </w:r>
      <w:r w:rsidR="00B51F8D" w:rsidRPr="00275842">
        <w:t xml:space="preserve"> </w:t>
      </w:r>
      <w:r w:rsidR="00B51F8D">
        <w:t>The credit derivative contract</w:t>
      </w:r>
      <w:r w:rsidR="00B51F8D" w:rsidRPr="00275842">
        <w:t xml:space="preserve"> </w:t>
      </w:r>
      <w:r w:rsidRPr="00275842">
        <w:t xml:space="preserve">must </w:t>
      </w:r>
      <w:r w:rsidR="00B51F8D">
        <w:t>not include any clauses that are</w:t>
      </w:r>
      <w:r w:rsidRPr="00275842">
        <w:t xml:space="preserve"> outside the direct control of the ADI</w:t>
      </w:r>
      <w:r w:rsidR="00B51F8D">
        <w:t>,</w:t>
      </w:r>
      <w:r w:rsidRPr="00275842">
        <w:t xml:space="preserve"> and the credit events specified in the contract </w:t>
      </w:r>
      <w:r w:rsidR="00B51F8D">
        <w:t>must not</w:t>
      </w:r>
      <w:r w:rsidRPr="00275842">
        <w:t xml:space="preserve"> prevent the protection seller from being obliged to pay out in a timely manner in the event that the </w:t>
      </w:r>
      <w:r w:rsidR="007D022F">
        <w:t>borrower</w:t>
      </w:r>
      <w:r w:rsidRPr="00275842">
        <w:t xml:space="preserve"> </w:t>
      </w:r>
      <w:r w:rsidR="007D022F">
        <w:t xml:space="preserve">of </w:t>
      </w:r>
      <w:r w:rsidRPr="00275842">
        <w:t>the underlying exposure fails to make the due payment(s);</w:t>
      </w:r>
    </w:p>
    <w:p w14:paraId="7E9FE934" w14:textId="1AC8192C" w:rsidR="009869D2" w:rsidRPr="009869D2" w:rsidRDefault="0099573B" w:rsidP="003C7CE5">
      <w:pPr>
        <w:pStyle w:val="BodyText2"/>
      </w:pPr>
      <w:r>
        <w:t xml:space="preserve">at a minimum, specify </w:t>
      </w:r>
      <w:r w:rsidR="009869D2">
        <w:t>the</w:t>
      </w:r>
      <w:r>
        <w:t xml:space="preserve"> following as</w:t>
      </w:r>
      <w:r w:rsidR="009869D2" w:rsidRPr="009869D2">
        <w:t xml:space="preserve"> credit events</w:t>
      </w:r>
      <w:r w:rsidR="009869D2">
        <w:t xml:space="preserve"> </w:t>
      </w:r>
      <w:r w:rsidR="009869D2" w:rsidRPr="009869D2">
        <w:t>under the terms of the credit derivative contract:</w:t>
      </w:r>
    </w:p>
    <w:p w14:paraId="57C2782F" w14:textId="74AA80D2" w:rsidR="009869D2" w:rsidRDefault="00FB0457" w:rsidP="003C7CE5">
      <w:pPr>
        <w:pStyle w:val="BodyText3"/>
      </w:pPr>
      <w:r>
        <w:t xml:space="preserve">the </w:t>
      </w:r>
      <w:r w:rsidR="009869D2">
        <w:t xml:space="preserve">failure to pay an amount due under the terms of the underlying exposure that is in effect at the time of such failure; </w:t>
      </w:r>
    </w:p>
    <w:p w14:paraId="5A898C7F" w14:textId="097A5E11" w:rsidR="009869D2" w:rsidRDefault="009869D2" w:rsidP="003C7CE5">
      <w:pPr>
        <w:pStyle w:val="BodyText3"/>
      </w:pPr>
      <w:r>
        <w:t xml:space="preserve">the bankruptcy, insolvency or inability of the </w:t>
      </w:r>
      <w:r w:rsidR="007D022F">
        <w:t>borrower</w:t>
      </w:r>
      <w:r>
        <w:t xml:space="preserve"> of the underlying exposure to pay its debts, or its failure or admission in writing of its inability generally to pay its debts as those debts become due, or analogous events; and</w:t>
      </w:r>
    </w:p>
    <w:p w14:paraId="69DFD3C7" w14:textId="1F46B186" w:rsidR="009869D2" w:rsidRDefault="009869D2" w:rsidP="003C7CE5">
      <w:pPr>
        <w:pStyle w:val="BodyText3"/>
      </w:pPr>
      <w:r>
        <w:t xml:space="preserve">subject to </w:t>
      </w:r>
      <w:r w:rsidRPr="008D497A">
        <w:t>paragraph</w:t>
      </w:r>
      <w:r w:rsidR="008D497A" w:rsidRPr="008D497A">
        <w:t xml:space="preserve"> </w:t>
      </w:r>
      <w:r w:rsidR="00821FA6">
        <w:t>9</w:t>
      </w:r>
      <w:r w:rsidRPr="008D497A">
        <w:t xml:space="preserve"> of this Attachment,</w:t>
      </w:r>
      <w:r>
        <w:t xml:space="preserve"> the restructuring of the underlying exposure</w:t>
      </w:r>
      <w:r w:rsidR="0080647B">
        <w:t xml:space="preserve">, including </w:t>
      </w:r>
      <w:r>
        <w:t>any forgiveness or postponement of principal, interest or fees that results in</w:t>
      </w:r>
      <w:r w:rsidR="00487728">
        <w:t xml:space="preserve"> a credit loss event (i.e.</w:t>
      </w:r>
      <w:r>
        <w:t xml:space="preserve"> </w:t>
      </w:r>
      <w:r w:rsidR="00487728">
        <w:t>write</w:t>
      </w:r>
      <w:r>
        <w:t>-off, provision</w:t>
      </w:r>
      <w:r w:rsidR="00FC02A9">
        <w:t xml:space="preserve"> </w:t>
      </w:r>
      <w:r w:rsidR="002672BF">
        <w:t>for a defaulted exposure</w:t>
      </w:r>
      <w:r>
        <w:t xml:space="preserve"> or other similar debit to the profit and loss account of the ADI</w:t>
      </w:r>
      <w:r w:rsidR="00487728">
        <w:t>)</w:t>
      </w:r>
      <w:r w:rsidR="00DD635E">
        <w:t>;</w:t>
      </w:r>
    </w:p>
    <w:p w14:paraId="035DBCB0" w14:textId="1D5E2B06" w:rsidR="00E14C1C" w:rsidRDefault="00E14C1C" w:rsidP="003C7CE5">
      <w:pPr>
        <w:pStyle w:val="BodyText2"/>
      </w:pPr>
      <w:r>
        <w:t>not terminate prior to the expiration of any grace period required for a default on the underlying obligation to occur as a result of a failure to pay;</w:t>
      </w:r>
      <w:r w:rsidR="003571AC">
        <w:t xml:space="preserve"> and</w:t>
      </w:r>
    </w:p>
    <w:p w14:paraId="55680D57" w14:textId="77E3B7C3" w:rsidR="00FA3E9D" w:rsidRDefault="00492D84" w:rsidP="000A4BE9">
      <w:pPr>
        <w:numPr>
          <w:ilvl w:val="1"/>
          <w:numId w:val="3"/>
        </w:numPr>
        <w:jc w:val="both"/>
      </w:pPr>
      <w:r>
        <w:t>clearly</w:t>
      </w:r>
      <w:r w:rsidR="00FA3E9D" w:rsidRPr="00275842">
        <w:t xml:space="preserve"> identify those parties responsible for determining whether a credit event has occurred. This determination must not be the sole </w:t>
      </w:r>
      <w:r w:rsidR="007D60DF">
        <w:t>right o</w:t>
      </w:r>
      <w:r w:rsidR="00FA3E9D" w:rsidRPr="00275842">
        <w:t>f the protection seller. An ADI buying the credit protection must have the right</w:t>
      </w:r>
      <w:r w:rsidR="003B0E27">
        <w:t xml:space="preserve"> and ability</w:t>
      </w:r>
      <w:r w:rsidR="00FA3E9D" w:rsidRPr="00275842">
        <w:t xml:space="preserve"> to inform the protection seller of the occurrence of a credit event.</w:t>
      </w:r>
    </w:p>
    <w:p w14:paraId="4EC6EF78" w14:textId="03E6BC98" w:rsidR="003571AC" w:rsidRPr="00275842" w:rsidRDefault="003571AC" w:rsidP="003571AC">
      <w:pPr>
        <w:pStyle w:val="BodyText1"/>
      </w:pPr>
      <w:bookmarkStart w:id="231" w:name="_Ref3790411"/>
      <w:r>
        <w:t>W</w:t>
      </w:r>
      <w:r w:rsidRPr="00275842">
        <w:t>here the credit derivative is based on cash settlement, the ADI</w:t>
      </w:r>
      <w:r>
        <w:t xml:space="preserve"> must</w:t>
      </w:r>
      <w:r w:rsidRPr="00275842">
        <w:t xml:space="preserve"> </w:t>
      </w:r>
      <w:r>
        <w:t>have</w:t>
      </w:r>
      <w:r w:rsidRPr="00275842">
        <w:t xml:space="preserve"> a robust valuation process in order to</w:t>
      </w:r>
      <w:r>
        <w:t xml:space="preserve"> reliably</w:t>
      </w:r>
      <w:r w:rsidRPr="00275842">
        <w:t xml:space="preserve"> estimate losses on the reference obligation specified in the credit derivative contract, including a defined period for obtaining post credit event valuations of the reference obligation</w:t>
      </w:r>
      <w:r>
        <w:t>.</w:t>
      </w:r>
    </w:p>
    <w:p w14:paraId="40DDB745" w14:textId="539A0083" w:rsidR="003571AC" w:rsidRDefault="003571AC" w:rsidP="003571AC">
      <w:pPr>
        <w:pStyle w:val="BodyText1"/>
      </w:pPr>
      <w:bookmarkStart w:id="232" w:name="_Ref54005226"/>
      <w:r>
        <w:t>W</w:t>
      </w:r>
      <w:r w:rsidRPr="00275842">
        <w:t xml:space="preserve">here an ADI purchases credit protection and an existing credit exposure of the ADI is the deliverable obligation under the credit derivative contract, the terms of the underlying exposure must allow for its transfer to the protection seller. If the protection purchaser's right and ability to transfer the underlying obligation to the protection provider is required for settlement, the terms of the underlying </w:t>
      </w:r>
      <w:r w:rsidRPr="00275842">
        <w:lastRenderedPageBreak/>
        <w:t>obligation must provide that any required consent to such transfer may not be unreasonably withheld</w:t>
      </w:r>
      <w:r>
        <w:t>.</w:t>
      </w:r>
      <w:bookmarkEnd w:id="232"/>
    </w:p>
    <w:p w14:paraId="3DD59B78" w14:textId="226C4287" w:rsidR="00E541D4" w:rsidRPr="00275842" w:rsidRDefault="00E541D4" w:rsidP="003571AC">
      <w:pPr>
        <w:pStyle w:val="BodyText1"/>
      </w:pPr>
      <w:r w:rsidRPr="00E541D4">
        <w:t>An exception</w:t>
      </w:r>
      <w:r>
        <w:t xml:space="preserve"> to paragraph </w:t>
      </w:r>
      <w:r>
        <w:fldChar w:fldCharType="begin"/>
      </w:r>
      <w:r>
        <w:instrText xml:space="preserve"> REF _Ref54005226 \r \h </w:instrText>
      </w:r>
      <w:r>
        <w:fldChar w:fldCharType="separate"/>
      </w:r>
      <w:r w:rsidR="0007706D">
        <w:t>7</w:t>
      </w:r>
      <w:r>
        <w:fldChar w:fldCharType="end"/>
      </w:r>
      <w:r>
        <w:t xml:space="preserve"> of this Attachment</w:t>
      </w:r>
      <w:r w:rsidRPr="00E541D4">
        <w:t xml:space="preserve"> applies where there is a restriction on the transfer of the existing credit exposure and this restriction only applies in the event of restructuring. In this case</w:t>
      </w:r>
      <w:r w:rsidR="000A3073">
        <w:t>,</w:t>
      </w:r>
      <w:r w:rsidRPr="00E541D4">
        <w:t xml:space="preserve"> the limit described in paragraph </w:t>
      </w:r>
      <w:r w:rsidR="000A3073">
        <w:fldChar w:fldCharType="begin"/>
      </w:r>
      <w:r w:rsidR="000A3073">
        <w:instrText xml:space="preserve"> REF _Ref54784346 \r \h </w:instrText>
      </w:r>
      <w:r w:rsidR="000A3073">
        <w:fldChar w:fldCharType="separate"/>
      </w:r>
      <w:r w:rsidR="0007706D">
        <w:t>9</w:t>
      </w:r>
      <w:r w:rsidR="000A3073">
        <w:fldChar w:fldCharType="end"/>
      </w:r>
      <w:r w:rsidRPr="00E541D4">
        <w:t xml:space="preserve"> of this Attachment applies as if restructuring of the underlying exposure was not included within the terms of the credit derivatives contract.</w:t>
      </w:r>
    </w:p>
    <w:p w14:paraId="5AB86D83" w14:textId="14E8660A" w:rsidR="00082798" w:rsidRDefault="00691356" w:rsidP="000A4BE9">
      <w:pPr>
        <w:numPr>
          <w:ilvl w:val="0"/>
          <w:numId w:val="4"/>
        </w:numPr>
        <w:jc w:val="both"/>
        <w:rPr>
          <w:rFonts w:eastAsia="Times New Roman"/>
        </w:rPr>
      </w:pPr>
      <w:bookmarkStart w:id="233" w:name="_Ref54784346"/>
      <w:r>
        <w:rPr>
          <w:rFonts w:eastAsia="Times New Roman"/>
        </w:rPr>
        <w:t>If</w:t>
      </w:r>
      <w:r w:rsidRPr="00275842">
        <w:rPr>
          <w:rFonts w:eastAsia="Times New Roman"/>
        </w:rPr>
        <w:t xml:space="preserve"> </w:t>
      </w:r>
      <w:r w:rsidR="00082798" w:rsidRPr="00275842">
        <w:rPr>
          <w:rFonts w:eastAsia="Times New Roman"/>
        </w:rPr>
        <w:t>restructuring of the underlying exposure is not included within the terms of the credit derivative contract but</w:t>
      </w:r>
      <w:r w:rsidR="00356223">
        <w:rPr>
          <w:rFonts w:eastAsia="Times New Roman"/>
        </w:rPr>
        <w:t xml:space="preserve"> all</w:t>
      </w:r>
      <w:r w:rsidR="00082798" w:rsidRPr="00275842">
        <w:rPr>
          <w:rFonts w:eastAsia="Times New Roman"/>
        </w:rPr>
        <w:t xml:space="preserve"> </w:t>
      </w:r>
      <w:r w:rsidR="00356223">
        <w:rPr>
          <w:rFonts w:eastAsia="Times New Roman"/>
        </w:rPr>
        <w:t xml:space="preserve">other </w:t>
      </w:r>
      <w:r w:rsidR="00082798" w:rsidRPr="00275842">
        <w:rPr>
          <w:rFonts w:eastAsia="Times New Roman"/>
        </w:rPr>
        <w:t xml:space="preserve">requirements of </w:t>
      </w:r>
      <w:r w:rsidR="00082798" w:rsidRPr="009D29EB">
        <w:rPr>
          <w:rFonts w:eastAsia="Times New Roman"/>
        </w:rPr>
        <w:t>paragraph</w:t>
      </w:r>
      <w:r w:rsidR="005C13B5">
        <w:rPr>
          <w:rFonts w:eastAsia="Times New Roman"/>
        </w:rPr>
        <w:t>s</w:t>
      </w:r>
      <w:r w:rsidR="009D29EB" w:rsidRPr="009D29EB">
        <w:rPr>
          <w:rFonts w:eastAsia="Times New Roman"/>
        </w:rPr>
        <w:t xml:space="preserve"> </w:t>
      </w:r>
      <w:r w:rsidR="009D29EB" w:rsidRPr="009D29EB">
        <w:rPr>
          <w:rFonts w:eastAsia="Times New Roman"/>
        </w:rPr>
        <w:fldChar w:fldCharType="begin"/>
      </w:r>
      <w:r w:rsidR="009D29EB" w:rsidRPr="009D29EB">
        <w:rPr>
          <w:rFonts w:eastAsia="Times New Roman"/>
        </w:rPr>
        <w:instrText xml:space="preserve"> REF _Ref3790795 \r \h </w:instrText>
      </w:r>
      <w:r w:rsidR="009D29EB">
        <w:rPr>
          <w:rFonts w:eastAsia="Times New Roman"/>
        </w:rPr>
        <w:instrText xml:space="preserve"> \* MERGEFORMAT </w:instrText>
      </w:r>
      <w:r w:rsidR="009D29EB" w:rsidRPr="009D29EB">
        <w:rPr>
          <w:rFonts w:eastAsia="Times New Roman"/>
        </w:rPr>
      </w:r>
      <w:r w:rsidR="009D29EB" w:rsidRPr="009D29EB">
        <w:rPr>
          <w:rFonts w:eastAsia="Times New Roman"/>
        </w:rPr>
        <w:fldChar w:fldCharType="separate"/>
      </w:r>
      <w:r w:rsidR="0007706D">
        <w:rPr>
          <w:rFonts w:eastAsia="Times New Roman"/>
        </w:rPr>
        <w:t>5</w:t>
      </w:r>
      <w:r w:rsidR="009D29EB" w:rsidRPr="009D29EB">
        <w:rPr>
          <w:rFonts w:eastAsia="Times New Roman"/>
        </w:rPr>
        <w:fldChar w:fldCharType="end"/>
      </w:r>
      <w:r w:rsidR="005C13B5">
        <w:rPr>
          <w:rFonts w:eastAsia="Times New Roman"/>
        </w:rPr>
        <w:t xml:space="preserve"> to </w:t>
      </w:r>
      <w:r w:rsidR="005C13B5">
        <w:rPr>
          <w:rFonts w:eastAsia="Times New Roman"/>
        </w:rPr>
        <w:fldChar w:fldCharType="begin"/>
      </w:r>
      <w:r w:rsidR="005C13B5">
        <w:rPr>
          <w:rFonts w:eastAsia="Times New Roman"/>
        </w:rPr>
        <w:instrText xml:space="preserve"> REF _Ref54005226 \r \h </w:instrText>
      </w:r>
      <w:r w:rsidR="005C13B5">
        <w:rPr>
          <w:rFonts w:eastAsia="Times New Roman"/>
        </w:rPr>
      </w:r>
      <w:r w:rsidR="005C13B5">
        <w:rPr>
          <w:rFonts w:eastAsia="Times New Roman"/>
        </w:rPr>
        <w:fldChar w:fldCharType="separate"/>
      </w:r>
      <w:r w:rsidR="0007706D">
        <w:rPr>
          <w:rFonts w:eastAsia="Times New Roman"/>
        </w:rPr>
        <w:t>7</w:t>
      </w:r>
      <w:r w:rsidR="005C13B5">
        <w:rPr>
          <w:rFonts w:eastAsia="Times New Roman"/>
        </w:rPr>
        <w:fldChar w:fldCharType="end"/>
      </w:r>
      <w:r w:rsidR="00356223" w:rsidRPr="009D29EB">
        <w:rPr>
          <w:rFonts w:eastAsia="Times New Roman"/>
        </w:rPr>
        <w:t xml:space="preserve"> </w:t>
      </w:r>
      <w:r w:rsidR="00082798" w:rsidRPr="009D29EB">
        <w:rPr>
          <w:rFonts w:eastAsia="Times New Roman"/>
        </w:rPr>
        <w:t>of this Attachment</w:t>
      </w:r>
      <w:r w:rsidR="00082798" w:rsidRPr="00275842">
        <w:rPr>
          <w:rFonts w:eastAsia="Times New Roman"/>
        </w:rPr>
        <w:t xml:space="preserve"> are met, an ADI may recognise 60 per cent of the</w:t>
      </w:r>
      <w:r w:rsidR="00356223">
        <w:rPr>
          <w:rFonts w:eastAsia="Times New Roman"/>
        </w:rPr>
        <w:t xml:space="preserve"> lesser of the</w:t>
      </w:r>
      <w:r w:rsidR="00082798" w:rsidRPr="00275842">
        <w:rPr>
          <w:rFonts w:eastAsia="Times New Roman"/>
        </w:rPr>
        <w:t xml:space="preserve"> amount of the credit protection purchased </w:t>
      </w:r>
      <w:r w:rsidR="00356223">
        <w:rPr>
          <w:rFonts w:eastAsia="Times New Roman"/>
        </w:rPr>
        <w:t xml:space="preserve">and </w:t>
      </w:r>
      <w:r w:rsidR="00082798" w:rsidRPr="00275842">
        <w:rPr>
          <w:rFonts w:eastAsia="Times New Roman"/>
        </w:rPr>
        <w:t>the amount of the underlying exposure.</w:t>
      </w:r>
      <w:bookmarkEnd w:id="231"/>
      <w:bookmarkEnd w:id="233"/>
      <w:r w:rsidR="00082798" w:rsidRPr="00275842">
        <w:rPr>
          <w:rFonts w:eastAsia="Times New Roman"/>
        </w:rPr>
        <w:t xml:space="preserve"> </w:t>
      </w:r>
    </w:p>
    <w:p w14:paraId="568B263A" w14:textId="144EC6BB" w:rsidR="007A0956" w:rsidRDefault="007A0956" w:rsidP="000A4BE9">
      <w:pPr>
        <w:numPr>
          <w:ilvl w:val="0"/>
          <w:numId w:val="4"/>
        </w:numPr>
        <w:jc w:val="both"/>
        <w:rPr>
          <w:rFonts w:eastAsia="Times New Roman"/>
        </w:rPr>
      </w:pPr>
      <w:r>
        <w:rPr>
          <w:rFonts w:eastAsia="Times New Roman"/>
        </w:rPr>
        <w:t xml:space="preserve">Where there is a mismatch between the underlying obligation and the reference obligation under the credit derivative, including the obligation used for the purposes of determining the cash settlement value or the deliverable obligation, an ADI may </w:t>
      </w:r>
      <w:r w:rsidR="00770F78">
        <w:rPr>
          <w:rFonts w:eastAsia="Times New Roman"/>
        </w:rPr>
        <w:t>only</w:t>
      </w:r>
      <w:r>
        <w:rPr>
          <w:rFonts w:eastAsia="Times New Roman"/>
        </w:rPr>
        <w:t xml:space="preserve"> recognise the credit derivative as eligible CRM if the following conditions are satisfied:</w:t>
      </w:r>
    </w:p>
    <w:p w14:paraId="1875D276" w14:textId="73A57496" w:rsidR="00356223" w:rsidRPr="00275842" w:rsidRDefault="00356223" w:rsidP="000A4BE9">
      <w:pPr>
        <w:numPr>
          <w:ilvl w:val="1"/>
          <w:numId w:val="3"/>
        </w:numPr>
        <w:jc w:val="both"/>
      </w:pPr>
      <w:r w:rsidRPr="00275842">
        <w:t xml:space="preserve">the </w:t>
      </w:r>
      <w:r w:rsidR="007A0956">
        <w:t>reference obligation</w:t>
      </w:r>
      <w:r w:rsidRPr="00275842">
        <w:t xml:space="preserve"> ranks </w:t>
      </w:r>
      <w:proofErr w:type="spellStart"/>
      <w:r w:rsidRPr="00275842">
        <w:rPr>
          <w:i/>
        </w:rPr>
        <w:t>pari</w:t>
      </w:r>
      <w:proofErr w:type="spellEnd"/>
      <w:r w:rsidRPr="00275842">
        <w:rPr>
          <w:i/>
        </w:rPr>
        <w:t xml:space="preserve"> passu</w:t>
      </w:r>
      <w:r w:rsidRPr="00275842">
        <w:t xml:space="preserve"> </w:t>
      </w:r>
      <w:r w:rsidR="007A0956">
        <w:t xml:space="preserve">with, </w:t>
      </w:r>
      <w:r w:rsidRPr="00275842">
        <w:t xml:space="preserve">or </w:t>
      </w:r>
      <w:r w:rsidR="007A0956">
        <w:t xml:space="preserve">is </w:t>
      </w:r>
      <w:r w:rsidRPr="00275842">
        <w:t>junior</w:t>
      </w:r>
      <w:r w:rsidR="007A0956">
        <w:t xml:space="preserve"> to</w:t>
      </w:r>
      <w:r w:rsidRPr="00275842">
        <w:t xml:space="preserve"> the underlying </w:t>
      </w:r>
      <w:r w:rsidR="007A0956">
        <w:t>obligation</w:t>
      </w:r>
      <w:r w:rsidRPr="00275842">
        <w:t>; and</w:t>
      </w:r>
    </w:p>
    <w:p w14:paraId="7B17B33C" w14:textId="744F9F6F" w:rsidR="00356223" w:rsidRDefault="00356223" w:rsidP="000A4BE9">
      <w:pPr>
        <w:numPr>
          <w:ilvl w:val="1"/>
          <w:numId w:val="3"/>
        </w:numPr>
        <w:jc w:val="both"/>
      </w:pPr>
      <w:r w:rsidRPr="00275842">
        <w:t xml:space="preserve">the underlying </w:t>
      </w:r>
      <w:r w:rsidR="00770F78">
        <w:t xml:space="preserve">obligation and </w:t>
      </w:r>
      <w:r w:rsidRPr="00275842">
        <w:t xml:space="preserve">reference obligation </w:t>
      </w:r>
      <w:r w:rsidR="00770F78">
        <w:t xml:space="preserve">share the same obligor (i.e. the same </w:t>
      </w:r>
      <w:r w:rsidRPr="00275842">
        <w:t>legal entity</w:t>
      </w:r>
      <w:r w:rsidR="00770F78">
        <w:t>)</w:t>
      </w:r>
      <w:r w:rsidRPr="00275842">
        <w:t xml:space="preserve"> and legally enforceable cross-default or cross-acceleration clauses are in place.</w:t>
      </w:r>
    </w:p>
    <w:p w14:paraId="3E11153B" w14:textId="2CF833FB" w:rsidR="00770F78" w:rsidRDefault="00770F78" w:rsidP="00770F78">
      <w:pPr>
        <w:pStyle w:val="BodyText1"/>
      </w:pPr>
      <w:r>
        <w:t>Where there is a mismatch between the underlying obligation and the obligation used for the purposes of determining whether a credit event has occurred, an ADI may only recognise the credit derivative as eligible CRM if the following conditions are satisfied:</w:t>
      </w:r>
    </w:p>
    <w:p w14:paraId="76CCE19D" w14:textId="3B1AB431" w:rsidR="00770F78" w:rsidRDefault="003C7CE5" w:rsidP="003C7CE5">
      <w:pPr>
        <w:pStyle w:val="BodyText2"/>
      </w:pPr>
      <w:r>
        <w:t xml:space="preserve">the obligation used to determine whether a credit event has occurred ranks </w:t>
      </w:r>
      <w:proofErr w:type="spellStart"/>
      <w:r w:rsidRPr="003C7CE5">
        <w:rPr>
          <w:i/>
        </w:rPr>
        <w:t>pari</w:t>
      </w:r>
      <w:proofErr w:type="spellEnd"/>
      <w:r w:rsidRPr="003C7CE5">
        <w:rPr>
          <w:i/>
        </w:rPr>
        <w:t xml:space="preserve"> passu</w:t>
      </w:r>
      <w:r>
        <w:t xml:space="preserve"> with, or is junior to, the underlying obligation; and</w:t>
      </w:r>
    </w:p>
    <w:p w14:paraId="2A95423C" w14:textId="37D40CD8" w:rsidR="003C7CE5" w:rsidRPr="00275842" w:rsidRDefault="003C7CE5" w:rsidP="003C7CE5">
      <w:pPr>
        <w:pStyle w:val="BodyText2"/>
      </w:pPr>
      <w:r>
        <w:t xml:space="preserve">the underlying obligation and reference obligation share the same obligor (i.e. the same legal entity) and legally enforceable cross-default or cross-acceleration clauses are in place. </w:t>
      </w:r>
    </w:p>
    <w:p w14:paraId="2E26D481" w14:textId="6FAEE9DF" w:rsidR="00FA3E9D" w:rsidRDefault="00476AC6" w:rsidP="002C0B57">
      <w:pPr>
        <w:pStyle w:val="Heading3"/>
      </w:pPr>
      <w:r>
        <w:t>Eligible credit protection providers</w:t>
      </w:r>
    </w:p>
    <w:p w14:paraId="5DE8E7BE" w14:textId="38FCBC9B" w:rsidR="003B0E27" w:rsidRDefault="003B0E27" w:rsidP="003B0E27">
      <w:pPr>
        <w:pStyle w:val="BodyText1"/>
      </w:pPr>
      <w:bookmarkStart w:id="234" w:name="_Ref3790351"/>
      <w:r w:rsidRPr="003B0E27">
        <w:t>An ADI must only recognise credit protection provided by the following entities</w:t>
      </w:r>
      <w:r>
        <w:t>:</w:t>
      </w:r>
      <w:bookmarkEnd w:id="234"/>
    </w:p>
    <w:p w14:paraId="0CFAEAA3" w14:textId="77777777" w:rsidR="00082798" w:rsidRPr="00082798" w:rsidRDefault="00082798" w:rsidP="00082798">
      <w:pPr>
        <w:pStyle w:val="BodyText2"/>
      </w:pPr>
      <w:r w:rsidRPr="00082798">
        <w:t xml:space="preserve">sovereigns; </w:t>
      </w:r>
    </w:p>
    <w:p w14:paraId="11082D09" w14:textId="177ACB8B" w:rsidR="00082798" w:rsidRPr="00082798" w:rsidRDefault="00082798" w:rsidP="00082798">
      <w:pPr>
        <w:pStyle w:val="BodyText2"/>
      </w:pPr>
      <w:r w:rsidRPr="00082798">
        <w:t xml:space="preserve">banks; </w:t>
      </w:r>
    </w:p>
    <w:p w14:paraId="01B46021" w14:textId="5CFD8F5C" w:rsidR="00082798" w:rsidRPr="00356223" w:rsidRDefault="00082798" w:rsidP="00082798">
      <w:pPr>
        <w:pStyle w:val="BodyText2"/>
      </w:pPr>
      <w:r w:rsidRPr="00082798">
        <w:t xml:space="preserve">other entities that are externally rated, where credit protection is provided to a non-securitisation exposure. This </w:t>
      </w:r>
      <w:r w:rsidRPr="006703C8">
        <w:t>includes</w:t>
      </w:r>
      <w:r w:rsidR="004E6DBC">
        <w:t xml:space="preserve"> credit protection</w:t>
      </w:r>
      <w:r w:rsidRPr="006703C8">
        <w:t xml:space="preserve"> </w:t>
      </w:r>
      <w:r w:rsidR="004E6DBC">
        <w:t>p</w:t>
      </w:r>
      <w:r w:rsidRPr="006703C8">
        <w:t>rovided by pare</w:t>
      </w:r>
      <w:r w:rsidRPr="00356223">
        <w:t xml:space="preserve">nt, subsidiary and affiliate companies where they have a lower risk weight than the </w:t>
      </w:r>
      <w:r w:rsidR="007D022F">
        <w:t>borrower</w:t>
      </w:r>
      <w:r w:rsidRPr="00356223">
        <w:t xml:space="preserve">; and </w:t>
      </w:r>
    </w:p>
    <w:p w14:paraId="7FD88BC1" w14:textId="0671B4E9" w:rsidR="00082798" w:rsidRPr="00082798" w:rsidRDefault="00082798" w:rsidP="00082798">
      <w:pPr>
        <w:pStyle w:val="BodyText2"/>
      </w:pPr>
      <w:r w:rsidRPr="00356223">
        <w:lastRenderedPageBreak/>
        <w:t xml:space="preserve">where credit protection is provided to a securitisation exposure, other entities with a credit rating grade of three or better and that were externally rated two or better at the time the credit protection was provided. This also includes </w:t>
      </w:r>
      <w:r w:rsidR="004E6DBC">
        <w:t>credit protection</w:t>
      </w:r>
      <w:r w:rsidRPr="00356223">
        <w:t xml:space="preserve"> provided by parent, subsidiary and affiliated companies where they have a lower risk weight than the </w:t>
      </w:r>
      <w:r w:rsidR="007D022F">
        <w:t>borrower</w:t>
      </w:r>
      <w:r w:rsidRPr="00356223">
        <w:t>.</w:t>
      </w:r>
    </w:p>
    <w:p w14:paraId="1F0A1EBC" w14:textId="77777777" w:rsidR="00275842" w:rsidRPr="002C0B57" w:rsidRDefault="00275842" w:rsidP="002C0B57">
      <w:pPr>
        <w:pStyle w:val="Heading3"/>
      </w:pPr>
      <w:bookmarkStart w:id="235" w:name="_Toc460484847"/>
      <w:bookmarkStart w:id="236" w:name="_Toc461699135"/>
      <w:bookmarkStart w:id="237" w:name="_Toc507403973"/>
      <w:r w:rsidRPr="002C0B57">
        <w:t>Materiality thresholds</w:t>
      </w:r>
      <w:bookmarkEnd w:id="235"/>
      <w:bookmarkEnd w:id="236"/>
      <w:bookmarkEnd w:id="237"/>
    </w:p>
    <w:p w14:paraId="42B3B46C" w14:textId="492AE689" w:rsidR="00275842" w:rsidRPr="00275842" w:rsidRDefault="001F592F" w:rsidP="000A4BE9">
      <w:pPr>
        <w:numPr>
          <w:ilvl w:val="0"/>
          <w:numId w:val="3"/>
        </w:numPr>
        <w:jc w:val="both"/>
        <w:rPr>
          <w:rFonts w:eastAsia="Times New Roman"/>
        </w:rPr>
      </w:pPr>
      <w:r>
        <w:rPr>
          <w:rFonts w:eastAsia="Times New Roman"/>
        </w:rPr>
        <w:t>Where a credit derivative</w:t>
      </w:r>
      <w:r w:rsidR="00AE18D3">
        <w:rPr>
          <w:rFonts w:eastAsia="Times New Roman"/>
        </w:rPr>
        <w:t xml:space="preserve"> provides for a materiality threshold on payments below which no payment will be made in the event of loss, </w:t>
      </w:r>
      <w:r w:rsidR="00FB0457">
        <w:rPr>
          <w:rFonts w:eastAsia="Times New Roman"/>
        </w:rPr>
        <w:t xml:space="preserve">it </w:t>
      </w:r>
      <w:r w:rsidR="00AE18D3">
        <w:rPr>
          <w:rFonts w:eastAsia="Times New Roman"/>
        </w:rPr>
        <w:t>is</w:t>
      </w:r>
      <w:r>
        <w:rPr>
          <w:rFonts w:eastAsia="Times New Roman"/>
        </w:rPr>
        <w:t xml:space="preserve"> </w:t>
      </w:r>
      <w:r w:rsidR="00275842" w:rsidRPr="00275842">
        <w:rPr>
          <w:rFonts w:eastAsia="Times New Roman"/>
        </w:rPr>
        <w:t xml:space="preserve">equivalent to a retained first loss position and </w:t>
      </w:r>
      <w:r w:rsidR="00AE18D3">
        <w:rPr>
          <w:rFonts w:eastAsia="Times New Roman"/>
        </w:rPr>
        <w:t xml:space="preserve">must be </w:t>
      </w:r>
      <w:r w:rsidR="00275842" w:rsidRPr="00275842">
        <w:rPr>
          <w:rFonts w:eastAsia="Times New Roman"/>
        </w:rPr>
        <w:t>deduct</w:t>
      </w:r>
      <w:r w:rsidR="00AE18D3">
        <w:rPr>
          <w:rFonts w:eastAsia="Times New Roman"/>
        </w:rPr>
        <w:t>ed</w:t>
      </w:r>
      <w:r w:rsidR="00275842" w:rsidRPr="00275842">
        <w:rPr>
          <w:rFonts w:eastAsia="Times New Roman"/>
        </w:rPr>
        <w:t xml:space="preserve"> from Common Equity Tier 1 Capital </w:t>
      </w:r>
      <w:r w:rsidR="00AE18D3">
        <w:rPr>
          <w:rFonts w:eastAsia="Times New Roman"/>
        </w:rPr>
        <w:t>in accordance with</w:t>
      </w:r>
      <w:r w:rsidR="00275842" w:rsidRPr="00275842">
        <w:rPr>
          <w:rFonts w:eastAsia="Times New Roman"/>
        </w:rPr>
        <w:t xml:space="preserve"> </w:t>
      </w:r>
      <w:r w:rsidR="00AE18D3" w:rsidRPr="00275842">
        <w:rPr>
          <w:rFonts w:eastAsia="Times New Roman"/>
        </w:rPr>
        <w:t>APS</w:t>
      </w:r>
      <w:r w:rsidR="00AE18D3">
        <w:rPr>
          <w:rFonts w:eastAsia="Times New Roman"/>
        </w:rPr>
        <w:t> </w:t>
      </w:r>
      <w:r w:rsidR="00275842" w:rsidRPr="00275842">
        <w:rPr>
          <w:rFonts w:eastAsia="Times New Roman"/>
        </w:rPr>
        <w:t>111. This deduction will be capped at the amount of capital the ADI would be required to hold against the full value of the underlying exposure.</w:t>
      </w:r>
    </w:p>
    <w:p w14:paraId="1F8C4E06" w14:textId="659CEC0D" w:rsidR="00275842" w:rsidRPr="00275842" w:rsidRDefault="00275842" w:rsidP="002C0B57">
      <w:pPr>
        <w:pStyle w:val="Heading3"/>
      </w:pPr>
      <w:bookmarkStart w:id="238" w:name="_Toc460484853"/>
      <w:bookmarkStart w:id="239" w:name="_Toc461699141"/>
      <w:bookmarkStart w:id="240" w:name="_Toc507403979"/>
      <w:r w:rsidRPr="00275842">
        <w:t xml:space="preserve">Proportional </w:t>
      </w:r>
      <w:r w:rsidR="006703C8">
        <w:t xml:space="preserve">and </w:t>
      </w:r>
      <w:proofErr w:type="spellStart"/>
      <w:r w:rsidR="006703C8">
        <w:t>tranched</w:t>
      </w:r>
      <w:proofErr w:type="spellEnd"/>
      <w:r w:rsidR="006703C8">
        <w:t xml:space="preserve"> </w:t>
      </w:r>
      <w:r w:rsidRPr="00275842">
        <w:t>cover</w:t>
      </w:r>
      <w:bookmarkEnd w:id="238"/>
      <w:bookmarkEnd w:id="239"/>
      <w:bookmarkEnd w:id="240"/>
    </w:p>
    <w:p w14:paraId="6499ED2E" w14:textId="77777777" w:rsidR="00275842" w:rsidRPr="00275842" w:rsidRDefault="00275842" w:rsidP="000A4BE9">
      <w:pPr>
        <w:numPr>
          <w:ilvl w:val="0"/>
          <w:numId w:val="4"/>
        </w:numPr>
        <w:jc w:val="both"/>
        <w:rPr>
          <w:rFonts w:eastAsia="Times New Roman"/>
        </w:rPr>
      </w:pPr>
      <w:r w:rsidRPr="00275842">
        <w:rPr>
          <w:rFonts w:eastAsia="Times New Roman"/>
        </w:rPr>
        <w:t xml:space="preserve">Where there is partial coverage of an underlying exposure by a credit derivative and the protected and unprotected portions are of equal seniority (i.e. the ADI buying credit protection and the protection seller share losses on a </w:t>
      </w:r>
      <w:r w:rsidRPr="00275842">
        <w:rPr>
          <w:rFonts w:eastAsia="Times New Roman"/>
          <w:i/>
        </w:rPr>
        <w:t>pro rata</w:t>
      </w:r>
      <w:r w:rsidRPr="00275842">
        <w:rPr>
          <w:rFonts w:eastAsia="Times New Roman"/>
        </w:rPr>
        <w:t xml:space="preserve"> basis), capital relief will be afforded on a proportional basis. This means that the protected portion of the underlying exposure will receive the capital treatment applicable to eligible credit derivatives with the remainder treated as unprotected.</w:t>
      </w:r>
    </w:p>
    <w:p w14:paraId="57E51963" w14:textId="01112689" w:rsidR="00275842" w:rsidRPr="00275842" w:rsidRDefault="00275842" w:rsidP="000A4BE9">
      <w:pPr>
        <w:numPr>
          <w:ilvl w:val="0"/>
          <w:numId w:val="4"/>
        </w:numPr>
        <w:jc w:val="both"/>
        <w:rPr>
          <w:rFonts w:eastAsia="Times New Roman"/>
        </w:rPr>
      </w:pPr>
      <w:r w:rsidRPr="00275842">
        <w:rPr>
          <w:rFonts w:eastAsia="Times New Roman"/>
        </w:rPr>
        <w:t>Where there is partial coverage of an underlying exposure by a credit derivative and there is a difference in seniority between the protected and unprotected portions of the underlying exposure, then the arrangement is considered to be a synthetic securitisation and is subject to</w:t>
      </w:r>
      <w:r w:rsidR="00686E6A">
        <w:rPr>
          <w:rFonts w:eastAsia="Times New Roman"/>
        </w:rPr>
        <w:t xml:space="preserve"> the requirements set out in</w:t>
      </w:r>
      <w:r w:rsidRPr="00275842">
        <w:rPr>
          <w:rFonts w:eastAsia="Times New Roman"/>
        </w:rPr>
        <w:t xml:space="preserve"> </w:t>
      </w:r>
      <w:r w:rsidR="00686E6A" w:rsidRPr="00275842">
        <w:rPr>
          <w:rFonts w:eastAsia="Times New Roman"/>
        </w:rPr>
        <w:t>APS</w:t>
      </w:r>
      <w:r w:rsidR="00686E6A">
        <w:rPr>
          <w:rFonts w:eastAsia="Times New Roman"/>
        </w:rPr>
        <w:t> </w:t>
      </w:r>
      <w:r w:rsidRPr="00275842">
        <w:rPr>
          <w:rFonts w:eastAsia="Times New Roman"/>
        </w:rPr>
        <w:t>120.</w:t>
      </w:r>
    </w:p>
    <w:p w14:paraId="3B3BD8D4" w14:textId="66D71E1D" w:rsidR="00556C55" w:rsidRPr="00275842" w:rsidRDefault="00697E25" w:rsidP="002C0B57">
      <w:pPr>
        <w:pStyle w:val="Heading3"/>
      </w:pPr>
      <w:bookmarkStart w:id="241" w:name="_Toc460484859"/>
      <w:bookmarkStart w:id="242" w:name="_Toc461699147"/>
      <w:bookmarkStart w:id="243" w:name="_Toc507403985"/>
      <w:r>
        <w:t>Currency mismatch</w:t>
      </w:r>
    </w:p>
    <w:p w14:paraId="01FA131D" w14:textId="605A2A82" w:rsidR="00556C55" w:rsidRPr="00275842" w:rsidRDefault="00556C55" w:rsidP="000A4BE9">
      <w:pPr>
        <w:numPr>
          <w:ilvl w:val="0"/>
          <w:numId w:val="4"/>
        </w:numPr>
        <w:jc w:val="both"/>
        <w:rPr>
          <w:rFonts w:eastAsia="Times New Roman"/>
        </w:rPr>
      </w:pPr>
      <w:bookmarkStart w:id="244" w:name="_Ref3791108"/>
      <w:r w:rsidRPr="00275842">
        <w:rPr>
          <w:rFonts w:eastAsia="Times New Roman"/>
        </w:rPr>
        <w:t>A currency mismatch exists where an ADI has purchased credit protection using a credit derivative and the credit derivative is denominated in a different currency from that in which the underlying exposure is denominated. In this case the amount of the exposure deemed to be protected (</w:t>
      </w:r>
      <w:r w:rsidRPr="00275842">
        <w:rPr>
          <w:rFonts w:eastAsia="Times New Roman"/>
          <w:i/>
        </w:rPr>
        <w:t>G</w:t>
      </w:r>
      <w:r w:rsidRPr="00275842">
        <w:rPr>
          <w:rFonts w:eastAsia="Times New Roman"/>
          <w:i/>
          <w:vertAlign w:val="subscript"/>
        </w:rPr>
        <w:t>a</w:t>
      </w:r>
      <w:r w:rsidRPr="00275842">
        <w:rPr>
          <w:rFonts w:eastAsia="Times New Roman"/>
        </w:rPr>
        <w:t xml:space="preserve">) must be reduced by the application of </w:t>
      </w:r>
      <w:r w:rsidR="00327A27">
        <w:rPr>
          <w:rFonts w:eastAsia="Times New Roman"/>
        </w:rPr>
        <w:t>a</w:t>
      </w:r>
      <w:r w:rsidRPr="00275842">
        <w:rPr>
          <w:rFonts w:eastAsia="Times New Roman"/>
        </w:rPr>
        <w:t xml:space="preserve"> haircut (</w:t>
      </w:r>
      <w:proofErr w:type="spellStart"/>
      <w:r w:rsidRPr="00275842">
        <w:rPr>
          <w:rFonts w:eastAsia="Times New Roman"/>
          <w:i/>
        </w:rPr>
        <w:t>H</w:t>
      </w:r>
      <w:r w:rsidRPr="00275842">
        <w:rPr>
          <w:rFonts w:eastAsia="Times New Roman"/>
          <w:i/>
          <w:vertAlign w:val="subscript"/>
        </w:rPr>
        <w:t>fx</w:t>
      </w:r>
      <w:proofErr w:type="spellEnd"/>
      <w:r w:rsidRPr="00275842">
        <w:rPr>
          <w:rFonts w:eastAsia="Times New Roman"/>
        </w:rPr>
        <w:t>) as follows:</w:t>
      </w:r>
      <w:bookmarkEnd w:id="244"/>
    </w:p>
    <w:p w14:paraId="16749E01" w14:textId="29384401" w:rsidR="00AE0183" w:rsidRPr="00275842" w:rsidRDefault="00556C55" w:rsidP="00750DCF">
      <w:pPr>
        <w:ind w:left="1134"/>
        <w:jc w:val="center"/>
        <w:rPr>
          <w:rFonts w:eastAsia="Times New Roman"/>
        </w:rPr>
      </w:pPr>
      <w:r w:rsidRPr="00275842">
        <w:rPr>
          <w:rFonts w:eastAsia="Times New Roman"/>
          <w:noProof/>
        </w:rPr>
        <w:drawing>
          <wp:inline distT="0" distB="0" distL="0" distR="0" wp14:anchorId="7AD4227E" wp14:editId="6E8F755F">
            <wp:extent cx="1190445" cy="254369"/>
            <wp:effectExtent l="0" t="0" r="0" b="0"/>
            <wp:docPr id="1" name="Picture 1" descr="Start formula G subscript a equals G times open bracket 1 minus H subscript fx close bracke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tart formula G subscript a equals G times open bracket 1 minus H subscript fx close bracket end formula."/>
                    <pic:cNvPicPr>
                      <a:picLocks noChangeAspect="1" noChangeArrowheads="1"/>
                    </pic:cNvPicPr>
                  </pic:nvPicPr>
                  <pic:blipFill>
                    <a:blip r:embed="rId39" cstate="print"/>
                    <a:srcRect/>
                    <a:stretch>
                      <a:fillRect/>
                    </a:stretch>
                  </pic:blipFill>
                  <pic:spPr bwMode="auto">
                    <a:xfrm>
                      <a:off x="0" y="0"/>
                      <a:ext cx="1208625" cy="258254"/>
                    </a:xfrm>
                    <a:prstGeom prst="rect">
                      <a:avLst/>
                    </a:prstGeom>
                    <a:noFill/>
                    <a:ln w="9525">
                      <a:noFill/>
                      <a:miter lim="800000"/>
                      <a:headEnd/>
                      <a:tailEnd/>
                    </a:ln>
                  </pic:spPr>
                </pic:pic>
              </a:graphicData>
            </a:graphic>
          </wp:inline>
        </w:drawing>
      </w:r>
    </w:p>
    <w:p w14:paraId="50B47F4B" w14:textId="286E4D0E" w:rsidR="00556C55" w:rsidRDefault="00556C55" w:rsidP="00556C55">
      <w:pPr>
        <w:ind w:left="567"/>
        <w:jc w:val="both"/>
        <w:rPr>
          <w:rFonts w:eastAsia="Times New Roman"/>
        </w:rPr>
      </w:pPr>
      <w:r w:rsidRPr="00275842">
        <w:rPr>
          <w:rFonts w:eastAsia="Times New Roman"/>
        </w:rPr>
        <w:t>where:</w:t>
      </w:r>
    </w:p>
    <w:p w14:paraId="4BD28949" w14:textId="00CF18AF" w:rsidR="00750DCF" w:rsidRPr="0053053A" w:rsidRDefault="00750DCF" w:rsidP="00750DCF">
      <w:pPr>
        <w:ind w:left="567" w:firstLine="567"/>
      </w:pPr>
      <w:r w:rsidRPr="0053053A">
        <w:rPr>
          <w:i/>
        </w:rPr>
        <w:t>G</w:t>
      </w:r>
      <w:r w:rsidRPr="0053053A">
        <w:t xml:space="preserve"> </w:t>
      </w:r>
      <w:r w:rsidRPr="0053053A">
        <w:tab/>
        <w:t>=</w:t>
      </w:r>
      <w:r w:rsidRPr="0053053A">
        <w:tab/>
        <w:t xml:space="preserve">nominal amount of the </w:t>
      </w:r>
      <w:r>
        <w:t>credit derivative</w:t>
      </w:r>
    </w:p>
    <w:p w14:paraId="66E98CBC" w14:textId="45524264" w:rsidR="00750DCF" w:rsidRPr="0053053A" w:rsidRDefault="00750DCF" w:rsidP="00DF39B2">
      <w:pPr>
        <w:tabs>
          <w:tab w:val="left" w:pos="1701"/>
        </w:tabs>
        <w:ind w:left="2268" w:hanging="1134"/>
        <w:jc w:val="both"/>
      </w:pPr>
      <w:proofErr w:type="spellStart"/>
      <w:r w:rsidRPr="0007789D">
        <w:rPr>
          <w:i/>
        </w:rPr>
        <w:t>H</w:t>
      </w:r>
      <w:r w:rsidRPr="0007789D">
        <w:rPr>
          <w:i/>
          <w:vertAlign w:val="subscript"/>
        </w:rPr>
        <w:t>fx</w:t>
      </w:r>
      <w:proofErr w:type="spellEnd"/>
      <w:r w:rsidRPr="0053053A">
        <w:rPr>
          <w:i/>
        </w:rPr>
        <w:t xml:space="preserve"> </w:t>
      </w:r>
      <w:r w:rsidRPr="0053053A">
        <w:tab/>
        <w:t>=</w:t>
      </w:r>
      <w:r w:rsidRPr="0053053A">
        <w:tab/>
        <w:t xml:space="preserve">haircut appropriate for the currency mismatch between the </w:t>
      </w:r>
      <w:r>
        <w:t>credit derivative</w:t>
      </w:r>
      <w:r w:rsidRPr="0053053A">
        <w:t xml:space="preserve"> and the underlying exposure</w:t>
      </w:r>
      <w:r>
        <w:t>.</w:t>
      </w:r>
    </w:p>
    <w:p w14:paraId="31960DAE" w14:textId="6EF7511F" w:rsidR="00697E25" w:rsidRDefault="00327A27" w:rsidP="00697E25">
      <w:pPr>
        <w:pStyle w:val="BodyText1"/>
      </w:pPr>
      <w:r>
        <w:t xml:space="preserve">Where there is a currency mismatch, an ADI must apply a haircut of 8 per cent (based on a 10 business day holding period and daily marking-to-market). </w:t>
      </w:r>
      <w:r w:rsidR="00DF0EF7">
        <w:t xml:space="preserve">The haircut must be adjusted depending on the actual frequency of revaluation of the currency mismatch, in accordance with </w:t>
      </w:r>
      <w:r w:rsidR="00B4239D" w:rsidRPr="00B4239D">
        <w:t xml:space="preserve">paragraph </w:t>
      </w:r>
      <w:r w:rsidR="00B4239D" w:rsidRPr="00B4239D">
        <w:fldChar w:fldCharType="begin"/>
      </w:r>
      <w:r w:rsidR="00B4239D" w:rsidRPr="00B4239D">
        <w:instrText xml:space="preserve"> REF _Ref3484694 \r \h </w:instrText>
      </w:r>
      <w:r w:rsidR="00B4239D">
        <w:instrText xml:space="preserve"> \* MERGEFORMAT </w:instrText>
      </w:r>
      <w:r w:rsidR="00B4239D" w:rsidRPr="00B4239D">
        <w:fldChar w:fldCharType="separate"/>
      </w:r>
      <w:r w:rsidR="0007706D">
        <w:t>32</w:t>
      </w:r>
      <w:r w:rsidR="00B4239D" w:rsidRPr="00B4239D">
        <w:fldChar w:fldCharType="end"/>
      </w:r>
      <w:r w:rsidR="00DF0EF7" w:rsidRPr="00B4239D">
        <w:t xml:space="preserve"> of Attachment G</w:t>
      </w:r>
      <w:r w:rsidR="00DF0EF7">
        <w:t xml:space="preserve"> to this Prudential Standard. </w:t>
      </w:r>
    </w:p>
    <w:p w14:paraId="3D8B6466" w14:textId="32927957" w:rsidR="00275842" w:rsidRPr="00275842" w:rsidRDefault="00275842" w:rsidP="002C0B57">
      <w:pPr>
        <w:pStyle w:val="Heading3"/>
      </w:pPr>
      <w:r w:rsidRPr="00275842">
        <w:lastRenderedPageBreak/>
        <w:t>Maturity mismatch</w:t>
      </w:r>
      <w:bookmarkEnd w:id="241"/>
      <w:bookmarkEnd w:id="242"/>
      <w:bookmarkEnd w:id="243"/>
    </w:p>
    <w:p w14:paraId="279771BA" w14:textId="77777777" w:rsidR="00275842" w:rsidRPr="00275842" w:rsidRDefault="00275842" w:rsidP="000A4BE9">
      <w:pPr>
        <w:numPr>
          <w:ilvl w:val="0"/>
          <w:numId w:val="4"/>
        </w:numPr>
        <w:jc w:val="both"/>
        <w:rPr>
          <w:rFonts w:eastAsia="Times New Roman"/>
        </w:rPr>
      </w:pPr>
      <w:r w:rsidRPr="00275842">
        <w:rPr>
          <w:rFonts w:eastAsia="Times New Roman"/>
        </w:rPr>
        <w:t>A maturity mismatch exists where the residual maturity of a credit derivative is less than the maturity of the underlying exposure.</w:t>
      </w:r>
    </w:p>
    <w:p w14:paraId="77F2A9C9" w14:textId="11E2486B" w:rsidR="00275842" w:rsidRPr="00275842" w:rsidRDefault="00275842" w:rsidP="000A4BE9">
      <w:pPr>
        <w:numPr>
          <w:ilvl w:val="0"/>
          <w:numId w:val="4"/>
        </w:numPr>
        <w:jc w:val="both"/>
        <w:rPr>
          <w:rFonts w:eastAsia="Times New Roman"/>
        </w:rPr>
      </w:pPr>
      <w:r w:rsidRPr="00275842">
        <w:rPr>
          <w:rFonts w:eastAsia="Times New Roman"/>
        </w:rPr>
        <w:t xml:space="preserve">Where there is a maturity mismatch, a credit derivative may only be recognised </w:t>
      </w:r>
      <w:r w:rsidR="008C1225">
        <w:rPr>
          <w:rFonts w:eastAsia="Times New Roman"/>
        </w:rPr>
        <w:t xml:space="preserve">as eligible </w:t>
      </w:r>
      <w:r w:rsidRPr="00275842">
        <w:rPr>
          <w:rFonts w:eastAsia="Times New Roman"/>
        </w:rPr>
        <w:t>CRM where the original maturity of the credit derivative is greater than or equal to 12 months</w:t>
      </w:r>
      <w:r w:rsidR="008C1225">
        <w:rPr>
          <w:rFonts w:eastAsia="Times New Roman"/>
        </w:rPr>
        <w:t xml:space="preserve"> and the residual maturity is greater than or equal to 3 months</w:t>
      </w:r>
      <w:r w:rsidRPr="00275842">
        <w:rPr>
          <w:rFonts w:eastAsia="Times New Roman"/>
        </w:rPr>
        <w:t xml:space="preserve">. </w:t>
      </w:r>
    </w:p>
    <w:p w14:paraId="33686D38" w14:textId="16282CA1" w:rsidR="00275842" w:rsidRPr="00275842" w:rsidRDefault="00275842" w:rsidP="000A4BE9">
      <w:pPr>
        <w:numPr>
          <w:ilvl w:val="0"/>
          <w:numId w:val="4"/>
        </w:numPr>
        <w:jc w:val="both"/>
        <w:rPr>
          <w:rFonts w:eastAsia="Times New Roman"/>
        </w:rPr>
      </w:pPr>
      <w:r w:rsidRPr="00275842">
        <w:rPr>
          <w:rFonts w:eastAsia="Times New Roman"/>
        </w:rPr>
        <w:t>Where credit protection provided by a single protection seller</w:t>
      </w:r>
      <w:r w:rsidR="008C1225">
        <w:rPr>
          <w:rFonts w:eastAsia="Times New Roman"/>
        </w:rPr>
        <w:t xml:space="preserve"> to the same underlying exposure</w:t>
      </w:r>
      <w:r w:rsidRPr="00275842">
        <w:rPr>
          <w:rFonts w:eastAsia="Times New Roman"/>
        </w:rPr>
        <w:t xml:space="preserve"> has different maturities, an ADI must divide the exposure into separate covered portions for risk-weighting purposes.</w:t>
      </w:r>
    </w:p>
    <w:p w14:paraId="37D943C9" w14:textId="02FE4017" w:rsidR="008C1225" w:rsidRDefault="00686E6A" w:rsidP="000A4BE9">
      <w:pPr>
        <w:numPr>
          <w:ilvl w:val="0"/>
          <w:numId w:val="4"/>
        </w:numPr>
        <w:jc w:val="both"/>
        <w:rPr>
          <w:rFonts w:eastAsia="Times New Roman"/>
        </w:rPr>
      </w:pPr>
      <w:bookmarkStart w:id="245" w:name="_Toc460484860"/>
      <w:bookmarkStart w:id="246" w:name="_Toc461699148"/>
      <w:bookmarkStart w:id="247" w:name="_Toc507403986"/>
      <w:r w:rsidRPr="00275842">
        <w:rPr>
          <w:rFonts w:eastAsia="Times New Roman"/>
        </w:rPr>
        <w:t xml:space="preserve">For </w:t>
      </w:r>
      <w:r w:rsidR="008C1225">
        <w:rPr>
          <w:rFonts w:eastAsia="Times New Roman"/>
        </w:rPr>
        <w:t>the purpose of determining maturity:</w:t>
      </w:r>
      <w:r w:rsidRPr="00275842">
        <w:rPr>
          <w:rFonts w:eastAsia="Times New Roman"/>
        </w:rPr>
        <w:t xml:space="preserve"> </w:t>
      </w:r>
    </w:p>
    <w:p w14:paraId="71B8FF51" w14:textId="3C4E56DD" w:rsidR="008C1225" w:rsidRDefault="00686E6A" w:rsidP="00697E25">
      <w:pPr>
        <w:pStyle w:val="BodyText2"/>
      </w:pPr>
      <w:r w:rsidRPr="00275842">
        <w:t>the effective maturity of the underlying exposure</w:t>
      </w:r>
      <w:r w:rsidR="008C1225">
        <w:t xml:space="preserve"> must be calculated using</w:t>
      </w:r>
      <w:r w:rsidRPr="00275842">
        <w:t xml:space="preserve"> the longest possible remaining time before the counterparty is scheduled to fulfil its obligation</w:t>
      </w:r>
      <w:r w:rsidR="008C1225">
        <w:t>; and</w:t>
      </w:r>
    </w:p>
    <w:p w14:paraId="7F9A4FCC" w14:textId="125BE7D8" w:rsidR="00686E6A" w:rsidRPr="00275842" w:rsidRDefault="008C1225" w:rsidP="00697E25">
      <w:pPr>
        <w:pStyle w:val="BodyText2"/>
        <w:rPr>
          <w:rFonts w:eastAsia="Times New Roman"/>
        </w:rPr>
      </w:pPr>
      <w:r>
        <w:t xml:space="preserve">for the </w:t>
      </w:r>
      <w:r w:rsidR="00686E6A" w:rsidRPr="00275842">
        <w:rPr>
          <w:rFonts w:eastAsia="Times New Roman"/>
        </w:rPr>
        <w:t>credit derivative, an ADI that purchases credit protection must take into account any clause</w:t>
      </w:r>
      <w:r>
        <w:rPr>
          <w:rFonts w:eastAsia="Times New Roman"/>
        </w:rPr>
        <w:t xml:space="preserve"> or incentive</w:t>
      </w:r>
      <w:r w:rsidR="00686E6A" w:rsidRPr="00275842">
        <w:rPr>
          <w:rFonts w:eastAsia="Times New Roman"/>
        </w:rPr>
        <w:t xml:space="preserve"> within the credit derivative contract that may reduce its maturity so that the shortest possible effective maturity is used. </w:t>
      </w:r>
    </w:p>
    <w:bookmarkEnd w:id="245"/>
    <w:bookmarkEnd w:id="246"/>
    <w:bookmarkEnd w:id="247"/>
    <w:p w14:paraId="61987631" w14:textId="23D9023B" w:rsidR="00275842" w:rsidRPr="00275842" w:rsidRDefault="00275842" w:rsidP="000A4BE9">
      <w:pPr>
        <w:numPr>
          <w:ilvl w:val="0"/>
          <w:numId w:val="4"/>
        </w:numPr>
        <w:jc w:val="both"/>
        <w:rPr>
          <w:rFonts w:eastAsia="Times New Roman"/>
        </w:rPr>
      </w:pPr>
      <w:r w:rsidRPr="00275842">
        <w:rPr>
          <w:rFonts w:eastAsia="Times New Roman"/>
        </w:rPr>
        <w:t>Where there is a maturity mismatch</w:t>
      </w:r>
      <w:r w:rsidR="008B5528">
        <w:rPr>
          <w:rFonts w:eastAsia="Times New Roman"/>
        </w:rPr>
        <w:t>,</w:t>
      </w:r>
      <w:r w:rsidRPr="00275842">
        <w:rPr>
          <w:rFonts w:eastAsia="Times New Roman"/>
        </w:rPr>
        <w:t xml:space="preserve"> an ADI must apply the following adjustment:</w:t>
      </w:r>
    </w:p>
    <w:p w14:paraId="5463F92C" w14:textId="2E0671B8" w:rsidR="00F812BC" w:rsidRDefault="00F812BC" w:rsidP="0029642F">
      <w:pPr>
        <w:spacing w:after="0"/>
        <w:ind w:left="3544"/>
        <w:jc w:val="both"/>
        <w:rPr>
          <w:rFonts w:eastAsia="Times New Roman"/>
        </w:rPr>
      </w:pPr>
      <w:r w:rsidRPr="00F812BC">
        <w:rPr>
          <w:noProof/>
        </w:rPr>
        <w:drawing>
          <wp:inline distT="0" distB="0" distL="0" distR="0" wp14:anchorId="12D50EBD" wp14:editId="745CE521">
            <wp:extent cx="1388787" cy="431320"/>
            <wp:effectExtent l="0" t="0" r="0" b="0"/>
            <wp:docPr id="8" name="Picture 8" descr="Start formula P subscript a equals P times start fraction t minus 0.25 over T minus 0.25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Start formula P subscript a equals P times start fraction t minus 0.25 over T minus 0.25 end fraction end formula."/>
                    <pic:cNvPicPr>
                      <a:picLocks noChangeAspect="1" noChangeArrowheads="1"/>
                    </pic:cNvPicPr>
                  </pic:nvPicPr>
                  <pic:blipFill rotWithShape="1">
                    <a:blip r:embed="rId40" cstate="print">
                      <a:extLst>
                        <a:ext uri="{28A0092B-C50C-407E-A947-70E740481C1C}">
                          <a14:useLocalDpi xmlns:a14="http://schemas.microsoft.com/office/drawing/2010/main" val="0"/>
                        </a:ext>
                      </a:extLst>
                    </a:blip>
                    <a:srcRect l="44630" r="31682" b="15774"/>
                    <a:stretch/>
                  </pic:blipFill>
                  <pic:spPr bwMode="auto">
                    <a:xfrm>
                      <a:off x="0" y="0"/>
                      <a:ext cx="1395738" cy="433479"/>
                    </a:xfrm>
                    <a:prstGeom prst="rect">
                      <a:avLst/>
                    </a:prstGeom>
                    <a:noFill/>
                    <a:ln>
                      <a:noFill/>
                    </a:ln>
                    <a:extLst>
                      <a:ext uri="{53640926-AAD7-44D8-BBD7-CCE9431645EC}">
                        <a14:shadowObscured xmlns:a14="http://schemas.microsoft.com/office/drawing/2010/main"/>
                      </a:ext>
                    </a:extLst>
                  </pic:spPr>
                </pic:pic>
              </a:graphicData>
            </a:graphic>
          </wp:inline>
        </w:drawing>
      </w:r>
    </w:p>
    <w:p w14:paraId="18C4CC0B" w14:textId="77777777" w:rsidR="00F66694" w:rsidRDefault="00F66694" w:rsidP="00F66694">
      <w:pPr>
        <w:ind w:firstLine="567"/>
      </w:pPr>
      <w:r w:rsidRPr="00B87D92">
        <w:t>where:</w:t>
      </w:r>
    </w:p>
    <w:p w14:paraId="50D48D39" w14:textId="763B6AF7" w:rsidR="00F66694" w:rsidRPr="00B87D92" w:rsidRDefault="00F66694" w:rsidP="00DF39B2">
      <w:pPr>
        <w:tabs>
          <w:tab w:val="left" w:pos="1701"/>
        </w:tabs>
        <w:ind w:left="2268" w:hanging="1134"/>
        <w:jc w:val="both"/>
      </w:pPr>
      <w:r w:rsidRPr="005B50EE">
        <w:rPr>
          <w:i/>
        </w:rPr>
        <w:t>P</w:t>
      </w:r>
      <w:r w:rsidRPr="005B50EE">
        <w:rPr>
          <w:i/>
          <w:vertAlign w:val="subscript"/>
        </w:rPr>
        <w:t>a</w:t>
      </w:r>
      <w:r w:rsidRPr="00B87D92">
        <w:tab/>
        <w:t>=</w:t>
      </w:r>
      <w:r>
        <w:tab/>
      </w:r>
      <w:r w:rsidRPr="00B87D92">
        <w:t xml:space="preserve">value of the </w:t>
      </w:r>
      <w:r>
        <w:t xml:space="preserve">amount of credit protection </w:t>
      </w:r>
      <w:r w:rsidRPr="00B87D92">
        <w:t>adjusted for maturity mismatch</w:t>
      </w:r>
    </w:p>
    <w:p w14:paraId="053AABA3" w14:textId="656E9548" w:rsidR="00F66694" w:rsidRPr="00B87D92" w:rsidRDefault="00F66694" w:rsidP="00DF39B2">
      <w:pPr>
        <w:tabs>
          <w:tab w:val="left" w:pos="1701"/>
        </w:tabs>
        <w:ind w:left="2268" w:hanging="1134"/>
        <w:jc w:val="both"/>
      </w:pPr>
      <w:r w:rsidRPr="005B50EE">
        <w:rPr>
          <w:i/>
        </w:rPr>
        <w:t>P</w:t>
      </w:r>
      <w:r w:rsidRPr="00B87D92">
        <w:tab/>
        <w:t>=</w:t>
      </w:r>
      <w:r>
        <w:tab/>
        <w:t xml:space="preserve">the </w:t>
      </w:r>
      <w:r w:rsidRPr="00FF7C07">
        <w:t>amount</w:t>
      </w:r>
      <w:r>
        <w:t xml:space="preserve"> of credit protection</w:t>
      </w:r>
      <w:r w:rsidRPr="00FF7C07">
        <w:t xml:space="preserve"> adjusted for any haircuts (in which case, </w:t>
      </w:r>
      <w:r w:rsidRPr="0007789D">
        <w:rPr>
          <w:i/>
        </w:rPr>
        <w:t xml:space="preserve">P </w:t>
      </w:r>
      <w:r w:rsidRPr="00FF7C07">
        <w:t xml:space="preserve">= </w:t>
      </w:r>
      <w:r w:rsidRPr="0007789D">
        <w:rPr>
          <w:i/>
        </w:rPr>
        <w:t>G</w:t>
      </w:r>
      <w:r w:rsidRPr="0007789D">
        <w:rPr>
          <w:i/>
          <w:vertAlign w:val="subscript"/>
        </w:rPr>
        <w:t>a</w:t>
      </w:r>
      <w:r w:rsidRPr="0007789D">
        <w:rPr>
          <w:i/>
        </w:rPr>
        <w:t xml:space="preserve"> </w:t>
      </w:r>
      <w:r w:rsidRPr="00FF7C07">
        <w:t xml:space="preserve">as determined in </w:t>
      </w:r>
      <w:r w:rsidRPr="00B4239D">
        <w:rPr>
          <w:rFonts w:eastAsia="Times New Roman"/>
        </w:rPr>
        <w:t xml:space="preserve">paragraph </w:t>
      </w:r>
      <w:r w:rsidRPr="00B4239D">
        <w:rPr>
          <w:rFonts w:eastAsia="Times New Roman"/>
        </w:rPr>
        <w:fldChar w:fldCharType="begin"/>
      </w:r>
      <w:r w:rsidRPr="00B4239D">
        <w:rPr>
          <w:rFonts w:eastAsia="Times New Roman"/>
        </w:rPr>
        <w:instrText xml:space="preserve"> REF _Ref3791108 \r \h </w:instrText>
      </w:r>
      <w:r>
        <w:rPr>
          <w:rFonts w:eastAsia="Times New Roman"/>
        </w:rPr>
        <w:instrText xml:space="preserve"> \* MERGEFORMAT </w:instrText>
      </w:r>
      <w:r w:rsidRPr="00B4239D">
        <w:rPr>
          <w:rFonts w:eastAsia="Times New Roman"/>
        </w:rPr>
      </w:r>
      <w:r w:rsidRPr="00B4239D">
        <w:rPr>
          <w:rFonts w:eastAsia="Times New Roman"/>
        </w:rPr>
        <w:fldChar w:fldCharType="separate"/>
      </w:r>
      <w:r w:rsidR="0007706D">
        <w:rPr>
          <w:rFonts w:eastAsia="Times New Roman"/>
        </w:rPr>
        <w:t>16</w:t>
      </w:r>
      <w:r w:rsidRPr="00B4239D">
        <w:rPr>
          <w:rFonts w:eastAsia="Times New Roman"/>
        </w:rPr>
        <w:fldChar w:fldCharType="end"/>
      </w:r>
      <w:r w:rsidRPr="008D497A">
        <w:t xml:space="preserve"> of this Attachment</w:t>
      </w:r>
      <w:r w:rsidRPr="00FF7C07">
        <w:t>)</w:t>
      </w:r>
    </w:p>
    <w:p w14:paraId="36D73D38" w14:textId="6D01A690" w:rsidR="00F66694" w:rsidRPr="00B87D92" w:rsidRDefault="00F66694" w:rsidP="00DF39B2">
      <w:pPr>
        <w:tabs>
          <w:tab w:val="left" w:pos="1701"/>
        </w:tabs>
        <w:ind w:left="2268" w:hanging="1134"/>
        <w:jc w:val="both"/>
      </w:pPr>
      <w:r w:rsidRPr="005B50EE">
        <w:rPr>
          <w:i/>
        </w:rPr>
        <w:t>t</w:t>
      </w:r>
      <w:r w:rsidRPr="00B87D92">
        <w:tab/>
        <w:t>=</w:t>
      </w:r>
      <w:r>
        <w:tab/>
      </w:r>
      <w:r w:rsidRPr="00B87D92">
        <w:t>min (</w:t>
      </w:r>
      <w:r w:rsidRPr="0007789D">
        <w:rPr>
          <w:i/>
        </w:rPr>
        <w:t>T</w:t>
      </w:r>
      <w:r w:rsidRPr="00B87D92">
        <w:t xml:space="preserve">, residual maturity of the </w:t>
      </w:r>
      <w:r>
        <w:t>credit derivative</w:t>
      </w:r>
      <w:r w:rsidRPr="00B87D92">
        <w:t>) expressed in years</w:t>
      </w:r>
    </w:p>
    <w:p w14:paraId="7A545F3D" w14:textId="4543C925" w:rsidR="00F66694" w:rsidRPr="00B87D92" w:rsidRDefault="00F66694" w:rsidP="00DF39B2">
      <w:pPr>
        <w:tabs>
          <w:tab w:val="left" w:pos="1701"/>
        </w:tabs>
        <w:ind w:left="2268" w:hanging="1134"/>
        <w:jc w:val="both"/>
      </w:pPr>
      <w:r w:rsidRPr="005B50EE">
        <w:rPr>
          <w:i/>
        </w:rPr>
        <w:t>T</w:t>
      </w:r>
      <w:r w:rsidRPr="00B87D92">
        <w:tab/>
        <w:t>=</w:t>
      </w:r>
      <w:r>
        <w:tab/>
      </w:r>
      <w:r w:rsidRPr="00B87D92">
        <w:t xml:space="preserve">min (5, residual maturity of the </w:t>
      </w:r>
      <w:r>
        <w:t xml:space="preserve">underlying </w:t>
      </w:r>
      <w:r w:rsidRPr="00B87D92">
        <w:t>exposure) expressed in years.</w:t>
      </w:r>
    </w:p>
    <w:p w14:paraId="606C49E4" w14:textId="2842ED6A" w:rsidR="00275842" w:rsidRPr="00FE0F46" w:rsidRDefault="00873F30" w:rsidP="00926B56">
      <w:pPr>
        <w:pStyle w:val="Heading1"/>
      </w:pPr>
      <w:bookmarkStart w:id="248" w:name="_Toc4489915"/>
      <w:r w:rsidRPr="00FE0F46">
        <w:t>Sold credit protection</w:t>
      </w:r>
      <w:bookmarkEnd w:id="248"/>
    </w:p>
    <w:p w14:paraId="47B33DE1" w14:textId="01198E3A" w:rsidR="00531011" w:rsidRPr="00FE0F46" w:rsidRDefault="00531011" w:rsidP="00531011">
      <w:pPr>
        <w:pStyle w:val="BodyText1"/>
      </w:pPr>
      <w:r w:rsidRPr="00FE0F46">
        <w:t xml:space="preserve">An ADI that sells credit protection that is not detailed in </w:t>
      </w:r>
      <w:r w:rsidR="00B142C3" w:rsidRPr="00B142C3">
        <w:t xml:space="preserve">paragraphs </w:t>
      </w:r>
      <w:r w:rsidR="00B142C3" w:rsidRPr="00B142C3">
        <w:fldChar w:fldCharType="begin"/>
      </w:r>
      <w:r w:rsidR="00B142C3" w:rsidRPr="00B142C3">
        <w:instrText xml:space="preserve"> REF _Ref460428968 \r \h </w:instrText>
      </w:r>
      <w:r w:rsidR="00B142C3">
        <w:instrText xml:space="preserve"> \* MERGEFORMAT </w:instrText>
      </w:r>
      <w:r w:rsidR="00B142C3" w:rsidRPr="00B142C3">
        <w:fldChar w:fldCharType="separate"/>
      </w:r>
      <w:r w:rsidR="0007706D">
        <w:t>29</w:t>
      </w:r>
      <w:r w:rsidR="00B142C3" w:rsidRPr="00B142C3">
        <w:fldChar w:fldCharType="end"/>
      </w:r>
      <w:r w:rsidR="00B142C3" w:rsidRPr="00B142C3">
        <w:t xml:space="preserve"> and </w:t>
      </w:r>
      <w:r w:rsidR="00B142C3" w:rsidRPr="00B142C3">
        <w:fldChar w:fldCharType="begin"/>
      </w:r>
      <w:r w:rsidR="00B142C3" w:rsidRPr="00B142C3">
        <w:instrText xml:space="preserve"> REF _Ref5001815 \r \h </w:instrText>
      </w:r>
      <w:r w:rsidR="00B142C3">
        <w:instrText xml:space="preserve"> \* MERGEFORMAT </w:instrText>
      </w:r>
      <w:r w:rsidR="00B142C3" w:rsidRPr="00B142C3">
        <w:fldChar w:fldCharType="separate"/>
      </w:r>
      <w:r w:rsidR="0007706D">
        <w:t>30</w:t>
      </w:r>
      <w:r w:rsidR="00B142C3" w:rsidRPr="00B142C3">
        <w:fldChar w:fldCharType="end"/>
      </w:r>
      <w:r w:rsidRPr="00B142C3">
        <w:t xml:space="preserve"> of</w:t>
      </w:r>
      <w:r w:rsidRPr="00FE0F46">
        <w:t xml:space="preserve"> this Attachment must, prior to execution of the relevant credit derivative contract, undertake a written assessment of the appropriate Regulatory Capital treatment for the transaction. The ADI must</w:t>
      </w:r>
      <w:r w:rsidR="00F85C65">
        <w:t xml:space="preserve"> notify APRA prior to execution and</w:t>
      </w:r>
      <w:r w:rsidRPr="00FE0F46">
        <w:t xml:space="preserve"> provide its written assessment to APRA upon request. The ADI must apply the treatment set </w:t>
      </w:r>
      <w:r w:rsidRPr="00FE0F46">
        <w:lastRenderedPageBreak/>
        <w:t>out in its written assessment unless APRA determines an alternative methodology for calculating the Regulatory Capital treatment.</w:t>
      </w:r>
    </w:p>
    <w:p w14:paraId="2AFB4B69" w14:textId="4EBC0AEF" w:rsidR="00A07345" w:rsidRPr="00FE0F46" w:rsidRDefault="00926B56" w:rsidP="00A07345">
      <w:pPr>
        <w:numPr>
          <w:ilvl w:val="0"/>
          <w:numId w:val="4"/>
        </w:numPr>
        <w:jc w:val="both"/>
        <w:rPr>
          <w:rFonts w:eastAsia="Times New Roman"/>
        </w:rPr>
      </w:pPr>
      <w:r>
        <w:rPr>
          <w:rFonts w:eastAsia="Times New Roman"/>
        </w:rPr>
        <w:t xml:space="preserve">Where an ADI uses total-rate-of-return swaps to hedge a banking book credit exposure in accordance with the requirements set out in this Attachment, those transactions must be included in the ADI’s banking book. </w:t>
      </w:r>
      <w:r w:rsidR="006C73AE">
        <w:rPr>
          <w:rFonts w:eastAsia="Times New Roman"/>
        </w:rPr>
        <w:t>All other total-rate-of-return swaps must be included in an ADI’s trading book.</w:t>
      </w:r>
      <w:r>
        <w:rPr>
          <w:rFonts w:eastAsia="Times New Roman"/>
        </w:rPr>
        <w:t xml:space="preserve"> </w:t>
      </w:r>
    </w:p>
    <w:p w14:paraId="0588C21B" w14:textId="4E699AB3" w:rsidR="00A07345" w:rsidRPr="00FE0F46" w:rsidRDefault="009F3BB1" w:rsidP="009F3BB1">
      <w:pPr>
        <w:numPr>
          <w:ilvl w:val="0"/>
          <w:numId w:val="4"/>
        </w:numPr>
        <w:jc w:val="both"/>
        <w:rPr>
          <w:rFonts w:eastAsia="Times New Roman"/>
        </w:rPr>
      </w:pPr>
      <w:r>
        <w:rPr>
          <w:rFonts w:eastAsia="Times New Roman"/>
        </w:rPr>
        <w:t>Any instruments that would give rise to a net short credit or equity position in the banking book must be included in an ADI's trading book.</w:t>
      </w:r>
      <w:r>
        <w:rPr>
          <w:rStyle w:val="FootnoteReference"/>
          <w:rFonts w:eastAsia="Times New Roman"/>
        </w:rPr>
        <w:footnoteReference w:id="35"/>
      </w:r>
      <w:r>
        <w:rPr>
          <w:rFonts w:eastAsia="Times New Roman"/>
        </w:rPr>
        <w:t xml:space="preserve"> </w:t>
      </w:r>
    </w:p>
    <w:p w14:paraId="32C7BB3B" w14:textId="77777777" w:rsidR="002C0B57" w:rsidRPr="00FE0F46" w:rsidRDefault="002C0B57" w:rsidP="009F3BB1">
      <w:pPr>
        <w:numPr>
          <w:ilvl w:val="0"/>
          <w:numId w:val="4"/>
        </w:numPr>
        <w:jc w:val="both"/>
        <w:rPr>
          <w:rFonts w:eastAsia="Times New Roman"/>
        </w:rPr>
      </w:pPr>
      <w:r w:rsidRPr="00FE0F46">
        <w:rPr>
          <w:rFonts w:eastAsia="Times New Roman"/>
        </w:rPr>
        <w:t>An ADI that has sold credit protection using a credit derivative must, for capital adequacy purposes, assume that 100 per cent of the credit risk is purchased irrespective of the range of specified credit events.</w:t>
      </w:r>
    </w:p>
    <w:p w14:paraId="0319AF5D" w14:textId="3387E482" w:rsidR="002C0B57" w:rsidRDefault="002C0B57" w:rsidP="002C0B57">
      <w:pPr>
        <w:numPr>
          <w:ilvl w:val="0"/>
          <w:numId w:val="4"/>
        </w:numPr>
        <w:jc w:val="both"/>
        <w:rPr>
          <w:rFonts w:eastAsia="Times New Roman"/>
        </w:rPr>
      </w:pPr>
      <w:r w:rsidRPr="00FE0F46">
        <w:rPr>
          <w:rFonts w:eastAsia="Times New Roman"/>
        </w:rPr>
        <w:t>An ADI that sells credit protection using a credit derivative containing an embedded option to extend the term of the credit derivative must assume the longest possible effective maturity of the credit derivative. This is regardless of any contractual arrangements that may give either the protection buyer or the protection seller the incentive to reduce the contract term.</w:t>
      </w:r>
    </w:p>
    <w:p w14:paraId="238E7465" w14:textId="77777777" w:rsidR="00DA2F35" w:rsidRPr="006C73AE" w:rsidRDefault="00DA2F35" w:rsidP="00DA2F35">
      <w:pPr>
        <w:numPr>
          <w:ilvl w:val="0"/>
          <w:numId w:val="3"/>
        </w:numPr>
        <w:jc w:val="both"/>
        <w:rPr>
          <w:rFonts w:eastAsia="Times New Roman"/>
        </w:rPr>
      </w:pPr>
      <w:r w:rsidRPr="006C73AE">
        <w:rPr>
          <w:rFonts w:eastAsia="Times New Roman"/>
        </w:rPr>
        <w:t>When determining the amount of credit protection sold, an ADI must assume that any materiality thresholds included in the credit derivative contract do not reduce the acquired credit risk.</w:t>
      </w:r>
    </w:p>
    <w:p w14:paraId="17522D8A" w14:textId="77777777" w:rsidR="00275842" w:rsidRPr="00FE0F46" w:rsidRDefault="00275842" w:rsidP="006D3060">
      <w:pPr>
        <w:pStyle w:val="Heading3"/>
      </w:pPr>
      <w:bookmarkStart w:id="249" w:name="_Toc460484863"/>
      <w:bookmarkStart w:id="250" w:name="_Toc461699151"/>
      <w:r w:rsidRPr="00FE0F46">
        <w:t>Credit-default swaps</w:t>
      </w:r>
      <w:bookmarkEnd w:id="249"/>
      <w:bookmarkEnd w:id="250"/>
    </w:p>
    <w:p w14:paraId="46A9D642" w14:textId="77777777" w:rsidR="00275842" w:rsidRPr="00FE0F46" w:rsidRDefault="00275842" w:rsidP="000A4BE9">
      <w:pPr>
        <w:numPr>
          <w:ilvl w:val="0"/>
          <w:numId w:val="3"/>
        </w:numPr>
        <w:jc w:val="both"/>
        <w:rPr>
          <w:rFonts w:eastAsia="Times New Roman"/>
        </w:rPr>
      </w:pPr>
      <w:bookmarkStart w:id="251" w:name="_Ref460428968"/>
      <w:r w:rsidRPr="00FE0F46">
        <w:rPr>
          <w:rFonts w:eastAsia="Times New Roman"/>
        </w:rPr>
        <w:t>Where credit protection is sold via a credit-default swap referenced to a single reference entity, the ADI acquires an exposure to the credit risk of that entity. The risk weight that must be applied to the exposure is the risk weight that would otherwise apply to the reference entity. The amount of the exposure is the maximum possible amount payable under the terms of the credit derivative contract if a credit event were to occur.</w:t>
      </w:r>
      <w:bookmarkEnd w:id="251"/>
    </w:p>
    <w:p w14:paraId="17838BB0" w14:textId="06D5B77E" w:rsidR="00275842" w:rsidRPr="00FE0F46" w:rsidRDefault="00275842" w:rsidP="006D3060">
      <w:pPr>
        <w:pStyle w:val="Heading3"/>
      </w:pPr>
      <w:bookmarkStart w:id="252" w:name="_Toc460484866"/>
      <w:bookmarkStart w:id="253" w:name="_Toc461699154"/>
      <w:r w:rsidRPr="00FE0F46">
        <w:t>First-</w:t>
      </w:r>
      <w:r w:rsidR="00A410BF" w:rsidRPr="00FE0F46">
        <w:t xml:space="preserve"> and second-</w:t>
      </w:r>
      <w:r w:rsidRPr="00FE0F46">
        <w:t>to-default basket credit derivatives</w:t>
      </w:r>
      <w:bookmarkEnd w:id="252"/>
      <w:bookmarkEnd w:id="253"/>
    </w:p>
    <w:p w14:paraId="57ABC9D4" w14:textId="77777777" w:rsidR="00F65C34" w:rsidRPr="00FE0F46" w:rsidRDefault="00F65C34" w:rsidP="00F65C34">
      <w:pPr>
        <w:pStyle w:val="BodyText1"/>
      </w:pPr>
      <w:bookmarkStart w:id="254" w:name="_Ref5001815"/>
      <w:r w:rsidRPr="00FE0F46">
        <w:t>An ADI which sells credit protection through a first-to-default or second-to-default credit derivative, must apply the following capital requirements to these exposures:</w:t>
      </w:r>
      <w:bookmarkEnd w:id="254"/>
      <w:r w:rsidRPr="00FE0F46">
        <w:t xml:space="preserve"> </w:t>
      </w:r>
    </w:p>
    <w:p w14:paraId="746AB78F" w14:textId="77777777" w:rsidR="00F65C34" w:rsidRPr="00FE0F46" w:rsidRDefault="00F65C34" w:rsidP="00696784">
      <w:pPr>
        <w:pStyle w:val="BodyText2"/>
      </w:pPr>
      <w:r w:rsidRPr="00FE0F46">
        <w:t>for first-to-default credit derivatives, the risk weights of the assets included in the basket must be aggregated up to a maximum of 1250 per cent and multiplied by the nominal amount of the protection provided by the credit derivative to obtain the risk-weighted asset amount; and</w:t>
      </w:r>
    </w:p>
    <w:p w14:paraId="3D10D838" w14:textId="31EC30D9" w:rsidR="00F65C34" w:rsidRPr="00FE0F46" w:rsidRDefault="00F65C34" w:rsidP="00696784">
      <w:pPr>
        <w:pStyle w:val="BodyText2"/>
      </w:pPr>
      <w:r w:rsidRPr="00FE0F46">
        <w:t xml:space="preserve">for second-to-default credit derivatives, the treatment is similar; however, in aggregating the risk weights, the asset with the lowest risk-weighted </w:t>
      </w:r>
      <w:r w:rsidRPr="00FE0F46">
        <w:lastRenderedPageBreak/>
        <w:t xml:space="preserve">amount can be excluded from the calculation. This treatment applies respectively for </w:t>
      </w:r>
      <w:r w:rsidRPr="0007789D">
        <w:rPr>
          <w:i/>
        </w:rPr>
        <w:t>n</w:t>
      </w:r>
      <w:r w:rsidRPr="00FE0F46">
        <w:t xml:space="preserve">th-to-default credit derivatives, for which the </w:t>
      </w:r>
      <w:r w:rsidRPr="0099573B">
        <w:rPr>
          <w:i/>
        </w:rPr>
        <w:t>n</w:t>
      </w:r>
      <w:r w:rsidRPr="00FE0F46">
        <w:t xml:space="preserve">-assets with the lowest risk-weighted amounts can be excluded from the calculation. </w:t>
      </w:r>
    </w:p>
    <w:sectPr w:rsidR="00F65C34" w:rsidRPr="00FE0F46" w:rsidSect="000D63A8">
      <w:footerReference w:type="default" r:id="rId41"/>
      <w:pgSz w:w="11906" w:h="16838" w:code="9"/>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8D2D61" w14:textId="77777777" w:rsidR="00122464" w:rsidRDefault="00122464" w:rsidP="006A6A52">
      <w:pPr>
        <w:spacing w:after="0"/>
      </w:pPr>
      <w:r>
        <w:separator/>
      </w:r>
    </w:p>
  </w:endnote>
  <w:endnote w:type="continuationSeparator" w:id="0">
    <w:p w14:paraId="3B33AF0B" w14:textId="77777777" w:rsidR="00122464" w:rsidRDefault="00122464" w:rsidP="006A6A52">
      <w:pPr>
        <w:spacing w:after="0"/>
      </w:pPr>
      <w:r>
        <w:continuationSeparator/>
      </w:r>
    </w:p>
  </w:endnote>
  <w:endnote w:type="continuationNotice" w:id="1">
    <w:p w14:paraId="4B406B58" w14:textId="77777777" w:rsidR="00122464" w:rsidRDefault="0012246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IN OT Light">
    <w:panose1 w:val="020B0504020201010104"/>
    <w:charset w:val="00"/>
    <w:family w:val="swiss"/>
    <w:pitch w:val="variable"/>
    <w:sig w:usb0="800000EF" w:usb1="4000A47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b w:val="0"/>
        <w:sz w:val="22"/>
        <w:szCs w:val="22"/>
      </w:rPr>
      <w:id w:val="1362471531"/>
      <w:docPartObj>
        <w:docPartGallery w:val="Page Numbers (Bottom of Page)"/>
        <w:docPartUnique/>
      </w:docPartObj>
    </w:sdtPr>
    <w:sdtEndPr>
      <w:rPr>
        <w:rFonts w:ascii="Times New Roman" w:hAnsi="Times New Roman" w:cs="Times New Roman"/>
        <w:b/>
        <w:sz w:val="24"/>
        <w:szCs w:val="24"/>
      </w:rPr>
    </w:sdtEndPr>
    <w:sdtContent>
      <w:sdt>
        <w:sdtPr>
          <w:rPr>
            <w:rFonts w:ascii="Arial" w:hAnsi="Arial" w:cs="Arial"/>
            <w:b w:val="0"/>
            <w:sz w:val="22"/>
            <w:szCs w:val="22"/>
          </w:rPr>
          <w:id w:val="-1769616900"/>
          <w:docPartObj>
            <w:docPartGallery w:val="Page Numbers (Top of Page)"/>
            <w:docPartUnique/>
          </w:docPartObj>
        </w:sdtPr>
        <w:sdtEndPr>
          <w:rPr>
            <w:rFonts w:ascii="Times New Roman" w:hAnsi="Times New Roman" w:cs="Times New Roman"/>
            <w:b/>
            <w:sz w:val="24"/>
            <w:szCs w:val="24"/>
          </w:rPr>
        </w:sdtEndPr>
        <w:sdtContent>
          <w:p w14:paraId="1BEE78F6" w14:textId="527D1CC9" w:rsidR="00867C8F" w:rsidRDefault="00867C8F" w:rsidP="00867C8F">
            <w:pPr>
              <w:pStyle w:val="Footer"/>
              <w:spacing w:after="0"/>
            </w:pPr>
            <w:r w:rsidRPr="00867C8F">
              <w:rPr>
                <w:rFonts w:ascii="Arial" w:hAnsi="Arial" w:cs="Arial"/>
                <w:b w:val="0"/>
                <w:sz w:val="22"/>
                <w:szCs w:val="22"/>
              </w:rPr>
              <w:t xml:space="preserve">Page </w:t>
            </w:r>
            <w:r w:rsidRPr="00867C8F">
              <w:rPr>
                <w:rFonts w:ascii="Arial" w:hAnsi="Arial" w:cs="Arial"/>
                <w:b w:val="0"/>
                <w:bCs/>
                <w:sz w:val="22"/>
                <w:szCs w:val="22"/>
              </w:rPr>
              <w:fldChar w:fldCharType="begin"/>
            </w:r>
            <w:r w:rsidRPr="00867C8F">
              <w:rPr>
                <w:rFonts w:ascii="Arial" w:hAnsi="Arial" w:cs="Arial"/>
                <w:b w:val="0"/>
                <w:bCs/>
                <w:sz w:val="22"/>
                <w:szCs w:val="22"/>
              </w:rPr>
              <w:instrText xml:space="preserve"> PAGE </w:instrText>
            </w:r>
            <w:r w:rsidRPr="00867C8F">
              <w:rPr>
                <w:rFonts w:ascii="Arial" w:hAnsi="Arial" w:cs="Arial"/>
                <w:b w:val="0"/>
                <w:bCs/>
                <w:sz w:val="22"/>
                <w:szCs w:val="22"/>
              </w:rPr>
              <w:fldChar w:fldCharType="separate"/>
            </w:r>
            <w:r w:rsidRPr="00867C8F">
              <w:rPr>
                <w:rFonts w:ascii="Arial" w:hAnsi="Arial" w:cs="Arial"/>
                <w:b w:val="0"/>
                <w:bCs/>
                <w:noProof/>
                <w:sz w:val="22"/>
                <w:szCs w:val="22"/>
              </w:rPr>
              <w:t>2</w:t>
            </w:r>
            <w:r w:rsidRPr="00867C8F">
              <w:rPr>
                <w:rFonts w:ascii="Arial" w:hAnsi="Arial" w:cs="Arial"/>
                <w:b w:val="0"/>
                <w:bCs/>
                <w:sz w:val="22"/>
                <w:szCs w:val="22"/>
              </w:rPr>
              <w:fldChar w:fldCharType="end"/>
            </w:r>
            <w:r w:rsidRPr="00867C8F">
              <w:rPr>
                <w:rFonts w:ascii="Arial" w:hAnsi="Arial" w:cs="Arial"/>
                <w:b w:val="0"/>
                <w:sz w:val="22"/>
                <w:szCs w:val="22"/>
              </w:rPr>
              <w:t xml:space="preserve"> of </w:t>
            </w:r>
            <w:r>
              <w:rPr>
                <w:rFonts w:ascii="Arial" w:hAnsi="Arial" w:cs="Arial"/>
                <w:b w:val="0"/>
                <w:bCs/>
                <w:sz w:val="22"/>
                <w:szCs w:val="22"/>
              </w:rPr>
              <w:t>2</w:t>
            </w:r>
          </w:p>
        </w:sdtContent>
      </w:sdt>
    </w:sdtContent>
  </w:sdt>
  <w:p w14:paraId="02BB2A96" w14:textId="1E427532" w:rsidR="00122464" w:rsidRPr="00867C8F" w:rsidRDefault="00122464" w:rsidP="00867C8F">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C10DC" w14:textId="1C84C539" w:rsidR="00122464" w:rsidRPr="00842FBD" w:rsidRDefault="00122464" w:rsidP="00842FBD">
    <w:pPr>
      <w:pStyle w:val="Footer"/>
    </w:pPr>
    <w:r>
      <w:rPr>
        <w:noProof/>
      </w:rPr>
      <w:fldChar w:fldCharType="begin"/>
    </w:r>
    <w:r>
      <w:rPr>
        <w:noProof/>
      </w:rPr>
      <w:instrText xml:space="preserve"> STYLEREF  "PS No. field text"  \* MERGEFORMAT </w:instrText>
    </w:r>
    <w:r>
      <w:rPr>
        <w:noProof/>
      </w:rPr>
      <w:fldChar w:fldCharType="separate"/>
    </w:r>
    <w:r w:rsidR="0091048A">
      <w:rPr>
        <w:noProof/>
      </w:rPr>
      <w:t>APS 112</w:t>
    </w:r>
    <w:r>
      <w:rPr>
        <w:noProof/>
      </w:rPr>
      <w:fldChar w:fldCharType="end"/>
    </w:r>
    <w:r>
      <w:t xml:space="preserve"> – Attachment </w:t>
    </w:r>
    <w:r>
      <w:rPr>
        <w:noProof/>
      </w:rPr>
      <w:t>F</w:t>
    </w:r>
    <w:r>
      <w:t xml:space="preserve"> - </w:t>
    </w:r>
    <w:r w:rsidRPr="00842FBD">
      <w:fldChar w:fldCharType="begin"/>
    </w:r>
    <w:r w:rsidRPr="00842FBD">
      <w:instrText xml:space="preserve"> PAGE </w:instrText>
    </w:r>
    <w:r w:rsidRPr="00842FBD">
      <w:fldChar w:fldCharType="separate"/>
    </w:r>
    <w:r>
      <w:rPr>
        <w:noProof/>
      </w:rPr>
      <w:t>42</w:t>
    </w:r>
    <w:r w:rsidRPr="00842FBD">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D410B" w14:textId="1CEC117A" w:rsidR="00122464" w:rsidRPr="00842FBD" w:rsidRDefault="00122464" w:rsidP="00842FBD">
    <w:pPr>
      <w:pStyle w:val="Footer"/>
    </w:pPr>
    <w:r>
      <w:rPr>
        <w:noProof/>
      </w:rPr>
      <w:fldChar w:fldCharType="begin"/>
    </w:r>
    <w:r>
      <w:rPr>
        <w:noProof/>
      </w:rPr>
      <w:instrText xml:space="preserve"> STYLEREF  "PS No. field text"  \* MERGEFORMAT </w:instrText>
    </w:r>
    <w:r>
      <w:rPr>
        <w:noProof/>
      </w:rPr>
      <w:fldChar w:fldCharType="separate"/>
    </w:r>
    <w:r w:rsidR="0091048A">
      <w:rPr>
        <w:noProof/>
      </w:rPr>
      <w:t>APS 112</w:t>
    </w:r>
    <w:r>
      <w:rPr>
        <w:noProof/>
      </w:rPr>
      <w:fldChar w:fldCharType="end"/>
    </w:r>
    <w:r>
      <w:t xml:space="preserve"> – Attachment </w:t>
    </w:r>
    <w:r>
      <w:rPr>
        <w:noProof/>
      </w:rPr>
      <w:t>G</w:t>
    </w:r>
    <w:r>
      <w:t xml:space="preserve"> - </w:t>
    </w:r>
    <w:r w:rsidRPr="00842FBD">
      <w:fldChar w:fldCharType="begin"/>
    </w:r>
    <w:r w:rsidRPr="00842FBD">
      <w:instrText xml:space="preserve"> PAGE </w:instrText>
    </w:r>
    <w:r w:rsidRPr="00842FBD">
      <w:fldChar w:fldCharType="separate"/>
    </w:r>
    <w:r>
      <w:rPr>
        <w:noProof/>
      </w:rPr>
      <w:t>57</w:t>
    </w:r>
    <w:r w:rsidRPr="00842FBD">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C668C" w14:textId="32BED4D9" w:rsidR="00122464" w:rsidRPr="00842FBD" w:rsidRDefault="00122464" w:rsidP="00842FBD">
    <w:pPr>
      <w:pStyle w:val="Footer"/>
    </w:pPr>
    <w:r>
      <w:rPr>
        <w:noProof/>
      </w:rPr>
      <w:fldChar w:fldCharType="begin"/>
    </w:r>
    <w:r>
      <w:rPr>
        <w:noProof/>
      </w:rPr>
      <w:instrText xml:space="preserve"> STYLEREF  "PS No. field text"  \* MERGEFORMAT </w:instrText>
    </w:r>
    <w:r>
      <w:rPr>
        <w:noProof/>
      </w:rPr>
      <w:fldChar w:fldCharType="separate"/>
    </w:r>
    <w:r w:rsidR="0091048A">
      <w:rPr>
        <w:noProof/>
      </w:rPr>
      <w:t>APS 112</w:t>
    </w:r>
    <w:r>
      <w:rPr>
        <w:noProof/>
      </w:rPr>
      <w:fldChar w:fldCharType="end"/>
    </w:r>
    <w:r>
      <w:t xml:space="preserve"> – Attachment </w:t>
    </w:r>
    <w:r>
      <w:rPr>
        <w:noProof/>
      </w:rPr>
      <w:t>H</w:t>
    </w:r>
    <w:r>
      <w:t xml:space="preserve"> - </w:t>
    </w:r>
    <w:r w:rsidRPr="00842FBD">
      <w:fldChar w:fldCharType="begin"/>
    </w:r>
    <w:r w:rsidRPr="00842FBD">
      <w:instrText xml:space="preserve"> PAGE </w:instrText>
    </w:r>
    <w:r w:rsidRPr="00842FBD">
      <w:fldChar w:fldCharType="separate"/>
    </w:r>
    <w:r>
      <w:rPr>
        <w:noProof/>
      </w:rPr>
      <w:t>61</w:t>
    </w:r>
    <w:r w:rsidRPr="00842FBD">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2FBDA" w14:textId="69E2E5D3" w:rsidR="00122464" w:rsidRPr="00842FBD" w:rsidRDefault="00122464" w:rsidP="00842FBD">
    <w:pPr>
      <w:pStyle w:val="Footer"/>
    </w:pPr>
    <w:r>
      <w:rPr>
        <w:noProof/>
      </w:rPr>
      <w:fldChar w:fldCharType="begin"/>
    </w:r>
    <w:r>
      <w:rPr>
        <w:noProof/>
      </w:rPr>
      <w:instrText xml:space="preserve"> STYLEREF  "PS No. field text"  \* MERGEFORMAT </w:instrText>
    </w:r>
    <w:r>
      <w:rPr>
        <w:noProof/>
      </w:rPr>
      <w:fldChar w:fldCharType="separate"/>
    </w:r>
    <w:r w:rsidR="0091048A">
      <w:rPr>
        <w:noProof/>
      </w:rPr>
      <w:t>APS 112</w:t>
    </w:r>
    <w:r>
      <w:rPr>
        <w:noProof/>
      </w:rPr>
      <w:fldChar w:fldCharType="end"/>
    </w:r>
    <w:r>
      <w:t xml:space="preserve"> – Attachment </w:t>
    </w:r>
    <w:r>
      <w:rPr>
        <w:noProof/>
      </w:rPr>
      <w:t>I</w:t>
    </w:r>
    <w:r>
      <w:t xml:space="preserve"> - </w:t>
    </w:r>
    <w:r w:rsidRPr="00842FBD">
      <w:fldChar w:fldCharType="begin"/>
    </w:r>
    <w:r w:rsidRPr="00842FBD">
      <w:instrText xml:space="preserve"> PAGE </w:instrText>
    </w:r>
    <w:r w:rsidRPr="00842FBD">
      <w:fldChar w:fldCharType="separate"/>
    </w:r>
    <w:r>
      <w:rPr>
        <w:noProof/>
      </w:rPr>
      <w:t>65</w:t>
    </w:r>
    <w:r w:rsidRPr="00842FBD">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8C348" w14:textId="53044C0F" w:rsidR="00122464" w:rsidRPr="00842FBD" w:rsidRDefault="00122464" w:rsidP="00842FBD">
    <w:pPr>
      <w:pStyle w:val="Footer"/>
    </w:pPr>
    <w:r>
      <w:rPr>
        <w:noProof/>
      </w:rPr>
      <w:fldChar w:fldCharType="begin"/>
    </w:r>
    <w:r>
      <w:rPr>
        <w:noProof/>
      </w:rPr>
      <w:instrText xml:space="preserve"> STYLEREF  "PS No. field text"  \* MERGEFORMAT </w:instrText>
    </w:r>
    <w:r>
      <w:rPr>
        <w:noProof/>
      </w:rPr>
      <w:fldChar w:fldCharType="separate"/>
    </w:r>
    <w:r w:rsidR="0091048A">
      <w:rPr>
        <w:noProof/>
      </w:rPr>
      <w:t>APS 112</w:t>
    </w:r>
    <w:r>
      <w:rPr>
        <w:noProof/>
      </w:rPr>
      <w:fldChar w:fldCharType="end"/>
    </w:r>
    <w:bookmarkStart w:id="255" w:name="_Toc326676936"/>
    <w:bookmarkStart w:id="256" w:name="_Toc326756341"/>
    <w:bookmarkStart w:id="257" w:name="_Toc256519850"/>
    <w:r>
      <w:t xml:space="preserve"> – Attachment </w:t>
    </w:r>
    <w:r>
      <w:rPr>
        <w:noProof/>
      </w:rPr>
      <w:t>J</w:t>
    </w:r>
    <w:r>
      <w:t xml:space="preserve"> - </w:t>
    </w:r>
    <w:r w:rsidRPr="00842FBD">
      <w:fldChar w:fldCharType="begin"/>
    </w:r>
    <w:r w:rsidRPr="00842FBD">
      <w:instrText xml:space="preserve"> PAGE </w:instrText>
    </w:r>
    <w:r w:rsidRPr="00842FBD">
      <w:fldChar w:fldCharType="separate"/>
    </w:r>
    <w:r>
      <w:rPr>
        <w:noProof/>
      </w:rPr>
      <w:t>72</w:t>
    </w:r>
    <w:r w:rsidRPr="00842FBD">
      <w:fldChar w:fldCharType="end"/>
    </w:r>
    <w:bookmarkEnd w:id="255"/>
    <w:bookmarkEnd w:id="256"/>
    <w:bookmarkEnd w:id="257"/>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AC4E4" w14:textId="77777777" w:rsidR="00867C8F" w:rsidRDefault="00867C8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FE108" w14:textId="255E6F59" w:rsidR="00867C8F" w:rsidRPr="00867C8F" w:rsidRDefault="00867C8F" w:rsidP="00867C8F">
    <w:pPr>
      <w:pStyle w:val="Footer"/>
    </w:pPr>
    <w:r>
      <w:rPr>
        <w:noProof/>
      </w:rPr>
      <w:fldChar w:fldCharType="begin"/>
    </w:r>
    <w:r>
      <w:rPr>
        <w:noProof/>
      </w:rPr>
      <w:instrText xml:space="preserve"> STYLEREF  "PS No. field text"  \* MERGEFORMAT </w:instrText>
    </w:r>
    <w:r>
      <w:rPr>
        <w:noProof/>
      </w:rPr>
      <w:fldChar w:fldCharType="separate"/>
    </w:r>
    <w:r w:rsidR="0091048A">
      <w:rPr>
        <w:noProof/>
      </w:rPr>
      <w:t>APS 112</w:t>
    </w:r>
    <w:r>
      <w:rPr>
        <w:noProof/>
      </w:rPr>
      <w:fldChar w:fldCharType="end"/>
    </w:r>
    <w:r>
      <w:t xml:space="preserve"> - </w:t>
    </w:r>
    <w:r w:rsidRPr="00842FBD">
      <w:fldChar w:fldCharType="begin"/>
    </w:r>
    <w:r w:rsidRPr="00842FBD">
      <w:instrText xml:space="preserve"> PAGE </w:instrText>
    </w:r>
    <w:r w:rsidRPr="00842FBD">
      <w:fldChar w:fldCharType="separate"/>
    </w:r>
    <w:r>
      <w:t>2</w:t>
    </w:r>
    <w:r w:rsidRPr="00842FBD">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137F8" w14:textId="1764278F" w:rsidR="00122464" w:rsidRPr="00842FBD" w:rsidRDefault="00122464" w:rsidP="00842FBD">
    <w:pPr>
      <w:pStyle w:val="Footer"/>
    </w:pPr>
    <w:r>
      <w:rPr>
        <w:noProof/>
      </w:rPr>
      <w:fldChar w:fldCharType="begin"/>
    </w:r>
    <w:r>
      <w:rPr>
        <w:noProof/>
      </w:rPr>
      <w:instrText xml:space="preserve"> STYLEREF  "PS No. field text"  \* MERGEFORMAT </w:instrText>
    </w:r>
    <w:r>
      <w:rPr>
        <w:noProof/>
      </w:rPr>
      <w:fldChar w:fldCharType="separate"/>
    </w:r>
    <w:r w:rsidR="0091048A">
      <w:rPr>
        <w:noProof/>
      </w:rPr>
      <w:t>APS 112</w:t>
    </w:r>
    <w:r>
      <w:rPr>
        <w:noProof/>
      </w:rPr>
      <w:fldChar w:fldCharType="end"/>
    </w:r>
    <w:r>
      <w:t xml:space="preserve"> - </w:t>
    </w:r>
    <w:r w:rsidRPr="00842FBD">
      <w:fldChar w:fldCharType="begin"/>
    </w:r>
    <w:r w:rsidRPr="00842FBD">
      <w:instrText xml:space="preserve"> PAGE </w:instrText>
    </w:r>
    <w:r w:rsidRPr="00842FBD">
      <w:fldChar w:fldCharType="separate"/>
    </w:r>
    <w:r>
      <w:t>8</w:t>
    </w:r>
    <w:r w:rsidRPr="00842FBD">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417D2" w14:textId="2D6960C2" w:rsidR="00122464" w:rsidRPr="00842FBD" w:rsidRDefault="00122464" w:rsidP="00842FBD">
    <w:pPr>
      <w:pStyle w:val="Footer"/>
    </w:pPr>
    <w:r>
      <w:rPr>
        <w:noProof/>
      </w:rPr>
      <w:fldChar w:fldCharType="begin"/>
    </w:r>
    <w:r>
      <w:rPr>
        <w:noProof/>
      </w:rPr>
      <w:instrText xml:space="preserve"> STYLEREF  "PS No. field text"  \* MERGEFORMAT </w:instrText>
    </w:r>
    <w:r>
      <w:rPr>
        <w:noProof/>
      </w:rPr>
      <w:fldChar w:fldCharType="separate"/>
    </w:r>
    <w:r w:rsidR="0091048A">
      <w:rPr>
        <w:noProof/>
      </w:rPr>
      <w:t>APS 112</w:t>
    </w:r>
    <w:r>
      <w:rPr>
        <w:noProof/>
      </w:rPr>
      <w:fldChar w:fldCharType="end"/>
    </w:r>
    <w:r>
      <w:t xml:space="preserve"> – Attachment </w:t>
    </w:r>
    <w:r>
      <w:rPr>
        <w:noProof/>
      </w:rPr>
      <w:fldChar w:fldCharType="begin"/>
    </w:r>
    <w:r>
      <w:rPr>
        <w:noProof/>
      </w:rPr>
      <w:instrText xml:space="preserve"> SEQ Attach\* ALPHABETIC\c  \* MERGEFORMAT </w:instrText>
    </w:r>
    <w:r>
      <w:rPr>
        <w:noProof/>
      </w:rPr>
      <w:fldChar w:fldCharType="separate"/>
    </w:r>
    <w:r w:rsidR="0091048A">
      <w:rPr>
        <w:noProof/>
      </w:rPr>
      <w:t>A</w:t>
    </w:r>
    <w:r>
      <w:rPr>
        <w:noProof/>
      </w:rPr>
      <w:fldChar w:fldCharType="end"/>
    </w:r>
    <w:r>
      <w:t xml:space="preserve"> - </w:t>
    </w:r>
    <w:r w:rsidRPr="00842FBD">
      <w:fldChar w:fldCharType="begin"/>
    </w:r>
    <w:r w:rsidRPr="00842FBD">
      <w:instrText xml:space="preserve"> PAGE </w:instrText>
    </w:r>
    <w:r w:rsidRPr="00842FBD">
      <w:fldChar w:fldCharType="separate"/>
    </w:r>
    <w:r>
      <w:rPr>
        <w:noProof/>
      </w:rPr>
      <w:t>17</w:t>
    </w:r>
    <w:r w:rsidRPr="00842FBD">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6B58C" w14:textId="7E265879" w:rsidR="00122464" w:rsidRPr="00842FBD" w:rsidRDefault="00122464" w:rsidP="00842FBD">
    <w:pPr>
      <w:pStyle w:val="Footer"/>
    </w:pPr>
    <w:r>
      <w:rPr>
        <w:noProof/>
      </w:rPr>
      <w:fldChar w:fldCharType="begin"/>
    </w:r>
    <w:r>
      <w:rPr>
        <w:noProof/>
      </w:rPr>
      <w:instrText xml:space="preserve"> STYLEREF  "PS No. field text"  \* MERGEFORMAT </w:instrText>
    </w:r>
    <w:r>
      <w:rPr>
        <w:noProof/>
      </w:rPr>
      <w:fldChar w:fldCharType="separate"/>
    </w:r>
    <w:r w:rsidR="0091048A">
      <w:rPr>
        <w:noProof/>
      </w:rPr>
      <w:t>APS 112</w:t>
    </w:r>
    <w:r>
      <w:rPr>
        <w:noProof/>
      </w:rPr>
      <w:fldChar w:fldCharType="end"/>
    </w:r>
    <w:r>
      <w:t xml:space="preserve"> – Attachment </w:t>
    </w:r>
    <w:r>
      <w:rPr>
        <w:noProof/>
      </w:rPr>
      <w:fldChar w:fldCharType="begin"/>
    </w:r>
    <w:r>
      <w:rPr>
        <w:noProof/>
      </w:rPr>
      <w:instrText xml:space="preserve"> SEQ Attach\* ALPHABETIC\c  \* MERGEFORMAT </w:instrText>
    </w:r>
    <w:r>
      <w:rPr>
        <w:noProof/>
      </w:rPr>
      <w:fldChar w:fldCharType="separate"/>
    </w:r>
    <w:r w:rsidR="0091048A">
      <w:rPr>
        <w:noProof/>
      </w:rPr>
      <w:t>B</w:t>
    </w:r>
    <w:r>
      <w:rPr>
        <w:noProof/>
      </w:rPr>
      <w:fldChar w:fldCharType="end"/>
    </w:r>
    <w:r>
      <w:t xml:space="preserve"> - </w:t>
    </w:r>
    <w:r w:rsidRPr="00842FBD">
      <w:fldChar w:fldCharType="begin"/>
    </w:r>
    <w:r w:rsidRPr="00842FBD">
      <w:instrText xml:space="preserve"> PAGE </w:instrText>
    </w:r>
    <w:r w:rsidRPr="00842FBD">
      <w:fldChar w:fldCharType="separate"/>
    </w:r>
    <w:r>
      <w:rPr>
        <w:noProof/>
      </w:rPr>
      <w:t>31</w:t>
    </w:r>
    <w:r w:rsidRPr="00842FBD">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78044" w14:textId="1AE57503" w:rsidR="00122464" w:rsidRPr="00842FBD" w:rsidRDefault="00122464" w:rsidP="00842FBD">
    <w:pPr>
      <w:pStyle w:val="Footer"/>
    </w:pPr>
    <w:r>
      <w:rPr>
        <w:noProof/>
      </w:rPr>
      <w:fldChar w:fldCharType="begin"/>
    </w:r>
    <w:r>
      <w:rPr>
        <w:noProof/>
      </w:rPr>
      <w:instrText xml:space="preserve"> STYLEREF  "PS No. field text"  \* MERGEFORMAT </w:instrText>
    </w:r>
    <w:r>
      <w:rPr>
        <w:noProof/>
      </w:rPr>
      <w:fldChar w:fldCharType="separate"/>
    </w:r>
    <w:r w:rsidR="0091048A">
      <w:rPr>
        <w:noProof/>
      </w:rPr>
      <w:t>APS 112</w:t>
    </w:r>
    <w:r>
      <w:rPr>
        <w:noProof/>
      </w:rPr>
      <w:fldChar w:fldCharType="end"/>
    </w:r>
    <w:r>
      <w:t xml:space="preserve"> – Attachment </w:t>
    </w:r>
    <w:r>
      <w:rPr>
        <w:noProof/>
      </w:rPr>
      <w:t>C</w:t>
    </w:r>
    <w:r>
      <w:t xml:space="preserve"> - </w:t>
    </w:r>
    <w:r w:rsidRPr="00842FBD">
      <w:fldChar w:fldCharType="begin"/>
    </w:r>
    <w:r w:rsidRPr="00842FBD">
      <w:instrText xml:space="preserve"> PAGE </w:instrText>
    </w:r>
    <w:r w:rsidRPr="00842FBD">
      <w:fldChar w:fldCharType="separate"/>
    </w:r>
    <w:r>
      <w:rPr>
        <w:noProof/>
      </w:rPr>
      <w:t>34</w:t>
    </w:r>
    <w:r w:rsidRPr="00842FBD">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D289D" w14:textId="4219033D" w:rsidR="00122464" w:rsidRPr="00842FBD" w:rsidRDefault="00122464" w:rsidP="00842FBD">
    <w:pPr>
      <w:pStyle w:val="Footer"/>
    </w:pPr>
    <w:r>
      <w:rPr>
        <w:noProof/>
      </w:rPr>
      <w:fldChar w:fldCharType="begin"/>
    </w:r>
    <w:r>
      <w:rPr>
        <w:noProof/>
      </w:rPr>
      <w:instrText xml:space="preserve"> STYLEREF  "PS No. field text"  \* MERGEFORMAT </w:instrText>
    </w:r>
    <w:r>
      <w:rPr>
        <w:noProof/>
      </w:rPr>
      <w:fldChar w:fldCharType="separate"/>
    </w:r>
    <w:r w:rsidR="0091048A">
      <w:rPr>
        <w:noProof/>
      </w:rPr>
      <w:t>APS 112</w:t>
    </w:r>
    <w:r>
      <w:rPr>
        <w:noProof/>
      </w:rPr>
      <w:fldChar w:fldCharType="end"/>
    </w:r>
    <w:r>
      <w:t xml:space="preserve"> – Attachment </w:t>
    </w:r>
    <w:r>
      <w:rPr>
        <w:noProof/>
      </w:rPr>
      <w:t>D</w:t>
    </w:r>
    <w:r>
      <w:t xml:space="preserve"> - </w:t>
    </w:r>
    <w:r w:rsidRPr="00842FBD">
      <w:fldChar w:fldCharType="begin"/>
    </w:r>
    <w:r w:rsidRPr="00842FBD">
      <w:instrText xml:space="preserve"> PAGE </w:instrText>
    </w:r>
    <w:r w:rsidRPr="00842FBD">
      <w:fldChar w:fldCharType="separate"/>
    </w:r>
    <w:r>
      <w:rPr>
        <w:noProof/>
      </w:rPr>
      <w:t>36</w:t>
    </w:r>
    <w:r w:rsidRPr="00842FBD">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9F9CB" w14:textId="4FC0B0DC" w:rsidR="00122464" w:rsidRPr="00842FBD" w:rsidRDefault="00122464" w:rsidP="00842FBD">
    <w:pPr>
      <w:pStyle w:val="Footer"/>
    </w:pPr>
    <w:r>
      <w:rPr>
        <w:noProof/>
      </w:rPr>
      <w:fldChar w:fldCharType="begin"/>
    </w:r>
    <w:r>
      <w:rPr>
        <w:noProof/>
      </w:rPr>
      <w:instrText xml:space="preserve"> STYLEREF  "PS No. field text"  \* MERGEFORMAT </w:instrText>
    </w:r>
    <w:r>
      <w:rPr>
        <w:noProof/>
      </w:rPr>
      <w:fldChar w:fldCharType="separate"/>
    </w:r>
    <w:r w:rsidR="0091048A">
      <w:rPr>
        <w:noProof/>
      </w:rPr>
      <w:t>APS 112</w:t>
    </w:r>
    <w:r>
      <w:rPr>
        <w:noProof/>
      </w:rPr>
      <w:fldChar w:fldCharType="end"/>
    </w:r>
    <w:r>
      <w:t xml:space="preserve"> – Attachment </w:t>
    </w:r>
    <w:r>
      <w:rPr>
        <w:noProof/>
      </w:rPr>
      <w:t>E</w:t>
    </w:r>
    <w:r>
      <w:t xml:space="preserve"> - </w:t>
    </w:r>
    <w:r w:rsidRPr="00842FBD">
      <w:fldChar w:fldCharType="begin"/>
    </w:r>
    <w:r w:rsidRPr="00842FBD">
      <w:instrText xml:space="preserve"> PAGE </w:instrText>
    </w:r>
    <w:r w:rsidRPr="00842FBD">
      <w:fldChar w:fldCharType="separate"/>
    </w:r>
    <w:r>
      <w:rPr>
        <w:noProof/>
      </w:rPr>
      <w:t>39</w:t>
    </w:r>
    <w:r w:rsidRPr="00842FB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B1DA59" w14:textId="77777777" w:rsidR="00122464" w:rsidRDefault="00122464" w:rsidP="006A6A52">
      <w:pPr>
        <w:spacing w:after="0"/>
      </w:pPr>
      <w:r>
        <w:separator/>
      </w:r>
    </w:p>
  </w:footnote>
  <w:footnote w:type="continuationSeparator" w:id="0">
    <w:p w14:paraId="3577F648" w14:textId="77777777" w:rsidR="00122464" w:rsidRDefault="00122464" w:rsidP="006A6A52">
      <w:pPr>
        <w:spacing w:after="0"/>
      </w:pPr>
      <w:r>
        <w:continuationSeparator/>
      </w:r>
    </w:p>
  </w:footnote>
  <w:footnote w:type="continuationNotice" w:id="1">
    <w:p w14:paraId="0AC68571" w14:textId="77777777" w:rsidR="00122464" w:rsidRDefault="00122464">
      <w:pPr>
        <w:spacing w:after="0"/>
      </w:pPr>
    </w:p>
  </w:footnote>
  <w:footnote w:id="2">
    <w:p w14:paraId="64E70688" w14:textId="77777777" w:rsidR="00122464" w:rsidRDefault="00122464" w:rsidP="004573BC">
      <w:pPr>
        <w:pStyle w:val="FootnoteText"/>
        <w:spacing w:after="120"/>
      </w:pPr>
      <w:r>
        <w:rPr>
          <w:rStyle w:val="FootnoteReference"/>
        </w:rPr>
        <w:footnoteRef/>
      </w:r>
      <w:r>
        <w:t xml:space="preserve"> </w:t>
      </w:r>
      <w:r>
        <w:tab/>
      </w:r>
      <w:r w:rsidRPr="00696575">
        <w:t>Refer to subsection 11AF(2) of the Banking Act.</w:t>
      </w:r>
    </w:p>
  </w:footnote>
  <w:footnote w:id="3">
    <w:p w14:paraId="7E1EED93" w14:textId="5E56B208" w:rsidR="00122464" w:rsidRDefault="00122464">
      <w:pPr>
        <w:pStyle w:val="FootnoteText"/>
      </w:pPr>
      <w:r>
        <w:rPr>
          <w:rStyle w:val="FootnoteReference"/>
        </w:rPr>
        <w:footnoteRef/>
      </w:r>
      <w:r>
        <w:t xml:space="preserve"> </w:t>
      </w:r>
      <w:r>
        <w:tab/>
      </w:r>
      <w:r w:rsidR="00E04D4A">
        <w:t>P</w:t>
      </w:r>
      <w:r w:rsidRPr="003F7D3B">
        <w:t>rescribed New Zealand authority</w:t>
      </w:r>
      <w:r w:rsidRPr="00C42566">
        <w:t xml:space="preserve"> has the meaning given in subsection 5(1) of the Banking Act</w:t>
      </w:r>
      <w:r>
        <w:t>.</w:t>
      </w:r>
    </w:p>
  </w:footnote>
  <w:footnote w:id="4">
    <w:p w14:paraId="25CA023B" w14:textId="10DC5E0F" w:rsidR="00122464" w:rsidRDefault="00122464">
      <w:pPr>
        <w:pStyle w:val="FootnoteText"/>
      </w:pPr>
      <w:r>
        <w:rPr>
          <w:rStyle w:val="FootnoteReference"/>
        </w:rPr>
        <w:footnoteRef/>
      </w:r>
      <w:r>
        <w:t xml:space="preserve"> </w:t>
      </w:r>
      <w:r>
        <w:tab/>
        <w:t>For APS 112 purposes, an ADI may exclude credit risk RWA that arise from securities held in the trading book when applying the prescribed New Zealand authority’s equivalent prudential rules.</w:t>
      </w:r>
    </w:p>
  </w:footnote>
  <w:footnote w:id="5">
    <w:p w14:paraId="6D3B9D2D" w14:textId="77777777" w:rsidR="00122464" w:rsidRDefault="00122464" w:rsidP="00857B57">
      <w:pPr>
        <w:pStyle w:val="FootnoteText"/>
        <w:spacing w:after="120"/>
      </w:pPr>
      <w:r>
        <w:rPr>
          <w:rStyle w:val="FootnoteReference"/>
        </w:rPr>
        <w:footnoteRef/>
      </w:r>
      <w:r>
        <w:t xml:space="preserve"> </w:t>
      </w:r>
      <w:r>
        <w:tab/>
      </w:r>
      <w:r w:rsidRPr="009D0207">
        <w:t xml:space="preserve">The valuation must be done independently from the </w:t>
      </w:r>
      <w:r>
        <w:t>ADI’s</w:t>
      </w:r>
      <w:r w:rsidRPr="009D0207">
        <w:t xml:space="preserve"> mortgage acquisition, loan processing and loan decision process.</w:t>
      </w:r>
    </w:p>
  </w:footnote>
  <w:footnote w:id="6">
    <w:p w14:paraId="2309B100" w14:textId="77777777" w:rsidR="00122464" w:rsidRDefault="00122464" w:rsidP="00857B57">
      <w:pPr>
        <w:pStyle w:val="FootnoteText"/>
        <w:spacing w:after="120"/>
      </w:pPr>
      <w:r>
        <w:rPr>
          <w:rStyle w:val="FootnoteReference"/>
        </w:rPr>
        <w:footnoteRef/>
      </w:r>
      <w:r>
        <w:t xml:space="preserve"> </w:t>
      </w:r>
      <w:r>
        <w:tab/>
        <w:t xml:space="preserve">Where the </w:t>
      </w:r>
      <w:r w:rsidRPr="009D0207">
        <w:t xml:space="preserve">loan is financing the purchase of property, the value of the property for LVR purposes </w:t>
      </w:r>
      <w:r>
        <w:t>must</w:t>
      </w:r>
      <w:r w:rsidRPr="009D0207">
        <w:t xml:space="preserve"> not be higher than the effective purchase price.</w:t>
      </w:r>
    </w:p>
  </w:footnote>
  <w:footnote w:id="7">
    <w:p w14:paraId="06EBE9F5" w14:textId="499D55F1" w:rsidR="00122464" w:rsidRDefault="00122464" w:rsidP="00857B57">
      <w:pPr>
        <w:pStyle w:val="FootnoteText"/>
        <w:spacing w:after="120"/>
      </w:pPr>
      <w:r>
        <w:rPr>
          <w:rStyle w:val="FootnoteReference"/>
        </w:rPr>
        <w:footnoteRef/>
      </w:r>
      <w:r>
        <w:t xml:space="preserve"> </w:t>
      </w:r>
      <w:r>
        <w:tab/>
      </w:r>
      <w:r w:rsidRPr="00054DA9">
        <w:t xml:space="preserve">For the purpose of </w:t>
      </w:r>
      <w:r w:rsidRPr="00542262">
        <w:t xml:space="preserve">paragraph </w:t>
      </w:r>
      <w:r w:rsidRPr="00542262">
        <w:fldChar w:fldCharType="begin"/>
      </w:r>
      <w:r w:rsidRPr="00542262">
        <w:instrText xml:space="preserve"> REF _Ref3473775 \r \h </w:instrText>
      </w:r>
      <w:r>
        <w:instrText xml:space="preserve"> \* MERGEFORMAT </w:instrText>
      </w:r>
      <w:r w:rsidRPr="00542262">
        <w:fldChar w:fldCharType="separate"/>
      </w:r>
      <w:r w:rsidR="0007706D">
        <w:t>3(c)</w:t>
      </w:r>
      <w:r w:rsidRPr="00542262">
        <w:fldChar w:fldCharType="end"/>
      </w:r>
      <w:r>
        <w:t xml:space="preserve"> of this Attachment</w:t>
      </w:r>
      <w:r w:rsidRPr="00542262">
        <w:t>,</w:t>
      </w:r>
      <w:r w:rsidRPr="00054DA9">
        <w:t xml:space="preserve"> the following institutions may be risk-weighted at zero per cent:</w:t>
      </w:r>
      <w:r>
        <w:t xml:space="preserve"> the Bank for International Settlements; the International Monetary Fund; the European Central Bank; the European Union; the European Stability Mechanism; the European Financial Stability Facility; the World Bank Group comprising the International Bank for Reconstruction and Development, the International Finance Corporation, the Multilateral Investment Guarantee Agency and the International Development Association; the Asian Development Bank; the African Development Bank; the European Bank for Reconstruction and Development; the Inter-American Development Bank; the European Investment Bank; the European Investment Fund; the Nordic Investment Bank; the Caribbean Development Bank; the Islamic Development Bank; the Council of Europe Development Bank; the International Finance Facility for Immunization; and the Asian Infrastructure Investment Bank. </w:t>
      </w:r>
    </w:p>
  </w:footnote>
  <w:footnote w:id="8">
    <w:p w14:paraId="42081F20" w14:textId="77777777" w:rsidR="00122464" w:rsidRDefault="00122464" w:rsidP="00857B57">
      <w:pPr>
        <w:pStyle w:val="FootnoteText"/>
        <w:spacing w:after="120"/>
      </w:pPr>
      <w:r>
        <w:rPr>
          <w:rStyle w:val="FootnoteReference"/>
        </w:rPr>
        <w:footnoteRef/>
      </w:r>
      <w:r>
        <w:t xml:space="preserve"> </w:t>
      </w:r>
      <w:r>
        <w:tab/>
      </w:r>
      <w:r w:rsidRPr="00C01127">
        <w:t>This may include on-balance sheet exposures such as loans and off-balance sheet exposures such as self-liquidating trade-related contingent items.</w:t>
      </w:r>
    </w:p>
  </w:footnote>
  <w:footnote w:id="9">
    <w:p w14:paraId="7184FDE2" w14:textId="70722CC7" w:rsidR="00122464" w:rsidRDefault="00122464">
      <w:pPr>
        <w:pStyle w:val="FootnoteText"/>
      </w:pPr>
      <w:r>
        <w:rPr>
          <w:rStyle w:val="FootnoteReference"/>
        </w:rPr>
        <w:footnoteRef/>
      </w:r>
      <w:r>
        <w:t xml:space="preserve"> </w:t>
      </w:r>
      <w:r>
        <w:tab/>
        <w:t>For this purpose, short-term refers to an exposure with a maturity less than 12 months.</w:t>
      </w:r>
    </w:p>
  </w:footnote>
  <w:footnote w:id="10">
    <w:p w14:paraId="74B9E089" w14:textId="6FFD7CD0" w:rsidR="00122464" w:rsidRDefault="00122464" w:rsidP="00857B57">
      <w:pPr>
        <w:pStyle w:val="FootnoteText"/>
        <w:spacing w:after="120"/>
      </w:pPr>
      <w:r>
        <w:rPr>
          <w:rStyle w:val="FootnoteReference"/>
        </w:rPr>
        <w:footnoteRef/>
      </w:r>
      <w:r>
        <w:t xml:space="preserve"> </w:t>
      </w:r>
      <w:r>
        <w:tab/>
        <w:t xml:space="preserve">Subordinated debt which is structured for the purpose, or has the effect, of conveying the economic substance of equity ownership, must be treated as an equity exposure. </w:t>
      </w:r>
    </w:p>
  </w:footnote>
  <w:footnote w:id="11">
    <w:p w14:paraId="19E7D564" w14:textId="77777777" w:rsidR="00122464" w:rsidRDefault="00122464" w:rsidP="00857B57">
      <w:pPr>
        <w:pStyle w:val="FootnoteText"/>
        <w:spacing w:after="120"/>
      </w:pPr>
      <w:r>
        <w:rPr>
          <w:rStyle w:val="FootnoteReference"/>
        </w:rPr>
        <w:footnoteRef/>
      </w:r>
      <w:r>
        <w:t xml:space="preserve"> </w:t>
      </w:r>
      <w:r>
        <w:tab/>
      </w:r>
      <w:r w:rsidRPr="00247889">
        <w:t>Indirect equity interests include holdings of derivative instruments tied to equity interests and holdings in corporations, partnerships, limited liability companies, trusts or other types of entities that issue ownership interests and are engaged principally in the business of investing in equity instruments.</w:t>
      </w:r>
    </w:p>
  </w:footnote>
  <w:footnote w:id="12">
    <w:p w14:paraId="57FB6081" w14:textId="3CF8ADE5" w:rsidR="00122464" w:rsidRDefault="00122464" w:rsidP="00857B57">
      <w:pPr>
        <w:pStyle w:val="FootnoteText"/>
        <w:spacing w:after="120"/>
      </w:pPr>
      <w:r>
        <w:rPr>
          <w:rStyle w:val="FootnoteReference"/>
        </w:rPr>
        <w:footnoteRef/>
      </w:r>
      <w:r>
        <w:t xml:space="preserve"> </w:t>
      </w:r>
      <w:r>
        <w:tab/>
        <w:t xml:space="preserve">The risk-weighting of equity exposures in banking or insurance subsidiaries at Level 1 is subject to the deduction threshold detailed in Attachment D to APS 111. </w:t>
      </w:r>
    </w:p>
  </w:footnote>
  <w:footnote w:id="13">
    <w:p w14:paraId="263CCA51" w14:textId="1ED10FE3" w:rsidR="00122464" w:rsidRDefault="00122464" w:rsidP="00857B57">
      <w:pPr>
        <w:pStyle w:val="FootnoteText"/>
        <w:spacing w:after="120"/>
      </w:pPr>
      <w:r>
        <w:rPr>
          <w:rStyle w:val="FootnoteReference"/>
        </w:rPr>
        <w:footnoteRef/>
      </w:r>
      <w:r>
        <w:t xml:space="preserve"> </w:t>
      </w:r>
      <w:r>
        <w:tab/>
        <w:t xml:space="preserve">External valuation fees, external legal fees, external advisory fees, and the collection of fees by an ADI on behalf of a third-party service provider (e.g. collateral agent) do not vitiate this condition. </w:t>
      </w:r>
    </w:p>
  </w:footnote>
  <w:footnote w:id="14">
    <w:p w14:paraId="052A5C59" w14:textId="44EA6E33" w:rsidR="00122464" w:rsidRDefault="00122464" w:rsidP="00857B57">
      <w:pPr>
        <w:pStyle w:val="FootnoteText"/>
        <w:spacing w:after="120"/>
      </w:pPr>
      <w:r>
        <w:rPr>
          <w:rStyle w:val="FootnoteReference"/>
        </w:rPr>
        <w:footnoteRef/>
      </w:r>
      <w:r>
        <w:t xml:space="preserve"> </w:t>
      </w:r>
      <w:r>
        <w:tab/>
      </w:r>
      <w:r w:rsidRPr="0091526A">
        <w:t xml:space="preserve">The </w:t>
      </w:r>
      <w:r>
        <w:t>terms of the arrangement</w:t>
      </w:r>
      <w:r w:rsidRPr="0091526A">
        <w:t xml:space="preserve"> must explicitly confer sole discretion on the ADI to control drawdown. </w:t>
      </w:r>
    </w:p>
  </w:footnote>
  <w:footnote w:id="15">
    <w:p w14:paraId="7B005340" w14:textId="4634791C" w:rsidR="00122464" w:rsidRDefault="00122464" w:rsidP="00857B57">
      <w:pPr>
        <w:pStyle w:val="FootnoteText"/>
        <w:spacing w:after="120"/>
      </w:pPr>
      <w:r>
        <w:rPr>
          <w:rStyle w:val="FootnoteReference"/>
        </w:rPr>
        <w:footnoteRef/>
      </w:r>
      <w:r>
        <w:t xml:space="preserve"> </w:t>
      </w:r>
      <w:r>
        <w:tab/>
        <w:t xml:space="preserve">For this purpose, independent party refers to a party independent of the borrower’s relationship manager. The independent party should sit within the risk function of the business unit or the centralised risk function. Operational or back office teams that perform documentary checks are not adequate for this purpose. </w:t>
      </w:r>
    </w:p>
  </w:footnote>
  <w:footnote w:id="16">
    <w:p w14:paraId="6588D954" w14:textId="22B9CA45" w:rsidR="00122464" w:rsidRDefault="00122464" w:rsidP="00857B57">
      <w:pPr>
        <w:pStyle w:val="FootnoteText"/>
        <w:spacing w:after="120"/>
      </w:pPr>
      <w:r>
        <w:rPr>
          <w:rStyle w:val="FootnoteReference"/>
        </w:rPr>
        <w:footnoteRef/>
      </w:r>
      <w:r>
        <w:t xml:space="preserve"> </w:t>
      </w:r>
      <w:r>
        <w:tab/>
        <w:t xml:space="preserve">These items must be weighted according to the type of asset and not according to the type of counterparty with whom the transaction has been entered into. </w:t>
      </w:r>
    </w:p>
  </w:footnote>
  <w:footnote w:id="17">
    <w:p w14:paraId="181E4533" w14:textId="0CC93859" w:rsidR="00122464" w:rsidRDefault="00122464" w:rsidP="00857B57">
      <w:pPr>
        <w:pStyle w:val="FootnoteText"/>
        <w:spacing w:after="120"/>
      </w:pPr>
      <w:r>
        <w:rPr>
          <w:rStyle w:val="FootnoteReference"/>
        </w:rPr>
        <w:footnoteRef/>
      </w:r>
      <w:r>
        <w:t xml:space="preserve"> </w:t>
      </w:r>
      <w:r>
        <w:tab/>
        <w:t>These items must be weighted according to the type of asset and not according to the type of counterparty with whom the transaction has been entered into.</w:t>
      </w:r>
    </w:p>
  </w:footnote>
  <w:footnote w:id="18">
    <w:p w14:paraId="7B3BCC16" w14:textId="77777777" w:rsidR="00122464" w:rsidRDefault="00122464" w:rsidP="00E43D55">
      <w:pPr>
        <w:pStyle w:val="FootnoteText"/>
        <w:spacing w:after="120"/>
      </w:pPr>
      <w:r>
        <w:rPr>
          <w:rStyle w:val="FootnoteReference"/>
        </w:rPr>
        <w:footnoteRef/>
      </w:r>
      <w:r>
        <w:t xml:space="preserve"> </w:t>
      </w:r>
      <w:r>
        <w:tab/>
        <w:t xml:space="preserve">For the purpose of this item, short-term means a maturity less than 12 months. </w:t>
      </w:r>
    </w:p>
  </w:footnote>
  <w:footnote w:id="19">
    <w:p w14:paraId="017D231A" w14:textId="00611329" w:rsidR="00122464" w:rsidRDefault="00122464" w:rsidP="00857B57">
      <w:pPr>
        <w:pStyle w:val="FootnoteText"/>
        <w:spacing w:after="120"/>
      </w:pPr>
      <w:r>
        <w:rPr>
          <w:rStyle w:val="FootnoteReference"/>
        </w:rPr>
        <w:footnoteRef/>
      </w:r>
      <w:r>
        <w:t xml:space="preserve"> </w:t>
      </w:r>
      <w:r>
        <w:tab/>
        <w:t xml:space="preserve">A solicited rating is a rating that has been initiated and paid for by the issuer or rated counterparty or a commercial associate of the issuer or rated counterparty. Sovereign exposures are excluded from the requirement to use solicited ratings. </w:t>
      </w:r>
    </w:p>
  </w:footnote>
  <w:footnote w:id="20">
    <w:p w14:paraId="6B8A30B3" w14:textId="742B75BD" w:rsidR="00122464" w:rsidRDefault="00122464" w:rsidP="00857B57">
      <w:pPr>
        <w:pStyle w:val="FootnoteText"/>
        <w:spacing w:after="120"/>
      </w:pPr>
      <w:r>
        <w:rPr>
          <w:rStyle w:val="FootnoteReference"/>
        </w:rPr>
        <w:footnoteRef/>
      </w:r>
      <w:r>
        <w:t xml:space="preserve"> </w:t>
      </w:r>
      <w:r>
        <w:tab/>
      </w:r>
      <w:r w:rsidRPr="00CB2C25">
        <w:t xml:space="preserve">Cash-funded credit-linked notes issued by the ADI against exposures in the banking book that fulfil the criteria for credit derivatives </w:t>
      </w:r>
      <w:r>
        <w:t xml:space="preserve">detailed in </w:t>
      </w:r>
      <w:r w:rsidRPr="00A56C45">
        <w:t>Attachment J</w:t>
      </w:r>
      <w:r>
        <w:t xml:space="preserve"> to this Prudential Standard,</w:t>
      </w:r>
      <w:r w:rsidRPr="00CB2C25">
        <w:t xml:space="preserve"> may be treated as cash collateralised transactions. </w:t>
      </w:r>
    </w:p>
  </w:footnote>
  <w:footnote w:id="21">
    <w:p w14:paraId="19848292" w14:textId="013F0371" w:rsidR="00122464" w:rsidRDefault="00122464" w:rsidP="00857B57">
      <w:pPr>
        <w:pStyle w:val="FootnoteText"/>
        <w:spacing w:after="120"/>
      </w:pPr>
      <w:r>
        <w:rPr>
          <w:rStyle w:val="FootnoteReference"/>
        </w:rPr>
        <w:footnoteRef/>
      </w:r>
      <w:r>
        <w:t xml:space="preserve"> </w:t>
      </w:r>
      <w:r>
        <w:tab/>
        <w:t xml:space="preserve">When debt securities that do not have an issue-specific rating are issued by a rated sovereign, ADIs may treat the sovereign issuer rating as the rating of the debt security. </w:t>
      </w:r>
    </w:p>
  </w:footnote>
  <w:footnote w:id="22">
    <w:p w14:paraId="07766344" w14:textId="76565992" w:rsidR="00122464" w:rsidRDefault="00122464" w:rsidP="00857B57">
      <w:pPr>
        <w:pStyle w:val="FootnoteText"/>
        <w:spacing w:after="120"/>
      </w:pPr>
      <w:r>
        <w:rPr>
          <w:rStyle w:val="FootnoteReference"/>
        </w:rPr>
        <w:footnoteRef/>
      </w:r>
      <w:r>
        <w:t xml:space="preserve"> </w:t>
      </w:r>
      <w:r>
        <w:tab/>
        <w:t xml:space="preserve">The use of derivative instruments by a trust to hedge investments listed in </w:t>
      </w:r>
      <w:r w:rsidRPr="00A56C45">
        <w:t xml:space="preserve">paragraphs </w:t>
      </w:r>
      <w:r w:rsidRPr="00A56C45">
        <w:fldChar w:fldCharType="begin"/>
      </w:r>
      <w:r w:rsidRPr="00A56C45">
        <w:instrText xml:space="preserve"> REF _Ref3481553 \r \h </w:instrText>
      </w:r>
      <w:r>
        <w:instrText xml:space="preserve"> \* MERGEFORMAT </w:instrText>
      </w:r>
      <w:r w:rsidRPr="00A56C45">
        <w:fldChar w:fldCharType="separate"/>
      </w:r>
      <w:r w:rsidR="0007706D">
        <w:t>14(a)</w:t>
      </w:r>
      <w:r w:rsidRPr="00A56C45">
        <w:fldChar w:fldCharType="end"/>
      </w:r>
      <w:r w:rsidRPr="00A56C45">
        <w:t xml:space="preserve"> to </w:t>
      </w:r>
      <w:r w:rsidRPr="00A56C45">
        <w:fldChar w:fldCharType="begin"/>
      </w:r>
      <w:r w:rsidRPr="00A56C45">
        <w:instrText xml:space="preserve"> REF _Ref3481590 \r \h </w:instrText>
      </w:r>
      <w:r>
        <w:instrText xml:space="preserve"> \* MERGEFORMAT </w:instrText>
      </w:r>
      <w:r w:rsidRPr="00A56C45">
        <w:fldChar w:fldCharType="separate"/>
      </w:r>
      <w:r w:rsidR="0007706D">
        <w:t>14(e)</w:t>
      </w:r>
      <w:r w:rsidRPr="00A56C45">
        <w:fldChar w:fldCharType="end"/>
      </w:r>
      <w:r>
        <w:t xml:space="preserve"> of this Attachment would not prevent units in the trust from being recognised as eligible collateral.</w:t>
      </w:r>
    </w:p>
  </w:footnote>
  <w:footnote w:id="23">
    <w:p w14:paraId="3C115770" w14:textId="70926707" w:rsidR="00122464" w:rsidRPr="00CB2C25" w:rsidRDefault="00122464" w:rsidP="00857B57">
      <w:pPr>
        <w:pStyle w:val="FootnoteText"/>
        <w:spacing w:after="120"/>
      </w:pPr>
      <w:r w:rsidRPr="00CB2C25">
        <w:rPr>
          <w:rStyle w:val="FootnoteReference"/>
        </w:rPr>
        <w:footnoteRef/>
      </w:r>
      <w:r w:rsidRPr="00CB2C25">
        <w:t xml:space="preserve"> </w:t>
      </w:r>
      <w:r w:rsidRPr="00CB2C25">
        <w:tab/>
        <w:t xml:space="preserve">This includes banks, </w:t>
      </w:r>
      <w:r>
        <w:t xml:space="preserve">domestic PSEs </w:t>
      </w:r>
      <w:r w:rsidRPr="00CB2C25">
        <w:t>and corporates.</w:t>
      </w:r>
    </w:p>
  </w:footnote>
  <w:footnote w:id="24">
    <w:p w14:paraId="00542C26" w14:textId="4DA6264B" w:rsidR="00122464" w:rsidRDefault="00122464" w:rsidP="00857B57">
      <w:pPr>
        <w:pStyle w:val="FootnoteText"/>
        <w:spacing w:after="120"/>
      </w:pPr>
      <w:r>
        <w:rPr>
          <w:rStyle w:val="FootnoteReference"/>
        </w:rPr>
        <w:footnoteRef/>
      </w:r>
      <w:r>
        <w:t xml:space="preserve"> </w:t>
      </w:r>
      <w:r>
        <w:tab/>
        <w:t xml:space="preserve">Securitisation exposure has the meaning given in APS 120. </w:t>
      </w:r>
    </w:p>
  </w:footnote>
  <w:footnote w:id="25">
    <w:p w14:paraId="382E53B8" w14:textId="30A3A892" w:rsidR="00122464" w:rsidRDefault="00122464" w:rsidP="00857B57">
      <w:pPr>
        <w:pStyle w:val="FootnoteText"/>
        <w:spacing w:after="120"/>
      </w:pPr>
      <w:r>
        <w:rPr>
          <w:rStyle w:val="FootnoteReference"/>
        </w:rPr>
        <w:footnoteRef/>
      </w:r>
      <w:r>
        <w:t xml:space="preserve"> </w:t>
      </w:r>
      <w:r>
        <w:tab/>
        <w:t xml:space="preserve">Unrated bank securities must meet the requirements set out in </w:t>
      </w:r>
      <w:r w:rsidRPr="0069643C">
        <w:t xml:space="preserve">paragraph </w:t>
      </w:r>
      <w:r w:rsidRPr="0069643C">
        <w:fldChar w:fldCharType="begin"/>
      </w:r>
      <w:r w:rsidRPr="0069643C">
        <w:instrText xml:space="preserve"> REF _Ref3482753 \r \h </w:instrText>
      </w:r>
      <w:r>
        <w:instrText xml:space="preserve"> \* MERGEFORMAT </w:instrText>
      </w:r>
      <w:r w:rsidRPr="0069643C">
        <w:fldChar w:fldCharType="separate"/>
      </w:r>
      <w:r w:rsidR="0007706D">
        <w:t>14(d)</w:t>
      </w:r>
      <w:r w:rsidRPr="0069643C">
        <w:fldChar w:fldCharType="end"/>
      </w:r>
      <w:r w:rsidRPr="0069643C">
        <w:t xml:space="preserve"> of this Attachment.</w:t>
      </w:r>
    </w:p>
  </w:footnote>
  <w:footnote w:id="26">
    <w:p w14:paraId="35004695" w14:textId="77C9FC1C" w:rsidR="00122464" w:rsidRDefault="00122464" w:rsidP="00857B57">
      <w:pPr>
        <w:pStyle w:val="FootnoteText"/>
        <w:spacing w:after="120"/>
      </w:pPr>
      <w:r>
        <w:rPr>
          <w:rStyle w:val="FootnoteReference"/>
        </w:rPr>
        <w:footnoteRef/>
      </w:r>
      <w:r>
        <w:t xml:space="preserve"> </w:t>
      </w:r>
      <w:r>
        <w:tab/>
        <w:t xml:space="preserve">For received collateral, only amounts that satisfy the eligible cash collateral requirements set </w:t>
      </w:r>
      <w:r w:rsidRPr="0069643C">
        <w:t xml:space="preserve">out in paragraph </w:t>
      </w:r>
      <w:r w:rsidRPr="0069643C">
        <w:fldChar w:fldCharType="begin"/>
      </w:r>
      <w:r w:rsidRPr="0069643C">
        <w:instrText xml:space="preserve"> REF _Ref3481553 \r \h </w:instrText>
      </w:r>
      <w:r>
        <w:instrText xml:space="preserve"> \* MERGEFORMAT </w:instrText>
      </w:r>
      <w:r w:rsidRPr="0069643C">
        <w:fldChar w:fldCharType="separate"/>
      </w:r>
      <w:r w:rsidR="0007706D">
        <w:t>14(a)</w:t>
      </w:r>
      <w:r w:rsidRPr="0069643C">
        <w:fldChar w:fldCharType="end"/>
      </w:r>
      <w:r>
        <w:t xml:space="preserve"> of</w:t>
      </w:r>
      <w:r w:rsidRPr="0069643C">
        <w:t xml:space="preserve"> this Attachment</w:t>
      </w:r>
      <w:r>
        <w:t xml:space="preserve"> may be recognised as cash for this purpose</w:t>
      </w:r>
      <w:r w:rsidRPr="0069643C">
        <w:t>.</w:t>
      </w:r>
      <w:r>
        <w:t xml:space="preserve"> </w:t>
      </w:r>
    </w:p>
  </w:footnote>
  <w:footnote w:id="27">
    <w:p w14:paraId="5E9B5CEC" w14:textId="7C6A83F4" w:rsidR="00122464" w:rsidRDefault="00122464">
      <w:pPr>
        <w:pStyle w:val="FootnoteText"/>
      </w:pPr>
      <w:r>
        <w:rPr>
          <w:rStyle w:val="FootnoteReference"/>
        </w:rPr>
        <w:footnoteRef/>
      </w:r>
      <w:r>
        <w:t xml:space="preserve"> </w:t>
      </w:r>
      <w:r>
        <w:tab/>
        <w:t xml:space="preserve">For the avoidance of doubt, if a netting set includes any transaction that does not meet the criteria in paragraphs </w:t>
      </w:r>
      <w:r>
        <w:fldChar w:fldCharType="begin"/>
      </w:r>
      <w:r>
        <w:instrText xml:space="preserve"> REF _Ref3481716 \r \h </w:instrText>
      </w:r>
      <w:r>
        <w:fldChar w:fldCharType="separate"/>
      </w:r>
      <w:r w:rsidR="0007706D">
        <w:t>19</w:t>
      </w:r>
      <w:r>
        <w:fldChar w:fldCharType="end"/>
      </w:r>
      <w:r>
        <w:t xml:space="preserve"> and </w:t>
      </w:r>
      <w:r>
        <w:fldChar w:fldCharType="begin"/>
      </w:r>
      <w:r>
        <w:instrText xml:space="preserve"> REF _Ref3481397 \r \h </w:instrText>
      </w:r>
      <w:r>
        <w:fldChar w:fldCharType="separate"/>
      </w:r>
      <w:r w:rsidR="0007706D">
        <w:t>20</w:t>
      </w:r>
      <w:r>
        <w:fldChar w:fldCharType="end"/>
      </w:r>
      <w:r>
        <w:t xml:space="preserve"> of this Attachment, no transactions in the netting set are eligible for the zero per cent haircut.</w:t>
      </w:r>
    </w:p>
  </w:footnote>
  <w:footnote w:id="28">
    <w:p w14:paraId="782C5841" w14:textId="7B5468F7" w:rsidR="00122464" w:rsidRDefault="00122464" w:rsidP="00857B57">
      <w:pPr>
        <w:pStyle w:val="FootnoteText"/>
        <w:spacing w:after="120"/>
      </w:pPr>
      <w:r>
        <w:rPr>
          <w:rStyle w:val="FootnoteReference"/>
        </w:rPr>
        <w:footnoteRef/>
      </w:r>
      <w:r>
        <w:t xml:space="preserve"> </w:t>
      </w:r>
      <w:r>
        <w:tab/>
        <w:t xml:space="preserve">The holding period for the haircuts depends, as for other SFTs, on the frequency of margining. </w:t>
      </w:r>
    </w:p>
  </w:footnote>
  <w:footnote w:id="29">
    <w:p w14:paraId="2331EA5B" w14:textId="1C1A70D7" w:rsidR="00122464" w:rsidRDefault="00122464" w:rsidP="00857B57">
      <w:pPr>
        <w:pStyle w:val="FootnoteText"/>
        <w:spacing w:after="120"/>
      </w:pPr>
      <w:r>
        <w:rPr>
          <w:rStyle w:val="FootnoteReference"/>
        </w:rPr>
        <w:footnoteRef/>
      </w:r>
      <w:r>
        <w:t xml:space="preserve"> </w:t>
      </w:r>
      <w:r>
        <w:tab/>
        <w:t xml:space="preserve">In some countries, there are provisions for the authorities to appoint an administrator to a troubled bank. Under statutory provisions applying in those countries, the appointment of an administrator may not constitute grounds for the triggering of netting agreements. Such provisions do not prevent the recognition of affected netting agreements for the purposes of this Prudential Standard, provided that a netting agreement can still take effect in the event the bank under administration does not meet its obligations under transactions as they fall due. </w:t>
      </w:r>
    </w:p>
  </w:footnote>
  <w:footnote w:id="30">
    <w:p w14:paraId="4ECAA6A1" w14:textId="0DB340F1" w:rsidR="00122464" w:rsidRDefault="00122464" w:rsidP="00857B57">
      <w:pPr>
        <w:pStyle w:val="FootnoteText"/>
        <w:spacing w:after="120"/>
      </w:pPr>
      <w:r>
        <w:rPr>
          <w:rStyle w:val="FootnoteReference"/>
        </w:rPr>
        <w:footnoteRef/>
      </w:r>
      <w:r>
        <w:t xml:space="preserve"> </w:t>
      </w:r>
      <w:r>
        <w:tab/>
        <w:t xml:space="preserve">For forwards, swaps, options and similar derivative contracts, this will include the net sum of the positive and negative mark-to-market values of individual transactions. </w:t>
      </w:r>
    </w:p>
  </w:footnote>
  <w:footnote w:id="31">
    <w:p w14:paraId="4A61147C" w14:textId="7592F2C4" w:rsidR="00122464" w:rsidRDefault="00122464" w:rsidP="00857B57">
      <w:pPr>
        <w:pStyle w:val="FootnoteText"/>
        <w:spacing w:after="120"/>
      </w:pPr>
      <w:r>
        <w:rPr>
          <w:rStyle w:val="FootnoteReference"/>
        </w:rPr>
        <w:footnoteRef/>
      </w:r>
      <w:r>
        <w:t xml:space="preserve"> </w:t>
      </w:r>
      <w:r>
        <w:tab/>
      </w:r>
      <w:r w:rsidRPr="007B3A0E">
        <w:t xml:space="preserve">Guarantees that provide partial coverage whereby the ADI and guarantor share losses on a </w:t>
      </w:r>
      <w:r w:rsidRPr="007B3A0E">
        <w:rPr>
          <w:i/>
        </w:rPr>
        <w:t xml:space="preserve">pro rata </w:t>
      </w:r>
      <w:r w:rsidRPr="007B3A0E">
        <w:t>basis are eligible for the same recognition.</w:t>
      </w:r>
    </w:p>
  </w:footnote>
  <w:footnote w:id="32">
    <w:p w14:paraId="5324102C" w14:textId="5D9E2346" w:rsidR="00122464" w:rsidRDefault="00122464" w:rsidP="00857B57">
      <w:pPr>
        <w:pStyle w:val="FootnoteText"/>
        <w:spacing w:after="120"/>
      </w:pPr>
      <w:r>
        <w:rPr>
          <w:rStyle w:val="FootnoteReference"/>
        </w:rPr>
        <w:footnoteRef/>
      </w:r>
      <w:r>
        <w:t xml:space="preserve"> </w:t>
      </w:r>
      <w:r>
        <w:tab/>
        <w:t xml:space="preserve">While the requirement for irrevocability does not require that the guarantee and the exposure be maturity matched, the guarantor must not have the ability to change the agreed maturity </w:t>
      </w:r>
      <w:r>
        <w:rPr>
          <w:i/>
        </w:rPr>
        <w:t>ex post</w:t>
      </w:r>
      <w:r>
        <w:t>.</w:t>
      </w:r>
    </w:p>
  </w:footnote>
  <w:footnote w:id="33">
    <w:p w14:paraId="53566E79" w14:textId="77777777" w:rsidR="00122464" w:rsidRPr="00CB2C25" w:rsidRDefault="00122464" w:rsidP="00857B57">
      <w:pPr>
        <w:pStyle w:val="FootnoteText"/>
        <w:spacing w:after="120"/>
      </w:pPr>
      <w:r w:rsidRPr="00CB2C25">
        <w:rPr>
          <w:rStyle w:val="FootnoteReference"/>
        </w:rPr>
        <w:footnoteRef/>
      </w:r>
      <w:r w:rsidRPr="00CB2C25">
        <w:t xml:space="preserve"> </w:t>
      </w:r>
      <w:r w:rsidRPr="00CB2C25">
        <w:tab/>
        <w:t xml:space="preserve">Credit derivatives that provide partial coverage whereby the ADI and the credit protection seller share losses on a </w:t>
      </w:r>
      <w:r w:rsidRPr="00CB2C25">
        <w:rPr>
          <w:i/>
        </w:rPr>
        <w:t>pro rata</w:t>
      </w:r>
      <w:r w:rsidRPr="00CB2C25">
        <w:t xml:space="preserve"> basis are eligible for the same recognition.</w:t>
      </w:r>
    </w:p>
  </w:footnote>
  <w:footnote w:id="34">
    <w:p w14:paraId="13D4AEE1" w14:textId="0B532E75" w:rsidR="00122464" w:rsidRPr="00CB2C25" w:rsidRDefault="00122464" w:rsidP="00857B57">
      <w:pPr>
        <w:pStyle w:val="FootnoteText"/>
        <w:spacing w:after="120"/>
      </w:pPr>
      <w:r w:rsidRPr="00CB2C25">
        <w:rPr>
          <w:rStyle w:val="FootnoteReference"/>
        </w:rPr>
        <w:footnoteRef/>
      </w:r>
      <w:r w:rsidRPr="00CB2C25">
        <w:t xml:space="preserve"> </w:t>
      </w:r>
      <w:r w:rsidRPr="00CB2C25">
        <w:tab/>
      </w:r>
      <w:r>
        <w:t>While the requirement for</w:t>
      </w:r>
      <w:r w:rsidRPr="00CB2C25">
        <w:t xml:space="preserve"> irrevocability does not require that the credit derivative and the exposure be maturity matched, </w:t>
      </w:r>
      <w:r>
        <w:t xml:space="preserve">the credit protection provider must not have the ability to change the agreed maturity </w:t>
      </w:r>
      <w:r w:rsidRPr="00CB2C25">
        <w:rPr>
          <w:i/>
        </w:rPr>
        <w:t>ex post</w:t>
      </w:r>
      <w:r w:rsidRPr="00CB2C25">
        <w:t>.</w:t>
      </w:r>
    </w:p>
  </w:footnote>
  <w:footnote w:id="35">
    <w:p w14:paraId="7DED6B25" w14:textId="77777777" w:rsidR="00122464" w:rsidRDefault="00122464" w:rsidP="00857B57">
      <w:pPr>
        <w:pStyle w:val="FootnoteText"/>
        <w:spacing w:after="120"/>
      </w:pPr>
      <w:r>
        <w:rPr>
          <w:rStyle w:val="FootnoteReference"/>
        </w:rPr>
        <w:footnoteRef/>
      </w:r>
      <w:r>
        <w:t xml:space="preserve"> </w:t>
      </w:r>
      <w:r>
        <w:tab/>
        <w:t xml:space="preserve">An ADI will have a net short risk position for equity risk or credit risk in the banking book if the present value of the banking book increases when an equity price decreases or when a credit spread on an issuer or group of issuers of debt increases.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4264"/>
      <w:gridCol w:w="4264"/>
    </w:tblGrid>
    <w:tr w:rsidR="00867C8F" w:rsidRPr="00482FDE" w14:paraId="4E83B6C7" w14:textId="77777777" w:rsidTr="00557C30">
      <w:tc>
        <w:tcPr>
          <w:tcW w:w="4264" w:type="dxa"/>
          <w:tcBorders>
            <w:top w:val="nil"/>
            <w:left w:val="nil"/>
            <w:bottom w:val="nil"/>
            <w:right w:val="nil"/>
          </w:tcBorders>
        </w:tcPr>
        <w:p w14:paraId="23E0B074" w14:textId="77777777" w:rsidR="00867C8F" w:rsidRDefault="00867C8F" w:rsidP="00867C8F">
          <w:pPr>
            <w:pStyle w:val="Header"/>
          </w:pPr>
        </w:p>
      </w:tc>
      <w:tc>
        <w:tcPr>
          <w:tcW w:w="4264" w:type="dxa"/>
          <w:tcBorders>
            <w:top w:val="nil"/>
            <w:left w:val="nil"/>
            <w:bottom w:val="nil"/>
            <w:right w:val="nil"/>
          </w:tcBorders>
        </w:tcPr>
        <w:p w14:paraId="7DDE26CE" w14:textId="77777777" w:rsidR="00867C8F" w:rsidRPr="00482FDE" w:rsidRDefault="00867C8F" w:rsidP="00867C8F">
          <w:pPr>
            <w:pStyle w:val="Header"/>
            <w:rPr>
              <w:b w:val="0"/>
            </w:rPr>
          </w:pPr>
          <w:r w:rsidRPr="00482FDE">
            <w:rPr>
              <w:b w:val="0"/>
            </w:rPr>
            <w:t>January 2023</w:t>
          </w:r>
        </w:p>
      </w:tc>
    </w:tr>
  </w:tbl>
  <w:p w14:paraId="1D979D20" w14:textId="77777777" w:rsidR="00867C8F" w:rsidRDefault="00867C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4145"/>
      <w:gridCol w:w="4167"/>
    </w:tblGrid>
    <w:tr w:rsidR="00867C8F" w:rsidRPr="00482FDE" w14:paraId="45848CFA" w14:textId="77777777" w:rsidTr="00557C30">
      <w:tc>
        <w:tcPr>
          <w:tcW w:w="4264" w:type="dxa"/>
          <w:tcBorders>
            <w:top w:val="nil"/>
            <w:left w:val="nil"/>
            <w:bottom w:val="nil"/>
            <w:right w:val="nil"/>
          </w:tcBorders>
        </w:tcPr>
        <w:p w14:paraId="74DE9A6B" w14:textId="77777777" w:rsidR="00867C8F" w:rsidRDefault="00867C8F" w:rsidP="00867C8F">
          <w:pPr>
            <w:pStyle w:val="Header"/>
          </w:pPr>
        </w:p>
      </w:tc>
      <w:tc>
        <w:tcPr>
          <w:tcW w:w="4264" w:type="dxa"/>
          <w:tcBorders>
            <w:top w:val="nil"/>
            <w:left w:val="nil"/>
            <w:bottom w:val="nil"/>
            <w:right w:val="nil"/>
          </w:tcBorders>
        </w:tcPr>
        <w:p w14:paraId="1AD7026B" w14:textId="77777777" w:rsidR="00867C8F" w:rsidRPr="00482FDE" w:rsidRDefault="00867C8F" w:rsidP="00867C8F">
          <w:pPr>
            <w:pStyle w:val="Header"/>
            <w:rPr>
              <w:b w:val="0"/>
            </w:rPr>
          </w:pPr>
          <w:r w:rsidRPr="00482FDE">
            <w:rPr>
              <w:b w:val="0"/>
            </w:rPr>
            <w:t>January 2023</w:t>
          </w:r>
        </w:p>
      </w:tc>
    </w:tr>
  </w:tbl>
  <w:p w14:paraId="73D63E1C" w14:textId="77777777" w:rsidR="00867C8F" w:rsidRDefault="00867C8F" w:rsidP="00867C8F">
    <w:pPr>
      <w:pStyle w:val="Heade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A048E4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C1262D"/>
    <w:multiLevelType w:val="hybridMultilevel"/>
    <w:tmpl w:val="03F64C9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0E0F12EA"/>
    <w:multiLevelType w:val="multilevel"/>
    <w:tmpl w:val="95044A9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158425E0"/>
    <w:multiLevelType w:val="hybridMultilevel"/>
    <w:tmpl w:val="6458160E"/>
    <w:lvl w:ilvl="0" w:tplc="7608A312">
      <w:start w:val="1"/>
      <w:numFmt w:val="lowerLetter"/>
      <w:lvlText w:val="%1)"/>
      <w:lvlJc w:val="left"/>
      <w:pPr>
        <w:tabs>
          <w:tab w:val="num" w:pos="720"/>
        </w:tabs>
        <w:ind w:left="720" w:hanging="360"/>
      </w:pPr>
    </w:lvl>
    <w:lvl w:ilvl="1" w:tplc="95A6809E" w:tentative="1">
      <w:start w:val="1"/>
      <w:numFmt w:val="lowerLetter"/>
      <w:lvlText w:val="%2)"/>
      <w:lvlJc w:val="left"/>
      <w:pPr>
        <w:tabs>
          <w:tab w:val="num" w:pos="1440"/>
        </w:tabs>
        <w:ind w:left="1440" w:hanging="360"/>
      </w:pPr>
    </w:lvl>
    <w:lvl w:ilvl="2" w:tplc="B48E4A32" w:tentative="1">
      <w:start w:val="1"/>
      <w:numFmt w:val="lowerLetter"/>
      <w:lvlText w:val="%3)"/>
      <w:lvlJc w:val="left"/>
      <w:pPr>
        <w:tabs>
          <w:tab w:val="num" w:pos="2160"/>
        </w:tabs>
        <w:ind w:left="2160" w:hanging="360"/>
      </w:pPr>
    </w:lvl>
    <w:lvl w:ilvl="3" w:tplc="E79C0974" w:tentative="1">
      <w:start w:val="1"/>
      <w:numFmt w:val="lowerLetter"/>
      <w:lvlText w:val="%4)"/>
      <w:lvlJc w:val="left"/>
      <w:pPr>
        <w:tabs>
          <w:tab w:val="num" w:pos="2880"/>
        </w:tabs>
        <w:ind w:left="2880" w:hanging="360"/>
      </w:pPr>
    </w:lvl>
    <w:lvl w:ilvl="4" w:tplc="F0382686" w:tentative="1">
      <w:start w:val="1"/>
      <w:numFmt w:val="lowerLetter"/>
      <w:lvlText w:val="%5)"/>
      <w:lvlJc w:val="left"/>
      <w:pPr>
        <w:tabs>
          <w:tab w:val="num" w:pos="3600"/>
        </w:tabs>
        <w:ind w:left="3600" w:hanging="360"/>
      </w:pPr>
    </w:lvl>
    <w:lvl w:ilvl="5" w:tplc="46B88D30" w:tentative="1">
      <w:start w:val="1"/>
      <w:numFmt w:val="lowerLetter"/>
      <w:lvlText w:val="%6)"/>
      <w:lvlJc w:val="left"/>
      <w:pPr>
        <w:tabs>
          <w:tab w:val="num" w:pos="4320"/>
        </w:tabs>
        <w:ind w:left="4320" w:hanging="360"/>
      </w:pPr>
    </w:lvl>
    <w:lvl w:ilvl="6" w:tplc="DF765FA6" w:tentative="1">
      <w:start w:val="1"/>
      <w:numFmt w:val="lowerLetter"/>
      <w:lvlText w:val="%7)"/>
      <w:lvlJc w:val="left"/>
      <w:pPr>
        <w:tabs>
          <w:tab w:val="num" w:pos="5040"/>
        </w:tabs>
        <w:ind w:left="5040" w:hanging="360"/>
      </w:pPr>
    </w:lvl>
    <w:lvl w:ilvl="7" w:tplc="C016BC7C" w:tentative="1">
      <w:start w:val="1"/>
      <w:numFmt w:val="lowerLetter"/>
      <w:lvlText w:val="%8)"/>
      <w:lvlJc w:val="left"/>
      <w:pPr>
        <w:tabs>
          <w:tab w:val="num" w:pos="5760"/>
        </w:tabs>
        <w:ind w:left="5760" w:hanging="360"/>
      </w:pPr>
    </w:lvl>
    <w:lvl w:ilvl="8" w:tplc="608C425E" w:tentative="1">
      <w:start w:val="1"/>
      <w:numFmt w:val="lowerLetter"/>
      <w:lvlText w:val="%9)"/>
      <w:lvlJc w:val="left"/>
      <w:pPr>
        <w:tabs>
          <w:tab w:val="num" w:pos="6480"/>
        </w:tabs>
        <w:ind w:left="6480" w:hanging="360"/>
      </w:pPr>
    </w:lvl>
  </w:abstractNum>
  <w:abstractNum w:abstractNumId="4" w15:restartNumberingAfterBreak="0">
    <w:nsid w:val="16463545"/>
    <w:multiLevelType w:val="multilevel"/>
    <w:tmpl w:val="130E79A2"/>
    <w:lvl w:ilvl="0">
      <w:start w:val="1"/>
      <w:numFmt w:val="decimal"/>
      <w:pStyle w:val="BodyText1"/>
      <w:lvlText w:val="%1."/>
      <w:lvlJc w:val="left"/>
      <w:pPr>
        <w:tabs>
          <w:tab w:val="num" w:pos="567"/>
        </w:tabs>
        <w:ind w:left="567" w:hanging="567"/>
      </w:pPr>
      <w:rPr>
        <w:rFonts w:hint="default"/>
      </w:rPr>
    </w:lvl>
    <w:lvl w:ilvl="1">
      <w:start w:val="1"/>
      <w:numFmt w:val="lowerLetter"/>
      <w:pStyle w:val="BodyText2"/>
      <w:lvlText w:val="(%2)"/>
      <w:lvlJc w:val="left"/>
      <w:pPr>
        <w:tabs>
          <w:tab w:val="num" w:pos="1134"/>
        </w:tabs>
        <w:ind w:left="1134" w:hanging="567"/>
      </w:pPr>
      <w:rPr>
        <w:rFonts w:hint="default"/>
      </w:rPr>
    </w:lvl>
    <w:lvl w:ilvl="2">
      <w:start w:val="1"/>
      <w:numFmt w:val="lowerRoman"/>
      <w:pStyle w:val="BodyText3"/>
      <w:lvlText w:val="(%3)"/>
      <w:lvlJc w:val="left"/>
      <w:pPr>
        <w:tabs>
          <w:tab w:val="num" w:pos="1701"/>
        </w:tabs>
        <w:ind w:left="1701" w:hanging="567"/>
      </w:pPr>
      <w:rPr>
        <w:rFonts w:hint="default"/>
      </w:rPr>
    </w:lvl>
    <w:lvl w:ilvl="3">
      <w:start w:val="1"/>
      <w:numFmt w:val="upperLetter"/>
      <w:pStyle w:val="BodyText4"/>
      <w:lvlText w:val="(%4)"/>
      <w:lvlJc w:val="left"/>
      <w:pPr>
        <w:tabs>
          <w:tab w:val="num" w:pos="2268"/>
        </w:tabs>
        <w:ind w:left="2268"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1EEE3A72"/>
    <w:multiLevelType w:val="hybridMultilevel"/>
    <w:tmpl w:val="157EC416"/>
    <w:lvl w:ilvl="0" w:tplc="469415FE">
      <w:start w:val="1"/>
      <w:numFmt w:val="lowerLetter"/>
      <w:lvlText w:val="(%1)"/>
      <w:lvlJc w:val="left"/>
      <w:pPr>
        <w:ind w:left="788" w:hanging="428"/>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7052B2D"/>
    <w:multiLevelType w:val="hybridMultilevel"/>
    <w:tmpl w:val="28827446"/>
    <w:lvl w:ilvl="0" w:tplc="F15A8BF2">
      <w:start w:val="2"/>
      <w:numFmt w:val="bullet"/>
      <w:lvlText w:val="-"/>
      <w:lvlJc w:val="left"/>
      <w:pPr>
        <w:ind w:left="720" w:hanging="360"/>
      </w:pPr>
      <w:rPr>
        <w:rFonts w:ascii="Times New Roman" w:eastAsia="Calibr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03D422D"/>
    <w:multiLevelType w:val="hybridMultilevel"/>
    <w:tmpl w:val="3716A306"/>
    <w:lvl w:ilvl="0" w:tplc="84D8D086">
      <w:start w:val="110"/>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8777356"/>
    <w:multiLevelType w:val="hybridMultilevel"/>
    <w:tmpl w:val="D598B7B0"/>
    <w:lvl w:ilvl="0" w:tplc="020A71DE">
      <w:numFmt w:val="bullet"/>
      <w:lvlText w:val="-"/>
      <w:lvlJc w:val="left"/>
      <w:pPr>
        <w:ind w:left="720" w:hanging="360"/>
      </w:pPr>
      <w:rPr>
        <w:rFonts w:ascii="Times New Roman" w:eastAsia="Calibr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A1B4D39"/>
    <w:multiLevelType w:val="hybridMultilevel"/>
    <w:tmpl w:val="FC66655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C9E4821"/>
    <w:multiLevelType w:val="hybridMultilevel"/>
    <w:tmpl w:val="CAF26378"/>
    <w:lvl w:ilvl="0" w:tplc="C1DCAEFC">
      <w:start w:val="1"/>
      <w:numFmt w:val="decimal"/>
      <w:pStyle w:val="TableHeadNumber"/>
      <w:lvlText w:val="Table %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5156B27"/>
    <w:multiLevelType w:val="hybridMultilevel"/>
    <w:tmpl w:val="0C6E39F6"/>
    <w:lvl w:ilvl="0" w:tplc="0CAEEC0C">
      <w:start w:val="2"/>
      <w:numFmt w:val="bullet"/>
      <w:lvlText w:val="-"/>
      <w:lvlJc w:val="left"/>
      <w:pPr>
        <w:ind w:left="720" w:hanging="360"/>
      </w:pPr>
      <w:rPr>
        <w:rFonts w:ascii="Times New Roman" w:eastAsia="Calibr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6BA1EB8"/>
    <w:multiLevelType w:val="hybridMultilevel"/>
    <w:tmpl w:val="7FCC5A5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48BE6DA4"/>
    <w:multiLevelType w:val="multilevel"/>
    <w:tmpl w:val="FAF04EA0"/>
    <w:lvl w:ilvl="0">
      <w:start w:val="1"/>
      <w:numFmt w:val="bullet"/>
      <w:pStyle w:val="BoxBullet"/>
      <w:lvlText w:val=""/>
      <w:lvlJc w:val="left"/>
      <w:pPr>
        <w:tabs>
          <w:tab w:val="num" w:pos="567"/>
        </w:tabs>
        <w:ind w:left="567" w:hanging="567"/>
      </w:pPr>
      <w:rPr>
        <w:rFonts w:ascii="Symbol" w:hAnsi="Symbol" w:cs="Symbol" w:hint="default"/>
        <w:b/>
        <w:bCs/>
        <w:i w:val="0"/>
        <w:iCs w:val="0"/>
        <w:sz w:val="24"/>
        <w:szCs w:val="24"/>
      </w:rPr>
    </w:lvl>
    <w:lvl w:ilvl="1">
      <w:start w:val="1"/>
      <w:numFmt w:val="decimal"/>
      <w:isLgl/>
      <w:lvlText w:val="%1.%2"/>
      <w:lvlJc w:val="left"/>
      <w:pPr>
        <w:tabs>
          <w:tab w:val="num" w:pos="936"/>
        </w:tabs>
        <w:ind w:left="936" w:hanging="576"/>
      </w:pPr>
      <w:rPr>
        <w:rFonts w:ascii="Trebuchet MS" w:hAnsi="Trebuchet MS" w:cs="Trebuchet MS" w:hint="default"/>
        <w:b/>
        <w:bCs/>
        <w:i w:val="0"/>
        <w:iCs w:val="0"/>
        <w:sz w:val="24"/>
        <w:szCs w:val="24"/>
      </w:rPr>
    </w:lvl>
    <w:lvl w:ilvl="2">
      <w:start w:val="1"/>
      <w:numFmt w:val="decimal"/>
      <w:lvlText w:val="1%1.%2.%3"/>
      <w:lvlJc w:val="left"/>
      <w:pPr>
        <w:tabs>
          <w:tab w:val="num" w:pos="1080"/>
        </w:tabs>
        <w:ind w:left="1080" w:hanging="720"/>
      </w:pPr>
      <w:rPr>
        <w:rFonts w:ascii="Trebuchet MS" w:hAnsi="Trebuchet MS" w:cs="Trebuchet MS" w:hint="default"/>
        <w:b/>
        <w:bCs/>
        <w:i w:val="0"/>
        <w:iCs w:val="0"/>
        <w:sz w:val="24"/>
        <w:szCs w:val="24"/>
      </w:rPr>
    </w:lvl>
    <w:lvl w:ilvl="3">
      <w:start w:val="1"/>
      <w:numFmt w:val="decimal"/>
      <w:lvlText w:val="%1.%2.%3.%4"/>
      <w:lvlJc w:val="left"/>
      <w:pPr>
        <w:tabs>
          <w:tab w:val="num" w:pos="1224"/>
        </w:tabs>
        <w:ind w:left="1224" w:hanging="864"/>
      </w:pPr>
      <w:rPr>
        <w:rFonts w:hint="default"/>
      </w:rPr>
    </w:lvl>
    <w:lvl w:ilvl="4">
      <w:start w:val="1"/>
      <w:numFmt w:val="decimal"/>
      <w:lvlText w:val="%1.%2.%3.%4.%5"/>
      <w:lvlJc w:val="left"/>
      <w:pPr>
        <w:tabs>
          <w:tab w:val="num" w:pos="1368"/>
        </w:tabs>
        <w:ind w:left="1368" w:hanging="1008"/>
      </w:pPr>
      <w:rPr>
        <w:rFonts w:hint="default"/>
        <w:b/>
        <w:bCs/>
        <w:i w:val="0"/>
        <w:iCs w:val="0"/>
        <w:sz w:val="24"/>
        <w:szCs w:val="24"/>
      </w:rPr>
    </w:lvl>
    <w:lvl w:ilvl="5">
      <w:start w:val="1"/>
      <w:numFmt w:val="decimal"/>
      <w:lvlText w:val="%1.%2.%3.%4.%5.%6"/>
      <w:lvlJc w:val="left"/>
      <w:pPr>
        <w:tabs>
          <w:tab w:val="num" w:pos="1512"/>
        </w:tabs>
        <w:ind w:left="1512" w:hanging="1152"/>
      </w:pPr>
      <w:rPr>
        <w:rFonts w:hint="default"/>
      </w:rPr>
    </w:lvl>
    <w:lvl w:ilvl="6">
      <w:start w:val="1"/>
      <w:numFmt w:val="decimal"/>
      <w:lvlText w:val="%1.%2.%3.%4.%5.%6.%7"/>
      <w:lvlJc w:val="left"/>
      <w:pPr>
        <w:tabs>
          <w:tab w:val="num" w:pos="1656"/>
        </w:tabs>
        <w:ind w:left="1656" w:hanging="1296"/>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944"/>
        </w:tabs>
        <w:ind w:left="1944" w:hanging="1584"/>
      </w:pPr>
      <w:rPr>
        <w:rFonts w:hint="default"/>
      </w:rPr>
    </w:lvl>
  </w:abstractNum>
  <w:abstractNum w:abstractNumId="14" w15:restartNumberingAfterBreak="0">
    <w:nsid w:val="538A14A8"/>
    <w:multiLevelType w:val="hybridMultilevel"/>
    <w:tmpl w:val="654812A2"/>
    <w:lvl w:ilvl="0" w:tplc="41907E00">
      <w:start w:val="1"/>
      <w:numFmt w:val="lowerLetter"/>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68ED2AEA"/>
    <w:multiLevelType w:val="hybridMultilevel"/>
    <w:tmpl w:val="242E7826"/>
    <w:lvl w:ilvl="0" w:tplc="1F9AAE10">
      <w:start w:val="2"/>
      <w:numFmt w:val="bullet"/>
      <w:lvlText w:val="-"/>
      <w:lvlJc w:val="left"/>
      <w:pPr>
        <w:ind w:left="720" w:hanging="360"/>
      </w:pPr>
      <w:rPr>
        <w:rFonts w:ascii="Times New Roman" w:eastAsia="Calibr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9B17A3F"/>
    <w:multiLevelType w:val="multilevel"/>
    <w:tmpl w:val="8EA00C60"/>
    <w:styleLink w:val="1ai"/>
    <w:lvl w:ilvl="0">
      <w:start w:val="1"/>
      <w:numFmt w:val="none"/>
      <w:suff w:val="nothing"/>
      <w:lvlText w:val=""/>
      <w:lvlJc w:val="left"/>
      <w:pPr>
        <w:ind w:left="0" w:firstLine="0"/>
      </w:pPr>
      <w:rPr>
        <w:rFonts w:hint="default"/>
      </w:rPr>
    </w:lvl>
    <w:lvl w:ilvl="1">
      <w:start w:val="1"/>
      <w:numFmt w:val="decimal"/>
      <w:lvlText w:val="%2."/>
      <w:lvlJc w:val="left"/>
      <w:pPr>
        <w:tabs>
          <w:tab w:val="num" w:pos="425"/>
        </w:tabs>
        <w:ind w:left="425" w:hanging="425"/>
      </w:pPr>
      <w:rPr>
        <w:rFonts w:hint="default"/>
      </w:rPr>
    </w:lvl>
    <w:lvl w:ilvl="2">
      <w:start w:val="1"/>
      <w:numFmt w:val="lowerLetter"/>
      <w:lvlText w:val="%3."/>
      <w:lvlJc w:val="left"/>
      <w:pPr>
        <w:tabs>
          <w:tab w:val="num" w:pos="851"/>
        </w:tabs>
        <w:ind w:left="851" w:hanging="426"/>
      </w:pPr>
      <w:rPr>
        <w:rFonts w:hint="default"/>
      </w:rPr>
    </w:lvl>
    <w:lvl w:ilvl="3">
      <w:start w:val="1"/>
      <w:numFmt w:val="lowerRoman"/>
      <w:lvlText w:val="%4."/>
      <w:lvlJc w:val="left"/>
      <w:pPr>
        <w:tabs>
          <w:tab w:val="num" w:pos="1276"/>
        </w:tabs>
        <w:ind w:left="1276" w:hanging="425"/>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15:restartNumberingAfterBreak="0">
    <w:nsid w:val="6DF34285"/>
    <w:multiLevelType w:val="hybridMultilevel"/>
    <w:tmpl w:val="BCDCB964"/>
    <w:lvl w:ilvl="0" w:tplc="A6327D4E">
      <w:start w:val="1"/>
      <w:numFmt w:val="bullet"/>
      <w:lvlText w:val=""/>
      <w:lvlJc w:val="left"/>
      <w:pPr>
        <w:tabs>
          <w:tab w:val="num" w:pos="567"/>
        </w:tabs>
        <w:ind w:left="567" w:hanging="567"/>
      </w:pPr>
      <w:rPr>
        <w:rFonts w:ascii="Symbol" w:hAnsi="Symbol" w:hint="default"/>
        <w:color w:val="auto"/>
      </w:rPr>
    </w:lvl>
    <w:lvl w:ilvl="1" w:tplc="0C090003">
      <w:start w:val="1"/>
      <w:numFmt w:val="bullet"/>
      <w:lvlText w:val="o"/>
      <w:lvlJc w:val="left"/>
      <w:pPr>
        <w:tabs>
          <w:tab w:val="num" w:pos="1156"/>
        </w:tabs>
        <w:ind w:left="1156" w:hanging="360"/>
      </w:pPr>
      <w:rPr>
        <w:rFonts w:ascii="Courier New" w:hAnsi="Courier New" w:cs="Courier New" w:hint="default"/>
      </w:rPr>
    </w:lvl>
    <w:lvl w:ilvl="2" w:tplc="0C090005" w:tentative="1">
      <w:start w:val="1"/>
      <w:numFmt w:val="bullet"/>
      <w:lvlText w:val=""/>
      <w:lvlJc w:val="left"/>
      <w:pPr>
        <w:tabs>
          <w:tab w:val="num" w:pos="1876"/>
        </w:tabs>
        <w:ind w:left="1876" w:hanging="360"/>
      </w:pPr>
      <w:rPr>
        <w:rFonts w:ascii="Wingdings" w:hAnsi="Wingdings" w:hint="default"/>
      </w:rPr>
    </w:lvl>
    <w:lvl w:ilvl="3" w:tplc="0C090001" w:tentative="1">
      <w:start w:val="1"/>
      <w:numFmt w:val="bullet"/>
      <w:lvlText w:val=""/>
      <w:lvlJc w:val="left"/>
      <w:pPr>
        <w:tabs>
          <w:tab w:val="num" w:pos="2596"/>
        </w:tabs>
        <w:ind w:left="2596" w:hanging="360"/>
      </w:pPr>
      <w:rPr>
        <w:rFonts w:ascii="Symbol" w:hAnsi="Symbol" w:hint="default"/>
      </w:rPr>
    </w:lvl>
    <w:lvl w:ilvl="4" w:tplc="0C090003" w:tentative="1">
      <w:start w:val="1"/>
      <w:numFmt w:val="bullet"/>
      <w:lvlText w:val="o"/>
      <w:lvlJc w:val="left"/>
      <w:pPr>
        <w:tabs>
          <w:tab w:val="num" w:pos="3316"/>
        </w:tabs>
        <w:ind w:left="3316" w:hanging="360"/>
      </w:pPr>
      <w:rPr>
        <w:rFonts w:ascii="Courier New" w:hAnsi="Courier New" w:cs="Courier New" w:hint="default"/>
      </w:rPr>
    </w:lvl>
    <w:lvl w:ilvl="5" w:tplc="0C090005" w:tentative="1">
      <w:start w:val="1"/>
      <w:numFmt w:val="bullet"/>
      <w:lvlText w:val=""/>
      <w:lvlJc w:val="left"/>
      <w:pPr>
        <w:tabs>
          <w:tab w:val="num" w:pos="4036"/>
        </w:tabs>
        <w:ind w:left="4036" w:hanging="360"/>
      </w:pPr>
      <w:rPr>
        <w:rFonts w:ascii="Wingdings" w:hAnsi="Wingdings" w:hint="default"/>
      </w:rPr>
    </w:lvl>
    <w:lvl w:ilvl="6" w:tplc="0C090001" w:tentative="1">
      <w:start w:val="1"/>
      <w:numFmt w:val="bullet"/>
      <w:lvlText w:val=""/>
      <w:lvlJc w:val="left"/>
      <w:pPr>
        <w:tabs>
          <w:tab w:val="num" w:pos="4756"/>
        </w:tabs>
        <w:ind w:left="4756" w:hanging="360"/>
      </w:pPr>
      <w:rPr>
        <w:rFonts w:ascii="Symbol" w:hAnsi="Symbol" w:hint="default"/>
      </w:rPr>
    </w:lvl>
    <w:lvl w:ilvl="7" w:tplc="0C090003" w:tentative="1">
      <w:start w:val="1"/>
      <w:numFmt w:val="bullet"/>
      <w:lvlText w:val="o"/>
      <w:lvlJc w:val="left"/>
      <w:pPr>
        <w:tabs>
          <w:tab w:val="num" w:pos="5476"/>
        </w:tabs>
        <w:ind w:left="5476" w:hanging="360"/>
      </w:pPr>
      <w:rPr>
        <w:rFonts w:ascii="Courier New" w:hAnsi="Courier New" w:cs="Courier New" w:hint="default"/>
      </w:rPr>
    </w:lvl>
    <w:lvl w:ilvl="8" w:tplc="0C090005" w:tentative="1">
      <w:start w:val="1"/>
      <w:numFmt w:val="bullet"/>
      <w:lvlText w:val=""/>
      <w:lvlJc w:val="left"/>
      <w:pPr>
        <w:tabs>
          <w:tab w:val="num" w:pos="6196"/>
        </w:tabs>
        <w:ind w:left="6196" w:hanging="360"/>
      </w:pPr>
      <w:rPr>
        <w:rFonts w:ascii="Wingdings" w:hAnsi="Wingdings" w:hint="default"/>
      </w:rPr>
    </w:lvl>
  </w:abstractNum>
  <w:abstractNum w:abstractNumId="18" w15:restartNumberingAfterBreak="0">
    <w:nsid w:val="71384FF8"/>
    <w:multiLevelType w:val="hybridMultilevel"/>
    <w:tmpl w:val="3E78EC2A"/>
    <w:lvl w:ilvl="0" w:tplc="0C090017">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778046AB"/>
    <w:multiLevelType w:val="hybridMultilevel"/>
    <w:tmpl w:val="FBA474D0"/>
    <w:lvl w:ilvl="0" w:tplc="019C139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A794A9E"/>
    <w:multiLevelType w:val="multilevel"/>
    <w:tmpl w:val="BCCEC78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3"/>
  </w:num>
  <w:num w:numId="3">
    <w:abstractNumId w:val="4"/>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4"/>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5"/>
  </w:num>
  <w:num w:numId="17">
    <w:abstractNumId w:val="11"/>
  </w:num>
  <w:num w:numId="18">
    <w:abstractNumId w:val="15"/>
  </w:num>
  <w:num w:numId="19">
    <w:abstractNumId w:val="2"/>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num>
  <w:num w:numId="26">
    <w:abstractNumId w:val="17"/>
  </w:num>
  <w:num w:numId="27">
    <w:abstractNumId w:val="12"/>
  </w:num>
  <w:num w:numId="28">
    <w:abstractNumId w:val="10"/>
  </w:num>
  <w:num w:numId="29">
    <w:abstractNumId w:val="8"/>
  </w:num>
  <w:num w:numId="30">
    <w:abstractNumId w:val="19"/>
  </w:num>
  <w:num w:numId="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num>
  <w:num w:numId="34">
    <w:abstractNumId w:val="18"/>
  </w:num>
  <w:num w:numId="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
  </w:num>
  <w:num w:numId="38">
    <w:abstractNumId w:val="6"/>
  </w:num>
  <w:num w:numId="39">
    <w:abstractNumId w:val="7"/>
  </w:num>
  <w:num w:numId="40">
    <w:abstractNumId w:val="1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567"/>
  <w:drawingGridHorizontalSpacing w:val="110"/>
  <w:displayHorizontalDrawingGridEvery w:val="2"/>
  <w:displayVerticalDrawingGridEvery w:val="2"/>
  <w:characterSpacingControl w:val="doNotCompress"/>
  <w:hdrShapeDefaults>
    <o:shapedefaults v:ext="edit" spidmax="4986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7821"/>
    <w:rsid w:val="00000A12"/>
    <w:rsid w:val="00000E83"/>
    <w:rsid w:val="00000F90"/>
    <w:rsid w:val="00001505"/>
    <w:rsid w:val="0000183A"/>
    <w:rsid w:val="00001D43"/>
    <w:rsid w:val="000023BC"/>
    <w:rsid w:val="00002FF4"/>
    <w:rsid w:val="000038DD"/>
    <w:rsid w:val="00003A9F"/>
    <w:rsid w:val="00003E7A"/>
    <w:rsid w:val="000043F2"/>
    <w:rsid w:val="00004C29"/>
    <w:rsid w:val="00004DCD"/>
    <w:rsid w:val="00005616"/>
    <w:rsid w:val="00005ECE"/>
    <w:rsid w:val="00006447"/>
    <w:rsid w:val="000069B7"/>
    <w:rsid w:val="00006E44"/>
    <w:rsid w:val="00006E6E"/>
    <w:rsid w:val="00006E73"/>
    <w:rsid w:val="00007721"/>
    <w:rsid w:val="0001001D"/>
    <w:rsid w:val="000104F1"/>
    <w:rsid w:val="0001052B"/>
    <w:rsid w:val="000109AA"/>
    <w:rsid w:val="00010C8F"/>
    <w:rsid w:val="00010FC1"/>
    <w:rsid w:val="00011B5A"/>
    <w:rsid w:val="00011C04"/>
    <w:rsid w:val="00012578"/>
    <w:rsid w:val="000127F5"/>
    <w:rsid w:val="00012FB4"/>
    <w:rsid w:val="00013CA0"/>
    <w:rsid w:val="00013E4F"/>
    <w:rsid w:val="000151DC"/>
    <w:rsid w:val="00015364"/>
    <w:rsid w:val="000157F1"/>
    <w:rsid w:val="00015AE0"/>
    <w:rsid w:val="00016572"/>
    <w:rsid w:val="00016951"/>
    <w:rsid w:val="00020032"/>
    <w:rsid w:val="000216E2"/>
    <w:rsid w:val="00021AEC"/>
    <w:rsid w:val="00021E52"/>
    <w:rsid w:val="00022596"/>
    <w:rsid w:val="000233D6"/>
    <w:rsid w:val="00023669"/>
    <w:rsid w:val="00023D61"/>
    <w:rsid w:val="00024A0A"/>
    <w:rsid w:val="0002522A"/>
    <w:rsid w:val="000252DE"/>
    <w:rsid w:val="0002544C"/>
    <w:rsid w:val="00025638"/>
    <w:rsid w:val="0002588F"/>
    <w:rsid w:val="000259D3"/>
    <w:rsid w:val="0002665E"/>
    <w:rsid w:val="00027C12"/>
    <w:rsid w:val="00027E8F"/>
    <w:rsid w:val="00027EB3"/>
    <w:rsid w:val="000307A0"/>
    <w:rsid w:val="00030DCB"/>
    <w:rsid w:val="000312DD"/>
    <w:rsid w:val="00031814"/>
    <w:rsid w:val="00031867"/>
    <w:rsid w:val="00032367"/>
    <w:rsid w:val="00032ECE"/>
    <w:rsid w:val="00033844"/>
    <w:rsid w:val="00034405"/>
    <w:rsid w:val="000350B0"/>
    <w:rsid w:val="00035716"/>
    <w:rsid w:val="00035908"/>
    <w:rsid w:val="00036659"/>
    <w:rsid w:val="00037885"/>
    <w:rsid w:val="00040023"/>
    <w:rsid w:val="0004003F"/>
    <w:rsid w:val="00040CDC"/>
    <w:rsid w:val="00040EA0"/>
    <w:rsid w:val="00041501"/>
    <w:rsid w:val="0004195E"/>
    <w:rsid w:val="00041E0F"/>
    <w:rsid w:val="000427DA"/>
    <w:rsid w:val="00042E8C"/>
    <w:rsid w:val="000433DC"/>
    <w:rsid w:val="00044087"/>
    <w:rsid w:val="00044AA6"/>
    <w:rsid w:val="00045281"/>
    <w:rsid w:val="00046734"/>
    <w:rsid w:val="00047287"/>
    <w:rsid w:val="00047A80"/>
    <w:rsid w:val="00047B49"/>
    <w:rsid w:val="000516D1"/>
    <w:rsid w:val="000518B9"/>
    <w:rsid w:val="000526C0"/>
    <w:rsid w:val="000531F4"/>
    <w:rsid w:val="00053367"/>
    <w:rsid w:val="00053738"/>
    <w:rsid w:val="00053B96"/>
    <w:rsid w:val="00054DA9"/>
    <w:rsid w:val="00055222"/>
    <w:rsid w:val="0005534B"/>
    <w:rsid w:val="000553BF"/>
    <w:rsid w:val="00055536"/>
    <w:rsid w:val="0005633B"/>
    <w:rsid w:val="00056671"/>
    <w:rsid w:val="00056816"/>
    <w:rsid w:val="00056D00"/>
    <w:rsid w:val="00057522"/>
    <w:rsid w:val="0006028C"/>
    <w:rsid w:val="000607C6"/>
    <w:rsid w:val="00060C0C"/>
    <w:rsid w:val="000611D9"/>
    <w:rsid w:val="00061E15"/>
    <w:rsid w:val="0006208B"/>
    <w:rsid w:val="0006210D"/>
    <w:rsid w:val="000625A2"/>
    <w:rsid w:val="00062A5B"/>
    <w:rsid w:val="0006337F"/>
    <w:rsid w:val="00065000"/>
    <w:rsid w:val="00065206"/>
    <w:rsid w:val="000663EE"/>
    <w:rsid w:val="0006680C"/>
    <w:rsid w:val="000669C9"/>
    <w:rsid w:val="00066A4A"/>
    <w:rsid w:val="00067399"/>
    <w:rsid w:val="00067821"/>
    <w:rsid w:val="00070696"/>
    <w:rsid w:val="0007118C"/>
    <w:rsid w:val="0007124B"/>
    <w:rsid w:val="000714EA"/>
    <w:rsid w:val="000723A6"/>
    <w:rsid w:val="000729E3"/>
    <w:rsid w:val="00072B0B"/>
    <w:rsid w:val="000735BC"/>
    <w:rsid w:val="0007370C"/>
    <w:rsid w:val="00073F77"/>
    <w:rsid w:val="00075404"/>
    <w:rsid w:val="0007548E"/>
    <w:rsid w:val="00075FEB"/>
    <w:rsid w:val="000762E6"/>
    <w:rsid w:val="0007641A"/>
    <w:rsid w:val="00076FAD"/>
    <w:rsid w:val="0007706D"/>
    <w:rsid w:val="00077385"/>
    <w:rsid w:val="0007789D"/>
    <w:rsid w:val="000800D0"/>
    <w:rsid w:val="00080E27"/>
    <w:rsid w:val="00080EB8"/>
    <w:rsid w:val="00081AAD"/>
    <w:rsid w:val="000823E1"/>
    <w:rsid w:val="00082798"/>
    <w:rsid w:val="00082B06"/>
    <w:rsid w:val="00082BB3"/>
    <w:rsid w:val="00083875"/>
    <w:rsid w:val="00083BF2"/>
    <w:rsid w:val="00083F42"/>
    <w:rsid w:val="00084622"/>
    <w:rsid w:val="00084865"/>
    <w:rsid w:val="00085AF8"/>
    <w:rsid w:val="00085F48"/>
    <w:rsid w:val="0008669E"/>
    <w:rsid w:val="0008741D"/>
    <w:rsid w:val="00087475"/>
    <w:rsid w:val="00087D3E"/>
    <w:rsid w:val="000906DE"/>
    <w:rsid w:val="00090C83"/>
    <w:rsid w:val="0009106F"/>
    <w:rsid w:val="00091C9B"/>
    <w:rsid w:val="0009202F"/>
    <w:rsid w:val="00092449"/>
    <w:rsid w:val="0009355B"/>
    <w:rsid w:val="000953CD"/>
    <w:rsid w:val="00095D91"/>
    <w:rsid w:val="00095E51"/>
    <w:rsid w:val="0009676E"/>
    <w:rsid w:val="000969DE"/>
    <w:rsid w:val="00096AD4"/>
    <w:rsid w:val="00096C46"/>
    <w:rsid w:val="00096C51"/>
    <w:rsid w:val="00096E29"/>
    <w:rsid w:val="00097563"/>
    <w:rsid w:val="00097F37"/>
    <w:rsid w:val="00097FAB"/>
    <w:rsid w:val="000A0F33"/>
    <w:rsid w:val="000A1261"/>
    <w:rsid w:val="000A3073"/>
    <w:rsid w:val="000A3343"/>
    <w:rsid w:val="000A3964"/>
    <w:rsid w:val="000A4BE9"/>
    <w:rsid w:val="000A5644"/>
    <w:rsid w:val="000A5958"/>
    <w:rsid w:val="000A5F4F"/>
    <w:rsid w:val="000A5FA6"/>
    <w:rsid w:val="000A63C7"/>
    <w:rsid w:val="000A715C"/>
    <w:rsid w:val="000A71AC"/>
    <w:rsid w:val="000A7B6D"/>
    <w:rsid w:val="000A7F51"/>
    <w:rsid w:val="000B01B5"/>
    <w:rsid w:val="000B0FDB"/>
    <w:rsid w:val="000B134B"/>
    <w:rsid w:val="000B1471"/>
    <w:rsid w:val="000B17FD"/>
    <w:rsid w:val="000B1C97"/>
    <w:rsid w:val="000B2145"/>
    <w:rsid w:val="000B27BA"/>
    <w:rsid w:val="000B2901"/>
    <w:rsid w:val="000B31DA"/>
    <w:rsid w:val="000B35C3"/>
    <w:rsid w:val="000B38AE"/>
    <w:rsid w:val="000B3C30"/>
    <w:rsid w:val="000B41C1"/>
    <w:rsid w:val="000B423E"/>
    <w:rsid w:val="000B5389"/>
    <w:rsid w:val="000B5D96"/>
    <w:rsid w:val="000B7A98"/>
    <w:rsid w:val="000B7CBF"/>
    <w:rsid w:val="000C014A"/>
    <w:rsid w:val="000C0516"/>
    <w:rsid w:val="000C0D00"/>
    <w:rsid w:val="000C116C"/>
    <w:rsid w:val="000C163C"/>
    <w:rsid w:val="000C1BA4"/>
    <w:rsid w:val="000C2438"/>
    <w:rsid w:val="000C2DF4"/>
    <w:rsid w:val="000C2FB1"/>
    <w:rsid w:val="000C3998"/>
    <w:rsid w:val="000C3ADE"/>
    <w:rsid w:val="000C41B3"/>
    <w:rsid w:val="000C5445"/>
    <w:rsid w:val="000C58E1"/>
    <w:rsid w:val="000C5FF2"/>
    <w:rsid w:val="000C6265"/>
    <w:rsid w:val="000C6568"/>
    <w:rsid w:val="000C6956"/>
    <w:rsid w:val="000C6A64"/>
    <w:rsid w:val="000C787F"/>
    <w:rsid w:val="000D0117"/>
    <w:rsid w:val="000D0878"/>
    <w:rsid w:val="000D09E5"/>
    <w:rsid w:val="000D0EE6"/>
    <w:rsid w:val="000D1894"/>
    <w:rsid w:val="000D1C92"/>
    <w:rsid w:val="000D2173"/>
    <w:rsid w:val="000D2BC0"/>
    <w:rsid w:val="000D3A72"/>
    <w:rsid w:val="000D3B6A"/>
    <w:rsid w:val="000D3BC5"/>
    <w:rsid w:val="000D406A"/>
    <w:rsid w:val="000D42FD"/>
    <w:rsid w:val="000D4CB7"/>
    <w:rsid w:val="000D5448"/>
    <w:rsid w:val="000D63A8"/>
    <w:rsid w:val="000D695A"/>
    <w:rsid w:val="000D6C0B"/>
    <w:rsid w:val="000D770B"/>
    <w:rsid w:val="000D7910"/>
    <w:rsid w:val="000D7A9C"/>
    <w:rsid w:val="000E0B85"/>
    <w:rsid w:val="000E0C1A"/>
    <w:rsid w:val="000E18AA"/>
    <w:rsid w:val="000E2946"/>
    <w:rsid w:val="000E2A29"/>
    <w:rsid w:val="000E2AEF"/>
    <w:rsid w:val="000E2D2B"/>
    <w:rsid w:val="000E2FDC"/>
    <w:rsid w:val="000E3750"/>
    <w:rsid w:val="000E37FD"/>
    <w:rsid w:val="000E3D4F"/>
    <w:rsid w:val="000E40D3"/>
    <w:rsid w:val="000E4820"/>
    <w:rsid w:val="000E49E2"/>
    <w:rsid w:val="000E4CD7"/>
    <w:rsid w:val="000E4E9D"/>
    <w:rsid w:val="000E4F61"/>
    <w:rsid w:val="000E5262"/>
    <w:rsid w:val="000E6872"/>
    <w:rsid w:val="000E694B"/>
    <w:rsid w:val="000E6F83"/>
    <w:rsid w:val="000E744A"/>
    <w:rsid w:val="000E7A00"/>
    <w:rsid w:val="000E7B21"/>
    <w:rsid w:val="000F1AA7"/>
    <w:rsid w:val="000F236F"/>
    <w:rsid w:val="000F2BDA"/>
    <w:rsid w:val="000F30D4"/>
    <w:rsid w:val="000F3411"/>
    <w:rsid w:val="000F377D"/>
    <w:rsid w:val="000F3914"/>
    <w:rsid w:val="000F53A7"/>
    <w:rsid w:val="000F53ED"/>
    <w:rsid w:val="000F54C7"/>
    <w:rsid w:val="000F574B"/>
    <w:rsid w:val="000F57E6"/>
    <w:rsid w:val="000F5EEA"/>
    <w:rsid w:val="000F673B"/>
    <w:rsid w:val="000F6D82"/>
    <w:rsid w:val="000F712C"/>
    <w:rsid w:val="000F75D1"/>
    <w:rsid w:val="000F7B15"/>
    <w:rsid w:val="000F7B3D"/>
    <w:rsid w:val="000F7EA9"/>
    <w:rsid w:val="00100371"/>
    <w:rsid w:val="00100703"/>
    <w:rsid w:val="001029AE"/>
    <w:rsid w:val="001044B3"/>
    <w:rsid w:val="00105EF0"/>
    <w:rsid w:val="00106BE1"/>
    <w:rsid w:val="00106C5E"/>
    <w:rsid w:val="00106EF3"/>
    <w:rsid w:val="00107554"/>
    <w:rsid w:val="00107816"/>
    <w:rsid w:val="00107838"/>
    <w:rsid w:val="00110312"/>
    <w:rsid w:val="001107F1"/>
    <w:rsid w:val="00110917"/>
    <w:rsid w:val="00110A0F"/>
    <w:rsid w:val="00111577"/>
    <w:rsid w:val="00111A10"/>
    <w:rsid w:val="00111C5C"/>
    <w:rsid w:val="00112945"/>
    <w:rsid w:val="00113372"/>
    <w:rsid w:val="00113DBC"/>
    <w:rsid w:val="00114472"/>
    <w:rsid w:val="00114BC3"/>
    <w:rsid w:val="001151EA"/>
    <w:rsid w:val="0011660E"/>
    <w:rsid w:val="00116721"/>
    <w:rsid w:val="00116FF2"/>
    <w:rsid w:val="0011748E"/>
    <w:rsid w:val="00117A8B"/>
    <w:rsid w:val="0012026C"/>
    <w:rsid w:val="00120E0D"/>
    <w:rsid w:val="001211BD"/>
    <w:rsid w:val="00121C07"/>
    <w:rsid w:val="00122464"/>
    <w:rsid w:val="00122F8B"/>
    <w:rsid w:val="00122F92"/>
    <w:rsid w:val="00123869"/>
    <w:rsid w:val="00123AA3"/>
    <w:rsid w:val="00124D47"/>
    <w:rsid w:val="00125C8A"/>
    <w:rsid w:val="00126D48"/>
    <w:rsid w:val="0012727C"/>
    <w:rsid w:val="00127E02"/>
    <w:rsid w:val="001303D7"/>
    <w:rsid w:val="00130549"/>
    <w:rsid w:val="001307EC"/>
    <w:rsid w:val="001308C7"/>
    <w:rsid w:val="0013181F"/>
    <w:rsid w:val="0013183A"/>
    <w:rsid w:val="0013237B"/>
    <w:rsid w:val="0013289F"/>
    <w:rsid w:val="00132EFB"/>
    <w:rsid w:val="0013308B"/>
    <w:rsid w:val="0013434A"/>
    <w:rsid w:val="0013456B"/>
    <w:rsid w:val="001350CC"/>
    <w:rsid w:val="00135BB6"/>
    <w:rsid w:val="00135D23"/>
    <w:rsid w:val="001367E5"/>
    <w:rsid w:val="00136D32"/>
    <w:rsid w:val="00137F48"/>
    <w:rsid w:val="00140695"/>
    <w:rsid w:val="00141960"/>
    <w:rsid w:val="00141A18"/>
    <w:rsid w:val="00141CA6"/>
    <w:rsid w:val="001420B5"/>
    <w:rsid w:val="00144136"/>
    <w:rsid w:val="00144B8D"/>
    <w:rsid w:val="00144EC9"/>
    <w:rsid w:val="001463F3"/>
    <w:rsid w:val="00146AF5"/>
    <w:rsid w:val="00147219"/>
    <w:rsid w:val="001473B0"/>
    <w:rsid w:val="00147E07"/>
    <w:rsid w:val="00147EF3"/>
    <w:rsid w:val="00150BE8"/>
    <w:rsid w:val="00150DFD"/>
    <w:rsid w:val="0015162A"/>
    <w:rsid w:val="00151F7B"/>
    <w:rsid w:val="001520C6"/>
    <w:rsid w:val="00152620"/>
    <w:rsid w:val="001533DA"/>
    <w:rsid w:val="00153735"/>
    <w:rsid w:val="0015392E"/>
    <w:rsid w:val="00153A34"/>
    <w:rsid w:val="00154260"/>
    <w:rsid w:val="00154417"/>
    <w:rsid w:val="001547AF"/>
    <w:rsid w:val="00154AC1"/>
    <w:rsid w:val="001556B8"/>
    <w:rsid w:val="001556F0"/>
    <w:rsid w:val="00156145"/>
    <w:rsid w:val="00156428"/>
    <w:rsid w:val="00156874"/>
    <w:rsid w:val="001571A3"/>
    <w:rsid w:val="00157561"/>
    <w:rsid w:val="00157FEA"/>
    <w:rsid w:val="00160138"/>
    <w:rsid w:val="00160476"/>
    <w:rsid w:val="001608D7"/>
    <w:rsid w:val="00160BEE"/>
    <w:rsid w:val="00160C03"/>
    <w:rsid w:val="0016142F"/>
    <w:rsid w:val="001617DF"/>
    <w:rsid w:val="001629B1"/>
    <w:rsid w:val="00162C83"/>
    <w:rsid w:val="001638EB"/>
    <w:rsid w:val="001639EE"/>
    <w:rsid w:val="00163A7C"/>
    <w:rsid w:val="00163C67"/>
    <w:rsid w:val="00164BD5"/>
    <w:rsid w:val="001653D4"/>
    <w:rsid w:val="001654C4"/>
    <w:rsid w:val="00165AE8"/>
    <w:rsid w:val="00165B03"/>
    <w:rsid w:val="00165DE2"/>
    <w:rsid w:val="001716DF"/>
    <w:rsid w:val="001719BE"/>
    <w:rsid w:val="0017213C"/>
    <w:rsid w:val="00172478"/>
    <w:rsid w:val="00172684"/>
    <w:rsid w:val="00172BF0"/>
    <w:rsid w:val="00173A04"/>
    <w:rsid w:val="00173D69"/>
    <w:rsid w:val="00174BF4"/>
    <w:rsid w:val="00175BDC"/>
    <w:rsid w:val="00176B9D"/>
    <w:rsid w:val="001776C2"/>
    <w:rsid w:val="00177D9B"/>
    <w:rsid w:val="001805FE"/>
    <w:rsid w:val="00180EE3"/>
    <w:rsid w:val="00181B1D"/>
    <w:rsid w:val="001829E5"/>
    <w:rsid w:val="00182D52"/>
    <w:rsid w:val="00182DEC"/>
    <w:rsid w:val="00182F03"/>
    <w:rsid w:val="00182FA1"/>
    <w:rsid w:val="00183311"/>
    <w:rsid w:val="00183832"/>
    <w:rsid w:val="0018482E"/>
    <w:rsid w:val="001848C9"/>
    <w:rsid w:val="00184B5D"/>
    <w:rsid w:val="00185603"/>
    <w:rsid w:val="00185627"/>
    <w:rsid w:val="0018630C"/>
    <w:rsid w:val="00186B35"/>
    <w:rsid w:val="00187176"/>
    <w:rsid w:val="001875B1"/>
    <w:rsid w:val="00187D61"/>
    <w:rsid w:val="00187E2C"/>
    <w:rsid w:val="00190137"/>
    <w:rsid w:val="001903A7"/>
    <w:rsid w:val="00190D53"/>
    <w:rsid w:val="001911BE"/>
    <w:rsid w:val="00191396"/>
    <w:rsid w:val="00192DD0"/>
    <w:rsid w:val="0019335B"/>
    <w:rsid w:val="0019340A"/>
    <w:rsid w:val="0019363A"/>
    <w:rsid w:val="00195125"/>
    <w:rsid w:val="00195943"/>
    <w:rsid w:val="00196151"/>
    <w:rsid w:val="00196FED"/>
    <w:rsid w:val="0019779A"/>
    <w:rsid w:val="00197C0A"/>
    <w:rsid w:val="001A1410"/>
    <w:rsid w:val="001A1B73"/>
    <w:rsid w:val="001A21BC"/>
    <w:rsid w:val="001A33F3"/>
    <w:rsid w:val="001A3907"/>
    <w:rsid w:val="001A3CBA"/>
    <w:rsid w:val="001A3E49"/>
    <w:rsid w:val="001A5487"/>
    <w:rsid w:val="001A5B78"/>
    <w:rsid w:val="001A6611"/>
    <w:rsid w:val="001A6D2E"/>
    <w:rsid w:val="001A71CC"/>
    <w:rsid w:val="001A777F"/>
    <w:rsid w:val="001A7AC6"/>
    <w:rsid w:val="001B0061"/>
    <w:rsid w:val="001B0127"/>
    <w:rsid w:val="001B0187"/>
    <w:rsid w:val="001B019E"/>
    <w:rsid w:val="001B05F6"/>
    <w:rsid w:val="001B0D9B"/>
    <w:rsid w:val="001B1AA8"/>
    <w:rsid w:val="001B1CB1"/>
    <w:rsid w:val="001B2003"/>
    <w:rsid w:val="001B2495"/>
    <w:rsid w:val="001B2BB6"/>
    <w:rsid w:val="001B36CB"/>
    <w:rsid w:val="001B3A01"/>
    <w:rsid w:val="001B3BFF"/>
    <w:rsid w:val="001B425D"/>
    <w:rsid w:val="001B5AAF"/>
    <w:rsid w:val="001B6183"/>
    <w:rsid w:val="001B6D19"/>
    <w:rsid w:val="001B7A32"/>
    <w:rsid w:val="001C0E40"/>
    <w:rsid w:val="001C1717"/>
    <w:rsid w:val="001C1D63"/>
    <w:rsid w:val="001C2728"/>
    <w:rsid w:val="001C297B"/>
    <w:rsid w:val="001C2D3E"/>
    <w:rsid w:val="001C3FDF"/>
    <w:rsid w:val="001C4251"/>
    <w:rsid w:val="001C483F"/>
    <w:rsid w:val="001C5F42"/>
    <w:rsid w:val="001C617E"/>
    <w:rsid w:val="001C6997"/>
    <w:rsid w:val="001C6C3B"/>
    <w:rsid w:val="001C6CFA"/>
    <w:rsid w:val="001C73E0"/>
    <w:rsid w:val="001C755C"/>
    <w:rsid w:val="001C7678"/>
    <w:rsid w:val="001C7896"/>
    <w:rsid w:val="001C7C82"/>
    <w:rsid w:val="001D028B"/>
    <w:rsid w:val="001D03DB"/>
    <w:rsid w:val="001D0E19"/>
    <w:rsid w:val="001D16F8"/>
    <w:rsid w:val="001D1757"/>
    <w:rsid w:val="001D17F0"/>
    <w:rsid w:val="001D1B5B"/>
    <w:rsid w:val="001D1E7D"/>
    <w:rsid w:val="001D23C0"/>
    <w:rsid w:val="001D3A95"/>
    <w:rsid w:val="001D3AEC"/>
    <w:rsid w:val="001D3D0D"/>
    <w:rsid w:val="001D4DDB"/>
    <w:rsid w:val="001D5121"/>
    <w:rsid w:val="001D55B1"/>
    <w:rsid w:val="001D646F"/>
    <w:rsid w:val="001D65CE"/>
    <w:rsid w:val="001D6B26"/>
    <w:rsid w:val="001D6C20"/>
    <w:rsid w:val="001D6F14"/>
    <w:rsid w:val="001D77E5"/>
    <w:rsid w:val="001D7A88"/>
    <w:rsid w:val="001E0279"/>
    <w:rsid w:val="001E2806"/>
    <w:rsid w:val="001E415B"/>
    <w:rsid w:val="001E45AA"/>
    <w:rsid w:val="001E484C"/>
    <w:rsid w:val="001E4D74"/>
    <w:rsid w:val="001E51AF"/>
    <w:rsid w:val="001E5A61"/>
    <w:rsid w:val="001E5ABB"/>
    <w:rsid w:val="001E5B45"/>
    <w:rsid w:val="001E69E7"/>
    <w:rsid w:val="001E6AA8"/>
    <w:rsid w:val="001E6B14"/>
    <w:rsid w:val="001E76E7"/>
    <w:rsid w:val="001E7EA9"/>
    <w:rsid w:val="001F019F"/>
    <w:rsid w:val="001F0CE9"/>
    <w:rsid w:val="001F217D"/>
    <w:rsid w:val="001F3910"/>
    <w:rsid w:val="001F4055"/>
    <w:rsid w:val="001F43CD"/>
    <w:rsid w:val="001F4490"/>
    <w:rsid w:val="001F4574"/>
    <w:rsid w:val="001F4884"/>
    <w:rsid w:val="001F48B2"/>
    <w:rsid w:val="001F592F"/>
    <w:rsid w:val="001F5DC0"/>
    <w:rsid w:val="001F5F5F"/>
    <w:rsid w:val="001F60FB"/>
    <w:rsid w:val="001F6B8D"/>
    <w:rsid w:val="001F6ED0"/>
    <w:rsid w:val="001F7AEF"/>
    <w:rsid w:val="001F7CB0"/>
    <w:rsid w:val="00200CF7"/>
    <w:rsid w:val="002014A3"/>
    <w:rsid w:val="00201B79"/>
    <w:rsid w:val="00201C68"/>
    <w:rsid w:val="00201CCA"/>
    <w:rsid w:val="00202239"/>
    <w:rsid w:val="002030F5"/>
    <w:rsid w:val="00203427"/>
    <w:rsid w:val="00203CD2"/>
    <w:rsid w:val="00203D59"/>
    <w:rsid w:val="00203E3F"/>
    <w:rsid w:val="0020478C"/>
    <w:rsid w:val="002049FE"/>
    <w:rsid w:val="00204E04"/>
    <w:rsid w:val="002050BB"/>
    <w:rsid w:val="002052D6"/>
    <w:rsid w:val="00205812"/>
    <w:rsid w:val="00207B4E"/>
    <w:rsid w:val="00207EA8"/>
    <w:rsid w:val="00210A05"/>
    <w:rsid w:val="00210D93"/>
    <w:rsid w:val="002110D2"/>
    <w:rsid w:val="00211534"/>
    <w:rsid w:val="00211690"/>
    <w:rsid w:val="0021188B"/>
    <w:rsid w:val="00213CAE"/>
    <w:rsid w:val="00214737"/>
    <w:rsid w:val="002149C7"/>
    <w:rsid w:val="00215013"/>
    <w:rsid w:val="0021534D"/>
    <w:rsid w:val="0021550B"/>
    <w:rsid w:val="0022009D"/>
    <w:rsid w:val="00220AD4"/>
    <w:rsid w:val="00220BD8"/>
    <w:rsid w:val="00221B4F"/>
    <w:rsid w:val="00221E7E"/>
    <w:rsid w:val="00221F7D"/>
    <w:rsid w:val="002224C4"/>
    <w:rsid w:val="00222FD0"/>
    <w:rsid w:val="00223A79"/>
    <w:rsid w:val="00223BD3"/>
    <w:rsid w:val="00225040"/>
    <w:rsid w:val="002250A3"/>
    <w:rsid w:val="00226A2D"/>
    <w:rsid w:val="00226BE2"/>
    <w:rsid w:val="00226CB9"/>
    <w:rsid w:val="00230232"/>
    <w:rsid w:val="002306C5"/>
    <w:rsid w:val="00230A9C"/>
    <w:rsid w:val="00230BD8"/>
    <w:rsid w:val="002315DF"/>
    <w:rsid w:val="002321EC"/>
    <w:rsid w:val="002324C1"/>
    <w:rsid w:val="00232771"/>
    <w:rsid w:val="00232D8C"/>
    <w:rsid w:val="00232EB2"/>
    <w:rsid w:val="002338B0"/>
    <w:rsid w:val="00233B93"/>
    <w:rsid w:val="00234B75"/>
    <w:rsid w:val="00235026"/>
    <w:rsid w:val="0023587F"/>
    <w:rsid w:val="00235D54"/>
    <w:rsid w:val="00236154"/>
    <w:rsid w:val="0023622B"/>
    <w:rsid w:val="0023628A"/>
    <w:rsid w:val="00236A83"/>
    <w:rsid w:val="00236F35"/>
    <w:rsid w:val="0023743F"/>
    <w:rsid w:val="002411D0"/>
    <w:rsid w:val="00242625"/>
    <w:rsid w:val="002428C3"/>
    <w:rsid w:val="00242F03"/>
    <w:rsid w:val="0024338F"/>
    <w:rsid w:val="00243451"/>
    <w:rsid w:val="00243686"/>
    <w:rsid w:val="00244B73"/>
    <w:rsid w:val="002453F3"/>
    <w:rsid w:val="0024545E"/>
    <w:rsid w:val="002458B8"/>
    <w:rsid w:val="00245CAC"/>
    <w:rsid w:val="00246B8B"/>
    <w:rsid w:val="002476D3"/>
    <w:rsid w:val="00247889"/>
    <w:rsid w:val="00247A71"/>
    <w:rsid w:val="00247E93"/>
    <w:rsid w:val="002500F9"/>
    <w:rsid w:val="002502A3"/>
    <w:rsid w:val="002502B9"/>
    <w:rsid w:val="00250464"/>
    <w:rsid w:val="00250A4A"/>
    <w:rsid w:val="0025145A"/>
    <w:rsid w:val="002522CE"/>
    <w:rsid w:val="00253849"/>
    <w:rsid w:val="00253EDF"/>
    <w:rsid w:val="00253EEA"/>
    <w:rsid w:val="002542F0"/>
    <w:rsid w:val="00254504"/>
    <w:rsid w:val="0025479C"/>
    <w:rsid w:val="00254A35"/>
    <w:rsid w:val="00254C5B"/>
    <w:rsid w:val="00255492"/>
    <w:rsid w:val="00256BA3"/>
    <w:rsid w:val="00256D6A"/>
    <w:rsid w:val="00257B94"/>
    <w:rsid w:val="00257C57"/>
    <w:rsid w:val="00260660"/>
    <w:rsid w:val="00260E13"/>
    <w:rsid w:val="00261085"/>
    <w:rsid w:val="00261470"/>
    <w:rsid w:val="00261542"/>
    <w:rsid w:val="00261707"/>
    <w:rsid w:val="002617AD"/>
    <w:rsid w:val="002618DE"/>
    <w:rsid w:val="00261E30"/>
    <w:rsid w:val="00262E12"/>
    <w:rsid w:val="00263BE2"/>
    <w:rsid w:val="00263E12"/>
    <w:rsid w:val="00263F43"/>
    <w:rsid w:val="002640F8"/>
    <w:rsid w:val="0026443A"/>
    <w:rsid w:val="0026588F"/>
    <w:rsid w:val="00266BAB"/>
    <w:rsid w:val="002672BF"/>
    <w:rsid w:val="002673ED"/>
    <w:rsid w:val="002702CB"/>
    <w:rsid w:val="0027042E"/>
    <w:rsid w:val="002706A0"/>
    <w:rsid w:val="00271551"/>
    <w:rsid w:val="00271A2C"/>
    <w:rsid w:val="00271D7B"/>
    <w:rsid w:val="00272DCA"/>
    <w:rsid w:val="0027306A"/>
    <w:rsid w:val="0027337E"/>
    <w:rsid w:val="00273528"/>
    <w:rsid w:val="002739E2"/>
    <w:rsid w:val="00273ADF"/>
    <w:rsid w:val="002745CA"/>
    <w:rsid w:val="002746FD"/>
    <w:rsid w:val="00274A24"/>
    <w:rsid w:val="00275380"/>
    <w:rsid w:val="0027551A"/>
    <w:rsid w:val="0027568D"/>
    <w:rsid w:val="002756D5"/>
    <w:rsid w:val="002757F7"/>
    <w:rsid w:val="00275842"/>
    <w:rsid w:val="002761E4"/>
    <w:rsid w:val="002762A0"/>
    <w:rsid w:val="0027644A"/>
    <w:rsid w:val="00277905"/>
    <w:rsid w:val="0028005E"/>
    <w:rsid w:val="00280924"/>
    <w:rsid w:val="002817E6"/>
    <w:rsid w:val="00281999"/>
    <w:rsid w:val="00282264"/>
    <w:rsid w:val="00282976"/>
    <w:rsid w:val="00282B8D"/>
    <w:rsid w:val="00283229"/>
    <w:rsid w:val="00283EED"/>
    <w:rsid w:val="00284448"/>
    <w:rsid w:val="00284BFD"/>
    <w:rsid w:val="00284DA9"/>
    <w:rsid w:val="0028506D"/>
    <w:rsid w:val="002854FF"/>
    <w:rsid w:val="0028618A"/>
    <w:rsid w:val="0028629F"/>
    <w:rsid w:val="002873A8"/>
    <w:rsid w:val="0028744E"/>
    <w:rsid w:val="00290471"/>
    <w:rsid w:val="002909C2"/>
    <w:rsid w:val="00291CDE"/>
    <w:rsid w:val="0029229C"/>
    <w:rsid w:val="00292676"/>
    <w:rsid w:val="00292D60"/>
    <w:rsid w:val="00293240"/>
    <w:rsid w:val="002935DF"/>
    <w:rsid w:val="002936DA"/>
    <w:rsid w:val="00293A69"/>
    <w:rsid w:val="0029455F"/>
    <w:rsid w:val="00294632"/>
    <w:rsid w:val="002950CE"/>
    <w:rsid w:val="002957CE"/>
    <w:rsid w:val="00295DA2"/>
    <w:rsid w:val="0029622F"/>
    <w:rsid w:val="00296404"/>
    <w:rsid w:val="0029642F"/>
    <w:rsid w:val="002964A6"/>
    <w:rsid w:val="00296617"/>
    <w:rsid w:val="002969F8"/>
    <w:rsid w:val="002972EF"/>
    <w:rsid w:val="00297CF3"/>
    <w:rsid w:val="00297F46"/>
    <w:rsid w:val="002A00FC"/>
    <w:rsid w:val="002A07F8"/>
    <w:rsid w:val="002A085B"/>
    <w:rsid w:val="002A0EAB"/>
    <w:rsid w:val="002A19D7"/>
    <w:rsid w:val="002A22AF"/>
    <w:rsid w:val="002A32DD"/>
    <w:rsid w:val="002A33C2"/>
    <w:rsid w:val="002A41D8"/>
    <w:rsid w:val="002A426B"/>
    <w:rsid w:val="002A4292"/>
    <w:rsid w:val="002A4A9A"/>
    <w:rsid w:val="002A4FAC"/>
    <w:rsid w:val="002A5024"/>
    <w:rsid w:val="002A542C"/>
    <w:rsid w:val="002A5458"/>
    <w:rsid w:val="002A57C8"/>
    <w:rsid w:val="002A654C"/>
    <w:rsid w:val="002A6877"/>
    <w:rsid w:val="002A68A9"/>
    <w:rsid w:val="002A6C53"/>
    <w:rsid w:val="002A73D9"/>
    <w:rsid w:val="002A78F2"/>
    <w:rsid w:val="002A7E5E"/>
    <w:rsid w:val="002B02AD"/>
    <w:rsid w:val="002B0B41"/>
    <w:rsid w:val="002B1032"/>
    <w:rsid w:val="002B108E"/>
    <w:rsid w:val="002B1427"/>
    <w:rsid w:val="002B1937"/>
    <w:rsid w:val="002B2C97"/>
    <w:rsid w:val="002B34D8"/>
    <w:rsid w:val="002B421B"/>
    <w:rsid w:val="002B4CCC"/>
    <w:rsid w:val="002B5685"/>
    <w:rsid w:val="002B6238"/>
    <w:rsid w:val="002B7882"/>
    <w:rsid w:val="002C0B57"/>
    <w:rsid w:val="002C15B9"/>
    <w:rsid w:val="002C2EBF"/>
    <w:rsid w:val="002C3031"/>
    <w:rsid w:val="002C3204"/>
    <w:rsid w:val="002C477F"/>
    <w:rsid w:val="002C562B"/>
    <w:rsid w:val="002C57AD"/>
    <w:rsid w:val="002C5BFC"/>
    <w:rsid w:val="002C60C3"/>
    <w:rsid w:val="002C6103"/>
    <w:rsid w:val="002C6DBE"/>
    <w:rsid w:val="002C7066"/>
    <w:rsid w:val="002C74A4"/>
    <w:rsid w:val="002C7C0F"/>
    <w:rsid w:val="002C7D32"/>
    <w:rsid w:val="002C7EC8"/>
    <w:rsid w:val="002D00D5"/>
    <w:rsid w:val="002D0FFC"/>
    <w:rsid w:val="002D1166"/>
    <w:rsid w:val="002D15EA"/>
    <w:rsid w:val="002D1B3E"/>
    <w:rsid w:val="002D27E2"/>
    <w:rsid w:val="002D2FDD"/>
    <w:rsid w:val="002D34BC"/>
    <w:rsid w:val="002D3CB0"/>
    <w:rsid w:val="002D533F"/>
    <w:rsid w:val="002D64F3"/>
    <w:rsid w:val="002D68AC"/>
    <w:rsid w:val="002D721F"/>
    <w:rsid w:val="002D7497"/>
    <w:rsid w:val="002D75FE"/>
    <w:rsid w:val="002D78CE"/>
    <w:rsid w:val="002E05BC"/>
    <w:rsid w:val="002E1956"/>
    <w:rsid w:val="002E2AB6"/>
    <w:rsid w:val="002E404E"/>
    <w:rsid w:val="002E4708"/>
    <w:rsid w:val="002E496E"/>
    <w:rsid w:val="002E5520"/>
    <w:rsid w:val="002E6385"/>
    <w:rsid w:val="002E6F83"/>
    <w:rsid w:val="002E7BDF"/>
    <w:rsid w:val="002F057D"/>
    <w:rsid w:val="002F0C0A"/>
    <w:rsid w:val="002F0DE2"/>
    <w:rsid w:val="002F0ED3"/>
    <w:rsid w:val="002F1445"/>
    <w:rsid w:val="002F1564"/>
    <w:rsid w:val="002F1E52"/>
    <w:rsid w:val="002F23A7"/>
    <w:rsid w:val="002F259B"/>
    <w:rsid w:val="002F27DE"/>
    <w:rsid w:val="002F280B"/>
    <w:rsid w:val="002F2E2D"/>
    <w:rsid w:val="002F2FC1"/>
    <w:rsid w:val="002F308D"/>
    <w:rsid w:val="002F44A3"/>
    <w:rsid w:val="002F4987"/>
    <w:rsid w:val="002F532C"/>
    <w:rsid w:val="002F5656"/>
    <w:rsid w:val="002F5710"/>
    <w:rsid w:val="002F5988"/>
    <w:rsid w:val="002F6410"/>
    <w:rsid w:val="002F711D"/>
    <w:rsid w:val="002F73CA"/>
    <w:rsid w:val="002F7560"/>
    <w:rsid w:val="002F7A6D"/>
    <w:rsid w:val="00300E13"/>
    <w:rsid w:val="0030127F"/>
    <w:rsid w:val="00301C28"/>
    <w:rsid w:val="00301F09"/>
    <w:rsid w:val="0030217B"/>
    <w:rsid w:val="00302422"/>
    <w:rsid w:val="003034B3"/>
    <w:rsid w:val="003034D3"/>
    <w:rsid w:val="0030386E"/>
    <w:rsid w:val="003042C3"/>
    <w:rsid w:val="0030481D"/>
    <w:rsid w:val="003052E9"/>
    <w:rsid w:val="0030545C"/>
    <w:rsid w:val="00305752"/>
    <w:rsid w:val="003062B9"/>
    <w:rsid w:val="003063C1"/>
    <w:rsid w:val="0030780F"/>
    <w:rsid w:val="00307874"/>
    <w:rsid w:val="003078A0"/>
    <w:rsid w:val="00310756"/>
    <w:rsid w:val="003107A8"/>
    <w:rsid w:val="00310E05"/>
    <w:rsid w:val="003120C1"/>
    <w:rsid w:val="003124CB"/>
    <w:rsid w:val="00313BDD"/>
    <w:rsid w:val="00313D20"/>
    <w:rsid w:val="003145BD"/>
    <w:rsid w:val="003152A4"/>
    <w:rsid w:val="00315684"/>
    <w:rsid w:val="003156BE"/>
    <w:rsid w:val="00315979"/>
    <w:rsid w:val="0031654E"/>
    <w:rsid w:val="00316887"/>
    <w:rsid w:val="00316A3C"/>
    <w:rsid w:val="00317506"/>
    <w:rsid w:val="00317EE1"/>
    <w:rsid w:val="00320183"/>
    <w:rsid w:val="003206DA"/>
    <w:rsid w:val="00320C1E"/>
    <w:rsid w:val="00320FC0"/>
    <w:rsid w:val="0032173A"/>
    <w:rsid w:val="00322436"/>
    <w:rsid w:val="00322B30"/>
    <w:rsid w:val="0032360C"/>
    <w:rsid w:val="003239B4"/>
    <w:rsid w:val="00325548"/>
    <w:rsid w:val="0032636B"/>
    <w:rsid w:val="00326AF1"/>
    <w:rsid w:val="00327019"/>
    <w:rsid w:val="003271FC"/>
    <w:rsid w:val="00327909"/>
    <w:rsid w:val="00327A27"/>
    <w:rsid w:val="00327A79"/>
    <w:rsid w:val="00330368"/>
    <w:rsid w:val="003316E6"/>
    <w:rsid w:val="00331C44"/>
    <w:rsid w:val="003322C8"/>
    <w:rsid w:val="0033231B"/>
    <w:rsid w:val="00332C4E"/>
    <w:rsid w:val="00333647"/>
    <w:rsid w:val="00333CF9"/>
    <w:rsid w:val="00334B8C"/>
    <w:rsid w:val="0033531A"/>
    <w:rsid w:val="00335C64"/>
    <w:rsid w:val="0033633B"/>
    <w:rsid w:val="00336D58"/>
    <w:rsid w:val="00336DCF"/>
    <w:rsid w:val="003403B9"/>
    <w:rsid w:val="0034097B"/>
    <w:rsid w:val="00342028"/>
    <w:rsid w:val="00342E8D"/>
    <w:rsid w:val="00343AAF"/>
    <w:rsid w:val="00343D9F"/>
    <w:rsid w:val="00343FEA"/>
    <w:rsid w:val="00344F99"/>
    <w:rsid w:val="003462CA"/>
    <w:rsid w:val="003474D1"/>
    <w:rsid w:val="003475C7"/>
    <w:rsid w:val="00347F04"/>
    <w:rsid w:val="0035051A"/>
    <w:rsid w:val="00350FE5"/>
    <w:rsid w:val="003514CF"/>
    <w:rsid w:val="0035177E"/>
    <w:rsid w:val="00351A6D"/>
    <w:rsid w:val="00351E2C"/>
    <w:rsid w:val="00352D5C"/>
    <w:rsid w:val="003530A0"/>
    <w:rsid w:val="003531A0"/>
    <w:rsid w:val="00353DAF"/>
    <w:rsid w:val="00353E1A"/>
    <w:rsid w:val="00353F25"/>
    <w:rsid w:val="003541B8"/>
    <w:rsid w:val="00354943"/>
    <w:rsid w:val="00354B0A"/>
    <w:rsid w:val="00354E08"/>
    <w:rsid w:val="00355563"/>
    <w:rsid w:val="00355B0C"/>
    <w:rsid w:val="00355E3B"/>
    <w:rsid w:val="00356223"/>
    <w:rsid w:val="00356575"/>
    <w:rsid w:val="00356706"/>
    <w:rsid w:val="0035680F"/>
    <w:rsid w:val="00356BBC"/>
    <w:rsid w:val="003571AC"/>
    <w:rsid w:val="00357380"/>
    <w:rsid w:val="00357C34"/>
    <w:rsid w:val="00357D14"/>
    <w:rsid w:val="003600A0"/>
    <w:rsid w:val="003605DE"/>
    <w:rsid w:val="00360B2D"/>
    <w:rsid w:val="00361347"/>
    <w:rsid w:val="00361754"/>
    <w:rsid w:val="00361BC2"/>
    <w:rsid w:val="00363FD0"/>
    <w:rsid w:val="00364155"/>
    <w:rsid w:val="003642EF"/>
    <w:rsid w:val="003642F3"/>
    <w:rsid w:val="0036564E"/>
    <w:rsid w:val="00365BF1"/>
    <w:rsid w:val="00365EE2"/>
    <w:rsid w:val="00365FCA"/>
    <w:rsid w:val="0036698D"/>
    <w:rsid w:val="00366E01"/>
    <w:rsid w:val="003673C2"/>
    <w:rsid w:val="00367E71"/>
    <w:rsid w:val="00370072"/>
    <w:rsid w:val="003700CE"/>
    <w:rsid w:val="003712CD"/>
    <w:rsid w:val="00371EED"/>
    <w:rsid w:val="0037343B"/>
    <w:rsid w:val="00373E8C"/>
    <w:rsid w:val="00374359"/>
    <w:rsid w:val="00374524"/>
    <w:rsid w:val="00374D2E"/>
    <w:rsid w:val="00375F39"/>
    <w:rsid w:val="00376A6F"/>
    <w:rsid w:val="00376C0E"/>
    <w:rsid w:val="00377470"/>
    <w:rsid w:val="00377D2D"/>
    <w:rsid w:val="00377E3A"/>
    <w:rsid w:val="00380124"/>
    <w:rsid w:val="00382BAE"/>
    <w:rsid w:val="00382C3D"/>
    <w:rsid w:val="0038305E"/>
    <w:rsid w:val="00383A2B"/>
    <w:rsid w:val="00383DAD"/>
    <w:rsid w:val="00383E27"/>
    <w:rsid w:val="0038413F"/>
    <w:rsid w:val="00384889"/>
    <w:rsid w:val="00384FDD"/>
    <w:rsid w:val="003853FC"/>
    <w:rsid w:val="00385C44"/>
    <w:rsid w:val="00386612"/>
    <w:rsid w:val="0039054E"/>
    <w:rsid w:val="00390643"/>
    <w:rsid w:val="00390B46"/>
    <w:rsid w:val="00390E64"/>
    <w:rsid w:val="00391AD7"/>
    <w:rsid w:val="00391C76"/>
    <w:rsid w:val="00393331"/>
    <w:rsid w:val="003936EA"/>
    <w:rsid w:val="00393F20"/>
    <w:rsid w:val="0039494F"/>
    <w:rsid w:val="003950F4"/>
    <w:rsid w:val="003954C8"/>
    <w:rsid w:val="00395FD1"/>
    <w:rsid w:val="00396094"/>
    <w:rsid w:val="0039752F"/>
    <w:rsid w:val="00397613"/>
    <w:rsid w:val="00397B97"/>
    <w:rsid w:val="00397FD6"/>
    <w:rsid w:val="003A0057"/>
    <w:rsid w:val="003A06B0"/>
    <w:rsid w:val="003A0A8F"/>
    <w:rsid w:val="003A1718"/>
    <w:rsid w:val="003A19BA"/>
    <w:rsid w:val="003A1EBD"/>
    <w:rsid w:val="003A2571"/>
    <w:rsid w:val="003A2861"/>
    <w:rsid w:val="003A29B7"/>
    <w:rsid w:val="003A2D3F"/>
    <w:rsid w:val="003A31B4"/>
    <w:rsid w:val="003A32DC"/>
    <w:rsid w:val="003A4266"/>
    <w:rsid w:val="003A43C1"/>
    <w:rsid w:val="003A5B25"/>
    <w:rsid w:val="003A605D"/>
    <w:rsid w:val="003A60DE"/>
    <w:rsid w:val="003A642B"/>
    <w:rsid w:val="003A6A45"/>
    <w:rsid w:val="003A7116"/>
    <w:rsid w:val="003A788D"/>
    <w:rsid w:val="003A7E50"/>
    <w:rsid w:val="003B01A4"/>
    <w:rsid w:val="003B07EB"/>
    <w:rsid w:val="003B0A00"/>
    <w:rsid w:val="003B0E27"/>
    <w:rsid w:val="003B11C7"/>
    <w:rsid w:val="003B13F4"/>
    <w:rsid w:val="003B1E5A"/>
    <w:rsid w:val="003B2685"/>
    <w:rsid w:val="003B26F7"/>
    <w:rsid w:val="003B34E4"/>
    <w:rsid w:val="003B3D5A"/>
    <w:rsid w:val="003B52EB"/>
    <w:rsid w:val="003B5589"/>
    <w:rsid w:val="003B5E14"/>
    <w:rsid w:val="003B5F5B"/>
    <w:rsid w:val="003B622B"/>
    <w:rsid w:val="003B67A0"/>
    <w:rsid w:val="003B6B15"/>
    <w:rsid w:val="003B6D3D"/>
    <w:rsid w:val="003B6D50"/>
    <w:rsid w:val="003B729C"/>
    <w:rsid w:val="003B7BC1"/>
    <w:rsid w:val="003B7C35"/>
    <w:rsid w:val="003C09D7"/>
    <w:rsid w:val="003C11A3"/>
    <w:rsid w:val="003C178C"/>
    <w:rsid w:val="003C17E0"/>
    <w:rsid w:val="003C1AC8"/>
    <w:rsid w:val="003C1B90"/>
    <w:rsid w:val="003C2701"/>
    <w:rsid w:val="003C2F73"/>
    <w:rsid w:val="003C3F15"/>
    <w:rsid w:val="003C46A9"/>
    <w:rsid w:val="003C46D7"/>
    <w:rsid w:val="003C46E1"/>
    <w:rsid w:val="003C4B95"/>
    <w:rsid w:val="003C625E"/>
    <w:rsid w:val="003C7CE5"/>
    <w:rsid w:val="003C7E12"/>
    <w:rsid w:val="003C7FCF"/>
    <w:rsid w:val="003D1973"/>
    <w:rsid w:val="003D1C6B"/>
    <w:rsid w:val="003D2A93"/>
    <w:rsid w:val="003D2B5D"/>
    <w:rsid w:val="003D2D4B"/>
    <w:rsid w:val="003D36B8"/>
    <w:rsid w:val="003D3BD9"/>
    <w:rsid w:val="003D3D62"/>
    <w:rsid w:val="003D5032"/>
    <w:rsid w:val="003D519D"/>
    <w:rsid w:val="003D55C8"/>
    <w:rsid w:val="003D60A3"/>
    <w:rsid w:val="003D616A"/>
    <w:rsid w:val="003D6B59"/>
    <w:rsid w:val="003D714E"/>
    <w:rsid w:val="003D7686"/>
    <w:rsid w:val="003D7E30"/>
    <w:rsid w:val="003D7EDF"/>
    <w:rsid w:val="003D7EFA"/>
    <w:rsid w:val="003E01A1"/>
    <w:rsid w:val="003E0C17"/>
    <w:rsid w:val="003E12E5"/>
    <w:rsid w:val="003E1F20"/>
    <w:rsid w:val="003E2472"/>
    <w:rsid w:val="003E2C70"/>
    <w:rsid w:val="003E2FC3"/>
    <w:rsid w:val="003E37AB"/>
    <w:rsid w:val="003E42C3"/>
    <w:rsid w:val="003E42F5"/>
    <w:rsid w:val="003E475D"/>
    <w:rsid w:val="003E5AD1"/>
    <w:rsid w:val="003E67A2"/>
    <w:rsid w:val="003E6A3D"/>
    <w:rsid w:val="003E6B1A"/>
    <w:rsid w:val="003E6DA2"/>
    <w:rsid w:val="003E7471"/>
    <w:rsid w:val="003E751E"/>
    <w:rsid w:val="003E7704"/>
    <w:rsid w:val="003F00F2"/>
    <w:rsid w:val="003F072A"/>
    <w:rsid w:val="003F085C"/>
    <w:rsid w:val="003F0AC4"/>
    <w:rsid w:val="003F0CBD"/>
    <w:rsid w:val="003F0DFA"/>
    <w:rsid w:val="003F19BA"/>
    <w:rsid w:val="003F292C"/>
    <w:rsid w:val="003F2A46"/>
    <w:rsid w:val="003F2E2A"/>
    <w:rsid w:val="003F2F83"/>
    <w:rsid w:val="003F374E"/>
    <w:rsid w:val="003F3B1E"/>
    <w:rsid w:val="003F3F4B"/>
    <w:rsid w:val="003F44AC"/>
    <w:rsid w:val="003F515F"/>
    <w:rsid w:val="003F5E8E"/>
    <w:rsid w:val="003F6056"/>
    <w:rsid w:val="003F6E2F"/>
    <w:rsid w:val="003F6EEC"/>
    <w:rsid w:val="003F6F27"/>
    <w:rsid w:val="003F716B"/>
    <w:rsid w:val="003F72C7"/>
    <w:rsid w:val="003F7A6D"/>
    <w:rsid w:val="003F7D3B"/>
    <w:rsid w:val="003F7DDC"/>
    <w:rsid w:val="00400149"/>
    <w:rsid w:val="00400673"/>
    <w:rsid w:val="00400905"/>
    <w:rsid w:val="00400AC8"/>
    <w:rsid w:val="00400F22"/>
    <w:rsid w:val="0040134B"/>
    <w:rsid w:val="004017CF"/>
    <w:rsid w:val="00401E36"/>
    <w:rsid w:val="0040282B"/>
    <w:rsid w:val="0040347C"/>
    <w:rsid w:val="00403EC3"/>
    <w:rsid w:val="0040425D"/>
    <w:rsid w:val="00404908"/>
    <w:rsid w:val="004049A1"/>
    <w:rsid w:val="004055FF"/>
    <w:rsid w:val="00405726"/>
    <w:rsid w:val="00406400"/>
    <w:rsid w:val="00406617"/>
    <w:rsid w:val="004066D3"/>
    <w:rsid w:val="00406753"/>
    <w:rsid w:val="00406931"/>
    <w:rsid w:val="00410347"/>
    <w:rsid w:val="00410760"/>
    <w:rsid w:val="004109CD"/>
    <w:rsid w:val="00410BBC"/>
    <w:rsid w:val="00411EFA"/>
    <w:rsid w:val="0041215E"/>
    <w:rsid w:val="00412554"/>
    <w:rsid w:val="0041255D"/>
    <w:rsid w:val="00412C43"/>
    <w:rsid w:val="00412E7E"/>
    <w:rsid w:val="00413DDE"/>
    <w:rsid w:val="004143FA"/>
    <w:rsid w:val="00414436"/>
    <w:rsid w:val="004144B3"/>
    <w:rsid w:val="004144C1"/>
    <w:rsid w:val="004144C2"/>
    <w:rsid w:val="00414DE0"/>
    <w:rsid w:val="00414FDA"/>
    <w:rsid w:val="00415F14"/>
    <w:rsid w:val="00415F58"/>
    <w:rsid w:val="0041619B"/>
    <w:rsid w:val="004161D0"/>
    <w:rsid w:val="0041769C"/>
    <w:rsid w:val="004179C4"/>
    <w:rsid w:val="00417AA8"/>
    <w:rsid w:val="00420373"/>
    <w:rsid w:val="0042084B"/>
    <w:rsid w:val="00420C86"/>
    <w:rsid w:val="00421DEA"/>
    <w:rsid w:val="00422F5B"/>
    <w:rsid w:val="0042357B"/>
    <w:rsid w:val="00423E7F"/>
    <w:rsid w:val="004246B0"/>
    <w:rsid w:val="004249CB"/>
    <w:rsid w:val="0042504D"/>
    <w:rsid w:val="00425415"/>
    <w:rsid w:val="004255A7"/>
    <w:rsid w:val="00425A09"/>
    <w:rsid w:val="00425CEB"/>
    <w:rsid w:val="00425D37"/>
    <w:rsid w:val="00426399"/>
    <w:rsid w:val="0042647C"/>
    <w:rsid w:val="0042748F"/>
    <w:rsid w:val="004275FD"/>
    <w:rsid w:val="00431282"/>
    <w:rsid w:val="0043154C"/>
    <w:rsid w:val="00431A06"/>
    <w:rsid w:val="00431DBD"/>
    <w:rsid w:val="0043228B"/>
    <w:rsid w:val="004323FD"/>
    <w:rsid w:val="00432919"/>
    <w:rsid w:val="004329BE"/>
    <w:rsid w:val="00432A95"/>
    <w:rsid w:val="00432D1E"/>
    <w:rsid w:val="00433147"/>
    <w:rsid w:val="00433BFA"/>
    <w:rsid w:val="00433C73"/>
    <w:rsid w:val="00433CF5"/>
    <w:rsid w:val="00433D09"/>
    <w:rsid w:val="00433D2E"/>
    <w:rsid w:val="00433FFE"/>
    <w:rsid w:val="00434032"/>
    <w:rsid w:val="00434033"/>
    <w:rsid w:val="004344FA"/>
    <w:rsid w:val="004345C3"/>
    <w:rsid w:val="00434A7E"/>
    <w:rsid w:val="00434FC6"/>
    <w:rsid w:val="00435BBC"/>
    <w:rsid w:val="00435D24"/>
    <w:rsid w:val="00435F67"/>
    <w:rsid w:val="004366E1"/>
    <w:rsid w:val="004366F5"/>
    <w:rsid w:val="00436B89"/>
    <w:rsid w:val="00436DC5"/>
    <w:rsid w:val="004379DD"/>
    <w:rsid w:val="00440436"/>
    <w:rsid w:val="00440800"/>
    <w:rsid w:val="00441159"/>
    <w:rsid w:val="004412CF"/>
    <w:rsid w:val="00442108"/>
    <w:rsid w:val="0044230A"/>
    <w:rsid w:val="0044332C"/>
    <w:rsid w:val="00443417"/>
    <w:rsid w:val="0044399D"/>
    <w:rsid w:val="00443C2A"/>
    <w:rsid w:val="00443E11"/>
    <w:rsid w:val="0044616B"/>
    <w:rsid w:val="0044635F"/>
    <w:rsid w:val="00446A3E"/>
    <w:rsid w:val="00446CDF"/>
    <w:rsid w:val="00447739"/>
    <w:rsid w:val="00450268"/>
    <w:rsid w:val="00450626"/>
    <w:rsid w:val="00450876"/>
    <w:rsid w:val="00451FCA"/>
    <w:rsid w:val="004522D2"/>
    <w:rsid w:val="00452462"/>
    <w:rsid w:val="00452A73"/>
    <w:rsid w:val="00452AAE"/>
    <w:rsid w:val="004531AC"/>
    <w:rsid w:val="00453B0A"/>
    <w:rsid w:val="00453DCF"/>
    <w:rsid w:val="00453E3A"/>
    <w:rsid w:val="004559EC"/>
    <w:rsid w:val="004560E3"/>
    <w:rsid w:val="004565CB"/>
    <w:rsid w:val="00456FDF"/>
    <w:rsid w:val="004570F6"/>
    <w:rsid w:val="004573BC"/>
    <w:rsid w:val="004573F6"/>
    <w:rsid w:val="004603E5"/>
    <w:rsid w:val="00460823"/>
    <w:rsid w:val="00460C57"/>
    <w:rsid w:val="00460E92"/>
    <w:rsid w:val="0046282F"/>
    <w:rsid w:val="004638AD"/>
    <w:rsid w:val="004643EE"/>
    <w:rsid w:val="004647D3"/>
    <w:rsid w:val="00465A22"/>
    <w:rsid w:val="004663A6"/>
    <w:rsid w:val="00466968"/>
    <w:rsid w:val="00467898"/>
    <w:rsid w:val="00467E93"/>
    <w:rsid w:val="00470C02"/>
    <w:rsid w:val="00472D45"/>
    <w:rsid w:val="00473A8C"/>
    <w:rsid w:val="00473EAB"/>
    <w:rsid w:val="004743D7"/>
    <w:rsid w:val="00475333"/>
    <w:rsid w:val="00475981"/>
    <w:rsid w:val="004765A2"/>
    <w:rsid w:val="00476AC6"/>
    <w:rsid w:val="00476F8A"/>
    <w:rsid w:val="004776D4"/>
    <w:rsid w:val="00477B0D"/>
    <w:rsid w:val="004801FC"/>
    <w:rsid w:val="00480310"/>
    <w:rsid w:val="00480539"/>
    <w:rsid w:val="004807E1"/>
    <w:rsid w:val="00480923"/>
    <w:rsid w:val="00480BDA"/>
    <w:rsid w:val="004822B7"/>
    <w:rsid w:val="004823C2"/>
    <w:rsid w:val="00482FDE"/>
    <w:rsid w:val="00483E16"/>
    <w:rsid w:val="00483F80"/>
    <w:rsid w:val="0048511B"/>
    <w:rsid w:val="0048544E"/>
    <w:rsid w:val="0048592C"/>
    <w:rsid w:val="00485A9E"/>
    <w:rsid w:val="00485C27"/>
    <w:rsid w:val="0048631D"/>
    <w:rsid w:val="00486E49"/>
    <w:rsid w:val="00486EFF"/>
    <w:rsid w:val="004871E2"/>
    <w:rsid w:val="00487728"/>
    <w:rsid w:val="004911FB"/>
    <w:rsid w:val="00491A48"/>
    <w:rsid w:val="004923B9"/>
    <w:rsid w:val="00492D84"/>
    <w:rsid w:val="00493529"/>
    <w:rsid w:val="00493534"/>
    <w:rsid w:val="004939EF"/>
    <w:rsid w:val="00493C8E"/>
    <w:rsid w:val="00493E76"/>
    <w:rsid w:val="00494BD4"/>
    <w:rsid w:val="004953D0"/>
    <w:rsid w:val="004959BB"/>
    <w:rsid w:val="004960C9"/>
    <w:rsid w:val="00496203"/>
    <w:rsid w:val="0049664F"/>
    <w:rsid w:val="00496AEE"/>
    <w:rsid w:val="004971C4"/>
    <w:rsid w:val="00497A87"/>
    <w:rsid w:val="00497F32"/>
    <w:rsid w:val="004A0750"/>
    <w:rsid w:val="004A09B9"/>
    <w:rsid w:val="004A0B9D"/>
    <w:rsid w:val="004A2910"/>
    <w:rsid w:val="004A2CF2"/>
    <w:rsid w:val="004A33A0"/>
    <w:rsid w:val="004A49C4"/>
    <w:rsid w:val="004A4BD7"/>
    <w:rsid w:val="004A4DBB"/>
    <w:rsid w:val="004A5883"/>
    <w:rsid w:val="004A593E"/>
    <w:rsid w:val="004A5CD4"/>
    <w:rsid w:val="004A5DAA"/>
    <w:rsid w:val="004A621B"/>
    <w:rsid w:val="004A65A9"/>
    <w:rsid w:val="004A68D9"/>
    <w:rsid w:val="004A6E62"/>
    <w:rsid w:val="004A72F9"/>
    <w:rsid w:val="004A7693"/>
    <w:rsid w:val="004A76D6"/>
    <w:rsid w:val="004B03EA"/>
    <w:rsid w:val="004B0F21"/>
    <w:rsid w:val="004B118D"/>
    <w:rsid w:val="004B11AC"/>
    <w:rsid w:val="004B11FB"/>
    <w:rsid w:val="004B1D69"/>
    <w:rsid w:val="004B24AF"/>
    <w:rsid w:val="004B2A22"/>
    <w:rsid w:val="004B3054"/>
    <w:rsid w:val="004B37B4"/>
    <w:rsid w:val="004B39E2"/>
    <w:rsid w:val="004B46A0"/>
    <w:rsid w:val="004B5028"/>
    <w:rsid w:val="004B5B1D"/>
    <w:rsid w:val="004B64E3"/>
    <w:rsid w:val="004B6541"/>
    <w:rsid w:val="004B67CF"/>
    <w:rsid w:val="004B6D72"/>
    <w:rsid w:val="004B7B9E"/>
    <w:rsid w:val="004C01DC"/>
    <w:rsid w:val="004C0B44"/>
    <w:rsid w:val="004C1001"/>
    <w:rsid w:val="004C15CF"/>
    <w:rsid w:val="004C1D09"/>
    <w:rsid w:val="004C25D5"/>
    <w:rsid w:val="004C2687"/>
    <w:rsid w:val="004C2867"/>
    <w:rsid w:val="004C28B7"/>
    <w:rsid w:val="004C32AD"/>
    <w:rsid w:val="004C3420"/>
    <w:rsid w:val="004C391F"/>
    <w:rsid w:val="004C3CC4"/>
    <w:rsid w:val="004C3D07"/>
    <w:rsid w:val="004C44D2"/>
    <w:rsid w:val="004C59A8"/>
    <w:rsid w:val="004C6BCF"/>
    <w:rsid w:val="004C6E3A"/>
    <w:rsid w:val="004C7762"/>
    <w:rsid w:val="004C77EF"/>
    <w:rsid w:val="004C7987"/>
    <w:rsid w:val="004C7C57"/>
    <w:rsid w:val="004D0005"/>
    <w:rsid w:val="004D1651"/>
    <w:rsid w:val="004D16FC"/>
    <w:rsid w:val="004D1737"/>
    <w:rsid w:val="004D19D0"/>
    <w:rsid w:val="004D1CE1"/>
    <w:rsid w:val="004D1D8D"/>
    <w:rsid w:val="004D1E11"/>
    <w:rsid w:val="004D2473"/>
    <w:rsid w:val="004D37CC"/>
    <w:rsid w:val="004D41B2"/>
    <w:rsid w:val="004D45EB"/>
    <w:rsid w:val="004D47B3"/>
    <w:rsid w:val="004D53BE"/>
    <w:rsid w:val="004D704B"/>
    <w:rsid w:val="004D74E9"/>
    <w:rsid w:val="004E00FE"/>
    <w:rsid w:val="004E04B9"/>
    <w:rsid w:val="004E0C74"/>
    <w:rsid w:val="004E10DF"/>
    <w:rsid w:val="004E132B"/>
    <w:rsid w:val="004E1ECD"/>
    <w:rsid w:val="004E2DEE"/>
    <w:rsid w:val="004E31F9"/>
    <w:rsid w:val="004E3D68"/>
    <w:rsid w:val="004E4699"/>
    <w:rsid w:val="004E4DDC"/>
    <w:rsid w:val="004E4E83"/>
    <w:rsid w:val="004E58D2"/>
    <w:rsid w:val="004E6346"/>
    <w:rsid w:val="004E6470"/>
    <w:rsid w:val="004E6DBC"/>
    <w:rsid w:val="004E7474"/>
    <w:rsid w:val="004E7664"/>
    <w:rsid w:val="004E7CDA"/>
    <w:rsid w:val="004F02D9"/>
    <w:rsid w:val="004F0D52"/>
    <w:rsid w:val="004F0D6B"/>
    <w:rsid w:val="004F1868"/>
    <w:rsid w:val="004F209B"/>
    <w:rsid w:val="004F20D5"/>
    <w:rsid w:val="004F21A6"/>
    <w:rsid w:val="004F2AC1"/>
    <w:rsid w:val="004F376C"/>
    <w:rsid w:val="004F6514"/>
    <w:rsid w:val="004F65C7"/>
    <w:rsid w:val="004F70DB"/>
    <w:rsid w:val="0050003A"/>
    <w:rsid w:val="0050016B"/>
    <w:rsid w:val="00501876"/>
    <w:rsid w:val="005023BE"/>
    <w:rsid w:val="00502937"/>
    <w:rsid w:val="005032AB"/>
    <w:rsid w:val="005040DE"/>
    <w:rsid w:val="00504960"/>
    <w:rsid w:val="00504ED6"/>
    <w:rsid w:val="005050E8"/>
    <w:rsid w:val="005054ED"/>
    <w:rsid w:val="00505CD6"/>
    <w:rsid w:val="00505EAE"/>
    <w:rsid w:val="00506079"/>
    <w:rsid w:val="005063E5"/>
    <w:rsid w:val="00506650"/>
    <w:rsid w:val="005068A9"/>
    <w:rsid w:val="00506F03"/>
    <w:rsid w:val="00507580"/>
    <w:rsid w:val="0050767D"/>
    <w:rsid w:val="00507C53"/>
    <w:rsid w:val="0051062A"/>
    <w:rsid w:val="00510AFC"/>
    <w:rsid w:val="00510C32"/>
    <w:rsid w:val="00510F2D"/>
    <w:rsid w:val="0051146B"/>
    <w:rsid w:val="005118E6"/>
    <w:rsid w:val="005119D0"/>
    <w:rsid w:val="005122CB"/>
    <w:rsid w:val="00512A27"/>
    <w:rsid w:val="00513C27"/>
    <w:rsid w:val="005149EE"/>
    <w:rsid w:val="005151D9"/>
    <w:rsid w:val="0051555B"/>
    <w:rsid w:val="00515ADE"/>
    <w:rsid w:val="00515CE8"/>
    <w:rsid w:val="00515FB5"/>
    <w:rsid w:val="00516077"/>
    <w:rsid w:val="00516FEC"/>
    <w:rsid w:val="00517F9F"/>
    <w:rsid w:val="00517FFA"/>
    <w:rsid w:val="00521673"/>
    <w:rsid w:val="00522406"/>
    <w:rsid w:val="00522782"/>
    <w:rsid w:val="00522D03"/>
    <w:rsid w:val="00523227"/>
    <w:rsid w:val="00523B37"/>
    <w:rsid w:val="00523DD4"/>
    <w:rsid w:val="005244AB"/>
    <w:rsid w:val="00524BFD"/>
    <w:rsid w:val="005253A1"/>
    <w:rsid w:val="00525FD8"/>
    <w:rsid w:val="0052681A"/>
    <w:rsid w:val="00526A47"/>
    <w:rsid w:val="00526B3E"/>
    <w:rsid w:val="00527992"/>
    <w:rsid w:val="00527BF6"/>
    <w:rsid w:val="0053053A"/>
    <w:rsid w:val="00531011"/>
    <w:rsid w:val="00531B86"/>
    <w:rsid w:val="00531DD9"/>
    <w:rsid w:val="00532896"/>
    <w:rsid w:val="0053291B"/>
    <w:rsid w:val="00533CFC"/>
    <w:rsid w:val="00534FFE"/>
    <w:rsid w:val="005350BF"/>
    <w:rsid w:val="005352CE"/>
    <w:rsid w:val="00535772"/>
    <w:rsid w:val="00535AF1"/>
    <w:rsid w:val="00535AF3"/>
    <w:rsid w:val="0053625B"/>
    <w:rsid w:val="0053634D"/>
    <w:rsid w:val="00536D58"/>
    <w:rsid w:val="0053705F"/>
    <w:rsid w:val="005379D1"/>
    <w:rsid w:val="00537A33"/>
    <w:rsid w:val="00537B8A"/>
    <w:rsid w:val="00540268"/>
    <w:rsid w:val="005407D6"/>
    <w:rsid w:val="00542262"/>
    <w:rsid w:val="005423F4"/>
    <w:rsid w:val="00542900"/>
    <w:rsid w:val="00542F9A"/>
    <w:rsid w:val="0054383A"/>
    <w:rsid w:val="00543DD7"/>
    <w:rsid w:val="00544023"/>
    <w:rsid w:val="00544072"/>
    <w:rsid w:val="00544A2D"/>
    <w:rsid w:val="00545B59"/>
    <w:rsid w:val="00546CC7"/>
    <w:rsid w:val="00547B0F"/>
    <w:rsid w:val="00550607"/>
    <w:rsid w:val="00550790"/>
    <w:rsid w:val="00551801"/>
    <w:rsid w:val="005519FD"/>
    <w:rsid w:val="00551BC1"/>
    <w:rsid w:val="00551C22"/>
    <w:rsid w:val="00552A2D"/>
    <w:rsid w:val="00552EF8"/>
    <w:rsid w:val="0055432B"/>
    <w:rsid w:val="00554E78"/>
    <w:rsid w:val="00555277"/>
    <w:rsid w:val="005564DA"/>
    <w:rsid w:val="00556584"/>
    <w:rsid w:val="00556773"/>
    <w:rsid w:val="00556C55"/>
    <w:rsid w:val="005573CB"/>
    <w:rsid w:val="00557DE7"/>
    <w:rsid w:val="00557F1D"/>
    <w:rsid w:val="00557FF1"/>
    <w:rsid w:val="0056035F"/>
    <w:rsid w:val="005608E4"/>
    <w:rsid w:val="00560EC2"/>
    <w:rsid w:val="00561514"/>
    <w:rsid w:val="0056276C"/>
    <w:rsid w:val="00562E50"/>
    <w:rsid w:val="00563DED"/>
    <w:rsid w:val="00563F69"/>
    <w:rsid w:val="00564DF1"/>
    <w:rsid w:val="005655F1"/>
    <w:rsid w:val="005664BB"/>
    <w:rsid w:val="00566D41"/>
    <w:rsid w:val="00567EB9"/>
    <w:rsid w:val="0057037A"/>
    <w:rsid w:val="005703AE"/>
    <w:rsid w:val="005707D7"/>
    <w:rsid w:val="00570859"/>
    <w:rsid w:val="00570BB7"/>
    <w:rsid w:val="00570C22"/>
    <w:rsid w:val="0057152C"/>
    <w:rsid w:val="0057228F"/>
    <w:rsid w:val="00572367"/>
    <w:rsid w:val="00572889"/>
    <w:rsid w:val="00573BBC"/>
    <w:rsid w:val="00574001"/>
    <w:rsid w:val="00575149"/>
    <w:rsid w:val="00575250"/>
    <w:rsid w:val="00575415"/>
    <w:rsid w:val="0057585E"/>
    <w:rsid w:val="00575A4E"/>
    <w:rsid w:val="00575A9D"/>
    <w:rsid w:val="00575D33"/>
    <w:rsid w:val="00575D7D"/>
    <w:rsid w:val="005764C2"/>
    <w:rsid w:val="00576882"/>
    <w:rsid w:val="005769B6"/>
    <w:rsid w:val="005777DF"/>
    <w:rsid w:val="00577AB6"/>
    <w:rsid w:val="00577C55"/>
    <w:rsid w:val="00580031"/>
    <w:rsid w:val="00580685"/>
    <w:rsid w:val="005806A7"/>
    <w:rsid w:val="005806ED"/>
    <w:rsid w:val="0058092F"/>
    <w:rsid w:val="00581AF1"/>
    <w:rsid w:val="005822BD"/>
    <w:rsid w:val="0058297C"/>
    <w:rsid w:val="00583783"/>
    <w:rsid w:val="00583AB1"/>
    <w:rsid w:val="00583C8D"/>
    <w:rsid w:val="0058514C"/>
    <w:rsid w:val="0058535A"/>
    <w:rsid w:val="005862F1"/>
    <w:rsid w:val="00586733"/>
    <w:rsid w:val="00586A74"/>
    <w:rsid w:val="00586D5D"/>
    <w:rsid w:val="005902ED"/>
    <w:rsid w:val="005903C6"/>
    <w:rsid w:val="0059046E"/>
    <w:rsid w:val="0059261D"/>
    <w:rsid w:val="0059265B"/>
    <w:rsid w:val="00592F1C"/>
    <w:rsid w:val="00593940"/>
    <w:rsid w:val="00593A99"/>
    <w:rsid w:val="00595212"/>
    <w:rsid w:val="00596340"/>
    <w:rsid w:val="00596627"/>
    <w:rsid w:val="00596C2E"/>
    <w:rsid w:val="00597A8E"/>
    <w:rsid w:val="005A0574"/>
    <w:rsid w:val="005A1214"/>
    <w:rsid w:val="005A151A"/>
    <w:rsid w:val="005A1BFE"/>
    <w:rsid w:val="005A1D57"/>
    <w:rsid w:val="005A210B"/>
    <w:rsid w:val="005A22D1"/>
    <w:rsid w:val="005A22DA"/>
    <w:rsid w:val="005A23C0"/>
    <w:rsid w:val="005A2421"/>
    <w:rsid w:val="005A2F6E"/>
    <w:rsid w:val="005A3058"/>
    <w:rsid w:val="005A350A"/>
    <w:rsid w:val="005A3948"/>
    <w:rsid w:val="005A4278"/>
    <w:rsid w:val="005A478B"/>
    <w:rsid w:val="005A4854"/>
    <w:rsid w:val="005A4DA7"/>
    <w:rsid w:val="005A5091"/>
    <w:rsid w:val="005A5A37"/>
    <w:rsid w:val="005A5D7F"/>
    <w:rsid w:val="005A6308"/>
    <w:rsid w:val="005A6A5C"/>
    <w:rsid w:val="005A6B10"/>
    <w:rsid w:val="005A6FD0"/>
    <w:rsid w:val="005A7447"/>
    <w:rsid w:val="005A75C6"/>
    <w:rsid w:val="005A75C9"/>
    <w:rsid w:val="005A7E7D"/>
    <w:rsid w:val="005B02C1"/>
    <w:rsid w:val="005B044F"/>
    <w:rsid w:val="005B0E7F"/>
    <w:rsid w:val="005B1214"/>
    <w:rsid w:val="005B1542"/>
    <w:rsid w:val="005B185A"/>
    <w:rsid w:val="005B18AB"/>
    <w:rsid w:val="005B1DD9"/>
    <w:rsid w:val="005B2409"/>
    <w:rsid w:val="005B3366"/>
    <w:rsid w:val="005B340E"/>
    <w:rsid w:val="005B361F"/>
    <w:rsid w:val="005B3A04"/>
    <w:rsid w:val="005B50EE"/>
    <w:rsid w:val="005B5886"/>
    <w:rsid w:val="005B5BC0"/>
    <w:rsid w:val="005B660C"/>
    <w:rsid w:val="005B6DC2"/>
    <w:rsid w:val="005B6E97"/>
    <w:rsid w:val="005B71EC"/>
    <w:rsid w:val="005B7848"/>
    <w:rsid w:val="005C0464"/>
    <w:rsid w:val="005C13B5"/>
    <w:rsid w:val="005C14F8"/>
    <w:rsid w:val="005C1581"/>
    <w:rsid w:val="005C173C"/>
    <w:rsid w:val="005C1D12"/>
    <w:rsid w:val="005C2838"/>
    <w:rsid w:val="005C29C0"/>
    <w:rsid w:val="005C34DC"/>
    <w:rsid w:val="005C3684"/>
    <w:rsid w:val="005C3879"/>
    <w:rsid w:val="005C3F37"/>
    <w:rsid w:val="005C46D5"/>
    <w:rsid w:val="005C498C"/>
    <w:rsid w:val="005C5039"/>
    <w:rsid w:val="005C5285"/>
    <w:rsid w:val="005C5F19"/>
    <w:rsid w:val="005C6C4A"/>
    <w:rsid w:val="005C6F12"/>
    <w:rsid w:val="005C7FAF"/>
    <w:rsid w:val="005D0197"/>
    <w:rsid w:val="005D037F"/>
    <w:rsid w:val="005D0982"/>
    <w:rsid w:val="005D0988"/>
    <w:rsid w:val="005D103F"/>
    <w:rsid w:val="005D1498"/>
    <w:rsid w:val="005D1565"/>
    <w:rsid w:val="005D1581"/>
    <w:rsid w:val="005D164C"/>
    <w:rsid w:val="005D1AF3"/>
    <w:rsid w:val="005D1B77"/>
    <w:rsid w:val="005D2126"/>
    <w:rsid w:val="005D25B0"/>
    <w:rsid w:val="005D2AAC"/>
    <w:rsid w:val="005D4582"/>
    <w:rsid w:val="005D4AEA"/>
    <w:rsid w:val="005D50C6"/>
    <w:rsid w:val="005D524A"/>
    <w:rsid w:val="005D5AC2"/>
    <w:rsid w:val="005D5C16"/>
    <w:rsid w:val="005D5FE1"/>
    <w:rsid w:val="005D7933"/>
    <w:rsid w:val="005D7DAD"/>
    <w:rsid w:val="005E15CF"/>
    <w:rsid w:val="005E1E75"/>
    <w:rsid w:val="005E30B8"/>
    <w:rsid w:val="005E36CC"/>
    <w:rsid w:val="005E3ADA"/>
    <w:rsid w:val="005E4A04"/>
    <w:rsid w:val="005E4B36"/>
    <w:rsid w:val="005E4CC5"/>
    <w:rsid w:val="005E4FF4"/>
    <w:rsid w:val="005E5663"/>
    <w:rsid w:val="005E5910"/>
    <w:rsid w:val="005E5BFB"/>
    <w:rsid w:val="005E5C9E"/>
    <w:rsid w:val="005E69C4"/>
    <w:rsid w:val="005E714A"/>
    <w:rsid w:val="005E7BD4"/>
    <w:rsid w:val="005E7E78"/>
    <w:rsid w:val="005F029E"/>
    <w:rsid w:val="005F083D"/>
    <w:rsid w:val="005F0F76"/>
    <w:rsid w:val="005F1A29"/>
    <w:rsid w:val="005F227B"/>
    <w:rsid w:val="005F25F8"/>
    <w:rsid w:val="005F2875"/>
    <w:rsid w:val="005F2B20"/>
    <w:rsid w:val="005F47F7"/>
    <w:rsid w:val="005F4DE8"/>
    <w:rsid w:val="005F5AC3"/>
    <w:rsid w:val="005F5AE2"/>
    <w:rsid w:val="005F5EEF"/>
    <w:rsid w:val="005F6225"/>
    <w:rsid w:val="005F6295"/>
    <w:rsid w:val="005F689A"/>
    <w:rsid w:val="005F6F74"/>
    <w:rsid w:val="005F7187"/>
    <w:rsid w:val="005F79CD"/>
    <w:rsid w:val="005F79E9"/>
    <w:rsid w:val="00600A4E"/>
    <w:rsid w:val="00600FEB"/>
    <w:rsid w:val="006010F0"/>
    <w:rsid w:val="00601586"/>
    <w:rsid w:val="006016F5"/>
    <w:rsid w:val="00601746"/>
    <w:rsid w:val="00601E54"/>
    <w:rsid w:val="00601F75"/>
    <w:rsid w:val="00603CBE"/>
    <w:rsid w:val="006045ED"/>
    <w:rsid w:val="006048CD"/>
    <w:rsid w:val="00604B7D"/>
    <w:rsid w:val="00604E47"/>
    <w:rsid w:val="00605400"/>
    <w:rsid w:val="00605C9E"/>
    <w:rsid w:val="0060664A"/>
    <w:rsid w:val="00607345"/>
    <w:rsid w:val="0061062F"/>
    <w:rsid w:val="006113F4"/>
    <w:rsid w:val="00612092"/>
    <w:rsid w:val="0061231B"/>
    <w:rsid w:val="006123B5"/>
    <w:rsid w:val="00613A65"/>
    <w:rsid w:val="006142D8"/>
    <w:rsid w:val="00614ACC"/>
    <w:rsid w:val="00614E8B"/>
    <w:rsid w:val="0061535B"/>
    <w:rsid w:val="00615803"/>
    <w:rsid w:val="00615C5B"/>
    <w:rsid w:val="00615DB7"/>
    <w:rsid w:val="00616356"/>
    <w:rsid w:val="00616396"/>
    <w:rsid w:val="0061756F"/>
    <w:rsid w:val="006175CF"/>
    <w:rsid w:val="006204C1"/>
    <w:rsid w:val="00622480"/>
    <w:rsid w:val="00622A4E"/>
    <w:rsid w:val="00622FE3"/>
    <w:rsid w:val="00623082"/>
    <w:rsid w:val="00623F4A"/>
    <w:rsid w:val="00624231"/>
    <w:rsid w:val="00624438"/>
    <w:rsid w:val="006248E4"/>
    <w:rsid w:val="0062501A"/>
    <w:rsid w:val="0062542D"/>
    <w:rsid w:val="00625926"/>
    <w:rsid w:val="00625CC3"/>
    <w:rsid w:val="006266DC"/>
    <w:rsid w:val="00626B52"/>
    <w:rsid w:val="006273B3"/>
    <w:rsid w:val="006278B9"/>
    <w:rsid w:val="0062790D"/>
    <w:rsid w:val="00627F15"/>
    <w:rsid w:val="0063117D"/>
    <w:rsid w:val="00631DB0"/>
    <w:rsid w:val="00631DC6"/>
    <w:rsid w:val="00631DCB"/>
    <w:rsid w:val="00632ACC"/>
    <w:rsid w:val="00632B4B"/>
    <w:rsid w:val="006339A1"/>
    <w:rsid w:val="006345A2"/>
    <w:rsid w:val="006347E7"/>
    <w:rsid w:val="00634D38"/>
    <w:rsid w:val="00636338"/>
    <w:rsid w:val="00636AA0"/>
    <w:rsid w:val="00636EC0"/>
    <w:rsid w:val="006400C2"/>
    <w:rsid w:val="00640261"/>
    <w:rsid w:val="00640465"/>
    <w:rsid w:val="00640596"/>
    <w:rsid w:val="00640731"/>
    <w:rsid w:val="00640A51"/>
    <w:rsid w:val="00641D00"/>
    <w:rsid w:val="006420C0"/>
    <w:rsid w:val="00642F33"/>
    <w:rsid w:val="00643357"/>
    <w:rsid w:val="0064349C"/>
    <w:rsid w:val="006436A7"/>
    <w:rsid w:val="0064381B"/>
    <w:rsid w:val="00644095"/>
    <w:rsid w:val="0064457E"/>
    <w:rsid w:val="00644BBD"/>
    <w:rsid w:val="006458DA"/>
    <w:rsid w:val="006467FC"/>
    <w:rsid w:val="0064689E"/>
    <w:rsid w:val="00646A8B"/>
    <w:rsid w:val="00646C33"/>
    <w:rsid w:val="00646CDA"/>
    <w:rsid w:val="00646DAD"/>
    <w:rsid w:val="00647252"/>
    <w:rsid w:val="00647D58"/>
    <w:rsid w:val="0065048A"/>
    <w:rsid w:val="00650A37"/>
    <w:rsid w:val="00651E4A"/>
    <w:rsid w:val="006527F1"/>
    <w:rsid w:val="00652E05"/>
    <w:rsid w:val="0065350B"/>
    <w:rsid w:val="00653A51"/>
    <w:rsid w:val="00653F2D"/>
    <w:rsid w:val="00654307"/>
    <w:rsid w:val="00654842"/>
    <w:rsid w:val="00654A41"/>
    <w:rsid w:val="00654E5E"/>
    <w:rsid w:val="0065584C"/>
    <w:rsid w:val="00656025"/>
    <w:rsid w:val="00656D42"/>
    <w:rsid w:val="00656DED"/>
    <w:rsid w:val="00656E4F"/>
    <w:rsid w:val="00656F30"/>
    <w:rsid w:val="0065773D"/>
    <w:rsid w:val="00657FBA"/>
    <w:rsid w:val="006609E8"/>
    <w:rsid w:val="00660F0C"/>
    <w:rsid w:val="006611F5"/>
    <w:rsid w:val="00661CA0"/>
    <w:rsid w:val="0066322C"/>
    <w:rsid w:val="0066341D"/>
    <w:rsid w:val="00663C65"/>
    <w:rsid w:val="00663E40"/>
    <w:rsid w:val="0066446B"/>
    <w:rsid w:val="00664B06"/>
    <w:rsid w:val="00666183"/>
    <w:rsid w:val="00666395"/>
    <w:rsid w:val="00667EBE"/>
    <w:rsid w:val="006703C8"/>
    <w:rsid w:val="00671AB2"/>
    <w:rsid w:val="00671AD7"/>
    <w:rsid w:val="00671BFC"/>
    <w:rsid w:val="00673AC1"/>
    <w:rsid w:val="00673B3F"/>
    <w:rsid w:val="00673C46"/>
    <w:rsid w:val="00675383"/>
    <w:rsid w:val="0067565A"/>
    <w:rsid w:val="00675CA7"/>
    <w:rsid w:val="00680241"/>
    <w:rsid w:val="00680368"/>
    <w:rsid w:val="00680499"/>
    <w:rsid w:val="00682E99"/>
    <w:rsid w:val="00683CE4"/>
    <w:rsid w:val="006846E8"/>
    <w:rsid w:val="00684AEF"/>
    <w:rsid w:val="00684F73"/>
    <w:rsid w:val="00686584"/>
    <w:rsid w:val="00686E6A"/>
    <w:rsid w:val="0069084F"/>
    <w:rsid w:val="00690A27"/>
    <w:rsid w:val="00690EC2"/>
    <w:rsid w:val="00691356"/>
    <w:rsid w:val="00691963"/>
    <w:rsid w:val="00691EE9"/>
    <w:rsid w:val="00692133"/>
    <w:rsid w:val="006921CB"/>
    <w:rsid w:val="006922FE"/>
    <w:rsid w:val="006927A2"/>
    <w:rsid w:val="0069291F"/>
    <w:rsid w:val="00692AED"/>
    <w:rsid w:val="006930D5"/>
    <w:rsid w:val="00693E07"/>
    <w:rsid w:val="00695163"/>
    <w:rsid w:val="0069643C"/>
    <w:rsid w:val="00696784"/>
    <w:rsid w:val="00696E43"/>
    <w:rsid w:val="00696E98"/>
    <w:rsid w:val="00696ECE"/>
    <w:rsid w:val="00697E25"/>
    <w:rsid w:val="00697E4C"/>
    <w:rsid w:val="006A17B3"/>
    <w:rsid w:val="006A1EA5"/>
    <w:rsid w:val="006A275B"/>
    <w:rsid w:val="006A27D0"/>
    <w:rsid w:val="006A34CC"/>
    <w:rsid w:val="006A36DA"/>
    <w:rsid w:val="006A38D2"/>
    <w:rsid w:val="006A3DA0"/>
    <w:rsid w:val="006A472A"/>
    <w:rsid w:val="006A4C55"/>
    <w:rsid w:val="006A50F4"/>
    <w:rsid w:val="006A65A5"/>
    <w:rsid w:val="006A6A52"/>
    <w:rsid w:val="006A6B75"/>
    <w:rsid w:val="006A6D33"/>
    <w:rsid w:val="006A730B"/>
    <w:rsid w:val="006B0166"/>
    <w:rsid w:val="006B03DE"/>
    <w:rsid w:val="006B03F9"/>
    <w:rsid w:val="006B081B"/>
    <w:rsid w:val="006B09F3"/>
    <w:rsid w:val="006B0BD9"/>
    <w:rsid w:val="006B0F8D"/>
    <w:rsid w:val="006B1B46"/>
    <w:rsid w:val="006B1E88"/>
    <w:rsid w:val="006B230B"/>
    <w:rsid w:val="006B25F4"/>
    <w:rsid w:val="006B2612"/>
    <w:rsid w:val="006B342E"/>
    <w:rsid w:val="006B37DD"/>
    <w:rsid w:val="006B3C29"/>
    <w:rsid w:val="006B3EF7"/>
    <w:rsid w:val="006B49CB"/>
    <w:rsid w:val="006B4C94"/>
    <w:rsid w:val="006B5431"/>
    <w:rsid w:val="006B5C76"/>
    <w:rsid w:val="006B6451"/>
    <w:rsid w:val="006B6CA6"/>
    <w:rsid w:val="006B748B"/>
    <w:rsid w:val="006B751C"/>
    <w:rsid w:val="006B790F"/>
    <w:rsid w:val="006B7C98"/>
    <w:rsid w:val="006C06E6"/>
    <w:rsid w:val="006C0F04"/>
    <w:rsid w:val="006C2E4B"/>
    <w:rsid w:val="006C37A8"/>
    <w:rsid w:val="006C399F"/>
    <w:rsid w:val="006C3EF4"/>
    <w:rsid w:val="006C40E8"/>
    <w:rsid w:val="006C40FE"/>
    <w:rsid w:val="006C569B"/>
    <w:rsid w:val="006C5FF4"/>
    <w:rsid w:val="006C6525"/>
    <w:rsid w:val="006C68DF"/>
    <w:rsid w:val="006C6A54"/>
    <w:rsid w:val="006C6ABD"/>
    <w:rsid w:val="006C73AE"/>
    <w:rsid w:val="006C74A9"/>
    <w:rsid w:val="006D0395"/>
    <w:rsid w:val="006D07A2"/>
    <w:rsid w:val="006D0815"/>
    <w:rsid w:val="006D097C"/>
    <w:rsid w:val="006D1463"/>
    <w:rsid w:val="006D29E3"/>
    <w:rsid w:val="006D2A32"/>
    <w:rsid w:val="006D2C53"/>
    <w:rsid w:val="006D2CE4"/>
    <w:rsid w:val="006D3060"/>
    <w:rsid w:val="006D3328"/>
    <w:rsid w:val="006D34B6"/>
    <w:rsid w:val="006D3DA1"/>
    <w:rsid w:val="006D44FE"/>
    <w:rsid w:val="006D4A7C"/>
    <w:rsid w:val="006D4BCB"/>
    <w:rsid w:val="006D4BDB"/>
    <w:rsid w:val="006D52D9"/>
    <w:rsid w:val="006D55BC"/>
    <w:rsid w:val="006D5860"/>
    <w:rsid w:val="006D6459"/>
    <w:rsid w:val="006D6D6D"/>
    <w:rsid w:val="006D7BE9"/>
    <w:rsid w:val="006D7E90"/>
    <w:rsid w:val="006E03CB"/>
    <w:rsid w:val="006E04A9"/>
    <w:rsid w:val="006E07CE"/>
    <w:rsid w:val="006E0AE2"/>
    <w:rsid w:val="006E0FEA"/>
    <w:rsid w:val="006E1D3A"/>
    <w:rsid w:val="006E2B5E"/>
    <w:rsid w:val="006E2CD5"/>
    <w:rsid w:val="006E3326"/>
    <w:rsid w:val="006E3B51"/>
    <w:rsid w:val="006E4784"/>
    <w:rsid w:val="006E4EFC"/>
    <w:rsid w:val="006E52A6"/>
    <w:rsid w:val="006E5B7D"/>
    <w:rsid w:val="006E5BE6"/>
    <w:rsid w:val="006E5D62"/>
    <w:rsid w:val="006E5DD8"/>
    <w:rsid w:val="006E6B41"/>
    <w:rsid w:val="006E771C"/>
    <w:rsid w:val="006E7976"/>
    <w:rsid w:val="006E7C9A"/>
    <w:rsid w:val="006F0390"/>
    <w:rsid w:val="006F1047"/>
    <w:rsid w:val="006F1888"/>
    <w:rsid w:val="006F218F"/>
    <w:rsid w:val="006F26B1"/>
    <w:rsid w:val="006F2D65"/>
    <w:rsid w:val="006F3AD0"/>
    <w:rsid w:val="006F3ED3"/>
    <w:rsid w:val="006F4A0E"/>
    <w:rsid w:val="006F536C"/>
    <w:rsid w:val="006F6375"/>
    <w:rsid w:val="006F6456"/>
    <w:rsid w:val="006F6FF9"/>
    <w:rsid w:val="007004D9"/>
    <w:rsid w:val="007015E5"/>
    <w:rsid w:val="007017A5"/>
    <w:rsid w:val="00701A87"/>
    <w:rsid w:val="00702AAC"/>
    <w:rsid w:val="00702FF1"/>
    <w:rsid w:val="007031F4"/>
    <w:rsid w:val="00703871"/>
    <w:rsid w:val="007038AF"/>
    <w:rsid w:val="0070405B"/>
    <w:rsid w:val="007042A8"/>
    <w:rsid w:val="0070485B"/>
    <w:rsid w:val="007049DF"/>
    <w:rsid w:val="007049F6"/>
    <w:rsid w:val="00704D19"/>
    <w:rsid w:val="0070506F"/>
    <w:rsid w:val="00705ED3"/>
    <w:rsid w:val="00706996"/>
    <w:rsid w:val="00706F8C"/>
    <w:rsid w:val="007070EB"/>
    <w:rsid w:val="00707269"/>
    <w:rsid w:val="00707333"/>
    <w:rsid w:val="00707A6F"/>
    <w:rsid w:val="00707B26"/>
    <w:rsid w:val="007109B6"/>
    <w:rsid w:val="007115E4"/>
    <w:rsid w:val="00711891"/>
    <w:rsid w:val="00712358"/>
    <w:rsid w:val="00712ADE"/>
    <w:rsid w:val="00712F34"/>
    <w:rsid w:val="00713425"/>
    <w:rsid w:val="0071472D"/>
    <w:rsid w:val="00714FB2"/>
    <w:rsid w:val="007151C8"/>
    <w:rsid w:val="007152A4"/>
    <w:rsid w:val="00715443"/>
    <w:rsid w:val="00715D3B"/>
    <w:rsid w:val="007160CD"/>
    <w:rsid w:val="00716319"/>
    <w:rsid w:val="00716C88"/>
    <w:rsid w:val="00716D49"/>
    <w:rsid w:val="00716E59"/>
    <w:rsid w:val="0071745D"/>
    <w:rsid w:val="00717E11"/>
    <w:rsid w:val="007200D9"/>
    <w:rsid w:val="0072014D"/>
    <w:rsid w:val="0072081C"/>
    <w:rsid w:val="00721214"/>
    <w:rsid w:val="00721753"/>
    <w:rsid w:val="007224AD"/>
    <w:rsid w:val="0072251D"/>
    <w:rsid w:val="007225A7"/>
    <w:rsid w:val="0072363F"/>
    <w:rsid w:val="00723AE5"/>
    <w:rsid w:val="007245BB"/>
    <w:rsid w:val="00724758"/>
    <w:rsid w:val="00724C10"/>
    <w:rsid w:val="00725442"/>
    <w:rsid w:val="007258CB"/>
    <w:rsid w:val="00725AA6"/>
    <w:rsid w:val="00725E79"/>
    <w:rsid w:val="00725F5C"/>
    <w:rsid w:val="0072682C"/>
    <w:rsid w:val="007269DF"/>
    <w:rsid w:val="00726D53"/>
    <w:rsid w:val="00727135"/>
    <w:rsid w:val="007279DB"/>
    <w:rsid w:val="00727D1E"/>
    <w:rsid w:val="00727D4A"/>
    <w:rsid w:val="00727ED6"/>
    <w:rsid w:val="007302EF"/>
    <w:rsid w:val="00730578"/>
    <w:rsid w:val="007306D2"/>
    <w:rsid w:val="00730AF4"/>
    <w:rsid w:val="0073289E"/>
    <w:rsid w:val="007335BA"/>
    <w:rsid w:val="00734CEF"/>
    <w:rsid w:val="00734EC7"/>
    <w:rsid w:val="007353D9"/>
    <w:rsid w:val="007364CA"/>
    <w:rsid w:val="00736D65"/>
    <w:rsid w:val="0073732C"/>
    <w:rsid w:val="00737707"/>
    <w:rsid w:val="0074007F"/>
    <w:rsid w:val="007402B3"/>
    <w:rsid w:val="007403A8"/>
    <w:rsid w:val="00740588"/>
    <w:rsid w:val="00740FB6"/>
    <w:rsid w:val="00741126"/>
    <w:rsid w:val="007417D2"/>
    <w:rsid w:val="0074352A"/>
    <w:rsid w:val="00743583"/>
    <w:rsid w:val="00744653"/>
    <w:rsid w:val="00745570"/>
    <w:rsid w:val="00745B81"/>
    <w:rsid w:val="0074601F"/>
    <w:rsid w:val="00746113"/>
    <w:rsid w:val="00746F37"/>
    <w:rsid w:val="007478F6"/>
    <w:rsid w:val="007479C1"/>
    <w:rsid w:val="00747DBC"/>
    <w:rsid w:val="00747F66"/>
    <w:rsid w:val="0075006A"/>
    <w:rsid w:val="00750225"/>
    <w:rsid w:val="00750331"/>
    <w:rsid w:val="00750700"/>
    <w:rsid w:val="00750DCF"/>
    <w:rsid w:val="00751267"/>
    <w:rsid w:val="007515ED"/>
    <w:rsid w:val="00751D9B"/>
    <w:rsid w:val="00751F7C"/>
    <w:rsid w:val="007521D3"/>
    <w:rsid w:val="00753E21"/>
    <w:rsid w:val="00754E32"/>
    <w:rsid w:val="0075573D"/>
    <w:rsid w:val="007563EF"/>
    <w:rsid w:val="00756648"/>
    <w:rsid w:val="007579D3"/>
    <w:rsid w:val="0076047A"/>
    <w:rsid w:val="00760EFD"/>
    <w:rsid w:val="00761945"/>
    <w:rsid w:val="007622AB"/>
    <w:rsid w:val="00762748"/>
    <w:rsid w:val="00762B54"/>
    <w:rsid w:val="00763348"/>
    <w:rsid w:val="00763DDF"/>
    <w:rsid w:val="007640B9"/>
    <w:rsid w:val="007645A5"/>
    <w:rsid w:val="007649DE"/>
    <w:rsid w:val="00764A35"/>
    <w:rsid w:val="00765393"/>
    <w:rsid w:val="007655EB"/>
    <w:rsid w:val="00765966"/>
    <w:rsid w:val="007662CF"/>
    <w:rsid w:val="0076710F"/>
    <w:rsid w:val="0076716B"/>
    <w:rsid w:val="007675DF"/>
    <w:rsid w:val="00767DD6"/>
    <w:rsid w:val="00770EBE"/>
    <w:rsid w:val="00770F78"/>
    <w:rsid w:val="00772344"/>
    <w:rsid w:val="007723E3"/>
    <w:rsid w:val="00772563"/>
    <w:rsid w:val="007731A1"/>
    <w:rsid w:val="00773C0F"/>
    <w:rsid w:val="00774030"/>
    <w:rsid w:val="007743B1"/>
    <w:rsid w:val="007744D1"/>
    <w:rsid w:val="00774795"/>
    <w:rsid w:val="00774E89"/>
    <w:rsid w:val="00776488"/>
    <w:rsid w:val="00776AAC"/>
    <w:rsid w:val="00776D66"/>
    <w:rsid w:val="00777179"/>
    <w:rsid w:val="00777ACD"/>
    <w:rsid w:val="00777EB3"/>
    <w:rsid w:val="00780A2E"/>
    <w:rsid w:val="00780C2B"/>
    <w:rsid w:val="00783CFB"/>
    <w:rsid w:val="007844FD"/>
    <w:rsid w:val="00784BD2"/>
    <w:rsid w:val="00786605"/>
    <w:rsid w:val="00787051"/>
    <w:rsid w:val="00787682"/>
    <w:rsid w:val="00787D3C"/>
    <w:rsid w:val="00787FA9"/>
    <w:rsid w:val="00790E18"/>
    <w:rsid w:val="00792B63"/>
    <w:rsid w:val="007938E2"/>
    <w:rsid w:val="007942D0"/>
    <w:rsid w:val="00794CA9"/>
    <w:rsid w:val="00797E2B"/>
    <w:rsid w:val="007A0956"/>
    <w:rsid w:val="007A1F17"/>
    <w:rsid w:val="007A2139"/>
    <w:rsid w:val="007A2A48"/>
    <w:rsid w:val="007A2B5C"/>
    <w:rsid w:val="007A30EF"/>
    <w:rsid w:val="007A33E6"/>
    <w:rsid w:val="007A37A5"/>
    <w:rsid w:val="007A38DA"/>
    <w:rsid w:val="007A3D3F"/>
    <w:rsid w:val="007A3D89"/>
    <w:rsid w:val="007A4453"/>
    <w:rsid w:val="007A45F3"/>
    <w:rsid w:val="007A53AC"/>
    <w:rsid w:val="007A5910"/>
    <w:rsid w:val="007A5992"/>
    <w:rsid w:val="007A5ED5"/>
    <w:rsid w:val="007A6244"/>
    <w:rsid w:val="007A630F"/>
    <w:rsid w:val="007A732C"/>
    <w:rsid w:val="007A74A0"/>
    <w:rsid w:val="007A7E7D"/>
    <w:rsid w:val="007B04E1"/>
    <w:rsid w:val="007B1285"/>
    <w:rsid w:val="007B1472"/>
    <w:rsid w:val="007B207E"/>
    <w:rsid w:val="007B2C50"/>
    <w:rsid w:val="007B2FCA"/>
    <w:rsid w:val="007B2FFB"/>
    <w:rsid w:val="007B3471"/>
    <w:rsid w:val="007B3735"/>
    <w:rsid w:val="007B3A0E"/>
    <w:rsid w:val="007B55CD"/>
    <w:rsid w:val="007B57EA"/>
    <w:rsid w:val="007B5A26"/>
    <w:rsid w:val="007B6249"/>
    <w:rsid w:val="007B634E"/>
    <w:rsid w:val="007B71FF"/>
    <w:rsid w:val="007B78FF"/>
    <w:rsid w:val="007B7BE6"/>
    <w:rsid w:val="007B7EA5"/>
    <w:rsid w:val="007C0564"/>
    <w:rsid w:val="007C07A5"/>
    <w:rsid w:val="007C08A5"/>
    <w:rsid w:val="007C1800"/>
    <w:rsid w:val="007C1A76"/>
    <w:rsid w:val="007C1C42"/>
    <w:rsid w:val="007C2FD1"/>
    <w:rsid w:val="007C3559"/>
    <w:rsid w:val="007C3C75"/>
    <w:rsid w:val="007C4F00"/>
    <w:rsid w:val="007C57DC"/>
    <w:rsid w:val="007C5E67"/>
    <w:rsid w:val="007C6095"/>
    <w:rsid w:val="007C6310"/>
    <w:rsid w:val="007C671A"/>
    <w:rsid w:val="007C68F3"/>
    <w:rsid w:val="007C6C88"/>
    <w:rsid w:val="007C6CBB"/>
    <w:rsid w:val="007C7111"/>
    <w:rsid w:val="007C7B02"/>
    <w:rsid w:val="007D013B"/>
    <w:rsid w:val="007D022F"/>
    <w:rsid w:val="007D0753"/>
    <w:rsid w:val="007D1251"/>
    <w:rsid w:val="007D12D5"/>
    <w:rsid w:val="007D1CBE"/>
    <w:rsid w:val="007D1E84"/>
    <w:rsid w:val="007D205B"/>
    <w:rsid w:val="007D235F"/>
    <w:rsid w:val="007D2AC1"/>
    <w:rsid w:val="007D2D7F"/>
    <w:rsid w:val="007D2DBF"/>
    <w:rsid w:val="007D5CAE"/>
    <w:rsid w:val="007D5E7D"/>
    <w:rsid w:val="007D5F0A"/>
    <w:rsid w:val="007D60DF"/>
    <w:rsid w:val="007D7195"/>
    <w:rsid w:val="007D7EAA"/>
    <w:rsid w:val="007E1929"/>
    <w:rsid w:val="007E2E77"/>
    <w:rsid w:val="007E3645"/>
    <w:rsid w:val="007E40DE"/>
    <w:rsid w:val="007E5756"/>
    <w:rsid w:val="007E65A3"/>
    <w:rsid w:val="007E6B88"/>
    <w:rsid w:val="007E72AB"/>
    <w:rsid w:val="007F060D"/>
    <w:rsid w:val="007F078C"/>
    <w:rsid w:val="007F0913"/>
    <w:rsid w:val="007F09A1"/>
    <w:rsid w:val="007F11B2"/>
    <w:rsid w:val="007F2472"/>
    <w:rsid w:val="007F29E3"/>
    <w:rsid w:val="007F2A10"/>
    <w:rsid w:val="007F37FF"/>
    <w:rsid w:val="007F4AC9"/>
    <w:rsid w:val="007F6671"/>
    <w:rsid w:val="007F66CF"/>
    <w:rsid w:val="007F69CA"/>
    <w:rsid w:val="007F6F37"/>
    <w:rsid w:val="007F7C8D"/>
    <w:rsid w:val="00800B6D"/>
    <w:rsid w:val="00800EC7"/>
    <w:rsid w:val="008017D6"/>
    <w:rsid w:val="0080195D"/>
    <w:rsid w:val="00801E82"/>
    <w:rsid w:val="00802613"/>
    <w:rsid w:val="0080354C"/>
    <w:rsid w:val="0080405F"/>
    <w:rsid w:val="00804FBB"/>
    <w:rsid w:val="00805884"/>
    <w:rsid w:val="0080647B"/>
    <w:rsid w:val="008064F9"/>
    <w:rsid w:val="008070CF"/>
    <w:rsid w:val="0080712A"/>
    <w:rsid w:val="00810F9D"/>
    <w:rsid w:val="008111E3"/>
    <w:rsid w:val="00811ADD"/>
    <w:rsid w:val="00811E9F"/>
    <w:rsid w:val="00811F28"/>
    <w:rsid w:val="0081282B"/>
    <w:rsid w:val="00812B76"/>
    <w:rsid w:val="008138BA"/>
    <w:rsid w:val="00813951"/>
    <w:rsid w:val="00813EC4"/>
    <w:rsid w:val="00814877"/>
    <w:rsid w:val="00814D84"/>
    <w:rsid w:val="00814E14"/>
    <w:rsid w:val="008151F0"/>
    <w:rsid w:val="008152EF"/>
    <w:rsid w:val="00815B21"/>
    <w:rsid w:val="00816432"/>
    <w:rsid w:val="008169CD"/>
    <w:rsid w:val="00816D84"/>
    <w:rsid w:val="00816E9B"/>
    <w:rsid w:val="0081715C"/>
    <w:rsid w:val="0081770B"/>
    <w:rsid w:val="00820926"/>
    <w:rsid w:val="00820C37"/>
    <w:rsid w:val="00820C65"/>
    <w:rsid w:val="00821FA6"/>
    <w:rsid w:val="00822104"/>
    <w:rsid w:val="00822205"/>
    <w:rsid w:val="0082244F"/>
    <w:rsid w:val="0082263C"/>
    <w:rsid w:val="008230FC"/>
    <w:rsid w:val="00823472"/>
    <w:rsid w:val="00823589"/>
    <w:rsid w:val="008236D7"/>
    <w:rsid w:val="008237C3"/>
    <w:rsid w:val="00823B0A"/>
    <w:rsid w:val="00824159"/>
    <w:rsid w:val="00826418"/>
    <w:rsid w:val="00826ACA"/>
    <w:rsid w:val="0082731E"/>
    <w:rsid w:val="00827342"/>
    <w:rsid w:val="008279C1"/>
    <w:rsid w:val="00827F49"/>
    <w:rsid w:val="0083045C"/>
    <w:rsid w:val="00830A54"/>
    <w:rsid w:val="00830DCB"/>
    <w:rsid w:val="00831379"/>
    <w:rsid w:val="00831ACE"/>
    <w:rsid w:val="008334D8"/>
    <w:rsid w:val="00833A53"/>
    <w:rsid w:val="00833E56"/>
    <w:rsid w:val="00833F6F"/>
    <w:rsid w:val="008340A5"/>
    <w:rsid w:val="008340C8"/>
    <w:rsid w:val="00834B68"/>
    <w:rsid w:val="00835347"/>
    <w:rsid w:val="00835DE2"/>
    <w:rsid w:val="00836A36"/>
    <w:rsid w:val="0083719C"/>
    <w:rsid w:val="00837A33"/>
    <w:rsid w:val="00840004"/>
    <w:rsid w:val="00840D63"/>
    <w:rsid w:val="008413D0"/>
    <w:rsid w:val="00841E4B"/>
    <w:rsid w:val="00842169"/>
    <w:rsid w:val="008427E8"/>
    <w:rsid w:val="00842FBD"/>
    <w:rsid w:val="0084312F"/>
    <w:rsid w:val="00843628"/>
    <w:rsid w:val="008436BD"/>
    <w:rsid w:val="00843B07"/>
    <w:rsid w:val="00843F60"/>
    <w:rsid w:val="008441E8"/>
    <w:rsid w:val="00844498"/>
    <w:rsid w:val="008448E8"/>
    <w:rsid w:val="0084535C"/>
    <w:rsid w:val="0084605A"/>
    <w:rsid w:val="0084607C"/>
    <w:rsid w:val="008460DE"/>
    <w:rsid w:val="008468F8"/>
    <w:rsid w:val="008472CE"/>
    <w:rsid w:val="00847BC8"/>
    <w:rsid w:val="00851370"/>
    <w:rsid w:val="0085138D"/>
    <w:rsid w:val="008517AA"/>
    <w:rsid w:val="00851BD1"/>
    <w:rsid w:val="008525F9"/>
    <w:rsid w:val="0085279A"/>
    <w:rsid w:val="008529DF"/>
    <w:rsid w:val="00852F9B"/>
    <w:rsid w:val="008539DA"/>
    <w:rsid w:val="00854982"/>
    <w:rsid w:val="00854B7D"/>
    <w:rsid w:val="008555E5"/>
    <w:rsid w:val="00855819"/>
    <w:rsid w:val="00855E47"/>
    <w:rsid w:val="00857B57"/>
    <w:rsid w:val="00860D49"/>
    <w:rsid w:val="008617F9"/>
    <w:rsid w:val="0086194F"/>
    <w:rsid w:val="00861B2A"/>
    <w:rsid w:val="008621BE"/>
    <w:rsid w:val="008623DE"/>
    <w:rsid w:val="00862730"/>
    <w:rsid w:val="00862C59"/>
    <w:rsid w:val="00862EA0"/>
    <w:rsid w:val="00862F0C"/>
    <w:rsid w:val="00862F8F"/>
    <w:rsid w:val="00864EAB"/>
    <w:rsid w:val="0086557A"/>
    <w:rsid w:val="00865CE3"/>
    <w:rsid w:val="00866126"/>
    <w:rsid w:val="00867092"/>
    <w:rsid w:val="0086725F"/>
    <w:rsid w:val="00867C8F"/>
    <w:rsid w:val="008700E2"/>
    <w:rsid w:val="00870188"/>
    <w:rsid w:val="008711B2"/>
    <w:rsid w:val="008714BA"/>
    <w:rsid w:val="008717B8"/>
    <w:rsid w:val="00872B3B"/>
    <w:rsid w:val="00872C81"/>
    <w:rsid w:val="00872D20"/>
    <w:rsid w:val="00873085"/>
    <w:rsid w:val="00873F30"/>
    <w:rsid w:val="00874719"/>
    <w:rsid w:val="00874F6F"/>
    <w:rsid w:val="00876DB8"/>
    <w:rsid w:val="00877B3A"/>
    <w:rsid w:val="00877C85"/>
    <w:rsid w:val="0088022A"/>
    <w:rsid w:val="008803D3"/>
    <w:rsid w:val="00880C56"/>
    <w:rsid w:val="00880C72"/>
    <w:rsid w:val="00880C7D"/>
    <w:rsid w:val="00881D90"/>
    <w:rsid w:val="00881DDD"/>
    <w:rsid w:val="00882A13"/>
    <w:rsid w:val="008831C0"/>
    <w:rsid w:val="00883BD6"/>
    <w:rsid w:val="00884324"/>
    <w:rsid w:val="0088472D"/>
    <w:rsid w:val="00885647"/>
    <w:rsid w:val="008859AF"/>
    <w:rsid w:val="00885EFC"/>
    <w:rsid w:val="00886042"/>
    <w:rsid w:val="00886310"/>
    <w:rsid w:val="008863ED"/>
    <w:rsid w:val="00886927"/>
    <w:rsid w:val="00886B98"/>
    <w:rsid w:val="00886C00"/>
    <w:rsid w:val="00886EB4"/>
    <w:rsid w:val="00887222"/>
    <w:rsid w:val="0088752F"/>
    <w:rsid w:val="00887569"/>
    <w:rsid w:val="00887A09"/>
    <w:rsid w:val="00887A3B"/>
    <w:rsid w:val="00887B11"/>
    <w:rsid w:val="00890B6E"/>
    <w:rsid w:val="0089125F"/>
    <w:rsid w:val="00893669"/>
    <w:rsid w:val="008936D5"/>
    <w:rsid w:val="00893A77"/>
    <w:rsid w:val="00893C93"/>
    <w:rsid w:val="00893E01"/>
    <w:rsid w:val="00894003"/>
    <w:rsid w:val="00894563"/>
    <w:rsid w:val="00894795"/>
    <w:rsid w:val="00895920"/>
    <w:rsid w:val="00895A26"/>
    <w:rsid w:val="00895B58"/>
    <w:rsid w:val="008964A9"/>
    <w:rsid w:val="0089667A"/>
    <w:rsid w:val="00896C3B"/>
    <w:rsid w:val="00897143"/>
    <w:rsid w:val="00897420"/>
    <w:rsid w:val="00897958"/>
    <w:rsid w:val="00897D10"/>
    <w:rsid w:val="008A0FBF"/>
    <w:rsid w:val="008A1713"/>
    <w:rsid w:val="008A1A4C"/>
    <w:rsid w:val="008A2B2C"/>
    <w:rsid w:val="008A344B"/>
    <w:rsid w:val="008A3606"/>
    <w:rsid w:val="008A37AF"/>
    <w:rsid w:val="008A4013"/>
    <w:rsid w:val="008A465D"/>
    <w:rsid w:val="008A46C4"/>
    <w:rsid w:val="008A488C"/>
    <w:rsid w:val="008A4AD2"/>
    <w:rsid w:val="008A54AF"/>
    <w:rsid w:val="008A556E"/>
    <w:rsid w:val="008A67E7"/>
    <w:rsid w:val="008A68BF"/>
    <w:rsid w:val="008A747F"/>
    <w:rsid w:val="008B00ED"/>
    <w:rsid w:val="008B0AF3"/>
    <w:rsid w:val="008B124E"/>
    <w:rsid w:val="008B161E"/>
    <w:rsid w:val="008B1A4D"/>
    <w:rsid w:val="008B1C55"/>
    <w:rsid w:val="008B2026"/>
    <w:rsid w:val="008B20B3"/>
    <w:rsid w:val="008B23DE"/>
    <w:rsid w:val="008B3084"/>
    <w:rsid w:val="008B3468"/>
    <w:rsid w:val="008B357C"/>
    <w:rsid w:val="008B35D9"/>
    <w:rsid w:val="008B4579"/>
    <w:rsid w:val="008B506E"/>
    <w:rsid w:val="008B5407"/>
    <w:rsid w:val="008B5528"/>
    <w:rsid w:val="008B6423"/>
    <w:rsid w:val="008B6D40"/>
    <w:rsid w:val="008B75F9"/>
    <w:rsid w:val="008B79C0"/>
    <w:rsid w:val="008B7E7B"/>
    <w:rsid w:val="008C025D"/>
    <w:rsid w:val="008C0635"/>
    <w:rsid w:val="008C0709"/>
    <w:rsid w:val="008C1225"/>
    <w:rsid w:val="008C1877"/>
    <w:rsid w:val="008C206D"/>
    <w:rsid w:val="008C218E"/>
    <w:rsid w:val="008C2227"/>
    <w:rsid w:val="008C2672"/>
    <w:rsid w:val="008C283A"/>
    <w:rsid w:val="008C2EAE"/>
    <w:rsid w:val="008C3068"/>
    <w:rsid w:val="008C31B1"/>
    <w:rsid w:val="008C3D9F"/>
    <w:rsid w:val="008C41AF"/>
    <w:rsid w:val="008C456A"/>
    <w:rsid w:val="008C5940"/>
    <w:rsid w:val="008C5EE8"/>
    <w:rsid w:val="008C681E"/>
    <w:rsid w:val="008C6835"/>
    <w:rsid w:val="008C6B16"/>
    <w:rsid w:val="008C6C52"/>
    <w:rsid w:val="008C6D0F"/>
    <w:rsid w:val="008C6EFC"/>
    <w:rsid w:val="008C6FA5"/>
    <w:rsid w:val="008C7661"/>
    <w:rsid w:val="008C77B4"/>
    <w:rsid w:val="008C7DD6"/>
    <w:rsid w:val="008D073A"/>
    <w:rsid w:val="008D1005"/>
    <w:rsid w:val="008D148E"/>
    <w:rsid w:val="008D1832"/>
    <w:rsid w:val="008D18EB"/>
    <w:rsid w:val="008D1ABC"/>
    <w:rsid w:val="008D1CE9"/>
    <w:rsid w:val="008D204E"/>
    <w:rsid w:val="008D2C30"/>
    <w:rsid w:val="008D2E06"/>
    <w:rsid w:val="008D3328"/>
    <w:rsid w:val="008D3978"/>
    <w:rsid w:val="008D3DBF"/>
    <w:rsid w:val="008D4759"/>
    <w:rsid w:val="008D497A"/>
    <w:rsid w:val="008D520A"/>
    <w:rsid w:val="008D6692"/>
    <w:rsid w:val="008D6742"/>
    <w:rsid w:val="008D6BF2"/>
    <w:rsid w:val="008D76C5"/>
    <w:rsid w:val="008D7FBC"/>
    <w:rsid w:val="008E0957"/>
    <w:rsid w:val="008E0AEC"/>
    <w:rsid w:val="008E0D4C"/>
    <w:rsid w:val="008E1C1B"/>
    <w:rsid w:val="008E1D87"/>
    <w:rsid w:val="008E1ED5"/>
    <w:rsid w:val="008E325B"/>
    <w:rsid w:val="008E34B4"/>
    <w:rsid w:val="008E3899"/>
    <w:rsid w:val="008E39A1"/>
    <w:rsid w:val="008E4102"/>
    <w:rsid w:val="008E4365"/>
    <w:rsid w:val="008E472B"/>
    <w:rsid w:val="008E5914"/>
    <w:rsid w:val="008E6757"/>
    <w:rsid w:val="008E6963"/>
    <w:rsid w:val="008E6D8B"/>
    <w:rsid w:val="008E71C9"/>
    <w:rsid w:val="008E79AC"/>
    <w:rsid w:val="008E7BEF"/>
    <w:rsid w:val="008F0245"/>
    <w:rsid w:val="008F0541"/>
    <w:rsid w:val="008F0DC7"/>
    <w:rsid w:val="008F146E"/>
    <w:rsid w:val="008F1D85"/>
    <w:rsid w:val="008F20A8"/>
    <w:rsid w:val="008F291D"/>
    <w:rsid w:val="008F2A25"/>
    <w:rsid w:val="008F2E80"/>
    <w:rsid w:val="008F3055"/>
    <w:rsid w:val="008F3076"/>
    <w:rsid w:val="008F393A"/>
    <w:rsid w:val="008F3ECB"/>
    <w:rsid w:val="008F4045"/>
    <w:rsid w:val="008F4764"/>
    <w:rsid w:val="008F4BAD"/>
    <w:rsid w:val="008F4C35"/>
    <w:rsid w:val="008F51CF"/>
    <w:rsid w:val="008F5D73"/>
    <w:rsid w:val="008F6760"/>
    <w:rsid w:val="008F685A"/>
    <w:rsid w:val="008F6C19"/>
    <w:rsid w:val="008F70ED"/>
    <w:rsid w:val="008F7297"/>
    <w:rsid w:val="008F76F0"/>
    <w:rsid w:val="008F7F0E"/>
    <w:rsid w:val="00901A28"/>
    <w:rsid w:val="00902039"/>
    <w:rsid w:val="009020B8"/>
    <w:rsid w:val="0090281C"/>
    <w:rsid w:val="00902E15"/>
    <w:rsid w:val="00904D3A"/>
    <w:rsid w:val="00905978"/>
    <w:rsid w:val="00905EF4"/>
    <w:rsid w:val="00906181"/>
    <w:rsid w:val="00907326"/>
    <w:rsid w:val="00907AD4"/>
    <w:rsid w:val="00907E23"/>
    <w:rsid w:val="009101E1"/>
    <w:rsid w:val="0091039E"/>
    <w:rsid w:val="0091048A"/>
    <w:rsid w:val="00911AA1"/>
    <w:rsid w:val="00911FD3"/>
    <w:rsid w:val="009121E2"/>
    <w:rsid w:val="0091297E"/>
    <w:rsid w:val="009129F2"/>
    <w:rsid w:val="00912E80"/>
    <w:rsid w:val="00912FF8"/>
    <w:rsid w:val="0091355F"/>
    <w:rsid w:val="00913CD1"/>
    <w:rsid w:val="00913DFD"/>
    <w:rsid w:val="0091457D"/>
    <w:rsid w:val="00914677"/>
    <w:rsid w:val="00914ED4"/>
    <w:rsid w:val="00914F3B"/>
    <w:rsid w:val="0091526A"/>
    <w:rsid w:val="009153C2"/>
    <w:rsid w:val="00915813"/>
    <w:rsid w:val="00915EB5"/>
    <w:rsid w:val="00916887"/>
    <w:rsid w:val="00921739"/>
    <w:rsid w:val="0092263A"/>
    <w:rsid w:val="00922B27"/>
    <w:rsid w:val="00924B97"/>
    <w:rsid w:val="00924BCD"/>
    <w:rsid w:val="00925237"/>
    <w:rsid w:val="009258C9"/>
    <w:rsid w:val="00925BB8"/>
    <w:rsid w:val="00925CAD"/>
    <w:rsid w:val="00926858"/>
    <w:rsid w:val="00926B56"/>
    <w:rsid w:val="0092714F"/>
    <w:rsid w:val="00927834"/>
    <w:rsid w:val="00930261"/>
    <w:rsid w:val="00930425"/>
    <w:rsid w:val="00930564"/>
    <w:rsid w:val="00930785"/>
    <w:rsid w:val="00930F6D"/>
    <w:rsid w:val="00930F8E"/>
    <w:rsid w:val="00932DFC"/>
    <w:rsid w:val="00932E8D"/>
    <w:rsid w:val="009330DE"/>
    <w:rsid w:val="00933F05"/>
    <w:rsid w:val="00934766"/>
    <w:rsid w:val="00934B32"/>
    <w:rsid w:val="00936976"/>
    <w:rsid w:val="00937706"/>
    <w:rsid w:val="0093796D"/>
    <w:rsid w:val="009400AD"/>
    <w:rsid w:val="00940E82"/>
    <w:rsid w:val="00941210"/>
    <w:rsid w:val="00941509"/>
    <w:rsid w:val="0094177C"/>
    <w:rsid w:val="0094204F"/>
    <w:rsid w:val="009424E8"/>
    <w:rsid w:val="009426BB"/>
    <w:rsid w:val="009438E5"/>
    <w:rsid w:val="0094488B"/>
    <w:rsid w:val="00944B3A"/>
    <w:rsid w:val="00945C8D"/>
    <w:rsid w:val="00946AF9"/>
    <w:rsid w:val="00946F64"/>
    <w:rsid w:val="0095021D"/>
    <w:rsid w:val="009507A8"/>
    <w:rsid w:val="00951CE5"/>
    <w:rsid w:val="00951E46"/>
    <w:rsid w:val="00951F13"/>
    <w:rsid w:val="00951FE3"/>
    <w:rsid w:val="009525F5"/>
    <w:rsid w:val="0095282D"/>
    <w:rsid w:val="00952869"/>
    <w:rsid w:val="00954526"/>
    <w:rsid w:val="00955093"/>
    <w:rsid w:val="00955EB0"/>
    <w:rsid w:val="0095636D"/>
    <w:rsid w:val="00956613"/>
    <w:rsid w:val="00957E1C"/>
    <w:rsid w:val="0096011D"/>
    <w:rsid w:val="0096045A"/>
    <w:rsid w:val="00961732"/>
    <w:rsid w:val="00961C9B"/>
    <w:rsid w:val="00962705"/>
    <w:rsid w:val="00962B49"/>
    <w:rsid w:val="00963E22"/>
    <w:rsid w:val="0096411C"/>
    <w:rsid w:val="00964D2F"/>
    <w:rsid w:val="009656A7"/>
    <w:rsid w:val="00965A68"/>
    <w:rsid w:val="00967179"/>
    <w:rsid w:val="00967449"/>
    <w:rsid w:val="00967D1B"/>
    <w:rsid w:val="00967F4B"/>
    <w:rsid w:val="009703CF"/>
    <w:rsid w:val="00970D7E"/>
    <w:rsid w:val="00971093"/>
    <w:rsid w:val="00971180"/>
    <w:rsid w:val="00971244"/>
    <w:rsid w:val="00971779"/>
    <w:rsid w:val="009718F4"/>
    <w:rsid w:val="009721EE"/>
    <w:rsid w:val="009727F9"/>
    <w:rsid w:val="00972ECE"/>
    <w:rsid w:val="0097345F"/>
    <w:rsid w:val="0097454D"/>
    <w:rsid w:val="009745B8"/>
    <w:rsid w:val="00974B5D"/>
    <w:rsid w:val="00974BDA"/>
    <w:rsid w:val="00975685"/>
    <w:rsid w:val="009757F3"/>
    <w:rsid w:val="00975AEC"/>
    <w:rsid w:val="00975D6C"/>
    <w:rsid w:val="0097657C"/>
    <w:rsid w:val="00976AAB"/>
    <w:rsid w:val="00976B89"/>
    <w:rsid w:val="0097748D"/>
    <w:rsid w:val="009804F4"/>
    <w:rsid w:val="009811DE"/>
    <w:rsid w:val="009814F3"/>
    <w:rsid w:val="00981F16"/>
    <w:rsid w:val="00982723"/>
    <w:rsid w:val="009827EA"/>
    <w:rsid w:val="009833EB"/>
    <w:rsid w:val="00983BAE"/>
    <w:rsid w:val="00983BD2"/>
    <w:rsid w:val="00983C8F"/>
    <w:rsid w:val="00984441"/>
    <w:rsid w:val="00984E01"/>
    <w:rsid w:val="00984FB7"/>
    <w:rsid w:val="009852FC"/>
    <w:rsid w:val="009856F3"/>
    <w:rsid w:val="00985765"/>
    <w:rsid w:val="0098576D"/>
    <w:rsid w:val="00986684"/>
    <w:rsid w:val="009867F3"/>
    <w:rsid w:val="009869D2"/>
    <w:rsid w:val="00986B2B"/>
    <w:rsid w:val="00986D00"/>
    <w:rsid w:val="00986E9B"/>
    <w:rsid w:val="00986F2B"/>
    <w:rsid w:val="009871FB"/>
    <w:rsid w:val="009877ED"/>
    <w:rsid w:val="009878C1"/>
    <w:rsid w:val="00990271"/>
    <w:rsid w:val="009905C0"/>
    <w:rsid w:val="00990DC7"/>
    <w:rsid w:val="0099121D"/>
    <w:rsid w:val="00991578"/>
    <w:rsid w:val="00991AC5"/>
    <w:rsid w:val="00991CA5"/>
    <w:rsid w:val="0099264C"/>
    <w:rsid w:val="009930D4"/>
    <w:rsid w:val="00993288"/>
    <w:rsid w:val="009934FF"/>
    <w:rsid w:val="0099383D"/>
    <w:rsid w:val="009945A2"/>
    <w:rsid w:val="009945F9"/>
    <w:rsid w:val="0099461E"/>
    <w:rsid w:val="00994AA7"/>
    <w:rsid w:val="009952F6"/>
    <w:rsid w:val="0099573B"/>
    <w:rsid w:val="0099689A"/>
    <w:rsid w:val="00996AB9"/>
    <w:rsid w:val="00996ABC"/>
    <w:rsid w:val="0099752B"/>
    <w:rsid w:val="00997C71"/>
    <w:rsid w:val="00997CD7"/>
    <w:rsid w:val="009A01A9"/>
    <w:rsid w:val="009A0A4B"/>
    <w:rsid w:val="009A1AD1"/>
    <w:rsid w:val="009A2090"/>
    <w:rsid w:val="009A2414"/>
    <w:rsid w:val="009A3227"/>
    <w:rsid w:val="009A4ACC"/>
    <w:rsid w:val="009A4C23"/>
    <w:rsid w:val="009A4F44"/>
    <w:rsid w:val="009A602F"/>
    <w:rsid w:val="009A67DE"/>
    <w:rsid w:val="009A6986"/>
    <w:rsid w:val="009A6FA1"/>
    <w:rsid w:val="009A7103"/>
    <w:rsid w:val="009A76C9"/>
    <w:rsid w:val="009A7F02"/>
    <w:rsid w:val="009B0073"/>
    <w:rsid w:val="009B0A33"/>
    <w:rsid w:val="009B1EEC"/>
    <w:rsid w:val="009B2152"/>
    <w:rsid w:val="009B227D"/>
    <w:rsid w:val="009B2891"/>
    <w:rsid w:val="009B28A5"/>
    <w:rsid w:val="009B3392"/>
    <w:rsid w:val="009B40F9"/>
    <w:rsid w:val="009B47B0"/>
    <w:rsid w:val="009B4EB5"/>
    <w:rsid w:val="009B5D6A"/>
    <w:rsid w:val="009B5E6F"/>
    <w:rsid w:val="009B6052"/>
    <w:rsid w:val="009B6212"/>
    <w:rsid w:val="009B6974"/>
    <w:rsid w:val="009B6991"/>
    <w:rsid w:val="009B77F0"/>
    <w:rsid w:val="009B79E4"/>
    <w:rsid w:val="009C010A"/>
    <w:rsid w:val="009C0340"/>
    <w:rsid w:val="009C070D"/>
    <w:rsid w:val="009C192C"/>
    <w:rsid w:val="009C1BED"/>
    <w:rsid w:val="009C1E27"/>
    <w:rsid w:val="009C3248"/>
    <w:rsid w:val="009C349F"/>
    <w:rsid w:val="009C368F"/>
    <w:rsid w:val="009C3F71"/>
    <w:rsid w:val="009C45B9"/>
    <w:rsid w:val="009C4843"/>
    <w:rsid w:val="009C4DC3"/>
    <w:rsid w:val="009C4DE2"/>
    <w:rsid w:val="009C5368"/>
    <w:rsid w:val="009C5545"/>
    <w:rsid w:val="009C5924"/>
    <w:rsid w:val="009C5F44"/>
    <w:rsid w:val="009C62A9"/>
    <w:rsid w:val="009C667D"/>
    <w:rsid w:val="009C77A0"/>
    <w:rsid w:val="009C7C76"/>
    <w:rsid w:val="009D0156"/>
    <w:rsid w:val="009D01D8"/>
    <w:rsid w:val="009D0207"/>
    <w:rsid w:val="009D0564"/>
    <w:rsid w:val="009D09BF"/>
    <w:rsid w:val="009D14C0"/>
    <w:rsid w:val="009D1AFB"/>
    <w:rsid w:val="009D1EE6"/>
    <w:rsid w:val="009D20DC"/>
    <w:rsid w:val="009D24D6"/>
    <w:rsid w:val="009D29EB"/>
    <w:rsid w:val="009D3DD1"/>
    <w:rsid w:val="009D467A"/>
    <w:rsid w:val="009D4E3E"/>
    <w:rsid w:val="009D4EBA"/>
    <w:rsid w:val="009D5292"/>
    <w:rsid w:val="009D6161"/>
    <w:rsid w:val="009D6F69"/>
    <w:rsid w:val="009E0CF4"/>
    <w:rsid w:val="009E1C32"/>
    <w:rsid w:val="009E304E"/>
    <w:rsid w:val="009E33EC"/>
    <w:rsid w:val="009E34D7"/>
    <w:rsid w:val="009E4EA0"/>
    <w:rsid w:val="009E5B0A"/>
    <w:rsid w:val="009E602E"/>
    <w:rsid w:val="009E67FC"/>
    <w:rsid w:val="009E683E"/>
    <w:rsid w:val="009E6BB4"/>
    <w:rsid w:val="009E700B"/>
    <w:rsid w:val="009E7588"/>
    <w:rsid w:val="009E76B1"/>
    <w:rsid w:val="009F04BE"/>
    <w:rsid w:val="009F12E0"/>
    <w:rsid w:val="009F16A0"/>
    <w:rsid w:val="009F1733"/>
    <w:rsid w:val="009F1BB4"/>
    <w:rsid w:val="009F3358"/>
    <w:rsid w:val="009F3565"/>
    <w:rsid w:val="009F399A"/>
    <w:rsid w:val="009F3BB1"/>
    <w:rsid w:val="009F40D0"/>
    <w:rsid w:val="009F45D8"/>
    <w:rsid w:val="009F5180"/>
    <w:rsid w:val="009F6112"/>
    <w:rsid w:val="009F62BC"/>
    <w:rsid w:val="009F635E"/>
    <w:rsid w:val="009F68C1"/>
    <w:rsid w:val="009F6C90"/>
    <w:rsid w:val="009F706B"/>
    <w:rsid w:val="009F74B1"/>
    <w:rsid w:val="009F7699"/>
    <w:rsid w:val="009F7E99"/>
    <w:rsid w:val="00A001E0"/>
    <w:rsid w:val="00A00D85"/>
    <w:rsid w:val="00A00EA8"/>
    <w:rsid w:val="00A01B66"/>
    <w:rsid w:val="00A01CBC"/>
    <w:rsid w:val="00A02667"/>
    <w:rsid w:val="00A02E46"/>
    <w:rsid w:val="00A02F98"/>
    <w:rsid w:val="00A03DD0"/>
    <w:rsid w:val="00A044AD"/>
    <w:rsid w:val="00A04D18"/>
    <w:rsid w:val="00A05845"/>
    <w:rsid w:val="00A05B29"/>
    <w:rsid w:val="00A065A3"/>
    <w:rsid w:val="00A06DBA"/>
    <w:rsid w:val="00A06F1D"/>
    <w:rsid w:val="00A07345"/>
    <w:rsid w:val="00A0738C"/>
    <w:rsid w:val="00A0749E"/>
    <w:rsid w:val="00A07AE6"/>
    <w:rsid w:val="00A07D7F"/>
    <w:rsid w:val="00A07F78"/>
    <w:rsid w:val="00A11588"/>
    <w:rsid w:val="00A11A95"/>
    <w:rsid w:val="00A135C6"/>
    <w:rsid w:val="00A13608"/>
    <w:rsid w:val="00A15129"/>
    <w:rsid w:val="00A1595C"/>
    <w:rsid w:val="00A15985"/>
    <w:rsid w:val="00A1670B"/>
    <w:rsid w:val="00A175E1"/>
    <w:rsid w:val="00A17740"/>
    <w:rsid w:val="00A21220"/>
    <w:rsid w:val="00A21832"/>
    <w:rsid w:val="00A22B7B"/>
    <w:rsid w:val="00A22C0A"/>
    <w:rsid w:val="00A2368C"/>
    <w:rsid w:val="00A238D5"/>
    <w:rsid w:val="00A23AA8"/>
    <w:rsid w:val="00A245A5"/>
    <w:rsid w:val="00A24922"/>
    <w:rsid w:val="00A24E20"/>
    <w:rsid w:val="00A25241"/>
    <w:rsid w:val="00A258D5"/>
    <w:rsid w:val="00A25B78"/>
    <w:rsid w:val="00A2678F"/>
    <w:rsid w:val="00A26CB0"/>
    <w:rsid w:val="00A26D28"/>
    <w:rsid w:val="00A273B3"/>
    <w:rsid w:val="00A27802"/>
    <w:rsid w:val="00A30054"/>
    <w:rsid w:val="00A306D3"/>
    <w:rsid w:val="00A31D8E"/>
    <w:rsid w:val="00A31ECE"/>
    <w:rsid w:val="00A335CA"/>
    <w:rsid w:val="00A33A8E"/>
    <w:rsid w:val="00A342AD"/>
    <w:rsid w:val="00A3453C"/>
    <w:rsid w:val="00A3533B"/>
    <w:rsid w:val="00A35401"/>
    <w:rsid w:val="00A35542"/>
    <w:rsid w:val="00A3557B"/>
    <w:rsid w:val="00A35C1A"/>
    <w:rsid w:val="00A35CD0"/>
    <w:rsid w:val="00A371C2"/>
    <w:rsid w:val="00A378D3"/>
    <w:rsid w:val="00A37E42"/>
    <w:rsid w:val="00A410BF"/>
    <w:rsid w:val="00A41585"/>
    <w:rsid w:val="00A418D0"/>
    <w:rsid w:val="00A41A1F"/>
    <w:rsid w:val="00A41BC8"/>
    <w:rsid w:val="00A42B29"/>
    <w:rsid w:val="00A42BCF"/>
    <w:rsid w:val="00A42BFC"/>
    <w:rsid w:val="00A43361"/>
    <w:rsid w:val="00A43D0D"/>
    <w:rsid w:val="00A43DD8"/>
    <w:rsid w:val="00A455BE"/>
    <w:rsid w:val="00A45D25"/>
    <w:rsid w:val="00A463CC"/>
    <w:rsid w:val="00A466DC"/>
    <w:rsid w:val="00A469CC"/>
    <w:rsid w:val="00A470C7"/>
    <w:rsid w:val="00A47DAD"/>
    <w:rsid w:val="00A501B6"/>
    <w:rsid w:val="00A50372"/>
    <w:rsid w:val="00A50411"/>
    <w:rsid w:val="00A50453"/>
    <w:rsid w:val="00A50DD1"/>
    <w:rsid w:val="00A50F39"/>
    <w:rsid w:val="00A512F7"/>
    <w:rsid w:val="00A5159D"/>
    <w:rsid w:val="00A51B30"/>
    <w:rsid w:val="00A52F49"/>
    <w:rsid w:val="00A53281"/>
    <w:rsid w:val="00A5378E"/>
    <w:rsid w:val="00A53C19"/>
    <w:rsid w:val="00A554F7"/>
    <w:rsid w:val="00A55A16"/>
    <w:rsid w:val="00A55BE2"/>
    <w:rsid w:val="00A56161"/>
    <w:rsid w:val="00A56C45"/>
    <w:rsid w:val="00A57788"/>
    <w:rsid w:val="00A57D5E"/>
    <w:rsid w:val="00A6001B"/>
    <w:rsid w:val="00A604E5"/>
    <w:rsid w:val="00A605E9"/>
    <w:rsid w:val="00A60F0B"/>
    <w:rsid w:val="00A61607"/>
    <w:rsid w:val="00A6179F"/>
    <w:rsid w:val="00A61A9D"/>
    <w:rsid w:val="00A61E70"/>
    <w:rsid w:val="00A62B5F"/>
    <w:rsid w:val="00A63313"/>
    <w:rsid w:val="00A63A2B"/>
    <w:rsid w:val="00A6413D"/>
    <w:rsid w:val="00A64C50"/>
    <w:rsid w:val="00A651C4"/>
    <w:rsid w:val="00A653AB"/>
    <w:rsid w:val="00A65C57"/>
    <w:rsid w:val="00A66D6E"/>
    <w:rsid w:val="00A67953"/>
    <w:rsid w:val="00A67A20"/>
    <w:rsid w:val="00A67D93"/>
    <w:rsid w:val="00A67FF5"/>
    <w:rsid w:val="00A708F8"/>
    <w:rsid w:val="00A70DEA"/>
    <w:rsid w:val="00A71767"/>
    <w:rsid w:val="00A719CD"/>
    <w:rsid w:val="00A71A1A"/>
    <w:rsid w:val="00A72023"/>
    <w:rsid w:val="00A73083"/>
    <w:rsid w:val="00A73976"/>
    <w:rsid w:val="00A73A24"/>
    <w:rsid w:val="00A73C7E"/>
    <w:rsid w:val="00A73D32"/>
    <w:rsid w:val="00A74446"/>
    <w:rsid w:val="00A74874"/>
    <w:rsid w:val="00A75ED7"/>
    <w:rsid w:val="00A766C3"/>
    <w:rsid w:val="00A76EE1"/>
    <w:rsid w:val="00A7715F"/>
    <w:rsid w:val="00A773B0"/>
    <w:rsid w:val="00A777BB"/>
    <w:rsid w:val="00A806C0"/>
    <w:rsid w:val="00A807A7"/>
    <w:rsid w:val="00A8110D"/>
    <w:rsid w:val="00A81526"/>
    <w:rsid w:val="00A81C8C"/>
    <w:rsid w:val="00A827B2"/>
    <w:rsid w:val="00A82A67"/>
    <w:rsid w:val="00A82F71"/>
    <w:rsid w:val="00A8324A"/>
    <w:rsid w:val="00A852B8"/>
    <w:rsid w:val="00A854EA"/>
    <w:rsid w:val="00A8554E"/>
    <w:rsid w:val="00A8674A"/>
    <w:rsid w:val="00A86AF6"/>
    <w:rsid w:val="00A86B00"/>
    <w:rsid w:val="00A86B84"/>
    <w:rsid w:val="00A90B62"/>
    <w:rsid w:val="00A91631"/>
    <w:rsid w:val="00A92B1B"/>
    <w:rsid w:val="00A93DE6"/>
    <w:rsid w:val="00A94CE6"/>
    <w:rsid w:val="00A94DE7"/>
    <w:rsid w:val="00A9517B"/>
    <w:rsid w:val="00A965D5"/>
    <w:rsid w:val="00A97802"/>
    <w:rsid w:val="00AA12D8"/>
    <w:rsid w:val="00AA1FC7"/>
    <w:rsid w:val="00AA2E45"/>
    <w:rsid w:val="00AA31A8"/>
    <w:rsid w:val="00AA3BCC"/>
    <w:rsid w:val="00AA40CC"/>
    <w:rsid w:val="00AA5533"/>
    <w:rsid w:val="00AA636D"/>
    <w:rsid w:val="00AA79E6"/>
    <w:rsid w:val="00AA7B36"/>
    <w:rsid w:val="00AA7ECA"/>
    <w:rsid w:val="00AB0049"/>
    <w:rsid w:val="00AB0C96"/>
    <w:rsid w:val="00AB0CAF"/>
    <w:rsid w:val="00AB131E"/>
    <w:rsid w:val="00AB190E"/>
    <w:rsid w:val="00AB1938"/>
    <w:rsid w:val="00AB1BAA"/>
    <w:rsid w:val="00AB2044"/>
    <w:rsid w:val="00AB25BA"/>
    <w:rsid w:val="00AB3117"/>
    <w:rsid w:val="00AB3FCF"/>
    <w:rsid w:val="00AB409F"/>
    <w:rsid w:val="00AB4626"/>
    <w:rsid w:val="00AB6196"/>
    <w:rsid w:val="00AB62EF"/>
    <w:rsid w:val="00AB635B"/>
    <w:rsid w:val="00AB66DD"/>
    <w:rsid w:val="00AB728D"/>
    <w:rsid w:val="00AC09A1"/>
    <w:rsid w:val="00AC1324"/>
    <w:rsid w:val="00AC17CF"/>
    <w:rsid w:val="00AC1943"/>
    <w:rsid w:val="00AC1A9C"/>
    <w:rsid w:val="00AC1EBC"/>
    <w:rsid w:val="00AC200A"/>
    <w:rsid w:val="00AC21A4"/>
    <w:rsid w:val="00AC2517"/>
    <w:rsid w:val="00AC2C84"/>
    <w:rsid w:val="00AC2D72"/>
    <w:rsid w:val="00AC342F"/>
    <w:rsid w:val="00AC3B8E"/>
    <w:rsid w:val="00AC3F18"/>
    <w:rsid w:val="00AC4CB6"/>
    <w:rsid w:val="00AC545D"/>
    <w:rsid w:val="00AC60A7"/>
    <w:rsid w:val="00AC61A3"/>
    <w:rsid w:val="00AC6713"/>
    <w:rsid w:val="00AC6AC7"/>
    <w:rsid w:val="00AC6C6A"/>
    <w:rsid w:val="00AC6FCA"/>
    <w:rsid w:val="00AC74A7"/>
    <w:rsid w:val="00AC7D14"/>
    <w:rsid w:val="00AD1162"/>
    <w:rsid w:val="00AD1682"/>
    <w:rsid w:val="00AD262D"/>
    <w:rsid w:val="00AD2BDE"/>
    <w:rsid w:val="00AD3D7D"/>
    <w:rsid w:val="00AD4D9C"/>
    <w:rsid w:val="00AD5B0C"/>
    <w:rsid w:val="00AD61C8"/>
    <w:rsid w:val="00AD7F9D"/>
    <w:rsid w:val="00AE0100"/>
    <w:rsid w:val="00AE0183"/>
    <w:rsid w:val="00AE0AEB"/>
    <w:rsid w:val="00AE1650"/>
    <w:rsid w:val="00AE1847"/>
    <w:rsid w:val="00AE18D3"/>
    <w:rsid w:val="00AE1B75"/>
    <w:rsid w:val="00AE1E2A"/>
    <w:rsid w:val="00AE34EF"/>
    <w:rsid w:val="00AE3DDF"/>
    <w:rsid w:val="00AE4180"/>
    <w:rsid w:val="00AE42B3"/>
    <w:rsid w:val="00AE4CB9"/>
    <w:rsid w:val="00AE5041"/>
    <w:rsid w:val="00AE54DB"/>
    <w:rsid w:val="00AE5B99"/>
    <w:rsid w:val="00AE5D00"/>
    <w:rsid w:val="00AE6DB5"/>
    <w:rsid w:val="00AE794A"/>
    <w:rsid w:val="00AE7D9D"/>
    <w:rsid w:val="00AE7F15"/>
    <w:rsid w:val="00AF0766"/>
    <w:rsid w:val="00AF09C4"/>
    <w:rsid w:val="00AF0D76"/>
    <w:rsid w:val="00AF1088"/>
    <w:rsid w:val="00AF139D"/>
    <w:rsid w:val="00AF15A9"/>
    <w:rsid w:val="00AF194D"/>
    <w:rsid w:val="00AF20EA"/>
    <w:rsid w:val="00AF2251"/>
    <w:rsid w:val="00AF30FA"/>
    <w:rsid w:val="00AF31BA"/>
    <w:rsid w:val="00AF3208"/>
    <w:rsid w:val="00AF32F4"/>
    <w:rsid w:val="00AF3736"/>
    <w:rsid w:val="00AF3BF0"/>
    <w:rsid w:val="00AF3DFC"/>
    <w:rsid w:val="00AF4452"/>
    <w:rsid w:val="00AF4FDB"/>
    <w:rsid w:val="00AF5132"/>
    <w:rsid w:val="00AF6214"/>
    <w:rsid w:val="00AF6ACA"/>
    <w:rsid w:val="00AF724D"/>
    <w:rsid w:val="00AF7990"/>
    <w:rsid w:val="00B009B3"/>
    <w:rsid w:val="00B00D0C"/>
    <w:rsid w:val="00B01D9F"/>
    <w:rsid w:val="00B01E4A"/>
    <w:rsid w:val="00B021CF"/>
    <w:rsid w:val="00B02452"/>
    <w:rsid w:val="00B02CAE"/>
    <w:rsid w:val="00B033EC"/>
    <w:rsid w:val="00B03438"/>
    <w:rsid w:val="00B03564"/>
    <w:rsid w:val="00B03B81"/>
    <w:rsid w:val="00B04B20"/>
    <w:rsid w:val="00B0557A"/>
    <w:rsid w:val="00B05ACF"/>
    <w:rsid w:val="00B05D03"/>
    <w:rsid w:val="00B06D5F"/>
    <w:rsid w:val="00B06F9D"/>
    <w:rsid w:val="00B07B38"/>
    <w:rsid w:val="00B07F01"/>
    <w:rsid w:val="00B1023D"/>
    <w:rsid w:val="00B105D6"/>
    <w:rsid w:val="00B10D99"/>
    <w:rsid w:val="00B10DC8"/>
    <w:rsid w:val="00B12093"/>
    <w:rsid w:val="00B142C3"/>
    <w:rsid w:val="00B1471F"/>
    <w:rsid w:val="00B14C1C"/>
    <w:rsid w:val="00B153A2"/>
    <w:rsid w:val="00B155D6"/>
    <w:rsid w:val="00B15A1C"/>
    <w:rsid w:val="00B15ABC"/>
    <w:rsid w:val="00B15E51"/>
    <w:rsid w:val="00B16133"/>
    <w:rsid w:val="00B16E1D"/>
    <w:rsid w:val="00B177B6"/>
    <w:rsid w:val="00B17CEF"/>
    <w:rsid w:val="00B20289"/>
    <w:rsid w:val="00B2047C"/>
    <w:rsid w:val="00B205EE"/>
    <w:rsid w:val="00B20A2B"/>
    <w:rsid w:val="00B20E62"/>
    <w:rsid w:val="00B21124"/>
    <w:rsid w:val="00B219C7"/>
    <w:rsid w:val="00B223B7"/>
    <w:rsid w:val="00B24379"/>
    <w:rsid w:val="00B24C17"/>
    <w:rsid w:val="00B257DB"/>
    <w:rsid w:val="00B2598E"/>
    <w:rsid w:val="00B259F7"/>
    <w:rsid w:val="00B267ED"/>
    <w:rsid w:val="00B2701A"/>
    <w:rsid w:val="00B27966"/>
    <w:rsid w:val="00B27B55"/>
    <w:rsid w:val="00B301B7"/>
    <w:rsid w:val="00B30487"/>
    <w:rsid w:val="00B31B8E"/>
    <w:rsid w:val="00B32165"/>
    <w:rsid w:val="00B32210"/>
    <w:rsid w:val="00B33E93"/>
    <w:rsid w:val="00B3407A"/>
    <w:rsid w:val="00B34739"/>
    <w:rsid w:val="00B347C3"/>
    <w:rsid w:val="00B347C8"/>
    <w:rsid w:val="00B34859"/>
    <w:rsid w:val="00B34DD9"/>
    <w:rsid w:val="00B34FAB"/>
    <w:rsid w:val="00B35A26"/>
    <w:rsid w:val="00B35BE9"/>
    <w:rsid w:val="00B366AE"/>
    <w:rsid w:val="00B36BC5"/>
    <w:rsid w:val="00B3703E"/>
    <w:rsid w:val="00B37273"/>
    <w:rsid w:val="00B37A5B"/>
    <w:rsid w:val="00B37BB6"/>
    <w:rsid w:val="00B37F76"/>
    <w:rsid w:val="00B37FD5"/>
    <w:rsid w:val="00B418C9"/>
    <w:rsid w:val="00B41B10"/>
    <w:rsid w:val="00B4239D"/>
    <w:rsid w:val="00B4254D"/>
    <w:rsid w:val="00B42961"/>
    <w:rsid w:val="00B42994"/>
    <w:rsid w:val="00B4433F"/>
    <w:rsid w:val="00B454F5"/>
    <w:rsid w:val="00B45B2C"/>
    <w:rsid w:val="00B45D00"/>
    <w:rsid w:val="00B45EF9"/>
    <w:rsid w:val="00B45F49"/>
    <w:rsid w:val="00B460AB"/>
    <w:rsid w:val="00B46A37"/>
    <w:rsid w:val="00B47482"/>
    <w:rsid w:val="00B477E5"/>
    <w:rsid w:val="00B47BD7"/>
    <w:rsid w:val="00B5047F"/>
    <w:rsid w:val="00B5063A"/>
    <w:rsid w:val="00B50B1C"/>
    <w:rsid w:val="00B51B1F"/>
    <w:rsid w:val="00B51F8D"/>
    <w:rsid w:val="00B52266"/>
    <w:rsid w:val="00B5355B"/>
    <w:rsid w:val="00B53BE4"/>
    <w:rsid w:val="00B551EC"/>
    <w:rsid w:val="00B55898"/>
    <w:rsid w:val="00B5668E"/>
    <w:rsid w:val="00B5725B"/>
    <w:rsid w:val="00B57919"/>
    <w:rsid w:val="00B57ECA"/>
    <w:rsid w:val="00B6024B"/>
    <w:rsid w:val="00B6068B"/>
    <w:rsid w:val="00B60E10"/>
    <w:rsid w:val="00B6167A"/>
    <w:rsid w:val="00B62289"/>
    <w:rsid w:val="00B6286C"/>
    <w:rsid w:val="00B63B16"/>
    <w:rsid w:val="00B63F58"/>
    <w:rsid w:val="00B64B35"/>
    <w:rsid w:val="00B6564A"/>
    <w:rsid w:val="00B6587A"/>
    <w:rsid w:val="00B6656B"/>
    <w:rsid w:val="00B66782"/>
    <w:rsid w:val="00B67FE2"/>
    <w:rsid w:val="00B702A0"/>
    <w:rsid w:val="00B704E6"/>
    <w:rsid w:val="00B71C4E"/>
    <w:rsid w:val="00B72247"/>
    <w:rsid w:val="00B72299"/>
    <w:rsid w:val="00B72944"/>
    <w:rsid w:val="00B731B4"/>
    <w:rsid w:val="00B734AA"/>
    <w:rsid w:val="00B73D4B"/>
    <w:rsid w:val="00B74AFF"/>
    <w:rsid w:val="00B74B0C"/>
    <w:rsid w:val="00B74E39"/>
    <w:rsid w:val="00B75622"/>
    <w:rsid w:val="00B759E1"/>
    <w:rsid w:val="00B766FA"/>
    <w:rsid w:val="00B7711D"/>
    <w:rsid w:val="00B77427"/>
    <w:rsid w:val="00B77448"/>
    <w:rsid w:val="00B776D9"/>
    <w:rsid w:val="00B77A99"/>
    <w:rsid w:val="00B77C43"/>
    <w:rsid w:val="00B801DC"/>
    <w:rsid w:val="00B8044F"/>
    <w:rsid w:val="00B81673"/>
    <w:rsid w:val="00B82328"/>
    <w:rsid w:val="00B826AB"/>
    <w:rsid w:val="00B82C4E"/>
    <w:rsid w:val="00B82CF3"/>
    <w:rsid w:val="00B82D9C"/>
    <w:rsid w:val="00B83493"/>
    <w:rsid w:val="00B83B46"/>
    <w:rsid w:val="00B842A3"/>
    <w:rsid w:val="00B84E1C"/>
    <w:rsid w:val="00B86771"/>
    <w:rsid w:val="00B872F5"/>
    <w:rsid w:val="00B87517"/>
    <w:rsid w:val="00B8786A"/>
    <w:rsid w:val="00B87CB6"/>
    <w:rsid w:val="00B87D92"/>
    <w:rsid w:val="00B90026"/>
    <w:rsid w:val="00B9033E"/>
    <w:rsid w:val="00B9040C"/>
    <w:rsid w:val="00B9166B"/>
    <w:rsid w:val="00B92020"/>
    <w:rsid w:val="00B92985"/>
    <w:rsid w:val="00B92B09"/>
    <w:rsid w:val="00B92C38"/>
    <w:rsid w:val="00B9346C"/>
    <w:rsid w:val="00B93750"/>
    <w:rsid w:val="00B94383"/>
    <w:rsid w:val="00B9482F"/>
    <w:rsid w:val="00B9484F"/>
    <w:rsid w:val="00B94859"/>
    <w:rsid w:val="00B94E56"/>
    <w:rsid w:val="00B94F75"/>
    <w:rsid w:val="00B94FD8"/>
    <w:rsid w:val="00B96667"/>
    <w:rsid w:val="00B9675E"/>
    <w:rsid w:val="00B97018"/>
    <w:rsid w:val="00B97DF6"/>
    <w:rsid w:val="00BA0499"/>
    <w:rsid w:val="00BA09F8"/>
    <w:rsid w:val="00BA0E95"/>
    <w:rsid w:val="00BA11E5"/>
    <w:rsid w:val="00BA16BC"/>
    <w:rsid w:val="00BA1C1D"/>
    <w:rsid w:val="00BA21BC"/>
    <w:rsid w:val="00BA2773"/>
    <w:rsid w:val="00BA29E0"/>
    <w:rsid w:val="00BA330B"/>
    <w:rsid w:val="00BA363A"/>
    <w:rsid w:val="00BA37E3"/>
    <w:rsid w:val="00BA422F"/>
    <w:rsid w:val="00BA460C"/>
    <w:rsid w:val="00BA4765"/>
    <w:rsid w:val="00BA4C45"/>
    <w:rsid w:val="00BA5189"/>
    <w:rsid w:val="00BA5520"/>
    <w:rsid w:val="00BA5880"/>
    <w:rsid w:val="00BA5A54"/>
    <w:rsid w:val="00BA6681"/>
    <w:rsid w:val="00BA6871"/>
    <w:rsid w:val="00BA6874"/>
    <w:rsid w:val="00BA6CDA"/>
    <w:rsid w:val="00BA6D10"/>
    <w:rsid w:val="00BA7BAB"/>
    <w:rsid w:val="00BA7CBB"/>
    <w:rsid w:val="00BB0092"/>
    <w:rsid w:val="00BB02D1"/>
    <w:rsid w:val="00BB036E"/>
    <w:rsid w:val="00BB0634"/>
    <w:rsid w:val="00BB0D9A"/>
    <w:rsid w:val="00BB2A20"/>
    <w:rsid w:val="00BB2C5F"/>
    <w:rsid w:val="00BB2DB0"/>
    <w:rsid w:val="00BB35CB"/>
    <w:rsid w:val="00BB4744"/>
    <w:rsid w:val="00BB48FD"/>
    <w:rsid w:val="00BB5184"/>
    <w:rsid w:val="00BB53A1"/>
    <w:rsid w:val="00BB5873"/>
    <w:rsid w:val="00BB603A"/>
    <w:rsid w:val="00BB66FC"/>
    <w:rsid w:val="00BB6DC5"/>
    <w:rsid w:val="00BB6DEE"/>
    <w:rsid w:val="00BB7858"/>
    <w:rsid w:val="00BC0E17"/>
    <w:rsid w:val="00BC0F5A"/>
    <w:rsid w:val="00BC138C"/>
    <w:rsid w:val="00BC13BF"/>
    <w:rsid w:val="00BC1C1D"/>
    <w:rsid w:val="00BC2B86"/>
    <w:rsid w:val="00BC2D08"/>
    <w:rsid w:val="00BC2D7A"/>
    <w:rsid w:val="00BC2E5A"/>
    <w:rsid w:val="00BC383B"/>
    <w:rsid w:val="00BC3CED"/>
    <w:rsid w:val="00BC438D"/>
    <w:rsid w:val="00BC498F"/>
    <w:rsid w:val="00BC4AE7"/>
    <w:rsid w:val="00BC5C03"/>
    <w:rsid w:val="00BC5C0A"/>
    <w:rsid w:val="00BC6FE0"/>
    <w:rsid w:val="00BC7799"/>
    <w:rsid w:val="00BC7EC0"/>
    <w:rsid w:val="00BD004D"/>
    <w:rsid w:val="00BD04F8"/>
    <w:rsid w:val="00BD0D28"/>
    <w:rsid w:val="00BD1897"/>
    <w:rsid w:val="00BD18EF"/>
    <w:rsid w:val="00BD1B9D"/>
    <w:rsid w:val="00BD2192"/>
    <w:rsid w:val="00BD382F"/>
    <w:rsid w:val="00BD38ED"/>
    <w:rsid w:val="00BD3D1F"/>
    <w:rsid w:val="00BD3E50"/>
    <w:rsid w:val="00BD3F47"/>
    <w:rsid w:val="00BD437D"/>
    <w:rsid w:val="00BD4F80"/>
    <w:rsid w:val="00BD6459"/>
    <w:rsid w:val="00BD6C48"/>
    <w:rsid w:val="00BD6C98"/>
    <w:rsid w:val="00BD6DF3"/>
    <w:rsid w:val="00BD76E1"/>
    <w:rsid w:val="00BE01A6"/>
    <w:rsid w:val="00BE04F5"/>
    <w:rsid w:val="00BE143C"/>
    <w:rsid w:val="00BE1594"/>
    <w:rsid w:val="00BE1E14"/>
    <w:rsid w:val="00BE212B"/>
    <w:rsid w:val="00BE2343"/>
    <w:rsid w:val="00BE254E"/>
    <w:rsid w:val="00BE3095"/>
    <w:rsid w:val="00BE3403"/>
    <w:rsid w:val="00BE35F1"/>
    <w:rsid w:val="00BE4B6F"/>
    <w:rsid w:val="00BE4B71"/>
    <w:rsid w:val="00BE4C46"/>
    <w:rsid w:val="00BE59F9"/>
    <w:rsid w:val="00BE74B3"/>
    <w:rsid w:val="00BE7EE7"/>
    <w:rsid w:val="00BF1567"/>
    <w:rsid w:val="00BF1B70"/>
    <w:rsid w:val="00BF2975"/>
    <w:rsid w:val="00BF36E8"/>
    <w:rsid w:val="00BF3A22"/>
    <w:rsid w:val="00BF3EF7"/>
    <w:rsid w:val="00BF419A"/>
    <w:rsid w:val="00BF43D4"/>
    <w:rsid w:val="00BF4AE9"/>
    <w:rsid w:val="00BF4D9D"/>
    <w:rsid w:val="00BF5317"/>
    <w:rsid w:val="00BF5A28"/>
    <w:rsid w:val="00BF5A33"/>
    <w:rsid w:val="00BF5B37"/>
    <w:rsid w:val="00BF6638"/>
    <w:rsid w:val="00BF691E"/>
    <w:rsid w:val="00BF6B28"/>
    <w:rsid w:val="00BF6CDF"/>
    <w:rsid w:val="00BF6E50"/>
    <w:rsid w:val="00BF77EC"/>
    <w:rsid w:val="00BF782B"/>
    <w:rsid w:val="00BF7ED9"/>
    <w:rsid w:val="00C01127"/>
    <w:rsid w:val="00C0120F"/>
    <w:rsid w:val="00C019BA"/>
    <w:rsid w:val="00C019C0"/>
    <w:rsid w:val="00C01D97"/>
    <w:rsid w:val="00C01E67"/>
    <w:rsid w:val="00C026C3"/>
    <w:rsid w:val="00C0275D"/>
    <w:rsid w:val="00C02DBD"/>
    <w:rsid w:val="00C03606"/>
    <w:rsid w:val="00C0368C"/>
    <w:rsid w:val="00C04355"/>
    <w:rsid w:val="00C0483D"/>
    <w:rsid w:val="00C04A49"/>
    <w:rsid w:val="00C05B8D"/>
    <w:rsid w:val="00C067E9"/>
    <w:rsid w:val="00C072E2"/>
    <w:rsid w:val="00C076BF"/>
    <w:rsid w:val="00C079B9"/>
    <w:rsid w:val="00C07A6C"/>
    <w:rsid w:val="00C1023D"/>
    <w:rsid w:val="00C1037A"/>
    <w:rsid w:val="00C10FB2"/>
    <w:rsid w:val="00C11103"/>
    <w:rsid w:val="00C11CD8"/>
    <w:rsid w:val="00C12096"/>
    <w:rsid w:val="00C1271F"/>
    <w:rsid w:val="00C127AC"/>
    <w:rsid w:val="00C13FEC"/>
    <w:rsid w:val="00C14367"/>
    <w:rsid w:val="00C15E69"/>
    <w:rsid w:val="00C16200"/>
    <w:rsid w:val="00C16F09"/>
    <w:rsid w:val="00C200A7"/>
    <w:rsid w:val="00C21A2A"/>
    <w:rsid w:val="00C21CF9"/>
    <w:rsid w:val="00C21FCA"/>
    <w:rsid w:val="00C2216D"/>
    <w:rsid w:val="00C226EB"/>
    <w:rsid w:val="00C22AAD"/>
    <w:rsid w:val="00C22BFB"/>
    <w:rsid w:val="00C22F4F"/>
    <w:rsid w:val="00C2408F"/>
    <w:rsid w:val="00C24480"/>
    <w:rsid w:val="00C2453E"/>
    <w:rsid w:val="00C24C31"/>
    <w:rsid w:val="00C25153"/>
    <w:rsid w:val="00C2522D"/>
    <w:rsid w:val="00C25627"/>
    <w:rsid w:val="00C26CCB"/>
    <w:rsid w:val="00C26F42"/>
    <w:rsid w:val="00C2722B"/>
    <w:rsid w:val="00C278ED"/>
    <w:rsid w:val="00C27B34"/>
    <w:rsid w:val="00C302FA"/>
    <w:rsid w:val="00C3120D"/>
    <w:rsid w:val="00C3179E"/>
    <w:rsid w:val="00C32469"/>
    <w:rsid w:val="00C32A30"/>
    <w:rsid w:val="00C336E7"/>
    <w:rsid w:val="00C33E41"/>
    <w:rsid w:val="00C33F6B"/>
    <w:rsid w:val="00C33FC6"/>
    <w:rsid w:val="00C34013"/>
    <w:rsid w:val="00C3416A"/>
    <w:rsid w:val="00C342B0"/>
    <w:rsid w:val="00C34652"/>
    <w:rsid w:val="00C34B44"/>
    <w:rsid w:val="00C34E82"/>
    <w:rsid w:val="00C35768"/>
    <w:rsid w:val="00C35AA8"/>
    <w:rsid w:val="00C365F2"/>
    <w:rsid w:val="00C36996"/>
    <w:rsid w:val="00C36B6B"/>
    <w:rsid w:val="00C376AB"/>
    <w:rsid w:val="00C37FC7"/>
    <w:rsid w:val="00C408F4"/>
    <w:rsid w:val="00C40998"/>
    <w:rsid w:val="00C41142"/>
    <w:rsid w:val="00C41FE2"/>
    <w:rsid w:val="00C4247B"/>
    <w:rsid w:val="00C42566"/>
    <w:rsid w:val="00C441DD"/>
    <w:rsid w:val="00C45089"/>
    <w:rsid w:val="00C45264"/>
    <w:rsid w:val="00C453A4"/>
    <w:rsid w:val="00C453BE"/>
    <w:rsid w:val="00C45E75"/>
    <w:rsid w:val="00C4649F"/>
    <w:rsid w:val="00C468F6"/>
    <w:rsid w:val="00C470D2"/>
    <w:rsid w:val="00C476A7"/>
    <w:rsid w:val="00C4783F"/>
    <w:rsid w:val="00C478EB"/>
    <w:rsid w:val="00C47DC9"/>
    <w:rsid w:val="00C51D15"/>
    <w:rsid w:val="00C51D65"/>
    <w:rsid w:val="00C52462"/>
    <w:rsid w:val="00C526AA"/>
    <w:rsid w:val="00C52774"/>
    <w:rsid w:val="00C528C1"/>
    <w:rsid w:val="00C52DC3"/>
    <w:rsid w:val="00C52FD2"/>
    <w:rsid w:val="00C536C2"/>
    <w:rsid w:val="00C53901"/>
    <w:rsid w:val="00C53F72"/>
    <w:rsid w:val="00C53F9A"/>
    <w:rsid w:val="00C5434F"/>
    <w:rsid w:val="00C54358"/>
    <w:rsid w:val="00C555C9"/>
    <w:rsid w:val="00C56102"/>
    <w:rsid w:val="00C5686C"/>
    <w:rsid w:val="00C57E90"/>
    <w:rsid w:val="00C57ED1"/>
    <w:rsid w:val="00C61254"/>
    <w:rsid w:val="00C61275"/>
    <w:rsid w:val="00C61821"/>
    <w:rsid w:val="00C61F80"/>
    <w:rsid w:val="00C6200F"/>
    <w:rsid w:val="00C62485"/>
    <w:rsid w:val="00C62594"/>
    <w:rsid w:val="00C62690"/>
    <w:rsid w:val="00C6275E"/>
    <w:rsid w:val="00C62F77"/>
    <w:rsid w:val="00C648DD"/>
    <w:rsid w:val="00C650A4"/>
    <w:rsid w:val="00C652D1"/>
    <w:rsid w:val="00C65A4F"/>
    <w:rsid w:val="00C6674B"/>
    <w:rsid w:val="00C66D5D"/>
    <w:rsid w:val="00C670BF"/>
    <w:rsid w:val="00C6788C"/>
    <w:rsid w:val="00C678A4"/>
    <w:rsid w:val="00C67A76"/>
    <w:rsid w:val="00C67CC9"/>
    <w:rsid w:val="00C7066E"/>
    <w:rsid w:val="00C709B4"/>
    <w:rsid w:val="00C70C65"/>
    <w:rsid w:val="00C71AFF"/>
    <w:rsid w:val="00C7274D"/>
    <w:rsid w:val="00C73574"/>
    <w:rsid w:val="00C735C5"/>
    <w:rsid w:val="00C73925"/>
    <w:rsid w:val="00C73EDD"/>
    <w:rsid w:val="00C74819"/>
    <w:rsid w:val="00C7499F"/>
    <w:rsid w:val="00C74A79"/>
    <w:rsid w:val="00C74BCF"/>
    <w:rsid w:val="00C74E19"/>
    <w:rsid w:val="00C75386"/>
    <w:rsid w:val="00C758FD"/>
    <w:rsid w:val="00C7686D"/>
    <w:rsid w:val="00C76A46"/>
    <w:rsid w:val="00C76A87"/>
    <w:rsid w:val="00C76B51"/>
    <w:rsid w:val="00C76E42"/>
    <w:rsid w:val="00C77721"/>
    <w:rsid w:val="00C8054D"/>
    <w:rsid w:val="00C81539"/>
    <w:rsid w:val="00C83452"/>
    <w:rsid w:val="00C836A5"/>
    <w:rsid w:val="00C83DA4"/>
    <w:rsid w:val="00C83F70"/>
    <w:rsid w:val="00C846A3"/>
    <w:rsid w:val="00C849BB"/>
    <w:rsid w:val="00C84C02"/>
    <w:rsid w:val="00C85236"/>
    <w:rsid w:val="00C85C10"/>
    <w:rsid w:val="00C85D23"/>
    <w:rsid w:val="00C86748"/>
    <w:rsid w:val="00C87565"/>
    <w:rsid w:val="00C87682"/>
    <w:rsid w:val="00C878C0"/>
    <w:rsid w:val="00C90BC2"/>
    <w:rsid w:val="00C92110"/>
    <w:rsid w:val="00C92475"/>
    <w:rsid w:val="00C93460"/>
    <w:rsid w:val="00C93B55"/>
    <w:rsid w:val="00C93DB5"/>
    <w:rsid w:val="00C9404D"/>
    <w:rsid w:val="00C94869"/>
    <w:rsid w:val="00C94B67"/>
    <w:rsid w:val="00C9512A"/>
    <w:rsid w:val="00C95451"/>
    <w:rsid w:val="00C957FF"/>
    <w:rsid w:val="00C96978"/>
    <w:rsid w:val="00C96BFF"/>
    <w:rsid w:val="00C975F2"/>
    <w:rsid w:val="00CA0271"/>
    <w:rsid w:val="00CA08C9"/>
    <w:rsid w:val="00CA0C3E"/>
    <w:rsid w:val="00CA2684"/>
    <w:rsid w:val="00CA397F"/>
    <w:rsid w:val="00CA3987"/>
    <w:rsid w:val="00CA4526"/>
    <w:rsid w:val="00CA49C1"/>
    <w:rsid w:val="00CA5289"/>
    <w:rsid w:val="00CA5508"/>
    <w:rsid w:val="00CA5D90"/>
    <w:rsid w:val="00CA5DCE"/>
    <w:rsid w:val="00CA6032"/>
    <w:rsid w:val="00CA68DB"/>
    <w:rsid w:val="00CA6BA6"/>
    <w:rsid w:val="00CA6CB3"/>
    <w:rsid w:val="00CA6CE4"/>
    <w:rsid w:val="00CA6FF1"/>
    <w:rsid w:val="00CA7223"/>
    <w:rsid w:val="00CA7363"/>
    <w:rsid w:val="00CA7545"/>
    <w:rsid w:val="00CA7816"/>
    <w:rsid w:val="00CA7A24"/>
    <w:rsid w:val="00CA7E29"/>
    <w:rsid w:val="00CB0D83"/>
    <w:rsid w:val="00CB1D14"/>
    <w:rsid w:val="00CB200D"/>
    <w:rsid w:val="00CB207C"/>
    <w:rsid w:val="00CB2981"/>
    <w:rsid w:val="00CB359D"/>
    <w:rsid w:val="00CB3D79"/>
    <w:rsid w:val="00CB43FE"/>
    <w:rsid w:val="00CB58BD"/>
    <w:rsid w:val="00CB5DFD"/>
    <w:rsid w:val="00CB62A7"/>
    <w:rsid w:val="00CB62B0"/>
    <w:rsid w:val="00CB7762"/>
    <w:rsid w:val="00CB7A50"/>
    <w:rsid w:val="00CB7D3B"/>
    <w:rsid w:val="00CB7ED3"/>
    <w:rsid w:val="00CC0501"/>
    <w:rsid w:val="00CC09CA"/>
    <w:rsid w:val="00CC0E69"/>
    <w:rsid w:val="00CC1792"/>
    <w:rsid w:val="00CC1A96"/>
    <w:rsid w:val="00CC1D73"/>
    <w:rsid w:val="00CC2604"/>
    <w:rsid w:val="00CC3E79"/>
    <w:rsid w:val="00CC441B"/>
    <w:rsid w:val="00CC45DF"/>
    <w:rsid w:val="00CC4C29"/>
    <w:rsid w:val="00CC4D89"/>
    <w:rsid w:val="00CC4E07"/>
    <w:rsid w:val="00CC6765"/>
    <w:rsid w:val="00CC700A"/>
    <w:rsid w:val="00CC73D1"/>
    <w:rsid w:val="00CD04C3"/>
    <w:rsid w:val="00CD10ED"/>
    <w:rsid w:val="00CD247E"/>
    <w:rsid w:val="00CD2937"/>
    <w:rsid w:val="00CD344E"/>
    <w:rsid w:val="00CD36AF"/>
    <w:rsid w:val="00CD3890"/>
    <w:rsid w:val="00CD4156"/>
    <w:rsid w:val="00CD4EBB"/>
    <w:rsid w:val="00CD5D8A"/>
    <w:rsid w:val="00CD6680"/>
    <w:rsid w:val="00CD67EE"/>
    <w:rsid w:val="00CD6865"/>
    <w:rsid w:val="00CD68EC"/>
    <w:rsid w:val="00CD6ADC"/>
    <w:rsid w:val="00CE0376"/>
    <w:rsid w:val="00CE03E8"/>
    <w:rsid w:val="00CE0943"/>
    <w:rsid w:val="00CE0C72"/>
    <w:rsid w:val="00CE155B"/>
    <w:rsid w:val="00CE1C44"/>
    <w:rsid w:val="00CE1D26"/>
    <w:rsid w:val="00CE1D61"/>
    <w:rsid w:val="00CE249B"/>
    <w:rsid w:val="00CE2633"/>
    <w:rsid w:val="00CE40DF"/>
    <w:rsid w:val="00CE4615"/>
    <w:rsid w:val="00CE56BE"/>
    <w:rsid w:val="00CE5752"/>
    <w:rsid w:val="00CE58E0"/>
    <w:rsid w:val="00CE5F75"/>
    <w:rsid w:val="00CE5F94"/>
    <w:rsid w:val="00CE64ED"/>
    <w:rsid w:val="00CE6590"/>
    <w:rsid w:val="00CE68E3"/>
    <w:rsid w:val="00CE69A1"/>
    <w:rsid w:val="00CE7303"/>
    <w:rsid w:val="00CE75CD"/>
    <w:rsid w:val="00CF1B1F"/>
    <w:rsid w:val="00CF2401"/>
    <w:rsid w:val="00CF2D0B"/>
    <w:rsid w:val="00CF3E04"/>
    <w:rsid w:val="00CF4FFC"/>
    <w:rsid w:val="00CF5327"/>
    <w:rsid w:val="00CF5972"/>
    <w:rsid w:val="00CF6622"/>
    <w:rsid w:val="00CF771B"/>
    <w:rsid w:val="00D003D9"/>
    <w:rsid w:val="00D0058E"/>
    <w:rsid w:val="00D00C16"/>
    <w:rsid w:val="00D01266"/>
    <w:rsid w:val="00D0134D"/>
    <w:rsid w:val="00D01427"/>
    <w:rsid w:val="00D01AAA"/>
    <w:rsid w:val="00D023F5"/>
    <w:rsid w:val="00D03018"/>
    <w:rsid w:val="00D03ACF"/>
    <w:rsid w:val="00D03C6C"/>
    <w:rsid w:val="00D04AFF"/>
    <w:rsid w:val="00D04C3E"/>
    <w:rsid w:val="00D04EEA"/>
    <w:rsid w:val="00D05BC6"/>
    <w:rsid w:val="00D05F05"/>
    <w:rsid w:val="00D06C80"/>
    <w:rsid w:val="00D0758A"/>
    <w:rsid w:val="00D1028D"/>
    <w:rsid w:val="00D10E0F"/>
    <w:rsid w:val="00D1138C"/>
    <w:rsid w:val="00D1225D"/>
    <w:rsid w:val="00D124EA"/>
    <w:rsid w:val="00D12763"/>
    <w:rsid w:val="00D131F5"/>
    <w:rsid w:val="00D1392D"/>
    <w:rsid w:val="00D1437B"/>
    <w:rsid w:val="00D15250"/>
    <w:rsid w:val="00D16509"/>
    <w:rsid w:val="00D16DEC"/>
    <w:rsid w:val="00D2020A"/>
    <w:rsid w:val="00D22147"/>
    <w:rsid w:val="00D22CDB"/>
    <w:rsid w:val="00D22E23"/>
    <w:rsid w:val="00D23B2F"/>
    <w:rsid w:val="00D23BC2"/>
    <w:rsid w:val="00D25A0F"/>
    <w:rsid w:val="00D25B5D"/>
    <w:rsid w:val="00D25BC8"/>
    <w:rsid w:val="00D25F30"/>
    <w:rsid w:val="00D262CD"/>
    <w:rsid w:val="00D26539"/>
    <w:rsid w:val="00D26AC9"/>
    <w:rsid w:val="00D27D6D"/>
    <w:rsid w:val="00D300DD"/>
    <w:rsid w:val="00D3043E"/>
    <w:rsid w:val="00D306D1"/>
    <w:rsid w:val="00D30F72"/>
    <w:rsid w:val="00D31112"/>
    <w:rsid w:val="00D31CE7"/>
    <w:rsid w:val="00D32350"/>
    <w:rsid w:val="00D3262D"/>
    <w:rsid w:val="00D3278A"/>
    <w:rsid w:val="00D328DD"/>
    <w:rsid w:val="00D32C2B"/>
    <w:rsid w:val="00D3332A"/>
    <w:rsid w:val="00D333D1"/>
    <w:rsid w:val="00D33581"/>
    <w:rsid w:val="00D3372A"/>
    <w:rsid w:val="00D33EA6"/>
    <w:rsid w:val="00D34B10"/>
    <w:rsid w:val="00D34CBA"/>
    <w:rsid w:val="00D35CD2"/>
    <w:rsid w:val="00D35E4A"/>
    <w:rsid w:val="00D36C33"/>
    <w:rsid w:val="00D37D67"/>
    <w:rsid w:val="00D40C3E"/>
    <w:rsid w:val="00D40E2A"/>
    <w:rsid w:val="00D4148D"/>
    <w:rsid w:val="00D417D7"/>
    <w:rsid w:val="00D41B80"/>
    <w:rsid w:val="00D41D0E"/>
    <w:rsid w:val="00D41D73"/>
    <w:rsid w:val="00D43218"/>
    <w:rsid w:val="00D4329A"/>
    <w:rsid w:val="00D43A55"/>
    <w:rsid w:val="00D4402E"/>
    <w:rsid w:val="00D4410D"/>
    <w:rsid w:val="00D44115"/>
    <w:rsid w:val="00D44BEF"/>
    <w:rsid w:val="00D459DE"/>
    <w:rsid w:val="00D46414"/>
    <w:rsid w:val="00D4698D"/>
    <w:rsid w:val="00D47000"/>
    <w:rsid w:val="00D47051"/>
    <w:rsid w:val="00D47D9C"/>
    <w:rsid w:val="00D50503"/>
    <w:rsid w:val="00D50FF4"/>
    <w:rsid w:val="00D5188A"/>
    <w:rsid w:val="00D518C1"/>
    <w:rsid w:val="00D51F04"/>
    <w:rsid w:val="00D51F3E"/>
    <w:rsid w:val="00D5237A"/>
    <w:rsid w:val="00D52444"/>
    <w:rsid w:val="00D53B86"/>
    <w:rsid w:val="00D546E1"/>
    <w:rsid w:val="00D54D3E"/>
    <w:rsid w:val="00D5525A"/>
    <w:rsid w:val="00D55490"/>
    <w:rsid w:val="00D55BA2"/>
    <w:rsid w:val="00D5619A"/>
    <w:rsid w:val="00D56512"/>
    <w:rsid w:val="00D57309"/>
    <w:rsid w:val="00D60A3F"/>
    <w:rsid w:val="00D60C62"/>
    <w:rsid w:val="00D6125C"/>
    <w:rsid w:val="00D61AE6"/>
    <w:rsid w:val="00D61E01"/>
    <w:rsid w:val="00D61E8D"/>
    <w:rsid w:val="00D62EFA"/>
    <w:rsid w:val="00D6362E"/>
    <w:rsid w:val="00D63FF8"/>
    <w:rsid w:val="00D6465E"/>
    <w:rsid w:val="00D64906"/>
    <w:rsid w:val="00D64A80"/>
    <w:rsid w:val="00D653C4"/>
    <w:rsid w:val="00D65436"/>
    <w:rsid w:val="00D65564"/>
    <w:rsid w:val="00D65738"/>
    <w:rsid w:val="00D65EA4"/>
    <w:rsid w:val="00D65F54"/>
    <w:rsid w:val="00D662B8"/>
    <w:rsid w:val="00D710E9"/>
    <w:rsid w:val="00D710ED"/>
    <w:rsid w:val="00D72DD6"/>
    <w:rsid w:val="00D735E1"/>
    <w:rsid w:val="00D738A5"/>
    <w:rsid w:val="00D73ADD"/>
    <w:rsid w:val="00D74573"/>
    <w:rsid w:val="00D7484F"/>
    <w:rsid w:val="00D748CE"/>
    <w:rsid w:val="00D74E54"/>
    <w:rsid w:val="00D76C69"/>
    <w:rsid w:val="00D76FD5"/>
    <w:rsid w:val="00D7787A"/>
    <w:rsid w:val="00D80199"/>
    <w:rsid w:val="00D80282"/>
    <w:rsid w:val="00D80971"/>
    <w:rsid w:val="00D81556"/>
    <w:rsid w:val="00D81AEB"/>
    <w:rsid w:val="00D81E8A"/>
    <w:rsid w:val="00D82798"/>
    <w:rsid w:val="00D82E01"/>
    <w:rsid w:val="00D82E75"/>
    <w:rsid w:val="00D82EFF"/>
    <w:rsid w:val="00D832A4"/>
    <w:rsid w:val="00D838E3"/>
    <w:rsid w:val="00D8407C"/>
    <w:rsid w:val="00D842A4"/>
    <w:rsid w:val="00D85062"/>
    <w:rsid w:val="00D85670"/>
    <w:rsid w:val="00D857C7"/>
    <w:rsid w:val="00D86455"/>
    <w:rsid w:val="00D869A4"/>
    <w:rsid w:val="00D87229"/>
    <w:rsid w:val="00D876EA"/>
    <w:rsid w:val="00D877E1"/>
    <w:rsid w:val="00D90380"/>
    <w:rsid w:val="00D90A68"/>
    <w:rsid w:val="00D90D47"/>
    <w:rsid w:val="00D91003"/>
    <w:rsid w:val="00D9119A"/>
    <w:rsid w:val="00D91914"/>
    <w:rsid w:val="00D91CF8"/>
    <w:rsid w:val="00D92A8E"/>
    <w:rsid w:val="00D93CB6"/>
    <w:rsid w:val="00D93D67"/>
    <w:rsid w:val="00D94118"/>
    <w:rsid w:val="00D9456C"/>
    <w:rsid w:val="00D9523B"/>
    <w:rsid w:val="00D9567F"/>
    <w:rsid w:val="00D95BFA"/>
    <w:rsid w:val="00D95C87"/>
    <w:rsid w:val="00D9644F"/>
    <w:rsid w:val="00D9652F"/>
    <w:rsid w:val="00D970DD"/>
    <w:rsid w:val="00D973E9"/>
    <w:rsid w:val="00D976C8"/>
    <w:rsid w:val="00DA0706"/>
    <w:rsid w:val="00DA0967"/>
    <w:rsid w:val="00DA13C7"/>
    <w:rsid w:val="00DA1696"/>
    <w:rsid w:val="00DA19A0"/>
    <w:rsid w:val="00DA1A1E"/>
    <w:rsid w:val="00DA23AC"/>
    <w:rsid w:val="00DA2F35"/>
    <w:rsid w:val="00DA3651"/>
    <w:rsid w:val="00DA3BF5"/>
    <w:rsid w:val="00DA3EF4"/>
    <w:rsid w:val="00DA4026"/>
    <w:rsid w:val="00DA4699"/>
    <w:rsid w:val="00DA55AB"/>
    <w:rsid w:val="00DA66D0"/>
    <w:rsid w:val="00DA679C"/>
    <w:rsid w:val="00DA6B39"/>
    <w:rsid w:val="00DA6BB6"/>
    <w:rsid w:val="00DA6C12"/>
    <w:rsid w:val="00DA6FDF"/>
    <w:rsid w:val="00DA71CD"/>
    <w:rsid w:val="00DA75FB"/>
    <w:rsid w:val="00DA7C74"/>
    <w:rsid w:val="00DB0062"/>
    <w:rsid w:val="00DB0557"/>
    <w:rsid w:val="00DB05EC"/>
    <w:rsid w:val="00DB07E3"/>
    <w:rsid w:val="00DB0AD1"/>
    <w:rsid w:val="00DB106D"/>
    <w:rsid w:val="00DB1771"/>
    <w:rsid w:val="00DB1ED9"/>
    <w:rsid w:val="00DB2AB0"/>
    <w:rsid w:val="00DB2F18"/>
    <w:rsid w:val="00DB3456"/>
    <w:rsid w:val="00DB3BA9"/>
    <w:rsid w:val="00DB3BB7"/>
    <w:rsid w:val="00DB4986"/>
    <w:rsid w:val="00DB4EDB"/>
    <w:rsid w:val="00DB5521"/>
    <w:rsid w:val="00DB5BD1"/>
    <w:rsid w:val="00DB5E4A"/>
    <w:rsid w:val="00DB5E7F"/>
    <w:rsid w:val="00DB632D"/>
    <w:rsid w:val="00DB65FC"/>
    <w:rsid w:val="00DB73CD"/>
    <w:rsid w:val="00DB7822"/>
    <w:rsid w:val="00DB78F6"/>
    <w:rsid w:val="00DB7A39"/>
    <w:rsid w:val="00DC02B4"/>
    <w:rsid w:val="00DC0A1F"/>
    <w:rsid w:val="00DC0E0B"/>
    <w:rsid w:val="00DC1A0D"/>
    <w:rsid w:val="00DC2633"/>
    <w:rsid w:val="00DC336B"/>
    <w:rsid w:val="00DC3B14"/>
    <w:rsid w:val="00DC4485"/>
    <w:rsid w:val="00DC48AF"/>
    <w:rsid w:val="00DC4E7B"/>
    <w:rsid w:val="00DC506D"/>
    <w:rsid w:val="00DC52E3"/>
    <w:rsid w:val="00DC5BF4"/>
    <w:rsid w:val="00DC5FBC"/>
    <w:rsid w:val="00DC6297"/>
    <w:rsid w:val="00DC6721"/>
    <w:rsid w:val="00DC703A"/>
    <w:rsid w:val="00DC7065"/>
    <w:rsid w:val="00DD080A"/>
    <w:rsid w:val="00DD0B2F"/>
    <w:rsid w:val="00DD0C14"/>
    <w:rsid w:val="00DD1BB1"/>
    <w:rsid w:val="00DD1D74"/>
    <w:rsid w:val="00DD2539"/>
    <w:rsid w:val="00DD28D4"/>
    <w:rsid w:val="00DD2B41"/>
    <w:rsid w:val="00DD2C82"/>
    <w:rsid w:val="00DD2F90"/>
    <w:rsid w:val="00DD3AF6"/>
    <w:rsid w:val="00DD3C27"/>
    <w:rsid w:val="00DD3D57"/>
    <w:rsid w:val="00DD3ED3"/>
    <w:rsid w:val="00DD4359"/>
    <w:rsid w:val="00DD4701"/>
    <w:rsid w:val="00DD53F1"/>
    <w:rsid w:val="00DD5F6E"/>
    <w:rsid w:val="00DD61CB"/>
    <w:rsid w:val="00DD635E"/>
    <w:rsid w:val="00DD6465"/>
    <w:rsid w:val="00DD65BB"/>
    <w:rsid w:val="00DD7DB4"/>
    <w:rsid w:val="00DE037C"/>
    <w:rsid w:val="00DE0432"/>
    <w:rsid w:val="00DE06B2"/>
    <w:rsid w:val="00DE3174"/>
    <w:rsid w:val="00DE341F"/>
    <w:rsid w:val="00DE3AC3"/>
    <w:rsid w:val="00DE3D08"/>
    <w:rsid w:val="00DE4C93"/>
    <w:rsid w:val="00DE4D9A"/>
    <w:rsid w:val="00DE4E7F"/>
    <w:rsid w:val="00DE4F73"/>
    <w:rsid w:val="00DE5B75"/>
    <w:rsid w:val="00DE6106"/>
    <w:rsid w:val="00DE618A"/>
    <w:rsid w:val="00DE6D36"/>
    <w:rsid w:val="00DF0EF7"/>
    <w:rsid w:val="00DF1D53"/>
    <w:rsid w:val="00DF39B2"/>
    <w:rsid w:val="00DF4348"/>
    <w:rsid w:val="00DF4401"/>
    <w:rsid w:val="00DF49EC"/>
    <w:rsid w:val="00DF539C"/>
    <w:rsid w:val="00DF5F9A"/>
    <w:rsid w:val="00DF601F"/>
    <w:rsid w:val="00DF64FB"/>
    <w:rsid w:val="00DF65BD"/>
    <w:rsid w:val="00DF6622"/>
    <w:rsid w:val="00DF7247"/>
    <w:rsid w:val="00DF7A0C"/>
    <w:rsid w:val="00E001B5"/>
    <w:rsid w:val="00E009C8"/>
    <w:rsid w:val="00E00AAC"/>
    <w:rsid w:val="00E00E24"/>
    <w:rsid w:val="00E00E58"/>
    <w:rsid w:val="00E01075"/>
    <w:rsid w:val="00E013DF"/>
    <w:rsid w:val="00E01845"/>
    <w:rsid w:val="00E01AFB"/>
    <w:rsid w:val="00E01F87"/>
    <w:rsid w:val="00E0263A"/>
    <w:rsid w:val="00E0265A"/>
    <w:rsid w:val="00E02828"/>
    <w:rsid w:val="00E02CE0"/>
    <w:rsid w:val="00E04341"/>
    <w:rsid w:val="00E04D4A"/>
    <w:rsid w:val="00E0528A"/>
    <w:rsid w:val="00E0548E"/>
    <w:rsid w:val="00E05BC3"/>
    <w:rsid w:val="00E072D6"/>
    <w:rsid w:val="00E07508"/>
    <w:rsid w:val="00E07F40"/>
    <w:rsid w:val="00E1033A"/>
    <w:rsid w:val="00E103A3"/>
    <w:rsid w:val="00E10400"/>
    <w:rsid w:val="00E109FE"/>
    <w:rsid w:val="00E10E41"/>
    <w:rsid w:val="00E1109D"/>
    <w:rsid w:val="00E11380"/>
    <w:rsid w:val="00E114E1"/>
    <w:rsid w:val="00E12246"/>
    <w:rsid w:val="00E1258E"/>
    <w:rsid w:val="00E125BC"/>
    <w:rsid w:val="00E12E37"/>
    <w:rsid w:val="00E13E99"/>
    <w:rsid w:val="00E14408"/>
    <w:rsid w:val="00E1481A"/>
    <w:rsid w:val="00E14A38"/>
    <w:rsid w:val="00E14C1C"/>
    <w:rsid w:val="00E14DD4"/>
    <w:rsid w:val="00E15497"/>
    <w:rsid w:val="00E15CB2"/>
    <w:rsid w:val="00E15E51"/>
    <w:rsid w:val="00E1637C"/>
    <w:rsid w:val="00E16B4B"/>
    <w:rsid w:val="00E16BB4"/>
    <w:rsid w:val="00E16DD9"/>
    <w:rsid w:val="00E16E22"/>
    <w:rsid w:val="00E1780E"/>
    <w:rsid w:val="00E201A8"/>
    <w:rsid w:val="00E203A2"/>
    <w:rsid w:val="00E204A3"/>
    <w:rsid w:val="00E210A2"/>
    <w:rsid w:val="00E21438"/>
    <w:rsid w:val="00E21ED6"/>
    <w:rsid w:val="00E22672"/>
    <w:rsid w:val="00E22976"/>
    <w:rsid w:val="00E22A54"/>
    <w:rsid w:val="00E22C13"/>
    <w:rsid w:val="00E22DEF"/>
    <w:rsid w:val="00E23781"/>
    <w:rsid w:val="00E255C0"/>
    <w:rsid w:val="00E2608A"/>
    <w:rsid w:val="00E27EDF"/>
    <w:rsid w:val="00E308A4"/>
    <w:rsid w:val="00E30C14"/>
    <w:rsid w:val="00E3163F"/>
    <w:rsid w:val="00E31FE8"/>
    <w:rsid w:val="00E321CC"/>
    <w:rsid w:val="00E32758"/>
    <w:rsid w:val="00E32BDC"/>
    <w:rsid w:val="00E34DBF"/>
    <w:rsid w:val="00E35067"/>
    <w:rsid w:val="00E35516"/>
    <w:rsid w:val="00E35C66"/>
    <w:rsid w:val="00E36217"/>
    <w:rsid w:val="00E3639C"/>
    <w:rsid w:val="00E364C6"/>
    <w:rsid w:val="00E36E83"/>
    <w:rsid w:val="00E41224"/>
    <w:rsid w:val="00E41903"/>
    <w:rsid w:val="00E41961"/>
    <w:rsid w:val="00E429EA"/>
    <w:rsid w:val="00E43D55"/>
    <w:rsid w:val="00E4453B"/>
    <w:rsid w:val="00E44AE0"/>
    <w:rsid w:val="00E4515A"/>
    <w:rsid w:val="00E45AFA"/>
    <w:rsid w:val="00E45F44"/>
    <w:rsid w:val="00E46BF3"/>
    <w:rsid w:val="00E46E8E"/>
    <w:rsid w:val="00E47761"/>
    <w:rsid w:val="00E502F7"/>
    <w:rsid w:val="00E50539"/>
    <w:rsid w:val="00E50C30"/>
    <w:rsid w:val="00E51304"/>
    <w:rsid w:val="00E5215D"/>
    <w:rsid w:val="00E529A6"/>
    <w:rsid w:val="00E52C40"/>
    <w:rsid w:val="00E535A4"/>
    <w:rsid w:val="00E541D4"/>
    <w:rsid w:val="00E5423F"/>
    <w:rsid w:val="00E54273"/>
    <w:rsid w:val="00E54317"/>
    <w:rsid w:val="00E55EBC"/>
    <w:rsid w:val="00E56793"/>
    <w:rsid w:val="00E56C0D"/>
    <w:rsid w:val="00E573DF"/>
    <w:rsid w:val="00E576A6"/>
    <w:rsid w:val="00E60373"/>
    <w:rsid w:val="00E6058C"/>
    <w:rsid w:val="00E60E88"/>
    <w:rsid w:val="00E61A39"/>
    <w:rsid w:val="00E61FD0"/>
    <w:rsid w:val="00E62526"/>
    <w:rsid w:val="00E62A79"/>
    <w:rsid w:val="00E630E1"/>
    <w:rsid w:val="00E63E3E"/>
    <w:rsid w:val="00E64203"/>
    <w:rsid w:val="00E64608"/>
    <w:rsid w:val="00E64B72"/>
    <w:rsid w:val="00E65181"/>
    <w:rsid w:val="00E65600"/>
    <w:rsid w:val="00E658BE"/>
    <w:rsid w:val="00E66463"/>
    <w:rsid w:val="00E67EB2"/>
    <w:rsid w:val="00E70360"/>
    <w:rsid w:val="00E7127E"/>
    <w:rsid w:val="00E713C3"/>
    <w:rsid w:val="00E720A0"/>
    <w:rsid w:val="00E72A00"/>
    <w:rsid w:val="00E73836"/>
    <w:rsid w:val="00E74BD6"/>
    <w:rsid w:val="00E761B2"/>
    <w:rsid w:val="00E7629A"/>
    <w:rsid w:val="00E76EAB"/>
    <w:rsid w:val="00E7701B"/>
    <w:rsid w:val="00E77D87"/>
    <w:rsid w:val="00E8163E"/>
    <w:rsid w:val="00E823E8"/>
    <w:rsid w:val="00E825A6"/>
    <w:rsid w:val="00E82FA5"/>
    <w:rsid w:val="00E83899"/>
    <w:rsid w:val="00E83A76"/>
    <w:rsid w:val="00E85162"/>
    <w:rsid w:val="00E865B7"/>
    <w:rsid w:val="00E865D7"/>
    <w:rsid w:val="00E871DB"/>
    <w:rsid w:val="00E87819"/>
    <w:rsid w:val="00E87B86"/>
    <w:rsid w:val="00E90170"/>
    <w:rsid w:val="00E902AF"/>
    <w:rsid w:val="00E90936"/>
    <w:rsid w:val="00E90C89"/>
    <w:rsid w:val="00E90F06"/>
    <w:rsid w:val="00E91043"/>
    <w:rsid w:val="00E913E3"/>
    <w:rsid w:val="00E9190A"/>
    <w:rsid w:val="00E92080"/>
    <w:rsid w:val="00E9339E"/>
    <w:rsid w:val="00E94745"/>
    <w:rsid w:val="00E94C8F"/>
    <w:rsid w:val="00E959A3"/>
    <w:rsid w:val="00E9684E"/>
    <w:rsid w:val="00E968C7"/>
    <w:rsid w:val="00E96B6D"/>
    <w:rsid w:val="00E97A4D"/>
    <w:rsid w:val="00EA0C3E"/>
    <w:rsid w:val="00EA1304"/>
    <w:rsid w:val="00EA15A2"/>
    <w:rsid w:val="00EA35FD"/>
    <w:rsid w:val="00EA39F8"/>
    <w:rsid w:val="00EA3F82"/>
    <w:rsid w:val="00EA3F85"/>
    <w:rsid w:val="00EA4725"/>
    <w:rsid w:val="00EA4740"/>
    <w:rsid w:val="00EA4C48"/>
    <w:rsid w:val="00EA4E66"/>
    <w:rsid w:val="00EA6485"/>
    <w:rsid w:val="00EA67A4"/>
    <w:rsid w:val="00EA7025"/>
    <w:rsid w:val="00EA7390"/>
    <w:rsid w:val="00EA7810"/>
    <w:rsid w:val="00EB01CF"/>
    <w:rsid w:val="00EB07E3"/>
    <w:rsid w:val="00EB13B0"/>
    <w:rsid w:val="00EB161A"/>
    <w:rsid w:val="00EB175E"/>
    <w:rsid w:val="00EB17CE"/>
    <w:rsid w:val="00EB25B8"/>
    <w:rsid w:val="00EB274A"/>
    <w:rsid w:val="00EB3F5A"/>
    <w:rsid w:val="00EB412D"/>
    <w:rsid w:val="00EB4E99"/>
    <w:rsid w:val="00EB508B"/>
    <w:rsid w:val="00EB566F"/>
    <w:rsid w:val="00EB5E0C"/>
    <w:rsid w:val="00EB650A"/>
    <w:rsid w:val="00EB6DDB"/>
    <w:rsid w:val="00EB7FBC"/>
    <w:rsid w:val="00EC0825"/>
    <w:rsid w:val="00EC0959"/>
    <w:rsid w:val="00EC0BF6"/>
    <w:rsid w:val="00EC0DFE"/>
    <w:rsid w:val="00EC0E53"/>
    <w:rsid w:val="00EC0EEE"/>
    <w:rsid w:val="00EC0F3F"/>
    <w:rsid w:val="00EC1FFD"/>
    <w:rsid w:val="00EC21A7"/>
    <w:rsid w:val="00EC26CC"/>
    <w:rsid w:val="00EC2C83"/>
    <w:rsid w:val="00EC2CC1"/>
    <w:rsid w:val="00EC2E7A"/>
    <w:rsid w:val="00EC32A4"/>
    <w:rsid w:val="00EC32D6"/>
    <w:rsid w:val="00EC3B96"/>
    <w:rsid w:val="00EC3FBE"/>
    <w:rsid w:val="00EC45C1"/>
    <w:rsid w:val="00EC4A4F"/>
    <w:rsid w:val="00EC54A4"/>
    <w:rsid w:val="00EC54AF"/>
    <w:rsid w:val="00EC5653"/>
    <w:rsid w:val="00EC5D93"/>
    <w:rsid w:val="00EC6839"/>
    <w:rsid w:val="00EC69B4"/>
    <w:rsid w:val="00EC6E2B"/>
    <w:rsid w:val="00EC7A62"/>
    <w:rsid w:val="00EC7AD0"/>
    <w:rsid w:val="00EC7F72"/>
    <w:rsid w:val="00ED02B6"/>
    <w:rsid w:val="00ED0347"/>
    <w:rsid w:val="00ED05A6"/>
    <w:rsid w:val="00ED0924"/>
    <w:rsid w:val="00ED0D60"/>
    <w:rsid w:val="00ED1D70"/>
    <w:rsid w:val="00ED30B0"/>
    <w:rsid w:val="00ED3179"/>
    <w:rsid w:val="00ED32CB"/>
    <w:rsid w:val="00ED382D"/>
    <w:rsid w:val="00ED4AE1"/>
    <w:rsid w:val="00ED4BB7"/>
    <w:rsid w:val="00ED4E94"/>
    <w:rsid w:val="00ED526E"/>
    <w:rsid w:val="00ED5670"/>
    <w:rsid w:val="00ED59A2"/>
    <w:rsid w:val="00ED6FC2"/>
    <w:rsid w:val="00ED7F8E"/>
    <w:rsid w:val="00EE0623"/>
    <w:rsid w:val="00EE08A1"/>
    <w:rsid w:val="00EE0EA3"/>
    <w:rsid w:val="00EE246D"/>
    <w:rsid w:val="00EE24B3"/>
    <w:rsid w:val="00EE2B77"/>
    <w:rsid w:val="00EE3CD4"/>
    <w:rsid w:val="00EE4196"/>
    <w:rsid w:val="00EE45EC"/>
    <w:rsid w:val="00EE485C"/>
    <w:rsid w:val="00EE4B96"/>
    <w:rsid w:val="00EE4E2F"/>
    <w:rsid w:val="00EE5398"/>
    <w:rsid w:val="00EE59ED"/>
    <w:rsid w:val="00EE5D7B"/>
    <w:rsid w:val="00EE6BBD"/>
    <w:rsid w:val="00EE761B"/>
    <w:rsid w:val="00EF015B"/>
    <w:rsid w:val="00EF04EC"/>
    <w:rsid w:val="00EF141F"/>
    <w:rsid w:val="00EF1A0E"/>
    <w:rsid w:val="00EF3371"/>
    <w:rsid w:val="00EF3536"/>
    <w:rsid w:val="00EF4590"/>
    <w:rsid w:val="00EF5762"/>
    <w:rsid w:val="00EF6083"/>
    <w:rsid w:val="00EF654B"/>
    <w:rsid w:val="00EF68E6"/>
    <w:rsid w:val="00EF690B"/>
    <w:rsid w:val="00EF71CC"/>
    <w:rsid w:val="00EF737E"/>
    <w:rsid w:val="00EF7885"/>
    <w:rsid w:val="00EF7CEC"/>
    <w:rsid w:val="00EF7D17"/>
    <w:rsid w:val="00EF7DDA"/>
    <w:rsid w:val="00F000EF"/>
    <w:rsid w:val="00F00BD8"/>
    <w:rsid w:val="00F00F1F"/>
    <w:rsid w:val="00F0161C"/>
    <w:rsid w:val="00F03A02"/>
    <w:rsid w:val="00F03CAE"/>
    <w:rsid w:val="00F03DAD"/>
    <w:rsid w:val="00F040C5"/>
    <w:rsid w:val="00F04AF8"/>
    <w:rsid w:val="00F04C1D"/>
    <w:rsid w:val="00F04EAB"/>
    <w:rsid w:val="00F05182"/>
    <w:rsid w:val="00F05598"/>
    <w:rsid w:val="00F06855"/>
    <w:rsid w:val="00F079C3"/>
    <w:rsid w:val="00F079FB"/>
    <w:rsid w:val="00F07FCF"/>
    <w:rsid w:val="00F10D0C"/>
    <w:rsid w:val="00F1111F"/>
    <w:rsid w:val="00F11542"/>
    <w:rsid w:val="00F115AB"/>
    <w:rsid w:val="00F11A56"/>
    <w:rsid w:val="00F11C54"/>
    <w:rsid w:val="00F1251F"/>
    <w:rsid w:val="00F12E28"/>
    <w:rsid w:val="00F13860"/>
    <w:rsid w:val="00F14433"/>
    <w:rsid w:val="00F14556"/>
    <w:rsid w:val="00F14799"/>
    <w:rsid w:val="00F15749"/>
    <w:rsid w:val="00F15A95"/>
    <w:rsid w:val="00F160E8"/>
    <w:rsid w:val="00F163C0"/>
    <w:rsid w:val="00F16AF9"/>
    <w:rsid w:val="00F16D46"/>
    <w:rsid w:val="00F171DC"/>
    <w:rsid w:val="00F17BD2"/>
    <w:rsid w:val="00F17E40"/>
    <w:rsid w:val="00F17FE2"/>
    <w:rsid w:val="00F208F6"/>
    <w:rsid w:val="00F210DE"/>
    <w:rsid w:val="00F2189E"/>
    <w:rsid w:val="00F218A8"/>
    <w:rsid w:val="00F22222"/>
    <w:rsid w:val="00F23177"/>
    <w:rsid w:val="00F2326D"/>
    <w:rsid w:val="00F2348D"/>
    <w:rsid w:val="00F23A76"/>
    <w:rsid w:val="00F23F84"/>
    <w:rsid w:val="00F24168"/>
    <w:rsid w:val="00F244E4"/>
    <w:rsid w:val="00F25AC4"/>
    <w:rsid w:val="00F25FA0"/>
    <w:rsid w:val="00F26560"/>
    <w:rsid w:val="00F26964"/>
    <w:rsid w:val="00F2757F"/>
    <w:rsid w:val="00F2782B"/>
    <w:rsid w:val="00F27E20"/>
    <w:rsid w:val="00F30936"/>
    <w:rsid w:val="00F311E5"/>
    <w:rsid w:val="00F313FE"/>
    <w:rsid w:val="00F31791"/>
    <w:rsid w:val="00F31D23"/>
    <w:rsid w:val="00F3241D"/>
    <w:rsid w:val="00F33407"/>
    <w:rsid w:val="00F334D9"/>
    <w:rsid w:val="00F33594"/>
    <w:rsid w:val="00F33B51"/>
    <w:rsid w:val="00F34D50"/>
    <w:rsid w:val="00F34EDA"/>
    <w:rsid w:val="00F35644"/>
    <w:rsid w:val="00F35B10"/>
    <w:rsid w:val="00F36757"/>
    <w:rsid w:val="00F368B2"/>
    <w:rsid w:val="00F37247"/>
    <w:rsid w:val="00F40493"/>
    <w:rsid w:val="00F4160D"/>
    <w:rsid w:val="00F41B0E"/>
    <w:rsid w:val="00F42588"/>
    <w:rsid w:val="00F42E50"/>
    <w:rsid w:val="00F42F5D"/>
    <w:rsid w:val="00F43301"/>
    <w:rsid w:val="00F43466"/>
    <w:rsid w:val="00F43824"/>
    <w:rsid w:val="00F43B3F"/>
    <w:rsid w:val="00F4497E"/>
    <w:rsid w:val="00F44D85"/>
    <w:rsid w:val="00F4552D"/>
    <w:rsid w:val="00F462D7"/>
    <w:rsid w:val="00F46C58"/>
    <w:rsid w:val="00F47E77"/>
    <w:rsid w:val="00F50330"/>
    <w:rsid w:val="00F50A23"/>
    <w:rsid w:val="00F50C30"/>
    <w:rsid w:val="00F511B1"/>
    <w:rsid w:val="00F51B2B"/>
    <w:rsid w:val="00F52035"/>
    <w:rsid w:val="00F52283"/>
    <w:rsid w:val="00F536D3"/>
    <w:rsid w:val="00F54374"/>
    <w:rsid w:val="00F5456E"/>
    <w:rsid w:val="00F54D52"/>
    <w:rsid w:val="00F54EDB"/>
    <w:rsid w:val="00F553E1"/>
    <w:rsid w:val="00F555A7"/>
    <w:rsid w:val="00F563EF"/>
    <w:rsid w:val="00F571BF"/>
    <w:rsid w:val="00F57CAD"/>
    <w:rsid w:val="00F610DC"/>
    <w:rsid w:val="00F61352"/>
    <w:rsid w:val="00F62EE1"/>
    <w:rsid w:val="00F63770"/>
    <w:rsid w:val="00F63864"/>
    <w:rsid w:val="00F6426D"/>
    <w:rsid w:val="00F6431E"/>
    <w:rsid w:val="00F6444E"/>
    <w:rsid w:val="00F6554E"/>
    <w:rsid w:val="00F65C34"/>
    <w:rsid w:val="00F66694"/>
    <w:rsid w:val="00F667E7"/>
    <w:rsid w:val="00F671B6"/>
    <w:rsid w:val="00F67418"/>
    <w:rsid w:val="00F67647"/>
    <w:rsid w:val="00F67861"/>
    <w:rsid w:val="00F67FFB"/>
    <w:rsid w:val="00F70B15"/>
    <w:rsid w:val="00F71467"/>
    <w:rsid w:val="00F7150F"/>
    <w:rsid w:val="00F72DAC"/>
    <w:rsid w:val="00F739F3"/>
    <w:rsid w:val="00F74E4E"/>
    <w:rsid w:val="00F750BC"/>
    <w:rsid w:val="00F756AF"/>
    <w:rsid w:val="00F7616B"/>
    <w:rsid w:val="00F765FF"/>
    <w:rsid w:val="00F7706D"/>
    <w:rsid w:val="00F8006A"/>
    <w:rsid w:val="00F812BC"/>
    <w:rsid w:val="00F81572"/>
    <w:rsid w:val="00F81DDA"/>
    <w:rsid w:val="00F828E6"/>
    <w:rsid w:val="00F82E17"/>
    <w:rsid w:val="00F82F17"/>
    <w:rsid w:val="00F82FE7"/>
    <w:rsid w:val="00F8393F"/>
    <w:rsid w:val="00F83D68"/>
    <w:rsid w:val="00F843DB"/>
    <w:rsid w:val="00F84445"/>
    <w:rsid w:val="00F84616"/>
    <w:rsid w:val="00F84CF1"/>
    <w:rsid w:val="00F85C65"/>
    <w:rsid w:val="00F85CC0"/>
    <w:rsid w:val="00F85FC5"/>
    <w:rsid w:val="00F86281"/>
    <w:rsid w:val="00F875AF"/>
    <w:rsid w:val="00F875CB"/>
    <w:rsid w:val="00F910DF"/>
    <w:rsid w:val="00F91792"/>
    <w:rsid w:val="00F9192A"/>
    <w:rsid w:val="00F93B7A"/>
    <w:rsid w:val="00F93DFD"/>
    <w:rsid w:val="00F945B9"/>
    <w:rsid w:val="00F948D1"/>
    <w:rsid w:val="00F95178"/>
    <w:rsid w:val="00F95600"/>
    <w:rsid w:val="00F95DF4"/>
    <w:rsid w:val="00F95FF5"/>
    <w:rsid w:val="00F965A9"/>
    <w:rsid w:val="00F9699B"/>
    <w:rsid w:val="00F97CAA"/>
    <w:rsid w:val="00F97F37"/>
    <w:rsid w:val="00FA0594"/>
    <w:rsid w:val="00FA0F5C"/>
    <w:rsid w:val="00FA1860"/>
    <w:rsid w:val="00FA31A9"/>
    <w:rsid w:val="00FA36B8"/>
    <w:rsid w:val="00FA3E75"/>
    <w:rsid w:val="00FA3E9D"/>
    <w:rsid w:val="00FA431A"/>
    <w:rsid w:val="00FA5345"/>
    <w:rsid w:val="00FA56EE"/>
    <w:rsid w:val="00FA58FA"/>
    <w:rsid w:val="00FA5B6A"/>
    <w:rsid w:val="00FA5DE5"/>
    <w:rsid w:val="00FA65BB"/>
    <w:rsid w:val="00FA66F1"/>
    <w:rsid w:val="00FA6A3A"/>
    <w:rsid w:val="00FA6B10"/>
    <w:rsid w:val="00FA6F1E"/>
    <w:rsid w:val="00FB0457"/>
    <w:rsid w:val="00FB0840"/>
    <w:rsid w:val="00FB100B"/>
    <w:rsid w:val="00FB153A"/>
    <w:rsid w:val="00FB254B"/>
    <w:rsid w:val="00FB29D2"/>
    <w:rsid w:val="00FB348B"/>
    <w:rsid w:val="00FB526F"/>
    <w:rsid w:val="00FB541D"/>
    <w:rsid w:val="00FB5A2D"/>
    <w:rsid w:val="00FB5D2D"/>
    <w:rsid w:val="00FB5D50"/>
    <w:rsid w:val="00FB6759"/>
    <w:rsid w:val="00FB6C25"/>
    <w:rsid w:val="00FB6C65"/>
    <w:rsid w:val="00FB77FD"/>
    <w:rsid w:val="00FC02A9"/>
    <w:rsid w:val="00FC02DC"/>
    <w:rsid w:val="00FC02E7"/>
    <w:rsid w:val="00FC0423"/>
    <w:rsid w:val="00FC06D6"/>
    <w:rsid w:val="00FC13AC"/>
    <w:rsid w:val="00FC14D7"/>
    <w:rsid w:val="00FC183A"/>
    <w:rsid w:val="00FC1D68"/>
    <w:rsid w:val="00FC230E"/>
    <w:rsid w:val="00FC23C9"/>
    <w:rsid w:val="00FC366D"/>
    <w:rsid w:val="00FC3B2D"/>
    <w:rsid w:val="00FC3DF2"/>
    <w:rsid w:val="00FC4C27"/>
    <w:rsid w:val="00FC4C45"/>
    <w:rsid w:val="00FC5C1D"/>
    <w:rsid w:val="00FC618B"/>
    <w:rsid w:val="00FC65A2"/>
    <w:rsid w:val="00FC66D9"/>
    <w:rsid w:val="00FC678E"/>
    <w:rsid w:val="00FC6F11"/>
    <w:rsid w:val="00FC728A"/>
    <w:rsid w:val="00FD1248"/>
    <w:rsid w:val="00FD27F1"/>
    <w:rsid w:val="00FD2E78"/>
    <w:rsid w:val="00FD33AE"/>
    <w:rsid w:val="00FD371D"/>
    <w:rsid w:val="00FD4176"/>
    <w:rsid w:val="00FD4462"/>
    <w:rsid w:val="00FD6304"/>
    <w:rsid w:val="00FD68C4"/>
    <w:rsid w:val="00FD68D1"/>
    <w:rsid w:val="00FD6C5A"/>
    <w:rsid w:val="00FD7A8B"/>
    <w:rsid w:val="00FD7E92"/>
    <w:rsid w:val="00FE0586"/>
    <w:rsid w:val="00FE092A"/>
    <w:rsid w:val="00FE0BF5"/>
    <w:rsid w:val="00FE0C59"/>
    <w:rsid w:val="00FE0D78"/>
    <w:rsid w:val="00FE0E95"/>
    <w:rsid w:val="00FE0ED9"/>
    <w:rsid w:val="00FE0F46"/>
    <w:rsid w:val="00FE11BC"/>
    <w:rsid w:val="00FE13C5"/>
    <w:rsid w:val="00FE240E"/>
    <w:rsid w:val="00FE39D8"/>
    <w:rsid w:val="00FE442A"/>
    <w:rsid w:val="00FE448C"/>
    <w:rsid w:val="00FE4CE3"/>
    <w:rsid w:val="00FE4E70"/>
    <w:rsid w:val="00FE5093"/>
    <w:rsid w:val="00FE5BBE"/>
    <w:rsid w:val="00FE646F"/>
    <w:rsid w:val="00FE7CDA"/>
    <w:rsid w:val="00FE7D10"/>
    <w:rsid w:val="00FF07FF"/>
    <w:rsid w:val="00FF0F1C"/>
    <w:rsid w:val="00FF1943"/>
    <w:rsid w:val="00FF2179"/>
    <w:rsid w:val="00FF2AC2"/>
    <w:rsid w:val="00FF3B7D"/>
    <w:rsid w:val="00FF3E26"/>
    <w:rsid w:val="00FF4CAF"/>
    <w:rsid w:val="00FF513E"/>
    <w:rsid w:val="00FF5724"/>
    <w:rsid w:val="00FF5B16"/>
    <w:rsid w:val="00FF72DD"/>
    <w:rsid w:val="00FF7C0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498689"/>
    <o:shapelayout v:ext="edit">
      <o:idmap v:ext="edit" data="1"/>
    </o:shapelayout>
  </w:shapeDefaults>
  <w:decimalSymbol w:val="."/>
  <w:listSeparator w:val=","/>
  <w14:docId w14:val="7BD51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sz w:val="24"/>
        <w:szCs w:val="24"/>
        <w:lang w:val="en-AU" w:eastAsia="en-AU"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4" w:unhideWhenUsed="1" w:qFormat="1"/>
    <w:lsdException w:name="heading 6" w:semiHidden="1" w:uiPriority="5" w:unhideWhenUsed="1" w:qFormat="1"/>
    <w:lsdException w:name="heading 7" w:semiHidden="1" w:uiPriority="6" w:qFormat="1"/>
    <w:lsdException w:name="heading 8" w:semiHidden="1" w:uiPriority="7" w:qFormat="1"/>
    <w:lsdException w:name="heading 9" w:semiHidden="1" w:uiPriority="8"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iPriority="49" w:unhideWhenUsed="1"/>
    <w:lsdException w:name="envelope return" w:semiHidden="1" w:uiPriority="49" w:unhideWhenUsed="1"/>
    <w:lsdException w:name="footnote reference" w:semiHidden="1" w:unhideWhenUsed="1" w:qFormat="1"/>
    <w:lsdException w:name="annotation reference" w:semiHidden="1" w:uiPriority="49"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nhideWhenUsed="1"/>
    <w:lsdException w:name="macro" w:semiHidden="1" w:unhideWhenUsed="1"/>
    <w:lsdException w:name="toa heading" w:semiHidden="1" w:unhideWhenUsed="1"/>
    <w:lsdException w:name="List" w:semiHidden="1" w:uiPriority="17" w:unhideWhenUsed="1" w:qFormat="1"/>
    <w:lsdException w:name="List Bullet" w:semiHidden="1" w:uiPriority="38" w:unhideWhenUsed="1"/>
    <w:lsdException w:name="List Number" w:semiHidden="1" w:unhideWhenUsed="1"/>
    <w:lsdException w:name="List 2" w:semiHidden="1" w:uiPriority="17" w:unhideWhenUsed="1" w:qFormat="1"/>
    <w:lsdException w:name="List 3" w:semiHidden="1" w:uiPriority="17" w:unhideWhenUsed="1" w:qFormat="1"/>
    <w:lsdException w:name="List 4" w:semiHidden="1" w:unhideWhenUsed="1"/>
    <w:lsdException w:name="List 5" w:semiHidden="1" w:unhideWhenUsed="1"/>
    <w:lsdException w:name="List Bullet 2" w:semiHidden="1" w:uiPriority="38" w:unhideWhenUsed="1"/>
    <w:lsdException w:name="List Bullet 3" w:semiHidden="1" w:uiPriority="38"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lsdException w:name="Closing" w:semiHidden="1" w:uiPriority="49" w:unhideWhenUsed="1"/>
    <w:lsdException w:name="Signature" w:semiHidden="1" w:unhideWhenUsed="1"/>
    <w:lsdException w:name="Default Paragraph Font" w:semiHidden="1" w:uiPriority="1" w:unhideWhenUsed="1"/>
    <w:lsdException w:name="Body Text" w:semiHidden="1" w:uiPriority="49" w:unhideWhenUsed="1"/>
    <w:lsdException w:name="Body Text Indent" w:semiHidden="1" w:uiPriority="4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iPriority="49" w:unhideWhenUsed="1"/>
    <w:lsdException w:name="Body Text First Indent" w:semiHidden="1" w:uiPriority="49" w:unhideWhenUsed="1"/>
    <w:lsdException w:name="Body Text First Indent 2" w:semiHidden="1" w:uiPriority="49" w:unhideWhenUsed="1"/>
    <w:lsdException w:name="Note Heading" w:semiHidden="1" w:unhideWhenUsed="1"/>
    <w:lsdException w:name="Body Text 2" w:semiHidden="1" w:unhideWhenUsed="1" w:qFormat="1"/>
    <w:lsdException w:name="Body Text 3" w:qFormat="1"/>
    <w:lsdException w:name="Body Text Indent 2" w:semiHidden="1" w:uiPriority="49" w:unhideWhenUsed="1"/>
    <w:lsdException w:name="Body Text Indent 3" w:semiHidden="1" w:uiPriority="49" w:unhideWhenUsed="1"/>
    <w:lsdException w:name="Block Text" w:semiHidden="1" w:uiPriority="49" w:unhideWhenUsed="1"/>
    <w:lsdException w:name="Hyperlink" w:semiHidden="1" w:unhideWhenUsed="1"/>
    <w:lsdException w:name="FollowedHyperlink" w:semiHidden="1" w:uiPriority="49" w:unhideWhenUsed="1"/>
    <w:lsdException w:name="Document Map" w:semiHidden="1" w:uiPriority="49" w:unhideWhenUsed="1"/>
    <w:lsdException w:name="Plain Text" w:semiHidden="1" w:unhideWhenUsed="1"/>
    <w:lsdException w:name="E-mail Signature" w:semiHidden="1" w:uiPriority="49" w:unhideWhenUsed="1"/>
    <w:lsdException w:name="HTML Top of Form" w:semiHidden="1" w:unhideWhenUsed="1"/>
    <w:lsdException w:name="HTML Bottom of Form" w:semiHidden="1" w:unhideWhenUsed="1"/>
    <w:lsdException w:name="Normal (Web)" w:semiHidden="1" w:unhideWhenUsed="1"/>
    <w:lsdException w:name="HTML Acronym" w:semiHidden="1" w:uiPriority="49" w:unhideWhenUsed="1"/>
    <w:lsdException w:name="HTML Address" w:semiHidden="1" w:uiPriority="49" w:unhideWhenUsed="1"/>
    <w:lsdException w:name="HTML Cite" w:semiHidden="1" w:uiPriority="49" w:unhideWhenUsed="1"/>
    <w:lsdException w:name="HTML Code" w:semiHidden="1" w:uiPriority="49" w:unhideWhenUsed="1"/>
    <w:lsdException w:name="HTML Definition" w:semiHidden="1" w:uiPriority="49" w:unhideWhenUsed="1"/>
    <w:lsdException w:name="HTML Keyboard" w:semiHidden="1" w:uiPriority="49" w:unhideWhenUsed="1"/>
    <w:lsdException w:name="HTML Preformatted" w:semiHidden="1" w:uiPriority="49" w:unhideWhenUsed="1"/>
    <w:lsdException w:name="HTML Sample" w:semiHidden="1" w:uiPriority="49" w:unhideWhenUsed="1"/>
    <w:lsdException w:name="HTML Typewriter" w:semiHidden="1" w:uiPriority="49" w:unhideWhenUsed="1"/>
    <w:lsdException w:name="HTML Variable" w:semiHidden="1" w:uiPriority="49" w:unhideWhenUsed="1"/>
    <w:lsdException w:name="Normal Table" w:semiHidden="1" w:unhideWhenUsed="1"/>
    <w:lsdException w:name="annotation subject" w:semiHidden="1" w:uiPriority="4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49"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iPriority="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7C8F"/>
  </w:style>
  <w:style w:type="paragraph" w:styleId="Heading1">
    <w:name w:val="heading 1"/>
    <w:basedOn w:val="Normal"/>
    <w:next w:val="BodyText1"/>
    <w:link w:val="Heading1Char"/>
    <w:qFormat/>
    <w:rsid w:val="00905EF4"/>
    <w:pPr>
      <w:keepNext/>
      <w:outlineLvl w:val="0"/>
    </w:pPr>
    <w:rPr>
      <w:rFonts w:asciiTheme="majorHAnsi" w:hAnsiTheme="majorHAnsi"/>
      <w:b/>
      <w:sz w:val="28"/>
    </w:rPr>
  </w:style>
  <w:style w:type="paragraph" w:styleId="Heading2">
    <w:name w:val="heading 2"/>
    <w:basedOn w:val="Normal"/>
    <w:next w:val="BodyText1"/>
    <w:link w:val="Heading2Char"/>
    <w:qFormat/>
    <w:rsid w:val="00C86748"/>
    <w:pPr>
      <w:keepNext/>
      <w:autoSpaceDE w:val="0"/>
      <w:autoSpaceDN w:val="0"/>
      <w:adjustRightInd w:val="0"/>
      <w:spacing w:before="120" w:after="360"/>
      <w:outlineLvl w:val="1"/>
    </w:pPr>
    <w:rPr>
      <w:rFonts w:asciiTheme="majorHAnsi" w:eastAsia="Times New Roman" w:hAnsiTheme="majorHAnsi" w:cs="Arial"/>
      <w:b/>
      <w:bCs/>
      <w:sz w:val="32"/>
    </w:rPr>
  </w:style>
  <w:style w:type="paragraph" w:styleId="Heading3">
    <w:name w:val="heading 3"/>
    <w:basedOn w:val="Normal"/>
    <w:next w:val="BodyText1"/>
    <w:link w:val="Heading3Char"/>
    <w:qFormat/>
    <w:rsid w:val="008F6760"/>
    <w:pPr>
      <w:keepNext/>
      <w:outlineLvl w:val="2"/>
    </w:pPr>
    <w:rPr>
      <w:rFonts w:asciiTheme="minorHAnsi" w:eastAsia="Times New Roman" w:hAnsiTheme="minorHAnsi" w:cs="Arial"/>
      <w:bCs/>
      <w:i/>
      <w:sz w:val="26"/>
    </w:rPr>
  </w:style>
  <w:style w:type="paragraph" w:styleId="Heading4">
    <w:name w:val="heading 4"/>
    <w:basedOn w:val="Normal"/>
    <w:next w:val="BodyText1"/>
    <w:link w:val="Heading4Char"/>
    <w:qFormat/>
    <w:rsid w:val="00905EF4"/>
    <w:pPr>
      <w:keepNext/>
      <w:outlineLvl w:val="3"/>
    </w:pPr>
    <w:rPr>
      <w:rFonts w:ascii="Arial" w:hAnsi="Arial"/>
      <w:i/>
    </w:rPr>
  </w:style>
  <w:style w:type="paragraph" w:styleId="Heading5">
    <w:name w:val="heading 5"/>
    <w:basedOn w:val="Normal"/>
    <w:next w:val="Normal"/>
    <w:link w:val="Heading5Char"/>
    <w:uiPriority w:val="4"/>
    <w:semiHidden/>
    <w:qFormat/>
    <w:rsid w:val="00DC52E3"/>
    <w:pPr>
      <w:outlineLvl w:val="4"/>
    </w:pPr>
    <w:rPr>
      <w:rFonts w:ascii="Trebuchet MS" w:hAnsi="Trebuchet MS"/>
      <w:b/>
      <w:sz w:val="32"/>
    </w:rPr>
  </w:style>
  <w:style w:type="paragraph" w:styleId="Heading6">
    <w:name w:val="heading 6"/>
    <w:basedOn w:val="Normal"/>
    <w:next w:val="Normal"/>
    <w:link w:val="Heading6Char"/>
    <w:uiPriority w:val="5"/>
    <w:semiHidden/>
    <w:qFormat/>
    <w:rsid w:val="00DC52E3"/>
    <w:pPr>
      <w:keepNext/>
      <w:keepLines/>
      <w:spacing w:before="200"/>
      <w:outlineLvl w:val="5"/>
    </w:pPr>
    <w:rPr>
      <w:rFonts w:ascii="Trebuchet MS" w:eastAsia="Times New Roman" w:hAnsi="Trebuchet MS"/>
      <w:iCs/>
      <w:color w:val="0C2577"/>
      <w:sz w:val="9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05EF4"/>
    <w:rPr>
      <w:rFonts w:asciiTheme="majorHAnsi" w:hAnsiTheme="majorHAnsi"/>
      <w:b/>
      <w:sz w:val="28"/>
    </w:rPr>
  </w:style>
  <w:style w:type="character" w:customStyle="1" w:styleId="Heading2Char">
    <w:name w:val="Heading 2 Char"/>
    <w:basedOn w:val="DefaultParagraphFont"/>
    <w:link w:val="Heading2"/>
    <w:rsid w:val="00C86748"/>
    <w:rPr>
      <w:rFonts w:asciiTheme="majorHAnsi" w:eastAsia="Times New Roman" w:hAnsiTheme="majorHAnsi" w:cs="Arial"/>
      <w:b/>
      <w:bCs/>
      <w:sz w:val="32"/>
    </w:rPr>
  </w:style>
  <w:style w:type="character" w:styleId="PlaceholderText">
    <w:name w:val="Placeholder Text"/>
    <w:basedOn w:val="DefaultParagraphFont"/>
    <w:uiPriority w:val="99"/>
    <w:semiHidden/>
    <w:rsid w:val="00B04B20"/>
    <w:rPr>
      <w:color w:val="808080"/>
    </w:rPr>
  </w:style>
  <w:style w:type="paragraph" w:styleId="BalloonText">
    <w:name w:val="Balloon Text"/>
    <w:basedOn w:val="Normal"/>
    <w:link w:val="BalloonTextChar"/>
    <w:uiPriority w:val="49"/>
    <w:semiHidden/>
    <w:unhideWhenUsed/>
    <w:rsid w:val="00B04B20"/>
    <w:rPr>
      <w:rFonts w:ascii="Tahoma" w:hAnsi="Tahoma" w:cs="Tahoma"/>
      <w:sz w:val="16"/>
      <w:szCs w:val="16"/>
    </w:rPr>
  </w:style>
  <w:style w:type="character" w:customStyle="1" w:styleId="BalloonTextChar">
    <w:name w:val="Balloon Text Char"/>
    <w:basedOn w:val="DefaultParagraphFont"/>
    <w:link w:val="BalloonText"/>
    <w:uiPriority w:val="49"/>
    <w:semiHidden/>
    <w:rsid w:val="001F6B8D"/>
    <w:rPr>
      <w:rFonts w:ascii="Tahoma" w:hAnsi="Tahoma" w:cs="Tahoma"/>
      <w:sz w:val="16"/>
      <w:szCs w:val="16"/>
    </w:rPr>
  </w:style>
  <w:style w:type="character" w:customStyle="1" w:styleId="Heading3Char">
    <w:name w:val="Heading 3 Char"/>
    <w:basedOn w:val="DefaultParagraphFont"/>
    <w:link w:val="Heading3"/>
    <w:rsid w:val="008F6760"/>
    <w:rPr>
      <w:rFonts w:asciiTheme="minorHAnsi" w:eastAsia="Times New Roman" w:hAnsiTheme="minorHAnsi" w:cs="Arial"/>
      <w:bCs/>
      <w:i/>
      <w:sz w:val="26"/>
    </w:rPr>
  </w:style>
  <w:style w:type="character" w:customStyle="1" w:styleId="Heading4Char">
    <w:name w:val="Heading 4 Char"/>
    <w:basedOn w:val="DefaultParagraphFont"/>
    <w:link w:val="Heading4"/>
    <w:rsid w:val="00905EF4"/>
    <w:rPr>
      <w:rFonts w:ascii="Arial" w:hAnsi="Arial"/>
      <w:i/>
    </w:rPr>
  </w:style>
  <w:style w:type="character" w:customStyle="1" w:styleId="Heading5Char">
    <w:name w:val="Heading 5 Char"/>
    <w:basedOn w:val="DefaultParagraphFont"/>
    <w:link w:val="Heading5"/>
    <w:uiPriority w:val="4"/>
    <w:semiHidden/>
    <w:rsid w:val="00842FBD"/>
    <w:rPr>
      <w:rFonts w:ascii="Trebuchet MS" w:hAnsi="Trebuchet MS"/>
      <w:b/>
      <w:sz w:val="32"/>
    </w:rPr>
  </w:style>
  <w:style w:type="character" w:customStyle="1" w:styleId="Heading6Char">
    <w:name w:val="Heading 6 Char"/>
    <w:basedOn w:val="DefaultParagraphFont"/>
    <w:link w:val="Heading6"/>
    <w:uiPriority w:val="5"/>
    <w:semiHidden/>
    <w:rsid w:val="00787FA9"/>
    <w:rPr>
      <w:rFonts w:ascii="Trebuchet MS" w:eastAsia="Times New Roman" w:hAnsi="Trebuchet MS"/>
      <w:iCs/>
      <w:color w:val="0C2577"/>
      <w:sz w:val="90"/>
    </w:rPr>
  </w:style>
  <w:style w:type="paragraph" w:styleId="EnvelopeAddress">
    <w:name w:val="envelope address"/>
    <w:basedOn w:val="Normal"/>
    <w:uiPriority w:val="49"/>
    <w:semiHidden/>
    <w:unhideWhenUsed/>
    <w:rsid w:val="007031F4"/>
    <w:pPr>
      <w:framePr w:w="7920" w:h="1980" w:hRule="exact" w:hSpace="180" w:wrap="auto" w:hAnchor="page" w:xAlign="center" w:yAlign="bottom"/>
      <w:ind w:left="2880"/>
    </w:pPr>
    <w:rPr>
      <w:rFonts w:eastAsia="Times New Roman"/>
    </w:rPr>
  </w:style>
  <w:style w:type="paragraph" w:styleId="EnvelopeReturn">
    <w:name w:val="envelope return"/>
    <w:basedOn w:val="Normal"/>
    <w:uiPriority w:val="49"/>
    <w:semiHidden/>
    <w:unhideWhenUsed/>
    <w:rsid w:val="007031F4"/>
    <w:rPr>
      <w:rFonts w:eastAsia="Times New Roman"/>
      <w:sz w:val="20"/>
      <w:szCs w:val="20"/>
    </w:rPr>
  </w:style>
  <w:style w:type="character" w:styleId="Hyperlink">
    <w:name w:val="Hyperlink"/>
    <w:basedOn w:val="DefaultParagraphFont"/>
    <w:uiPriority w:val="99"/>
    <w:rsid w:val="00BC2D08"/>
    <w:rPr>
      <w:color w:val="0000FF"/>
      <w:u w:val="single"/>
    </w:rPr>
  </w:style>
  <w:style w:type="paragraph" w:styleId="BodyText2">
    <w:name w:val="Body Text 2"/>
    <w:basedOn w:val="Normal"/>
    <w:link w:val="BodyText2Char"/>
    <w:uiPriority w:val="99"/>
    <w:qFormat/>
    <w:rsid w:val="003D3D62"/>
    <w:pPr>
      <w:numPr>
        <w:ilvl w:val="1"/>
        <w:numId w:val="8"/>
      </w:numPr>
      <w:jc w:val="both"/>
    </w:pPr>
  </w:style>
  <w:style w:type="character" w:customStyle="1" w:styleId="BodyText2Char">
    <w:name w:val="Body Text 2 Char"/>
    <w:basedOn w:val="DefaultParagraphFont"/>
    <w:link w:val="BodyText2"/>
    <w:rsid w:val="003D3D62"/>
  </w:style>
  <w:style w:type="paragraph" w:styleId="ListBullet">
    <w:name w:val="List Bullet"/>
    <w:basedOn w:val="Normal"/>
    <w:uiPriority w:val="38"/>
    <w:semiHidden/>
    <w:unhideWhenUsed/>
    <w:rsid w:val="005050E8"/>
    <w:pPr>
      <w:numPr>
        <w:numId w:val="1"/>
      </w:numPr>
      <w:ind w:left="357" w:hanging="357"/>
      <w:contextualSpacing/>
    </w:pPr>
  </w:style>
  <w:style w:type="paragraph" w:styleId="Header">
    <w:name w:val="header"/>
    <w:basedOn w:val="Normal"/>
    <w:next w:val="Normal"/>
    <w:link w:val="HeaderChar"/>
    <w:uiPriority w:val="1"/>
    <w:rsid w:val="00110917"/>
    <w:pPr>
      <w:tabs>
        <w:tab w:val="center" w:pos="4513"/>
        <w:tab w:val="right" w:pos="9026"/>
      </w:tabs>
      <w:spacing w:after="0"/>
      <w:contextualSpacing/>
      <w:jc w:val="right"/>
    </w:pPr>
    <w:rPr>
      <w:b/>
    </w:rPr>
  </w:style>
  <w:style w:type="character" w:customStyle="1" w:styleId="HeaderChar">
    <w:name w:val="Header Char"/>
    <w:basedOn w:val="DefaultParagraphFont"/>
    <w:link w:val="Header"/>
    <w:uiPriority w:val="1"/>
    <w:rsid w:val="00E83A76"/>
    <w:rPr>
      <w:b/>
    </w:rPr>
  </w:style>
  <w:style w:type="paragraph" w:styleId="Footer">
    <w:name w:val="footer"/>
    <w:basedOn w:val="Normal"/>
    <w:link w:val="FooterChar"/>
    <w:uiPriority w:val="99"/>
    <w:rsid w:val="00867092"/>
    <w:pPr>
      <w:tabs>
        <w:tab w:val="center" w:pos="4513"/>
        <w:tab w:val="right" w:pos="9026"/>
      </w:tabs>
      <w:spacing w:after="120"/>
      <w:jc w:val="right"/>
    </w:pPr>
    <w:rPr>
      <w:b/>
    </w:rPr>
  </w:style>
  <w:style w:type="character" w:customStyle="1" w:styleId="FooterChar">
    <w:name w:val="Footer Char"/>
    <w:basedOn w:val="DefaultParagraphFont"/>
    <w:link w:val="Footer"/>
    <w:uiPriority w:val="99"/>
    <w:rsid w:val="00E83A76"/>
    <w:rPr>
      <w:b/>
    </w:rPr>
  </w:style>
  <w:style w:type="paragraph" w:styleId="FootnoteText">
    <w:name w:val="footnote text"/>
    <w:basedOn w:val="Normal"/>
    <w:link w:val="FootnoteTextChar"/>
    <w:uiPriority w:val="99"/>
    <w:rsid w:val="00E83A76"/>
    <w:pPr>
      <w:spacing w:after="0"/>
      <w:ind w:left="567" w:hanging="567"/>
      <w:jc w:val="both"/>
    </w:pPr>
    <w:rPr>
      <w:sz w:val="20"/>
    </w:rPr>
  </w:style>
  <w:style w:type="character" w:customStyle="1" w:styleId="FootnoteTextChar">
    <w:name w:val="Footnote Text Char"/>
    <w:basedOn w:val="DefaultParagraphFont"/>
    <w:link w:val="FootnoteText"/>
    <w:uiPriority w:val="99"/>
    <w:rsid w:val="00E83A76"/>
    <w:rPr>
      <w:sz w:val="20"/>
    </w:rPr>
  </w:style>
  <w:style w:type="character" w:styleId="FootnoteReference">
    <w:name w:val="footnote reference"/>
    <w:basedOn w:val="DefaultParagraphFont"/>
    <w:uiPriority w:val="99"/>
    <w:qFormat/>
    <w:rsid w:val="00725AA6"/>
    <w:rPr>
      <w:vertAlign w:val="superscript"/>
    </w:rPr>
  </w:style>
  <w:style w:type="table" w:styleId="TableGrid">
    <w:name w:val="Table Grid"/>
    <w:basedOn w:val="TableNormal"/>
    <w:uiPriority w:val="59"/>
    <w:rsid w:val="004851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rsid w:val="00B47BD7"/>
    <w:pPr>
      <w:tabs>
        <w:tab w:val="right" w:leader="dot" w:pos="8302"/>
      </w:tabs>
      <w:spacing w:after="120"/>
      <w:ind w:right="567"/>
    </w:pPr>
    <w:rPr>
      <w:rFonts w:ascii="Arial" w:hAnsi="Arial"/>
      <w:noProof/>
    </w:rPr>
  </w:style>
  <w:style w:type="paragraph" w:styleId="TOC3">
    <w:name w:val="toc 3"/>
    <w:basedOn w:val="Normal"/>
    <w:next w:val="Normal"/>
    <w:autoRedefine/>
    <w:uiPriority w:val="39"/>
    <w:semiHidden/>
    <w:rsid w:val="0029455F"/>
    <w:pPr>
      <w:tabs>
        <w:tab w:val="right" w:leader="dot" w:pos="8302"/>
      </w:tabs>
      <w:spacing w:after="120"/>
      <w:ind w:left="567" w:right="567"/>
    </w:pPr>
    <w:rPr>
      <w:rFonts w:ascii="Arial" w:hAnsi="Arial"/>
    </w:rPr>
  </w:style>
  <w:style w:type="paragraph" w:styleId="TOCHeading">
    <w:name w:val="TOC Heading"/>
    <w:basedOn w:val="Heading1"/>
    <w:next w:val="Normal"/>
    <w:uiPriority w:val="1"/>
    <w:rsid w:val="00E96B6D"/>
    <w:pPr>
      <w:outlineLvl w:val="9"/>
    </w:pPr>
    <w:rPr>
      <w:rFonts w:eastAsiaTheme="majorEastAsia" w:cstheme="majorBidi"/>
      <w:szCs w:val="28"/>
    </w:rPr>
  </w:style>
  <w:style w:type="character" w:customStyle="1" w:styleId="BodyText1Char">
    <w:name w:val="Body Text 1 Char"/>
    <w:basedOn w:val="DefaultParagraphFont"/>
    <w:link w:val="BodyText1"/>
    <w:rsid w:val="00656D42"/>
    <w:rPr>
      <w:rFonts w:eastAsia="Times New Roman"/>
    </w:rPr>
  </w:style>
  <w:style w:type="paragraph" w:styleId="NoSpacing">
    <w:name w:val="No Spacing"/>
    <w:uiPriority w:val="1"/>
    <w:qFormat/>
    <w:rsid w:val="009D467A"/>
    <w:pPr>
      <w:spacing w:after="0"/>
    </w:pPr>
  </w:style>
  <w:style w:type="paragraph" w:customStyle="1" w:styleId="BoxHeading">
    <w:name w:val="Box Heading"/>
    <w:next w:val="Normal"/>
    <w:uiPriority w:val="1"/>
    <w:qFormat/>
    <w:rsid w:val="00656D42"/>
    <w:pPr>
      <w:spacing w:before="120" w:after="360"/>
    </w:pPr>
    <w:rPr>
      <w:rFonts w:ascii="Arial" w:eastAsia="Times New Roman" w:hAnsi="Arial" w:cs="Arial"/>
      <w:b/>
      <w:bCs/>
      <w:sz w:val="32"/>
      <w:szCs w:val="32"/>
    </w:rPr>
  </w:style>
  <w:style w:type="paragraph" w:customStyle="1" w:styleId="BoxBullet">
    <w:name w:val="Box Bullet"/>
    <w:basedOn w:val="Normal"/>
    <w:uiPriority w:val="1"/>
    <w:qFormat/>
    <w:rsid w:val="003936EA"/>
    <w:pPr>
      <w:numPr>
        <w:numId w:val="2"/>
      </w:numPr>
    </w:pPr>
    <w:rPr>
      <w:rFonts w:eastAsia="Times New Roman"/>
      <w:szCs w:val="26"/>
    </w:rPr>
  </w:style>
  <w:style w:type="paragraph" w:customStyle="1" w:styleId="BodyText1">
    <w:name w:val="Body Text 1"/>
    <w:basedOn w:val="Normal"/>
    <w:link w:val="BodyText1Char"/>
    <w:qFormat/>
    <w:rsid w:val="00E07F40"/>
    <w:pPr>
      <w:numPr>
        <w:numId w:val="8"/>
      </w:numPr>
      <w:jc w:val="both"/>
    </w:pPr>
    <w:rPr>
      <w:rFonts w:eastAsia="Times New Roman"/>
    </w:rPr>
  </w:style>
  <w:style w:type="character" w:customStyle="1" w:styleId="PSNamefieldtext">
    <w:name w:val="PS Name field text"/>
    <w:basedOn w:val="DefaultParagraphFont"/>
    <w:uiPriority w:val="2"/>
    <w:qFormat/>
    <w:rsid w:val="00E07F40"/>
    <w:rPr>
      <w:lang w:eastAsia="en-AU"/>
    </w:rPr>
  </w:style>
  <w:style w:type="character" w:customStyle="1" w:styleId="PSNofieldtext">
    <w:name w:val="PS No. field text"/>
    <w:basedOn w:val="DefaultParagraphFont"/>
    <w:uiPriority w:val="2"/>
    <w:qFormat/>
    <w:rsid w:val="00E07F40"/>
  </w:style>
  <w:style w:type="paragraph" w:styleId="BodyText3">
    <w:name w:val="Body Text 3"/>
    <w:basedOn w:val="Normal"/>
    <w:link w:val="BodyText3Char"/>
    <w:uiPriority w:val="99"/>
    <w:qFormat/>
    <w:rsid w:val="003D3D62"/>
    <w:pPr>
      <w:numPr>
        <w:ilvl w:val="2"/>
        <w:numId w:val="8"/>
      </w:numPr>
      <w:jc w:val="both"/>
    </w:pPr>
    <w:rPr>
      <w:szCs w:val="16"/>
    </w:rPr>
  </w:style>
  <w:style w:type="character" w:customStyle="1" w:styleId="BodyText3Char">
    <w:name w:val="Body Text 3 Char"/>
    <w:basedOn w:val="DefaultParagraphFont"/>
    <w:link w:val="BodyText3"/>
    <w:rsid w:val="003D3D62"/>
    <w:rPr>
      <w:szCs w:val="16"/>
    </w:rPr>
  </w:style>
  <w:style w:type="character" w:customStyle="1" w:styleId="Attachmentfieldtext">
    <w:name w:val="Attachment field text"/>
    <w:basedOn w:val="DefaultParagraphFont"/>
    <w:uiPriority w:val="2"/>
    <w:qFormat/>
    <w:rsid w:val="00867092"/>
  </w:style>
  <w:style w:type="paragraph" w:styleId="Title">
    <w:name w:val="Title"/>
    <w:basedOn w:val="Normal"/>
    <w:next w:val="Normal"/>
    <w:link w:val="TitleChar"/>
    <w:uiPriority w:val="1"/>
    <w:rsid w:val="00C67A76"/>
    <w:pPr>
      <w:spacing w:before="120"/>
    </w:pPr>
    <w:rPr>
      <w:rFonts w:asciiTheme="majorHAnsi" w:hAnsiTheme="majorHAnsi"/>
      <w:b/>
      <w:sz w:val="40"/>
    </w:rPr>
  </w:style>
  <w:style w:type="character" w:customStyle="1" w:styleId="TitleChar">
    <w:name w:val="Title Char"/>
    <w:basedOn w:val="DefaultParagraphFont"/>
    <w:link w:val="Title"/>
    <w:uiPriority w:val="1"/>
    <w:rsid w:val="00C67A76"/>
    <w:rPr>
      <w:rFonts w:asciiTheme="majorHAnsi" w:hAnsiTheme="majorHAnsi"/>
      <w:b/>
      <w:sz w:val="40"/>
    </w:rPr>
  </w:style>
  <w:style w:type="paragraph" w:styleId="TOC1">
    <w:name w:val="toc 1"/>
    <w:basedOn w:val="Normal"/>
    <w:next w:val="Normal"/>
    <w:autoRedefine/>
    <w:uiPriority w:val="39"/>
    <w:rsid w:val="00E83A76"/>
    <w:pPr>
      <w:tabs>
        <w:tab w:val="right" w:leader="dot" w:pos="8302"/>
      </w:tabs>
      <w:spacing w:after="120"/>
      <w:ind w:right="567"/>
    </w:pPr>
    <w:rPr>
      <w:rFonts w:asciiTheme="majorHAnsi" w:hAnsiTheme="majorHAnsi" w:cstheme="majorHAnsi"/>
      <w:noProof/>
    </w:rPr>
  </w:style>
  <w:style w:type="paragraph" w:styleId="TOC4">
    <w:name w:val="toc 4"/>
    <w:basedOn w:val="Normal"/>
    <w:next w:val="Normal"/>
    <w:autoRedefine/>
    <w:uiPriority w:val="39"/>
    <w:semiHidden/>
    <w:rsid w:val="00E83A76"/>
    <w:pPr>
      <w:tabs>
        <w:tab w:val="right" w:leader="dot" w:pos="8302"/>
      </w:tabs>
      <w:spacing w:after="100"/>
      <w:ind w:left="1134" w:right="567"/>
    </w:pPr>
    <w:rPr>
      <w:rFonts w:asciiTheme="majorHAnsi" w:hAnsiTheme="majorHAnsi"/>
    </w:rPr>
  </w:style>
  <w:style w:type="paragraph" w:customStyle="1" w:styleId="BodyText4">
    <w:name w:val="Body Text 4"/>
    <w:basedOn w:val="Normal"/>
    <w:qFormat/>
    <w:rsid w:val="003D3D62"/>
    <w:pPr>
      <w:numPr>
        <w:ilvl w:val="3"/>
        <w:numId w:val="8"/>
      </w:numPr>
      <w:jc w:val="both"/>
    </w:pPr>
  </w:style>
  <w:style w:type="character" w:styleId="CommentReference">
    <w:name w:val="annotation reference"/>
    <w:basedOn w:val="DefaultParagraphFont"/>
    <w:uiPriority w:val="49"/>
    <w:semiHidden/>
    <w:unhideWhenUsed/>
    <w:rsid w:val="00C536C2"/>
    <w:rPr>
      <w:sz w:val="16"/>
      <w:szCs w:val="16"/>
    </w:rPr>
  </w:style>
  <w:style w:type="paragraph" w:styleId="CommentText">
    <w:name w:val="annotation text"/>
    <w:basedOn w:val="Normal"/>
    <w:link w:val="CommentTextChar"/>
    <w:uiPriority w:val="99"/>
    <w:unhideWhenUsed/>
    <w:rsid w:val="00C536C2"/>
    <w:rPr>
      <w:sz w:val="20"/>
      <w:szCs w:val="20"/>
    </w:rPr>
  </w:style>
  <w:style w:type="character" w:customStyle="1" w:styleId="CommentTextChar">
    <w:name w:val="Comment Text Char"/>
    <w:basedOn w:val="DefaultParagraphFont"/>
    <w:link w:val="CommentText"/>
    <w:uiPriority w:val="99"/>
    <w:rsid w:val="00C536C2"/>
    <w:rPr>
      <w:sz w:val="20"/>
      <w:szCs w:val="20"/>
    </w:rPr>
  </w:style>
  <w:style w:type="paragraph" w:styleId="CommentSubject">
    <w:name w:val="annotation subject"/>
    <w:basedOn w:val="CommentText"/>
    <w:next w:val="CommentText"/>
    <w:link w:val="CommentSubjectChar"/>
    <w:uiPriority w:val="49"/>
    <w:semiHidden/>
    <w:unhideWhenUsed/>
    <w:rsid w:val="00C536C2"/>
    <w:rPr>
      <w:b/>
      <w:bCs/>
    </w:rPr>
  </w:style>
  <w:style w:type="character" w:customStyle="1" w:styleId="CommentSubjectChar">
    <w:name w:val="Comment Subject Char"/>
    <w:basedOn w:val="CommentTextChar"/>
    <w:link w:val="CommentSubject"/>
    <w:uiPriority w:val="49"/>
    <w:semiHidden/>
    <w:rsid w:val="00C536C2"/>
    <w:rPr>
      <w:b/>
      <w:bCs/>
      <w:sz w:val="20"/>
      <w:szCs w:val="20"/>
    </w:rPr>
  </w:style>
  <w:style w:type="paragraph" w:styleId="ListParagraph">
    <w:name w:val="List Paragraph"/>
    <w:basedOn w:val="Normal"/>
    <w:uiPriority w:val="34"/>
    <w:qFormat/>
    <w:rsid w:val="00147E07"/>
    <w:pPr>
      <w:spacing w:after="0"/>
      <w:ind w:left="720"/>
    </w:pPr>
    <w:rPr>
      <w:rFonts w:asciiTheme="minorHAnsi" w:eastAsiaTheme="minorHAnsi" w:hAnsiTheme="minorHAnsi" w:cstheme="minorBidi"/>
      <w:sz w:val="22"/>
      <w:szCs w:val="22"/>
      <w:lang w:eastAsia="en-US"/>
    </w:rPr>
  </w:style>
  <w:style w:type="numbering" w:styleId="1ai">
    <w:name w:val="Outline List 1"/>
    <w:basedOn w:val="NoList"/>
    <w:uiPriority w:val="99"/>
    <w:semiHidden/>
    <w:unhideWhenUsed/>
    <w:rsid w:val="00765393"/>
    <w:pPr>
      <w:numPr>
        <w:numId w:val="15"/>
      </w:numPr>
    </w:pPr>
  </w:style>
  <w:style w:type="character" w:styleId="FollowedHyperlink">
    <w:name w:val="FollowedHyperlink"/>
    <w:basedOn w:val="DefaultParagraphFont"/>
    <w:uiPriority w:val="49"/>
    <w:semiHidden/>
    <w:unhideWhenUsed/>
    <w:rsid w:val="001A21BC"/>
    <w:rPr>
      <w:color w:val="919191" w:themeColor="followedHyperlink"/>
      <w:u w:val="single"/>
    </w:rPr>
  </w:style>
  <w:style w:type="paragraph" w:styleId="Revision">
    <w:name w:val="Revision"/>
    <w:hidden/>
    <w:uiPriority w:val="99"/>
    <w:semiHidden/>
    <w:rsid w:val="00AF32F4"/>
    <w:pPr>
      <w:spacing w:after="0"/>
    </w:pPr>
  </w:style>
  <w:style w:type="paragraph" w:customStyle="1" w:styleId="TableHeadNumber">
    <w:name w:val="Table Head Number"/>
    <w:basedOn w:val="Normal"/>
    <w:next w:val="Normal"/>
    <w:qFormat/>
    <w:rsid w:val="00DF7A0C"/>
    <w:pPr>
      <w:keepNext/>
      <w:numPr>
        <w:numId w:val="28"/>
      </w:numPr>
      <w:tabs>
        <w:tab w:val="left" w:pos="1134"/>
      </w:tabs>
      <w:spacing w:before="240" w:after="120"/>
      <w:ind w:left="1134" w:hanging="1134"/>
      <w:outlineLvl w:val="4"/>
    </w:pPr>
    <w:rPr>
      <w:rFonts w:asciiTheme="minorHAnsi" w:eastAsiaTheme="minorHAnsi" w:hAnsiTheme="minorHAnsi" w:cstheme="minorBidi"/>
      <w:b/>
      <w:color w:val="000000"/>
      <w:szCs w:val="22"/>
      <w:lang w:eastAsia="en-US"/>
    </w:rPr>
  </w:style>
  <w:style w:type="paragraph" w:customStyle="1" w:styleId="Heading1body">
    <w:name w:val="Heading 1_body"/>
    <w:basedOn w:val="Heading1"/>
    <w:qFormat/>
    <w:rsid w:val="00800EC7"/>
    <w:rPr>
      <w:sz w:val="24"/>
    </w:rPr>
  </w:style>
  <w:style w:type="paragraph" w:customStyle="1" w:styleId="Default">
    <w:name w:val="Default"/>
    <w:rsid w:val="00333647"/>
    <w:pPr>
      <w:autoSpaceDE w:val="0"/>
      <w:autoSpaceDN w:val="0"/>
      <w:adjustRightInd w:val="0"/>
      <w:spacing w:after="0"/>
    </w:pPr>
    <w:rPr>
      <w:color w:val="000000"/>
    </w:rPr>
  </w:style>
  <w:style w:type="paragraph" w:styleId="NormalWeb">
    <w:name w:val="Normal (Web)"/>
    <w:basedOn w:val="Normal"/>
    <w:uiPriority w:val="99"/>
    <w:semiHidden/>
    <w:unhideWhenUsed/>
    <w:rsid w:val="002C7C0F"/>
    <w:pPr>
      <w:spacing w:before="100" w:beforeAutospacing="1" w:after="100" w:afterAutospacing="1"/>
    </w:pPr>
    <w:rPr>
      <w:rFonts w:eastAsia="Times New Roman"/>
    </w:rPr>
  </w:style>
  <w:style w:type="paragraph" w:styleId="List">
    <w:name w:val="List"/>
    <w:basedOn w:val="Normal"/>
    <w:uiPriority w:val="17"/>
    <w:qFormat/>
    <w:rsid w:val="009426BB"/>
    <w:pPr>
      <w:tabs>
        <w:tab w:val="num" w:pos="425"/>
      </w:tabs>
      <w:ind w:left="425" w:hanging="425"/>
    </w:pPr>
    <w:rPr>
      <w:rFonts w:ascii="DIN OT Light" w:eastAsiaTheme="minorHAnsi" w:hAnsi="DIN OT Light" w:cstheme="minorBidi"/>
      <w:color w:val="000000"/>
      <w:sz w:val="22"/>
      <w:szCs w:val="22"/>
      <w:lang w:eastAsia="en-US"/>
    </w:rPr>
  </w:style>
  <w:style w:type="paragraph" w:styleId="List2">
    <w:name w:val="List 2"/>
    <w:basedOn w:val="Normal"/>
    <w:uiPriority w:val="17"/>
    <w:qFormat/>
    <w:rsid w:val="009426BB"/>
    <w:pPr>
      <w:tabs>
        <w:tab w:val="num" w:pos="851"/>
      </w:tabs>
      <w:ind w:left="851" w:hanging="426"/>
    </w:pPr>
    <w:rPr>
      <w:rFonts w:ascii="DIN OT Light" w:eastAsiaTheme="minorHAnsi" w:hAnsi="DIN OT Light" w:cstheme="minorBidi"/>
      <w:color w:val="000000"/>
      <w:sz w:val="22"/>
      <w:szCs w:val="22"/>
      <w:lang w:eastAsia="en-US"/>
    </w:rPr>
  </w:style>
  <w:style w:type="paragraph" w:styleId="List3">
    <w:name w:val="List 3"/>
    <w:basedOn w:val="Normal"/>
    <w:uiPriority w:val="17"/>
    <w:qFormat/>
    <w:rsid w:val="009426BB"/>
    <w:pPr>
      <w:tabs>
        <w:tab w:val="num" w:pos="1276"/>
      </w:tabs>
      <w:ind w:left="1276" w:hanging="425"/>
    </w:pPr>
    <w:rPr>
      <w:rFonts w:ascii="DIN OT Light" w:eastAsiaTheme="minorHAnsi" w:hAnsi="DIN OT Light" w:cstheme="minorBidi"/>
      <w:color w:val="00000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15678">
      <w:bodyDiv w:val="1"/>
      <w:marLeft w:val="0"/>
      <w:marRight w:val="0"/>
      <w:marTop w:val="0"/>
      <w:marBottom w:val="0"/>
      <w:divBdr>
        <w:top w:val="none" w:sz="0" w:space="0" w:color="auto"/>
        <w:left w:val="none" w:sz="0" w:space="0" w:color="auto"/>
        <w:bottom w:val="none" w:sz="0" w:space="0" w:color="auto"/>
        <w:right w:val="none" w:sz="0" w:space="0" w:color="auto"/>
      </w:divBdr>
    </w:div>
    <w:div w:id="152835742">
      <w:bodyDiv w:val="1"/>
      <w:marLeft w:val="0"/>
      <w:marRight w:val="0"/>
      <w:marTop w:val="0"/>
      <w:marBottom w:val="0"/>
      <w:divBdr>
        <w:top w:val="none" w:sz="0" w:space="0" w:color="auto"/>
        <w:left w:val="none" w:sz="0" w:space="0" w:color="auto"/>
        <w:bottom w:val="none" w:sz="0" w:space="0" w:color="auto"/>
        <w:right w:val="none" w:sz="0" w:space="0" w:color="auto"/>
      </w:divBdr>
    </w:div>
    <w:div w:id="429161371">
      <w:bodyDiv w:val="1"/>
      <w:marLeft w:val="0"/>
      <w:marRight w:val="0"/>
      <w:marTop w:val="0"/>
      <w:marBottom w:val="0"/>
      <w:divBdr>
        <w:top w:val="none" w:sz="0" w:space="0" w:color="auto"/>
        <w:left w:val="none" w:sz="0" w:space="0" w:color="auto"/>
        <w:bottom w:val="none" w:sz="0" w:space="0" w:color="auto"/>
        <w:right w:val="none" w:sz="0" w:space="0" w:color="auto"/>
      </w:divBdr>
    </w:div>
    <w:div w:id="563568226">
      <w:bodyDiv w:val="1"/>
      <w:marLeft w:val="0"/>
      <w:marRight w:val="0"/>
      <w:marTop w:val="0"/>
      <w:marBottom w:val="0"/>
      <w:divBdr>
        <w:top w:val="none" w:sz="0" w:space="0" w:color="auto"/>
        <w:left w:val="none" w:sz="0" w:space="0" w:color="auto"/>
        <w:bottom w:val="none" w:sz="0" w:space="0" w:color="auto"/>
        <w:right w:val="none" w:sz="0" w:space="0" w:color="auto"/>
      </w:divBdr>
    </w:div>
    <w:div w:id="1052653818">
      <w:bodyDiv w:val="1"/>
      <w:marLeft w:val="0"/>
      <w:marRight w:val="0"/>
      <w:marTop w:val="0"/>
      <w:marBottom w:val="0"/>
      <w:divBdr>
        <w:top w:val="none" w:sz="0" w:space="0" w:color="auto"/>
        <w:left w:val="none" w:sz="0" w:space="0" w:color="auto"/>
        <w:bottom w:val="none" w:sz="0" w:space="0" w:color="auto"/>
        <w:right w:val="none" w:sz="0" w:space="0" w:color="auto"/>
      </w:divBdr>
    </w:div>
    <w:div w:id="1202671768">
      <w:bodyDiv w:val="1"/>
      <w:marLeft w:val="0"/>
      <w:marRight w:val="0"/>
      <w:marTop w:val="0"/>
      <w:marBottom w:val="0"/>
      <w:divBdr>
        <w:top w:val="none" w:sz="0" w:space="0" w:color="auto"/>
        <w:left w:val="none" w:sz="0" w:space="0" w:color="auto"/>
        <w:bottom w:val="none" w:sz="0" w:space="0" w:color="auto"/>
        <w:right w:val="none" w:sz="0" w:space="0" w:color="auto"/>
      </w:divBdr>
    </w:div>
    <w:div w:id="1211570506">
      <w:bodyDiv w:val="1"/>
      <w:marLeft w:val="0"/>
      <w:marRight w:val="0"/>
      <w:marTop w:val="0"/>
      <w:marBottom w:val="0"/>
      <w:divBdr>
        <w:top w:val="none" w:sz="0" w:space="0" w:color="auto"/>
        <w:left w:val="none" w:sz="0" w:space="0" w:color="auto"/>
        <w:bottom w:val="none" w:sz="0" w:space="0" w:color="auto"/>
        <w:right w:val="none" w:sz="0" w:space="0" w:color="auto"/>
      </w:divBdr>
    </w:div>
    <w:div w:id="1252853091">
      <w:bodyDiv w:val="1"/>
      <w:marLeft w:val="0"/>
      <w:marRight w:val="0"/>
      <w:marTop w:val="0"/>
      <w:marBottom w:val="0"/>
      <w:divBdr>
        <w:top w:val="none" w:sz="0" w:space="0" w:color="auto"/>
        <w:left w:val="none" w:sz="0" w:space="0" w:color="auto"/>
        <w:bottom w:val="none" w:sz="0" w:space="0" w:color="auto"/>
        <w:right w:val="none" w:sz="0" w:space="0" w:color="auto"/>
      </w:divBdr>
    </w:div>
    <w:div w:id="1513955860">
      <w:bodyDiv w:val="1"/>
      <w:marLeft w:val="0"/>
      <w:marRight w:val="0"/>
      <w:marTop w:val="0"/>
      <w:marBottom w:val="0"/>
      <w:divBdr>
        <w:top w:val="none" w:sz="0" w:space="0" w:color="auto"/>
        <w:left w:val="none" w:sz="0" w:space="0" w:color="auto"/>
        <w:bottom w:val="none" w:sz="0" w:space="0" w:color="auto"/>
        <w:right w:val="none" w:sz="0" w:space="0" w:color="auto"/>
      </w:divBdr>
    </w:div>
    <w:div w:id="1590506568">
      <w:bodyDiv w:val="1"/>
      <w:marLeft w:val="0"/>
      <w:marRight w:val="0"/>
      <w:marTop w:val="0"/>
      <w:marBottom w:val="0"/>
      <w:divBdr>
        <w:top w:val="none" w:sz="0" w:space="0" w:color="auto"/>
        <w:left w:val="none" w:sz="0" w:space="0" w:color="auto"/>
        <w:bottom w:val="none" w:sz="0" w:space="0" w:color="auto"/>
        <w:right w:val="none" w:sz="0" w:space="0" w:color="auto"/>
      </w:divBdr>
    </w:div>
    <w:div w:id="1695692048">
      <w:bodyDiv w:val="1"/>
      <w:marLeft w:val="0"/>
      <w:marRight w:val="0"/>
      <w:marTop w:val="0"/>
      <w:marBottom w:val="0"/>
      <w:divBdr>
        <w:top w:val="none" w:sz="0" w:space="0" w:color="auto"/>
        <w:left w:val="none" w:sz="0" w:space="0" w:color="auto"/>
        <w:bottom w:val="none" w:sz="0" w:space="0" w:color="auto"/>
        <w:right w:val="none" w:sz="0" w:space="0" w:color="auto"/>
      </w:divBdr>
    </w:div>
    <w:div w:id="1739088330">
      <w:bodyDiv w:val="1"/>
      <w:marLeft w:val="0"/>
      <w:marRight w:val="0"/>
      <w:marTop w:val="0"/>
      <w:marBottom w:val="0"/>
      <w:divBdr>
        <w:top w:val="none" w:sz="0" w:space="0" w:color="auto"/>
        <w:left w:val="none" w:sz="0" w:space="0" w:color="auto"/>
        <w:bottom w:val="none" w:sz="0" w:space="0" w:color="auto"/>
        <w:right w:val="none" w:sz="0" w:space="0" w:color="auto"/>
      </w:divBdr>
    </w:div>
    <w:div w:id="2001616403">
      <w:bodyDiv w:val="1"/>
      <w:marLeft w:val="0"/>
      <w:marRight w:val="0"/>
      <w:marTop w:val="0"/>
      <w:marBottom w:val="0"/>
      <w:divBdr>
        <w:top w:val="none" w:sz="0" w:space="0" w:color="auto"/>
        <w:left w:val="none" w:sz="0" w:space="0" w:color="auto"/>
        <w:bottom w:val="none" w:sz="0" w:space="0" w:color="auto"/>
        <w:right w:val="none" w:sz="0" w:space="0" w:color="auto"/>
      </w:divBdr>
      <w:divsChild>
        <w:div w:id="89779080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header" Target="header2.xml"/><Relationship Id="rId26" Type="http://schemas.openxmlformats.org/officeDocument/2006/relationships/footer" Target="footer10.xml"/><Relationship Id="rId39" Type="http://schemas.openxmlformats.org/officeDocument/2006/relationships/image" Target="media/image12.emf"/><Relationship Id="rId21" Type="http://schemas.openxmlformats.org/officeDocument/2006/relationships/footer" Target="footer5.xml"/><Relationship Id="rId34" Type="http://schemas.openxmlformats.org/officeDocument/2006/relationships/footer" Target="footer11.xml"/><Relationship Id="rId42" Type="http://schemas.openxmlformats.org/officeDocument/2006/relationships/fontTable" Target="fontTable.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4.xml"/><Relationship Id="rId29" Type="http://schemas.openxmlformats.org/officeDocument/2006/relationships/image" Target="media/image5.emf"/><Relationship Id="rId41" Type="http://schemas.openxmlformats.org/officeDocument/2006/relationships/footer" Target="footer1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8.xml"/><Relationship Id="rId32" Type="http://schemas.openxmlformats.org/officeDocument/2006/relationships/image" Target="media/image8.emf"/><Relationship Id="rId37" Type="http://schemas.openxmlformats.org/officeDocument/2006/relationships/image" Target="media/image11.emf"/><Relationship Id="rId40" Type="http://schemas.openxmlformats.org/officeDocument/2006/relationships/image" Target="media/image13.emf"/><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footer" Target="footer7.xml"/><Relationship Id="rId28" Type="http://schemas.openxmlformats.org/officeDocument/2006/relationships/image" Target="media/image4.png"/><Relationship Id="rId36" Type="http://schemas.openxmlformats.org/officeDocument/2006/relationships/image" Target="media/image10.emf"/><Relationship Id="rId10" Type="http://schemas.openxmlformats.org/officeDocument/2006/relationships/webSettings" Target="webSettings.xml"/><Relationship Id="rId19" Type="http://schemas.openxmlformats.org/officeDocument/2006/relationships/footer" Target="footer3.xml"/><Relationship Id="rId31" Type="http://schemas.openxmlformats.org/officeDocument/2006/relationships/image" Target="media/image7.e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oter" Target="footer6.xml"/><Relationship Id="rId27" Type="http://schemas.openxmlformats.org/officeDocument/2006/relationships/image" Target="media/image3.emf"/><Relationship Id="rId30" Type="http://schemas.openxmlformats.org/officeDocument/2006/relationships/image" Target="media/image6.emf"/><Relationship Id="rId35" Type="http://schemas.openxmlformats.org/officeDocument/2006/relationships/footer" Target="footer12.xml"/><Relationship Id="rId43" Type="http://schemas.openxmlformats.org/officeDocument/2006/relationships/theme" Target="theme/theme1.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footer" Target="footer9.xml"/><Relationship Id="rId33" Type="http://schemas.openxmlformats.org/officeDocument/2006/relationships/image" Target="media/image9.emf"/><Relationship Id="rId38" Type="http://schemas.openxmlformats.org/officeDocument/2006/relationships/footer" Target="footer13.xml"/></Relationships>
</file>

<file path=word/theme/theme1.xml><?xml version="1.0" encoding="utf-8"?>
<a:theme xmlns:a="http://schemas.openxmlformats.org/drawingml/2006/main" name="APRA">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8aef97a4-ded2-4e4a-9fbc-e666dae3ecd2" ContentTypeId="0x0101008CA7A4F8331B45C7B0D3158B4994D0CA02" PreviousValue="false"/>
</file>

<file path=customXml/item4.xml><?xml version="1.0" encoding="utf-8"?>
<p:properties xmlns:p="http://schemas.microsoft.com/office/2006/metadata/properties" xmlns:xsi="http://www.w3.org/2001/XMLSchema-instance" xmlns:pc="http://schemas.microsoft.com/office/infopath/2007/PartnerControls">
  <documentManagement>
    <APRADocScanCheck xmlns="814d62cb-2db6-4c25-ab62-b9075facbc11">false</APRADocScanCheck>
    <j163382b748246d3b6e7caae71dbeeb0 xmlns="814d62cb-2db6-4c25-ab62-b9075facbc11">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84d6b2d0-8498-4d62-bf46-bab38babbe9e</TermId>
        </TermInfo>
      </Terms>
    </j163382b748246d3b6e7caae71dbeeb0>
    <l003ee8eff60461aa1bd0027aba92ea4 xmlns="814d62cb-2db6-4c25-ab62-b9075facbc11">
      <Terms xmlns="http://schemas.microsoft.com/office/infopath/2007/PartnerControls"/>
    </l003ee8eff60461aa1bd0027aba92ea4>
    <APRASecurityClassification xmlns="814d62cb-2db6-4c25-ab62-b9075facbc11">OFFICIAL</APRASecurityClassification>
    <p10c80fc2da942ae8f2ea9b33b6ea0ba xmlns="814d62cb-2db6-4c25-ab62-b9075facbc11">
      <Terms xmlns="http://schemas.microsoft.com/office/infopath/2007/PartnerControls">
        <TermInfo xmlns="http://schemas.microsoft.com/office/infopath/2007/PartnerControls">
          <TermName xmlns="http://schemas.microsoft.com/office/infopath/2007/PartnerControls">Legal - ADI</TermName>
          <TermId xmlns="http://schemas.microsoft.com/office/infopath/2007/PartnerControls">652d8d2a-ab45-47b4-ac6e-fe6ac9299b39</TermId>
        </TermInfo>
        <TermInfo xmlns="http://schemas.microsoft.com/office/infopath/2007/PartnerControls">
          <TermName xmlns="http://schemas.microsoft.com/office/infopath/2007/PartnerControls">Legal - Insurance: General</TermName>
          <TermId xmlns="http://schemas.microsoft.com/office/infopath/2007/PartnerControls">8229dc1a-d7f2-47b2-844a-b026fed0c13d</TermId>
        </TermInfo>
        <TermInfo xmlns="http://schemas.microsoft.com/office/infopath/2007/PartnerControls">
          <TermName xmlns="http://schemas.microsoft.com/office/infopath/2007/PartnerControls">Legal - Insurance: Health</TermName>
          <TermId xmlns="http://schemas.microsoft.com/office/infopath/2007/PartnerControls">21611e62-d688-4f0d-8807-02701cc43699</TermId>
        </TermInfo>
        <TermInfo xmlns="http://schemas.microsoft.com/office/infopath/2007/PartnerControls">
          <TermName xmlns="http://schemas.microsoft.com/office/infopath/2007/PartnerControls">Legal - Insurance: Life</TermName>
          <TermId xmlns="http://schemas.microsoft.com/office/infopath/2007/PartnerControls">56f18b50-6605-4f3f-97e3-cad1cb5394e0</TermId>
        </TermInfo>
        <TermInfo xmlns="http://schemas.microsoft.com/office/infopath/2007/PartnerControls">
          <TermName xmlns="http://schemas.microsoft.com/office/infopath/2007/PartnerControls">Legal - Superannuation</TermName>
          <TermId xmlns="http://schemas.microsoft.com/office/infopath/2007/PartnerControls">cce3181d-fd23-4eee-94d3-c66abc2350cf</TermId>
        </TermInfo>
      </Terms>
    </p10c80fc2da942ae8f2ea9b33b6ea0ba>
    <_dlc_DocId xmlns="814d62cb-2db6-4c25-ab62-b9075facbc11">5JENXJJSCC7A-445999044-11861</_dlc_DocId>
    <APRAOwner xmlns="814d62cb-2db6-4c25-ab62-b9075facbc11">
      <UserInfo>
        <DisplayName/>
        <AccountId xsi:nil="true"/>
        <AccountType/>
      </UserInfo>
    </APRAOwner>
    <pa005173035e41c3986b37b8e650f3ef xmlns="814d62cb-2db6-4c25-ab62-b9075facbc11">
      <Terms xmlns="http://schemas.microsoft.com/office/infopath/2007/PartnerControls"/>
    </pa005173035e41c3986b37b8e650f3ef>
    <ka2715b9eb154114a4f57d7fbf82ec75 xmlns="814d62cb-2db6-4c25-ab62-b9075facbc11">
      <Terms xmlns="http://schemas.microsoft.com/office/infopath/2007/PartnerControls"/>
    </ka2715b9eb154114a4f57d7fbf82ec75>
    <APRADescription xmlns="814d62cb-2db6-4c25-ab62-b9075facbc11">APS 112 Capital Adequacy: Standardised Approach to Credit Risk</APRADescription>
    <APRAApprovedBy xmlns="814d62cb-2db6-4c25-ab62-b9075facbc11">
      <UserInfo>
        <DisplayName/>
        <AccountId xsi:nil="true"/>
        <AccountType/>
      </UserInfo>
    </APRAApprovedBy>
    <i08e72d8ce2b4ffa9361f9f4e0a63abc xmlns="814d62cb-2db6-4c25-ab62-b9075facbc11">
      <Terms xmlns="http://schemas.microsoft.com/office/infopath/2007/PartnerControls"/>
    </i08e72d8ce2b4ffa9361f9f4e0a63abc>
    <APRAKeywords xmlns="814d62cb-2db6-4c25-ab62-b9075facbc11" xsi:nil="true"/>
    <i05115a133414b4dabee2531e4b46b67 xmlns="814d62cb-2db6-4c25-ab62-b9075facbc11">
      <Terms xmlns="http://schemas.microsoft.com/office/infopath/2007/PartnerControls">
        <TermInfo xmlns="http://schemas.microsoft.com/office/infopath/2007/PartnerControls">
          <TermName xmlns="http://schemas.microsoft.com/office/infopath/2007/PartnerControls">Registration</TermName>
          <TermId xmlns="http://schemas.microsoft.com/office/infopath/2007/PartnerControls">390476ce-d76d-4e8d-905f-28e32d2df127</TermId>
        </TermInfo>
        <TermInfo xmlns="http://schemas.microsoft.com/office/infopath/2007/PartnerControls">
          <TermName xmlns="http://schemas.microsoft.com/office/infopath/2007/PartnerControls">Statutory instrument</TermName>
          <TermId xmlns="http://schemas.microsoft.com/office/infopath/2007/PartnerControls">fe68928c-5a9c-4caf-bc8c-6c18cedcb17f</TermId>
        </TermInfo>
      </Terms>
    </i05115a133414b4dabee2531e4b46b67>
    <ic4067bd02f14cf3a95ad35878404a71 xmlns="814d62cb-2db6-4c25-ab62-b9075facbc11">
      <Terms xmlns="http://schemas.microsoft.com/office/infopath/2007/PartnerControls"/>
    </ic4067bd02f14cf3a95ad35878404a71>
    <k4bcc0d734474fea9fb713d9c415b4b0 xmlns="814d62cb-2db6-4c25-ab62-b9075facbc11">
      <Terms xmlns="http://schemas.microsoft.com/office/infopath/2007/PartnerControls"/>
    </k4bcc0d734474fea9fb713d9c415b4b0>
    <_dlc_DocIdUrl xmlns="814d62cb-2db6-4c25-ab62-b9075facbc11">
      <Url>https://im/teams/LEGAL/_layouts/15/DocIdRedir.aspx?ID=5JENXJJSCC7A-445999044-11861</Url>
      <Description>5JENXJJSCC7A-445999044-11861</Description>
    </_dlc_DocIdUrl>
    <j724204a644741eb9f777fcb03fe8840 xmlns="814d62cb-2db6-4c25-ab62-b9075facbc11">
      <Terms xmlns="http://schemas.microsoft.com/office/infopath/2007/PartnerControls"/>
    </j724204a644741eb9f777fcb03fe8840>
    <APRADate xmlns="814d62cb-2db6-4c25-ab62-b9075facbc11" xsi:nil="true"/>
    <aa36a5a650d54f768f171f4d17b8b238 xmlns="814d62cb-2db6-4c25-ab62-b9075facbc11">
      <Terms xmlns="http://schemas.microsoft.com/office/infopath/2007/PartnerControls"/>
    </aa36a5a650d54f768f171f4d17b8b238>
    <b37d8d7e823543f58f89056343a9035c xmlns="814d62cb-2db6-4c25-ab62-b9075facbc11">
      <Terms xmlns="http://schemas.microsoft.com/office/infopath/2007/PartnerControls"/>
    </b37d8d7e823543f58f89056343a9035c>
    <d9a849fd1b8e46ada0321eb0681a10ee xmlns="814d62cb-2db6-4c25-ab62-b9075facbc11">
      <Terms xmlns="http://schemas.microsoft.com/office/infopath/2007/PartnerControls"/>
    </d9a849fd1b8e46ada0321eb0681a10ee>
    <m2df5fdf6d1643b4a596982762bb3d00 xmlns="814d62cb-2db6-4c25-ab62-b9075facbc11">
      <Terms xmlns="http://schemas.microsoft.com/office/infopath/2007/PartnerControls"/>
    </m2df5fdf6d1643b4a596982762bb3d00>
    <APRAApprovalDate xmlns="814d62cb-2db6-4c25-ab62-b9075facbc11" xsi:nil="true"/>
    <h67caa35a4114acd8e15fe89b3f29f9e xmlns="814d62cb-2db6-4c25-ab62-b9075facbc11">
      <Terms xmlns="http://schemas.microsoft.com/office/infopath/2007/PartnerControls">
        <TermInfo xmlns="http://schemas.microsoft.com/office/infopath/2007/PartnerControls">
          <TermName xmlns="http://schemas.microsoft.com/office/infopath/2007/PartnerControls">Prudential standard</TermName>
          <TermId xmlns="http://schemas.microsoft.com/office/infopath/2007/PartnerControls">6ce5a155-9ab2-41e3-9b2a-5baab4b7f1d1</TermId>
        </TermInfo>
        <TermInfo xmlns="http://schemas.microsoft.com/office/infopath/2007/PartnerControls">
          <TermName xmlns="http://schemas.microsoft.com/office/infopath/2007/PartnerControls">Legal instrument</TermName>
          <TermId xmlns="http://schemas.microsoft.com/office/infopath/2007/PartnerControls">71fd6ed3-d6d6-4975-ba99-bfe45802e734</TermId>
        </TermInfo>
      </Terms>
    </h67caa35a4114acd8e15fe89b3f29f9e>
    <TaxCatchAll xmlns="814d62cb-2db6-4c25-ab62-b9075facbc11">
      <Value>24</Value>
      <Value>83</Value>
      <Value>58</Value>
      <Value>134</Value>
      <Value>10</Value>
      <Value>26</Value>
      <Value>93</Value>
      <Value>109</Value>
      <Value>142</Value>
      <Value>19</Value>
    </TaxCatchAll>
    <APRAActivityID xmlns="814d62cb-2db6-4c25-ab62-b9075facbc11" xsi:nil="true"/>
    <f284b4f8578a44cfae4f67a86df81119 xmlns="814d62cb-2db6-4c25-ab62-b9075facbc11">
      <Terms xmlns="http://schemas.microsoft.com/office/infopath/2007/PartnerControls"/>
    </f284b4f8578a44cfae4f67a86df81119>
    <APRAMeetingDate xmlns="814d62cb-2db6-4c25-ab62-b9075facbc11" xsi:nil="true"/>
    <APRAMeetingNumber xmlns="814d62cb-2db6-4c25-ab62-b9075facbc11"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Standard Content" ma:contentTypeID="0x0101008CA7A4F8331B45C7B0D3158B4994D0CA0200577EC0F5A1FBFC498F9A8436B963F8A6" ma:contentTypeVersion="73" ma:contentTypeDescription="Create a new document." ma:contentTypeScope="" ma:versionID="73e2e2cfc32a2691ee31d7af9bd362de">
  <xsd:schema xmlns:xsd="http://www.w3.org/2001/XMLSchema" xmlns:xs="http://www.w3.org/2001/XMLSchema" xmlns:p="http://schemas.microsoft.com/office/2006/metadata/properties" xmlns:ns1="814d62cb-2db6-4c25-ab62-b9075facbc11" targetNamespace="http://schemas.microsoft.com/office/2006/metadata/properties" ma:root="true" ma:fieldsID="7be0268868a1afd65d01f44ca09bb39c" ns1:_="">
    <xsd:import namespace="814d62cb-2db6-4c25-ab62-b9075facbc11"/>
    <xsd:element name="properties">
      <xsd:complexType>
        <xsd:sequence>
          <xsd:element name="documentManagement">
            <xsd:complexType>
              <xsd:all>
                <xsd:element ref="ns1:_dlc_DocIdUrl" minOccurs="0"/>
                <xsd:element ref="ns1:APRADescription" minOccurs="0"/>
                <xsd:element ref="ns1:APRAActivityID" minOccurs="0"/>
                <xsd:element ref="ns1:APRASecurityClassification"/>
                <xsd:element ref="ns1:APRAKeywords" minOccurs="0"/>
                <xsd:element ref="ns1:APRADate" minOccurs="0"/>
                <xsd:element ref="ns1:APRAOwner" minOccurs="0"/>
                <xsd:element ref="ns1:APRAApprovedBy" minOccurs="0"/>
                <xsd:element ref="ns1:APRAApprovalDate" minOccurs="0"/>
                <xsd:element ref="ns1:APRAEntityID" minOccurs="0"/>
                <xsd:element ref="ns1:APRAEntityName" minOccurs="0"/>
                <xsd:element ref="ns1:Received" minOccurs="0"/>
                <xsd:element ref="ns1:From-Address" minOccurs="0"/>
                <xsd:element ref="ns1:To-Address" minOccurs="0"/>
                <xsd:element ref="ns1:Attachment" minOccurs="0"/>
                <xsd:element ref="ns1:Conversation" minOccurs="0"/>
                <xsd:element ref="ns1:APRADocScanCheck" minOccurs="0"/>
                <xsd:element ref="ns1:j163382b748246d3b6e7caae71dbeeb0" minOccurs="0"/>
                <xsd:element ref="ns1:f284b4f8578a44cfae4f67a86df81119" minOccurs="0"/>
                <xsd:element ref="ns1:_dlc_DocIdPersistId" minOccurs="0"/>
                <xsd:element ref="ns1:i05115a133414b4dabee2531e4b46b67" minOccurs="0"/>
                <xsd:element ref="ns1:h67caa35a4114acd8e15fe89b3f29f9e" minOccurs="0"/>
                <xsd:element ref="ns1:pa005173035e41c3986b37b8e650f3ef" minOccurs="0"/>
                <xsd:element ref="ns1:p10c80fc2da942ae8f2ea9b33b6ea0ba" minOccurs="0"/>
                <xsd:element ref="ns1:ka2715b9eb154114a4f57d7fbf82ec75" minOccurs="0"/>
                <xsd:element ref="ns1:TaxCatchAll" minOccurs="0"/>
                <xsd:element ref="ns1:i08e72d8ce2b4ffa9361f9f4e0a63abc" minOccurs="0"/>
                <xsd:element ref="ns1:TaxCatchAllLabel" minOccurs="0"/>
                <xsd:element ref="ns1:ic4067bd02f14cf3a95ad35878404a71" minOccurs="0"/>
                <xsd:element ref="ns1:l003ee8eff60461aa1bd0027aba92ea4" minOccurs="0"/>
                <xsd:element ref="ns1:b37d8d7e823543f58f89056343a9035c" minOccurs="0"/>
                <xsd:element ref="ns1:_dlc_DocId" minOccurs="0"/>
                <xsd:element ref="ns1:aa36a5a650d54f768f171f4d17b8b238" minOccurs="0"/>
                <xsd:element ref="ns1:j724204a644741eb9f777fcb03fe8840" minOccurs="0"/>
                <xsd:element ref="ns1:m2df5fdf6d1643b4a596982762bb3d00" minOccurs="0"/>
                <xsd:element ref="ns1:k4bcc0d734474fea9fb713d9c415b4b0" minOccurs="0"/>
                <xsd:element ref="ns1:d9a849fd1b8e46ada0321eb0681a10ee" minOccurs="0"/>
                <xsd:element ref="ns1:APRAMeetingDate" minOccurs="0"/>
                <xsd:element ref="ns1:APRAMeeting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4d62cb-2db6-4c25-ab62-b9075facbc11" elementFormDefault="qualified">
    <xsd:import namespace="http://schemas.microsoft.com/office/2006/documentManagement/types"/>
    <xsd:import namespace="http://schemas.microsoft.com/office/infopath/2007/PartnerControls"/>
    <xsd:element name="_dlc_DocIdUrl" ma:index="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APRADescription" ma:index="3" nillable="true" ma:displayName="Description" ma:internalName="APRADescription">
      <xsd:simpleType>
        <xsd:restriction base="dms:Note"/>
      </xsd:simpleType>
    </xsd:element>
    <xsd:element name="APRAActivityID" ma:index="4" nillable="true" ma:displayName="Activity ID" ma:internalName="APRAActivityID" ma:readOnly="false">
      <xsd:simpleType>
        <xsd:restriction base="dms:Text"/>
      </xsd:simpleType>
    </xsd:element>
    <xsd:element name="APRASecurityClassification" ma:index="8" ma:displayName="Security classification" ma:default="OFFICIAL: Sensitive" ma:hidden="true" ma:internalName="APRASecurityClassification" ma:readOnly="false">
      <xsd:simpleType>
        <xsd:restriction base="dms:Choice">
          <xsd:enumeration value="OFFICIAL"/>
          <xsd:enumeration value="OFFICIAL: Sensitive"/>
          <xsd:enumeration value="OFFICIAL: Sensitive (APRA Act s56)"/>
          <xsd:enumeration value="OFFICIAL: Sensitive (Personal privacy)"/>
          <xsd:enumeration value="OFFICIAL: Sensitive (Legal privilege)"/>
          <xsd:enumeration value="OFFICIAL: Sensitive: NATIONAL CABINET"/>
          <xsd:enumeration value="OFFICIAL: Sensitive: NATIONAL CABINET (APRA Act s56)"/>
          <xsd:enumeration value="OFFICIAL: Sensitive: NATIONAL CABINET (Personal privacy)"/>
          <xsd:enumeration value="OFFICIAL: Sensitive: NATIONAL CABINET (Legal privilege)"/>
          <xsd:enumeration value="PROTECTED"/>
          <xsd:enumeration value="PROTECTED (APRA Act s56)"/>
          <xsd:enumeration value="PROTECTED (Personal privacy)"/>
          <xsd:enumeration value="PROTECTED (Legal privilege)"/>
          <xsd:enumeration value="PROTECTED: CABINET"/>
          <xsd:enumeration value="PROTECTED: CABINET (APRA Act s56)"/>
          <xsd:enumeration value="PROTECTED: CABINET (Personal privacy)"/>
          <xsd:enumeration value="PROTECTED: CABINET (Legal privilege)"/>
          <xsd:enumeration value="PROTECTED: NATIONAL CABINET"/>
          <xsd:enumeration value="PROTECTED: NATIONAL CABINET (APRA Act s56)"/>
          <xsd:enumeration value="PROTECTED: NATIONAL CABINET (Personal privacy)"/>
          <xsd:enumeration value="PROTECTED: NATIONAL CABINET (Legal privilege)"/>
          <xsd:enumeration value="UNCLASSIFIED"/>
          <xsd:enumeration value="DLM: For Official Use Only"/>
          <xsd:enumeration value="DLM: Sensitive"/>
          <xsd:enumeration value="DLM: Sensitive: Legal"/>
          <xsd:enumeration value="DLM: Sensitive: Personal"/>
          <xsd:enumeration value="PROTECTED: Sensitive: Cabinet"/>
          <xsd:enumeration value="UNOFFICIAL"/>
        </xsd:restriction>
      </xsd:simpleType>
    </xsd:element>
    <xsd:element name="APRAKeywords" ma:index="16" nillable="true" ma:displayName="Keywords" ma:internalName="APRAKeywords" ma:readOnly="false">
      <xsd:simpleType>
        <xsd:restriction base="dms:Text"/>
      </xsd:simpleType>
    </xsd:element>
    <xsd:element name="APRADate" ma:index="18" nillable="true" ma:displayName="Date" ma:format="DateOnly" ma:internalName="APRADate" ma:readOnly="false">
      <xsd:simpleType>
        <xsd:restriction base="dms:DateTime"/>
      </xsd:simpleType>
    </xsd:element>
    <xsd:element name="APRAOwner" ma:index="21" nillable="true" ma:displayName="Owner" ma:list="UserInfo" ma:internalName="APRA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edBy" ma:index="22" nillable="true" ma:displayName="Approved by" ma:list="UserInfo" ma:internalName="APRAApprovedBy"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alDate" ma:index="23" nillable="true" ma:displayName="Approval date" ma:format="DateOnly" ma:internalName="APRAApprovalDate" ma:readOnly="false">
      <xsd:simpleType>
        <xsd:restriction base="dms:DateTime"/>
      </xsd:simpleType>
    </xsd:element>
    <xsd:element name="APRAEntityID" ma:index="24" nillable="true" ma:displayName="Entity ID" ma:internalName="APRAEntityID" ma:readOnly="true">
      <xsd:simpleType>
        <xsd:restriction base="dms:Text"/>
      </xsd:simpleType>
    </xsd:element>
    <xsd:element name="APRAEntityName" ma:index="25" nillable="true" ma:displayName="Entity name" ma:internalName="APRAEntityName" ma:readOnly="true">
      <xsd:simpleType>
        <xsd:restriction base="dms:Text"/>
      </xsd:simpleType>
    </xsd:element>
    <xsd:element name="Received" ma:index="28" nillable="true" ma:displayName="Received" ma:format="DateTime" ma:internalName="Received" ma:readOnly="true">
      <xsd:simpleType>
        <xsd:restriction base="dms:DateTime"/>
      </xsd:simpleType>
    </xsd:element>
    <xsd:element name="From-Address" ma:index="29" nillable="true" ma:displayName="From-Address" ma:internalName="From_x002d_Address" ma:readOnly="true">
      <xsd:simpleType>
        <xsd:restriction base="dms:Text"/>
      </xsd:simpleType>
    </xsd:element>
    <xsd:element name="To-Address" ma:index="30" nillable="true" ma:displayName="To-Address" ma:internalName="To_x002d_Address" ma:readOnly="true">
      <xsd:simpleType>
        <xsd:restriction base="dms:Text"/>
      </xsd:simpleType>
    </xsd:element>
    <xsd:element name="Attachment" ma:index="31" nillable="true" ma:displayName="Attachment" ma:internalName="Attachment" ma:readOnly="true">
      <xsd:simpleType>
        <xsd:restriction base="dms:Boolean"/>
      </xsd:simpleType>
    </xsd:element>
    <xsd:element name="Conversation" ma:index="32" nillable="true" ma:displayName="Conversation" ma:internalName="Conversation" ma:readOnly="true">
      <xsd:simpleType>
        <xsd:restriction base="dms:Text"/>
      </xsd:simpleType>
    </xsd:element>
    <xsd:element name="APRADocScanCheck" ma:index="33" nillable="true" ma:displayName="Scanned document checked" ma:default="0" ma:internalName="APRADocScanCheck" ma:readOnly="false">
      <xsd:simpleType>
        <xsd:restriction base="dms:Boolean"/>
      </xsd:simpleType>
    </xsd:element>
    <xsd:element name="j163382b748246d3b6e7caae71dbeeb0" ma:index="34" ma:taxonomy="true" ma:internalName="j163382b748246d3b6e7caae71dbeeb0" ma:taxonomyFieldName="APRAStatus" ma:displayName="Status" ma:readOnly="false" ma:default="1;#Draft|0e1556d2-3fe8-443a-ada7-3620563b46b3" ma:fieldId="{3163382b-7482-46d3-b6e7-caae71dbeeb0}" ma:sspId="8aef97a4-ded2-4e4a-9fbc-e666dae3ecd2" ma:termSetId="7eb4e65e-417b-4c63-9676-ecbbffa46ffa" ma:anchorId="00000000-0000-0000-0000-000000000000" ma:open="false" ma:isKeyword="false">
      <xsd:complexType>
        <xsd:sequence>
          <xsd:element ref="pc:Terms" minOccurs="0" maxOccurs="1"/>
        </xsd:sequence>
      </xsd:complexType>
    </xsd:element>
    <xsd:element name="f284b4f8578a44cfae4f67a86df81119" ma:index="35" nillable="true" ma:taxonomy="true" ma:internalName="f284b4f8578a44cfae4f67a86df81119" ma:taxonomyFieldName="APRAReportingGroup" ma:displayName="Reporting group" ma:readOnly="true" ma:fieldId="{f284b4f8-578a-44cf-ae4f-67a86df81119}" ma:sspId="8aef97a4-ded2-4e4a-9fbc-e666dae3ecd2" ma:termSetId="c09f06e2-9097-495c-bd1d-5eef1197c3cb" ma:anchorId="00000000-0000-0000-0000-000000000000" ma:open="false" ma:isKeyword="false">
      <xsd:complexType>
        <xsd:sequence>
          <xsd:element ref="pc:Terms" minOccurs="0" maxOccurs="1"/>
        </xsd:sequence>
      </xsd:complexType>
    </xsd:element>
    <xsd:element name="_dlc_DocIdPersistId" ma:index="37" nillable="true" ma:displayName="Persist ID" ma:description="Keep ID on add." ma:hidden="true" ma:internalName="_dlc_DocIdPersistId" ma:readOnly="true">
      <xsd:simpleType>
        <xsd:restriction base="dms:Boolean"/>
      </xsd:simpleType>
    </xsd:element>
    <xsd:element name="i05115a133414b4dabee2531e4b46b67" ma:index="39" ma:taxonomy="true" ma:internalName="i05115a133414b4dabee2531e4b46b67" ma:taxonomyFieldName="APRAActivity" ma:displayName="Activity" ma:readOnly="false" ma:fieldId="{205115a1-3341-4b4d-abee-2531e4b46b67}" ma:taxonomyMulti="true" ma:sspId="8aef97a4-ded2-4e4a-9fbc-e666dae3ecd2" ma:termSetId="0a2aee47-fbed-4b43-b934-0547b3421a87" ma:anchorId="00000000-0000-0000-0000-000000000000" ma:open="false" ma:isKeyword="false">
      <xsd:complexType>
        <xsd:sequence>
          <xsd:element ref="pc:Terms" minOccurs="0" maxOccurs="1"/>
        </xsd:sequence>
      </xsd:complexType>
    </xsd:element>
    <xsd:element name="h67caa35a4114acd8e15fe89b3f29f9e" ma:index="40" ma:taxonomy="true" ma:internalName="h67caa35a4114acd8e15fe89b3f29f9e" ma:taxonomyFieldName="APRADocumentType" ma:displayName="Document type" ma:readOnly="false" ma:fieldId="{167caa35-a411-4acd-8e15-fe89b3f29f9e}" ma:taxonomyMulti="true" ma:sspId="8aef97a4-ded2-4e4a-9fbc-e666dae3ecd2" ma:termSetId="af1c35f7-5763-4cde-bc1a-b0c7e164f1eb" ma:anchorId="00000000-0000-0000-0000-000000000000" ma:open="false" ma:isKeyword="false">
      <xsd:complexType>
        <xsd:sequence>
          <xsd:element ref="pc:Terms" minOccurs="0" maxOccurs="1"/>
        </xsd:sequence>
      </xsd:complexType>
    </xsd:element>
    <xsd:element name="pa005173035e41c3986b37b8e650f3ef" ma:index="41" nillable="true" ma:taxonomy="true" ma:internalName="pa005173035e41c3986b37b8e650f3ef" ma:taxonomyFieldName="APRAExternalOrganisation" ma:displayName="External organisation" ma:readOnly="false" ma:fieldId="{9a005173-035e-41c3-986b-37b8e650f3ef}" ma:taxonomyMulti="true" ma:sspId="8aef97a4-ded2-4e4a-9fbc-e666dae3ecd2" ma:termSetId="8f5dd4ac-0a4b-4ffd-a2d2-a2e85755e1cd" ma:anchorId="00000000-0000-0000-0000-000000000000" ma:open="false" ma:isKeyword="false">
      <xsd:complexType>
        <xsd:sequence>
          <xsd:element ref="pc:Terms" minOccurs="0" maxOccurs="1"/>
        </xsd:sequence>
      </xsd:complexType>
    </xsd:element>
    <xsd:element name="p10c80fc2da942ae8f2ea9b33b6ea0ba" ma:index="43" nillable="true" ma:taxonomy="true" ma:internalName="p10c80fc2da942ae8f2ea9b33b6ea0ba" ma:taxonomyFieldName="APRACostCentre" ma:displayName="Cost Centre/Team" ma:readOnly="false" ma:fieldId="{910c80fc-2da9-42ae-8f2e-a9b33b6ea0ba}" ma:taxonomyMulti="true" ma:sspId="8aef97a4-ded2-4e4a-9fbc-e666dae3ecd2" ma:termSetId="f265c3b6-05fc-4e2c-ba60-4d4988c2d861" ma:anchorId="00000000-0000-0000-0000-000000000000" ma:open="false" ma:isKeyword="false">
      <xsd:complexType>
        <xsd:sequence>
          <xsd:element ref="pc:Terms" minOccurs="0" maxOccurs="1"/>
        </xsd:sequence>
      </xsd:complexType>
    </xsd:element>
    <xsd:element name="ka2715b9eb154114a4f57d7fbf82ec75" ma:index="45" nillable="true" ma:taxonomy="true" ma:internalName="ka2715b9eb154114a4f57d7fbf82ec75" ma:taxonomyFieldName="APRAPeriod" ma:displayName="Period" ma:readOnly="false" ma:fieldId="{4a2715b9-eb15-4114-a4f5-7d7fbf82ec75}" ma:taxonomyMulti="true" ma:sspId="8aef97a4-ded2-4e4a-9fbc-e666dae3ecd2" ma:termSetId="1a5cf56a-d80d-4891-bac9-68519ce5a3ac" ma:anchorId="00000000-0000-0000-0000-000000000000" ma:open="false" ma:isKeyword="false">
      <xsd:complexType>
        <xsd:sequence>
          <xsd:element ref="pc:Terms" minOccurs="0" maxOccurs="1"/>
        </xsd:sequence>
      </xsd:complexType>
    </xsd:element>
    <xsd:element name="TaxCatchAll" ma:index="46" nillable="true" ma:displayName="Taxonomy Catch All Column" ma:hidden="true" ma:list="{84347c30-9e0d-4c46-b2d7-e19e22f5828c}" ma:internalName="TaxCatchAll" ma:showField="CatchAllData"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08e72d8ce2b4ffa9361f9f4e0a63abc" ma:index="47" nillable="true" ma:taxonomy="true" ma:internalName="i08e72d8ce2b4ffa9361f9f4e0a63abc" ma:taxonomyFieldName="APRAYear" ma:displayName="Year" ma:readOnly="false" ma:fieldId="{208e72d8-ce2b-4ffa-9361-f9f4e0a63abc}" ma:taxonomyMulti="true" ma:sspId="8aef97a4-ded2-4e4a-9fbc-e666dae3ecd2" ma:termSetId="b4e5147a-ac61-437a-b431-73cf5e3f50b4" ma:anchorId="00000000-0000-0000-0000-000000000000" ma:open="false" ma:isKeyword="false">
      <xsd:complexType>
        <xsd:sequence>
          <xsd:element ref="pc:Terms" minOccurs="0" maxOccurs="1"/>
        </xsd:sequence>
      </xsd:complexType>
    </xsd:element>
    <xsd:element name="TaxCatchAllLabel" ma:index="48" nillable="true" ma:displayName="Taxonomy Catch All Column1" ma:hidden="true" ma:list="{84347c30-9e0d-4c46-b2d7-e19e22f5828c}" ma:internalName="TaxCatchAllLabel" ma:readOnly="true" ma:showField="CatchAllDataLabel"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c4067bd02f14cf3a95ad35878404a71" ma:index="49" nillable="true" ma:taxonomy="true" ma:internalName="ic4067bd02f14cf3a95ad35878404a71" ma:taxonomyFieldName="APRAIRTR" ma:displayName="Industry risk/thematic review" ma:readOnly="false" ma:fieldId="{2c4067bd-02f1-4cf3-a95a-d35878404a71}" ma:taxonomyMulti="true" ma:sspId="8aef97a4-ded2-4e4a-9fbc-e666dae3ecd2" ma:termSetId="6721df7c-916a-435f-a198-7feb96db3976" ma:anchorId="00000000-0000-0000-0000-000000000000" ma:open="false" ma:isKeyword="false">
      <xsd:complexType>
        <xsd:sequence>
          <xsd:element ref="pc:Terms" minOccurs="0" maxOccurs="1"/>
        </xsd:sequence>
      </xsd:complexType>
    </xsd:element>
    <xsd:element name="l003ee8eff60461aa1bd0027aba92ea4" ma:index="50" nillable="true" ma:taxonomy="true" ma:internalName="l003ee8eff60461aa1bd0027aba92ea4" ma:taxonomyFieldName="APRAIndustry" ma:displayName="Industry/Sector" ma:readOnly="false" ma:fieldId="{5003ee8e-ff60-461a-a1bd-0027aba92ea4}" ma:taxonomyMulti="true" ma:sspId="8aef97a4-ded2-4e4a-9fbc-e666dae3ecd2" ma:termSetId="d46a36ff-b81c-47a6-84c2-b6a574ca6a5d" ma:anchorId="00000000-0000-0000-0000-000000000000" ma:open="false" ma:isKeyword="false">
      <xsd:complexType>
        <xsd:sequence>
          <xsd:element ref="pc:Terms" minOccurs="0" maxOccurs="1"/>
        </xsd:sequence>
      </xsd:complexType>
    </xsd:element>
    <xsd:element name="b37d8d7e823543f58f89056343a9035c" ma:index="51" nillable="true" ma:taxonomy="true" ma:internalName="b37d8d7e823543f58f89056343a9035c" ma:taxonomyFieldName="APRALegislation" ma:displayName="Legislation" ma:readOnly="false" ma:fieldId="{b37d8d7e-8235-43f5-8f89-056343a9035c}" ma:taxonomyMulti="true" ma:sspId="8aef97a4-ded2-4e4a-9fbc-e666dae3ecd2" ma:termSetId="67e0a470-b4af-4691-908a-b900ee38db35" ma:anchorId="00000000-0000-0000-0000-000000000000" ma:open="false" ma:isKeyword="false">
      <xsd:complexType>
        <xsd:sequence>
          <xsd:element ref="pc:Terms" minOccurs="0" maxOccurs="1"/>
        </xsd:sequence>
      </xsd:complexType>
    </xsd:element>
    <xsd:element name="_dlc_DocId" ma:index="52" nillable="true" ma:displayName="Document ID Value" ma:description="The value of the document ID assigned to this item." ma:internalName="_dlc_DocId" ma:readOnly="true">
      <xsd:simpleType>
        <xsd:restriction base="dms:Text"/>
      </xsd:simpleType>
    </xsd:element>
    <xsd:element name="aa36a5a650d54f768f171f4d17b8b238" ma:index="53" nillable="true" ma:taxonomy="true" ma:internalName="aa36a5a650d54f768f171f4d17b8b238" ma:taxonomyFieldName="APRAPRSG" ma:displayName="Prudential/Reporting Standards and Guidance" ma:readOnly="false" ma:fieldId="{aa36a5a6-50d5-4f76-8f17-1f4d17b8b238}" ma:taxonomyMulti="true" ma:sspId="8aef97a4-ded2-4e4a-9fbc-e666dae3ecd2" ma:termSetId="1abfbd64-a7ba-41ad-bd44-677dfc6b15d7" ma:anchorId="00000000-0000-0000-0000-000000000000" ma:open="false" ma:isKeyword="false">
      <xsd:complexType>
        <xsd:sequence>
          <xsd:element ref="pc:Terms" minOccurs="0" maxOccurs="1"/>
        </xsd:sequence>
      </xsd:complexType>
    </xsd:element>
    <xsd:element name="j724204a644741eb9f777fcb03fe8840" ma:index="55" nillable="true" ma:taxonomy="true" ma:internalName="j724204a644741eb9f777fcb03fe8840" ma:taxonomyFieldName="APRACategory" ma:displayName="Category" ma:readOnly="false" ma:fieldId="{3724204a-6447-41eb-9f77-7fcb03fe8840}" ma:taxonomyMulti="true" ma:sspId="8aef97a4-ded2-4e4a-9fbc-e666dae3ecd2" ma:termSetId="41464afd-e131-42da-a884-f3396a619f5e" ma:anchorId="00000000-0000-0000-0000-000000000000" ma:open="false" ma:isKeyword="false">
      <xsd:complexType>
        <xsd:sequence>
          <xsd:element ref="pc:Terms" minOccurs="0" maxOccurs="1"/>
        </xsd:sequence>
      </xsd:complexType>
    </xsd:element>
    <xsd:element name="m2df5fdf6d1643b4a596982762bb3d00" ma:index="56" nillable="true" ma:taxonomy="true" ma:internalName="m2df5fdf6d1643b4a596982762bb3d00" ma:taxonomyFieldName="APRAPeerGroup" ma:displayName="Peer group" ma:readOnly="true" ma:fieldId="{62df5fdf-6d16-43b4-a596-982762bb3d00}" ma:sspId="8aef97a4-ded2-4e4a-9fbc-e666dae3ecd2" ma:termSetId="c3795591-82c1-4a32-b59e-800e245eddf3" ma:anchorId="00000000-0000-0000-0000-000000000000" ma:open="false" ma:isKeyword="false">
      <xsd:complexType>
        <xsd:sequence>
          <xsd:element ref="pc:Terms" minOccurs="0" maxOccurs="1"/>
        </xsd:sequence>
      </xsd:complexType>
    </xsd:element>
    <xsd:element name="k4bcc0d734474fea9fb713d9c415b4b0" ma:index="57" nillable="true" ma:taxonomy="true" ma:internalName="k4bcc0d734474fea9fb713d9c415b4b0" ma:taxonomyFieldName="APRAEntityAdviceSupport" ma:displayName="Entity (advice/support)" ma:readOnly="false" ma:fieldId="{44bcc0d7-3447-4fea-9fb7-13d9c415b4b0}" ma:taxonomyMulti="true" ma:sspId="8aef97a4-ded2-4e4a-9fbc-e666dae3ecd2" ma:termSetId="65e4e273-0c24-4815-bb8d-38cd0e8111f8" ma:anchorId="00000000-0000-0000-0000-000000000000" ma:open="false" ma:isKeyword="false">
      <xsd:complexType>
        <xsd:sequence>
          <xsd:element ref="pc:Terms" minOccurs="0" maxOccurs="1"/>
        </xsd:sequence>
      </xsd:complexType>
    </xsd:element>
    <xsd:element name="d9a849fd1b8e46ada0321eb0681a10ee" ma:index="59" nillable="true" ma:taxonomy="true" ma:internalName="d9a849fd1b8e46ada0321eb0681a10ee" ma:taxonomyFieldName="IT_x0020_system_x0020_type" ma:displayName="IT system type" ma:readOnly="false" ma:default="" ma:fieldId="{d9a849fd-1b8e-46ad-a032-1eb0681a10ee}" ma:sspId="8aef97a4-ded2-4e4a-9fbc-e666dae3ecd2" ma:termSetId="a68d55e5-4bde-43c7-bab2-2f4763c2c76b" ma:anchorId="00000000-0000-0000-0000-000000000000" ma:open="false" ma:isKeyword="false">
      <xsd:complexType>
        <xsd:sequence>
          <xsd:element ref="pc:Terms" minOccurs="0" maxOccurs="1"/>
        </xsd:sequence>
      </xsd:complexType>
    </xsd:element>
    <xsd:element name="APRAMeetingDate" ma:index="61" nillable="true" ma:displayName="Meeting date" ma:format="DateOnly" ma:internalName="APRAMeetingDate" ma:readOnly="false">
      <xsd:simpleType>
        <xsd:restriction base="dms:DateTime"/>
      </xsd:simpleType>
    </xsd:element>
    <xsd:element name="APRAMeetingNumber" ma:index="62" nillable="true" ma:displayName="Meeting no." ma:internalName="APRAMeetingNumber"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69654F-42D5-44A4-8ABE-E4D5297F8CEF}">
  <ds:schemaRefs>
    <ds:schemaRef ds:uri="http://schemas.microsoft.com/sharepoint/v3/contenttype/forms"/>
  </ds:schemaRefs>
</ds:datastoreItem>
</file>

<file path=customXml/itemProps2.xml><?xml version="1.0" encoding="utf-8"?>
<ds:datastoreItem xmlns:ds="http://schemas.openxmlformats.org/officeDocument/2006/customXml" ds:itemID="{E434C4CF-5F41-40E2-BECD-D572C2726CD3}">
  <ds:schemaRefs>
    <ds:schemaRef ds:uri="http://schemas.microsoft.com/sharepoint/events"/>
  </ds:schemaRefs>
</ds:datastoreItem>
</file>

<file path=customXml/itemProps3.xml><?xml version="1.0" encoding="utf-8"?>
<ds:datastoreItem xmlns:ds="http://schemas.openxmlformats.org/officeDocument/2006/customXml" ds:itemID="{7517F57A-F666-4113-A035-DAEC506A5A0C}">
  <ds:schemaRefs>
    <ds:schemaRef ds:uri="Microsoft.SharePoint.Taxonomy.ContentTypeSync"/>
  </ds:schemaRefs>
</ds:datastoreItem>
</file>

<file path=customXml/itemProps4.xml><?xml version="1.0" encoding="utf-8"?>
<ds:datastoreItem xmlns:ds="http://schemas.openxmlformats.org/officeDocument/2006/customXml" ds:itemID="{F533E112-0882-41C8-9187-D843217A46D3}">
  <ds:schemaRefs>
    <ds:schemaRef ds:uri="http://schemas.microsoft.com/office/infopath/2007/PartnerControls"/>
    <ds:schemaRef ds:uri="http://purl.org/dc/terms/"/>
    <ds:schemaRef ds:uri="http://www.w3.org/XML/1998/namespace"/>
    <ds:schemaRef ds:uri="http://schemas.microsoft.com/office/2006/documentManagement/types"/>
    <ds:schemaRef ds:uri="http://purl.org/dc/dcmitype/"/>
    <ds:schemaRef ds:uri="http://schemas.openxmlformats.org/package/2006/metadata/core-properties"/>
    <ds:schemaRef ds:uri="814d62cb-2db6-4c25-ab62-b9075facbc11"/>
    <ds:schemaRef ds:uri="http://schemas.microsoft.com/office/2006/metadata/properties"/>
    <ds:schemaRef ds:uri="http://purl.org/dc/elements/1.1/"/>
  </ds:schemaRefs>
</ds:datastoreItem>
</file>

<file path=customXml/itemProps5.xml><?xml version="1.0" encoding="utf-8"?>
<ds:datastoreItem xmlns:ds="http://schemas.openxmlformats.org/officeDocument/2006/customXml" ds:itemID="{F185F0AA-5DE2-4F09-B540-EE300E0CCEAC}">
  <ds:schemaRefs>
    <ds:schemaRef ds:uri="http://schemas.openxmlformats.org/officeDocument/2006/bibliography"/>
  </ds:schemaRefs>
</ds:datastoreItem>
</file>

<file path=customXml/itemProps6.xml><?xml version="1.0" encoding="utf-8"?>
<ds:datastoreItem xmlns:ds="http://schemas.openxmlformats.org/officeDocument/2006/customXml" ds:itemID="{00B4C410-C5DE-429C-81E7-484B2ACA4C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4d62cb-2db6-4c25-ab62-b9075facb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60</Pages>
  <Words>18250</Words>
  <Characters>94170</Characters>
  <Application>Microsoft Office Word</Application>
  <DocSecurity>0</DocSecurity>
  <Lines>2354</Lines>
  <Paragraphs>1338</Paragraphs>
  <ScaleCrop>false</ScaleCrop>
  <HeadingPairs>
    <vt:vector size="2" baseType="variant">
      <vt:variant>
        <vt:lpstr>Title</vt:lpstr>
      </vt:variant>
      <vt:variant>
        <vt:i4>1</vt:i4>
      </vt:variant>
    </vt:vector>
  </HeadingPairs>
  <TitlesOfParts>
    <vt:vector size="1" baseType="lpstr">
      <vt:lpstr>Final APS 112 - Marked-up</vt:lpstr>
    </vt:vector>
  </TitlesOfParts>
  <Company/>
  <LinksUpToDate>false</LinksUpToDate>
  <CharactersWithSpaces>111082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Banking (prudential standard) determination No. 6 of 2022</dc:title>
  <dc:subject/>
  <dc:creator/>
  <cp:keywords>[SEC=OFFICIAL]</cp:keywords>
  <dc:description/>
  <cp:lastModifiedBy/>
  <cp:revision>1</cp:revision>
  <dcterms:created xsi:type="dcterms:W3CDTF">2022-12-08T00:13:00Z</dcterms:created>
  <dcterms:modified xsi:type="dcterms:W3CDTF">2022-12-08T00:13:00Z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Locked">
    <vt:lpwstr>False</vt:lpwstr>
  </property>
  <property fmtid="{D5CDD505-2E9C-101B-9397-08002B2CF9AE}" pid="3" name="RecordPoint_SubmissionDate">
    <vt:lpwstr/>
  </property>
  <property fmtid="{D5CDD505-2E9C-101B-9397-08002B2CF9AE}" pid="4" name="RecordPoint_RecordNumberSubmitted">
    <vt:lpwstr/>
  </property>
  <property fmtid="{D5CDD505-2E9C-101B-9397-08002B2CF9AE}" pid="5" name="PM_OriginatorDomainName_SHA256">
    <vt:lpwstr>ECBDE2B44A971754412B3FB70606937A119CC0D4B6C1B658A40FBD41C30BE3EC</vt:lpwstr>
  </property>
  <property fmtid="{D5CDD505-2E9C-101B-9397-08002B2CF9AE}" pid="6" name="PM_ProtectiveMarkingImage_Header">
    <vt:lpwstr>C:\Program Files\Common Files\janusNET Shared\janusSEAL\Images\DocumentSlashBlue.png</vt:lpwstr>
  </property>
  <property fmtid="{D5CDD505-2E9C-101B-9397-08002B2CF9AE}" pid="7" name="APRACostCentre">
    <vt:lpwstr>24;#Legal - ADI|652d8d2a-ab45-47b4-ac6e-fe6ac9299b39;#26;#Legal - Insurance: General|8229dc1a-d7f2-47b2-844a-b026fed0c13d;#93;#Legal - Insurance: Health|21611e62-d688-4f0d-8807-02701cc43699;#83;#Legal - Insurance: Life|56f18b50-6605-4f3f-97e3-cad1cb5394e0;#134;#Legal - Superannuation|cce3181d-fd23-4eee-94d3-c66abc2350cf</vt:lpwstr>
  </property>
  <property fmtid="{D5CDD505-2E9C-101B-9397-08002B2CF9AE}" pid="8" name="ContentTypeId">
    <vt:lpwstr>0x0101008CA7A4F8331B45C7B0D3158B4994D0CA0200577EC0F5A1FBFC498F9A8436B963F8A6</vt:lpwstr>
  </property>
  <property fmtid="{D5CDD505-2E9C-101B-9397-08002B2CF9AE}" pid="9" name="PM_Note">
    <vt:lpwstr/>
  </property>
  <property fmtid="{D5CDD505-2E9C-101B-9397-08002B2CF9AE}" pid="10" name="PM_Markers">
    <vt:lpwstr/>
  </property>
  <property fmtid="{D5CDD505-2E9C-101B-9397-08002B2CF9AE}" pid="11" name="RecordPoint_WorkflowType">
    <vt:lpwstr>ActiveSubmitStub</vt:lpwstr>
  </property>
  <property fmtid="{D5CDD505-2E9C-101B-9397-08002B2CF9AE}" pid="12" name="PM_ProtectiveMarkingImage_Footer">
    <vt:lpwstr>C:\Program Files\Common Files\janusNET Shared\janusSEAL\Images\DocumentSlashBlue.png</vt:lpwstr>
  </property>
  <property fmtid="{D5CDD505-2E9C-101B-9397-08002B2CF9AE}" pid="13" name="PM_Qualifier_Prev">
    <vt:lpwstr/>
  </property>
  <property fmtid="{D5CDD505-2E9C-101B-9397-08002B2CF9AE}" pid="14" name="PM_Originating_FileId">
    <vt:lpwstr>9CDD4A8A38FF4D3681F9F9DB8CFE362E</vt:lpwstr>
  </property>
  <property fmtid="{D5CDD505-2E9C-101B-9397-08002B2CF9AE}" pid="15" name="APRAPeerGroup">
    <vt:lpwstr/>
  </property>
  <property fmtid="{D5CDD505-2E9C-101B-9397-08002B2CF9AE}" pid="16" name="PM_Version">
    <vt:lpwstr>2018.3</vt:lpwstr>
  </property>
  <property fmtid="{D5CDD505-2E9C-101B-9397-08002B2CF9AE}" pid="17" name="APRADocumentType">
    <vt:lpwstr>142;#Prudential standard|6ce5a155-9ab2-41e3-9b2a-5baab4b7f1d1;#58;#Legal instrument|71fd6ed3-d6d6-4975-ba99-bfe45802e734</vt:lpwstr>
  </property>
  <property fmtid="{D5CDD505-2E9C-101B-9397-08002B2CF9AE}" pid="18" name="APRAStatus">
    <vt:lpwstr>19;#Final|84d6b2d0-8498-4d62-bf46-bab38babbe9e</vt:lpwstr>
  </property>
  <property fmtid="{D5CDD505-2E9C-101B-9397-08002B2CF9AE}" pid="19" name="APRAPRSG">
    <vt:lpwstr/>
  </property>
  <property fmtid="{D5CDD505-2E9C-101B-9397-08002B2CF9AE}" pid="20" name="RecordPoint_ActiveItemSiteId">
    <vt:lpwstr>{88691c01-5bbb-4215-adc0-66cb7065b0af}</vt:lpwstr>
  </property>
  <property fmtid="{D5CDD505-2E9C-101B-9397-08002B2CF9AE}" pid="21" name="PM_Display">
    <vt:lpwstr>OFFICIAL</vt:lpwstr>
  </property>
  <property fmtid="{D5CDD505-2E9C-101B-9397-08002B2CF9AE}" pid="22" name="PM_Qualifier">
    <vt:lpwstr/>
  </property>
  <property fmtid="{D5CDD505-2E9C-101B-9397-08002B2CF9AE}" pid="23" name="PM_SecurityClassification_Prev">
    <vt:lpwstr>OFFICIAL</vt:lpwstr>
  </property>
  <property fmtid="{D5CDD505-2E9C-101B-9397-08002B2CF9AE}" pid="24" name="APRAReportingGroup">
    <vt:lpwstr/>
  </property>
  <property fmtid="{D5CDD505-2E9C-101B-9397-08002B2CF9AE}" pid="25" name="APRAActivity">
    <vt:lpwstr>10;#Registration|390476ce-d76d-4e8d-905f-28e32d2df127;#109;#Statutory instrument|fe68928c-5a9c-4caf-bc8c-6c18cedcb17f</vt:lpwstr>
  </property>
  <property fmtid="{D5CDD505-2E9C-101B-9397-08002B2CF9AE}" pid="26" name="APRAEntityAdviceSupport">
    <vt:lpwstr/>
  </property>
  <property fmtid="{D5CDD505-2E9C-101B-9397-08002B2CF9AE}" pid="27" name="APRATemplateType">
    <vt:lpwstr>23;#Policy|f1d41970-be64-43ea-8d6f-300cb1384ee7</vt:lpwstr>
  </property>
  <property fmtid="{D5CDD505-2E9C-101B-9397-08002B2CF9AE}" pid="28" name="RecordPoint_ActiveItemListId">
    <vt:lpwstr>{0e59e171-09d8-4401-800a-327154450cb3}</vt:lpwstr>
  </property>
  <property fmtid="{D5CDD505-2E9C-101B-9397-08002B2CF9AE}" pid="29" name="APRAYear">
    <vt:lpwstr/>
  </property>
  <property fmtid="{D5CDD505-2E9C-101B-9397-08002B2CF9AE}" pid="30" name="APRAIndustry">
    <vt:lpwstr/>
  </property>
  <property fmtid="{D5CDD505-2E9C-101B-9397-08002B2CF9AE}" pid="31" name="APRALegislation">
    <vt:lpwstr/>
  </property>
  <property fmtid="{D5CDD505-2E9C-101B-9397-08002B2CF9AE}" pid="32" name="RecordPoint_ActiveItemUniqueId">
    <vt:lpwstr>{c4e52d15-4028-4b63-a669-04b3425eb202}</vt:lpwstr>
  </property>
  <property fmtid="{D5CDD505-2E9C-101B-9397-08002B2CF9AE}" pid="33" name="RecordPoint_ActiveItemMoved">
    <vt:lpwstr/>
  </property>
  <property fmtid="{D5CDD505-2E9C-101B-9397-08002B2CF9AE}" pid="34" name="RecordPoint_RecordFormat">
    <vt:lpwstr/>
  </property>
  <property fmtid="{D5CDD505-2E9C-101B-9397-08002B2CF9AE}" pid="35" name="PM_ProtectiveMarkingValue_Footer">
    <vt:lpwstr>OFFICIAL</vt:lpwstr>
  </property>
  <property fmtid="{D5CDD505-2E9C-101B-9397-08002B2CF9AE}" pid="36" name="_docset_NoMedatataSyncRequired">
    <vt:lpwstr>False</vt:lpwstr>
  </property>
  <property fmtid="{D5CDD505-2E9C-101B-9397-08002B2CF9AE}" pid="37" name="PM_InsertionValue">
    <vt:lpwstr>OFFICIAL</vt:lpwstr>
  </property>
  <property fmtid="{D5CDD505-2E9C-101B-9397-08002B2CF9AE}" pid="38" name="Language">
    <vt:lpwstr>English</vt:lpwstr>
  </property>
  <property fmtid="{D5CDD505-2E9C-101B-9397-08002B2CF9AE}" pid="39" name="PM_MinimumSecurityClassification">
    <vt:lpwstr/>
  </property>
  <property fmtid="{D5CDD505-2E9C-101B-9397-08002B2CF9AE}" pid="40" name="APRAExternalOrganisation">
    <vt:lpwstr/>
  </property>
  <property fmtid="{D5CDD505-2E9C-101B-9397-08002B2CF9AE}" pid="41" name="PM_SecurityClassification">
    <vt:lpwstr>OFFICIAL</vt:lpwstr>
  </property>
  <property fmtid="{D5CDD505-2E9C-101B-9397-08002B2CF9AE}" pid="42" name="APRAIRTR">
    <vt:lpwstr/>
  </property>
  <property fmtid="{D5CDD505-2E9C-101B-9397-08002B2CF9AE}" pid="43" name="APRAPeriod">
    <vt:lpwstr/>
  </property>
  <property fmtid="{D5CDD505-2E9C-101B-9397-08002B2CF9AE}" pid="44" name="PM_Caveats_Count">
    <vt:lpwstr>0</vt:lpwstr>
  </property>
  <property fmtid="{D5CDD505-2E9C-101B-9397-08002B2CF9AE}" pid="45" name="RecordPoint_ActiveItemWebId">
    <vt:lpwstr>{75a71c27-8d66-4282-ae60-1bfc22a83be1}</vt:lpwstr>
  </property>
  <property fmtid="{D5CDD505-2E9C-101B-9397-08002B2CF9AE}" pid="46" name="PM_Namespace">
    <vt:lpwstr>gov.au</vt:lpwstr>
  </property>
  <property fmtid="{D5CDD505-2E9C-101B-9397-08002B2CF9AE}" pid="47" name="PM_DisplayValueSecClassificationWithQualifier">
    <vt:lpwstr>OFFICIAL</vt:lpwstr>
  </property>
  <property fmtid="{D5CDD505-2E9C-101B-9397-08002B2CF9AE}" pid="48" name="PM_Hash_Version">
    <vt:lpwstr>2018.0</vt:lpwstr>
  </property>
  <property fmtid="{D5CDD505-2E9C-101B-9397-08002B2CF9AE}" pid="49" name="PM_ProtectiveMarkingValue_Header">
    <vt:lpwstr>OFFICIAL</vt:lpwstr>
  </property>
  <property fmtid="{D5CDD505-2E9C-101B-9397-08002B2CF9AE}" pid="50" name="IT system type">
    <vt:lpwstr/>
  </property>
  <property fmtid="{D5CDD505-2E9C-101B-9397-08002B2CF9AE}" pid="51" name="APRACategory">
    <vt:lpwstr/>
  </property>
  <property fmtid="{D5CDD505-2E9C-101B-9397-08002B2CF9AE}" pid="52" name="_dlc_DocIdItemGuid">
    <vt:lpwstr>c4e52d15-4028-4b63-a669-04b3425eb202</vt:lpwstr>
  </property>
  <property fmtid="{D5CDD505-2E9C-101B-9397-08002B2CF9AE}" pid="53" name="PMUuid">
    <vt:lpwstr>2A74E7A6-2821-5142-8C4A-BF7684DF216B</vt:lpwstr>
  </property>
  <property fmtid="{D5CDD505-2E9C-101B-9397-08002B2CF9AE}" pid="54" name="PMUuidVer">
    <vt:lpwstr>2022.1</vt:lpwstr>
  </property>
  <property fmtid="{D5CDD505-2E9C-101B-9397-08002B2CF9AE}" pid="55" name="PM_Hash_Salt_Prev">
    <vt:lpwstr>F59FC429B62019FC1FEC4536C7DF2DA1</vt:lpwstr>
  </property>
  <property fmtid="{D5CDD505-2E9C-101B-9397-08002B2CF9AE}" pid="56" name="PM_OriginationTimeStamp">
    <vt:lpwstr>2022-12-08T00:12:51Z</vt:lpwstr>
  </property>
  <property fmtid="{D5CDD505-2E9C-101B-9397-08002B2CF9AE}" pid="57" name="PM_Hash_Salt">
    <vt:lpwstr>83BE2421D24192ED364AAC1D821B5074</vt:lpwstr>
  </property>
  <property fmtid="{D5CDD505-2E9C-101B-9397-08002B2CF9AE}" pid="58" name="PM_Hash_SHA1">
    <vt:lpwstr>09C62C2BDCCCE0EEF82AF5F7A44934647481FD13</vt:lpwstr>
  </property>
  <property fmtid="{D5CDD505-2E9C-101B-9397-08002B2CF9AE}" pid="59" name="PM_Originator_Hash_SHA1">
    <vt:lpwstr>C3AD57350F36D8E1BD75F8F67CB06D435C9C43CA</vt:lpwstr>
  </property>
  <property fmtid="{D5CDD505-2E9C-101B-9397-08002B2CF9AE}" pid="60" name="PM_OriginatorUserAccountName_SHA256">
    <vt:lpwstr>6E3018F28A186D2E5FF5207C041E7A82E907C3008E071057026A53705873B72E</vt:lpwstr>
  </property>
  <property fmtid="{D5CDD505-2E9C-101B-9397-08002B2CF9AE}" pid="61" name="RecordPoint_SubmissionCompleted">
    <vt:lpwstr/>
  </property>
  <property fmtid="{D5CDD505-2E9C-101B-9397-08002B2CF9AE}" pid="62" name="MSIP_Label_c0129afb-6481-4f92-bc9f-5a4a6346364d_SetDate">
    <vt:lpwstr>2022-12-07T21:54:13Z</vt:lpwstr>
  </property>
  <property fmtid="{D5CDD505-2E9C-101B-9397-08002B2CF9AE}" pid="63" name="MSIP_Label_c0129afb-6481-4f92-bc9f-5a4a6346364d_Name">
    <vt:lpwstr>OFFICIAL</vt:lpwstr>
  </property>
  <property fmtid="{D5CDD505-2E9C-101B-9397-08002B2CF9AE}" pid="64" name="MSIP_Label_c0129afb-6481-4f92-bc9f-5a4a6346364d_SiteId">
    <vt:lpwstr>c05e3ffd-b491-4431-9809-e61d4dc78816</vt:lpwstr>
  </property>
  <property fmtid="{D5CDD505-2E9C-101B-9397-08002B2CF9AE}" pid="65" name="MSIP_Label_c0129afb-6481-4f92-bc9f-5a4a6346364d_Enabled">
    <vt:lpwstr>true</vt:lpwstr>
  </property>
</Properties>
</file>