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6023" w14:textId="2C6593B8"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Banking (prudential standard) determination</w:t>
      </w:r>
      <w:r w:rsidR="00C968D3">
        <w:rPr>
          <w:rFonts w:ascii="Times New Roman" w:hAnsi="Times New Roman"/>
          <w:sz w:val="24"/>
          <w:szCs w:val="24"/>
        </w:rPr>
        <w:t>s</w:t>
      </w:r>
      <w:r w:rsidRPr="002C6D26">
        <w:rPr>
          <w:rFonts w:ascii="Times New Roman" w:hAnsi="Times New Roman"/>
          <w:sz w:val="24"/>
          <w:szCs w:val="24"/>
        </w:rPr>
        <w:t xml:space="preserve"> No</w:t>
      </w:r>
      <w:r w:rsidR="004B1549">
        <w:rPr>
          <w:rFonts w:ascii="Times New Roman" w:hAnsi="Times New Roman"/>
          <w:sz w:val="24"/>
          <w:szCs w:val="24"/>
        </w:rPr>
        <w:t>s</w:t>
      </w:r>
      <w:r w:rsidRPr="002C6D26">
        <w:rPr>
          <w:rFonts w:ascii="Times New Roman" w:hAnsi="Times New Roman"/>
          <w:sz w:val="24"/>
          <w:szCs w:val="24"/>
        </w:rPr>
        <w:t xml:space="preserve">. </w:t>
      </w:r>
      <w:r w:rsidR="00C968D3">
        <w:rPr>
          <w:rFonts w:ascii="Times New Roman" w:hAnsi="Times New Roman"/>
          <w:sz w:val="24"/>
          <w:szCs w:val="24"/>
        </w:rPr>
        <w:t xml:space="preserve">4, 6 and 7 </w:t>
      </w:r>
      <w:r w:rsidRPr="002C6D26">
        <w:rPr>
          <w:rFonts w:ascii="Times New Roman" w:hAnsi="Times New Roman"/>
          <w:sz w:val="24"/>
          <w:szCs w:val="24"/>
        </w:rPr>
        <w:t xml:space="preserve">of </w:t>
      </w:r>
      <w:r w:rsidR="008C62AC" w:rsidRPr="002C6D26">
        <w:rPr>
          <w:rFonts w:ascii="Times New Roman" w:hAnsi="Times New Roman"/>
          <w:sz w:val="24"/>
          <w:szCs w:val="24"/>
        </w:rPr>
        <w:t>20</w:t>
      </w:r>
      <w:r w:rsidR="008C62AC">
        <w:rPr>
          <w:rFonts w:ascii="Times New Roman" w:hAnsi="Times New Roman"/>
          <w:sz w:val="24"/>
          <w:szCs w:val="24"/>
        </w:rPr>
        <w:t>22</w:t>
      </w:r>
    </w:p>
    <w:p w14:paraId="070AD857"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749EAD61" w14:textId="77777777" w:rsidR="002436BD" w:rsidRPr="002C6D26" w:rsidRDefault="002436BD" w:rsidP="00DF7DA0">
      <w:pPr>
        <w:pStyle w:val="Heading"/>
        <w:tabs>
          <w:tab w:val="left" w:pos="360"/>
        </w:tabs>
        <w:spacing w:after="240"/>
        <w:jc w:val="center"/>
        <w:rPr>
          <w:rFonts w:ascii="Times New Roman" w:hAnsi="Times New Roman"/>
          <w:b w:val="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11AF</w:t>
      </w:r>
    </w:p>
    <w:p w14:paraId="066E4F30" w14:textId="77777777" w:rsidR="002436BD" w:rsidRPr="002C6D26" w:rsidRDefault="002436BD" w:rsidP="00DF7DA0">
      <w:pPr>
        <w:widowControl w:val="0"/>
        <w:spacing w:after="240"/>
        <w:jc w:val="both"/>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Under subsection 11</w:t>
      </w:r>
      <w:proofErr w:type="gramStart"/>
      <w:r w:rsidRPr="002C6D26">
        <w:rPr>
          <w:rFonts w:ascii="Times New Roman" w:hAnsi="Times New Roman"/>
          <w:sz w:val="24"/>
          <w:szCs w:val="24"/>
        </w:rPr>
        <w:t>AF(</w:t>
      </w:r>
      <w:proofErr w:type="gramEnd"/>
      <w:r w:rsidRPr="002C6D26">
        <w:rPr>
          <w:rFonts w:ascii="Times New Roman" w:hAnsi="Times New Roman"/>
          <w:sz w:val="24"/>
          <w:szCs w:val="24"/>
        </w:rPr>
        <w:t xml:space="preserve">1) of the </w:t>
      </w:r>
      <w:r w:rsidRPr="002C6D26">
        <w:rPr>
          <w:rFonts w:ascii="Times New Roman" w:hAnsi="Times New Roman"/>
          <w:i/>
          <w:sz w:val="24"/>
          <w:szCs w:val="24"/>
        </w:rPr>
        <w:t>Banking Act 1959</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has the power to determine standards </w:t>
      </w:r>
      <w:r w:rsidRPr="007428D4">
        <w:rPr>
          <w:rFonts w:ascii="Times New Roman" w:hAnsi="Times New Roman"/>
          <w:sz w:val="24"/>
          <w:szCs w:val="24"/>
        </w:rPr>
        <w:t>(prudential standards),</w:t>
      </w:r>
      <w:r w:rsidRPr="002C6D26">
        <w:rPr>
          <w:rFonts w:ascii="Times New Roman" w:hAnsi="Times New Roman"/>
          <w:sz w:val="24"/>
          <w:szCs w:val="24"/>
        </w:rPr>
        <w:t xml:space="preserve"> in writing, in relation to prudential matters to be complied with by authorised deposit-taking institutions </w:t>
      </w:r>
      <w:r w:rsidRPr="007428D4">
        <w:rPr>
          <w:rFonts w:ascii="Times New Roman" w:hAnsi="Times New Roman"/>
          <w:sz w:val="24"/>
          <w:szCs w:val="24"/>
        </w:rPr>
        <w:t>(ADIs)</w:t>
      </w:r>
      <w:r w:rsidRPr="002C6D26">
        <w:rPr>
          <w:rFonts w:ascii="Times New Roman" w:hAnsi="Times New Roman"/>
          <w:sz w:val="24"/>
          <w:szCs w:val="24"/>
        </w:rPr>
        <w:t xml:space="preserve"> and authorised non-operating holding companies </w:t>
      </w:r>
      <w:r w:rsidRPr="007428D4">
        <w:rPr>
          <w:rFonts w:ascii="Times New Roman" w:hAnsi="Times New Roman"/>
          <w:sz w:val="24"/>
          <w:szCs w:val="24"/>
        </w:rPr>
        <w:t>(authorised NOHCs).</w:t>
      </w:r>
      <w:r w:rsidR="00F30C81" w:rsidRPr="00F30C81">
        <w:rPr>
          <w:rFonts w:ascii="Times New Roman" w:hAnsi="Times New Roman"/>
          <w:sz w:val="24"/>
          <w:szCs w:val="24"/>
        </w:rPr>
        <w:t xml:space="preserve"> Under subsection 11</w:t>
      </w:r>
      <w:proofErr w:type="gramStart"/>
      <w:r w:rsidR="00F30C81" w:rsidRPr="00F30C81">
        <w:rPr>
          <w:rFonts w:ascii="Times New Roman" w:hAnsi="Times New Roman"/>
          <w:sz w:val="24"/>
          <w:szCs w:val="24"/>
        </w:rPr>
        <w:t>AF(</w:t>
      </w:r>
      <w:proofErr w:type="gramEnd"/>
      <w:r w:rsidR="00F30C81" w:rsidRPr="00F30C81">
        <w:rPr>
          <w:rFonts w:ascii="Times New Roman" w:hAnsi="Times New Roman"/>
          <w:sz w:val="24"/>
          <w:szCs w:val="24"/>
        </w:rPr>
        <w:t>3) of the Act, APRA may, in writing, vary or revoke a prudential standard.</w:t>
      </w:r>
    </w:p>
    <w:p w14:paraId="47CE8E86" w14:textId="049C5DA9" w:rsidR="00246723" w:rsidRPr="00246723" w:rsidRDefault="00246723" w:rsidP="00DF7DA0">
      <w:pPr>
        <w:spacing w:after="240"/>
        <w:jc w:val="both"/>
        <w:rPr>
          <w:rFonts w:ascii="Times New Roman" w:hAnsi="Times New Roman"/>
          <w:sz w:val="24"/>
          <w:szCs w:val="24"/>
        </w:rPr>
      </w:pPr>
      <w:r w:rsidRPr="00246723">
        <w:rPr>
          <w:rFonts w:ascii="Times New Roman" w:hAnsi="Times New Roman"/>
          <w:sz w:val="24"/>
          <w:szCs w:val="24"/>
        </w:rPr>
        <w:t xml:space="preserve">On </w:t>
      </w:r>
      <w:r w:rsidR="00FA10D4">
        <w:rPr>
          <w:rFonts w:ascii="Times New Roman" w:hAnsi="Times New Roman"/>
          <w:sz w:val="24"/>
          <w:szCs w:val="24"/>
        </w:rPr>
        <w:t>8</w:t>
      </w:r>
      <w:r w:rsidR="00AF3CB4">
        <w:rPr>
          <w:rFonts w:ascii="Times New Roman" w:hAnsi="Times New Roman"/>
          <w:sz w:val="24"/>
          <w:szCs w:val="24"/>
        </w:rPr>
        <w:t xml:space="preserve"> Decembe</w:t>
      </w:r>
      <w:r w:rsidR="00AF3CB4" w:rsidRPr="00AF3CB4">
        <w:rPr>
          <w:rFonts w:ascii="Times New Roman" w:hAnsi="Times New Roman"/>
          <w:sz w:val="24"/>
          <w:szCs w:val="24"/>
        </w:rPr>
        <w:t>r</w:t>
      </w:r>
      <w:r w:rsidR="00EE20F5" w:rsidRPr="00AF3CB4">
        <w:rPr>
          <w:rFonts w:ascii="Times New Roman" w:hAnsi="Times New Roman"/>
          <w:sz w:val="24"/>
          <w:szCs w:val="24"/>
        </w:rPr>
        <w:t xml:space="preserve"> </w:t>
      </w:r>
      <w:r w:rsidR="00EE20F5" w:rsidRPr="001E33AF">
        <w:rPr>
          <w:rFonts w:ascii="Times New Roman" w:hAnsi="Times New Roman"/>
          <w:sz w:val="24"/>
          <w:szCs w:val="24"/>
        </w:rPr>
        <w:t>202</w:t>
      </w:r>
      <w:r w:rsidR="001E33AF" w:rsidRPr="001E33AF">
        <w:rPr>
          <w:rFonts w:ascii="Times New Roman" w:hAnsi="Times New Roman"/>
          <w:sz w:val="24"/>
          <w:szCs w:val="24"/>
        </w:rPr>
        <w:t>2</w:t>
      </w:r>
      <w:r w:rsidRPr="00246723">
        <w:rPr>
          <w:rFonts w:ascii="Times New Roman" w:hAnsi="Times New Roman"/>
          <w:sz w:val="24"/>
          <w:szCs w:val="24"/>
        </w:rPr>
        <w:t>, APRA made the following determinations (</w:t>
      </w:r>
      <w:r w:rsidR="004B1549">
        <w:rPr>
          <w:rFonts w:ascii="Times New Roman" w:hAnsi="Times New Roman"/>
          <w:sz w:val="24"/>
          <w:szCs w:val="24"/>
        </w:rPr>
        <w:t xml:space="preserve">collectively, </w:t>
      </w:r>
      <w:r w:rsidRPr="00246723">
        <w:rPr>
          <w:rFonts w:ascii="Times New Roman" w:hAnsi="Times New Roman"/>
          <w:sz w:val="24"/>
          <w:szCs w:val="24"/>
        </w:rPr>
        <w:t>the instruments):</w:t>
      </w:r>
    </w:p>
    <w:p w14:paraId="5A3E9766" w14:textId="38ADE301" w:rsidR="00AC7A56" w:rsidRDefault="00AC7A56" w:rsidP="00DF7DA0">
      <w:pPr>
        <w:widowControl w:val="0"/>
        <w:numPr>
          <w:ilvl w:val="0"/>
          <w:numId w:val="5"/>
        </w:numPr>
        <w:spacing w:after="240"/>
        <w:jc w:val="both"/>
        <w:rPr>
          <w:rFonts w:ascii="Times New Roman" w:hAnsi="Times New Roman"/>
          <w:sz w:val="24"/>
          <w:szCs w:val="24"/>
        </w:rPr>
      </w:pPr>
      <w:r w:rsidRPr="002C6D26">
        <w:rPr>
          <w:rFonts w:ascii="Times New Roman" w:hAnsi="Times New Roman"/>
          <w:sz w:val="24"/>
          <w:szCs w:val="24"/>
        </w:rPr>
        <w:t xml:space="preserve">Banking (prudential standard) determination No. </w:t>
      </w:r>
      <w:r w:rsidR="00C968D3">
        <w:rPr>
          <w:rFonts w:ascii="Times New Roman" w:hAnsi="Times New Roman"/>
          <w:sz w:val="24"/>
          <w:szCs w:val="24"/>
        </w:rPr>
        <w:t>4</w:t>
      </w:r>
      <w:r w:rsidR="00C968D3" w:rsidRPr="002C6D26">
        <w:rPr>
          <w:rFonts w:ascii="Times New Roman" w:hAnsi="Times New Roman"/>
          <w:sz w:val="24"/>
          <w:szCs w:val="24"/>
        </w:rPr>
        <w:t xml:space="preserve"> </w:t>
      </w:r>
      <w:r w:rsidRPr="002C6D26">
        <w:rPr>
          <w:rFonts w:ascii="Times New Roman" w:hAnsi="Times New Roman"/>
          <w:sz w:val="24"/>
          <w:szCs w:val="24"/>
        </w:rPr>
        <w:t>of 20</w:t>
      </w:r>
      <w:r w:rsidR="00EE20F5">
        <w:rPr>
          <w:rFonts w:ascii="Times New Roman" w:hAnsi="Times New Roman"/>
          <w:sz w:val="24"/>
          <w:szCs w:val="24"/>
        </w:rPr>
        <w:t>2</w:t>
      </w:r>
      <w:r w:rsidR="001E33AF">
        <w:rPr>
          <w:rFonts w:ascii="Times New Roman" w:hAnsi="Times New Roman"/>
          <w:sz w:val="24"/>
          <w:szCs w:val="24"/>
        </w:rPr>
        <w:t>2</w:t>
      </w:r>
      <w:r w:rsidR="004B1549">
        <w:rPr>
          <w:rFonts w:ascii="Times New Roman" w:hAnsi="Times New Roman"/>
          <w:sz w:val="24"/>
          <w:szCs w:val="24"/>
        </w:rPr>
        <w:t>,</w:t>
      </w:r>
      <w:r w:rsidRPr="002C6D26">
        <w:rPr>
          <w:rFonts w:ascii="Times New Roman" w:hAnsi="Times New Roman"/>
          <w:sz w:val="24"/>
          <w:szCs w:val="24"/>
        </w:rPr>
        <w:t xml:space="preserve"> </w:t>
      </w:r>
      <w:r>
        <w:rPr>
          <w:rFonts w:ascii="Times New Roman" w:hAnsi="Times New Roman"/>
          <w:sz w:val="24"/>
          <w:szCs w:val="24"/>
        </w:rPr>
        <w:t xml:space="preserve">which </w:t>
      </w:r>
      <w:r w:rsidR="009927BF" w:rsidRPr="009927BF">
        <w:rPr>
          <w:rFonts w:ascii="Times New Roman" w:hAnsi="Times New Roman"/>
          <w:sz w:val="24"/>
          <w:szCs w:val="24"/>
        </w:rPr>
        <w:t xml:space="preserve">revokes </w:t>
      </w:r>
      <w:r w:rsidR="009927BF" w:rsidRPr="009927BF">
        <w:rPr>
          <w:rFonts w:ascii="Times New Roman" w:hAnsi="Times New Roman"/>
          <w:i/>
          <w:sz w:val="24"/>
          <w:szCs w:val="24"/>
        </w:rPr>
        <w:t>Prudential Standard APS 110 Capital Adequacy</w:t>
      </w:r>
      <w:r w:rsidR="009927BF" w:rsidRPr="009927BF">
        <w:rPr>
          <w:rFonts w:ascii="Times New Roman" w:hAnsi="Times New Roman"/>
          <w:sz w:val="24"/>
          <w:szCs w:val="24"/>
        </w:rPr>
        <w:t xml:space="preserve"> made under Banking (prudential standard) determination </w:t>
      </w:r>
      <w:r w:rsidR="009927BF" w:rsidRPr="001E33AF">
        <w:rPr>
          <w:rFonts w:ascii="Times New Roman" w:hAnsi="Times New Roman"/>
          <w:sz w:val="24"/>
          <w:szCs w:val="24"/>
        </w:rPr>
        <w:t xml:space="preserve">No. </w:t>
      </w:r>
      <w:r w:rsidR="00EE20F5" w:rsidRPr="001E33AF">
        <w:rPr>
          <w:rFonts w:ascii="Times New Roman" w:hAnsi="Times New Roman"/>
          <w:sz w:val="24"/>
          <w:szCs w:val="24"/>
        </w:rPr>
        <w:t>4</w:t>
      </w:r>
      <w:r w:rsidR="009927BF" w:rsidRPr="001E33AF">
        <w:rPr>
          <w:rFonts w:ascii="Times New Roman" w:hAnsi="Times New Roman"/>
          <w:sz w:val="24"/>
          <w:szCs w:val="24"/>
        </w:rPr>
        <w:t xml:space="preserve"> of 20</w:t>
      </w:r>
      <w:r w:rsidR="00EE20F5" w:rsidRPr="001E33AF">
        <w:rPr>
          <w:rFonts w:ascii="Times New Roman" w:hAnsi="Times New Roman"/>
          <w:sz w:val="24"/>
          <w:szCs w:val="24"/>
        </w:rPr>
        <w:t>15</w:t>
      </w:r>
      <w:r w:rsidR="009927BF">
        <w:rPr>
          <w:rFonts w:ascii="Times New Roman" w:hAnsi="Times New Roman"/>
          <w:sz w:val="24"/>
          <w:szCs w:val="24"/>
        </w:rPr>
        <w:t xml:space="preserve"> and </w:t>
      </w:r>
      <w:r w:rsidRPr="002C6D26">
        <w:rPr>
          <w:rFonts w:ascii="Times New Roman" w:hAnsi="Times New Roman"/>
          <w:sz w:val="24"/>
          <w:szCs w:val="24"/>
        </w:rPr>
        <w:t xml:space="preserve">determines </w:t>
      </w:r>
      <w:r w:rsidR="00E758B5">
        <w:rPr>
          <w:rFonts w:ascii="Times New Roman" w:hAnsi="Times New Roman"/>
          <w:sz w:val="24"/>
          <w:szCs w:val="24"/>
        </w:rPr>
        <w:t xml:space="preserve">a new </w:t>
      </w:r>
      <w:r>
        <w:rPr>
          <w:rFonts w:ascii="Times New Roman" w:hAnsi="Times New Roman"/>
          <w:i/>
          <w:sz w:val="24"/>
          <w:szCs w:val="24"/>
        </w:rPr>
        <w:t>Prudential Standard</w:t>
      </w:r>
      <w:r w:rsidRPr="00246723">
        <w:rPr>
          <w:rFonts w:ascii="Times New Roman" w:hAnsi="Times New Roman"/>
          <w:sz w:val="24"/>
          <w:szCs w:val="24"/>
        </w:rPr>
        <w:t xml:space="preserve"> </w:t>
      </w:r>
      <w:r w:rsidR="00E52DFE" w:rsidRPr="0040175E">
        <w:rPr>
          <w:rFonts w:ascii="Times New Roman" w:hAnsi="Times New Roman"/>
          <w:i/>
          <w:sz w:val="24"/>
          <w:szCs w:val="24"/>
        </w:rPr>
        <w:t>APS 110 Capital Adequacy</w:t>
      </w:r>
      <w:r w:rsidR="00E52DFE">
        <w:rPr>
          <w:rFonts w:ascii="Times New Roman" w:hAnsi="Times New Roman"/>
          <w:i/>
          <w:sz w:val="24"/>
          <w:szCs w:val="24"/>
        </w:rPr>
        <w:t xml:space="preserve"> </w:t>
      </w:r>
      <w:r w:rsidR="00E52DFE">
        <w:rPr>
          <w:rFonts w:ascii="Times New Roman" w:hAnsi="Times New Roman"/>
          <w:sz w:val="24"/>
          <w:szCs w:val="24"/>
        </w:rPr>
        <w:t>(APS 110)</w:t>
      </w:r>
      <w:r>
        <w:rPr>
          <w:rFonts w:ascii="Times New Roman" w:hAnsi="Times New Roman"/>
          <w:sz w:val="24"/>
          <w:szCs w:val="24"/>
        </w:rPr>
        <w:t>;</w:t>
      </w:r>
    </w:p>
    <w:p w14:paraId="2E431366" w14:textId="19EB2206" w:rsidR="00AC7A56" w:rsidRDefault="00AC7A56" w:rsidP="00DF7DA0">
      <w:pPr>
        <w:widowControl w:val="0"/>
        <w:numPr>
          <w:ilvl w:val="0"/>
          <w:numId w:val="5"/>
        </w:numPr>
        <w:spacing w:after="240"/>
        <w:jc w:val="both"/>
        <w:rPr>
          <w:rFonts w:ascii="Times New Roman" w:hAnsi="Times New Roman"/>
          <w:sz w:val="24"/>
          <w:szCs w:val="24"/>
        </w:rPr>
      </w:pPr>
      <w:r w:rsidRPr="002C6D26">
        <w:rPr>
          <w:rFonts w:ascii="Times New Roman" w:hAnsi="Times New Roman"/>
          <w:sz w:val="24"/>
          <w:szCs w:val="24"/>
        </w:rPr>
        <w:t xml:space="preserve">Banking (prudential standard) determination No. </w:t>
      </w:r>
      <w:r w:rsidR="00C968D3">
        <w:rPr>
          <w:rFonts w:ascii="Times New Roman" w:hAnsi="Times New Roman"/>
          <w:sz w:val="24"/>
          <w:szCs w:val="24"/>
        </w:rPr>
        <w:t>6</w:t>
      </w:r>
      <w:r w:rsidR="00C968D3" w:rsidRPr="002C6D26">
        <w:rPr>
          <w:rFonts w:ascii="Times New Roman" w:hAnsi="Times New Roman"/>
          <w:sz w:val="24"/>
          <w:szCs w:val="24"/>
        </w:rPr>
        <w:t xml:space="preserve"> </w:t>
      </w:r>
      <w:r w:rsidRPr="002C6D26">
        <w:rPr>
          <w:rFonts w:ascii="Times New Roman" w:hAnsi="Times New Roman"/>
          <w:sz w:val="24"/>
          <w:szCs w:val="24"/>
        </w:rPr>
        <w:t>of 20</w:t>
      </w:r>
      <w:r w:rsidR="00EE20F5">
        <w:rPr>
          <w:rFonts w:ascii="Times New Roman" w:hAnsi="Times New Roman"/>
          <w:sz w:val="24"/>
          <w:szCs w:val="24"/>
        </w:rPr>
        <w:t>2</w:t>
      </w:r>
      <w:r w:rsidR="001E33AF">
        <w:rPr>
          <w:rFonts w:ascii="Times New Roman" w:hAnsi="Times New Roman"/>
          <w:sz w:val="24"/>
          <w:szCs w:val="24"/>
        </w:rPr>
        <w:t>2</w:t>
      </w:r>
      <w:r w:rsidR="004B1549">
        <w:rPr>
          <w:rFonts w:ascii="Times New Roman" w:hAnsi="Times New Roman"/>
          <w:sz w:val="24"/>
          <w:szCs w:val="24"/>
        </w:rPr>
        <w:t>,</w:t>
      </w:r>
      <w:r w:rsidRPr="002C6D26">
        <w:rPr>
          <w:rFonts w:ascii="Times New Roman" w:hAnsi="Times New Roman"/>
          <w:sz w:val="24"/>
          <w:szCs w:val="24"/>
        </w:rPr>
        <w:t xml:space="preserve"> </w:t>
      </w:r>
      <w:r>
        <w:rPr>
          <w:rFonts w:ascii="Times New Roman" w:hAnsi="Times New Roman"/>
          <w:sz w:val="24"/>
          <w:szCs w:val="24"/>
        </w:rPr>
        <w:t xml:space="preserve">which </w:t>
      </w:r>
      <w:r w:rsidR="009927BF" w:rsidRPr="009927BF">
        <w:rPr>
          <w:rFonts w:ascii="Times New Roman" w:hAnsi="Times New Roman"/>
          <w:sz w:val="24"/>
          <w:szCs w:val="24"/>
        </w:rPr>
        <w:t xml:space="preserve">revokes </w:t>
      </w:r>
      <w:r w:rsidR="009927BF" w:rsidRPr="009927BF">
        <w:rPr>
          <w:rFonts w:ascii="Times New Roman" w:hAnsi="Times New Roman"/>
          <w:i/>
          <w:sz w:val="24"/>
          <w:szCs w:val="24"/>
        </w:rPr>
        <w:t>Prudential Standard APS 11</w:t>
      </w:r>
      <w:r w:rsidR="00EE20F5">
        <w:rPr>
          <w:rFonts w:ascii="Times New Roman" w:hAnsi="Times New Roman"/>
          <w:i/>
          <w:sz w:val="24"/>
          <w:szCs w:val="24"/>
        </w:rPr>
        <w:t>2</w:t>
      </w:r>
      <w:r w:rsidR="009927BF" w:rsidRPr="009927BF">
        <w:rPr>
          <w:rFonts w:ascii="Times New Roman" w:hAnsi="Times New Roman"/>
          <w:i/>
          <w:sz w:val="24"/>
          <w:szCs w:val="24"/>
        </w:rPr>
        <w:t xml:space="preserve"> Capital Adequacy</w:t>
      </w:r>
      <w:r w:rsidR="00EE20F5">
        <w:rPr>
          <w:rFonts w:ascii="Times New Roman" w:hAnsi="Times New Roman"/>
          <w:i/>
          <w:sz w:val="24"/>
          <w:szCs w:val="24"/>
        </w:rPr>
        <w:t>: Standardised Approach to Credit Risk</w:t>
      </w:r>
      <w:r w:rsidR="009927BF" w:rsidRPr="009927BF">
        <w:rPr>
          <w:rFonts w:ascii="Times New Roman" w:hAnsi="Times New Roman"/>
          <w:sz w:val="24"/>
          <w:szCs w:val="24"/>
        </w:rPr>
        <w:t xml:space="preserve"> made under Banking (prudential standard) determination No. </w:t>
      </w:r>
      <w:r w:rsidR="00F74C24">
        <w:rPr>
          <w:rFonts w:ascii="Times New Roman" w:hAnsi="Times New Roman"/>
          <w:sz w:val="24"/>
          <w:szCs w:val="24"/>
        </w:rPr>
        <w:t>2</w:t>
      </w:r>
      <w:r w:rsidR="009927BF" w:rsidRPr="009927BF">
        <w:rPr>
          <w:rFonts w:ascii="Times New Roman" w:hAnsi="Times New Roman"/>
          <w:sz w:val="24"/>
          <w:szCs w:val="24"/>
        </w:rPr>
        <w:t xml:space="preserve"> of 20</w:t>
      </w:r>
      <w:r w:rsidR="00F74C24">
        <w:rPr>
          <w:rFonts w:ascii="Times New Roman" w:hAnsi="Times New Roman"/>
          <w:sz w:val="24"/>
          <w:szCs w:val="24"/>
        </w:rPr>
        <w:t>18</w:t>
      </w:r>
      <w:r w:rsidR="009927BF">
        <w:rPr>
          <w:rFonts w:ascii="Times New Roman" w:hAnsi="Times New Roman"/>
          <w:sz w:val="24"/>
          <w:szCs w:val="24"/>
        </w:rPr>
        <w:t xml:space="preserve"> and </w:t>
      </w:r>
      <w:r w:rsidRPr="002C6D26">
        <w:rPr>
          <w:rFonts w:ascii="Times New Roman" w:hAnsi="Times New Roman"/>
          <w:sz w:val="24"/>
          <w:szCs w:val="24"/>
        </w:rPr>
        <w:t xml:space="preserve">determines </w:t>
      </w:r>
      <w:r w:rsidR="00E758B5">
        <w:rPr>
          <w:rFonts w:ascii="Times New Roman" w:hAnsi="Times New Roman"/>
          <w:sz w:val="24"/>
          <w:szCs w:val="24"/>
        </w:rPr>
        <w:t xml:space="preserve">a new </w:t>
      </w:r>
      <w:r>
        <w:rPr>
          <w:rFonts w:ascii="Times New Roman" w:hAnsi="Times New Roman"/>
          <w:i/>
          <w:sz w:val="24"/>
          <w:szCs w:val="24"/>
        </w:rPr>
        <w:t>Prudential Standard</w:t>
      </w:r>
      <w:r w:rsidR="00E52DFE">
        <w:rPr>
          <w:rFonts w:ascii="Times New Roman" w:hAnsi="Times New Roman"/>
          <w:i/>
          <w:sz w:val="24"/>
          <w:szCs w:val="24"/>
        </w:rPr>
        <w:t xml:space="preserve"> APS 11</w:t>
      </w:r>
      <w:r w:rsidR="00EE20F5">
        <w:rPr>
          <w:rFonts w:ascii="Times New Roman" w:hAnsi="Times New Roman"/>
          <w:i/>
          <w:sz w:val="24"/>
          <w:szCs w:val="24"/>
        </w:rPr>
        <w:t>2</w:t>
      </w:r>
      <w:r w:rsidR="007049CF">
        <w:rPr>
          <w:rFonts w:ascii="Times New Roman" w:hAnsi="Times New Roman"/>
          <w:i/>
          <w:sz w:val="24"/>
          <w:szCs w:val="24"/>
        </w:rPr>
        <w:t xml:space="preserve"> </w:t>
      </w:r>
      <w:r w:rsidR="000401FC">
        <w:rPr>
          <w:rFonts w:ascii="Times New Roman" w:hAnsi="Times New Roman"/>
          <w:i/>
          <w:sz w:val="24"/>
          <w:szCs w:val="24"/>
        </w:rPr>
        <w:t>Capital Adequacy</w:t>
      </w:r>
      <w:r w:rsidR="00EE20F5">
        <w:rPr>
          <w:rFonts w:ascii="Times New Roman" w:hAnsi="Times New Roman"/>
          <w:i/>
          <w:sz w:val="24"/>
          <w:szCs w:val="24"/>
        </w:rPr>
        <w:t>:</w:t>
      </w:r>
      <w:r w:rsidR="00F74C24">
        <w:rPr>
          <w:rFonts w:ascii="Times New Roman" w:hAnsi="Times New Roman"/>
          <w:i/>
          <w:sz w:val="24"/>
          <w:szCs w:val="24"/>
        </w:rPr>
        <w:t xml:space="preserve"> Standardised Approach to Credit Risk</w:t>
      </w:r>
      <w:r w:rsidR="000401FC">
        <w:rPr>
          <w:rFonts w:ascii="Times New Roman" w:hAnsi="Times New Roman"/>
          <w:i/>
          <w:sz w:val="24"/>
          <w:szCs w:val="24"/>
        </w:rPr>
        <w:t xml:space="preserve"> </w:t>
      </w:r>
      <w:r w:rsidR="000401FC" w:rsidRPr="007049CF">
        <w:rPr>
          <w:rFonts w:ascii="Times New Roman" w:hAnsi="Times New Roman"/>
          <w:sz w:val="24"/>
          <w:szCs w:val="24"/>
        </w:rPr>
        <w:t>(APS 11</w:t>
      </w:r>
      <w:r w:rsidR="00F74C24">
        <w:rPr>
          <w:rFonts w:ascii="Times New Roman" w:hAnsi="Times New Roman"/>
          <w:sz w:val="24"/>
          <w:szCs w:val="24"/>
        </w:rPr>
        <w:t>2</w:t>
      </w:r>
      <w:r w:rsidR="000401FC" w:rsidRPr="007049CF">
        <w:rPr>
          <w:rFonts w:ascii="Times New Roman" w:hAnsi="Times New Roman"/>
          <w:sz w:val="24"/>
          <w:szCs w:val="24"/>
        </w:rPr>
        <w:t>)</w:t>
      </w:r>
      <w:r>
        <w:rPr>
          <w:rFonts w:ascii="Times New Roman" w:hAnsi="Times New Roman"/>
          <w:sz w:val="24"/>
          <w:szCs w:val="24"/>
        </w:rPr>
        <w:t>;</w:t>
      </w:r>
      <w:r w:rsidR="00F74C24">
        <w:rPr>
          <w:rFonts w:ascii="Times New Roman" w:hAnsi="Times New Roman"/>
          <w:sz w:val="24"/>
          <w:szCs w:val="24"/>
        </w:rPr>
        <w:t xml:space="preserve"> and</w:t>
      </w:r>
    </w:p>
    <w:p w14:paraId="47EEC39D" w14:textId="46EB3E84" w:rsidR="00F74C24" w:rsidRDefault="00F74C24" w:rsidP="00F74C24">
      <w:pPr>
        <w:widowControl w:val="0"/>
        <w:numPr>
          <w:ilvl w:val="0"/>
          <w:numId w:val="5"/>
        </w:numPr>
        <w:spacing w:after="240"/>
        <w:jc w:val="both"/>
        <w:rPr>
          <w:rFonts w:ascii="Times New Roman" w:hAnsi="Times New Roman"/>
          <w:sz w:val="24"/>
          <w:szCs w:val="24"/>
        </w:rPr>
      </w:pPr>
      <w:r w:rsidRPr="002C6D26">
        <w:rPr>
          <w:rFonts w:ascii="Times New Roman" w:hAnsi="Times New Roman"/>
          <w:sz w:val="24"/>
          <w:szCs w:val="24"/>
        </w:rPr>
        <w:t xml:space="preserve">Banking (prudential standard) determination No. </w:t>
      </w:r>
      <w:r w:rsidR="00C968D3">
        <w:rPr>
          <w:rFonts w:ascii="Times New Roman" w:hAnsi="Times New Roman"/>
          <w:sz w:val="24"/>
          <w:szCs w:val="24"/>
        </w:rPr>
        <w:t>7</w:t>
      </w:r>
      <w:r w:rsidR="00C968D3" w:rsidRPr="002C6D26">
        <w:rPr>
          <w:rFonts w:ascii="Times New Roman" w:hAnsi="Times New Roman"/>
          <w:sz w:val="24"/>
          <w:szCs w:val="24"/>
        </w:rPr>
        <w:t xml:space="preserve"> </w:t>
      </w:r>
      <w:r w:rsidRPr="002C6D26">
        <w:rPr>
          <w:rFonts w:ascii="Times New Roman" w:hAnsi="Times New Roman"/>
          <w:sz w:val="24"/>
          <w:szCs w:val="24"/>
        </w:rPr>
        <w:t>of 20</w:t>
      </w:r>
      <w:r>
        <w:rPr>
          <w:rFonts w:ascii="Times New Roman" w:hAnsi="Times New Roman"/>
          <w:sz w:val="24"/>
          <w:szCs w:val="24"/>
        </w:rPr>
        <w:t>2</w:t>
      </w:r>
      <w:r w:rsidR="0014157E">
        <w:rPr>
          <w:rFonts w:ascii="Times New Roman" w:hAnsi="Times New Roman"/>
          <w:sz w:val="24"/>
          <w:szCs w:val="24"/>
        </w:rPr>
        <w:t>2</w:t>
      </w:r>
      <w:r w:rsidR="004B1549">
        <w:rPr>
          <w:rFonts w:ascii="Times New Roman" w:hAnsi="Times New Roman"/>
          <w:sz w:val="24"/>
          <w:szCs w:val="24"/>
        </w:rPr>
        <w:t>,</w:t>
      </w:r>
      <w:r w:rsidRPr="002C6D26">
        <w:rPr>
          <w:rFonts w:ascii="Times New Roman" w:hAnsi="Times New Roman"/>
          <w:sz w:val="24"/>
          <w:szCs w:val="24"/>
        </w:rPr>
        <w:t xml:space="preserve"> </w:t>
      </w:r>
      <w:r>
        <w:rPr>
          <w:rFonts w:ascii="Times New Roman" w:hAnsi="Times New Roman"/>
          <w:sz w:val="24"/>
          <w:szCs w:val="24"/>
        </w:rPr>
        <w:t xml:space="preserve">which </w:t>
      </w:r>
      <w:r w:rsidRPr="009927BF">
        <w:rPr>
          <w:rFonts w:ascii="Times New Roman" w:hAnsi="Times New Roman"/>
          <w:sz w:val="24"/>
          <w:szCs w:val="24"/>
        </w:rPr>
        <w:t xml:space="preserve">revokes </w:t>
      </w:r>
      <w:r w:rsidRPr="009927BF">
        <w:rPr>
          <w:rFonts w:ascii="Times New Roman" w:hAnsi="Times New Roman"/>
          <w:i/>
          <w:sz w:val="24"/>
          <w:szCs w:val="24"/>
        </w:rPr>
        <w:t>Prudential Standard APS 11</w:t>
      </w:r>
      <w:r>
        <w:rPr>
          <w:rFonts w:ascii="Times New Roman" w:hAnsi="Times New Roman"/>
          <w:i/>
          <w:sz w:val="24"/>
          <w:szCs w:val="24"/>
        </w:rPr>
        <w:t>3</w:t>
      </w:r>
      <w:r w:rsidRPr="009927BF">
        <w:rPr>
          <w:rFonts w:ascii="Times New Roman" w:hAnsi="Times New Roman"/>
          <w:i/>
          <w:sz w:val="24"/>
          <w:szCs w:val="24"/>
        </w:rPr>
        <w:t xml:space="preserve"> Capital Adequacy</w:t>
      </w:r>
      <w:r>
        <w:rPr>
          <w:rFonts w:ascii="Times New Roman" w:hAnsi="Times New Roman"/>
          <w:i/>
          <w:sz w:val="24"/>
          <w:szCs w:val="24"/>
        </w:rPr>
        <w:t>: Internal Ratings-based Approach to Credit Risk</w:t>
      </w:r>
      <w:r w:rsidRPr="009927BF">
        <w:rPr>
          <w:rFonts w:ascii="Times New Roman" w:hAnsi="Times New Roman"/>
          <w:sz w:val="24"/>
          <w:szCs w:val="24"/>
        </w:rPr>
        <w:t xml:space="preserve"> made under Banking (prudential standard) determination No. </w:t>
      </w:r>
      <w:r>
        <w:rPr>
          <w:rFonts w:ascii="Times New Roman" w:hAnsi="Times New Roman"/>
          <w:sz w:val="24"/>
          <w:szCs w:val="24"/>
        </w:rPr>
        <w:t>6</w:t>
      </w:r>
      <w:r w:rsidRPr="009927BF">
        <w:rPr>
          <w:rFonts w:ascii="Times New Roman" w:hAnsi="Times New Roman"/>
          <w:sz w:val="24"/>
          <w:szCs w:val="24"/>
        </w:rPr>
        <w:t xml:space="preserve"> of 20</w:t>
      </w:r>
      <w:r>
        <w:rPr>
          <w:rFonts w:ascii="Times New Roman" w:hAnsi="Times New Roman"/>
          <w:sz w:val="24"/>
          <w:szCs w:val="24"/>
        </w:rPr>
        <w:t xml:space="preserve">12 and </w:t>
      </w:r>
      <w:r w:rsidRPr="002C6D26">
        <w:rPr>
          <w:rFonts w:ascii="Times New Roman" w:hAnsi="Times New Roman"/>
          <w:sz w:val="24"/>
          <w:szCs w:val="24"/>
        </w:rPr>
        <w:t xml:space="preserve">determines </w:t>
      </w:r>
      <w:r>
        <w:rPr>
          <w:rFonts w:ascii="Times New Roman" w:hAnsi="Times New Roman"/>
          <w:sz w:val="24"/>
          <w:szCs w:val="24"/>
        </w:rPr>
        <w:t xml:space="preserve">a new </w:t>
      </w:r>
      <w:r>
        <w:rPr>
          <w:rFonts w:ascii="Times New Roman" w:hAnsi="Times New Roman"/>
          <w:i/>
          <w:sz w:val="24"/>
          <w:szCs w:val="24"/>
        </w:rPr>
        <w:t>Prudential Standard APS 11</w:t>
      </w:r>
      <w:r w:rsidR="004B1F1B">
        <w:rPr>
          <w:rFonts w:ascii="Times New Roman" w:hAnsi="Times New Roman"/>
          <w:i/>
          <w:sz w:val="24"/>
          <w:szCs w:val="24"/>
        </w:rPr>
        <w:t>3</w:t>
      </w:r>
      <w:r>
        <w:rPr>
          <w:rFonts w:ascii="Times New Roman" w:hAnsi="Times New Roman"/>
          <w:i/>
          <w:sz w:val="24"/>
          <w:szCs w:val="24"/>
        </w:rPr>
        <w:t xml:space="preserve"> Capital Adequacy: Internal Ratings-based Approach to Credit Risk </w:t>
      </w:r>
      <w:r w:rsidRPr="007049CF">
        <w:rPr>
          <w:rFonts w:ascii="Times New Roman" w:hAnsi="Times New Roman"/>
          <w:sz w:val="24"/>
          <w:szCs w:val="24"/>
        </w:rPr>
        <w:t>(APS 11</w:t>
      </w:r>
      <w:r>
        <w:rPr>
          <w:rFonts w:ascii="Times New Roman" w:hAnsi="Times New Roman"/>
          <w:sz w:val="24"/>
          <w:szCs w:val="24"/>
        </w:rPr>
        <w:t>3</w:t>
      </w:r>
      <w:r w:rsidRPr="007049CF">
        <w:rPr>
          <w:rFonts w:ascii="Times New Roman" w:hAnsi="Times New Roman"/>
          <w:sz w:val="24"/>
          <w:szCs w:val="24"/>
        </w:rPr>
        <w:t>)</w:t>
      </w:r>
      <w:r>
        <w:rPr>
          <w:rFonts w:ascii="Times New Roman" w:hAnsi="Times New Roman"/>
          <w:sz w:val="24"/>
          <w:szCs w:val="24"/>
        </w:rPr>
        <w:t>.</w:t>
      </w:r>
    </w:p>
    <w:p w14:paraId="5E4C06BF" w14:textId="0BD070A7" w:rsidR="00246723" w:rsidRDefault="00AC7A56" w:rsidP="00DF7DA0">
      <w:pPr>
        <w:widowControl w:val="0"/>
        <w:spacing w:after="240"/>
        <w:jc w:val="both"/>
        <w:rPr>
          <w:rFonts w:ascii="Times New Roman" w:hAnsi="Times New Roman"/>
          <w:sz w:val="24"/>
          <w:szCs w:val="24"/>
        </w:rPr>
      </w:pPr>
      <w:r>
        <w:rPr>
          <w:rFonts w:ascii="Times New Roman" w:hAnsi="Times New Roman"/>
          <w:sz w:val="24"/>
          <w:szCs w:val="24"/>
        </w:rPr>
        <w:t>The instruments commence on</w:t>
      </w:r>
      <w:r w:rsidRPr="002C6D26">
        <w:rPr>
          <w:rFonts w:ascii="Times New Roman" w:hAnsi="Times New Roman"/>
          <w:sz w:val="24"/>
          <w:szCs w:val="24"/>
        </w:rPr>
        <w:t xml:space="preserve"> </w:t>
      </w:r>
      <w:r w:rsidR="00F74C24">
        <w:rPr>
          <w:rFonts w:ascii="Times New Roman" w:hAnsi="Times New Roman"/>
          <w:sz w:val="24"/>
          <w:szCs w:val="24"/>
        </w:rPr>
        <w:t xml:space="preserve">1 January 2023. </w:t>
      </w:r>
    </w:p>
    <w:p w14:paraId="25ABAD4C" w14:textId="4BA44D92"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41ECEEAA" w14:textId="7B194A29" w:rsidR="00570817" w:rsidRDefault="00DB34F1" w:rsidP="00DB34F1">
      <w:pPr>
        <w:pStyle w:val="Heading"/>
        <w:keepNext/>
        <w:spacing w:after="240"/>
        <w:outlineLvl w:val="0"/>
        <w:rPr>
          <w:rFonts w:ascii="Times New Roman" w:hAnsi="Times New Roman"/>
          <w:b w:val="0"/>
          <w:sz w:val="24"/>
          <w:szCs w:val="24"/>
        </w:rPr>
      </w:pPr>
      <w:r w:rsidRPr="00DB34F1">
        <w:rPr>
          <w:rFonts w:ascii="Times New Roman" w:hAnsi="Times New Roman"/>
          <w:b w:val="0"/>
          <w:sz w:val="24"/>
          <w:szCs w:val="24"/>
        </w:rPr>
        <w:t xml:space="preserve">APRA regulates banking, insurance and superannuation entities with the aim of ensuring that they can meet their financial promises to depositors, policyholders and superannuation fund members within a stable, efficient and competitive financial system. </w:t>
      </w:r>
      <w:r w:rsidR="00E12DC1" w:rsidRPr="00E12DC1">
        <w:rPr>
          <w:rFonts w:ascii="Times New Roman" w:hAnsi="Times New Roman"/>
          <w:b w:val="0"/>
          <w:sz w:val="24"/>
          <w:szCs w:val="24"/>
        </w:rPr>
        <w:t xml:space="preserve">A key component of APRA’s prudential framework is the suite of prudential standards that impose regulatory capital requirements </w:t>
      </w:r>
      <w:r w:rsidR="006951ED" w:rsidRPr="00E12DC1">
        <w:rPr>
          <w:rFonts w:ascii="Times New Roman" w:hAnsi="Times New Roman"/>
          <w:b w:val="0"/>
          <w:sz w:val="24"/>
          <w:szCs w:val="24"/>
        </w:rPr>
        <w:t xml:space="preserve">(the capital standards) </w:t>
      </w:r>
      <w:r w:rsidR="00E12DC1" w:rsidRPr="00E12DC1">
        <w:rPr>
          <w:rFonts w:ascii="Times New Roman" w:hAnsi="Times New Roman"/>
          <w:b w:val="0"/>
          <w:sz w:val="24"/>
          <w:szCs w:val="24"/>
        </w:rPr>
        <w:t>on ADIs for the purpose of ensuring ADIs hold sufficient capital to address the risks associated with their operations.</w:t>
      </w:r>
      <w:r w:rsidR="00E12DC1">
        <w:rPr>
          <w:rFonts w:ascii="Times New Roman" w:hAnsi="Times New Roman"/>
          <w:b w:val="0"/>
          <w:sz w:val="24"/>
          <w:szCs w:val="24"/>
        </w:rPr>
        <w:t xml:space="preserve"> </w:t>
      </w:r>
      <w:r w:rsidR="000F61BA" w:rsidRPr="000F61BA">
        <w:rPr>
          <w:rFonts w:ascii="Times New Roman" w:hAnsi="Times New Roman"/>
          <w:b w:val="0"/>
          <w:sz w:val="24"/>
          <w:szCs w:val="24"/>
        </w:rPr>
        <w:t xml:space="preserve">As Australia is a member of the Basel Committee </w:t>
      </w:r>
      <w:r w:rsidR="00DE6BC0">
        <w:rPr>
          <w:rFonts w:ascii="Times New Roman" w:hAnsi="Times New Roman"/>
          <w:b w:val="0"/>
          <w:sz w:val="24"/>
          <w:szCs w:val="24"/>
        </w:rPr>
        <w:t xml:space="preserve">on Banking Supervision (Basel Committee) </w:t>
      </w:r>
      <w:r w:rsidR="000F61BA" w:rsidRPr="000F61BA">
        <w:rPr>
          <w:rFonts w:ascii="Times New Roman" w:hAnsi="Times New Roman"/>
          <w:b w:val="0"/>
          <w:sz w:val="24"/>
          <w:szCs w:val="24"/>
        </w:rPr>
        <w:t xml:space="preserve">and the Group of 20, </w:t>
      </w:r>
      <w:r w:rsidR="006951ED">
        <w:rPr>
          <w:rFonts w:ascii="Times New Roman" w:hAnsi="Times New Roman"/>
          <w:b w:val="0"/>
          <w:sz w:val="24"/>
          <w:szCs w:val="24"/>
        </w:rPr>
        <w:t>Australia and APRA</w:t>
      </w:r>
      <w:r w:rsidR="000F61BA" w:rsidRPr="000F61BA">
        <w:rPr>
          <w:rFonts w:ascii="Times New Roman" w:hAnsi="Times New Roman"/>
          <w:b w:val="0"/>
          <w:sz w:val="24"/>
          <w:szCs w:val="24"/>
        </w:rPr>
        <w:t xml:space="preserve"> </w:t>
      </w:r>
      <w:r w:rsidR="006951ED">
        <w:rPr>
          <w:rFonts w:ascii="Times New Roman" w:hAnsi="Times New Roman"/>
          <w:b w:val="0"/>
          <w:sz w:val="24"/>
          <w:szCs w:val="24"/>
        </w:rPr>
        <w:t>are</w:t>
      </w:r>
      <w:r w:rsidR="000F61BA" w:rsidRPr="000F61BA">
        <w:rPr>
          <w:rFonts w:ascii="Times New Roman" w:hAnsi="Times New Roman"/>
          <w:b w:val="0"/>
          <w:sz w:val="24"/>
          <w:szCs w:val="24"/>
        </w:rPr>
        <w:t xml:space="preserve"> committed to meeting internationally</w:t>
      </w:r>
      <w:r w:rsidR="00A97982">
        <w:rPr>
          <w:rFonts w:ascii="Times New Roman" w:hAnsi="Times New Roman"/>
          <w:b w:val="0"/>
          <w:sz w:val="24"/>
          <w:szCs w:val="24"/>
        </w:rPr>
        <w:t xml:space="preserve"> </w:t>
      </w:r>
      <w:r w:rsidR="000F61BA" w:rsidRPr="000F61BA">
        <w:rPr>
          <w:rFonts w:ascii="Times New Roman" w:hAnsi="Times New Roman"/>
          <w:b w:val="0"/>
          <w:sz w:val="24"/>
          <w:szCs w:val="24"/>
        </w:rPr>
        <w:t>agreed standards for prudential regulation for ADIs</w:t>
      </w:r>
      <w:r w:rsidR="00570817">
        <w:rPr>
          <w:rFonts w:ascii="Times New Roman" w:hAnsi="Times New Roman"/>
          <w:b w:val="0"/>
          <w:sz w:val="24"/>
          <w:szCs w:val="24"/>
        </w:rPr>
        <w:t xml:space="preserve"> by implementing capital standards that are based on the framework agreed by the Basel Committee. </w:t>
      </w:r>
    </w:p>
    <w:p w14:paraId="7E89AB0D" w14:textId="79343062" w:rsidR="007442D4" w:rsidRPr="007442D4" w:rsidRDefault="007442D4" w:rsidP="005801B7">
      <w:pPr>
        <w:pStyle w:val="Heading"/>
        <w:keepNext/>
        <w:spacing w:after="120"/>
        <w:outlineLvl w:val="0"/>
        <w:rPr>
          <w:rFonts w:ascii="Times New Roman" w:hAnsi="Times New Roman"/>
          <w:b w:val="0"/>
          <w:sz w:val="24"/>
          <w:szCs w:val="24"/>
        </w:rPr>
      </w:pPr>
      <w:r w:rsidRPr="007442D4">
        <w:rPr>
          <w:rFonts w:ascii="Times New Roman" w:hAnsi="Times New Roman"/>
          <w:b w:val="0"/>
          <w:sz w:val="24"/>
          <w:szCs w:val="24"/>
        </w:rPr>
        <w:t xml:space="preserve">While Australian ADIs have traditionally been well capitalised to withstand </w:t>
      </w:r>
      <w:r w:rsidR="0094655E">
        <w:rPr>
          <w:rFonts w:ascii="Times New Roman" w:hAnsi="Times New Roman"/>
          <w:b w:val="0"/>
          <w:sz w:val="24"/>
          <w:szCs w:val="24"/>
        </w:rPr>
        <w:t>shocks</w:t>
      </w:r>
      <w:r w:rsidRPr="007442D4">
        <w:rPr>
          <w:rFonts w:ascii="Times New Roman" w:hAnsi="Times New Roman"/>
          <w:b w:val="0"/>
          <w:sz w:val="24"/>
          <w:szCs w:val="24"/>
        </w:rPr>
        <w:t xml:space="preserve">, the 2014 Financial System Inquiry recommended, and the Australian Government </w:t>
      </w:r>
      <w:r w:rsidRPr="007442D4">
        <w:rPr>
          <w:rFonts w:ascii="Times New Roman" w:hAnsi="Times New Roman"/>
          <w:b w:val="0"/>
          <w:sz w:val="24"/>
          <w:szCs w:val="24"/>
        </w:rPr>
        <w:lastRenderedPageBreak/>
        <w:t>endorsed, that APRA increase capital requirements for ADIs such that they meet ‘unquestionably strong’ capital benchmarks.</w:t>
      </w:r>
      <w:r w:rsidR="006951ED">
        <w:rPr>
          <w:rFonts w:ascii="Times New Roman" w:hAnsi="Times New Roman"/>
          <w:b w:val="0"/>
          <w:sz w:val="24"/>
          <w:szCs w:val="24"/>
        </w:rPr>
        <w:t xml:space="preserve"> APRA set these capital benchmark increases for ADIs in 2017 and committed to </w:t>
      </w:r>
      <w:r w:rsidR="00CF7D73">
        <w:rPr>
          <w:rFonts w:ascii="Times New Roman" w:hAnsi="Times New Roman"/>
          <w:b w:val="0"/>
          <w:sz w:val="24"/>
          <w:szCs w:val="24"/>
        </w:rPr>
        <w:t>reviewing</w:t>
      </w:r>
      <w:r w:rsidR="006951ED">
        <w:rPr>
          <w:rFonts w:ascii="Times New Roman" w:hAnsi="Times New Roman"/>
          <w:b w:val="0"/>
          <w:sz w:val="24"/>
          <w:szCs w:val="24"/>
        </w:rPr>
        <w:t xml:space="preserve"> </w:t>
      </w:r>
      <w:r w:rsidR="00CF7D73">
        <w:rPr>
          <w:rFonts w:ascii="Times New Roman" w:hAnsi="Times New Roman"/>
          <w:b w:val="0"/>
          <w:sz w:val="24"/>
          <w:szCs w:val="24"/>
        </w:rPr>
        <w:t>its ADI capital standards to formally embed those increases. In addition,</w:t>
      </w:r>
      <w:r w:rsidR="00983005" w:rsidRPr="007442D4">
        <w:rPr>
          <w:rFonts w:ascii="Times New Roman" w:hAnsi="Times New Roman"/>
          <w:b w:val="0"/>
          <w:sz w:val="24"/>
          <w:szCs w:val="24"/>
        </w:rPr>
        <w:t xml:space="preserve"> </w:t>
      </w:r>
      <w:r w:rsidRPr="007442D4">
        <w:rPr>
          <w:rFonts w:ascii="Times New Roman" w:hAnsi="Times New Roman"/>
          <w:b w:val="0"/>
          <w:sz w:val="24"/>
          <w:szCs w:val="24"/>
        </w:rPr>
        <w:t xml:space="preserve">APRA identified </w:t>
      </w:r>
      <w:proofErr w:type="gramStart"/>
      <w:r w:rsidRPr="007442D4">
        <w:rPr>
          <w:rFonts w:ascii="Times New Roman" w:hAnsi="Times New Roman"/>
          <w:b w:val="0"/>
          <w:sz w:val="24"/>
          <w:szCs w:val="24"/>
        </w:rPr>
        <w:t>a number of</w:t>
      </w:r>
      <w:proofErr w:type="gramEnd"/>
      <w:r w:rsidRPr="007442D4">
        <w:rPr>
          <w:rFonts w:ascii="Times New Roman" w:hAnsi="Times New Roman"/>
          <w:b w:val="0"/>
          <w:sz w:val="24"/>
          <w:szCs w:val="24"/>
        </w:rPr>
        <w:t xml:space="preserve"> concerns that needed to be addressed</w:t>
      </w:r>
      <w:r w:rsidR="00CF7D73">
        <w:rPr>
          <w:rFonts w:ascii="Times New Roman" w:hAnsi="Times New Roman"/>
          <w:b w:val="0"/>
          <w:sz w:val="24"/>
          <w:szCs w:val="24"/>
        </w:rPr>
        <w:t xml:space="preserve"> in its review</w:t>
      </w:r>
      <w:r w:rsidRPr="007442D4">
        <w:rPr>
          <w:rFonts w:ascii="Times New Roman" w:hAnsi="Times New Roman"/>
          <w:b w:val="0"/>
          <w:sz w:val="24"/>
          <w:szCs w:val="24"/>
        </w:rPr>
        <w:t>, including:</w:t>
      </w:r>
    </w:p>
    <w:p w14:paraId="027420B1" w14:textId="6BFA6520" w:rsidR="007442D4" w:rsidRPr="007442D4" w:rsidRDefault="007442D4" w:rsidP="005801B7">
      <w:pPr>
        <w:pStyle w:val="Heading"/>
        <w:keepNext/>
        <w:numPr>
          <w:ilvl w:val="0"/>
          <w:numId w:val="13"/>
        </w:numPr>
        <w:spacing w:after="120"/>
        <w:outlineLvl w:val="0"/>
        <w:rPr>
          <w:rFonts w:ascii="Times New Roman" w:hAnsi="Times New Roman"/>
          <w:b w:val="0"/>
          <w:sz w:val="24"/>
          <w:szCs w:val="24"/>
        </w:rPr>
      </w:pPr>
      <w:r w:rsidRPr="007442D4">
        <w:rPr>
          <w:rFonts w:ascii="Times New Roman" w:hAnsi="Times New Roman"/>
          <w:b w:val="0"/>
          <w:sz w:val="24"/>
          <w:szCs w:val="24"/>
        </w:rPr>
        <w:t xml:space="preserve">concentration risks in the residential housing market in Australia;  </w:t>
      </w:r>
    </w:p>
    <w:p w14:paraId="3C16C94B" w14:textId="7E097296" w:rsidR="007442D4" w:rsidRPr="007442D4" w:rsidRDefault="007442D4" w:rsidP="005801B7">
      <w:pPr>
        <w:pStyle w:val="Heading"/>
        <w:keepNext/>
        <w:numPr>
          <w:ilvl w:val="0"/>
          <w:numId w:val="13"/>
        </w:numPr>
        <w:spacing w:after="120"/>
        <w:outlineLvl w:val="0"/>
        <w:rPr>
          <w:rFonts w:ascii="Times New Roman" w:hAnsi="Times New Roman"/>
          <w:b w:val="0"/>
          <w:sz w:val="24"/>
          <w:szCs w:val="24"/>
        </w:rPr>
      </w:pPr>
      <w:r w:rsidRPr="007442D4">
        <w:rPr>
          <w:rFonts w:ascii="Times New Roman" w:hAnsi="Times New Roman"/>
          <w:b w:val="0"/>
          <w:sz w:val="24"/>
          <w:szCs w:val="24"/>
        </w:rPr>
        <w:t xml:space="preserve">the alignment of capital and risk under the existing framework;  </w:t>
      </w:r>
    </w:p>
    <w:p w14:paraId="5135156B" w14:textId="323C4123" w:rsidR="007442D4" w:rsidRPr="007442D4" w:rsidRDefault="007442D4" w:rsidP="005801B7">
      <w:pPr>
        <w:pStyle w:val="Heading"/>
        <w:keepNext/>
        <w:numPr>
          <w:ilvl w:val="0"/>
          <w:numId w:val="13"/>
        </w:numPr>
        <w:spacing w:after="120"/>
        <w:outlineLvl w:val="0"/>
        <w:rPr>
          <w:rFonts w:ascii="Times New Roman" w:hAnsi="Times New Roman"/>
          <w:b w:val="0"/>
          <w:sz w:val="24"/>
          <w:szCs w:val="24"/>
        </w:rPr>
      </w:pPr>
      <w:r w:rsidRPr="007442D4">
        <w:rPr>
          <w:rFonts w:ascii="Times New Roman" w:hAnsi="Times New Roman"/>
          <w:b w:val="0"/>
          <w:sz w:val="24"/>
          <w:szCs w:val="24"/>
        </w:rPr>
        <w:t xml:space="preserve">ADIs’ ability to compete in, and </w:t>
      </w:r>
      <w:r w:rsidR="00374DFD">
        <w:rPr>
          <w:rFonts w:ascii="Times New Roman" w:hAnsi="Times New Roman"/>
          <w:b w:val="0"/>
          <w:sz w:val="24"/>
          <w:szCs w:val="24"/>
        </w:rPr>
        <w:t xml:space="preserve">have </w:t>
      </w:r>
      <w:r w:rsidRPr="007442D4">
        <w:rPr>
          <w:rFonts w:ascii="Times New Roman" w:hAnsi="Times New Roman"/>
          <w:b w:val="0"/>
          <w:sz w:val="24"/>
          <w:szCs w:val="24"/>
        </w:rPr>
        <w:t>access to, international markets; and</w:t>
      </w:r>
    </w:p>
    <w:p w14:paraId="33AA3D86" w14:textId="4E69D0FD" w:rsidR="007442D4" w:rsidRDefault="007442D4" w:rsidP="005801B7">
      <w:pPr>
        <w:pStyle w:val="Heading"/>
        <w:keepNext/>
        <w:numPr>
          <w:ilvl w:val="0"/>
          <w:numId w:val="13"/>
        </w:numPr>
        <w:spacing w:after="120"/>
        <w:outlineLvl w:val="0"/>
        <w:rPr>
          <w:rFonts w:ascii="Times New Roman" w:hAnsi="Times New Roman"/>
          <w:b w:val="0"/>
          <w:sz w:val="24"/>
          <w:szCs w:val="24"/>
        </w:rPr>
      </w:pPr>
      <w:r w:rsidRPr="007442D4">
        <w:rPr>
          <w:rFonts w:ascii="Times New Roman" w:hAnsi="Times New Roman"/>
          <w:b w:val="0"/>
          <w:sz w:val="24"/>
          <w:szCs w:val="24"/>
        </w:rPr>
        <w:t>regulatory burden faced by smaller, less complex ADIs.</w:t>
      </w:r>
    </w:p>
    <w:p w14:paraId="4F41B61F" w14:textId="5D2D75DA" w:rsidR="00DC029B" w:rsidRPr="0022350D" w:rsidRDefault="00DC029B" w:rsidP="005801B7">
      <w:pPr>
        <w:pStyle w:val="Heading"/>
        <w:keepNext/>
        <w:spacing w:after="120"/>
        <w:outlineLvl w:val="0"/>
        <w:rPr>
          <w:rFonts w:ascii="Times New Roman" w:hAnsi="Times New Roman"/>
          <w:b w:val="0"/>
          <w:sz w:val="24"/>
          <w:szCs w:val="24"/>
        </w:rPr>
      </w:pPr>
      <w:r>
        <w:rPr>
          <w:rFonts w:ascii="Times New Roman" w:hAnsi="Times New Roman"/>
          <w:b w:val="0"/>
          <w:sz w:val="24"/>
          <w:szCs w:val="24"/>
        </w:rPr>
        <w:t>APRA’s new capital standards</w:t>
      </w:r>
      <w:r w:rsidR="007442D4">
        <w:rPr>
          <w:rFonts w:ascii="Times New Roman" w:hAnsi="Times New Roman"/>
          <w:b w:val="0"/>
          <w:sz w:val="24"/>
          <w:szCs w:val="24"/>
        </w:rPr>
        <w:t xml:space="preserve"> are designed to address these </w:t>
      </w:r>
      <w:r w:rsidR="00A2132A">
        <w:rPr>
          <w:rFonts w:ascii="Times New Roman" w:hAnsi="Times New Roman"/>
          <w:b w:val="0"/>
          <w:sz w:val="24"/>
          <w:szCs w:val="24"/>
        </w:rPr>
        <w:t>concerns</w:t>
      </w:r>
      <w:r w:rsidR="007442D4">
        <w:rPr>
          <w:rFonts w:ascii="Times New Roman" w:hAnsi="Times New Roman"/>
          <w:b w:val="0"/>
          <w:sz w:val="24"/>
          <w:szCs w:val="24"/>
        </w:rPr>
        <w:t xml:space="preserve"> </w:t>
      </w:r>
      <w:r w:rsidR="003B6C81">
        <w:rPr>
          <w:rFonts w:ascii="Times New Roman" w:hAnsi="Times New Roman"/>
          <w:b w:val="0"/>
          <w:sz w:val="24"/>
          <w:szCs w:val="24"/>
        </w:rPr>
        <w:t xml:space="preserve">and ensure that ADI capital </w:t>
      </w:r>
      <w:r w:rsidR="003B6C81" w:rsidRPr="00D90A20">
        <w:rPr>
          <w:rFonts w:ascii="Times New Roman" w:hAnsi="Times New Roman"/>
          <w:b w:val="0"/>
          <w:sz w:val="24"/>
          <w:szCs w:val="24"/>
        </w:rPr>
        <w:t>ratios will continue to be ‘unquestionably strong’ on an aggregate basis.</w:t>
      </w:r>
      <w:r w:rsidR="00C5234B" w:rsidRPr="00D90A20">
        <w:rPr>
          <w:rFonts w:ascii="Times New Roman" w:hAnsi="Times New Roman"/>
          <w:b w:val="0"/>
          <w:sz w:val="24"/>
          <w:szCs w:val="24"/>
        </w:rPr>
        <w:t xml:space="preserve"> </w:t>
      </w:r>
      <w:r w:rsidR="00D90A20" w:rsidRPr="00001EE0">
        <w:rPr>
          <w:rFonts w:ascii="Times New Roman" w:hAnsi="Times New Roman"/>
          <w:b w:val="0"/>
          <w:sz w:val="24"/>
          <w:szCs w:val="24"/>
        </w:rPr>
        <w:t xml:space="preserve">The 2014 Financial System Inquiry’s recommendation that Australian banks should target the top quartile of internationally active banks was factored into the determination of the </w:t>
      </w:r>
      <w:r w:rsidR="00D90A20">
        <w:rPr>
          <w:rFonts w:ascii="Times New Roman" w:hAnsi="Times New Roman"/>
          <w:b w:val="0"/>
          <w:sz w:val="24"/>
          <w:szCs w:val="24"/>
        </w:rPr>
        <w:t xml:space="preserve">‘unquestionably strong’ </w:t>
      </w:r>
      <w:r w:rsidR="00D90A20" w:rsidRPr="00001EE0">
        <w:rPr>
          <w:rFonts w:ascii="Times New Roman" w:hAnsi="Times New Roman"/>
          <w:b w:val="0"/>
          <w:sz w:val="24"/>
          <w:szCs w:val="24"/>
        </w:rPr>
        <w:t>capital benchmarks.</w:t>
      </w:r>
      <w:r w:rsidR="00C5234B">
        <w:rPr>
          <w:rFonts w:ascii="Times New Roman" w:hAnsi="Times New Roman"/>
          <w:b w:val="0"/>
          <w:sz w:val="24"/>
          <w:szCs w:val="24"/>
        </w:rPr>
        <w:t xml:space="preserve"> </w:t>
      </w:r>
      <w:r w:rsidR="003B6C81" w:rsidRPr="00C5234B">
        <w:rPr>
          <w:rFonts w:ascii="Times New Roman" w:hAnsi="Times New Roman"/>
          <w:b w:val="0"/>
          <w:sz w:val="24"/>
          <w:szCs w:val="24"/>
        </w:rPr>
        <w:t xml:space="preserve">The new </w:t>
      </w:r>
      <w:r w:rsidR="008317B2" w:rsidRPr="00C5234B">
        <w:rPr>
          <w:rFonts w:ascii="Times New Roman" w:hAnsi="Times New Roman"/>
          <w:b w:val="0"/>
          <w:sz w:val="24"/>
          <w:szCs w:val="24"/>
        </w:rPr>
        <w:t xml:space="preserve">capital </w:t>
      </w:r>
      <w:r w:rsidR="003B6C81" w:rsidRPr="00C5234B">
        <w:rPr>
          <w:rFonts w:ascii="Times New Roman" w:hAnsi="Times New Roman"/>
          <w:b w:val="0"/>
          <w:sz w:val="24"/>
          <w:szCs w:val="24"/>
        </w:rPr>
        <w:t>standards will increase the financial strength of ADIs and support</w:t>
      </w:r>
      <w:r w:rsidR="003B6C81" w:rsidRPr="0019058D">
        <w:rPr>
          <w:rFonts w:ascii="Times New Roman" w:hAnsi="Times New Roman"/>
          <w:b w:val="0"/>
          <w:sz w:val="24"/>
          <w:szCs w:val="24"/>
        </w:rPr>
        <w:t xml:space="preserve"> the resilience of the Australian financial system</w:t>
      </w:r>
      <w:r w:rsidR="003B6C81">
        <w:rPr>
          <w:rFonts w:ascii="Times New Roman" w:hAnsi="Times New Roman"/>
          <w:b w:val="0"/>
          <w:sz w:val="24"/>
          <w:szCs w:val="24"/>
        </w:rPr>
        <w:t>. This</w:t>
      </w:r>
      <w:r w:rsidR="003B6C81" w:rsidRPr="0019058D">
        <w:rPr>
          <w:rFonts w:ascii="Times New Roman" w:hAnsi="Times New Roman"/>
          <w:b w:val="0"/>
          <w:sz w:val="24"/>
          <w:szCs w:val="24"/>
        </w:rPr>
        <w:t xml:space="preserve"> helps to protect depositors, maintain market confidence and promote financial stability, especially during </w:t>
      </w:r>
      <w:r w:rsidR="002A5E51">
        <w:rPr>
          <w:rFonts w:ascii="Times New Roman" w:hAnsi="Times New Roman"/>
          <w:b w:val="0"/>
          <w:sz w:val="24"/>
          <w:szCs w:val="24"/>
        </w:rPr>
        <w:t>periods</w:t>
      </w:r>
      <w:r w:rsidR="003B6C81" w:rsidRPr="0019058D">
        <w:rPr>
          <w:rFonts w:ascii="Times New Roman" w:hAnsi="Times New Roman"/>
          <w:b w:val="0"/>
          <w:sz w:val="24"/>
          <w:szCs w:val="24"/>
        </w:rPr>
        <w:t xml:space="preserve"> of financial stress</w:t>
      </w:r>
      <w:r w:rsidR="003B6C81">
        <w:rPr>
          <w:rFonts w:ascii="Times New Roman" w:hAnsi="Times New Roman"/>
          <w:b w:val="0"/>
          <w:sz w:val="24"/>
          <w:szCs w:val="24"/>
        </w:rPr>
        <w:t xml:space="preserve">. </w:t>
      </w:r>
      <w:r>
        <w:rPr>
          <w:rFonts w:ascii="Times New Roman" w:hAnsi="Times New Roman"/>
          <w:b w:val="0"/>
          <w:sz w:val="24"/>
          <w:szCs w:val="24"/>
        </w:rPr>
        <w:t xml:space="preserve">In addition, </w:t>
      </w:r>
      <w:r w:rsidR="006C43B3">
        <w:rPr>
          <w:rFonts w:ascii="Times New Roman" w:hAnsi="Times New Roman"/>
          <w:b w:val="0"/>
          <w:sz w:val="24"/>
          <w:szCs w:val="24"/>
        </w:rPr>
        <w:t xml:space="preserve">APRA’s update of the capital standards </w:t>
      </w:r>
      <w:r w:rsidR="007343F9">
        <w:rPr>
          <w:rFonts w:ascii="Times New Roman" w:hAnsi="Times New Roman"/>
          <w:b w:val="0"/>
          <w:sz w:val="24"/>
          <w:szCs w:val="24"/>
        </w:rPr>
        <w:t>i</w:t>
      </w:r>
      <w:r w:rsidR="006C43B3">
        <w:rPr>
          <w:rFonts w:ascii="Times New Roman" w:hAnsi="Times New Roman"/>
          <w:b w:val="0"/>
          <w:sz w:val="24"/>
          <w:szCs w:val="24"/>
        </w:rPr>
        <w:t>s intended to</w:t>
      </w:r>
      <w:r>
        <w:rPr>
          <w:rFonts w:ascii="Times New Roman" w:hAnsi="Times New Roman"/>
          <w:b w:val="0"/>
          <w:sz w:val="24"/>
          <w:szCs w:val="24"/>
        </w:rPr>
        <w:t xml:space="preserve">: </w:t>
      </w:r>
    </w:p>
    <w:p w14:paraId="55AD312D" w14:textId="54B10501" w:rsidR="00E12DC1" w:rsidRDefault="0022350D" w:rsidP="005801B7">
      <w:pPr>
        <w:pStyle w:val="Heading"/>
        <w:keepNext/>
        <w:numPr>
          <w:ilvl w:val="0"/>
          <w:numId w:val="9"/>
        </w:numPr>
        <w:spacing w:after="120"/>
        <w:outlineLvl w:val="0"/>
        <w:rPr>
          <w:rFonts w:ascii="Times New Roman" w:hAnsi="Times New Roman"/>
          <w:b w:val="0"/>
          <w:sz w:val="24"/>
          <w:szCs w:val="24"/>
        </w:rPr>
      </w:pPr>
      <w:r>
        <w:rPr>
          <w:rFonts w:ascii="Times New Roman" w:hAnsi="Times New Roman"/>
          <w:sz w:val="24"/>
          <w:szCs w:val="24"/>
        </w:rPr>
        <w:t>i</w:t>
      </w:r>
      <w:r w:rsidR="00570817" w:rsidRPr="0022350D">
        <w:rPr>
          <w:rFonts w:ascii="Times New Roman" w:hAnsi="Times New Roman"/>
          <w:sz w:val="24"/>
          <w:szCs w:val="24"/>
        </w:rPr>
        <w:t>ncrease flexibility:</w:t>
      </w:r>
      <w:r w:rsidR="006B7639">
        <w:rPr>
          <w:rFonts w:ascii="Times New Roman" w:hAnsi="Times New Roman"/>
          <w:b w:val="0"/>
          <w:sz w:val="24"/>
          <w:szCs w:val="24"/>
        </w:rPr>
        <w:t xml:space="preserve"> </w:t>
      </w:r>
      <w:r w:rsidR="00570817">
        <w:rPr>
          <w:rFonts w:ascii="Times New Roman" w:hAnsi="Times New Roman"/>
          <w:b w:val="0"/>
          <w:sz w:val="24"/>
          <w:szCs w:val="24"/>
        </w:rPr>
        <w:t xml:space="preserve">through </w:t>
      </w:r>
      <w:r w:rsidR="004F0B27">
        <w:rPr>
          <w:rFonts w:ascii="Times New Roman" w:hAnsi="Times New Roman"/>
          <w:b w:val="0"/>
          <w:sz w:val="24"/>
          <w:szCs w:val="24"/>
        </w:rPr>
        <w:t>larger</w:t>
      </w:r>
      <w:r>
        <w:rPr>
          <w:rFonts w:ascii="Times New Roman" w:hAnsi="Times New Roman"/>
          <w:b w:val="0"/>
          <w:sz w:val="24"/>
          <w:szCs w:val="24"/>
        </w:rPr>
        <w:t xml:space="preserve"> </w:t>
      </w:r>
      <w:r w:rsidR="00CF7D73">
        <w:rPr>
          <w:rFonts w:ascii="Times New Roman" w:hAnsi="Times New Roman"/>
          <w:b w:val="0"/>
          <w:sz w:val="24"/>
          <w:szCs w:val="24"/>
        </w:rPr>
        <w:t xml:space="preserve">ADI </w:t>
      </w:r>
      <w:r>
        <w:rPr>
          <w:rFonts w:ascii="Times New Roman" w:hAnsi="Times New Roman"/>
          <w:b w:val="0"/>
          <w:sz w:val="24"/>
          <w:szCs w:val="24"/>
        </w:rPr>
        <w:t>capital buffers</w:t>
      </w:r>
      <w:r w:rsidR="00CF7D73">
        <w:rPr>
          <w:rFonts w:ascii="Times New Roman" w:hAnsi="Times New Roman"/>
          <w:b w:val="0"/>
          <w:sz w:val="24"/>
          <w:szCs w:val="24"/>
        </w:rPr>
        <w:t xml:space="preserve">, in particular </w:t>
      </w:r>
      <w:r>
        <w:rPr>
          <w:rFonts w:ascii="Times New Roman" w:hAnsi="Times New Roman"/>
          <w:b w:val="0"/>
          <w:sz w:val="24"/>
          <w:szCs w:val="24"/>
        </w:rPr>
        <w:t xml:space="preserve">the introduction of a </w:t>
      </w:r>
      <w:r w:rsidR="00295570">
        <w:rPr>
          <w:rFonts w:ascii="Times New Roman" w:hAnsi="Times New Roman"/>
          <w:b w:val="0"/>
          <w:sz w:val="24"/>
          <w:szCs w:val="24"/>
        </w:rPr>
        <w:t>non-zero baseline level</w:t>
      </w:r>
      <w:r w:rsidR="00021341">
        <w:rPr>
          <w:rFonts w:ascii="Times New Roman" w:hAnsi="Times New Roman"/>
          <w:b w:val="0"/>
          <w:sz w:val="24"/>
          <w:szCs w:val="24"/>
        </w:rPr>
        <w:t xml:space="preserve"> </w:t>
      </w:r>
      <w:r w:rsidR="00295570">
        <w:rPr>
          <w:rFonts w:ascii="Times New Roman" w:hAnsi="Times New Roman"/>
          <w:b w:val="0"/>
          <w:sz w:val="24"/>
          <w:szCs w:val="24"/>
        </w:rPr>
        <w:t xml:space="preserve">for the </w:t>
      </w:r>
      <w:r>
        <w:rPr>
          <w:rFonts w:ascii="Times New Roman" w:hAnsi="Times New Roman"/>
          <w:b w:val="0"/>
          <w:sz w:val="24"/>
          <w:szCs w:val="24"/>
        </w:rPr>
        <w:t>countercyclical capital buffer</w:t>
      </w:r>
      <w:r w:rsidR="00CF7D73">
        <w:rPr>
          <w:rFonts w:ascii="Times New Roman" w:hAnsi="Times New Roman"/>
          <w:b w:val="0"/>
          <w:sz w:val="24"/>
          <w:szCs w:val="24"/>
        </w:rPr>
        <w:t xml:space="preserve">. This buffer ensures that APRA can </w:t>
      </w:r>
      <w:r w:rsidR="00096BCD">
        <w:rPr>
          <w:rFonts w:ascii="Times New Roman" w:hAnsi="Times New Roman"/>
          <w:b w:val="0"/>
          <w:sz w:val="24"/>
          <w:szCs w:val="24"/>
        </w:rPr>
        <w:t xml:space="preserve">adjust </w:t>
      </w:r>
      <w:r w:rsidR="00CF7D73">
        <w:rPr>
          <w:rFonts w:ascii="Times New Roman" w:hAnsi="Times New Roman"/>
          <w:b w:val="0"/>
          <w:sz w:val="24"/>
          <w:szCs w:val="24"/>
        </w:rPr>
        <w:t xml:space="preserve">capital requirements </w:t>
      </w:r>
      <w:r w:rsidR="005F1641">
        <w:rPr>
          <w:rFonts w:ascii="Times New Roman" w:hAnsi="Times New Roman"/>
          <w:b w:val="0"/>
          <w:sz w:val="24"/>
          <w:szCs w:val="24"/>
        </w:rPr>
        <w:t>in</w:t>
      </w:r>
      <w:r w:rsidR="00CF7D73">
        <w:rPr>
          <w:rFonts w:ascii="Times New Roman" w:hAnsi="Times New Roman"/>
          <w:b w:val="0"/>
          <w:sz w:val="24"/>
          <w:szCs w:val="24"/>
        </w:rPr>
        <w:t xml:space="preserve"> stress to support lending</w:t>
      </w:r>
      <w:r>
        <w:rPr>
          <w:rFonts w:ascii="Times New Roman" w:hAnsi="Times New Roman"/>
          <w:b w:val="0"/>
          <w:sz w:val="24"/>
          <w:szCs w:val="24"/>
        </w:rPr>
        <w:t xml:space="preserve"> </w:t>
      </w:r>
      <w:r w:rsidR="00CF7D73">
        <w:rPr>
          <w:rFonts w:ascii="Times New Roman" w:hAnsi="Times New Roman"/>
          <w:b w:val="0"/>
          <w:sz w:val="24"/>
          <w:szCs w:val="24"/>
        </w:rPr>
        <w:t>to the economy and to mitigate increasing systemic risk</w:t>
      </w:r>
      <w:r>
        <w:rPr>
          <w:rFonts w:ascii="Times New Roman" w:hAnsi="Times New Roman"/>
          <w:b w:val="0"/>
          <w:sz w:val="24"/>
          <w:szCs w:val="24"/>
        </w:rPr>
        <w:t>;</w:t>
      </w:r>
    </w:p>
    <w:p w14:paraId="21D85160" w14:textId="19136079" w:rsidR="0022350D" w:rsidRPr="0022350D" w:rsidRDefault="0022350D" w:rsidP="005801B7">
      <w:pPr>
        <w:pStyle w:val="Heading"/>
        <w:numPr>
          <w:ilvl w:val="0"/>
          <w:numId w:val="9"/>
        </w:numPr>
        <w:spacing w:after="120"/>
        <w:ind w:left="357" w:hanging="357"/>
        <w:outlineLvl w:val="0"/>
        <w:rPr>
          <w:rFonts w:ascii="Times New Roman" w:hAnsi="Times New Roman"/>
          <w:b w:val="0"/>
          <w:sz w:val="24"/>
          <w:szCs w:val="24"/>
        </w:rPr>
      </w:pPr>
      <w:r>
        <w:rPr>
          <w:rFonts w:ascii="Times New Roman" w:hAnsi="Times New Roman"/>
          <w:sz w:val="24"/>
          <w:szCs w:val="24"/>
        </w:rPr>
        <w:t>e</w:t>
      </w:r>
      <w:r w:rsidRPr="0022350D">
        <w:rPr>
          <w:rFonts w:ascii="Times New Roman" w:hAnsi="Times New Roman"/>
          <w:sz w:val="24"/>
          <w:szCs w:val="24"/>
        </w:rPr>
        <w:t>nhance risk sensitivity</w:t>
      </w:r>
      <w:r>
        <w:rPr>
          <w:rFonts w:ascii="Times New Roman" w:hAnsi="Times New Roman"/>
          <w:b w:val="0"/>
          <w:sz w:val="24"/>
          <w:szCs w:val="24"/>
        </w:rPr>
        <w:t>:</w:t>
      </w:r>
      <w:r w:rsidRPr="0022350D">
        <w:rPr>
          <w:rFonts w:ascii="Times New Roman" w:hAnsi="Times New Roman"/>
          <w:b w:val="0"/>
          <w:sz w:val="24"/>
          <w:szCs w:val="24"/>
        </w:rPr>
        <w:t xml:space="preserve"> </w:t>
      </w:r>
      <w:r w:rsidR="00233912">
        <w:rPr>
          <w:rFonts w:ascii="Times New Roman" w:hAnsi="Times New Roman"/>
          <w:b w:val="0"/>
          <w:sz w:val="24"/>
          <w:szCs w:val="24"/>
        </w:rPr>
        <w:t xml:space="preserve">by </w:t>
      </w:r>
      <w:r w:rsidR="001B0FE1">
        <w:rPr>
          <w:rFonts w:ascii="Times New Roman" w:hAnsi="Times New Roman"/>
          <w:b w:val="0"/>
          <w:sz w:val="24"/>
          <w:szCs w:val="24"/>
        </w:rPr>
        <w:t>aligning capital with risk, including</w:t>
      </w:r>
      <w:r w:rsidR="00CD57D8">
        <w:rPr>
          <w:rFonts w:ascii="Times New Roman" w:hAnsi="Times New Roman"/>
          <w:b w:val="0"/>
          <w:sz w:val="24"/>
          <w:szCs w:val="24"/>
        </w:rPr>
        <w:t xml:space="preserve"> </w:t>
      </w:r>
      <w:r w:rsidRPr="0022350D">
        <w:rPr>
          <w:rFonts w:ascii="Times New Roman" w:hAnsi="Times New Roman"/>
          <w:b w:val="0"/>
          <w:sz w:val="24"/>
          <w:szCs w:val="24"/>
        </w:rPr>
        <w:t xml:space="preserve">through a reduction in capital requirements for lower risk residential mortgages and small business lending, and an increase </w:t>
      </w:r>
      <w:r w:rsidR="000F77BC">
        <w:rPr>
          <w:rFonts w:ascii="Times New Roman" w:hAnsi="Times New Roman"/>
          <w:b w:val="0"/>
          <w:sz w:val="24"/>
          <w:szCs w:val="24"/>
        </w:rPr>
        <w:t xml:space="preserve">in capital </w:t>
      </w:r>
      <w:r w:rsidRPr="0022350D">
        <w:rPr>
          <w:rFonts w:ascii="Times New Roman" w:hAnsi="Times New Roman"/>
          <w:b w:val="0"/>
          <w:sz w:val="24"/>
          <w:szCs w:val="24"/>
        </w:rPr>
        <w:t>for higher risk mortgages</w:t>
      </w:r>
      <w:r w:rsidR="00F72C06">
        <w:rPr>
          <w:rFonts w:ascii="Times New Roman" w:hAnsi="Times New Roman"/>
          <w:b w:val="0"/>
          <w:sz w:val="24"/>
          <w:szCs w:val="24"/>
        </w:rPr>
        <w:t xml:space="preserve">. This </w:t>
      </w:r>
      <w:r w:rsidR="00CB6332">
        <w:rPr>
          <w:rFonts w:ascii="Times New Roman" w:hAnsi="Times New Roman"/>
          <w:b w:val="0"/>
          <w:sz w:val="24"/>
          <w:szCs w:val="24"/>
        </w:rPr>
        <w:t xml:space="preserve">aims to </w:t>
      </w:r>
      <w:r w:rsidR="00CF7D73">
        <w:rPr>
          <w:rFonts w:ascii="Times New Roman" w:hAnsi="Times New Roman"/>
          <w:b w:val="0"/>
          <w:sz w:val="24"/>
          <w:szCs w:val="24"/>
        </w:rPr>
        <w:t>ensure</w:t>
      </w:r>
      <w:r w:rsidR="00295570">
        <w:rPr>
          <w:rFonts w:ascii="Times New Roman" w:hAnsi="Times New Roman"/>
          <w:b w:val="0"/>
          <w:sz w:val="24"/>
          <w:szCs w:val="24"/>
        </w:rPr>
        <w:t xml:space="preserve"> that ADIs are sufficiently capitalised to withstand</w:t>
      </w:r>
      <w:r w:rsidR="00F72C06">
        <w:rPr>
          <w:rFonts w:ascii="Times New Roman" w:hAnsi="Times New Roman"/>
          <w:b w:val="0"/>
          <w:sz w:val="24"/>
          <w:szCs w:val="24"/>
        </w:rPr>
        <w:t xml:space="preserve"> </w:t>
      </w:r>
      <w:r w:rsidR="003B509C">
        <w:rPr>
          <w:rFonts w:ascii="Times New Roman" w:hAnsi="Times New Roman"/>
          <w:b w:val="0"/>
          <w:sz w:val="24"/>
          <w:szCs w:val="24"/>
        </w:rPr>
        <w:t xml:space="preserve">the </w:t>
      </w:r>
      <w:r w:rsidR="00F72C06">
        <w:rPr>
          <w:rFonts w:ascii="Times New Roman" w:hAnsi="Times New Roman"/>
          <w:b w:val="0"/>
          <w:sz w:val="24"/>
          <w:szCs w:val="24"/>
        </w:rPr>
        <w:t>risk</w:t>
      </w:r>
      <w:r w:rsidR="00295570">
        <w:rPr>
          <w:rFonts w:ascii="Times New Roman" w:hAnsi="Times New Roman"/>
          <w:b w:val="0"/>
          <w:sz w:val="24"/>
          <w:szCs w:val="24"/>
        </w:rPr>
        <w:t xml:space="preserve"> arising from concentration</w:t>
      </w:r>
      <w:r w:rsidR="00F72C06">
        <w:rPr>
          <w:rFonts w:ascii="Times New Roman" w:hAnsi="Times New Roman"/>
          <w:b w:val="0"/>
          <w:sz w:val="24"/>
          <w:szCs w:val="24"/>
        </w:rPr>
        <w:t xml:space="preserve"> in the residential housing market</w:t>
      </w:r>
      <w:r w:rsidR="00CF7D73">
        <w:rPr>
          <w:rFonts w:ascii="Times New Roman" w:hAnsi="Times New Roman"/>
          <w:b w:val="0"/>
          <w:sz w:val="24"/>
          <w:szCs w:val="24"/>
        </w:rPr>
        <w:t xml:space="preserve"> whilst incentivising </w:t>
      </w:r>
      <w:r w:rsidR="001D5C24">
        <w:rPr>
          <w:rFonts w:ascii="Times New Roman" w:hAnsi="Times New Roman"/>
          <w:b w:val="0"/>
          <w:sz w:val="24"/>
          <w:szCs w:val="24"/>
        </w:rPr>
        <w:t xml:space="preserve">prudent </w:t>
      </w:r>
      <w:r w:rsidR="00CF7D73">
        <w:rPr>
          <w:rFonts w:ascii="Times New Roman" w:hAnsi="Times New Roman"/>
          <w:b w:val="0"/>
          <w:sz w:val="24"/>
          <w:szCs w:val="24"/>
        </w:rPr>
        <w:t>lending</w:t>
      </w:r>
      <w:r w:rsidRPr="0022350D">
        <w:rPr>
          <w:rFonts w:ascii="Times New Roman" w:hAnsi="Times New Roman"/>
          <w:b w:val="0"/>
          <w:sz w:val="24"/>
          <w:szCs w:val="24"/>
        </w:rPr>
        <w:t>;</w:t>
      </w:r>
    </w:p>
    <w:p w14:paraId="02B69CE8" w14:textId="62C028DF" w:rsidR="0022350D" w:rsidRPr="0022350D" w:rsidRDefault="0022350D" w:rsidP="005801B7">
      <w:pPr>
        <w:pStyle w:val="Heading"/>
        <w:numPr>
          <w:ilvl w:val="0"/>
          <w:numId w:val="9"/>
        </w:numPr>
        <w:spacing w:after="120"/>
        <w:ind w:left="357" w:hanging="357"/>
        <w:outlineLvl w:val="0"/>
        <w:rPr>
          <w:rFonts w:ascii="Times New Roman" w:hAnsi="Times New Roman"/>
          <w:b w:val="0"/>
          <w:sz w:val="24"/>
          <w:szCs w:val="24"/>
        </w:rPr>
      </w:pPr>
      <w:r w:rsidRPr="0022350D">
        <w:rPr>
          <w:rFonts w:ascii="Times New Roman" w:hAnsi="Times New Roman"/>
          <w:sz w:val="24"/>
          <w:szCs w:val="24"/>
        </w:rPr>
        <w:t>support competition</w:t>
      </w:r>
      <w:r>
        <w:rPr>
          <w:rFonts w:ascii="Times New Roman" w:hAnsi="Times New Roman"/>
          <w:b w:val="0"/>
          <w:sz w:val="24"/>
          <w:szCs w:val="24"/>
        </w:rPr>
        <w:t>:</w:t>
      </w:r>
      <w:r w:rsidRPr="0022350D">
        <w:rPr>
          <w:rFonts w:ascii="Times New Roman" w:hAnsi="Times New Roman"/>
          <w:b w:val="0"/>
          <w:sz w:val="24"/>
          <w:szCs w:val="24"/>
        </w:rPr>
        <w:t xml:space="preserve"> by building in safeguards to ensure that capital requirements for advanced banks that use internal models do not become excessively low relative to standardised banks that use APRA-prescribed risk weights; </w:t>
      </w:r>
    </w:p>
    <w:p w14:paraId="32AE1945" w14:textId="31A14A1F" w:rsidR="0022350D" w:rsidRPr="0022350D" w:rsidRDefault="0022350D" w:rsidP="005801B7">
      <w:pPr>
        <w:pStyle w:val="Heading"/>
        <w:numPr>
          <w:ilvl w:val="0"/>
          <w:numId w:val="9"/>
        </w:numPr>
        <w:spacing w:after="120"/>
        <w:ind w:left="357" w:hanging="357"/>
        <w:outlineLvl w:val="0"/>
        <w:rPr>
          <w:rFonts w:ascii="Times New Roman" w:hAnsi="Times New Roman"/>
          <w:b w:val="0"/>
          <w:sz w:val="24"/>
          <w:szCs w:val="24"/>
        </w:rPr>
      </w:pPr>
      <w:r w:rsidRPr="0022350D">
        <w:rPr>
          <w:rFonts w:ascii="Times New Roman" w:hAnsi="Times New Roman"/>
          <w:sz w:val="24"/>
          <w:szCs w:val="24"/>
        </w:rPr>
        <w:t>improve transparency</w:t>
      </w:r>
      <w:r w:rsidR="006C43B3">
        <w:rPr>
          <w:rFonts w:ascii="Times New Roman" w:hAnsi="Times New Roman"/>
          <w:sz w:val="24"/>
          <w:szCs w:val="24"/>
        </w:rPr>
        <w:t xml:space="preserve"> and comparability</w:t>
      </w:r>
      <w:r>
        <w:rPr>
          <w:rFonts w:ascii="Times New Roman" w:hAnsi="Times New Roman"/>
          <w:sz w:val="24"/>
          <w:szCs w:val="24"/>
        </w:rPr>
        <w:t>:</w:t>
      </w:r>
      <w:r w:rsidRPr="0022350D">
        <w:rPr>
          <w:rFonts w:ascii="Times New Roman" w:hAnsi="Times New Roman"/>
          <w:b w:val="0"/>
          <w:sz w:val="24"/>
          <w:szCs w:val="24"/>
        </w:rPr>
        <w:t xml:space="preserve"> by increasing the alignment of APRA’s </w:t>
      </w:r>
      <w:r w:rsidR="00993981">
        <w:rPr>
          <w:rFonts w:ascii="Times New Roman" w:hAnsi="Times New Roman"/>
          <w:b w:val="0"/>
          <w:sz w:val="24"/>
          <w:szCs w:val="24"/>
        </w:rPr>
        <w:t xml:space="preserve">capital </w:t>
      </w:r>
      <w:r w:rsidRPr="0022350D">
        <w:rPr>
          <w:rFonts w:ascii="Times New Roman" w:hAnsi="Times New Roman"/>
          <w:b w:val="0"/>
          <w:sz w:val="24"/>
          <w:szCs w:val="24"/>
        </w:rPr>
        <w:t>standards with the international Basel framework</w:t>
      </w:r>
      <w:r w:rsidR="00D77EC7">
        <w:rPr>
          <w:rFonts w:ascii="Times New Roman" w:hAnsi="Times New Roman"/>
          <w:b w:val="0"/>
          <w:sz w:val="24"/>
          <w:szCs w:val="24"/>
        </w:rPr>
        <w:t xml:space="preserve">. This includes </w:t>
      </w:r>
      <w:r w:rsidRPr="0022350D">
        <w:rPr>
          <w:rFonts w:ascii="Times New Roman" w:hAnsi="Times New Roman"/>
          <w:b w:val="0"/>
          <w:sz w:val="24"/>
          <w:szCs w:val="24"/>
        </w:rPr>
        <w:t xml:space="preserve">making it easier to compare capital strength across advanced and standardised </w:t>
      </w:r>
      <w:r w:rsidR="00CF7D73">
        <w:rPr>
          <w:rFonts w:ascii="Times New Roman" w:hAnsi="Times New Roman"/>
          <w:b w:val="0"/>
          <w:sz w:val="24"/>
          <w:szCs w:val="24"/>
        </w:rPr>
        <w:t>ADIs</w:t>
      </w:r>
      <w:r w:rsidRPr="0022350D">
        <w:rPr>
          <w:rFonts w:ascii="Times New Roman" w:hAnsi="Times New Roman"/>
          <w:b w:val="0"/>
          <w:sz w:val="24"/>
          <w:szCs w:val="24"/>
        </w:rPr>
        <w:t xml:space="preserve"> through better disclosure</w:t>
      </w:r>
      <w:r w:rsidR="00D77EC7">
        <w:rPr>
          <w:rFonts w:ascii="Times New Roman" w:hAnsi="Times New Roman"/>
          <w:b w:val="0"/>
          <w:sz w:val="24"/>
          <w:szCs w:val="24"/>
        </w:rPr>
        <w:t>, including reporting required by advanced ADIs under the standardised approach to facilitate comparability</w:t>
      </w:r>
      <w:r w:rsidR="00CF7D73">
        <w:rPr>
          <w:rFonts w:ascii="Times New Roman" w:hAnsi="Times New Roman"/>
          <w:b w:val="0"/>
          <w:sz w:val="24"/>
          <w:szCs w:val="24"/>
        </w:rPr>
        <w:t>. These changes will support the ability of ADIs to compete in and access international markets</w:t>
      </w:r>
      <w:r w:rsidRPr="0022350D">
        <w:rPr>
          <w:rFonts w:ascii="Times New Roman" w:hAnsi="Times New Roman"/>
          <w:b w:val="0"/>
          <w:sz w:val="24"/>
          <w:szCs w:val="24"/>
        </w:rPr>
        <w:t>; and</w:t>
      </w:r>
    </w:p>
    <w:p w14:paraId="5C0C2D41" w14:textId="32F98A54" w:rsidR="0022350D" w:rsidRDefault="0022350D" w:rsidP="005801B7">
      <w:pPr>
        <w:pStyle w:val="Heading"/>
        <w:numPr>
          <w:ilvl w:val="0"/>
          <w:numId w:val="9"/>
        </w:numPr>
        <w:spacing w:after="240"/>
        <w:ind w:left="357" w:hanging="357"/>
        <w:outlineLvl w:val="0"/>
        <w:rPr>
          <w:rFonts w:ascii="Times New Roman" w:hAnsi="Times New Roman"/>
          <w:b w:val="0"/>
          <w:sz w:val="24"/>
          <w:szCs w:val="24"/>
        </w:rPr>
      </w:pPr>
      <w:r w:rsidRPr="0022350D">
        <w:rPr>
          <w:rFonts w:ascii="Times New Roman" w:hAnsi="Times New Roman"/>
          <w:sz w:val="24"/>
          <w:szCs w:val="24"/>
        </w:rPr>
        <w:t>increase proportionality</w:t>
      </w:r>
      <w:r>
        <w:rPr>
          <w:rFonts w:ascii="Times New Roman" w:hAnsi="Times New Roman"/>
          <w:sz w:val="24"/>
          <w:szCs w:val="24"/>
        </w:rPr>
        <w:t>:</w:t>
      </w:r>
      <w:r w:rsidRPr="0022350D">
        <w:rPr>
          <w:rFonts w:ascii="Times New Roman" w:hAnsi="Times New Roman"/>
          <w:b w:val="0"/>
          <w:sz w:val="24"/>
          <w:szCs w:val="24"/>
        </w:rPr>
        <w:t xml:space="preserve"> through the introduction of simplified capital requirements for smaller, less complex </w:t>
      </w:r>
      <w:r w:rsidR="00610896">
        <w:rPr>
          <w:rFonts w:ascii="Times New Roman" w:hAnsi="Times New Roman"/>
          <w:b w:val="0"/>
          <w:sz w:val="24"/>
          <w:szCs w:val="24"/>
        </w:rPr>
        <w:t>ADIs</w:t>
      </w:r>
      <w:r w:rsidRPr="0022350D">
        <w:rPr>
          <w:rFonts w:ascii="Times New Roman" w:hAnsi="Times New Roman"/>
          <w:b w:val="0"/>
          <w:sz w:val="24"/>
          <w:szCs w:val="24"/>
        </w:rPr>
        <w:t xml:space="preserve"> relative to larger, significant financial institutions (SFIs)</w:t>
      </w:r>
      <w:r w:rsidR="00CF7D73">
        <w:rPr>
          <w:rFonts w:ascii="Times New Roman" w:hAnsi="Times New Roman"/>
          <w:b w:val="0"/>
          <w:sz w:val="24"/>
          <w:szCs w:val="24"/>
        </w:rPr>
        <w:t xml:space="preserve"> to lessen</w:t>
      </w:r>
      <w:r w:rsidR="00CD57D8">
        <w:rPr>
          <w:rFonts w:ascii="Times New Roman" w:hAnsi="Times New Roman"/>
          <w:b w:val="0"/>
          <w:sz w:val="24"/>
          <w:szCs w:val="24"/>
        </w:rPr>
        <w:t xml:space="preserve"> </w:t>
      </w:r>
      <w:r w:rsidR="00FE0D0D">
        <w:rPr>
          <w:rFonts w:ascii="Times New Roman" w:hAnsi="Times New Roman"/>
          <w:b w:val="0"/>
          <w:sz w:val="24"/>
          <w:szCs w:val="24"/>
        </w:rPr>
        <w:t xml:space="preserve">the </w:t>
      </w:r>
      <w:r w:rsidR="00CD57D8">
        <w:rPr>
          <w:rFonts w:ascii="Times New Roman" w:hAnsi="Times New Roman"/>
          <w:b w:val="0"/>
          <w:sz w:val="24"/>
          <w:szCs w:val="24"/>
        </w:rPr>
        <w:t>regulatory burden</w:t>
      </w:r>
      <w:r w:rsidRPr="0022350D">
        <w:rPr>
          <w:rFonts w:ascii="Times New Roman" w:hAnsi="Times New Roman"/>
          <w:b w:val="0"/>
          <w:sz w:val="24"/>
          <w:szCs w:val="24"/>
        </w:rPr>
        <w:t xml:space="preserve">. </w:t>
      </w:r>
    </w:p>
    <w:p w14:paraId="6E9E2C8E" w14:textId="554F24BD"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bookmarkStart w:id="3" w:name="bkBackground"/>
      <w:bookmarkEnd w:id="3"/>
      <w:r w:rsidRPr="002C6D26">
        <w:rPr>
          <w:rFonts w:ascii="Times New Roman" w:hAnsi="Times New Roman"/>
          <w:sz w:val="24"/>
          <w:szCs w:val="24"/>
        </w:rPr>
        <w:lastRenderedPageBreak/>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AA52B3">
        <w:rPr>
          <w:rFonts w:ascii="Times New Roman" w:hAnsi="Times New Roman"/>
          <w:sz w:val="24"/>
          <w:szCs w:val="24"/>
        </w:rPr>
        <w:t>s</w:t>
      </w:r>
    </w:p>
    <w:p w14:paraId="0D022CE3" w14:textId="42D8393A" w:rsidR="0022350D" w:rsidRDefault="00DC029B" w:rsidP="0022350D">
      <w:pPr>
        <w:pStyle w:val="Heading"/>
        <w:keepNext/>
        <w:spacing w:after="240"/>
        <w:outlineLvl w:val="0"/>
        <w:rPr>
          <w:rFonts w:ascii="Times New Roman" w:hAnsi="Times New Roman"/>
          <w:b w:val="0"/>
          <w:i/>
          <w:sz w:val="24"/>
          <w:szCs w:val="24"/>
        </w:rPr>
      </w:pPr>
      <w:r w:rsidRPr="00DC029B">
        <w:rPr>
          <w:rFonts w:ascii="Times New Roman" w:hAnsi="Times New Roman"/>
          <w:b w:val="0"/>
          <w:i/>
          <w:sz w:val="24"/>
          <w:szCs w:val="24"/>
        </w:rPr>
        <w:t xml:space="preserve">Banking (prudential standard) determination No. </w:t>
      </w:r>
      <w:r w:rsidR="00C968D3">
        <w:rPr>
          <w:rFonts w:ascii="Times New Roman" w:hAnsi="Times New Roman"/>
          <w:b w:val="0"/>
          <w:i/>
          <w:sz w:val="24"/>
          <w:szCs w:val="24"/>
        </w:rPr>
        <w:t>4</w:t>
      </w:r>
      <w:r w:rsidR="00C968D3" w:rsidRPr="00DC029B">
        <w:rPr>
          <w:rFonts w:ascii="Times New Roman" w:hAnsi="Times New Roman"/>
          <w:b w:val="0"/>
          <w:i/>
          <w:sz w:val="24"/>
          <w:szCs w:val="24"/>
        </w:rPr>
        <w:t xml:space="preserve"> </w:t>
      </w:r>
      <w:r w:rsidRPr="00DC029B">
        <w:rPr>
          <w:rFonts w:ascii="Times New Roman" w:hAnsi="Times New Roman"/>
          <w:b w:val="0"/>
          <w:i/>
          <w:sz w:val="24"/>
          <w:szCs w:val="24"/>
        </w:rPr>
        <w:t>of 202</w:t>
      </w:r>
      <w:r w:rsidR="00805370">
        <w:rPr>
          <w:rFonts w:ascii="Times New Roman" w:hAnsi="Times New Roman"/>
          <w:b w:val="0"/>
          <w:i/>
          <w:sz w:val="24"/>
          <w:szCs w:val="24"/>
        </w:rPr>
        <w:t>2</w:t>
      </w:r>
    </w:p>
    <w:p w14:paraId="541754B8" w14:textId="7DB24838" w:rsidR="00DC029B" w:rsidRDefault="00DC029B" w:rsidP="0022350D">
      <w:pPr>
        <w:pStyle w:val="Heading"/>
        <w:keepNext/>
        <w:spacing w:after="240"/>
        <w:outlineLvl w:val="0"/>
        <w:rPr>
          <w:rFonts w:ascii="Times New Roman" w:hAnsi="Times New Roman"/>
          <w:b w:val="0"/>
          <w:sz w:val="24"/>
          <w:szCs w:val="24"/>
        </w:rPr>
      </w:pPr>
      <w:r>
        <w:rPr>
          <w:rFonts w:ascii="Times New Roman" w:hAnsi="Times New Roman"/>
          <w:b w:val="0"/>
          <w:sz w:val="24"/>
          <w:szCs w:val="24"/>
        </w:rPr>
        <w:t>The purpose of this instrument is to revoke APS 110 and replace it with a new version of APS 110.</w:t>
      </w:r>
    </w:p>
    <w:p w14:paraId="3B898A26" w14:textId="1F9AD0F2" w:rsidR="00DC029B" w:rsidRDefault="00DC029B" w:rsidP="00F43444">
      <w:pPr>
        <w:pStyle w:val="Heading"/>
        <w:spacing w:after="240"/>
        <w:outlineLvl w:val="0"/>
        <w:rPr>
          <w:rFonts w:ascii="Times New Roman" w:hAnsi="Times New Roman"/>
          <w:b w:val="0"/>
          <w:sz w:val="24"/>
          <w:szCs w:val="24"/>
        </w:rPr>
      </w:pPr>
      <w:r>
        <w:rPr>
          <w:rFonts w:ascii="Times New Roman" w:hAnsi="Times New Roman"/>
          <w:b w:val="0"/>
          <w:sz w:val="24"/>
          <w:szCs w:val="24"/>
        </w:rPr>
        <w:t>APS 110 aims to ensure that A</w:t>
      </w:r>
      <w:r w:rsidRPr="00DC029B">
        <w:rPr>
          <w:rFonts w:ascii="Times New Roman" w:hAnsi="Times New Roman"/>
          <w:b w:val="0"/>
          <w:sz w:val="24"/>
          <w:szCs w:val="24"/>
        </w:rPr>
        <w:t xml:space="preserve">DIs hold adequate capital on both an individual and group basis to act as a buffer against the risks associated with their activities. This instrument changes APS 110 </w:t>
      </w:r>
      <w:proofErr w:type="gramStart"/>
      <w:r w:rsidRPr="00DC029B">
        <w:rPr>
          <w:rFonts w:ascii="Times New Roman" w:hAnsi="Times New Roman"/>
          <w:b w:val="0"/>
          <w:sz w:val="24"/>
          <w:szCs w:val="24"/>
        </w:rPr>
        <w:t>in order</w:t>
      </w:r>
      <w:r w:rsidR="00F43444">
        <w:rPr>
          <w:rFonts w:ascii="Times New Roman" w:hAnsi="Times New Roman"/>
          <w:b w:val="0"/>
          <w:sz w:val="24"/>
          <w:szCs w:val="24"/>
        </w:rPr>
        <w:t xml:space="preserve"> to</w:t>
      </w:r>
      <w:proofErr w:type="gramEnd"/>
      <w:r w:rsidR="00F43444">
        <w:rPr>
          <w:rFonts w:ascii="Times New Roman" w:hAnsi="Times New Roman"/>
          <w:b w:val="0"/>
          <w:sz w:val="24"/>
          <w:szCs w:val="24"/>
        </w:rPr>
        <w:t xml:space="preserve"> strengthen capital adequacy requirements for all ADIs whilst introducing more proportional requirements for smaller, less complex ADIs. The key changes to APS 110 are:</w:t>
      </w:r>
    </w:p>
    <w:p w14:paraId="44B7CAE1" w14:textId="1EFCEBB6" w:rsidR="00614015" w:rsidRPr="009F5AD4" w:rsidRDefault="00F43444" w:rsidP="009F5AD4">
      <w:pPr>
        <w:pStyle w:val="Heading"/>
        <w:numPr>
          <w:ilvl w:val="0"/>
          <w:numId w:val="9"/>
        </w:numPr>
        <w:spacing w:after="240"/>
        <w:outlineLvl w:val="0"/>
        <w:rPr>
          <w:rFonts w:ascii="Times New Roman" w:hAnsi="Times New Roman"/>
          <w:b w:val="0"/>
          <w:sz w:val="24"/>
          <w:szCs w:val="24"/>
        </w:rPr>
      </w:pPr>
      <w:r w:rsidRPr="00614015">
        <w:rPr>
          <w:rFonts w:ascii="Times New Roman" w:hAnsi="Times New Roman"/>
          <w:sz w:val="24"/>
          <w:szCs w:val="24"/>
        </w:rPr>
        <w:t>Larger regulatory buffers</w:t>
      </w:r>
      <w:r w:rsidRPr="00F43444">
        <w:rPr>
          <w:rFonts w:ascii="Times New Roman" w:hAnsi="Times New Roman"/>
          <w:b w:val="0"/>
          <w:sz w:val="24"/>
          <w:szCs w:val="24"/>
        </w:rPr>
        <w:t>: A countercyclical capital buffer (</w:t>
      </w:r>
      <w:proofErr w:type="spellStart"/>
      <w:r w:rsidRPr="00F43444">
        <w:rPr>
          <w:rFonts w:ascii="Times New Roman" w:hAnsi="Times New Roman"/>
          <w:b w:val="0"/>
          <w:sz w:val="24"/>
          <w:szCs w:val="24"/>
        </w:rPr>
        <w:t>CCyB</w:t>
      </w:r>
      <w:proofErr w:type="spellEnd"/>
      <w:r w:rsidRPr="00F43444">
        <w:rPr>
          <w:rFonts w:ascii="Times New Roman" w:hAnsi="Times New Roman"/>
          <w:b w:val="0"/>
          <w:sz w:val="24"/>
          <w:szCs w:val="24"/>
        </w:rPr>
        <w:t xml:space="preserve">) will apply in </w:t>
      </w:r>
      <w:r w:rsidR="009F5AD4">
        <w:rPr>
          <w:rFonts w:ascii="Times New Roman" w:hAnsi="Times New Roman"/>
          <w:b w:val="0"/>
          <w:sz w:val="24"/>
          <w:szCs w:val="24"/>
        </w:rPr>
        <w:t>an expanded</w:t>
      </w:r>
      <w:r w:rsidRPr="00F43444">
        <w:rPr>
          <w:rFonts w:ascii="Times New Roman" w:hAnsi="Times New Roman"/>
          <w:b w:val="0"/>
          <w:sz w:val="24"/>
          <w:szCs w:val="24"/>
        </w:rPr>
        <w:t xml:space="preserve"> range of 0 to 3.5 per cent of total </w:t>
      </w:r>
      <w:r w:rsidR="00EF7353">
        <w:rPr>
          <w:rFonts w:ascii="Times New Roman" w:hAnsi="Times New Roman"/>
          <w:b w:val="0"/>
          <w:sz w:val="24"/>
          <w:szCs w:val="24"/>
        </w:rPr>
        <w:t>risk</w:t>
      </w:r>
      <w:r w:rsidR="004E03D8">
        <w:rPr>
          <w:rFonts w:ascii="Times New Roman" w:hAnsi="Times New Roman"/>
          <w:b w:val="0"/>
          <w:sz w:val="24"/>
          <w:szCs w:val="24"/>
        </w:rPr>
        <w:t>-</w:t>
      </w:r>
      <w:r w:rsidR="00EF7353">
        <w:rPr>
          <w:rFonts w:ascii="Times New Roman" w:hAnsi="Times New Roman"/>
          <w:b w:val="0"/>
          <w:sz w:val="24"/>
          <w:szCs w:val="24"/>
        </w:rPr>
        <w:t>weighted asset</w:t>
      </w:r>
      <w:r w:rsidRPr="00F43444">
        <w:rPr>
          <w:rFonts w:ascii="Times New Roman" w:hAnsi="Times New Roman"/>
          <w:b w:val="0"/>
          <w:sz w:val="24"/>
          <w:szCs w:val="24"/>
        </w:rPr>
        <w:t>s</w:t>
      </w:r>
      <w:r w:rsidR="00EF7353">
        <w:rPr>
          <w:rFonts w:ascii="Times New Roman" w:hAnsi="Times New Roman"/>
          <w:b w:val="0"/>
          <w:sz w:val="24"/>
          <w:szCs w:val="24"/>
        </w:rPr>
        <w:t xml:space="preserve"> (RWA)</w:t>
      </w:r>
      <w:r w:rsidR="0088378F">
        <w:rPr>
          <w:rFonts w:ascii="Times New Roman" w:hAnsi="Times New Roman"/>
          <w:b w:val="0"/>
          <w:sz w:val="24"/>
          <w:szCs w:val="24"/>
        </w:rPr>
        <w:t xml:space="preserve">. </w:t>
      </w:r>
      <w:r w:rsidRPr="00F43444">
        <w:rPr>
          <w:rFonts w:ascii="Times New Roman" w:hAnsi="Times New Roman"/>
          <w:b w:val="0"/>
          <w:sz w:val="24"/>
          <w:szCs w:val="24"/>
        </w:rPr>
        <w:t xml:space="preserve">The actual level of the </w:t>
      </w:r>
      <w:proofErr w:type="spellStart"/>
      <w:r w:rsidRPr="00F43444">
        <w:rPr>
          <w:rFonts w:ascii="Times New Roman" w:hAnsi="Times New Roman"/>
          <w:b w:val="0"/>
          <w:sz w:val="24"/>
          <w:szCs w:val="24"/>
        </w:rPr>
        <w:t>CCyB</w:t>
      </w:r>
      <w:proofErr w:type="spellEnd"/>
      <w:r w:rsidRPr="00F43444">
        <w:rPr>
          <w:rFonts w:ascii="Times New Roman" w:hAnsi="Times New Roman"/>
          <w:b w:val="0"/>
          <w:sz w:val="24"/>
          <w:szCs w:val="24"/>
        </w:rPr>
        <w:t xml:space="preserve"> will be determined by APRA </w:t>
      </w:r>
      <w:r w:rsidR="000D2C00">
        <w:rPr>
          <w:rFonts w:ascii="Times New Roman" w:hAnsi="Times New Roman"/>
          <w:b w:val="0"/>
          <w:sz w:val="24"/>
          <w:szCs w:val="24"/>
        </w:rPr>
        <w:t>and communicated to entities.</w:t>
      </w:r>
      <w:r w:rsidR="009F5AD4">
        <w:rPr>
          <w:rFonts w:ascii="Times New Roman" w:hAnsi="Times New Roman"/>
          <w:b w:val="0"/>
          <w:sz w:val="24"/>
          <w:szCs w:val="24"/>
        </w:rPr>
        <w:t xml:space="preserve"> These settings will </w:t>
      </w:r>
      <w:r w:rsidRPr="009F5AD4">
        <w:rPr>
          <w:rFonts w:ascii="Times New Roman" w:hAnsi="Times New Roman"/>
          <w:b w:val="0"/>
          <w:sz w:val="24"/>
          <w:szCs w:val="24"/>
        </w:rPr>
        <w:t>allow APRA to materially release capital requirements in times of stress</w:t>
      </w:r>
      <w:r w:rsidR="006C43B3">
        <w:rPr>
          <w:rFonts w:ascii="Times New Roman" w:hAnsi="Times New Roman"/>
          <w:b w:val="0"/>
          <w:sz w:val="24"/>
          <w:szCs w:val="24"/>
        </w:rPr>
        <w:t>, to support lending,</w:t>
      </w:r>
      <w:r w:rsidRPr="009F5AD4">
        <w:rPr>
          <w:rFonts w:ascii="Times New Roman" w:hAnsi="Times New Roman"/>
          <w:b w:val="0"/>
          <w:sz w:val="24"/>
          <w:szCs w:val="24"/>
        </w:rPr>
        <w:t xml:space="preserve"> and further increase capital requirements in response to increasing systemic risk. </w:t>
      </w:r>
    </w:p>
    <w:p w14:paraId="114E85AB" w14:textId="457F0FF8" w:rsidR="00F43444" w:rsidRDefault="00F43444" w:rsidP="003B6C81">
      <w:pPr>
        <w:pStyle w:val="Heading"/>
        <w:spacing w:after="240"/>
        <w:ind w:left="360"/>
        <w:outlineLvl w:val="0"/>
        <w:rPr>
          <w:rFonts w:ascii="Times New Roman" w:hAnsi="Times New Roman"/>
          <w:b w:val="0"/>
          <w:sz w:val="24"/>
          <w:szCs w:val="24"/>
        </w:rPr>
      </w:pPr>
      <w:r>
        <w:rPr>
          <w:rFonts w:ascii="Times New Roman" w:hAnsi="Times New Roman"/>
          <w:b w:val="0"/>
          <w:sz w:val="24"/>
          <w:szCs w:val="24"/>
        </w:rPr>
        <w:t xml:space="preserve">A capital conservation buffer of 2.5 per cent will </w:t>
      </w:r>
      <w:r w:rsidR="00223F84">
        <w:rPr>
          <w:rFonts w:ascii="Times New Roman" w:hAnsi="Times New Roman"/>
          <w:b w:val="0"/>
          <w:sz w:val="24"/>
          <w:szCs w:val="24"/>
        </w:rPr>
        <w:t xml:space="preserve">continue to </w:t>
      </w:r>
      <w:r>
        <w:rPr>
          <w:rFonts w:ascii="Times New Roman" w:hAnsi="Times New Roman"/>
          <w:b w:val="0"/>
          <w:sz w:val="24"/>
          <w:szCs w:val="24"/>
        </w:rPr>
        <w:t xml:space="preserve">apply to ADIs </w:t>
      </w:r>
      <w:r w:rsidR="00614015">
        <w:rPr>
          <w:rFonts w:ascii="Times New Roman" w:hAnsi="Times New Roman"/>
          <w:b w:val="0"/>
          <w:sz w:val="24"/>
          <w:szCs w:val="24"/>
        </w:rPr>
        <w:t xml:space="preserve">that use the standardised approach to credit risk, </w:t>
      </w:r>
      <w:r w:rsidR="00223F84">
        <w:rPr>
          <w:rFonts w:ascii="Times New Roman" w:hAnsi="Times New Roman"/>
          <w:b w:val="0"/>
          <w:sz w:val="24"/>
          <w:szCs w:val="24"/>
        </w:rPr>
        <w:t>while</w:t>
      </w:r>
      <w:r w:rsidR="00614015">
        <w:rPr>
          <w:rFonts w:ascii="Times New Roman" w:hAnsi="Times New Roman"/>
          <w:b w:val="0"/>
          <w:sz w:val="24"/>
          <w:szCs w:val="24"/>
        </w:rPr>
        <w:t xml:space="preserve"> 3.75 per cent </w:t>
      </w:r>
      <w:r w:rsidR="00223F84">
        <w:rPr>
          <w:rFonts w:ascii="Times New Roman" w:hAnsi="Times New Roman"/>
          <w:b w:val="0"/>
          <w:sz w:val="24"/>
          <w:szCs w:val="24"/>
        </w:rPr>
        <w:t xml:space="preserve">will now apply </w:t>
      </w:r>
      <w:r w:rsidR="00614015">
        <w:rPr>
          <w:rFonts w:ascii="Times New Roman" w:hAnsi="Times New Roman"/>
          <w:b w:val="0"/>
          <w:sz w:val="24"/>
          <w:szCs w:val="24"/>
        </w:rPr>
        <w:t>for ADIs using the internal ratings-based approach (IRB) to credit risk. An additional 1.0 per cent will continue to apply for ADIs that are deemed by APRA to be domestic systemically important banks.</w:t>
      </w:r>
    </w:p>
    <w:p w14:paraId="0E28522E" w14:textId="514671B9" w:rsidR="00F4736A" w:rsidRPr="00F4736A" w:rsidRDefault="00F4736A" w:rsidP="00F4736A">
      <w:pPr>
        <w:pStyle w:val="Heading"/>
        <w:numPr>
          <w:ilvl w:val="0"/>
          <w:numId w:val="9"/>
        </w:numPr>
        <w:spacing w:after="240"/>
        <w:outlineLvl w:val="0"/>
        <w:rPr>
          <w:rFonts w:ascii="Times New Roman" w:hAnsi="Times New Roman"/>
          <w:sz w:val="24"/>
          <w:szCs w:val="24"/>
        </w:rPr>
      </w:pPr>
      <w:r w:rsidRPr="00F4736A">
        <w:rPr>
          <w:rFonts w:ascii="Times New Roman" w:hAnsi="Times New Roman"/>
          <w:sz w:val="24"/>
          <w:szCs w:val="24"/>
        </w:rPr>
        <w:t>Capital floor:</w:t>
      </w:r>
      <w:r>
        <w:rPr>
          <w:rFonts w:ascii="Times New Roman" w:hAnsi="Times New Roman"/>
          <w:b w:val="0"/>
          <w:sz w:val="24"/>
          <w:szCs w:val="24"/>
        </w:rPr>
        <w:t xml:space="preserve"> Each IRB ADI will apply a capital floor that will result in its total RWA being at least 72.5 per cent of the total RWA calculated under the standardised approach. This is intended to avoid excessive divergence between the two approaches and is a key tool in support</w:t>
      </w:r>
      <w:r w:rsidR="006C43B3">
        <w:rPr>
          <w:rFonts w:ascii="Times New Roman" w:hAnsi="Times New Roman"/>
          <w:b w:val="0"/>
          <w:sz w:val="24"/>
          <w:szCs w:val="24"/>
        </w:rPr>
        <w:t>ing</w:t>
      </w:r>
      <w:r>
        <w:rPr>
          <w:rFonts w:ascii="Times New Roman" w:hAnsi="Times New Roman"/>
          <w:b w:val="0"/>
          <w:sz w:val="24"/>
          <w:szCs w:val="24"/>
        </w:rPr>
        <w:t xml:space="preserve"> competition</w:t>
      </w:r>
      <w:r w:rsidR="00217362">
        <w:rPr>
          <w:rFonts w:ascii="Times New Roman" w:hAnsi="Times New Roman"/>
          <w:b w:val="0"/>
          <w:sz w:val="24"/>
          <w:szCs w:val="24"/>
        </w:rPr>
        <w:t xml:space="preserve">, whilst recognising that some divergence is </w:t>
      </w:r>
      <w:r w:rsidR="008116B5">
        <w:rPr>
          <w:rFonts w:ascii="Times New Roman" w:hAnsi="Times New Roman"/>
          <w:b w:val="0"/>
          <w:sz w:val="24"/>
          <w:szCs w:val="24"/>
        </w:rPr>
        <w:t xml:space="preserve">appropriate </w:t>
      </w:r>
      <w:r w:rsidR="00884106">
        <w:rPr>
          <w:rFonts w:ascii="Times New Roman" w:hAnsi="Times New Roman"/>
          <w:b w:val="0"/>
          <w:sz w:val="24"/>
          <w:szCs w:val="24"/>
        </w:rPr>
        <w:t>to produce incentives for ADIs to invest in</w:t>
      </w:r>
      <w:r w:rsidR="008116B5">
        <w:rPr>
          <w:rFonts w:ascii="Times New Roman" w:hAnsi="Times New Roman"/>
          <w:b w:val="0"/>
          <w:sz w:val="24"/>
          <w:szCs w:val="24"/>
        </w:rPr>
        <w:t xml:space="preserve"> the</w:t>
      </w:r>
      <w:r w:rsidR="00884106">
        <w:rPr>
          <w:rFonts w:ascii="Times New Roman" w:hAnsi="Times New Roman"/>
          <w:b w:val="0"/>
          <w:sz w:val="24"/>
          <w:szCs w:val="24"/>
        </w:rPr>
        <w:t xml:space="preserve"> IRB approach</w:t>
      </w:r>
      <w:r w:rsidR="00851EED">
        <w:rPr>
          <w:rFonts w:ascii="Times New Roman" w:hAnsi="Times New Roman"/>
          <w:b w:val="0"/>
          <w:sz w:val="24"/>
          <w:szCs w:val="24"/>
        </w:rPr>
        <w:t>, which affords ADIs better risk management tools</w:t>
      </w:r>
      <w:r>
        <w:rPr>
          <w:rFonts w:ascii="Times New Roman" w:hAnsi="Times New Roman"/>
          <w:b w:val="0"/>
          <w:sz w:val="24"/>
          <w:szCs w:val="24"/>
        </w:rPr>
        <w:t>.</w:t>
      </w:r>
    </w:p>
    <w:p w14:paraId="0326C115" w14:textId="50AD106C" w:rsidR="00F4736A" w:rsidRPr="00F4736A" w:rsidRDefault="00F4736A" w:rsidP="00F4736A">
      <w:pPr>
        <w:pStyle w:val="Heading"/>
        <w:numPr>
          <w:ilvl w:val="0"/>
          <w:numId w:val="9"/>
        </w:numPr>
        <w:spacing w:after="240"/>
        <w:outlineLvl w:val="0"/>
        <w:rPr>
          <w:rFonts w:ascii="Times New Roman" w:hAnsi="Times New Roman"/>
          <w:sz w:val="24"/>
          <w:szCs w:val="24"/>
        </w:rPr>
      </w:pPr>
      <w:r>
        <w:rPr>
          <w:rFonts w:ascii="Times New Roman" w:hAnsi="Times New Roman"/>
          <w:sz w:val="24"/>
          <w:szCs w:val="24"/>
        </w:rPr>
        <w:t>Simplified capital requirements</w:t>
      </w:r>
      <w:r>
        <w:rPr>
          <w:rFonts w:ascii="Times New Roman" w:hAnsi="Times New Roman"/>
          <w:b w:val="0"/>
          <w:sz w:val="24"/>
          <w:szCs w:val="24"/>
        </w:rPr>
        <w:t>:</w:t>
      </w:r>
      <w:r>
        <w:rPr>
          <w:rFonts w:ascii="Times New Roman" w:hAnsi="Times New Roman"/>
          <w:sz w:val="24"/>
          <w:szCs w:val="24"/>
        </w:rPr>
        <w:t xml:space="preserve"> </w:t>
      </w:r>
      <w:r>
        <w:rPr>
          <w:rFonts w:ascii="Times New Roman" w:hAnsi="Times New Roman"/>
          <w:b w:val="0"/>
          <w:sz w:val="24"/>
          <w:szCs w:val="24"/>
        </w:rPr>
        <w:t>A simplified set of capital requirements will apply to smaller, less complex ADIs</w:t>
      </w:r>
      <w:r w:rsidR="002B3409">
        <w:rPr>
          <w:rFonts w:ascii="Times New Roman" w:hAnsi="Times New Roman"/>
          <w:b w:val="0"/>
          <w:sz w:val="24"/>
          <w:szCs w:val="24"/>
        </w:rPr>
        <w:t>, non-</w:t>
      </w:r>
      <w:r w:rsidR="002B3409" w:rsidRPr="0022350D">
        <w:rPr>
          <w:rFonts w:ascii="Times New Roman" w:hAnsi="Times New Roman"/>
          <w:b w:val="0"/>
          <w:sz w:val="24"/>
          <w:szCs w:val="24"/>
        </w:rPr>
        <w:t>significant financial institutions</w:t>
      </w:r>
      <w:r w:rsidR="002B3409">
        <w:rPr>
          <w:rFonts w:ascii="Times New Roman" w:hAnsi="Times New Roman"/>
          <w:b w:val="0"/>
          <w:sz w:val="24"/>
          <w:szCs w:val="24"/>
        </w:rPr>
        <w:t xml:space="preserve"> (non-SFIs), </w:t>
      </w:r>
      <w:r w:rsidR="003C5156">
        <w:rPr>
          <w:rFonts w:ascii="Times New Roman" w:hAnsi="Times New Roman"/>
          <w:b w:val="0"/>
          <w:sz w:val="24"/>
          <w:szCs w:val="24"/>
        </w:rPr>
        <w:t>which</w:t>
      </w:r>
      <w:r>
        <w:rPr>
          <w:rFonts w:ascii="Times New Roman" w:hAnsi="Times New Roman"/>
          <w:b w:val="0"/>
          <w:sz w:val="24"/>
          <w:szCs w:val="24"/>
        </w:rPr>
        <w:t xml:space="preserve"> is intended to reduce regulatory burden</w:t>
      </w:r>
      <w:r w:rsidR="00073072">
        <w:rPr>
          <w:rFonts w:ascii="Times New Roman" w:hAnsi="Times New Roman"/>
          <w:b w:val="0"/>
          <w:sz w:val="24"/>
          <w:szCs w:val="24"/>
        </w:rPr>
        <w:t>. Th</w:t>
      </w:r>
      <w:r w:rsidR="009F5AD4">
        <w:rPr>
          <w:rFonts w:ascii="Times New Roman" w:hAnsi="Times New Roman"/>
          <w:b w:val="0"/>
          <w:sz w:val="24"/>
          <w:szCs w:val="24"/>
        </w:rPr>
        <w:t xml:space="preserve">e eligibility criteria for </w:t>
      </w:r>
      <w:r w:rsidR="006D36DB">
        <w:rPr>
          <w:rFonts w:ascii="Times New Roman" w:hAnsi="Times New Roman"/>
          <w:b w:val="0"/>
          <w:sz w:val="24"/>
          <w:szCs w:val="24"/>
        </w:rPr>
        <w:t>the simplified capital requirements</w:t>
      </w:r>
      <w:r w:rsidR="00073072">
        <w:rPr>
          <w:rFonts w:ascii="Times New Roman" w:hAnsi="Times New Roman"/>
          <w:b w:val="0"/>
          <w:sz w:val="24"/>
          <w:szCs w:val="24"/>
        </w:rPr>
        <w:t xml:space="preserve"> </w:t>
      </w:r>
      <w:proofErr w:type="gramStart"/>
      <w:r w:rsidR="0084612C">
        <w:rPr>
          <w:rFonts w:ascii="Times New Roman" w:hAnsi="Times New Roman"/>
          <w:b w:val="0"/>
          <w:sz w:val="24"/>
          <w:szCs w:val="24"/>
        </w:rPr>
        <w:t>i</w:t>
      </w:r>
      <w:r w:rsidR="004F3B84">
        <w:rPr>
          <w:rFonts w:ascii="Times New Roman" w:hAnsi="Times New Roman"/>
          <w:b w:val="0"/>
          <w:sz w:val="24"/>
          <w:szCs w:val="24"/>
        </w:rPr>
        <w:t>s</w:t>
      </w:r>
      <w:proofErr w:type="gramEnd"/>
      <w:r w:rsidR="004F3B84">
        <w:rPr>
          <w:rFonts w:ascii="Times New Roman" w:hAnsi="Times New Roman"/>
          <w:b w:val="0"/>
          <w:sz w:val="24"/>
          <w:szCs w:val="24"/>
        </w:rPr>
        <w:t xml:space="preserve"> set out </w:t>
      </w:r>
      <w:r w:rsidR="00073072">
        <w:rPr>
          <w:rFonts w:ascii="Times New Roman" w:hAnsi="Times New Roman"/>
          <w:b w:val="0"/>
          <w:sz w:val="24"/>
          <w:szCs w:val="24"/>
        </w:rPr>
        <w:t xml:space="preserve">in </w:t>
      </w:r>
      <w:r w:rsidR="006D36DB">
        <w:rPr>
          <w:rFonts w:ascii="Times New Roman" w:hAnsi="Times New Roman"/>
          <w:b w:val="0"/>
          <w:i/>
          <w:sz w:val="24"/>
          <w:szCs w:val="24"/>
        </w:rPr>
        <w:t>Prudential Standard APS 001 Definitions</w:t>
      </w:r>
      <w:r w:rsidR="00073072">
        <w:rPr>
          <w:rFonts w:ascii="Times New Roman" w:hAnsi="Times New Roman"/>
          <w:b w:val="0"/>
          <w:sz w:val="24"/>
          <w:szCs w:val="24"/>
        </w:rPr>
        <w:t xml:space="preserve">. </w:t>
      </w:r>
    </w:p>
    <w:p w14:paraId="1AC2B18A" w14:textId="6AE52609" w:rsidR="00FB633B" w:rsidRDefault="00DC029B" w:rsidP="00FB633B">
      <w:pPr>
        <w:pStyle w:val="Heading"/>
        <w:keepNext/>
        <w:spacing w:after="240"/>
        <w:outlineLvl w:val="0"/>
        <w:rPr>
          <w:rFonts w:ascii="Times New Roman" w:hAnsi="Times New Roman"/>
          <w:b w:val="0"/>
          <w:i/>
          <w:sz w:val="24"/>
          <w:szCs w:val="24"/>
        </w:rPr>
      </w:pPr>
      <w:r w:rsidRPr="00DC029B">
        <w:rPr>
          <w:rFonts w:ascii="Times New Roman" w:hAnsi="Times New Roman"/>
          <w:b w:val="0"/>
          <w:i/>
          <w:sz w:val="24"/>
          <w:szCs w:val="24"/>
        </w:rPr>
        <w:t xml:space="preserve">Banking (prudential standard) determination No. </w:t>
      </w:r>
      <w:r w:rsidR="00C968D3">
        <w:rPr>
          <w:rFonts w:ascii="Times New Roman" w:hAnsi="Times New Roman"/>
          <w:b w:val="0"/>
          <w:i/>
          <w:sz w:val="24"/>
          <w:szCs w:val="24"/>
        </w:rPr>
        <w:t>6</w:t>
      </w:r>
      <w:r w:rsidR="00C968D3" w:rsidRPr="00DC029B">
        <w:rPr>
          <w:rFonts w:ascii="Times New Roman" w:hAnsi="Times New Roman"/>
          <w:b w:val="0"/>
          <w:i/>
          <w:sz w:val="24"/>
          <w:szCs w:val="24"/>
        </w:rPr>
        <w:t xml:space="preserve"> </w:t>
      </w:r>
      <w:r w:rsidRPr="00DC029B">
        <w:rPr>
          <w:rFonts w:ascii="Times New Roman" w:hAnsi="Times New Roman"/>
          <w:b w:val="0"/>
          <w:i/>
          <w:sz w:val="24"/>
          <w:szCs w:val="24"/>
        </w:rPr>
        <w:t>of 202</w:t>
      </w:r>
      <w:r w:rsidR="002F0905">
        <w:rPr>
          <w:rFonts w:ascii="Times New Roman" w:hAnsi="Times New Roman"/>
          <w:b w:val="0"/>
          <w:i/>
          <w:sz w:val="24"/>
          <w:szCs w:val="24"/>
        </w:rPr>
        <w:t>2</w:t>
      </w:r>
      <w:r w:rsidR="00FB633B">
        <w:rPr>
          <w:rFonts w:ascii="Times New Roman" w:hAnsi="Times New Roman"/>
          <w:b w:val="0"/>
          <w:i/>
          <w:sz w:val="24"/>
          <w:szCs w:val="24"/>
        </w:rPr>
        <w:t xml:space="preserve"> </w:t>
      </w:r>
      <w:r w:rsidR="00FB633B" w:rsidRPr="00FB633B">
        <w:rPr>
          <w:rFonts w:ascii="Times New Roman" w:hAnsi="Times New Roman"/>
          <w:b w:val="0"/>
          <w:sz w:val="24"/>
          <w:szCs w:val="24"/>
        </w:rPr>
        <w:t>and</w:t>
      </w:r>
      <w:r w:rsidR="00FB633B">
        <w:rPr>
          <w:rFonts w:ascii="Times New Roman" w:hAnsi="Times New Roman"/>
          <w:b w:val="0"/>
          <w:sz w:val="24"/>
          <w:szCs w:val="24"/>
        </w:rPr>
        <w:t xml:space="preserve"> </w:t>
      </w:r>
      <w:r w:rsidR="00FB633B" w:rsidRPr="00DC029B">
        <w:rPr>
          <w:rFonts w:ascii="Times New Roman" w:hAnsi="Times New Roman"/>
          <w:b w:val="0"/>
          <w:i/>
          <w:sz w:val="24"/>
          <w:szCs w:val="24"/>
        </w:rPr>
        <w:t xml:space="preserve">Banking (prudential standard) determination No. </w:t>
      </w:r>
      <w:r w:rsidR="00C968D3">
        <w:rPr>
          <w:rFonts w:ascii="Times New Roman" w:hAnsi="Times New Roman"/>
          <w:b w:val="0"/>
          <w:i/>
          <w:sz w:val="24"/>
          <w:szCs w:val="24"/>
        </w:rPr>
        <w:t>7</w:t>
      </w:r>
      <w:r w:rsidR="00C968D3" w:rsidRPr="00DC029B">
        <w:rPr>
          <w:rFonts w:ascii="Times New Roman" w:hAnsi="Times New Roman"/>
          <w:b w:val="0"/>
          <w:i/>
          <w:sz w:val="24"/>
          <w:szCs w:val="24"/>
        </w:rPr>
        <w:t xml:space="preserve"> </w:t>
      </w:r>
      <w:r w:rsidR="00FB633B" w:rsidRPr="00DC029B">
        <w:rPr>
          <w:rFonts w:ascii="Times New Roman" w:hAnsi="Times New Roman"/>
          <w:b w:val="0"/>
          <w:i/>
          <w:sz w:val="24"/>
          <w:szCs w:val="24"/>
        </w:rPr>
        <w:t>of 202</w:t>
      </w:r>
      <w:r w:rsidR="006C2FEC">
        <w:rPr>
          <w:rFonts w:ascii="Times New Roman" w:hAnsi="Times New Roman"/>
          <w:b w:val="0"/>
          <w:i/>
          <w:sz w:val="24"/>
          <w:szCs w:val="24"/>
        </w:rPr>
        <w:t>2</w:t>
      </w:r>
    </w:p>
    <w:p w14:paraId="62BD8C0E" w14:textId="23DE8366" w:rsidR="00DC029B" w:rsidRDefault="009F5AD4" w:rsidP="00225429">
      <w:pPr>
        <w:pStyle w:val="Heading"/>
        <w:spacing w:after="240"/>
        <w:outlineLvl w:val="0"/>
        <w:rPr>
          <w:rFonts w:ascii="Times New Roman" w:hAnsi="Times New Roman"/>
          <w:b w:val="0"/>
          <w:sz w:val="24"/>
          <w:szCs w:val="24"/>
        </w:rPr>
      </w:pPr>
      <w:r>
        <w:rPr>
          <w:rFonts w:ascii="Times New Roman" w:hAnsi="Times New Roman"/>
          <w:b w:val="0"/>
          <w:sz w:val="24"/>
          <w:szCs w:val="24"/>
        </w:rPr>
        <w:t>The purpose of th</w:t>
      </w:r>
      <w:r w:rsidR="00FB633B">
        <w:rPr>
          <w:rFonts w:ascii="Times New Roman" w:hAnsi="Times New Roman"/>
          <w:b w:val="0"/>
          <w:sz w:val="24"/>
          <w:szCs w:val="24"/>
        </w:rPr>
        <w:t>e</w:t>
      </w:r>
      <w:r>
        <w:rPr>
          <w:rFonts w:ascii="Times New Roman" w:hAnsi="Times New Roman"/>
          <w:b w:val="0"/>
          <w:sz w:val="24"/>
          <w:szCs w:val="24"/>
        </w:rPr>
        <w:t xml:space="preserve"> instrument</w:t>
      </w:r>
      <w:r w:rsidR="00FB633B">
        <w:rPr>
          <w:rFonts w:ascii="Times New Roman" w:hAnsi="Times New Roman"/>
          <w:b w:val="0"/>
          <w:sz w:val="24"/>
          <w:szCs w:val="24"/>
        </w:rPr>
        <w:t>s</w:t>
      </w:r>
      <w:r>
        <w:rPr>
          <w:rFonts w:ascii="Times New Roman" w:hAnsi="Times New Roman"/>
          <w:b w:val="0"/>
          <w:sz w:val="24"/>
          <w:szCs w:val="24"/>
        </w:rPr>
        <w:t xml:space="preserve"> is to revoke APS 112 and </w:t>
      </w:r>
      <w:r w:rsidR="00FB633B">
        <w:rPr>
          <w:rFonts w:ascii="Times New Roman" w:hAnsi="Times New Roman"/>
          <w:b w:val="0"/>
          <w:sz w:val="24"/>
          <w:szCs w:val="24"/>
        </w:rPr>
        <w:t xml:space="preserve">APS 113 and to </w:t>
      </w:r>
      <w:r>
        <w:rPr>
          <w:rFonts w:ascii="Times New Roman" w:hAnsi="Times New Roman"/>
          <w:b w:val="0"/>
          <w:sz w:val="24"/>
          <w:szCs w:val="24"/>
        </w:rPr>
        <w:t xml:space="preserve">replace </w:t>
      </w:r>
      <w:r w:rsidR="00FB633B">
        <w:rPr>
          <w:rFonts w:ascii="Times New Roman" w:hAnsi="Times New Roman"/>
          <w:b w:val="0"/>
          <w:sz w:val="24"/>
          <w:szCs w:val="24"/>
        </w:rPr>
        <w:t>them</w:t>
      </w:r>
      <w:r>
        <w:rPr>
          <w:rFonts w:ascii="Times New Roman" w:hAnsi="Times New Roman"/>
          <w:b w:val="0"/>
          <w:sz w:val="24"/>
          <w:szCs w:val="24"/>
        </w:rPr>
        <w:t xml:space="preserve"> with new version</w:t>
      </w:r>
      <w:r w:rsidR="00FB633B">
        <w:rPr>
          <w:rFonts w:ascii="Times New Roman" w:hAnsi="Times New Roman"/>
          <w:b w:val="0"/>
          <w:sz w:val="24"/>
          <w:szCs w:val="24"/>
        </w:rPr>
        <w:t>s</w:t>
      </w:r>
      <w:r>
        <w:rPr>
          <w:rFonts w:ascii="Times New Roman" w:hAnsi="Times New Roman"/>
          <w:b w:val="0"/>
          <w:sz w:val="24"/>
          <w:szCs w:val="24"/>
        </w:rPr>
        <w:t xml:space="preserve"> of APS 112</w:t>
      </w:r>
      <w:r w:rsidR="00FB633B">
        <w:rPr>
          <w:rFonts w:ascii="Times New Roman" w:hAnsi="Times New Roman"/>
          <w:b w:val="0"/>
          <w:sz w:val="24"/>
          <w:szCs w:val="24"/>
        </w:rPr>
        <w:t xml:space="preserve"> and APS 113</w:t>
      </w:r>
      <w:r>
        <w:rPr>
          <w:rFonts w:ascii="Times New Roman" w:hAnsi="Times New Roman"/>
          <w:b w:val="0"/>
          <w:sz w:val="24"/>
          <w:szCs w:val="24"/>
        </w:rPr>
        <w:t>.</w:t>
      </w:r>
    </w:p>
    <w:p w14:paraId="10DEBECD" w14:textId="2F5EA16D" w:rsidR="00FB633B" w:rsidRDefault="009F5AD4" w:rsidP="00225429">
      <w:pPr>
        <w:pStyle w:val="Heading"/>
        <w:spacing w:after="240"/>
        <w:outlineLvl w:val="0"/>
        <w:rPr>
          <w:rFonts w:ascii="Times New Roman" w:hAnsi="Times New Roman"/>
          <w:b w:val="0"/>
          <w:sz w:val="24"/>
          <w:szCs w:val="24"/>
        </w:rPr>
      </w:pPr>
      <w:r>
        <w:rPr>
          <w:rFonts w:ascii="Times New Roman" w:hAnsi="Times New Roman"/>
          <w:b w:val="0"/>
          <w:sz w:val="24"/>
          <w:szCs w:val="24"/>
        </w:rPr>
        <w:t xml:space="preserve">APS 112 </w:t>
      </w:r>
      <w:r w:rsidR="00FB633B">
        <w:rPr>
          <w:rFonts w:ascii="Times New Roman" w:hAnsi="Times New Roman"/>
          <w:b w:val="0"/>
          <w:sz w:val="24"/>
          <w:szCs w:val="24"/>
        </w:rPr>
        <w:t xml:space="preserve">and APS 113 require ADIs to </w:t>
      </w:r>
      <w:r>
        <w:rPr>
          <w:rFonts w:ascii="Times New Roman" w:hAnsi="Times New Roman"/>
          <w:b w:val="0"/>
          <w:sz w:val="24"/>
          <w:szCs w:val="24"/>
        </w:rPr>
        <w:t xml:space="preserve">hold sufficient regulatory capital against credit risk exposures. </w:t>
      </w:r>
      <w:r w:rsidR="00FB633B" w:rsidRPr="00FB633B">
        <w:rPr>
          <w:rFonts w:ascii="Times New Roman" w:hAnsi="Times New Roman"/>
          <w:b w:val="0"/>
          <w:sz w:val="24"/>
          <w:szCs w:val="24"/>
        </w:rPr>
        <w:t>APS 112 applies to an ADI using the standardised approach to credit risk and APS 113 applies to an ADI with approval to use the internal ratings-based approach to credit risk.</w:t>
      </w:r>
    </w:p>
    <w:p w14:paraId="5C548F3F" w14:textId="2CE2DC1E" w:rsidR="00CF3B8F" w:rsidRDefault="00CF3B8F" w:rsidP="00225429">
      <w:pPr>
        <w:pStyle w:val="Heading"/>
        <w:spacing w:after="240"/>
        <w:outlineLvl w:val="0"/>
        <w:rPr>
          <w:rFonts w:ascii="Times New Roman" w:hAnsi="Times New Roman"/>
          <w:b w:val="0"/>
          <w:sz w:val="24"/>
          <w:szCs w:val="24"/>
        </w:rPr>
      </w:pPr>
      <w:r>
        <w:rPr>
          <w:rFonts w:ascii="Times New Roman" w:hAnsi="Times New Roman"/>
          <w:b w:val="0"/>
          <w:sz w:val="24"/>
          <w:szCs w:val="24"/>
        </w:rPr>
        <w:lastRenderedPageBreak/>
        <w:t>Th</w:t>
      </w:r>
      <w:r w:rsidR="003B6C81">
        <w:rPr>
          <w:rFonts w:ascii="Times New Roman" w:hAnsi="Times New Roman"/>
          <w:b w:val="0"/>
          <w:sz w:val="24"/>
          <w:szCs w:val="24"/>
        </w:rPr>
        <w:t>e</w:t>
      </w:r>
      <w:r>
        <w:rPr>
          <w:rFonts w:ascii="Times New Roman" w:hAnsi="Times New Roman"/>
          <w:b w:val="0"/>
          <w:sz w:val="24"/>
          <w:szCs w:val="24"/>
        </w:rPr>
        <w:t xml:space="preserve"> instrument</w:t>
      </w:r>
      <w:r w:rsidR="003B6C81">
        <w:rPr>
          <w:rFonts w:ascii="Times New Roman" w:hAnsi="Times New Roman"/>
          <w:b w:val="0"/>
          <w:sz w:val="24"/>
          <w:szCs w:val="24"/>
        </w:rPr>
        <w:t>s</w:t>
      </w:r>
      <w:r>
        <w:rPr>
          <w:rFonts w:ascii="Times New Roman" w:hAnsi="Times New Roman"/>
          <w:b w:val="0"/>
          <w:sz w:val="24"/>
          <w:szCs w:val="24"/>
        </w:rPr>
        <w:t xml:space="preserve"> </w:t>
      </w:r>
      <w:r w:rsidR="00FB633B">
        <w:rPr>
          <w:rFonts w:ascii="Times New Roman" w:hAnsi="Times New Roman"/>
          <w:b w:val="0"/>
          <w:sz w:val="24"/>
          <w:szCs w:val="24"/>
        </w:rPr>
        <w:t xml:space="preserve">make changes to APS 112 and APS 113 </w:t>
      </w:r>
      <w:r w:rsidR="00617C3C">
        <w:rPr>
          <w:rFonts w:ascii="Times New Roman" w:hAnsi="Times New Roman"/>
          <w:b w:val="0"/>
          <w:sz w:val="24"/>
          <w:szCs w:val="24"/>
        </w:rPr>
        <w:t xml:space="preserve">that </w:t>
      </w:r>
      <w:r w:rsidR="00851EED">
        <w:rPr>
          <w:rFonts w:ascii="Times New Roman" w:hAnsi="Times New Roman"/>
          <w:b w:val="0"/>
          <w:sz w:val="24"/>
          <w:szCs w:val="24"/>
        </w:rPr>
        <w:t>will better align capital to the risks</w:t>
      </w:r>
      <w:r w:rsidR="008B55A3">
        <w:rPr>
          <w:rFonts w:ascii="Times New Roman" w:hAnsi="Times New Roman"/>
          <w:b w:val="0"/>
          <w:sz w:val="24"/>
          <w:szCs w:val="24"/>
        </w:rPr>
        <w:t xml:space="preserve"> </w:t>
      </w:r>
      <w:r w:rsidR="00851EED">
        <w:rPr>
          <w:rFonts w:ascii="Times New Roman" w:hAnsi="Times New Roman"/>
          <w:b w:val="0"/>
          <w:sz w:val="24"/>
          <w:szCs w:val="24"/>
        </w:rPr>
        <w:t>of various</w:t>
      </w:r>
      <w:r w:rsidR="008B55A3">
        <w:rPr>
          <w:rFonts w:ascii="Times New Roman" w:hAnsi="Times New Roman"/>
          <w:b w:val="0"/>
          <w:sz w:val="24"/>
          <w:szCs w:val="24"/>
        </w:rPr>
        <w:t xml:space="preserve"> asset classes</w:t>
      </w:r>
      <w:r w:rsidR="00851EED">
        <w:rPr>
          <w:rFonts w:ascii="Times New Roman" w:hAnsi="Times New Roman"/>
          <w:b w:val="0"/>
          <w:sz w:val="24"/>
          <w:szCs w:val="24"/>
        </w:rPr>
        <w:t>.</w:t>
      </w:r>
      <w:r w:rsidR="00617C3C">
        <w:rPr>
          <w:rFonts w:ascii="Times New Roman" w:hAnsi="Times New Roman"/>
          <w:b w:val="0"/>
          <w:sz w:val="24"/>
          <w:szCs w:val="24"/>
        </w:rPr>
        <w:t xml:space="preserve"> The</w:t>
      </w:r>
      <w:r w:rsidR="00A11CB6">
        <w:rPr>
          <w:rFonts w:ascii="Times New Roman" w:hAnsi="Times New Roman"/>
          <w:b w:val="0"/>
          <w:sz w:val="24"/>
          <w:szCs w:val="24"/>
        </w:rPr>
        <w:t xml:space="preserve">se capital standards </w:t>
      </w:r>
      <w:r w:rsidR="00617C3C">
        <w:rPr>
          <w:rFonts w:ascii="Times New Roman" w:hAnsi="Times New Roman"/>
          <w:b w:val="0"/>
          <w:sz w:val="24"/>
          <w:szCs w:val="24"/>
        </w:rPr>
        <w:t>are broadly aligned with the Basel Committee’s frameworks and where adjustments have been made</w:t>
      </w:r>
      <w:r w:rsidR="00A11CB6">
        <w:rPr>
          <w:rFonts w:ascii="Times New Roman" w:hAnsi="Times New Roman"/>
          <w:b w:val="0"/>
          <w:sz w:val="24"/>
          <w:szCs w:val="24"/>
        </w:rPr>
        <w:t xml:space="preserve"> to suit Australian conditions</w:t>
      </w:r>
      <w:r w:rsidR="00617C3C">
        <w:rPr>
          <w:rFonts w:ascii="Times New Roman" w:hAnsi="Times New Roman"/>
          <w:b w:val="0"/>
          <w:sz w:val="24"/>
          <w:szCs w:val="24"/>
        </w:rPr>
        <w:t xml:space="preserve">, APRA has done this in a more simple and transparent manner for the purposes of </w:t>
      </w:r>
      <w:r w:rsidR="00A11CB6">
        <w:rPr>
          <w:rFonts w:ascii="Times New Roman" w:hAnsi="Times New Roman"/>
          <w:b w:val="0"/>
          <w:sz w:val="24"/>
          <w:szCs w:val="24"/>
        </w:rPr>
        <w:t xml:space="preserve">transparency and </w:t>
      </w:r>
      <w:r w:rsidR="00617C3C">
        <w:rPr>
          <w:rFonts w:ascii="Times New Roman" w:hAnsi="Times New Roman"/>
          <w:b w:val="0"/>
          <w:sz w:val="24"/>
          <w:szCs w:val="24"/>
        </w:rPr>
        <w:t xml:space="preserve">international comparability. </w:t>
      </w:r>
      <w:r w:rsidR="00225429">
        <w:rPr>
          <w:rFonts w:ascii="Times New Roman" w:hAnsi="Times New Roman"/>
          <w:b w:val="0"/>
          <w:sz w:val="24"/>
          <w:szCs w:val="24"/>
        </w:rPr>
        <w:t xml:space="preserve">The key changes to APS 112 </w:t>
      </w:r>
      <w:r w:rsidR="00617C3C">
        <w:rPr>
          <w:rFonts w:ascii="Times New Roman" w:hAnsi="Times New Roman"/>
          <w:b w:val="0"/>
          <w:sz w:val="24"/>
          <w:szCs w:val="24"/>
        </w:rPr>
        <w:t xml:space="preserve">and APS 113 </w:t>
      </w:r>
      <w:r w:rsidR="00225429">
        <w:rPr>
          <w:rFonts w:ascii="Times New Roman" w:hAnsi="Times New Roman"/>
          <w:b w:val="0"/>
          <w:sz w:val="24"/>
          <w:szCs w:val="24"/>
        </w:rPr>
        <w:t>are:</w:t>
      </w:r>
    </w:p>
    <w:p w14:paraId="33BB3B17" w14:textId="15B35153" w:rsidR="00225429" w:rsidRPr="00B331F8" w:rsidRDefault="0028352A" w:rsidP="00225429">
      <w:pPr>
        <w:pStyle w:val="Heading"/>
        <w:numPr>
          <w:ilvl w:val="0"/>
          <w:numId w:val="9"/>
        </w:numPr>
        <w:spacing w:after="240"/>
        <w:outlineLvl w:val="0"/>
        <w:rPr>
          <w:rFonts w:ascii="Times New Roman" w:hAnsi="Times New Roman"/>
          <w:b w:val="0"/>
          <w:sz w:val="24"/>
          <w:szCs w:val="24"/>
        </w:rPr>
      </w:pPr>
      <w:r w:rsidRPr="00014BF4">
        <w:rPr>
          <w:rFonts w:ascii="Times New Roman" w:hAnsi="Times New Roman"/>
          <w:sz w:val="24"/>
          <w:szCs w:val="24"/>
        </w:rPr>
        <w:t>Residential mortgages segmentation</w:t>
      </w:r>
      <w:r w:rsidRPr="00B331F8">
        <w:rPr>
          <w:rFonts w:ascii="Times New Roman" w:hAnsi="Times New Roman"/>
          <w:b w:val="0"/>
          <w:sz w:val="24"/>
          <w:szCs w:val="24"/>
        </w:rPr>
        <w:t xml:space="preserve">: </w:t>
      </w:r>
      <w:r w:rsidR="00812536" w:rsidRPr="00B331F8">
        <w:rPr>
          <w:rFonts w:ascii="Times New Roman" w:hAnsi="Times New Roman"/>
          <w:b w:val="0"/>
          <w:sz w:val="24"/>
          <w:szCs w:val="24"/>
        </w:rPr>
        <w:t xml:space="preserve">APS 112 </w:t>
      </w:r>
      <w:r w:rsidR="00617C3C">
        <w:rPr>
          <w:rFonts w:ascii="Times New Roman" w:hAnsi="Times New Roman"/>
          <w:b w:val="0"/>
          <w:sz w:val="24"/>
          <w:szCs w:val="24"/>
        </w:rPr>
        <w:t xml:space="preserve">and APS 113 </w:t>
      </w:r>
      <w:r w:rsidR="00812536" w:rsidRPr="00B331F8">
        <w:rPr>
          <w:rFonts w:ascii="Times New Roman" w:hAnsi="Times New Roman"/>
          <w:b w:val="0"/>
          <w:sz w:val="24"/>
          <w:szCs w:val="24"/>
        </w:rPr>
        <w:t>segment residential mortgages into lower and higher risk categories. Loans to owner-</w:t>
      </w:r>
      <w:r w:rsidR="0077300B" w:rsidRPr="00B331F8">
        <w:rPr>
          <w:rFonts w:ascii="Times New Roman" w:hAnsi="Times New Roman"/>
          <w:b w:val="0"/>
          <w:sz w:val="24"/>
          <w:szCs w:val="24"/>
        </w:rPr>
        <w:t>occupie</w:t>
      </w:r>
      <w:r w:rsidR="0077300B">
        <w:rPr>
          <w:rFonts w:ascii="Times New Roman" w:hAnsi="Times New Roman"/>
          <w:b w:val="0"/>
          <w:sz w:val="24"/>
          <w:szCs w:val="24"/>
        </w:rPr>
        <w:t>rs</w:t>
      </w:r>
      <w:r w:rsidR="0077300B" w:rsidRPr="00B331F8">
        <w:rPr>
          <w:rFonts w:ascii="Times New Roman" w:hAnsi="Times New Roman"/>
          <w:b w:val="0"/>
          <w:sz w:val="24"/>
          <w:szCs w:val="24"/>
        </w:rPr>
        <w:t xml:space="preserve"> </w:t>
      </w:r>
      <w:r w:rsidR="00812536" w:rsidRPr="00B331F8">
        <w:rPr>
          <w:rFonts w:ascii="Times New Roman" w:hAnsi="Times New Roman"/>
          <w:b w:val="0"/>
          <w:sz w:val="24"/>
          <w:szCs w:val="24"/>
        </w:rPr>
        <w:t xml:space="preserve">with principal-and-interest repayments </w:t>
      </w:r>
      <w:r w:rsidR="00E33533">
        <w:rPr>
          <w:rFonts w:ascii="Times New Roman" w:hAnsi="Times New Roman"/>
          <w:b w:val="0"/>
          <w:sz w:val="24"/>
          <w:szCs w:val="24"/>
        </w:rPr>
        <w:t>are</w:t>
      </w:r>
      <w:r w:rsidR="00812536" w:rsidRPr="00B331F8">
        <w:rPr>
          <w:rFonts w:ascii="Times New Roman" w:hAnsi="Times New Roman"/>
          <w:b w:val="0"/>
          <w:sz w:val="24"/>
          <w:szCs w:val="24"/>
        </w:rPr>
        <w:t xml:space="preserve"> classified as lower risk, whereas higher risk residential mortgages include loans to investors, interest-only loans and loans to small businesses. </w:t>
      </w:r>
      <w:r w:rsidR="00B331F8" w:rsidRPr="00B331F8">
        <w:rPr>
          <w:rFonts w:ascii="Times New Roman" w:hAnsi="Times New Roman"/>
          <w:b w:val="0"/>
          <w:sz w:val="24"/>
          <w:szCs w:val="24"/>
        </w:rPr>
        <w:t>Higher capital requirements apply to higher risk mortgages.</w:t>
      </w:r>
      <w:r w:rsidR="00B331F8">
        <w:rPr>
          <w:rFonts w:ascii="Times New Roman" w:hAnsi="Times New Roman"/>
          <w:b w:val="0"/>
          <w:sz w:val="24"/>
          <w:szCs w:val="24"/>
        </w:rPr>
        <w:t xml:space="preserve"> </w:t>
      </w:r>
      <w:r w:rsidR="00812536" w:rsidRPr="00B331F8">
        <w:rPr>
          <w:rFonts w:ascii="Times New Roman" w:hAnsi="Times New Roman"/>
          <w:b w:val="0"/>
          <w:sz w:val="24"/>
          <w:szCs w:val="24"/>
        </w:rPr>
        <w:t xml:space="preserve">This segmentation </w:t>
      </w:r>
      <w:r w:rsidR="00B331F8">
        <w:rPr>
          <w:rFonts w:ascii="Times New Roman" w:hAnsi="Times New Roman"/>
          <w:b w:val="0"/>
          <w:sz w:val="24"/>
          <w:szCs w:val="24"/>
        </w:rPr>
        <w:t>allows the capital standards to target key risks arising from ADI structural concentration in residential mortgage lending</w:t>
      </w:r>
      <w:r w:rsidR="00A11CB6">
        <w:rPr>
          <w:rFonts w:ascii="Times New Roman" w:hAnsi="Times New Roman"/>
          <w:b w:val="0"/>
          <w:sz w:val="24"/>
          <w:szCs w:val="24"/>
        </w:rPr>
        <w:t>;</w:t>
      </w:r>
    </w:p>
    <w:p w14:paraId="4AC5D853" w14:textId="05E10BBD" w:rsidR="0028352A" w:rsidRDefault="0028352A" w:rsidP="00225429">
      <w:pPr>
        <w:pStyle w:val="Heading"/>
        <w:numPr>
          <w:ilvl w:val="0"/>
          <w:numId w:val="9"/>
        </w:numPr>
        <w:spacing w:after="240"/>
        <w:outlineLvl w:val="0"/>
        <w:rPr>
          <w:rFonts w:ascii="Times New Roman" w:hAnsi="Times New Roman"/>
          <w:b w:val="0"/>
          <w:sz w:val="24"/>
          <w:szCs w:val="24"/>
        </w:rPr>
      </w:pPr>
      <w:r w:rsidRPr="00014BF4">
        <w:rPr>
          <w:rFonts w:ascii="Times New Roman" w:hAnsi="Times New Roman"/>
          <w:sz w:val="24"/>
          <w:szCs w:val="24"/>
        </w:rPr>
        <w:t>Small-business loans</w:t>
      </w:r>
      <w:r>
        <w:rPr>
          <w:rFonts w:ascii="Times New Roman" w:hAnsi="Times New Roman"/>
          <w:b w:val="0"/>
          <w:sz w:val="24"/>
          <w:szCs w:val="24"/>
        </w:rPr>
        <w:t xml:space="preserve">: </w:t>
      </w:r>
      <w:r w:rsidR="00123AE3">
        <w:rPr>
          <w:rFonts w:ascii="Times New Roman" w:hAnsi="Times New Roman"/>
          <w:b w:val="0"/>
          <w:sz w:val="24"/>
          <w:szCs w:val="24"/>
        </w:rPr>
        <w:t xml:space="preserve">APS 112 </w:t>
      </w:r>
      <w:r w:rsidR="00617C3C">
        <w:rPr>
          <w:rFonts w:ascii="Times New Roman" w:hAnsi="Times New Roman"/>
          <w:b w:val="0"/>
          <w:sz w:val="24"/>
          <w:szCs w:val="24"/>
        </w:rPr>
        <w:t xml:space="preserve">and APS 113 </w:t>
      </w:r>
      <w:r w:rsidR="00123AE3">
        <w:rPr>
          <w:rFonts w:ascii="Times New Roman" w:hAnsi="Times New Roman"/>
          <w:b w:val="0"/>
          <w:sz w:val="24"/>
          <w:szCs w:val="24"/>
        </w:rPr>
        <w:t xml:space="preserve">reduce capital requirements for small business lending. </w:t>
      </w:r>
      <w:r w:rsidR="00123AE3" w:rsidRPr="00123AE3">
        <w:rPr>
          <w:rFonts w:ascii="Times New Roman" w:hAnsi="Times New Roman"/>
          <w:b w:val="0"/>
          <w:sz w:val="24"/>
          <w:szCs w:val="24"/>
        </w:rPr>
        <w:t xml:space="preserve">The threshold for defining retail </w:t>
      </w:r>
      <w:r w:rsidR="000C0105">
        <w:rPr>
          <w:rFonts w:ascii="Times New Roman" w:hAnsi="Times New Roman"/>
          <w:b w:val="0"/>
          <w:sz w:val="24"/>
          <w:szCs w:val="24"/>
        </w:rPr>
        <w:t xml:space="preserve">small businesses </w:t>
      </w:r>
      <w:r w:rsidR="00123AE3" w:rsidRPr="00123AE3">
        <w:rPr>
          <w:rFonts w:ascii="Times New Roman" w:hAnsi="Times New Roman"/>
          <w:b w:val="0"/>
          <w:sz w:val="24"/>
          <w:szCs w:val="24"/>
        </w:rPr>
        <w:t>has</w:t>
      </w:r>
      <w:r w:rsidR="00617C3C">
        <w:rPr>
          <w:rFonts w:ascii="Times New Roman" w:hAnsi="Times New Roman"/>
          <w:b w:val="0"/>
          <w:sz w:val="24"/>
          <w:szCs w:val="24"/>
        </w:rPr>
        <w:t xml:space="preserve"> </w:t>
      </w:r>
      <w:r w:rsidR="00123AE3" w:rsidRPr="00123AE3">
        <w:rPr>
          <w:rFonts w:ascii="Times New Roman" w:hAnsi="Times New Roman"/>
          <w:b w:val="0"/>
          <w:sz w:val="24"/>
          <w:szCs w:val="24"/>
        </w:rPr>
        <w:t xml:space="preserve">been raised from $1 million to $1.5 million in loan size, increasing the volume of loans eligible for lower </w:t>
      </w:r>
      <w:r w:rsidR="00617C3C">
        <w:rPr>
          <w:rFonts w:ascii="Times New Roman" w:hAnsi="Times New Roman"/>
          <w:b w:val="0"/>
          <w:sz w:val="24"/>
          <w:szCs w:val="24"/>
        </w:rPr>
        <w:t>capital requirements</w:t>
      </w:r>
      <w:r w:rsidR="00014BF4">
        <w:rPr>
          <w:rFonts w:ascii="Times New Roman" w:hAnsi="Times New Roman"/>
          <w:b w:val="0"/>
          <w:sz w:val="24"/>
          <w:szCs w:val="24"/>
        </w:rPr>
        <w:t>. This is intended to enhance the incentives for ADIs to lend to small businesses</w:t>
      </w:r>
      <w:r w:rsidR="00A11CB6">
        <w:rPr>
          <w:rFonts w:ascii="Times New Roman" w:hAnsi="Times New Roman"/>
          <w:b w:val="0"/>
          <w:sz w:val="24"/>
          <w:szCs w:val="24"/>
        </w:rPr>
        <w:t xml:space="preserve"> where this can be prudently done;</w:t>
      </w:r>
    </w:p>
    <w:p w14:paraId="442482D6" w14:textId="5F60990F" w:rsidR="0028352A" w:rsidRDefault="0028352A" w:rsidP="000C0105">
      <w:pPr>
        <w:pStyle w:val="Heading"/>
        <w:numPr>
          <w:ilvl w:val="0"/>
          <w:numId w:val="9"/>
        </w:numPr>
        <w:spacing w:after="240"/>
        <w:outlineLvl w:val="0"/>
        <w:rPr>
          <w:rFonts w:ascii="Times New Roman" w:hAnsi="Times New Roman"/>
          <w:b w:val="0"/>
          <w:sz w:val="24"/>
          <w:szCs w:val="24"/>
        </w:rPr>
      </w:pPr>
      <w:r w:rsidRPr="00014BF4">
        <w:rPr>
          <w:rFonts w:ascii="Times New Roman" w:hAnsi="Times New Roman"/>
          <w:sz w:val="24"/>
          <w:szCs w:val="24"/>
        </w:rPr>
        <w:t>Other changes</w:t>
      </w:r>
      <w:r>
        <w:rPr>
          <w:rFonts w:ascii="Times New Roman" w:hAnsi="Times New Roman"/>
          <w:b w:val="0"/>
          <w:sz w:val="24"/>
          <w:szCs w:val="24"/>
        </w:rPr>
        <w:t xml:space="preserve">: </w:t>
      </w:r>
      <w:r w:rsidR="00014BF4">
        <w:rPr>
          <w:rFonts w:ascii="Times New Roman" w:hAnsi="Times New Roman"/>
          <w:b w:val="0"/>
          <w:sz w:val="24"/>
          <w:szCs w:val="24"/>
        </w:rPr>
        <w:t>APS 112</w:t>
      </w:r>
      <w:r w:rsidR="00617C3C">
        <w:rPr>
          <w:rFonts w:ascii="Times New Roman" w:hAnsi="Times New Roman"/>
          <w:b w:val="0"/>
          <w:sz w:val="24"/>
          <w:szCs w:val="24"/>
        </w:rPr>
        <w:t xml:space="preserve"> and APS 113</w:t>
      </w:r>
      <w:r w:rsidR="00014BF4">
        <w:rPr>
          <w:rFonts w:ascii="Times New Roman" w:hAnsi="Times New Roman"/>
          <w:b w:val="0"/>
          <w:sz w:val="24"/>
          <w:szCs w:val="24"/>
        </w:rPr>
        <w:t xml:space="preserve"> </w:t>
      </w:r>
      <w:r w:rsidR="00014BF4" w:rsidRPr="000C0105">
        <w:rPr>
          <w:rFonts w:ascii="Times New Roman" w:hAnsi="Times New Roman"/>
          <w:b w:val="0"/>
          <w:sz w:val="24"/>
          <w:szCs w:val="24"/>
        </w:rPr>
        <w:t xml:space="preserve">include </w:t>
      </w:r>
      <w:proofErr w:type="gramStart"/>
      <w:r w:rsidR="00014BF4" w:rsidRPr="000C0105">
        <w:rPr>
          <w:rFonts w:ascii="Times New Roman" w:hAnsi="Times New Roman"/>
          <w:b w:val="0"/>
          <w:sz w:val="24"/>
          <w:szCs w:val="24"/>
        </w:rPr>
        <w:t>a number of</w:t>
      </w:r>
      <w:proofErr w:type="gramEnd"/>
      <w:r w:rsidR="00014BF4" w:rsidRPr="000C0105">
        <w:rPr>
          <w:rFonts w:ascii="Times New Roman" w:hAnsi="Times New Roman"/>
          <w:b w:val="0"/>
          <w:sz w:val="24"/>
          <w:szCs w:val="24"/>
        </w:rPr>
        <w:t xml:space="preserve"> other changes</w:t>
      </w:r>
      <w:r w:rsidR="00D61CFC">
        <w:rPr>
          <w:rFonts w:ascii="Times New Roman" w:hAnsi="Times New Roman"/>
          <w:b w:val="0"/>
          <w:sz w:val="24"/>
          <w:szCs w:val="24"/>
        </w:rPr>
        <w:t xml:space="preserve">. These changes </w:t>
      </w:r>
      <w:r w:rsidR="00014BF4" w:rsidRPr="000C0105">
        <w:rPr>
          <w:rFonts w:ascii="Times New Roman" w:hAnsi="Times New Roman"/>
          <w:b w:val="0"/>
          <w:sz w:val="24"/>
          <w:szCs w:val="24"/>
        </w:rPr>
        <w:t xml:space="preserve">seek to </w:t>
      </w:r>
      <w:r w:rsidR="00D61CFC">
        <w:rPr>
          <w:rFonts w:ascii="Times New Roman" w:hAnsi="Times New Roman"/>
          <w:b w:val="0"/>
          <w:sz w:val="24"/>
          <w:szCs w:val="24"/>
        </w:rPr>
        <w:t xml:space="preserve">broadly </w:t>
      </w:r>
      <w:r w:rsidR="00014BF4" w:rsidRPr="000C0105">
        <w:rPr>
          <w:rFonts w:ascii="Times New Roman" w:hAnsi="Times New Roman"/>
          <w:b w:val="0"/>
          <w:sz w:val="24"/>
          <w:szCs w:val="24"/>
        </w:rPr>
        <w:t xml:space="preserve">align with the Basel </w:t>
      </w:r>
      <w:r w:rsidR="00617C3C">
        <w:rPr>
          <w:rFonts w:ascii="Times New Roman" w:hAnsi="Times New Roman"/>
          <w:b w:val="0"/>
          <w:sz w:val="24"/>
          <w:szCs w:val="24"/>
        </w:rPr>
        <w:t>Committee’s</w:t>
      </w:r>
      <w:r w:rsidR="00014BF4" w:rsidRPr="000C0105">
        <w:rPr>
          <w:rFonts w:ascii="Times New Roman" w:hAnsi="Times New Roman"/>
          <w:b w:val="0"/>
          <w:sz w:val="24"/>
          <w:szCs w:val="24"/>
        </w:rPr>
        <w:t xml:space="preserve"> segmentation, definitions and calibration</w:t>
      </w:r>
      <w:r w:rsidR="009245BE">
        <w:rPr>
          <w:rFonts w:ascii="Times New Roman" w:hAnsi="Times New Roman"/>
          <w:b w:val="0"/>
          <w:sz w:val="24"/>
          <w:szCs w:val="24"/>
        </w:rPr>
        <w:t xml:space="preserve"> of asset classes</w:t>
      </w:r>
      <w:r w:rsidR="00FF12BB">
        <w:rPr>
          <w:rFonts w:ascii="Times New Roman" w:hAnsi="Times New Roman"/>
          <w:b w:val="0"/>
          <w:sz w:val="24"/>
          <w:szCs w:val="24"/>
        </w:rPr>
        <w:t xml:space="preserve">, </w:t>
      </w:r>
      <w:r w:rsidR="00D61CFC">
        <w:rPr>
          <w:rFonts w:ascii="Times New Roman" w:hAnsi="Times New Roman"/>
          <w:b w:val="0"/>
          <w:sz w:val="24"/>
          <w:szCs w:val="24"/>
        </w:rPr>
        <w:t>however</w:t>
      </w:r>
      <w:r w:rsidR="00FF12BB">
        <w:rPr>
          <w:rFonts w:ascii="Times New Roman" w:hAnsi="Times New Roman"/>
          <w:b w:val="0"/>
          <w:sz w:val="24"/>
          <w:szCs w:val="24"/>
        </w:rPr>
        <w:t xml:space="preserve"> </w:t>
      </w:r>
      <w:r w:rsidR="00D61CFC">
        <w:rPr>
          <w:rFonts w:ascii="Times New Roman" w:hAnsi="Times New Roman"/>
          <w:b w:val="0"/>
          <w:sz w:val="24"/>
          <w:szCs w:val="24"/>
        </w:rPr>
        <w:t>where needed</w:t>
      </w:r>
      <w:r w:rsidR="00FF12BB">
        <w:rPr>
          <w:rFonts w:ascii="Times New Roman" w:hAnsi="Times New Roman"/>
          <w:b w:val="0"/>
          <w:sz w:val="24"/>
          <w:szCs w:val="24"/>
        </w:rPr>
        <w:t xml:space="preserve"> </w:t>
      </w:r>
      <w:r w:rsidR="00D61CFC">
        <w:rPr>
          <w:rFonts w:ascii="Times New Roman" w:hAnsi="Times New Roman"/>
          <w:b w:val="0"/>
          <w:sz w:val="24"/>
          <w:szCs w:val="24"/>
        </w:rPr>
        <w:t xml:space="preserve">the changes </w:t>
      </w:r>
      <w:r w:rsidR="00FF12BB">
        <w:rPr>
          <w:rFonts w:ascii="Times New Roman" w:hAnsi="Times New Roman"/>
          <w:b w:val="0"/>
          <w:sz w:val="24"/>
          <w:szCs w:val="24"/>
        </w:rPr>
        <w:t xml:space="preserve">recognise Australian conditions </w:t>
      </w:r>
      <w:r w:rsidR="008E1783">
        <w:rPr>
          <w:rFonts w:ascii="Times New Roman" w:hAnsi="Times New Roman"/>
          <w:b w:val="0"/>
          <w:sz w:val="24"/>
          <w:szCs w:val="24"/>
        </w:rPr>
        <w:t>and</w:t>
      </w:r>
      <w:r w:rsidR="00FF12BB">
        <w:rPr>
          <w:rFonts w:ascii="Times New Roman" w:hAnsi="Times New Roman"/>
          <w:b w:val="0"/>
          <w:sz w:val="24"/>
          <w:szCs w:val="24"/>
        </w:rPr>
        <w:t xml:space="preserve"> the objectives in the review of the ADI capital framework</w:t>
      </w:r>
      <w:r w:rsidR="00014BF4" w:rsidRPr="000C0105">
        <w:rPr>
          <w:rFonts w:ascii="Times New Roman" w:hAnsi="Times New Roman"/>
          <w:b w:val="0"/>
          <w:sz w:val="24"/>
          <w:szCs w:val="24"/>
        </w:rPr>
        <w:t>.</w:t>
      </w:r>
      <w:r w:rsidR="000C0105">
        <w:rPr>
          <w:rFonts w:ascii="Times New Roman" w:hAnsi="Times New Roman"/>
          <w:b w:val="0"/>
          <w:sz w:val="24"/>
          <w:szCs w:val="24"/>
        </w:rPr>
        <w:t xml:space="preserve"> </w:t>
      </w:r>
      <w:r w:rsidR="00D61CFC">
        <w:rPr>
          <w:rFonts w:ascii="Times New Roman" w:hAnsi="Times New Roman"/>
          <w:b w:val="0"/>
          <w:sz w:val="24"/>
          <w:szCs w:val="24"/>
        </w:rPr>
        <w:t>I</w:t>
      </w:r>
      <w:r w:rsidR="000C0105">
        <w:rPr>
          <w:rFonts w:ascii="Times New Roman" w:hAnsi="Times New Roman"/>
          <w:b w:val="0"/>
          <w:sz w:val="24"/>
          <w:szCs w:val="24"/>
        </w:rPr>
        <w:t xml:space="preserve">ncluded </w:t>
      </w:r>
      <w:r w:rsidR="00D61CFC">
        <w:rPr>
          <w:rFonts w:ascii="Times New Roman" w:hAnsi="Times New Roman"/>
          <w:b w:val="0"/>
          <w:sz w:val="24"/>
          <w:szCs w:val="24"/>
        </w:rPr>
        <w:t xml:space="preserve">in the changes </w:t>
      </w:r>
      <w:r w:rsidR="000C0105">
        <w:rPr>
          <w:rFonts w:ascii="Times New Roman" w:hAnsi="Times New Roman"/>
          <w:b w:val="0"/>
          <w:sz w:val="24"/>
          <w:szCs w:val="24"/>
        </w:rPr>
        <w:t xml:space="preserve">are revisions to the definition of a </w:t>
      </w:r>
      <w:r w:rsidR="003B0399">
        <w:rPr>
          <w:rFonts w:ascii="Times New Roman" w:hAnsi="Times New Roman"/>
          <w:b w:val="0"/>
          <w:sz w:val="24"/>
          <w:szCs w:val="24"/>
        </w:rPr>
        <w:t>‘</w:t>
      </w:r>
      <w:r w:rsidR="000C0105">
        <w:rPr>
          <w:rFonts w:ascii="Times New Roman" w:hAnsi="Times New Roman"/>
          <w:b w:val="0"/>
          <w:sz w:val="24"/>
          <w:szCs w:val="24"/>
        </w:rPr>
        <w:t>commitment</w:t>
      </w:r>
      <w:r w:rsidR="003B0399">
        <w:rPr>
          <w:rFonts w:ascii="Times New Roman" w:hAnsi="Times New Roman"/>
          <w:b w:val="0"/>
          <w:sz w:val="24"/>
          <w:szCs w:val="24"/>
        </w:rPr>
        <w:t>’</w:t>
      </w:r>
      <w:r w:rsidR="00600027">
        <w:rPr>
          <w:rFonts w:ascii="Times New Roman" w:hAnsi="Times New Roman"/>
          <w:b w:val="0"/>
          <w:sz w:val="24"/>
          <w:szCs w:val="24"/>
        </w:rPr>
        <w:t xml:space="preserve"> and the values an ADI must use to convert commitments into on-balance sheet exposures for the purposes of applying capital requirements. APRA’s changes aim to ensure that these exposures are appropriately</w:t>
      </w:r>
      <w:r w:rsidR="00B62549">
        <w:rPr>
          <w:rFonts w:ascii="Times New Roman" w:hAnsi="Times New Roman"/>
          <w:b w:val="0"/>
          <w:sz w:val="24"/>
          <w:szCs w:val="24"/>
        </w:rPr>
        <w:t xml:space="preserve"> accounted for</w:t>
      </w:r>
      <w:r w:rsidR="000953B6">
        <w:rPr>
          <w:rFonts w:ascii="Times New Roman" w:hAnsi="Times New Roman"/>
          <w:b w:val="0"/>
          <w:sz w:val="24"/>
          <w:szCs w:val="24"/>
        </w:rPr>
        <w:t xml:space="preserve"> in the capital standards</w:t>
      </w:r>
      <w:r w:rsidR="00B62549">
        <w:rPr>
          <w:rFonts w:ascii="Times New Roman" w:hAnsi="Times New Roman"/>
          <w:b w:val="0"/>
          <w:sz w:val="24"/>
          <w:szCs w:val="24"/>
        </w:rPr>
        <w:t xml:space="preserve"> to reduce the risk of undue shocks in stress.</w:t>
      </w:r>
    </w:p>
    <w:p w14:paraId="6D2FFB5E" w14:textId="66F92B60" w:rsidR="00B03601" w:rsidRDefault="00B03601" w:rsidP="00B03601">
      <w:pPr>
        <w:pStyle w:val="Heading"/>
        <w:spacing w:after="240"/>
        <w:rPr>
          <w:rFonts w:ascii="Times New Roman" w:hAnsi="Times New Roman"/>
          <w:b w:val="0"/>
          <w:sz w:val="24"/>
          <w:szCs w:val="24"/>
        </w:rPr>
      </w:pPr>
      <w:r w:rsidRPr="00195547">
        <w:rPr>
          <w:rFonts w:ascii="Times New Roman" w:hAnsi="Times New Roman"/>
          <w:b w:val="0"/>
          <w:sz w:val="24"/>
          <w:szCs w:val="24"/>
        </w:rPr>
        <w:t xml:space="preserve">Where </w:t>
      </w:r>
      <w:r>
        <w:rPr>
          <w:rFonts w:ascii="Times New Roman" w:hAnsi="Times New Roman"/>
          <w:b w:val="0"/>
          <w:sz w:val="24"/>
          <w:szCs w:val="24"/>
        </w:rPr>
        <w:t>APS 110, APS 112 and APS 113</w:t>
      </w:r>
      <w:r w:rsidRPr="00195547">
        <w:rPr>
          <w:rFonts w:ascii="Times New Roman" w:hAnsi="Times New Roman"/>
          <w:b w:val="0"/>
          <w:sz w:val="24"/>
          <w:szCs w:val="24"/>
        </w:rPr>
        <w:t xml:space="preserve"> refer to an Act, Regulation or prudential standard, this is a reference to the document as it exists from time to time</w:t>
      </w:r>
      <w:r>
        <w:rPr>
          <w:rFonts w:ascii="Times New Roman" w:hAnsi="Times New Roman"/>
          <w:b w:val="0"/>
          <w:sz w:val="24"/>
          <w:szCs w:val="24"/>
        </w:rPr>
        <w:t>,</w:t>
      </w:r>
      <w:r w:rsidRPr="00C97AB3">
        <w:rPr>
          <w:b w:val="0"/>
          <w:sz w:val="22"/>
          <w:szCs w:val="20"/>
        </w:rPr>
        <w:t xml:space="preserve"> </w:t>
      </w:r>
      <w:r w:rsidRPr="00C97AB3">
        <w:rPr>
          <w:rFonts w:ascii="Times New Roman" w:hAnsi="Times New Roman"/>
          <w:b w:val="0"/>
          <w:sz w:val="24"/>
          <w:szCs w:val="24"/>
        </w:rPr>
        <w:t xml:space="preserve">and </w:t>
      </w:r>
      <w:r>
        <w:rPr>
          <w:rFonts w:ascii="Times New Roman" w:hAnsi="Times New Roman"/>
          <w:b w:val="0"/>
          <w:sz w:val="24"/>
          <w:szCs w:val="24"/>
        </w:rPr>
        <w:t>which is</w:t>
      </w:r>
      <w:r w:rsidRPr="00C97AB3">
        <w:rPr>
          <w:rFonts w:ascii="Times New Roman" w:hAnsi="Times New Roman"/>
          <w:b w:val="0"/>
          <w:sz w:val="24"/>
          <w:szCs w:val="24"/>
        </w:rPr>
        <w:t xml:space="preserve"> available on the Federal Register of Legislation at </w:t>
      </w:r>
      <w:hyperlink r:id="rId13" w:history="1">
        <w:r w:rsidRPr="00C97AB3">
          <w:rPr>
            <w:rStyle w:val="Hyperlink"/>
            <w:rFonts w:ascii="Times New Roman" w:hAnsi="Times New Roman"/>
            <w:b w:val="0"/>
            <w:sz w:val="24"/>
            <w:szCs w:val="24"/>
          </w:rPr>
          <w:t>www.legislation.gov.au</w:t>
        </w:r>
      </w:hyperlink>
      <w:r w:rsidRPr="00195547">
        <w:rPr>
          <w:rFonts w:ascii="Times New Roman" w:hAnsi="Times New Roman"/>
          <w:b w:val="0"/>
          <w:sz w:val="24"/>
          <w:szCs w:val="24"/>
        </w:rPr>
        <w:t>.</w:t>
      </w:r>
    </w:p>
    <w:p w14:paraId="0E0E795F" w14:textId="0001E95B" w:rsidR="00295570" w:rsidRDefault="00295570" w:rsidP="00295570">
      <w:pPr>
        <w:pStyle w:val="Heading"/>
        <w:spacing w:after="240"/>
        <w:rPr>
          <w:rFonts w:ascii="Times New Roman" w:hAnsi="Times New Roman"/>
          <w:b w:val="0"/>
          <w:sz w:val="24"/>
          <w:szCs w:val="24"/>
        </w:rPr>
      </w:pPr>
      <w:r>
        <w:rPr>
          <w:rFonts w:ascii="Times New Roman" w:hAnsi="Times New Roman"/>
          <w:b w:val="0"/>
          <w:sz w:val="24"/>
          <w:szCs w:val="24"/>
        </w:rPr>
        <w:t>APS 110, APS 112 and APS 113 provide for APRA to exercise various discretions. Decisions made by APRA exercising those discretions are not subject to merits review. This is because these decisions are preliminary decisions that may facilitate or lead to substantive decisions which are subject to merits review.</w:t>
      </w:r>
    </w:p>
    <w:p w14:paraId="5C52E716" w14:textId="720FA8BE" w:rsidR="00295570" w:rsidRDefault="00295570" w:rsidP="00295570">
      <w:pPr>
        <w:pStyle w:val="Heading"/>
        <w:spacing w:after="240"/>
        <w:rPr>
          <w:rFonts w:ascii="Times New Roman" w:hAnsi="Times New Roman"/>
          <w:b w:val="0"/>
          <w:sz w:val="24"/>
          <w:szCs w:val="24"/>
        </w:rPr>
      </w:pPr>
      <w:r>
        <w:rPr>
          <w:rFonts w:ascii="Times New Roman" w:hAnsi="Times New Roman"/>
          <w:b w:val="0"/>
          <w:sz w:val="24"/>
          <w:szCs w:val="24"/>
        </w:rPr>
        <w:t xml:space="preserve">A breach of a prudential standard is a breach of the Act, as section 11AG of the Act provides that ADIs must comply with applicable prudential standards. However, there are no penalties prescribed for </w:t>
      </w:r>
      <w:r w:rsidR="00E437B2">
        <w:rPr>
          <w:rFonts w:ascii="Times New Roman" w:hAnsi="Times New Roman"/>
          <w:b w:val="0"/>
          <w:sz w:val="24"/>
          <w:szCs w:val="24"/>
        </w:rPr>
        <w:t xml:space="preserve">such </w:t>
      </w:r>
      <w:r>
        <w:rPr>
          <w:rFonts w:ascii="Times New Roman" w:hAnsi="Times New Roman"/>
          <w:b w:val="0"/>
          <w:sz w:val="24"/>
          <w:szCs w:val="24"/>
        </w:rPr>
        <w:t>breach</w:t>
      </w:r>
      <w:r w:rsidR="00E437B2">
        <w:rPr>
          <w:rFonts w:ascii="Times New Roman" w:hAnsi="Times New Roman"/>
          <w:b w:val="0"/>
          <w:sz w:val="24"/>
          <w:szCs w:val="24"/>
        </w:rPr>
        <w:t>es</w:t>
      </w:r>
      <w:r>
        <w:rPr>
          <w:rFonts w:ascii="Times New Roman" w:hAnsi="Times New Roman"/>
          <w:b w:val="0"/>
          <w:sz w:val="24"/>
          <w:szCs w:val="24"/>
        </w:rPr>
        <w:t xml:space="preserve">. Instead, an ADI’s breach of a provision in the Act is grounds for APRA to make further, substantive decisions under the Act in relation to the ADI. Those decisions are: </w:t>
      </w:r>
    </w:p>
    <w:p w14:paraId="73780BF5" w14:textId="77777777" w:rsidR="00295570" w:rsidRDefault="00295570" w:rsidP="00295570">
      <w:pPr>
        <w:pStyle w:val="Heading"/>
        <w:numPr>
          <w:ilvl w:val="0"/>
          <w:numId w:val="10"/>
        </w:numPr>
        <w:spacing w:after="240"/>
        <w:rPr>
          <w:rFonts w:ascii="Times New Roman" w:hAnsi="Times New Roman"/>
          <w:b w:val="0"/>
          <w:sz w:val="24"/>
          <w:szCs w:val="24"/>
        </w:rPr>
      </w:pPr>
      <w:r>
        <w:rPr>
          <w:rFonts w:ascii="Times New Roman" w:hAnsi="Times New Roman"/>
          <w:b w:val="0"/>
          <w:sz w:val="24"/>
          <w:szCs w:val="24"/>
        </w:rPr>
        <w:t>to revoke an authority to carry on banking business (section 9A of the Act); and</w:t>
      </w:r>
    </w:p>
    <w:p w14:paraId="5F6FB575" w14:textId="77777777" w:rsidR="00295570" w:rsidRDefault="00295570" w:rsidP="00295570">
      <w:pPr>
        <w:pStyle w:val="Heading"/>
        <w:numPr>
          <w:ilvl w:val="0"/>
          <w:numId w:val="10"/>
        </w:numPr>
        <w:spacing w:after="240"/>
        <w:rPr>
          <w:rFonts w:ascii="Times New Roman" w:hAnsi="Times New Roman"/>
          <w:b w:val="0"/>
          <w:sz w:val="24"/>
          <w:szCs w:val="24"/>
        </w:rPr>
      </w:pPr>
      <w:r>
        <w:rPr>
          <w:rFonts w:ascii="Times New Roman" w:hAnsi="Times New Roman"/>
          <w:b w:val="0"/>
          <w:sz w:val="24"/>
          <w:szCs w:val="24"/>
        </w:rPr>
        <w:t>to issue a direction to the ADI, including a direction to comply with the whole or part of a prudential standard (section 11CA of the Act).</w:t>
      </w:r>
    </w:p>
    <w:p w14:paraId="5B91224B" w14:textId="4E0728AD" w:rsidR="00295570" w:rsidRDefault="00295570" w:rsidP="00295570">
      <w:pPr>
        <w:pStyle w:val="Heading"/>
        <w:spacing w:after="240"/>
        <w:rPr>
          <w:rFonts w:ascii="Times New Roman" w:hAnsi="Times New Roman"/>
          <w:b w:val="0"/>
          <w:sz w:val="24"/>
          <w:szCs w:val="24"/>
        </w:rPr>
      </w:pPr>
      <w:r>
        <w:rPr>
          <w:rFonts w:ascii="Times New Roman" w:hAnsi="Times New Roman"/>
          <w:b w:val="0"/>
          <w:sz w:val="24"/>
          <w:szCs w:val="24"/>
        </w:rPr>
        <w:lastRenderedPageBreak/>
        <w:t>It is only at this stage that an ADI is exposed to a penalty: loss of its authority under section 9A or 50 penalty units if it breaches the direction (section 11CG of the Act). In nearly all cases</w:t>
      </w:r>
      <w:r>
        <w:rPr>
          <w:rStyle w:val="FootnoteReference"/>
          <w:rFonts w:ascii="Times New Roman" w:hAnsi="Times New Roman"/>
          <w:b w:val="0"/>
          <w:sz w:val="24"/>
          <w:szCs w:val="24"/>
        </w:rPr>
        <w:footnoteReference w:id="1"/>
      </w:r>
      <w:r>
        <w:rPr>
          <w:rFonts w:ascii="Times New Roman" w:hAnsi="Times New Roman"/>
          <w:b w:val="0"/>
          <w:sz w:val="24"/>
          <w:szCs w:val="24"/>
        </w:rPr>
        <w:t xml:space="preserve"> the decision is preceded by a full consultation with the ADI to raise any concerns it may have in relation to the decision.</w:t>
      </w:r>
    </w:p>
    <w:p w14:paraId="2A1B2981" w14:textId="77777777" w:rsidR="0068356C" w:rsidRDefault="0068356C" w:rsidP="0068356C">
      <w:pPr>
        <w:spacing w:after="240"/>
        <w:jc w:val="both"/>
        <w:rPr>
          <w:rFonts w:ascii="Times New Roman" w:hAnsi="Times New Roman"/>
          <w:sz w:val="24"/>
          <w:szCs w:val="24"/>
        </w:rPr>
      </w:pPr>
      <w:r>
        <w:rPr>
          <w:rFonts w:ascii="Times New Roman" w:hAnsi="Times New Roman"/>
          <w:sz w:val="24"/>
          <w:szCs w:val="24"/>
        </w:rPr>
        <w:t xml:space="preserve">A </w:t>
      </w:r>
      <w:r w:rsidRPr="000E76C9">
        <w:rPr>
          <w:rFonts w:ascii="Times New Roman" w:hAnsi="Times New Roman"/>
          <w:sz w:val="24"/>
          <w:szCs w:val="24"/>
        </w:rPr>
        <w:t xml:space="preserve">decision of APRA to impose a direction </w:t>
      </w:r>
      <w:r>
        <w:rPr>
          <w:rFonts w:ascii="Times New Roman" w:hAnsi="Times New Roman"/>
          <w:sz w:val="24"/>
          <w:szCs w:val="24"/>
        </w:rPr>
        <w:t xml:space="preserve">is </w:t>
      </w:r>
      <w:r w:rsidRPr="000E76C9">
        <w:rPr>
          <w:rFonts w:ascii="Times New Roman" w:hAnsi="Times New Roman"/>
          <w:sz w:val="24"/>
          <w:szCs w:val="24"/>
        </w:rPr>
        <w:t xml:space="preserve">subject to merits review </w:t>
      </w:r>
      <w:r>
        <w:rPr>
          <w:rFonts w:ascii="Times New Roman" w:hAnsi="Times New Roman"/>
          <w:sz w:val="24"/>
          <w:szCs w:val="24"/>
        </w:rPr>
        <w:t xml:space="preserve">under </w:t>
      </w:r>
      <w:r w:rsidRPr="000E76C9">
        <w:rPr>
          <w:rFonts w:ascii="Times New Roman" w:hAnsi="Times New Roman"/>
          <w:sz w:val="24"/>
          <w:szCs w:val="24"/>
        </w:rPr>
        <w:t>s</w:t>
      </w:r>
      <w:r>
        <w:rPr>
          <w:rFonts w:ascii="Times New Roman" w:hAnsi="Times New Roman"/>
          <w:sz w:val="24"/>
          <w:szCs w:val="24"/>
        </w:rPr>
        <w:t xml:space="preserve">ection </w:t>
      </w:r>
      <w:r w:rsidRPr="000E76C9">
        <w:rPr>
          <w:rFonts w:ascii="Times New Roman" w:hAnsi="Times New Roman"/>
          <w:sz w:val="24"/>
          <w:szCs w:val="24"/>
        </w:rPr>
        <w:t xml:space="preserve">11CA </w:t>
      </w:r>
      <w:r>
        <w:rPr>
          <w:rFonts w:ascii="Times New Roman" w:hAnsi="Times New Roman"/>
          <w:sz w:val="24"/>
          <w:szCs w:val="24"/>
        </w:rPr>
        <w:t xml:space="preserve">of the </w:t>
      </w:r>
      <w:r w:rsidRPr="000E76C9">
        <w:rPr>
          <w:rFonts w:ascii="Times New Roman" w:hAnsi="Times New Roman"/>
          <w:sz w:val="24"/>
          <w:szCs w:val="24"/>
        </w:rPr>
        <w:t xml:space="preserve">Act, which is appropriately available at the point where an </w:t>
      </w:r>
      <w:r>
        <w:rPr>
          <w:rFonts w:ascii="Times New Roman" w:hAnsi="Times New Roman"/>
          <w:sz w:val="24"/>
          <w:szCs w:val="24"/>
        </w:rPr>
        <w:t>ADI</w:t>
      </w:r>
      <w:r w:rsidRPr="000E76C9">
        <w:rPr>
          <w:rFonts w:ascii="Times New Roman" w:hAnsi="Times New Roman"/>
          <w:sz w:val="24"/>
          <w:szCs w:val="24"/>
        </w:rPr>
        <w:t xml:space="preserve"> could be exposed to a penalty.</w:t>
      </w:r>
    </w:p>
    <w:p w14:paraId="6F140BE8" w14:textId="77777777" w:rsidR="0068356C" w:rsidRDefault="0068356C" w:rsidP="0068356C">
      <w:pPr>
        <w:spacing w:after="240"/>
        <w:jc w:val="both"/>
        <w:rPr>
          <w:rFonts w:ascii="Times New Roman" w:hAnsi="Times New Roman"/>
          <w:sz w:val="24"/>
          <w:szCs w:val="24"/>
        </w:rPr>
      </w:pPr>
      <w:r w:rsidRPr="002958BD">
        <w:rPr>
          <w:rFonts w:ascii="Times New Roman" w:hAnsi="Times New Roman"/>
          <w:sz w:val="24"/>
          <w:szCs w:val="24"/>
        </w:rPr>
        <w:t xml:space="preserve">A decision </w:t>
      </w:r>
      <w:r>
        <w:rPr>
          <w:rFonts w:ascii="Times New Roman" w:hAnsi="Times New Roman"/>
          <w:sz w:val="24"/>
          <w:szCs w:val="24"/>
        </w:rPr>
        <w:t xml:space="preserve">of APRA </w:t>
      </w:r>
      <w:r w:rsidRPr="002958BD">
        <w:rPr>
          <w:rFonts w:ascii="Times New Roman" w:hAnsi="Times New Roman"/>
          <w:sz w:val="24"/>
          <w:szCs w:val="24"/>
        </w:rPr>
        <w:t xml:space="preserve">to revoke </w:t>
      </w:r>
      <w:r>
        <w:rPr>
          <w:rFonts w:ascii="Times New Roman" w:hAnsi="Times New Roman"/>
          <w:sz w:val="24"/>
          <w:szCs w:val="24"/>
        </w:rPr>
        <w:t xml:space="preserve">an authority </w:t>
      </w:r>
      <w:r w:rsidRPr="002958BD">
        <w:rPr>
          <w:rFonts w:ascii="Times New Roman" w:hAnsi="Times New Roman"/>
          <w:sz w:val="24"/>
          <w:szCs w:val="24"/>
        </w:rPr>
        <w:t xml:space="preserve">under the Act </w:t>
      </w:r>
      <w:r>
        <w:rPr>
          <w:rFonts w:ascii="Times New Roman" w:hAnsi="Times New Roman"/>
          <w:sz w:val="24"/>
          <w:szCs w:val="24"/>
        </w:rPr>
        <w:t xml:space="preserve">is </w:t>
      </w:r>
      <w:r w:rsidRPr="002958BD">
        <w:rPr>
          <w:rFonts w:ascii="Times New Roman" w:hAnsi="Times New Roman"/>
          <w:sz w:val="24"/>
          <w:szCs w:val="24"/>
        </w:rPr>
        <w:t xml:space="preserve">subject to merits review, unless </w:t>
      </w:r>
      <w:r>
        <w:rPr>
          <w:rFonts w:ascii="Times New Roman" w:hAnsi="Times New Roman"/>
          <w:sz w:val="24"/>
          <w:szCs w:val="24"/>
        </w:rPr>
        <w:t>either:</w:t>
      </w:r>
    </w:p>
    <w:p w14:paraId="6F19BF83" w14:textId="77777777" w:rsidR="0068356C" w:rsidRDefault="0068356C" w:rsidP="0068356C">
      <w:pPr>
        <w:pStyle w:val="ListParagraph"/>
        <w:numPr>
          <w:ilvl w:val="0"/>
          <w:numId w:val="14"/>
        </w:numPr>
        <w:spacing w:after="200" w:line="276" w:lineRule="auto"/>
        <w:ind w:left="567" w:hanging="567"/>
        <w:jc w:val="both"/>
        <w:rPr>
          <w:rFonts w:ascii="Times New Roman" w:hAnsi="Times New Roman"/>
          <w:sz w:val="24"/>
          <w:szCs w:val="24"/>
        </w:rPr>
      </w:pPr>
      <w:r w:rsidRPr="00641582">
        <w:rPr>
          <w:rFonts w:ascii="Times New Roman" w:hAnsi="Times New Roman"/>
          <w:sz w:val="24"/>
          <w:szCs w:val="24"/>
        </w:rPr>
        <w:t xml:space="preserve">APRA has determined that access to natural justice and merits review is contrary to the national interest or contrary to the interests of depositors with the </w:t>
      </w:r>
      <w:r>
        <w:rPr>
          <w:rFonts w:ascii="Times New Roman" w:hAnsi="Times New Roman"/>
          <w:sz w:val="24"/>
          <w:szCs w:val="24"/>
        </w:rPr>
        <w:t>ADI</w:t>
      </w:r>
      <w:r w:rsidRPr="00641582">
        <w:rPr>
          <w:rFonts w:ascii="Times New Roman" w:hAnsi="Times New Roman"/>
          <w:sz w:val="24"/>
          <w:szCs w:val="24"/>
        </w:rPr>
        <w:t>; or</w:t>
      </w:r>
    </w:p>
    <w:p w14:paraId="49D4E4B9" w14:textId="77777777" w:rsidR="0068356C" w:rsidRPr="00641582" w:rsidRDefault="0068356C" w:rsidP="0068356C">
      <w:pPr>
        <w:pStyle w:val="ListParagraph"/>
        <w:numPr>
          <w:ilvl w:val="0"/>
          <w:numId w:val="14"/>
        </w:numPr>
        <w:spacing w:after="200" w:line="276" w:lineRule="auto"/>
        <w:ind w:left="567" w:hanging="567"/>
        <w:jc w:val="both"/>
        <w:rPr>
          <w:rFonts w:ascii="Times New Roman" w:hAnsi="Times New Roman"/>
          <w:sz w:val="24"/>
          <w:szCs w:val="24"/>
        </w:rPr>
      </w:pPr>
      <w:r w:rsidRPr="00641582">
        <w:rPr>
          <w:rFonts w:ascii="Times New Roman" w:hAnsi="Times New Roman"/>
          <w:sz w:val="24"/>
          <w:szCs w:val="24"/>
        </w:rPr>
        <w:t>the authority is an authority that is to cease to have effect on a day specified in the authority (s</w:t>
      </w:r>
      <w:r>
        <w:rPr>
          <w:rFonts w:ascii="Times New Roman" w:hAnsi="Times New Roman"/>
          <w:sz w:val="24"/>
          <w:szCs w:val="24"/>
        </w:rPr>
        <w:t xml:space="preserve">ection </w:t>
      </w:r>
      <w:r w:rsidRPr="00641582">
        <w:rPr>
          <w:rFonts w:ascii="Times New Roman" w:hAnsi="Times New Roman"/>
          <w:sz w:val="24"/>
          <w:szCs w:val="24"/>
        </w:rPr>
        <w:t>9</w:t>
      </w:r>
      <w:proofErr w:type="gramStart"/>
      <w:r w:rsidRPr="00641582">
        <w:rPr>
          <w:rFonts w:ascii="Times New Roman" w:hAnsi="Times New Roman"/>
          <w:sz w:val="24"/>
          <w:szCs w:val="24"/>
        </w:rPr>
        <w:t>A(</w:t>
      </w:r>
      <w:proofErr w:type="gramEnd"/>
      <w:r w:rsidRPr="00641582">
        <w:rPr>
          <w:rFonts w:ascii="Times New Roman" w:hAnsi="Times New Roman"/>
          <w:sz w:val="24"/>
          <w:szCs w:val="24"/>
        </w:rPr>
        <w:t>8)</w:t>
      </w:r>
      <w:r>
        <w:rPr>
          <w:rFonts w:ascii="Times New Roman" w:hAnsi="Times New Roman"/>
          <w:sz w:val="24"/>
          <w:szCs w:val="24"/>
        </w:rPr>
        <w:t xml:space="preserve"> of the Act</w:t>
      </w:r>
      <w:r w:rsidRPr="00641582">
        <w:rPr>
          <w:rFonts w:ascii="Times New Roman" w:hAnsi="Times New Roman"/>
          <w:sz w:val="24"/>
          <w:szCs w:val="24"/>
        </w:rPr>
        <w:t>).</w:t>
      </w:r>
    </w:p>
    <w:p w14:paraId="2BA51F5B" w14:textId="77777777" w:rsidR="0068356C" w:rsidRDefault="0068356C" w:rsidP="00295570">
      <w:pPr>
        <w:pStyle w:val="Heading"/>
        <w:spacing w:after="240"/>
        <w:rPr>
          <w:rFonts w:ascii="Times New Roman" w:hAnsi="Times New Roman"/>
          <w:b w:val="0"/>
          <w:sz w:val="24"/>
          <w:szCs w:val="24"/>
        </w:rPr>
      </w:pPr>
    </w:p>
    <w:p w14:paraId="03BE545C" w14:textId="77777777" w:rsidR="002436BD" w:rsidRDefault="002436BD" w:rsidP="00DF7DA0">
      <w:pPr>
        <w:pStyle w:val="Heading"/>
        <w:numPr>
          <w:ilvl w:val="0"/>
          <w:numId w:val="2"/>
        </w:numPr>
        <w:spacing w:after="240"/>
        <w:rPr>
          <w:rFonts w:ascii="Times New Roman" w:hAnsi="Times New Roman"/>
          <w:sz w:val="24"/>
          <w:szCs w:val="24"/>
        </w:rPr>
      </w:pPr>
      <w:bookmarkStart w:id="4" w:name="bkPurpose"/>
      <w:bookmarkStart w:id="5" w:name="bkoperation"/>
      <w:bookmarkStart w:id="6" w:name="bkConsultationNo"/>
      <w:bookmarkEnd w:id="4"/>
      <w:bookmarkEnd w:id="5"/>
      <w:bookmarkEnd w:id="6"/>
      <w:r w:rsidRPr="002C6D26">
        <w:rPr>
          <w:rFonts w:ascii="Times New Roman" w:hAnsi="Times New Roman"/>
          <w:sz w:val="24"/>
          <w:szCs w:val="24"/>
        </w:rPr>
        <w:t>Consultation</w:t>
      </w:r>
    </w:p>
    <w:p w14:paraId="37B6FF8D" w14:textId="384F1C36" w:rsidR="002436BD" w:rsidRPr="00744695" w:rsidRDefault="002436BD" w:rsidP="00DF7DA0">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undertook extensive consultations on its proposed </w:t>
      </w:r>
      <w:r w:rsidR="0083743F">
        <w:rPr>
          <w:rFonts w:ascii="Times New Roman" w:hAnsi="Times New Roman"/>
          <w:b w:val="0"/>
          <w:sz w:val="24"/>
          <w:szCs w:val="24"/>
        </w:rPr>
        <w:t xml:space="preserve">implementation of the ADI </w:t>
      </w:r>
      <w:r w:rsidR="0083743F" w:rsidRPr="00744695">
        <w:rPr>
          <w:rFonts w:ascii="Times New Roman" w:hAnsi="Times New Roman"/>
          <w:b w:val="0"/>
          <w:sz w:val="24"/>
          <w:szCs w:val="24"/>
        </w:rPr>
        <w:t>capital reforms</w:t>
      </w:r>
      <w:r w:rsidRPr="00744695">
        <w:rPr>
          <w:rFonts w:ascii="Times New Roman" w:hAnsi="Times New Roman"/>
          <w:b w:val="0"/>
          <w:sz w:val="24"/>
          <w:szCs w:val="24"/>
        </w:rPr>
        <w:t xml:space="preserve"> between </w:t>
      </w:r>
      <w:r w:rsidR="0083743F" w:rsidRPr="00744695">
        <w:rPr>
          <w:rFonts w:ascii="Times New Roman" w:hAnsi="Times New Roman"/>
          <w:b w:val="0"/>
          <w:sz w:val="24"/>
          <w:szCs w:val="24"/>
        </w:rPr>
        <w:t>February 2018</w:t>
      </w:r>
      <w:r w:rsidRPr="00744695">
        <w:rPr>
          <w:rFonts w:ascii="Times New Roman" w:hAnsi="Times New Roman"/>
          <w:b w:val="0"/>
          <w:sz w:val="24"/>
          <w:szCs w:val="24"/>
        </w:rPr>
        <w:t xml:space="preserve"> to </w:t>
      </w:r>
      <w:r w:rsidR="00EC038F" w:rsidRPr="00744695">
        <w:rPr>
          <w:rFonts w:ascii="Times New Roman" w:hAnsi="Times New Roman"/>
          <w:b w:val="0"/>
          <w:sz w:val="24"/>
          <w:szCs w:val="24"/>
        </w:rPr>
        <w:t>October 2021</w:t>
      </w:r>
      <w:r w:rsidRPr="00744695">
        <w:rPr>
          <w:rFonts w:ascii="Times New Roman" w:hAnsi="Times New Roman"/>
          <w:b w:val="0"/>
          <w:sz w:val="24"/>
          <w:szCs w:val="24"/>
        </w:rPr>
        <w:t xml:space="preserve">. Submissions were received from, and discussions held with, numerous ADIs, industry bodies, and </w:t>
      </w:r>
      <w:r w:rsidR="00EC038F" w:rsidRPr="00744695">
        <w:rPr>
          <w:rFonts w:ascii="Times New Roman" w:hAnsi="Times New Roman"/>
          <w:b w:val="0"/>
          <w:sz w:val="24"/>
          <w:szCs w:val="24"/>
        </w:rPr>
        <w:t>peer regulators</w:t>
      </w:r>
      <w:r w:rsidRPr="00744695">
        <w:rPr>
          <w:rFonts w:ascii="Times New Roman" w:hAnsi="Times New Roman"/>
          <w:b w:val="0"/>
          <w:sz w:val="24"/>
          <w:szCs w:val="24"/>
        </w:rPr>
        <w:t>.</w:t>
      </w:r>
      <w:r w:rsidR="00EC038F" w:rsidRPr="00744695">
        <w:rPr>
          <w:rFonts w:ascii="Times New Roman" w:hAnsi="Times New Roman"/>
          <w:b w:val="0"/>
          <w:sz w:val="24"/>
          <w:szCs w:val="24"/>
        </w:rPr>
        <w:t xml:space="preserve"> </w:t>
      </w:r>
    </w:p>
    <w:p w14:paraId="02768B8F" w14:textId="728A1665" w:rsidR="002436BD" w:rsidRPr="00744695" w:rsidRDefault="00744695" w:rsidP="00DF7DA0">
      <w:pPr>
        <w:pStyle w:val="Heading"/>
        <w:tabs>
          <w:tab w:val="left" w:pos="360"/>
        </w:tabs>
        <w:spacing w:after="240"/>
        <w:rPr>
          <w:rFonts w:ascii="Times New Roman" w:hAnsi="Times New Roman"/>
          <w:b w:val="0"/>
          <w:sz w:val="24"/>
          <w:szCs w:val="24"/>
        </w:rPr>
      </w:pPr>
      <w:r w:rsidRPr="00744695">
        <w:rPr>
          <w:rFonts w:ascii="Times New Roman" w:hAnsi="Times New Roman"/>
          <w:b w:val="0"/>
          <w:sz w:val="24"/>
          <w:szCs w:val="24"/>
        </w:rPr>
        <w:t xml:space="preserve">During consultation, APRA received a range of submissions on the quantum and type of capital buffers, the operation of capital buffers, and the segmentation and calibration of capital requirements across the standardised and IRB approaches. Submissions were broadly supportive of APRA’s objectives but contained </w:t>
      </w:r>
      <w:proofErr w:type="gramStart"/>
      <w:r w:rsidRPr="00744695">
        <w:rPr>
          <w:rFonts w:ascii="Times New Roman" w:hAnsi="Times New Roman"/>
          <w:b w:val="0"/>
          <w:sz w:val="24"/>
          <w:szCs w:val="24"/>
        </w:rPr>
        <w:t>a number of</w:t>
      </w:r>
      <w:proofErr w:type="gramEnd"/>
      <w:r w:rsidRPr="00744695">
        <w:rPr>
          <w:rFonts w:ascii="Times New Roman" w:hAnsi="Times New Roman"/>
          <w:b w:val="0"/>
          <w:sz w:val="24"/>
          <w:szCs w:val="24"/>
        </w:rPr>
        <w:t xml:space="preserve"> suggestions to streamline requirements and support implementation.</w:t>
      </w:r>
    </w:p>
    <w:p w14:paraId="18D49D6E" w14:textId="378FC848" w:rsidR="002436BD" w:rsidRDefault="002436BD" w:rsidP="00DF7DA0">
      <w:pPr>
        <w:pStyle w:val="Heading"/>
        <w:tabs>
          <w:tab w:val="left" w:pos="360"/>
        </w:tabs>
        <w:spacing w:after="240"/>
        <w:rPr>
          <w:rFonts w:ascii="Times New Roman" w:hAnsi="Times New Roman"/>
          <w:b w:val="0"/>
          <w:sz w:val="24"/>
          <w:szCs w:val="24"/>
        </w:rPr>
      </w:pPr>
      <w:proofErr w:type="gramStart"/>
      <w:r>
        <w:rPr>
          <w:rFonts w:ascii="Times New Roman" w:hAnsi="Times New Roman"/>
          <w:b w:val="0"/>
          <w:sz w:val="24"/>
          <w:szCs w:val="24"/>
        </w:rPr>
        <w:t>A number of</w:t>
      </w:r>
      <w:proofErr w:type="gramEnd"/>
      <w:r>
        <w:rPr>
          <w:rFonts w:ascii="Times New Roman" w:hAnsi="Times New Roman"/>
          <w:b w:val="0"/>
          <w:sz w:val="24"/>
          <w:szCs w:val="24"/>
        </w:rPr>
        <w:t xml:space="preserve"> public discussion and response papers were released during </w:t>
      </w:r>
      <w:r w:rsidR="009061DC">
        <w:rPr>
          <w:rFonts w:ascii="Times New Roman" w:hAnsi="Times New Roman"/>
          <w:b w:val="0"/>
          <w:sz w:val="24"/>
          <w:szCs w:val="24"/>
        </w:rPr>
        <w:t xml:space="preserve">and following </w:t>
      </w:r>
      <w:r>
        <w:rPr>
          <w:rFonts w:ascii="Times New Roman" w:hAnsi="Times New Roman"/>
          <w:b w:val="0"/>
          <w:sz w:val="24"/>
          <w:szCs w:val="24"/>
        </w:rPr>
        <w:t>the consultation period</w:t>
      </w:r>
      <w:r w:rsidR="009061DC">
        <w:rPr>
          <w:rFonts w:ascii="Times New Roman" w:hAnsi="Times New Roman"/>
          <w:b w:val="0"/>
          <w:sz w:val="24"/>
          <w:szCs w:val="24"/>
        </w:rPr>
        <w:t>s</w:t>
      </w:r>
      <w:r w:rsidR="00983005">
        <w:rPr>
          <w:rFonts w:ascii="Times New Roman" w:hAnsi="Times New Roman"/>
          <w:b w:val="0"/>
          <w:sz w:val="24"/>
          <w:szCs w:val="24"/>
        </w:rPr>
        <w:t>, with draft standards accompanying the June 2019 and December 2020 response papers</w:t>
      </w:r>
      <w:r>
        <w:rPr>
          <w:rFonts w:ascii="Times New Roman" w:hAnsi="Times New Roman"/>
          <w:b w:val="0"/>
          <w:sz w:val="24"/>
          <w:szCs w:val="24"/>
        </w:rPr>
        <w:t>:</w:t>
      </w:r>
      <w:r w:rsidR="00281A6F">
        <w:rPr>
          <w:rStyle w:val="FootnoteReference"/>
          <w:rFonts w:ascii="Times New Roman" w:hAnsi="Times New Roman"/>
          <w:b w:val="0"/>
          <w:sz w:val="24"/>
          <w:szCs w:val="24"/>
        </w:rPr>
        <w:footnoteReference w:id="2"/>
      </w:r>
    </w:p>
    <w:p w14:paraId="1619FB5B" w14:textId="615EF649" w:rsidR="00744695" w:rsidRDefault="00744695" w:rsidP="00DF7DA0">
      <w:pPr>
        <w:pStyle w:val="Heading"/>
        <w:numPr>
          <w:ilvl w:val="0"/>
          <w:numId w:val="3"/>
        </w:numPr>
        <w:spacing w:after="240"/>
        <w:rPr>
          <w:rFonts w:ascii="Times New Roman" w:hAnsi="Times New Roman"/>
          <w:b w:val="0"/>
          <w:sz w:val="24"/>
          <w:szCs w:val="24"/>
        </w:rPr>
      </w:pPr>
      <w:r w:rsidRPr="00744695">
        <w:rPr>
          <w:rFonts w:ascii="Times New Roman" w:hAnsi="Times New Roman"/>
          <w:b w:val="0"/>
          <w:sz w:val="24"/>
          <w:szCs w:val="24"/>
        </w:rPr>
        <w:t>February 2018</w:t>
      </w:r>
      <w:r>
        <w:rPr>
          <w:rFonts w:ascii="Times New Roman" w:hAnsi="Times New Roman"/>
          <w:b w:val="0"/>
          <w:sz w:val="24"/>
          <w:szCs w:val="24"/>
        </w:rPr>
        <w:t>:</w:t>
      </w:r>
      <w:r w:rsidRPr="00744695">
        <w:rPr>
          <w:rFonts w:ascii="Times New Roman" w:hAnsi="Times New Roman"/>
          <w:b w:val="0"/>
          <w:sz w:val="24"/>
          <w:szCs w:val="24"/>
        </w:rPr>
        <w:t xml:space="preserve"> </w:t>
      </w:r>
      <w:r>
        <w:rPr>
          <w:rFonts w:ascii="Times New Roman" w:hAnsi="Times New Roman"/>
          <w:b w:val="0"/>
          <w:sz w:val="24"/>
          <w:szCs w:val="24"/>
        </w:rPr>
        <w:t>D</w:t>
      </w:r>
      <w:r w:rsidRPr="00744695">
        <w:rPr>
          <w:rFonts w:ascii="Times New Roman" w:hAnsi="Times New Roman"/>
          <w:b w:val="0"/>
          <w:sz w:val="24"/>
          <w:szCs w:val="24"/>
        </w:rPr>
        <w:t xml:space="preserve">iscussion paper </w:t>
      </w:r>
      <w:r w:rsidRPr="00744695">
        <w:rPr>
          <w:rFonts w:ascii="Times New Roman" w:hAnsi="Times New Roman"/>
          <w:b w:val="0"/>
          <w:i/>
          <w:sz w:val="24"/>
          <w:szCs w:val="24"/>
        </w:rPr>
        <w:t>Revisions to the capital framework for ADIs</w:t>
      </w:r>
      <w:r w:rsidR="00C410CB">
        <w:rPr>
          <w:rFonts w:ascii="Times New Roman" w:hAnsi="Times New Roman"/>
          <w:b w:val="0"/>
          <w:i/>
          <w:sz w:val="24"/>
          <w:szCs w:val="24"/>
        </w:rPr>
        <w:t>;</w:t>
      </w:r>
      <w:r w:rsidRPr="00744695">
        <w:rPr>
          <w:rFonts w:ascii="Times New Roman" w:hAnsi="Times New Roman"/>
          <w:b w:val="0"/>
          <w:sz w:val="24"/>
          <w:szCs w:val="24"/>
        </w:rPr>
        <w:t xml:space="preserve"> </w:t>
      </w:r>
    </w:p>
    <w:p w14:paraId="76E61421" w14:textId="131B3553" w:rsidR="00744695" w:rsidRPr="00744695" w:rsidRDefault="00744695" w:rsidP="00DF7DA0">
      <w:pPr>
        <w:pStyle w:val="Heading"/>
        <w:numPr>
          <w:ilvl w:val="0"/>
          <w:numId w:val="3"/>
        </w:numPr>
        <w:spacing w:after="240"/>
        <w:rPr>
          <w:rFonts w:ascii="Times New Roman" w:hAnsi="Times New Roman"/>
          <w:b w:val="0"/>
          <w:sz w:val="24"/>
          <w:szCs w:val="24"/>
        </w:rPr>
      </w:pPr>
      <w:r>
        <w:rPr>
          <w:rFonts w:ascii="Times New Roman" w:hAnsi="Times New Roman"/>
          <w:b w:val="0"/>
          <w:sz w:val="24"/>
          <w:szCs w:val="24"/>
        </w:rPr>
        <w:t>August 2018: D</w:t>
      </w:r>
      <w:r w:rsidRPr="00744695">
        <w:rPr>
          <w:rFonts w:ascii="Times New Roman" w:hAnsi="Times New Roman"/>
          <w:b w:val="0"/>
          <w:sz w:val="24"/>
          <w:szCs w:val="24"/>
        </w:rPr>
        <w:t xml:space="preserve">iscussion paper </w:t>
      </w:r>
      <w:r w:rsidRPr="00744695">
        <w:rPr>
          <w:rFonts w:ascii="Times New Roman" w:hAnsi="Times New Roman"/>
          <w:b w:val="0"/>
          <w:i/>
          <w:sz w:val="24"/>
          <w:szCs w:val="24"/>
        </w:rPr>
        <w:t>Improving the transparency</w:t>
      </w:r>
      <w:r>
        <w:rPr>
          <w:rFonts w:ascii="Times New Roman" w:hAnsi="Times New Roman"/>
          <w:b w:val="0"/>
          <w:i/>
          <w:sz w:val="24"/>
          <w:szCs w:val="24"/>
        </w:rPr>
        <w:t>,</w:t>
      </w:r>
      <w:r w:rsidRPr="00744695">
        <w:rPr>
          <w:rFonts w:ascii="Times New Roman" w:hAnsi="Times New Roman"/>
          <w:b w:val="0"/>
          <w:i/>
          <w:sz w:val="24"/>
          <w:szCs w:val="24"/>
        </w:rPr>
        <w:t xml:space="preserve"> comparability and flexibility of the ADI capital framework</w:t>
      </w:r>
      <w:r w:rsidR="00C410CB">
        <w:rPr>
          <w:rFonts w:ascii="Times New Roman" w:hAnsi="Times New Roman"/>
          <w:b w:val="0"/>
          <w:i/>
          <w:sz w:val="24"/>
          <w:szCs w:val="24"/>
        </w:rPr>
        <w:t>;</w:t>
      </w:r>
    </w:p>
    <w:p w14:paraId="4B520EF5" w14:textId="7AEED0A4" w:rsidR="00744695" w:rsidRDefault="00744695" w:rsidP="00DF7DA0">
      <w:pPr>
        <w:pStyle w:val="Heading"/>
        <w:numPr>
          <w:ilvl w:val="0"/>
          <w:numId w:val="3"/>
        </w:numPr>
        <w:spacing w:after="240"/>
        <w:rPr>
          <w:rFonts w:ascii="Times New Roman" w:hAnsi="Times New Roman"/>
          <w:b w:val="0"/>
          <w:i/>
          <w:sz w:val="24"/>
          <w:szCs w:val="24"/>
        </w:rPr>
      </w:pPr>
      <w:r>
        <w:rPr>
          <w:rFonts w:ascii="Times New Roman" w:hAnsi="Times New Roman"/>
          <w:b w:val="0"/>
          <w:sz w:val="24"/>
          <w:szCs w:val="24"/>
        </w:rPr>
        <w:t>June 2019: Response paper</w:t>
      </w:r>
      <w:r w:rsidR="00C410CB">
        <w:rPr>
          <w:rFonts w:ascii="Times New Roman" w:hAnsi="Times New Roman"/>
          <w:b w:val="0"/>
          <w:sz w:val="24"/>
          <w:szCs w:val="24"/>
        </w:rPr>
        <w:t xml:space="preserve"> </w:t>
      </w:r>
      <w:r w:rsidR="00C410CB" w:rsidRPr="00C410CB">
        <w:rPr>
          <w:rFonts w:ascii="Times New Roman" w:hAnsi="Times New Roman"/>
          <w:b w:val="0"/>
          <w:i/>
          <w:sz w:val="24"/>
          <w:szCs w:val="24"/>
        </w:rPr>
        <w:t>Revisions to the Capital Framework for ADIs</w:t>
      </w:r>
      <w:r w:rsidR="00C410CB">
        <w:rPr>
          <w:rFonts w:ascii="Times New Roman" w:hAnsi="Times New Roman"/>
          <w:b w:val="0"/>
          <w:i/>
          <w:sz w:val="24"/>
          <w:szCs w:val="24"/>
        </w:rPr>
        <w:t>;</w:t>
      </w:r>
    </w:p>
    <w:p w14:paraId="53CCE87D" w14:textId="54DE01C0" w:rsidR="00C410CB" w:rsidRDefault="00C410CB" w:rsidP="00DF7DA0">
      <w:pPr>
        <w:pStyle w:val="Heading"/>
        <w:numPr>
          <w:ilvl w:val="0"/>
          <w:numId w:val="3"/>
        </w:numPr>
        <w:spacing w:after="240"/>
        <w:rPr>
          <w:rFonts w:ascii="Times New Roman" w:hAnsi="Times New Roman"/>
          <w:b w:val="0"/>
          <w:i/>
          <w:sz w:val="24"/>
          <w:szCs w:val="24"/>
        </w:rPr>
      </w:pPr>
      <w:r>
        <w:rPr>
          <w:rFonts w:ascii="Times New Roman" w:hAnsi="Times New Roman"/>
          <w:b w:val="0"/>
          <w:sz w:val="24"/>
          <w:szCs w:val="24"/>
        </w:rPr>
        <w:t xml:space="preserve">December 2020: Response paper </w:t>
      </w:r>
      <w:r w:rsidRPr="00C410CB">
        <w:rPr>
          <w:rFonts w:ascii="Times New Roman" w:hAnsi="Times New Roman"/>
          <w:b w:val="0"/>
          <w:i/>
          <w:sz w:val="24"/>
          <w:szCs w:val="24"/>
        </w:rPr>
        <w:t>A more flexible and resilient capital framework for ADIs</w:t>
      </w:r>
      <w:r w:rsidR="009061DC">
        <w:rPr>
          <w:rFonts w:ascii="Times New Roman" w:hAnsi="Times New Roman"/>
          <w:b w:val="0"/>
          <w:i/>
          <w:sz w:val="24"/>
          <w:szCs w:val="24"/>
        </w:rPr>
        <w:t>;</w:t>
      </w:r>
    </w:p>
    <w:p w14:paraId="63F5F2D9" w14:textId="5C91E372" w:rsidR="009061DC" w:rsidRPr="009061DC" w:rsidRDefault="009061DC" w:rsidP="00DF7DA0">
      <w:pPr>
        <w:pStyle w:val="Heading"/>
        <w:numPr>
          <w:ilvl w:val="0"/>
          <w:numId w:val="3"/>
        </w:numPr>
        <w:spacing w:after="240"/>
        <w:rPr>
          <w:rFonts w:ascii="Times New Roman" w:hAnsi="Times New Roman"/>
          <w:b w:val="0"/>
          <w:sz w:val="24"/>
          <w:szCs w:val="24"/>
        </w:rPr>
      </w:pPr>
      <w:r w:rsidRPr="009061DC">
        <w:rPr>
          <w:rFonts w:ascii="Times New Roman" w:hAnsi="Times New Roman"/>
          <w:b w:val="0"/>
          <w:sz w:val="24"/>
          <w:szCs w:val="24"/>
        </w:rPr>
        <w:lastRenderedPageBreak/>
        <w:t xml:space="preserve">November </w:t>
      </w:r>
      <w:r>
        <w:rPr>
          <w:rFonts w:ascii="Times New Roman" w:hAnsi="Times New Roman"/>
          <w:b w:val="0"/>
          <w:sz w:val="24"/>
          <w:szCs w:val="24"/>
        </w:rPr>
        <w:t xml:space="preserve">2021: Response paper </w:t>
      </w:r>
      <w:r>
        <w:rPr>
          <w:rFonts w:ascii="Times New Roman" w:hAnsi="Times New Roman"/>
          <w:b w:val="0"/>
          <w:i/>
          <w:sz w:val="24"/>
          <w:szCs w:val="24"/>
        </w:rPr>
        <w:t xml:space="preserve">Finalising Bank Capital Reforms </w:t>
      </w:r>
      <w:r>
        <w:rPr>
          <w:rFonts w:ascii="Times New Roman" w:hAnsi="Times New Roman"/>
          <w:b w:val="0"/>
          <w:sz w:val="24"/>
          <w:szCs w:val="24"/>
        </w:rPr>
        <w:t xml:space="preserve">and </w:t>
      </w:r>
      <w:r w:rsidRPr="009061DC">
        <w:rPr>
          <w:rFonts w:ascii="Times New Roman" w:hAnsi="Times New Roman"/>
          <w:b w:val="0"/>
          <w:sz w:val="24"/>
          <w:szCs w:val="24"/>
        </w:rPr>
        <w:t>Information Paper</w:t>
      </w:r>
      <w:r>
        <w:rPr>
          <w:rFonts w:ascii="Times New Roman" w:hAnsi="Times New Roman"/>
          <w:b w:val="0"/>
          <w:sz w:val="24"/>
          <w:szCs w:val="24"/>
        </w:rPr>
        <w:t xml:space="preserve"> </w:t>
      </w:r>
      <w:proofErr w:type="gramStart"/>
      <w:r>
        <w:rPr>
          <w:rFonts w:ascii="Times New Roman" w:hAnsi="Times New Roman"/>
          <w:b w:val="0"/>
          <w:i/>
          <w:sz w:val="24"/>
          <w:szCs w:val="24"/>
        </w:rPr>
        <w:t>An</w:t>
      </w:r>
      <w:proofErr w:type="gramEnd"/>
      <w:r>
        <w:rPr>
          <w:rFonts w:ascii="Times New Roman" w:hAnsi="Times New Roman"/>
          <w:b w:val="0"/>
          <w:i/>
          <w:sz w:val="24"/>
          <w:szCs w:val="24"/>
        </w:rPr>
        <w:t xml:space="preserve"> Unquestionably Strong Framework for Bank Capital; </w:t>
      </w:r>
      <w:r w:rsidR="00C712A5">
        <w:rPr>
          <w:rFonts w:ascii="Times New Roman" w:hAnsi="Times New Roman"/>
          <w:b w:val="0"/>
          <w:sz w:val="24"/>
          <w:szCs w:val="24"/>
        </w:rPr>
        <w:t>and</w:t>
      </w:r>
    </w:p>
    <w:p w14:paraId="19B96B83" w14:textId="2D5CEE13" w:rsidR="009061DC" w:rsidRPr="009061DC" w:rsidRDefault="009061DC" w:rsidP="00DF7DA0">
      <w:pPr>
        <w:pStyle w:val="Heading"/>
        <w:numPr>
          <w:ilvl w:val="0"/>
          <w:numId w:val="3"/>
        </w:numPr>
        <w:spacing w:after="240"/>
        <w:rPr>
          <w:rFonts w:ascii="Times New Roman" w:hAnsi="Times New Roman"/>
          <w:b w:val="0"/>
          <w:sz w:val="24"/>
          <w:szCs w:val="24"/>
        </w:rPr>
      </w:pPr>
      <w:r>
        <w:rPr>
          <w:rFonts w:ascii="Times New Roman" w:hAnsi="Times New Roman"/>
          <w:b w:val="0"/>
          <w:sz w:val="24"/>
          <w:szCs w:val="24"/>
        </w:rPr>
        <w:t xml:space="preserve">July 2022: Response paper </w:t>
      </w:r>
      <w:r>
        <w:rPr>
          <w:rFonts w:ascii="Times New Roman" w:hAnsi="Times New Roman"/>
          <w:b w:val="0"/>
          <w:i/>
          <w:sz w:val="24"/>
          <w:szCs w:val="24"/>
        </w:rPr>
        <w:t>Finalising Bank Capital Guidance</w:t>
      </w:r>
    </w:p>
    <w:p w14:paraId="7214CE46" w14:textId="77777777" w:rsidR="002436BD" w:rsidRDefault="00DF524E" w:rsidP="00DF7DA0">
      <w:pPr>
        <w:pStyle w:val="Heading"/>
        <w:tabs>
          <w:tab w:val="left" w:pos="360"/>
        </w:tabs>
        <w:spacing w:after="240"/>
        <w:rPr>
          <w:rFonts w:ascii="Times New Roman" w:hAnsi="Times New Roman"/>
          <w:sz w:val="24"/>
          <w:szCs w:val="24"/>
        </w:rPr>
      </w:pPr>
      <w:bookmarkStart w:id="7" w:name="bkConsultation"/>
      <w:bookmarkStart w:id="8" w:name="bkRISNO"/>
      <w:bookmarkStart w:id="9" w:name="bkRIS"/>
      <w:bookmarkEnd w:id="7"/>
      <w:bookmarkEnd w:id="8"/>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9"/>
    <w:p w14:paraId="7CEDCD83" w14:textId="0B5C85C8" w:rsidR="008B55A3" w:rsidRDefault="00753F6E" w:rsidP="00BB09BB">
      <w:pPr>
        <w:jc w:val="both"/>
        <w:rPr>
          <w:rFonts w:ascii="Times New Roman" w:hAnsi="Times New Roman"/>
          <w:sz w:val="24"/>
          <w:szCs w:val="24"/>
        </w:rPr>
      </w:pPr>
      <w:r w:rsidRPr="00FD005A">
        <w:rPr>
          <w:rFonts w:ascii="Times New Roman" w:hAnsi="Times New Roman"/>
          <w:sz w:val="24"/>
          <w:szCs w:val="24"/>
        </w:rPr>
        <w:t xml:space="preserve">In </w:t>
      </w:r>
      <w:r>
        <w:rPr>
          <w:rFonts w:ascii="Times New Roman" w:hAnsi="Times New Roman"/>
          <w:sz w:val="24"/>
          <w:szCs w:val="24"/>
        </w:rPr>
        <w:t>revising APS 110, APS 112 and APS 113</w:t>
      </w:r>
      <w:r w:rsidRPr="00FD005A">
        <w:rPr>
          <w:rFonts w:ascii="Times New Roman" w:hAnsi="Times New Roman"/>
          <w:sz w:val="24"/>
          <w:szCs w:val="24"/>
        </w:rPr>
        <w:t xml:space="preserve">, APRA has followed a similar process to that required for a Regulation Impact Statement (RIS), which satisfies the Office of </w:t>
      </w:r>
      <w:r w:rsidR="00B97A7A">
        <w:rPr>
          <w:rFonts w:ascii="Times New Roman" w:hAnsi="Times New Roman"/>
          <w:sz w:val="24"/>
          <w:szCs w:val="24"/>
        </w:rPr>
        <w:t>Impact Analysis</w:t>
      </w:r>
      <w:r w:rsidRPr="00FD005A">
        <w:rPr>
          <w:rFonts w:ascii="Times New Roman" w:hAnsi="Times New Roman"/>
          <w:sz w:val="24"/>
          <w:szCs w:val="24"/>
        </w:rPr>
        <w:t xml:space="preserve">’s requirements. APRA’s policy development process </w:t>
      </w:r>
      <w:r w:rsidR="005006D1">
        <w:rPr>
          <w:rFonts w:ascii="Times New Roman" w:hAnsi="Times New Roman"/>
          <w:sz w:val="24"/>
          <w:szCs w:val="24"/>
        </w:rPr>
        <w:t xml:space="preserve">is evidenced in Annex D of </w:t>
      </w:r>
      <w:r w:rsidR="005006D1">
        <w:rPr>
          <w:rFonts w:ascii="Times New Roman" w:hAnsi="Times New Roman"/>
          <w:i/>
          <w:sz w:val="24"/>
          <w:szCs w:val="24"/>
        </w:rPr>
        <w:t>Response to Submissions – Finalising the Bank Capital Reforms</w:t>
      </w:r>
      <w:r w:rsidR="005006D1">
        <w:rPr>
          <w:rFonts w:ascii="Times New Roman" w:hAnsi="Times New Roman"/>
          <w:sz w:val="24"/>
          <w:szCs w:val="24"/>
        </w:rPr>
        <w:t>, published 29 November 2021.</w:t>
      </w:r>
      <w:r w:rsidR="005006D1">
        <w:rPr>
          <w:rStyle w:val="FootnoteReference"/>
          <w:rFonts w:ascii="Times New Roman" w:hAnsi="Times New Roman"/>
          <w:sz w:val="24"/>
          <w:szCs w:val="24"/>
        </w:rPr>
        <w:footnoteReference w:id="3"/>
      </w:r>
      <w:r w:rsidR="005006D1">
        <w:rPr>
          <w:rFonts w:ascii="Times New Roman" w:hAnsi="Times New Roman"/>
          <w:sz w:val="24"/>
          <w:szCs w:val="24"/>
        </w:rPr>
        <w:t xml:space="preserve"> An extract of Annex D has been lodged as supporting material.</w:t>
      </w:r>
    </w:p>
    <w:p w14:paraId="66776C91" w14:textId="77777777" w:rsidR="00BB0C80" w:rsidRDefault="00BB0C80" w:rsidP="00BB0C80">
      <w:pPr>
        <w:rPr>
          <w:rFonts w:ascii="Times New Roman" w:hAnsi="Times New Roman"/>
          <w:sz w:val="24"/>
          <w:szCs w:val="24"/>
        </w:rPr>
      </w:pPr>
    </w:p>
    <w:p w14:paraId="401F3907" w14:textId="195F6D38" w:rsidR="002436BD" w:rsidRPr="00B3165F" w:rsidRDefault="00DF524E" w:rsidP="00DF7DA0">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27637A">
        <w:rPr>
          <w:rFonts w:ascii="Times New Roman" w:hAnsi="Times New Roman"/>
          <w:i/>
          <w:sz w:val="24"/>
          <w:szCs w:val="24"/>
        </w:rPr>
        <w:t>Human Rights (Parliamentary Scrutiny) Act 2011</w:t>
      </w:r>
    </w:p>
    <w:p w14:paraId="6A77C0B2" w14:textId="55A98E5C" w:rsidR="00BB0C80" w:rsidRDefault="0030506B" w:rsidP="008B55A3">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w:t>
      </w:r>
      <w:r w:rsidR="000B3CB4">
        <w:rPr>
          <w:rFonts w:ascii="Times New Roman" w:hAnsi="Times New Roman"/>
          <w:b w:val="0"/>
          <w:sz w:val="24"/>
          <w:szCs w:val="24"/>
        </w:rPr>
        <w:t>s</w:t>
      </w:r>
      <w:r w:rsidRPr="0030506B">
        <w:rPr>
          <w:rFonts w:ascii="Times New Roman" w:hAnsi="Times New Roman"/>
          <w:b w:val="0"/>
          <w:sz w:val="24"/>
          <w:szCs w:val="24"/>
        </w:rPr>
        <w:t xml:space="preserve">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r w:rsidR="00BB0C80">
        <w:rPr>
          <w:rFonts w:ascii="Times New Roman" w:hAnsi="Times New Roman"/>
          <w:b w:val="0"/>
          <w:sz w:val="24"/>
          <w:szCs w:val="24"/>
        </w:rPr>
        <w:br w:type="page"/>
      </w:r>
    </w:p>
    <w:p w14:paraId="144EE39A" w14:textId="77777777" w:rsidR="001C505D" w:rsidRPr="004D5A79" w:rsidRDefault="001C505D" w:rsidP="00453E60">
      <w:pPr>
        <w:spacing w:after="360"/>
        <w:jc w:val="both"/>
        <w:outlineLvl w:val="0"/>
        <w:rPr>
          <w:rFonts w:ascii="Times New Roman" w:hAnsi="Times New Roman"/>
          <w:sz w:val="24"/>
          <w:szCs w:val="24"/>
          <w:u w:val="single"/>
        </w:rPr>
      </w:pPr>
      <w:r w:rsidRPr="004D5A79">
        <w:rPr>
          <w:rFonts w:ascii="Times New Roman" w:hAnsi="Times New Roman"/>
          <w:sz w:val="24"/>
          <w:szCs w:val="24"/>
          <w:u w:val="single"/>
        </w:rPr>
        <w:lastRenderedPageBreak/>
        <w:t>ATTACHMENT A</w:t>
      </w:r>
    </w:p>
    <w:p w14:paraId="317E4384" w14:textId="77777777" w:rsidR="001C505D" w:rsidRPr="004D5A79" w:rsidRDefault="001C505D" w:rsidP="00A356E2">
      <w:pPr>
        <w:shd w:val="clear" w:color="auto" w:fill="FFFFFF"/>
        <w:spacing w:before="100" w:beforeAutospacing="1" w:after="240"/>
        <w:jc w:val="center"/>
        <w:rPr>
          <w:rFonts w:ascii="Times New Roman" w:hAnsi="Times New Roman"/>
          <w:sz w:val="24"/>
          <w:szCs w:val="24"/>
          <w:lang w:val="en-US"/>
        </w:rPr>
      </w:pPr>
      <w:r w:rsidRPr="004D5A79">
        <w:rPr>
          <w:rFonts w:ascii="Times New Roman" w:hAnsi="Times New Roman"/>
          <w:b/>
          <w:bCs/>
          <w:sz w:val="24"/>
          <w:szCs w:val="24"/>
        </w:rPr>
        <w:t>Statement of Compatibility with Human Rights</w:t>
      </w:r>
    </w:p>
    <w:p w14:paraId="53F0FE1C" w14:textId="77777777" w:rsidR="001C505D" w:rsidRPr="004D5A79" w:rsidRDefault="001C505D" w:rsidP="00A356E2">
      <w:pPr>
        <w:shd w:val="clear" w:color="auto" w:fill="FFFFFF"/>
        <w:spacing w:before="100" w:beforeAutospacing="1" w:after="240"/>
        <w:jc w:val="center"/>
        <w:rPr>
          <w:rFonts w:ascii="Times New Roman" w:hAnsi="Times New Roman"/>
          <w:sz w:val="24"/>
          <w:szCs w:val="24"/>
          <w:lang w:val="en-US"/>
        </w:rPr>
      </w:pPr>
      <w:r w:rsidRPr="004D5A79">
        <w:rPr>
          <w:rFonts w:ascii="Times New Roman" w:hAnsi="Times New Roman"/>
          <w:sz w:val="24"/>
          <w:szCs w:val="24"/>
        </w:rPr>
        <w:t xml:space="preserve">Prepared in accordance with Part 3 of the </w:t>
      </w:r>
      <w:r w:rsidRPr="004D5A79">
        <w:rPr>
          <w:rFonts w:ascii="Times New Roman" w:hAnsi="Times New Roman"/>
          <w:i/>
          <w:iCs/>
          <w:sz w:val="24"/>
          <w:szCs w:val="24"/>
        </w:rPr>
        <w:t>Human Rights (Parliamentary Scrutiny) Act 2011</w:t>
      </w:r>
    </w:p>
    <w:p w14:paraId="6E55B844" w14:textId="77777777" w:rsidR="0027637A" w:rsidRPr="002C6D26" w:rsidRDefault="0027637A" w:rsidP="0027637A">
      <w:pPr>
        <w:pStyle w:val="Heading"/>
        <w:spacing w:after="240"/>
        <w:jc w:val="center"/>
        <w:rPr>
          <w:rFonts w:ascii="Times New Roman" w:hAnsi="Times New Roman"/>
          <w:sz w:val="24"/>
          <w:szCs w:val="24"/>
        </w:rPr>
      </w:pPr>
      <w:r w:rsidRPr="002C6D26">
        <w:rPr>
          <w:rFonts w:ascii="Times New Roman" w:hAnsi="Times New Roman"/>
          <w:sz w:val="24"/>
          <w:szCs w:val="24"/>
        </w:rPr>
        <w:t>Banking (prudential standard) determination</w:t>
      </w:r>
      <w:r>
        <w:rPr>
          <w:rFonts w:ascii="Times New Roman" w:hAnsi="Times New Roman"/>
          <w:sz w:val="24"/>
          <w:szCs w:val="24"/>
        </w:rPr>
        <w:t>s</w:t>
      </w:r>
      <w:r w:rsidRPr="002C6D26">
        <w:rPr>
          <w:rFonts w:ascii="Times New Roman" w:hAnsi="Times New Roman"/>
          <w:sz w:val="24"/>
          <w:szCs w:val="24"/>
        </w:rPr>
        <w:t xml:space="preserve"> No</w:t>
      </w:r>
      <w:r>
        <w:rPr>
          <w:rFonts w:ascii="Times New Roman" w:hAnsi="Times New Roman"/>
          <w:sz w:val="24"/>
          <w:szCs w:val="24"/>
        </w:rPr>
        <w:t>s</w:t>
      </w:r>
      <w:r w:rsidRPr="002C6D26">
        <w:rPr>
          <w:rFonts w:ascii="Times New Roman" w:hAnsi="Times New Roman"/>
          <w:sz w:val="24"/>
          <w:szCs w:val="24"/>
        </w:rPr>
        <w:t xml:space="preserve">. </w:t>
      </w:r>
      <w:r>
        <w:rPr>
          <w:rFonts w:ascii="Times New Roman" w:hAnsi="Times New Roman"/>
          <w:sz w:val="24"/>
          <w:szCs w:val="24"/>
        </w:rPr>
        <w:t xml:space="preserve">4, 6 and 7 </w:t>
      </w:r>
      <w:r w:rsidRPr="002C6D26">
        <w:rPr>
          <w:rFonts w:ascii="Times New Roman" w:hAnsi="Times New Roman"/>
          <w:sz w:val="24"/>
          <w:szCs w:val="24"/>
        </w:rPr>
        <w:t>of 20</w:t>
      </w:r>
      <w:r>
        <w:rPr>
          <w:rFonts w:ascii="Times New Roman" w:hAnsi="Times New Roman"/>
          <w:sz w:val="24"/>
          <w:szCs w:val="24"/>
        </w:rPr>
        <w:t>22</w:t>
      </w:r>
    </w:p>
    <w:p w14:paraId="51B2217F" w14:textId="26B7EEB7" w:rsidR="001C505D" w:rsidRPr="00FD005A" w:rsidRDefault="001C505D" w:rsidP="00453E60">
      <w:pPr>
        <w:shd w:val="clear" w:color="auto" w:fill="FFFFFF"/>
        <w:spacing w:before="100" w:beforeAutospacing="1" w:after="240"/>
        <w:jc w:val="both"/>
        <w:rPr>
          <w:rFonts w:ascii="Times New Roman" w:hAnsi="Times New Roman"/>
          <w:sz w:val="24"/>
          <w:szCs w:val="24"/>
          <w:lang w:val="en-US"/>
        </w:rPr>
      </w:pPr>
      <w:r w:rsidRPr="00FD005A">
        <w:rPr>
          <w:rFonts w:ascii="Times New Roman" w:hAnsi="Times New Roman"/>
          <w:sz w:val="24"/>
          <w:szCs w:val="24"/>
        </w:rPr>
        <w:t>The legislative instrument</w:t>
      </w:r>
      <w:r w:rsidR="00D055E7">
        <w:rPr>
          <w:rFonts w:ascii="Times New Roman" w:hAnsi="Times New Roman"/>
          <w:sz w:val="24"/>
          <w:szCs w:val="24"/>
        </w:rPr>
        <w:t>s</w:t>
      </w:r>
      <w:r w:rsidRPr="00FD005A">
        <w:rPr>
          <w:rFonts w:ascii="Times New Roman" w:hAnsi="Times New Roman"/>
          <w:sz w:val="24"/>
          <w:szCs w:val="24"/>
        </w:rPr>
        <w:t xml:space="preserve"> </w:t>
      </w:r>
      <w:r w:rsidR="002030A9">
        <w:rPr>
          <w:rFonts w:ascii="Times New Roman" w:hAnsi="Times New Roman"/>
          <w:sz w:val="24"/>
          <w:szCs w:val="24"/>
        </w:rPr>
        <w:t xml:space="preserve">(the instruments) </w:t>
      </w:r>
      <w:r w:rsidRPr="00FD005A">
        <w:rPr>
          <w:rFonts w:ascii="Times New Roman" w:hAnsi="Times New Roman"/>
          <w:sz w:val="24"/>
          <w:szCs w:val="24"/>
        </w:rPr>
        <w:t xml:space="preserve">are compatible with the human rights and freedoms recognised or declared in the international instruments listed in section 3 of the </w:t>
      </w:r>
      <w:r w:rsidRPr="00FD005A">
        <w:rPr>
          <w:rFonts w:ascii="Times New Roman" w:hAnsi="Times New Roman"/>
          <w:i/>
          <w:iCs/>
          <w:sz w:val="24"/>
          <w:szCs w:val="24"/>
        </w:rPr>
        <w:t>Human Rights (Parliamentary Scrutiny) Act 2011</w:t>
      </w:r>
      <w:r w:rsidRPr="00FD005A">
        <w:rPr>
          <w:rFonts w:ascii="Times New Roman" w:hAnsi="Times New Roman"/>
          <w:sz w:val="24"/>
          <w:szCs w:val="24"/>
        </w:rPr>
        <w:t xml:space="preserve"> (HRPS Act).</w:t>
      </w:r>
    </w:p>
    <w:p w14:paraId="39BBEDF6" w14:textId="77777777" w:rsidR="001C505D" w:rsidRPr="00FD005A" w:rsidRDefault="001C505D" w:rsidP="00453E60">
      <w:pPr>
        <w:shd w:val="clear" w:color="auto" w:fill="FFFFFF"/>
        <w:spacing w:after="240"/>
        <w:jc w:val="both"/>
        <w:rPr>
          <w:rFonts w:ascii="Times New Roman" w:hAnsi="Times New Roman"/>
          <w:sz w:val="24"/>
          <w:szCs w:val="24"/>
          <w:lang w:val="en-US"/>
        </w:rPr>
      </w:pPr>
      <w:r w:rsidRPr="00FD005A">
        <w:rPr>
          <w:rFonts w:ascii="Times New Roman" w:hAnsi="Times New Roman"/>
          <w:b/>
          <w:bCs/>
          <w:sz w:val="24"/>
          <w:szCs w:val="24"/>
        </w:rPr>
        <w:t>Overview of the Legislative Instruments</w:t>
      </w:r>
    </w:p>
    <w:p w14:paraId="6EE5B93D" w14:textId="65093E0D" w:rsidR="0026780E" w:rsidRPr="0026780E" w:rsidRDefault="001C505D" w:rsidP="00453E60">
      <w:pPr>
        <w:spacing w:after="240"/>
        <w:jc w:val="both"/>
        <w:rPr>
          <w:rFonts w:ascii="Times New Roman" w:hAnsi="Times New Roman"/>
          <w:sz w:val="24"/>
          <w:szCs w:val="24"/>
        </w:rPr>
      </w:pPr>
      <w:r w:rsidRPr="00FD005A">
        <w:rPr>
          <w:rFonts w:ascii="Times New Roman" w:hAnsi="Times New Roman"/>
          <w:sz w:val="24"/>
          <w:szCs w:val="24"/>
        </w:rPr>
        <w:t>The purpose of the instrument</w:t>
      </w:r>
      <w:r w:rsidR="0026780E">
        <w:rPr>
          <w:rFonts w:ascii="Times New Roman" w:hAnsi="Times New Roman"/>
          <w:sz w:val="24"/>
          <w:szCs w:val="24"/>
        </w:rPr>
        <w:t>s</w:t>
      </w:r>
      <w:r w:rsidRPr="00FD005A">
        <w:rPr>
          <w:rFonts w:ascii="Times New Roman" w:hAnsi="Times New Roman"/>
          <w:sz w:val="24"/>
          <w:szCs w:val="24"/>
        </w:rPr>
        <w:t xml:space="preserve"> is to </w:t>
      </w:r>
      <w:r w:rsidR="0026780E">
        <w:rPr>
          <w:rFonts w:ascii="Times New Roman" w:hAnsi="Times New Roman"/>
          <w:sz w:val="24"/>
          <w:szCs w:val="24"/>
        </w:rPr>
        <w:t xml:space="preserve">revoke </w:t>
      </w:r>
      <w:r w:rsidR="0026780E" w:rsidRPr="0026780E">
        <w:rPr>
          <w:rFonts w:ascii="Times New Roman" w:hAnsi="Times New Roman"/>
          <w:i/>
          <w:sz w:val="24"/>
          <w:szCs w:val="24"/>
        </w:rPr>
        <w:t>Prudential Standard APS 110 Capital Adequacy</w:t>
      </w:r>
      <w:r w:rsidR="0026780E">
        <w:rPr>
          <w:rFonts w:ascii="Times New Roman" w:hAnsi="Times New Roman"/>
          <w:i/>
          <w:sz w:val="24"/>
          <w:szCs w:val="24"/>
        </w:rPr>
        <w:t xml:space="preserve"> </w:t>
      </w:r>
      <w:r w:rsidR="0026780E">
        <w:rPr>
          <w:rFonts w:ascii="Times New Roman" w:hAnsi="Times New Roman"/>
          <w:sz w:val="24"/>
          <w:szCs w:val="24"/>
        </w:rPr>
        <w:t>(APS 110)</w:t>
      </w:r>
      <w:r w:rsidR="0026780E">
        <w:rPr>
          <w:rFonts w:ascii="Times New Roman" w:hAnsi="Times New Roman"/>
          <w:i/>
          <w:sz w:val="24"/>
          <w:szCs w:val="24"/>
        </w:rPr>
        <w:t xml:space="preserve">, </w:t>
      </w:r>
      <w:r w:rsidR="0026780E" w:rsidRPr="0026780E">
        <w:rPr>
          <w:rFonts w:ascii="Times New Roman" w:hAnsi="Times New Roman"/>
          <w:i/>
          <w:sz w:val="24"/>
          <w:szCs w:val="24"/>
        </w:rPr>
        <w:t>Prudential Standard APS 112 Capital Adequacy: Standardised Approach to Credit Risk</w:t>
      </w:r>
      <w:r w:rsidR="0026780E">
        <w:rPr>
          <w:rFonts w:ascii="Times New Roman" w:hAnsi="Times New Roman"/>
          <w:i/>
          <w:sz w:val="24"/>
          <w:szCs w:val="24"/>
        </w:rPr>
        <w:t xml:space="preserve"> </w:t>
      </w:r>
      <w:r w:rsidR="0026780E" w:rsidRPr="0026780E">
        <w:rPr>
          <w:rFonts w:ascii="Times New Roman" w:hAnsi="Times New Roman"/>
          <w:sz w:val="24"/>
          <w:szCs w:val="24"/>
        </w:rPr>
        <w:t>(APS 112)</w:t>
      </w:r>
      <w:r w:rsidR="0026780E">
        <w:rPr>
          <w:rFonts w:ascii="Times New Roman" w:hAnsi="Times New Roman"/>
          <w:i/>
          <w:sz w:val="24"/>
          <w:szCs w:val="24"/>
        </w:rPr>
        <w:t xml:space="preserve"> </w:t>
      </w:r>
      <w:r w:rsidR="0026780E" w:rsidRPr="0026780E">
        <w:rPr>
          <w:rFonts w:ascii="Times New Roman" w:hAnsi="Times New Roman"/>
          <w:sz w:val="24"/>
          <w:szCs w:val="24"/>
        </w:rPr>
        <w:t>and</w:t>
      </w:r>
      <w:r w:rsidR="0026780E">
        <w:rPr>
          <w:rFonts w:ascii="Times New Roman" w:hAnsi="Times New Roman"/>
          <w:i/>
          <w:sz w:val="24"/>
          <w:szCs w:val="24"/>
        </w:rPr>
        <w:t xml:space="preserve"> </w:t>
      </w:r>
      <w:r w:rsidR="0026780E" w:rsidRPr="0026780E">
        <w:rPr>
          <w:rFonts w:ascii="Times New Roman" w:hAnsi="Times New Roman"/>
          <w:i/>
          <w:sz w:val="24"/>
          <w:szCs w:val="24"/>
        </w:rPr>
        <w:t>Prudential Standard APS 113 Capital Adequacy: Internal Ratings-based Approach to Credit Risk</w:t>
      </w:r>
      <w:r w:rsidR="0026780E">
        <w:rPr>
          <w:rFonts w:ascii="Times New Roman" w:hAnsi="Times New Roman"/>
          <w:i/>
          <w:sz w:val="24"/>
          <w:szCs w:val="24"/>
        </w:rPr>
        <w:t xml:space="preserve"> </w:t>
      </w:r>
      <w:r w:rsidR="0026780E">
        <w:rPr>
          <w:rFonts w:ascii="Times New Roman" w:hAnsi="Times New Roman"/>
          <w:sz w:val="24"/>
          <w:szCs w:val="24"/>
        </w:rPr>
        <w:t xml:space="preserve">(APS 113) and replace </w:t>
      </w:r>
      <w:r w:rsidR="0098021D">
        <w:rPr>
          <w:rFonts w:ascii="Times New Roman" w:hAnsi="Times New Roman"/>
          <w:sz w:val="24"/>
          <w:szCs w:val="24"/>
        </w:rPr>
        <w:t>them</w:t>
      </w:r>
      <w:r w:rsidR="0026780E">
        <w:rPr>
          <w:rFonts w:ascii="Times New Roman" w:hAnsi="Times New Roman"/>
          <w:sz w:val="24"/>
          <w:szCs w:val="24"/>
        </w:rPr>
        <w:t xml:space="preserve"> with new </w:t>
      </w:r>
      <w:r w:rsidR="0098021D">
        <w:rPr>
          <w:rFonts w:ascii="Times New Roman" w:hAnsi="Times New Roman"/>
          <w:sz w:val="24"/>
          <w:szCs w:val="24"/>
        </w:rPr>
        <w:t xml:space="preserve">versions of </w:t>
      </w:r>
      <w:r w:rsidR="0026780E">
        <w:rPr>
          <w:rFonts w:ascii="Times New Roman" w:hAnsi="Times New Roman"/>
          <w:sz w:val="24"/>
          <w:szCs w:val="24"/>
        </w:rPr>
        <w:t xml:space="preserve">APS 110, APS 112 and APS 113. </w:t>
      </w:r>
    </w:p>
    <w:p w14:paraId="7B443B40" w14:textId="7896448D" w:rsidR="0026780E" w:rsidRDefault="0026780E" w:rsidP="00453E60">
      <w:pPr>
        <w:jc w:val="both"/>
        <w:rPr>
          <w:rFonts w:ascii="Times New Roman" w:hAnsi="Times New Roman"/>
          <w:sz w:val="24"/>
          <w:szCs w:val="24"/>
        </w:rPr>
      </w:pPr>
      <w:r>
        <w:rPr>
          <w:rFonts w:ascii="Times New Roman" w:hAnsi="Times New Roman"/>
          <w:sz w:val="24"/>
          <w:szCs w:val="24"/>
        </w:rPr>
        <w:t xml:space="preserve">APS 110 </w:t>
      </w:r>
      <w:r w:rsidR="00F361E2">
        <w:rPr>
          <w:rFonts w:ascii="Times New Roman" w:hAnsi="Times New Roman"/>
          <w:sz w:val="24"/>
          <w:szCs w:val="24"/>
        </w:rPr>
        <w:t>sets out requirements for an authorised deposit-taking institution (ADI) to maintain</w:t>
      </w:r>
      <w:r w:rsidRPr="00DC029B">
        <w:rPr>
          <w:rFonts w:ascii="Times New Roman" w:hAnsi="Times New Roman"/>
          <w:sz w:val="24"/>
          <w:szCs w:val="24"/>
        </w:rPr>
        <w:t xml:space="preserve"> adequate capital on both an individual and group basis to act as a buffer against the risks associated with their activities</w:t>
      </w:r>
      <w:r>
        <w:rPr>
          <w:rFonts w:ascii="Times New Roman" w:hAnsi="Times New Roman"/>
          <w:sz w:val="24"/>
          <w:szCs w:val="24"/>
        </w:rPr>
        <w:t xml:space="preserve">. </w:t>
      </w:r>
      <w:r w:rsidRPr="00F361E2">
        <w:rPr>
          <w:rFonts w:ascii="Times New Roman" w:hAnsi="Times New Roman"/>
          <w:sz w:val="24"/>
          <w:szCs w:val="24"/>
        </w:rPr>
        <w:t>APS 112 and APS 113 require ADIs to hold sufficient regulatory capital against credit risk exposures</w:t>
      </w:r>
      <w:r w:rsidR="00F361E2">
        <w:rPr>
          <w:rFonts w:ascii="Times New Roman" w:hAnsi="Times New Roman"/>
          <w:sz w:val="24"/>
          <w:szCs w:val="24"/>
        </w:rPr>
        <w:t xml:space="preserve">. </w:t>
      </w:r>
      <w:r w:rsidR="00F361E2" w:rsidRPr="00F361E2">
        <w:rPr>
          <w:rFonts w:ascii="Times New Roman" w:hAnsi="Times New Roman"/>
          <w:sz w:val="24"/>
          <w:szCs w:val="24"/>
        </w:rPr>
        <w:t xml:space="preserve">ADIs are bodies corporate that have been granted the authority, under the </w:t>
      </w:r>
      <w:r w:rsidR="00F361E2" w:rsidRPr="00B03601">
        <w:rPr>
          <w:rFonts w:ascii="Times New Roman" w:hAnsi="Times New Roman"/>
          <w:i/>
          <w:sz w:val="24"/>
          <w:szCs w:val="24"/>
        </w:rPr>
        <w:t>Banking Act 1959</w:t>
      </w:r>
      <w:r w:rsidR="00F361E2" w:rsidRPr="00F361E2">
        <w:rPr>
          <w:rFonts w:ascii="Times New Roman" w:hAnsi="Times New Roman"/>
          <w:sz w:val="24"/>
          <w:szCs w:val="24"/>
        </w:rPr>
        <w:t>, to carry on banking business in Australia.</w:t>
      </w:r>
      <w:r w:rsidR="00F361E2">
        <w:rPr>
          <w:rFonts w:ascii="Times New Roman" w:hAnsi="Times New Roman"/>
          <w:sz w:val="24"/>
          <w:szCs w:val="24"/>
        </w:rPr>
        <w:t xml:space="preserve"> </w:t>
      </w:r>
    </w:p>
    <w:p w14:paraId="79688743" w14:textId="77777777" w:rsidR="0026780E" w:rsidRDefault="0026780E" w:rsidP="00453E60">
      <w:pPr>
        <w:jc w:val="both"/>
        <w:rPr>
          <w:rFonts w:ascii="Times New Roman" w:hAnsi="Times New Roman"/>
          <w:sz w:val="24"/>
          <w:szCs w:val="24"/>
        </w:rPr>
      </w:pPr>
    </w:p>
    <w:p w14:paraId="42088DE7" w14:textId="203E0731" w:rsidR="001C505D" w:rsidRPr="00FD005A" w:rsidRDefault="001C505D" w:rsidP="00453E60">
      <w:pPr>
        <w:keepNext/>
        <w:shd w:val="clear" w:color="auto" w:fill="FFFFFF"/>
        <w:spacing w:after="240"/>
        <w:jc w:val="both"/>
        <w:rPr>
          <w:rFonts w:ascii="Times New Roman" w:hAnsi="Times New Roman"/>
          <w:sz w:val="24"/>
          <w:szCs w:val="24"/>
          <w:lang w:val="en-US"/>
        </w:rPr>
      </w:pPr>
      <w:r w:rsidRPr="00FD005A">
        <w:rPr>
          <w:rFonts w:ascii="Times New Roman" w:hAnsi="Times New Roman"/>
          <w:b/>
          <w:bCs/>
          <w:sz w:val="24"/>
          <w:szCs w:val="24"/>
        </w:rPr>
        <w:t>Human rights implications</w:t>
      </w:r>
    </w:p>
    <w:p w14:paraId="5D38BA1F" w14:textId="086D83CD" w:rsidR="001C505D" w:rsidRPr="00111D7A" w:rsidRDefault="001C505D" w:rsidP="00453E60">
      <w:pPr>
        <w:jc w:val="both"/>
        <w:rPr>
          <w:rFonts w:ascii="Times New Roman" w:hAnsi="Times New Roman"/>
          <w:sz w:val="24"/>
          <w:szCs w:val="24"/>
        </w:rPr>
      </w:pPr>
      <w:r w:rsidRPr="00111D7A">
        <w:rPr>
          <w:rFonts w:ascii="Times New Roman" w:hAnsi="Times New Roman"/>
          <w:sz w:val="24"/>
          <w:szCs w:val="24"/>
        </w:rPr>
        <w:t>APRA has assessed the instrument</w:t>
      </w:r>
      <w:r w:rsidR="00C90E60">
        <w:rPr>
          <w:rFonts w:ascii="Times New Roman" w:hAnsi="Times New Roman"/>
          <w:sz w:val="24"/>
          <w:szCs w:val="24"/>
        </w:rPr>
        <w:t>s</w:t>
      </w:r>
      <w:r w:rsidRPr="00111D7A">
        <w:rPr>
          <w:rFonts w:ascii="Times New Roman" w:hAnsi="Times New Roman"/>
          <w:sz w:val="24"/>
          <w:szCs w:val="24"/>
        </w:rPr>
        <w:t xml:space="preserve"> and is of the view that </w:t>
      </w:r>
      <w:r w:rsidR="00C90E60">
        <w:rPr>
          <w:rFonts w:ascii="Times New Roman" w:hAnsi="Times New Roman"/>
          <w:sz w:val="24"/>
          <w:szCs w:val="24"/>
        </w:rPr>
        <w:t xml:space="preserve">they </w:t>
      </w:r>
      <w:r w:rsidRPr="00111D7A">
        <w:rPr>
          <w:rFonts w:ascii="Times New Roman" w:hAnsi="Times New Roman"/>
          <w:sz w:val="24"/>
          <w:szCs w:val="24"/>
        </w:rPr>
        <w:t>do not engage any of the applicable rights or freedoms recognised or declared in the international instruments listed in section 3 of the HRPS Act. Accordingly, in APRA’s assessment, the instrument is compatible with human rights.</w:t>
      </w:r>
    </w:p>
    <w:p w14:paraId="4FE9D74A" w14:textId="77777777" w:rsidR="008E7637" w:rsidRDefault="008E7637" w:rsidP="00453E60">
      <w:pPr>
        <w:shd w:val="clear" w:color="auto" w:fill="FFFFFF"/>
        <w:spacing w:after="240"/>
        <w:jc w:val="both"/>
        <w:rPr>
          <w:rFonts w:ascii="Times New Roman" w:hAnsi="Times New Roman"/>
          <w:b/>
          <w:bCs/>
          <w:sz w:val="24"/>
          <w:szCs w:val="24"/>
        </w:rPr>
      </w:pPr>
    </w:p>
    <w:p w14:paraId="644923FB" w14:textId="43668ADB" w:rsidR="001C505D" w:rsidRPr="00FD005A" w:rsidRDefault="001C505D" w:rsidP="00453E60">
      <w:pPr>
        <w:shd w:val="clear" w:color="auto" w:fill="FFFFFF"/>
        <w:spacing w:after="240"/>
        <w:jc w:val="both"/>
        <w:rPr>
          <w:rFonts w:ascii="Times New Roman" w:hAnsi="Times New Roman"/>
          <w:sz w:val="24"/>
          <w:szCs w:val="24"/>
          <w:lang w:val="en-US"/>
        </w:rPr>
      </w:pPr>
      <w:r w:rsidRPr="00FD005A">
        <w:rPr>
          <w:rFonts w:ascii="Times New Roman" w:hAnsi="Times New Roman"/>
          <w:b/>
          <w:bCs/>
          <w:sz w:val="24"/>
          <w:szCs w:val="24"/>
        </w:rPr>
        <w:t>Conclusion</w:t>
      </w:r>
    </w:p>
    <w:p w14:paraId="64F64386" w14:textId="3C2053AD" w:rsidR="001C505D" w:rsidRPr="00FD005A" w:rsidRDefault="001C505D" w:rsidP="00453E60">
      <w:pPr>
        <w:spacing w:after="240"/>
        <w:jc w:val="both"/>
        <w:rPr>
          <w:rFonts w:ascii="Times New Roman" w:hAnsi="Times New Roman"/>
          <w:sz w:val="24"/>
          <w:szCs w:val="24"/>
        </w:rPr>
      </w:pPr>
      <w:r w:rsidRPr="00FD005A">
        <w:rPr>
          <w:rFonts w:ascii="Times New Roman" w:hAnsi="Times New Roman"/>
          <w:sz w:val="24"/>
          <w:szCs w:val="24"/>
        </w:rPr>
        <w:t>The instrument</w:t>
      </w:r>
      <w:r w:rsidR="00C90E60">
        <w:rPr>
          <w:rFonts w:ascii="Times New Roman" w:hAnsi="Times New Roman"/>
          <w:sz w:val="24"/>
          <w:szCs w:val="24"/>
        </w:rPr>
        <w:t>s</w:t>
      </w:r>
      <w:r w:rsidRPr="00FD005A">
        <w:rPr>
          <w:rFonts w:ascii="Times New Roman" w:hAnsi="Times New Roman"/>
          <w:sz w:val="24"/>
          <w:szCs w:val="24"/>
        </w:rPr>
        <w:t xml:space="preserve"> </w:t>
      </w:r>
      <w:r w:rsidR="00C90E60">
        <w:rPr>
          <w:rFonts w:ascii="Times New Roman" w:hAnsi="Times New Roman"/>
          <w:sz w:val="24"/>
          <w:szCs w:val="24"/>
        </w:rPr>
        <w:t>are</w:t>
      </w:r>
      <w:r w:rsidRPr="00FD005A">
        <w:rPr>
          <w:rFonts w:ascii="Times New Roman" w:hAnsi="Times New Roman"/>
          <w:sz w:val="24"/>
          <w:szCs w:val="24"/>
        </w:rPr>
        <w:t xml:space="preserve"> compatible with human rights as they do not raise any human rights issues.</w:t>
      </w:r>
    </w:p>
    <w:p w14:paraId="20A76604" w14:textId="77777777" w:rsidR="00B04B20" w:rsidRPr="00FA5345" w:rsidRDefault="00B04B20" w:rsidP="00DF7DA0">
      <w:pPr>
        <w:spacing w:after="240"/>
      </w:pPr>
    </w:p>
    <w:sectPr w:rsidR="00B04B20" w:rsidRPr="00FA5345"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C698" w14:textId="77777777" w:rsidR="00F5607A" w:rsidRDefault="00F5607A" w:rsidP="00DF7DA0">
      <w:r>
        <w:separator/>
      </w:r>
    </w:p>
  </w:endnote>
  <w:endnote w:type="continuationSeparator" w:id="0">
    <w:p w14:paraId="4C7EACEE" w14:textId="77777777" w:rsidR="00F5607A" w:rsidRDefault="00F5607A" w:rsidP="00DF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DF7DA0" w:rsidRPr="00DF7DA0" w:rsidRDefault="00DF7DA0"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0B3CB4">
          <w:rPr>
            <w:rFonts w:ascii="Times New Roman" w:hAnsi="Times New Roman"/>
            <w:bCs/>
            <w:noProof/>
            <w:sz w:val="24"/>
            <w:szCs w:val="24"/>
          </w:rPr>
          <w:t>2</w:t>
        </w:r>
        <w:r w:rsidRPr="00DF7DA0">
          <w:rPr>
            <w:rFonts w:ascii="Times New Roman" w:hAnsi="Times New Roman"/>
            <w:bCs/>
            <w:sz w:val="24"/>
            <w:szCs w:val="24"/>
          </w:rPr>
          <w:fldChar w:fldCharType="end"/>
        </w:r>
      </w:p>
    </w:sdtContent>
  </w:sdt>
  <w:p w14:paraId="63A27E33" w14:textId="77777777" w:rsidR="00DF7DA0" w:rsidRDefault="00DF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03F4" w14:textId="77777777" w:rsidR="00F5607A" w:rsidRDefault="00F5607A" w:rsidP="00DF7DA0">
      <w:r>
        <w:separator/>
      </w:r>
    </w:p>
  </w:footnote>
  <w:footnote w:type="continuationSeparator" w:id="0">
    <w:p w14:paraId="66747387" w14:textId="77777777" w:rsidR="00F5607A" w:rsidRDefault="00F5607A" w:rsidP="00DF7DA0">
      <w:r>
        <w:continuationSeparator/>
      </w:r>
    </w:p>
  </w:footnote>
  <w:footnote w:id="1">
    <w:p w14:paraId="69DD7A73" w14:textId="77777777" w:rsidR="00295570" w:rsidRPr="005006D1" w:rsidRDefault="00295570" w:rsidP="00295570">
      <w:pPr>
        <w:pStyle w:val="FootnoteText"/>
        <w:rPr>
          <w:rFonts w:ascii="Times New Roman" w:hAnsi="Times New Roman"/>
        </w:rPr>
      </w:pPr>
      <w:r w:rsidRPr="005006D1">
        <w:rPr>
          <w:rStyle w:val="FootnoteReference"/>
          <w:rFonts w:ascii="Times New Roman" w:hAnsi="Times New Roman"/>
        </w:rPr>
        <w:footnoteRef/>
      </w:r>
      <w:r w:rsidRPr="005006D1">
        <w:rPr>
          <w:rFonts w:ascii="Times New Roman" w:hAnsi="Times New Roman"/>
        </w:rPr>
        <w:t xml:space="preserve"> Subsection 9A(4) of the Act specifically provides that APRA does not need to consult where APRA is satisfied that doing so could result in a delay in revocation that would be:</w:t>
      </w:r>
    </w:p>
    <w:p w14:paraId="70AF7A7F" w14:textId="77777777" w:rsidR="00295570" w:rsidRPr="005006D1" w:rsidRDefault="00295570" w:rsidP="00295570">
      <w:pPr>
        <w:pStyle w:val="FootnoteText"/>
        <w:numPr>
          <w:ilvl w:val="0"/>
          <w:numId w:val="11"/>
        </w:numPr>
        <w:rPr>
          <w:rFonts w:ascii="Times New Roman" w:hAnsi="Times New Roman"/>
        </w:rPr>
      </w:pPr>
      <w:r w:rsidRPr="005006D1">
        <w:rPr>
          <w:rFonts w:ascii="Times New Roman" w:hAnsi="Times New Roman"/>
        </w:rPr>
        <w:t>contrary to the national interest; or</w:t>
      </w:r>
    </w:p>
    <w:p w14:paraId="16FB497C" w14:textId="77777777" w:rsidR="00295570" w:rsidRPr="005006D1" w:rsidRDefault="00295570" w:rsidP="00295570">
      <w:pPr>
        <w:pStyle w:val="FootnoteText"/>
        <w:numPr>
          <w:ilvl w:val="0"/>
          <w:numId w:val="11"/>
        </w:numPr>
        <w:rPr>
          <w:rFonts w:ascii="Times New Roman" w:hAnsi="Times New Roman"/>
        </w:rPr>
      </w:pPr>
      <w:r w:rsidRPr="005006D1">
        <w:rPr>
          <w:rFonts w:ascii="Times New Roman" w:hAnsi="Times New Roman"/>
        </w:rPr>
        <w:t>contrary to the interests of depositors with the ADI.</w:t>
      </w:r>
    </w:p>
  </w:footnote>
  <w:footnote w:id="2">
    <w:p w14:paraId="22034D6C" w14:textId="172507EE" w:rsidR="00281A6F" w:rsidRPr="005006D1" w:rsidRDefault="00281A6F">
      <w:pPr>
        <w:pStyle w:val="FootnoteText"/>
        <w:rPr>
          <w:rFonts w:ascii="Times New Roman" w:hAnsi="Times New Roman"/>
        </w:rPr>
      </w:pPr>
      <w:r w:rsidRPr="005006D1">
        <w:rPr>
          <w:rStyle w:val="FootnoteReference"/>
          <w:rFonts w:ascii="Times New Roman" w:hAnsi="Times New Roman"/>
        </w:rPr>
        <w:footnoteRef/>
      </w:r>
      <w:r w:rsidRPr="005006D1">
        <w:rPr>
          <w:rFonts w:ascii="Times New Roman" w:hAnsi="Times New Roman"/>
        </w:rPr>
        <w:t xml:space="preserve"> Refer to </w:t>
      </w:r>
      <w:hyperlink r:id="rId1" w:history="1">
        <w:r w:rsidRPr="005006D1">
          <w:rPr>
            <w:rStyle w:val="Hyperlink"/>
            <w:rFonts w:ascii="Times New Roman" w:hAnsi="Times New Roman"/>
          </w:rPr>
          <w:t>Revisions to the capital framework for authorised deposit-taking institutions | APRA</w:t>
        </w:r>
      </w:hyperlink>
      <w:r w:rsidRPr="005006D1">
        <w:rPr>
          <w:rFonts w:ascii="Times New Roman" w:hAnsi="Times New Roman"/>
        </w:rPr>
        <w:t>.</w:t>
      </w:r>
    </w:p>
  </w:footnote>
  <w:footnote w:id="3">
    <w:p w14:paraId="77850C6A" w14:textId="23055FBE" w:rsidR="005006D1" w:rsidRPr="005006D1" w:rsidRDefault="005006D1">
      <w:pPr>
        <w:pStyle w:val="FootnoteText"/>
        <w:rPr>
          <w:rFonts w:ascii="Times New Roman" w:hAnsi="Times New Roman"/>
        </w:rPr>
      </w:pPr>
      <w:r w:rsidRPr="005006D1">
        <w:rPr>
          <w:rStyle w:val="FootnoteReference"/>
          <w:rFonts w:ascii="Times New Roman" w:hAnsi="Times New Roman"/>
        </w:rPr>
        <w:footnoteRef/>
      </w:r>
      <w:r w:rsidRPr="005006D1">
        <w:rPr>
          <w:rFonts w:ascii="Times New Roman" w:hAnsi="Times New Roman"/>
        </w:rPr>
        <w:t xml:space="preserve"> </w:t>
      </w:r>
      <w:bookmarkStart w:id="10" w:name="_Hlk121317922"/>
      <w:r w:rsidRPr="005006D1">
        <w:rPr>
          <w:rFonts w:ascii="Times New Roman" w:hAnsi="Times New Roman"/>
        </w:rPr>
        <w:t xml:space="preserve">Refer to: </w:t>
      </w:r>
      <w:hyperlink r:id="rId2" w:history="1">
        <w:r w:rsidRPr="005006D1">
          <w:rPr>
            <w:rStyle w:val="Hyperlink"/>
            <w:rFonts w:ascii="Times New Roman" w:hAnsi="Times New Roman"/>
          </w:rPr>
          <w:t>Response to submissions - Finalising bank capital reforms (apra.gov.au)</w:t>
        </w:r>
      </w:hyperlink>
      <w:r w:rsidRPr="005006D1">
        <w:rPr>
          <w:rFonts w:ascii="Times New Roman" w:hAnsi="Times New Roman"/>
        </w:rPr>
        <w:t xml:space="preserve">. </w:t>
      </w:r>
      <w:bookmarkEnd w:id="1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1DA"/>
    <w:multiLevelType w:val="hybridMultilevel"/>
    <w:tmpl w:val="4CEC6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70CEC"/>
    <w:multiLevelType w:val="hybridMultilevel"/>
    <w:tmpl w:val="37729F4C"/>
    <w:lvl w:ilvl="0" w:tplc="F06E4E0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6C125AD"/>
    <w:multiLevelType w:val="hybridMultilevel"/>
    <w:tmpl w:val="129420FC"/>
    <w:lvl w:ilvl="0" w:tplc="0C090001">
      <w:start w:val="1"/>
      <w:numFmt w:val="bullet"/>
      <w:lvlText w:val=""/>
      <w:lvlJc w:val="left"/>
      <w:pPr>
        <w:tabs>
          <w:tab w:val="num" w:pos="567"/>
        </w:tabs>
        <w:ind w:left="567" w:hanging="567"/>
      </w:pPr>
      <w:rPr>
        <w:rFonts w:ascii="Symbol" w:hAnsi="Symbol" w:hint="default"/>
      </w:rPr>
    </w:lvl>
    <w:lvl w:ilvl="1" w:tplc="88802A6C">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C92DB8"/>
    <w:multiLevelType w:val="hybridMultilevel"/>
    <w:tmpl w:val="DD025594"/>
    <w:lvl w:ilvl="0" w:tplc="6E86A1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E7C6E49"/>
    <w:multiLevelType w:val="hybridMultilevel"/>
    <w:tmpl w:val="000C2360"/>
    <w:lvl w:ilvl="0" w:tplc="771E19CC">
      <w:start w:val="1"/>
      <w:numFmt w:val="decimal"/>
      <w:lvlText w:val="(%1)"/>
      <w:lvlJc w:val="left"/>
      <w:pPr>
        <w:tabs>
          <w:tab w:val="num" w:pos="567"/>
        </w:tabs>
        <w:ind w:left="567" w:hanging="567"/>
      </w:pPr>
      <w:rPr>
        <w:rFonts w:hint="default"/>
      </w:rPr>
    </w:lvl>
    <w:lvl w:ilvl="1" w:tplc="88802A6C">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D8267C"/>
    <w:multiLevelType w:val="hybridMultilevel"/>
    <w:tmpl w:val="4A24C49A"/>
    <w:lvl w:ilvl="0" w:tplc="19D0BCE2">
      <w:numFmt w:val="bullet"/>
      <w:lvlText w:val="-"/>
      <w:lvlJc w:val="left"/>
      <w:pPr>
        <w:ind w:left="360" w:hanging="360"/>
      </w:pPr>
      <w:rPr>
        <w:rFonts w:ascii="Trebuchet MS" w:eastAsia="Times New Roman" w:hAnsi="Trebuchet M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B1705"/>
    <w:multiLevelType w:val="hybridMultilevel"/>
    <w:tmpl w:val="C732762C"/>
    <w:lvl w:ilvl="0" w:tplc="19D0BCE2">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A43132"/>
    <w:multiLevelType w:val="hybridMultilevel"/>
    <w:tmpl w:val="1EB2D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DA3D61"/>
    <w:multiLevelType w:val="hybridMultilevel"/>
    <w:tmpl w:val="16F87DAA"/>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5B1B25"/>
    <w:multiLevelType w:val="hybridMultilevel"/>
    <w:tmpl w:val="6AAE1FFE"/>
    <w:lvl w:ilvl="0" w:tplc="0C14B1EE">
      <w:start w:val="1"/>
      <w:numFmt w:val="lowerLetter"/>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3" w15:restartNumberingAfterBreak="0">
    <w:nsid w:val="7EE8662A"/>
    <w:multiLevelType w:val="hybridMultilevel"/>
    <w:tmpl w:val="5F9EBF46"/>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1"/>
  </w:num>
  <w:num w:numId="4">
    <w:abstractNumId w:val="4"/>
  </w:num>
  <w:num w:numId="5">
    <w:abstractNumId w:val="6"/>
  </w:num>
  <w:num w:numId="6">
    <w:abstractNumId w:val="0"/>
  </w:num>
  <w:num w:numId="7">
    <w:abstractNumId w:val="9"/>
  </w:num>
  <w:num w:numId="8">
    <w:abstractNumId w:val="7"/>
  </w:num>
  <w:num w:numId="9">
    <w:abstractNumId w:val="13"/>
  </w:num>
  <w:num w:numId="10">
    <w:abstractNumId w:val="5"/>
  </w:num>
  <w:num w:numId="11">
    <w:abstractNumId w:val="1"/>
  </w:num>
  <w:num w:numId="12">
    <w:abstractNumId w:val="1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1EE0"/>
    <w:rsid w:val="00003D3A"/>
    <w:rsid w:val="00014BF4"/>
    <w:rsid w:val="00021341"/>
    <w:rsid w:val="000401FC"/>
    <w:rsid w:val="00051AB5"/>
    <w:rsid w:val="00053A90"/>
    <w:rsid w:val="0005527F"/>
    <w:rsid w:val="00062E33"/>
    <w:rsid w:val="0006319B"/>
    <w:rsid w:val="00073072"/>
    <w:rsid w:val="000953B6"/>
    <w:rsid w:val="00096BCD"/>
    <w:rsid w:val="000B3CB4"/>
    <w:rsid w:val="000B6A84"/>
    <w:rsid w:val="000C0105"/>
    <w:rsid w:val="000C3699"/>
    <w:rsid w:val="000D2C00"/>
    <w:rsid w:val="000E369C"/>
    <w:rsid w:val="000F61BA"/>
    <w:rsid w:val="000F77BC"/>
    <w:rsid w:val="00112FF0"/>
    <w:rsid w:val="00123AE3"/>
    <w:rsid w:val="00124AA8"/>
    <w:rsid w:val="0014157E"/>
    <w:rsid w:val="00155C61"/>
    <w:rsid w:val="00157B35"/>
    <w:rsid w:val="0016350D"/>
    <w:rsid w:val="00182FA1"/>
    <w:rsid w:val="0019058D"/>
    <w:rsid w:val="0019231E"/>
    <w:rsid w:val="00195547"/>
    <w:rsid w:val="001B0FE1"/>
    <w:rsid w:val="001C505D"/>
    <w:rsid w:val="001D5C24"/>
    <w:rsid w:val="001E33AF"/>
    <w:rsid w:val="001E626E"/>
    <w:rsid w:val="001F43BF"/>
    <w:rsid w:val="00201B8C"/>
    <w:rsid w:val="002030A9"/>
    <w:rsid w:val="00205F59"/>
    <w:rsid w:val="00217362"/>
    <w:rsid w:val="0022350D"/>
    <w:rsid w:val="00223ADB"/>
    <w:rsid w:val="00223F84"/>
    <w:rsid w:val="00225429"/>
    <w:rsid w:val="00233912"/>
    <w:rsid w:val="002436BD"/>
    <w:rsid w:val="00246723"/>
    <w:rsid w:val="00255E9A"/>
    <w:rsid w:val="0026780E"/>
    <w:rsid w:val="00273D93"/>
    <w:rsid w:val="0027637A"/>
    <w:rsid w:val="00281A6F"/>
    <w:rsid w:val="0028352A"/>
    <w:rsid w:val="00295570"/>
    <w:rsid w:val="002A5E51"/>
    <w:rsid w:val="002A73BD"/>
    <w:rsid w:val="002B3409"/>
    <w:rsid w:val="002D48C4"/>
    <w:rsid w:val="002E572D"/>
    <w:rsid w:val="002F0905"/>
    <w:rsid w:val="002F7CAC"/>
    <w:rsid w:val="003002A9"/>
    <w:rsid w:val="0030506B"/>
    <w:rsid w:val="00316098"/>
    <w:rsid w:val="00354CB8"/>
    <w:rsid w:val="00357E74"/>
    <w:rsid w:val="00364C1F"/>
    <w:rsid w:val="00374DFD"/>
    <w:rsid w:val="003866AD"/>
    <w:rsid w:val="00392379"/>
    <w:rsid w:val="003B0399"/>
    <w:rsid w:val="003B509C"/>
    <w:rsid w:val="003B6C81"/>
    <w:rsid w:val="003C5156"/>
    <w:rsid w:val="003D5032"/>
    <w:rsid w:val="0040175E"/>
    <w:rsid w:val="00422164"/>
    <w:rsid w:val="0044158E"/>
    <w:rsid w:val="00443A02"/>
    <w:rsid w:val="00453E60"/>
    <w:rsid w:val="00457C57"/>
    <w:rsid w:val="00462C7E"/>
    <w:rsid w:val="00470375"/>
    <w:rsid w:val="004B1549"/>
    <w:rsid w:val="004B1F1B"/>
    <w:rsid w:val="004B2799"/>
    <w:rsid w:val="004C0B66"/>
    <w:rsid w:val="004C3D07"/>
    <w:rsid w:val="004C4E98"/>
    <w:rsid w:val="004C6A62"/>
    <w:rsid w:val="004D55F9"/>
    <w:rsid w:val="004E03D8"/>
    <w:rsid w:val="004E2008"/>
    <w:rsid w:val="004F004E"/>
    <w:rsid w:val="004F0B27"/>
    <w:rsid w:val="004F3B84"/>
    <w:rsid w:val="005006D1"/>
    <w:rsid w:val="00554E42"/>
    <w:rsid w:val="0056141D"/>
    <w:rsid w:val="00562946"/>
    <w:rsid w:val="00570817"/>
    <w:rsid w:val="005801B7"/>
    <w:rsid w:val="005939DE"/>
    <w:rsid w:val="005B2053"/>
    <w:rsid w:val="005E5910"/>
    <w:rsid w:val="005F1641"/>
    <w:rsid w:val="00600027"/>
    <w:rsid w:val="00602A0F"/>
    <w:rsid w:val="00610896"/>
    <w:rsid w:val="00613CBF"/>
    <w:rsid w:val="00614015"/>
    <w:rsid w:val="00616A26"/>
    <w:rsid w:val="00617C3C"/>
    <w:rsid w:val="00622480"/>
    <w:rsid w:val="00630ED2"/>
    <w:rsid w:val="00647D58"/>
    <w:rsid w:val="00651272"/>
    <w:rsid w:val="00657678"/>
    <w:rsid w:val="00682865"/>
    <w:rsid w:val="0068356C"/>
    <w:rsid w:val="00684F73"/>
    <w:rsid w:val="00694691"/>
    <w:rsid w:val="006951ED"/>
    <w:rsid w:val="006B093F"/>
    <w:rsid w:val="006B6E79"/>
    <w:rsid w:val="006B7639"/>
    <w:rsid w:val="006C2FEC"/>
    <w:rsid w:val="006C43B3"/>
    <w:rsid w:val="006D36DB"/>
    <w:rsid w:val="006D77E1"/>
    <w:rsid w:val="006E5452"/>
    <w:rsid w:val="006F37BA"/>
    <w:rsid w:val="006F5709"/>
    <w:rsid w:val="006F5785"/>
    <w:rsid w:val="007031F4"/>
    <w:rsid w:val="007049CF"/>
    <w:rsid w:val="00720030"/>
    <w:rsid w:val="00727A03"/>
    <w:rsid w:val="007316CE"/>
    <w:rsid w:val="007343F9"/>
    <w:rsid w:val="007368AD"/>
    <w:rsid w:val="00741A84"/>
    <w:rsid w:val="007428D4"/>
    <w:rsid w:val="007442D4"/>
    <w:rsid w:val="00744695"/>
    <w:rsid w:val="00747AFF"/>
    <w:rsid w:val="00752D69"/>
    <w:rsid w:val="00753F6E"/>
    <w:rsid w:val="007548D7"/>
    <w:rsid w:val="00764ED6"/>
    <w:rsid w:val="00765509"/>
    <w:rsid w:val="0077300B"/>
    <w:rsid w:val="00785CDC"/>
    <w:rsid w:val="00797BD5"/>
    <w:rsid w:val="007A7C3F"/>
    <w:rsid w:val="007E4B2A"/>
    <w:rsid w:val="00805370"/>
    <w:rsid w:val="008116B5"/>
    <w:rsid w:val="00812536"/>
    <w:rsid w:val="0082315E"/>
    <w:rsid w:val="00830E69"/>
    <w:rsid w:val="00830F66"/>
    <w:rsid w:val="008317B2"/>
    <w:rsid w:val="008349BC"/>
    <w:rsid w:val="0083743F"/>
    <w:rsid w:val="008436EF"/>
    <w:rsid w:val="0084612C"/>
    <w:rsid w:val="00851EED"/>
    <w:rsid w:val="00865AFD"/>
    <w:rsid w:val="0088378F"/>
    <w:rsid w:val="00884106"/>
    <w:rsid w:val="00885F41"/>
    <w:rsid w:val="008A42EC"/>
    <w:rsid w:val="008B55A3"/>
    <w:rsid w:val="008C0C2E"/>
    <w:rsid w:val="008C62AC"/>
    <w:rsid w:val="008C7C92"/>
    <w:rsid w:val="008E1783"/>
    <w:rsid w:val="008E2C88"/>
    <w:rsid w:val="008E7619"/>
    <w:rsid w:val="008E7637"/>
    <w:rsid w:val="008F5DBE"/>
    <w:rsid w:val="00901256"/>
    <w:rsid w:val="009061DC"/>
    <w:rsid w:val="00923513"/>
    <w:rsid w:val="009245BE"/>
    <w:rsid w:val="00932EFA"/>
    <w:rsid w:val="00943CE1"/>
    <w:rsid w:val="0094655E"/>
    <w:rsid w:val="009654D9"/>
    <w:rsid w:val="009669EA"/>
    <w:rsid w:val="00967D16"/>
    <w:rsid w:val="0098021D"/>
    <w:rsid w:val="00983005"/>
    <w:rsid w:val="00986DF2"/>
    <w:rsid w:val="009927BF"/>
    <w:rsid w:val="00993981"/>
    <w:rsid w:val="00995B88"/>
    <w:rsid w:val="009A2C39"/>
    <w:rsid w:val="009C1DC7"/>
    <w:rsid w:val="009C3E32"/>
    <w:rsid w:val="009C5368"/>
    <w:rsid w:val="009C69B7"/>
    <w:rsid w:val="009F5AD4"/>
    <w:rsid w:val="00A00170"/>
    <w:rsid w:val="00A0356A"/>
    <w:rsid w:val="00A04A87"/>
    <w:rsid w:val="00A11CB6"/>
    <w:rsid w:val="00A136DD"/>
    <w:rsid w:val="00A2132A"/>
    <w:rsid w:val="00A27024"/>
    <w:rsid w:val="00A279AF"/>
    <w:rsid w:val="00A356E2"/>
    <w:rsid w:val="00A4133B"/>
    <w:rsid w:val="00A41AD1"/>
    <w:rsid w:val="00A55421"/>
    <w:rsid w:val="00A573C7"/>
    <w:rsid w:val="00A6325C"/>
    <w:rsid w:val="00A63A2B"/>
    <w:rsid w:val="00A83A35"/>
    <w:rsid w:val="00A94110"/>
    <w:rsid w:val="00A97982"/>
    <w:rsid w:val="00AA52B3"/>
    <w:rsid w:val="00AB45AD"/>
    <w:rsid w:val="00AC2517"/>
    <w:rsid w:val="00AC61D6"/>
    <w:rsid w:val="00AC7A56"/>
    <w:rsid w:val="00AF3CB4"/>
    <w:rsid w:val="00B03601"/>
    <w:rsid w:val="00B04B20"/>
    <w:rsid w:val="00B331F8"/>
    <w:rsid w:val="00B35060"/>
    <w:rsid w:val="00B60CC2"/>
    <w:rsid w:val="00B61622"/>
    <w:rsid w:val="00B61AFA"/>
    <w:rsid w:val="00B62549"/>
    <w:rsid w:val="00B64B2E"/>
    <w:rsid w:val="00B85B6E"/>
    <w:rsid w:val="00B87EBE"/>
    <w:rsid w:val="00B94D22"/>
    <w:rsid w:val="00B97A7A"/>
    <w:rsid w:val="00BA49C6"/>
    <w:rsid w:val="00BB09BB"/>
    <w:rsid w:val="00BB0C80"/>
    <w:rsid w:val="00BB1678"/>
    <w:rsid w:val="00BF2953"/>
    <w:rsid w:val="00C10721"/>
    <w:rsid w:val="00C12196"/>
    <w:rsid w:val="00C302FA"/>
    <w:rsid w:val="00C410CB"/>
    <w:rsid w:val="00C5144C"/>
    <w:rsid w:val="00C5234B"/>
    <w:rsid w:val="00C56497"/>
    <w:rsid w:val="00C712A5"/>
    <w:rsid w:val="00C750DD"/>
    <w:rsid w:val="00C90E60"/>
    <w:rsid w:val="00C948AA"/>
    <w:rsid w:val="00C968D3"/>
    <w:rsid w:val="00C97AB3"/>
    <w:rsid w:val="00CA4D6E"/>
    <w:rsid w:val="00CA6CB3"/>
    <w:rsid w:val="00CB384A"/>
    <w:rsid w:val="00CB6332"/>
    <w:rsid w:val="00CD1947"/>
    <w:rsid w:val="00CD57D8"/>
    <w:rsid w:val="00CE1BB4"/>
    <w:rsid w:val="00CF3B8F"/>
    <w:rsid w:val="00CF7D73"/>
    <w:rsid w:val="00D055E7"/>
    <w:rsid w:val="00D0797F"/>
    <w:rsid w:val="00D10B1F"/>
    <w:rsid w:val="00D12038"/>
    <w:rsid w:val="00D17ABC"/>
    <w:rsid w:val="00D20506"/>
    <w:rsid w:val="00D2568F"/>
    <w:rsid w:val="00D57A2D"/>
    <w:rsid w:val="00D61CFC"/>
    <w:rsid w:val="00D64906"/>
    <w:rsid w:val="00D64EE4"/>
    <w:rsid w:val="00D67FD8"/>
    <w:rsid w:val="00D77EC7"/>
    <w:rsid w:val="00D81CC2"/>
    <w:rsid w:val="00D87E36"/>
    <w:rsid w:val="00D90A20"/>
    <w:rsid w:val="00D9583A"/>
    <w:rsid w:val="00DB2053"/>
    <w:rsid w:val="00DB34F1"/>
    <w:rsid w:val="00DB4A90"/>
    <w:rsid w:val="00DC029B"/>
    <w:rsid w:val="00DC680E"/>
    <w:rsid w:val="00DE6BC0"/>
    <w:rsid w:val="00DF524E"/>
    <w:rsid w:val="00DF7DA0"/>
    <w:rsid w:val="00E003F2"/>
    <w:rsid w:val="00E06DFE"/>
    <w:rsid w:val="00E12DC1"/>
    <w:rsid w:val="00E15497"/>
    <w:rsid w:val="00E15F0E"/>
    <w:rsid w:val="00E16789"/>
    <w:rsid w:val="00E201A8"/>
    <w:rsid w:val="00E2646A"/>
    <w:rsid w:val="00E33533"/>
    <w:rsid w:val="00E36CF4"/>
    <w:rsid w:val="00E437B2"/>
    <w:rsid w:val="00E44740"/>
    <w:rsid w:val="00E52DFE"/>
    <w:rsid w:val="00E55795"/>
    <w:rsid w:val="00E71ED0"/>
    <w:rsid w:val="00E758B5"/>
    <w:rsid w:val="00E90C89"/>
    <w:rsid w:val="00EA23AD"/>
    <w:rsid w:val="00EA4981"/>
    <w:rsid w:val="00EC038F"/>
    <w:rsid w:val="00EC5653"/>
    <w:rsid w:val="00ED0D9E"/>
    <w:rsid w:val="00ED3CAF"/>
    <w:rsid w:val="00ED7B4A"/>
    <w:rsid w:val="00EE20F5"/>
    <w:rsid w:val="00EF1CBC"/>
    <w:rsid w:val="00EF7353"/>
    <w:rsid w:val="00F01F75"/>
    <w:rsid w:val="00F07A47"/>
    <w:rsid w:val="00F30C81"/>
    <w:rsid w:val="00F361E2"/>
    <w:rsid w:val="00F43444"/>
    <w:rsid w:val="00F436BC"/>
    <w:rsid w:val="00F4736A"/>
    <w:rsid w:val="00F5607A"/>
    <w:rsid w:val="00F72C06"/>
    <w:rsid w:val="00F74C24"/>
    <w:rsid w:val="00F7706D"/>
    <w:rsid w:val="00F8158D"/>
    <w:rsid w:val="00FA10D4"/>
    <w:rsid w:val="00FA5345"/>
    <w:rsid w:val="00FB633B"/>
    <w:rsid w:val="00FC11C0"/>
    <w:rsid w:val="00FD2ED8"/>
    <w:rsid w:val="00FD5004"/>
    <w:rsid w:val="00FD728F"/>
    <w:rsid w:val="00FE0D0D"/>
    <w:rsid w:val="00FF1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2A69A6A"/>
  <w15:docId w15:val="{639DA553-8A30-4A57-B94F-F536F2A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basedOn w:val="Normal"/>
    <w:link w:val="FootnoteTextChar"/>
    <w:uiPriority w:val="99"/>
    <w:semiHidden/>
    <w:unhideWhenUsed/>
    <w:rsid w:val="000B6A84"/>
    <w:rPr>
      <w:sz w:val="20"/>
    </w:rPr>
  </w:style>
  <w:style w:type="character" w:customStyle="1" w:styleId="FootnoteTextChar">
    <w:name w:val="Footnote Text Char"/>
    <w:basedOn w:val="DefaultParagraphFont"/>
    <w:link w:val="FootnoteText"/>
    <w:uiPriority w:val="99"/>
    <w:semiHidden/>
    <w:rsid w:val="000B6A84"/>
    <w:rPr>
      <w:rFonts w:ascii="Trebuchet MS" w:eastAsia="Times New Roman" w:hAnsi="Trebuchet MS"/>
    </w:rPr>
  </w:style>
  <w:style w:type="character" w:styleId="FootnoteReference">
    <w:name w:val="footnote reference"/>
    <w:basedOn w:val="DefaultParagraphFont"/>
    <w:uiPriority w:val="99"/>
    <w:semiHidden/>
    <w:unhideWhenUsed/>
    <w:qFormat/>
    <w:rsid w:val="000B6A84"/>
    <w:rPr>
      <w:vertAlign w:val="superscript"/>
    </w:rPr>
  </w:style>
  <w:style w:type="character" w:styleId="FollowedHyperlink">
    <w:name w:val="FollowedHyperlink"/>
    <w:basedOn w:val="DefaultParagraphFont"/>
    <w:uiPriority w:val="99"/>
    <w:semiHidden/>
    <w:unhideWhenUsed/>
    <w:rsid w:val="00E437B2"/>
    <w:rPr>
      <w:color w:val="800080" w:themeColor="followedHyperlink"/>
      <w:u w:val="single"/>
    </w:rPr>
  </w:style>
  <w:style w:type="character" w:styleId="UnresolvedMention">
    <w:name w:val="Unresolved Mention"/>
    <w:basedOn w:val="DefaultParagraphFont"/>
    <w:uiPriority w:val="99"/>
    <w:semiHidden/>
    <w:unhideWhenUsed/>
    <w:rsid w:val="002E5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sites/default/files/2021-11/Response%20to%20submissions%20-%20Finalising%20bank%20capital%20reforms.pdf" TargetMode="External"/><Relationship Id="rId1" Type="http://schemas.openxmlformats.org/officeDocument/2006/relationships/hyperlink" Target="https://www.apra.gov.au/revisions-to-capital-framework-for-authorised-deposit-taking-instit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Rowland, Paul</DisplayName>
        <AccountId>119</AccountId>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prudential standard; precedent; example</APRAKeywords>
    <APRAApprovedBy xmlns="814d62cb-2db6-4c25-ab62-b9075facbc11">
      <UserInfo>
        <DisplayName/>
        <AccountId xsi:nil="true"/>
        <AccountType/>
      </UserInfo>
    </APRAApprovedBy>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(prudential standard) determination No. 4 and 6 and 7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5JENXJJSCC7A-445999044-11881</_dlc_DocId>
    <_dlc_DocIdUrl xmlns="814d62cb-2db6-4c25-ab62-b9075facbc11">
      <Url>https://im/teams/LEGAL/_layouts/15/DocIdRedir.aspx?ID=5JENXJJSCC7A-445999044-11881</Url>
      <Description>5JENXJJSCC7A-445999044-11881</Description>
    </_dlc_DocIdUrl>
    <APRAMeetingDate xmlns="814d62cb-2db6-4c25-ab62-b9075facbc11" xsi:nil="true"/>
    <APRAMeetingNumber xmlns="814d62cb-2db6-4c25-ab62-b9075facbc1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EAF7C-C054-456D-BB6F-9A71CE16A5D9}">
  <ds:schemaRefs>
    <ds:schemaRef ds:uri="http://schemas.microsoft.com/sharepoint/events"/>
  </ds:schemaRefs>
</ds:datastoreItem>
</file>

<file path=customXml/itemProps2.xml><?xml version="1.0" encoding="utf-8"?>
<ds:datastoreItem xmlns:ds="http://schemas.openxmlformats.org/officeDocument/2006/customXml" ds:itemID="{AB542FB3-745E-4AE1-8F1C-9D29C17E2A97}">
  <ds:schemaRefs>
    <ds:schemaRef ds:uri="Microsoft.SharePoint.Taxonomy.ContentTypeSync"/>
  </ds:schemaRefs>
</ds:datastoreItem>
</file>

<file path=customXml/itemProps3.xml><?xml version="1.0" encoding="utf-8"?>
<ds:datastoreItem xmlns:ds="http://schemas.openxmlformats.org/officeDocument/2006/customXml" ds:itemID="{DDF15245-A9AF-4ACC-9FE1-3753A07DF3DC}">
  <ds:schemaRefs>
    <ds:schemaRef ds:uri="http://schemas.openxmlformats.org/officeDocument/2006/bibliography"/>
  </ds:schemaRefs>
</ds:datastoreItem>
</file>

<file path=customXml/itemProps4.xml><?xml version="1.0" encoding="utf-8"?>
<ds:datastoreItem xmlns:ds="http://schemas.openxmlformats.org/officeDocument/2006/customXml" ds:itemID="{6AD1B70D-A6A8-4556-B7C1-F94206C4A61B}">
  <ds:schemaRefs>
    <ds:schemaRef ds:uri="814d62cb-2db6-4c25-ab62-b9075facbc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6.xml><?xml version="1.0" encoding="utf-8"?>
<ds:datastoreItem xmlns:ds="http://schemas.openxmlformats.org/officeDocument/2006/customXml" ds:itemID="{CFC03F6F-F5BD-4210-B04B-ED042716E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2510</Words>
  <Characters>13983</Characters>
  <Application>Microsoft Office Word</Application>
  <DocSecurity>0</DocSecurity>
  <Lines>241</Lines>
  <Paragraphs>87</Paragraphs>
  <ScaleCrop>false</ScaleCrop>
  <HeadingPairs>
    <vt:vector size="2" baseType="variant">
      <vt:variant>
        <vt:lpstr>Title</vt:lpstr>
      </vt:variant>
      <vt:variant>
        <vt:i4>1</vt:i4>
      </vt:variant>
    </vt:vector>
  </HeadingPairs>
  <TitlesOfParts>
    <vt:vector size="1" baseType="lpstr">
      <vt:lpstr>Explanatory statement revoke and replace prudential standard</vt:lpstr>
    </vt:vector>
  </TitlesOfParts>
  <Company>APRA</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4 and 6 and 7 of 2022</dc:title>
  <dc:creator>Sullivan, David</dc:creator>
  <cp:keywords>[SEC=OFFICIAL]</cp:keywords>
  <cp:lastModifiedBy>Toni Michalis</cp:lastModifiedBy>
  <cp:revision>2</cp:revision>
  <cp:lastPrinted>2012-11-13T01:53:00Z</cp:lastPrinted>
  <dcterms:created xsi:type="dcterms:W3CDTF">2022-12-08T00:19:00Z</dcterms:created>
  <dcterms:modified xsi:type="dcterms:W3CDTF">2022-12-08T00:19:00Z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DC76EC7E20626F122B93873B5A0B5BDC8A2CFEEB</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21ED1FDBCD7D4344A20D6AFD8053454A</vt:lpwstr>
  </property>
  <property fmtid="{D5CDD505-2E9C-101B-9397-08002B2CF9AE}" pid="16" name="PM_OriginationTimeStamp">
    <vt:lpwstr>2022-12-08T00:19:21Z</vt:lpwstr>
  </property>
  <property fmtid="{D5CDD505-2E9C-101B-9397-08002B2CF9AE}" pid="17" name="PM_Hash_Version">
    <vt:lpwstr>2018.0</vt:lpwstr>
  </property>
  <property fmtid="{D5CDD505-2E9C-101B-9397-08002B2CF9AE}" pid="18" name="PM_Hash_Salt_Prev">
    <vt:lpwstr>B11950CD925C3F3B97918F4B452B6B42</vt:lpwstr>
  </property>
  <property fmtid="{D5CDD505-2E9C-101B-9397-08002B2CF9AE}" pid="19" name="PM_Hash_Salt">
    <vt:lpwstr>0E460771B62DD1E153DE41DD8B55F94E</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4" name="APRAYear">
    <vt:lpwstr/>
  </property>
  <property fmtid="{D5CDD505-2E9C-101B-9397-08002B2CF9AE}" pid="25" name="APRAIndustry">
    <vt:lpwstr/>
  </property>
  <property fmtid="{D5CDD505-2E9C-101B-9397-08002B2CF9AE}" pid="26" name="APRAPRSG">
    <vt:lpwstr/>
  </property>
  <property fmtid="{D5CDD505-2E9C-101B-9397-08002B2CF9AE}" pid="27" name="_dlc_DocIdItemGuid">
    <vt:lpwstr>aff7afa0-dca4-4651-8480-032a40bfb47c</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{aff7afa0-dca4-4651-8480-032a40bfb47c}</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_docset_NoMedatataSyncRequired">
    <vt:lpwstr>False</vt:lpwstr>
  </property>
  <property fmtid="{D5CDD505-2E9C-101B-9397-08002B2CF9AE}" pid="46" name="PM_SecurityClassification_Prev">
    <vt:lpwstr>OFFICIAL</vt:lpwstr>
  </property>
  <property fmtid="{D5CDD505-2E9C-101B-9397-08002B2CF9AE}" pid="47" name="PM_Qualifier_Prev">
    <vt:lpwstr/>
  </property>
  <property fmtid="{D5CDD505-2E9C-101B-9397-08002B2CF9AE}" pid="48" name="PM_Note">
    <vt:lpwstr/>
  </property>
  <property fmtid="{D5CDD505-2E9C-101B-9397-08002B2CF9AE}" pid="49" name="PM_Markers">
    <vt:lpwstr/>
  </property>
  <property fmtid="{D5CDD505-2E9C-101B-9397-08002B2CF9AE}" pid="50" name="PM_Display">
    <vt:lpwstr>OFFICIAL</vt:lpwstr>
  </property>
  <property fmtid="{D5CDD505-2E9C-101B-9397-08002B2CF9AE}" pid="51" name="PM_OriginatorUserAccountName_SHA256">
    <vt:lpwstr>6E3018F28A186D2E5FF5207C041E7A82E907C3008E071057026A53705873B72E</vt:lpwstr>
  </property>
  <property fmtid="{D5CDD505-2E9C-101B-9397-08002B2CF9AE}" pid="52" name="PM_OriginatorDomainName_SHA256">
    <vt:lpwstr>ECBDE2B44A971754412B3FB70606937A119CC0D4B6C1B658A40FBD41C30BE3EC</vt:lpwstr>
  </property>
  <property fmtid="{D5CDD505-2E9C-101B-9397-08002B2CF9AE}" pid="53" name="RecordPoint_SubmissionDate">
    <vt:lpwstr/>
  </property>
  <property fmtid="{D5CDD505-2E9C-101B-9397-08002B2CF9AE}" pid="54" name="RecordPoint_ActiveItemMoved">
    <vt:lpwstr/>
  </property>
  <property fmtid="{D5CDD505-2E9C-101B-9397-08002B2CF9AE}" pid="55" name="RecordPoint_RecordFormat">
    <vt:lpwstr/>
  </property>
  <property fmtid="{D5CDD505-2E9C-101B-9397-08002B2CF9AE}" pid="56" name="MSIP_Label_c0129afb-6481-4f92-bc9f-5a4a6346364d_SetDate">
    <vt:lpwstr>2022-12-07T21:56:00Z</vt:lpwstr>
  </property>
  <property fmtid="{D5CDD505-2E9C-101B-9397-08002B2CF9AE}" pid="57" name="PMUuid">
    <vt:lpwstr>2A74E7A6-2821-5142-8C4A-BF7684DF216B</vt:lpwstr>
  </property>
  <property fmtid="{D5CDD505-2E9C-101B-9397-08002B2CF9AE}" pid="58" name="PMUuidVer">
    <vt:lpwstr>2022.1</vt:lpwstr>
  </property>
  <property fmtid="{D5CDD505-2E9C-101B-9397-08002B2CF9AE}" pid="59" name="MSIP_Label_c0129afb-6481-4f92-bc9f-5a4a6346364d_Name">
    <vt:lpwstr>OFFICIAL</vt:lpwstr>
  </property>
  <property fmtid="{D5CDD505-2E9C-101B-9397-08002B2CF9AE}" pid="60" name="MSIP_Label_c0129afb-6481-4f92-bc9f-5a4a6346364d_SiteId">
    <vt:lpwstr>c05e3ffd-b491-4431-9809-e61d4dc78816</vt:lpwstr>
  </property>
  <property fmtid="{D5CDD505-2E9C-101B-9397-08002B2CF9AE}" pid="61" name="MSIP_Label_c0129afb-6481-4f92-bc9f-5a4a6346364d_Enabled">
    <vt:lpwstr>true</vt:lpwstr>
  </property>
</Properties>
</file>