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87CF" w14:textId="07321BC7" w:rsidR="0053473E" w:rsidRPr="00396FC6" w:rsidRDefault="00AA17E6" w:rsidP="00AA17E6">
      <w:pPr>
        <w:jc w:val="center"/>
        <w:rPr>
          <w:rFonts w:ascii="Times New Roman" w:hAnsi="Times New Roman" w:cs="Times New Roman"/>
          <w:sz w:val="24"/>
          <w:szCs w:val="24"/>
        </w:rPr>
      </w:pPr>
      <w:bookmarkStart w:id="0" w:name="_GoBack"/>
      <w:bookmarkEnd w:id="0"/>
      <w:r w:rsidRPr="00396FC6">
        <w:rPr>
          <w:rFonts w:ascii="Times New Roman" w:eastAsia="Times New Roman" w:hAnsi="Times New Roman" w:cs="Times New Roman"/>
          <w:b/>
          <w:bCs/>
          <w:caps/>
          <w:kern w:val="32"/>
          <w:sz w:val="24"/>
          <w:szCs w:val="24"/>
          <w:u w:val="single"/>
        </w:rPr>
        <w:t xml:space="preserve">FAMILY LAW (CHILD ABDUCTION CONVENTION) AMENDMENT </w:t>
      </w:r>
      <w:r w:rsidR="006645D8" w:rsidRPr="00396FC6">
        <w:rPr>
          <w:rFonts w:ascii="Times New Roman" w:eastAsia="Times New Roman" w:hAnsi="Times New Roman" w:cs="Times New Roman"/>
          <w:b/>
          <w:bCs/>
          <w:caps/>
          <w:kern w:val="32"/>
          <w:sz w:val="24"/>
          <w:szCs w:val="24"/>
          <w:u w:val="single"/>
        </w:rPr>
        <w:t xml:space="preserve">(Family violence) </w:t>
      </w:r>
      <w:r w:rsidRPr="00396FC6">
        <w:rPr>
          <w:rFonts w:ascii="Times New Roman" w:eastAsia="Times New Roman" w:hAnsi="Times New Roman" w:cs="Times New Roman"/>
          <w:b/>
          <w:bCs/>
          <w:caps/>
          <w:kern w:val="32"/>
          <w:sz w:val="24"/>
          <w:szCs w:val="24"/>
          <w:u w:val="single"/>
        </w:rPr>
        <w:t>REGULATIONS 2022</w:t>
      </w:r>
    </w:p>
    <w:p w14:paraId="2ABC03D1" w14:textId="77777777" w:rsidR="0053473E" w:rsidRPr="00396FC6" w:rsidRDefault="0053473E" w:rsidP="0053473E">
      <w:pPr>
        <w:pStyle w:val="Heading1"/>
        <w:spacing w:before="0" w:after="0"/>
        <w:jc w:val="center"/>
        <w:rPr>
          <w:rFonts w:ascii="Times New Roman" w:hAnsi="Times New Roman"/>
          <w:b/>
          <w:sz w:val="24"/>
          <w:szCs w:val="24"/>
          <w:u w:val="single"/>
        </w:rPr>
      </w:pPr>
      <w:r w:rsidRPr="00396FC6">
        <w:rPr>
          <w:rFonts w:ascii="Times New Roman" w:hAnsi="Times New Roman"/>
          <w:b/>
          <w:sz w:val="24"/>
          <w:szCs w:val="24"/>
          <w:u w:val="single"/>
        </w:rPr>
        <w:t xml:space="preserve">EXPLANATORY STATEMENT </w:t>
      </w:r>
      <w:r w:rsidRPr="00396FC6">
        <w:rPr>
          <w:rFonts w:ascii="Times New Roman" w:hAnsi="Times New Roman"/>
          <w:b/>
          <w:sz w:val="24"/>
          <w:szCs w:val="24"/>
          <w:u w:val="single"/>
        </w:rPr>
        <w:br/>
      </w:r>
    </w:p>
    <w:p w14:paraId="09EB26D2" w14:textId="77777777" w:rsidR="0053473E" w:rsidRPr="00396FC6" w:rsidRDefault="0053473E" w:rsidP="0053473E">
      <w:pPr>
        <w:jc w:val="center"/>
        <w:rPr>
          <w:rFonts w:ascii="Times New Roman" w:hAnsi="Times New Roman" w:cs="Times New Roman"/>
          <w:sz w:val="24"/>
          <w:szCs w:val="24"/>
        </w:rPr>
      </w:pPr>
      <w:r w:rsidRPr="00396FC6">
        <w:rPr>
          <w:rFonts w:ascii="Times New Roman" w:hAnsi="Times New Roman" w:cs="Times New Roman"/>
          <w:sz w:val="24"/>
          <w:szCs w:val="24"/>
        </w:rPr>
        <w:t xml:space="preserve">Issued by authority of the Attorney-General </w:t>
      </w:r>
    </w:p>
    <w:p w14:paraId="0590A7AE" w14:textId="77777777" w:rsidR="000B3210" w:rsidRPr="00396FC6" w:rsidRDefault="00AA17E6" w:rsidP="0053473E">
      <w:pPr>
        <w:jc w:val="center"/>
        <w:rPr>
          <w:rFonts w:ascii="Times New Roman" w:hAnsi="Times New Roman" w:cs="Times New Roman"/>
          <w:i/>
          <w:sz w:val="24"/>
          <w:szCs w:val="24"/>
        </w:rPr>
      </w:pPr>
      <w:r w:rsidRPr="00396FC6">
        <w:rPr>
          <w:rFonts w:ascii="Times New Roman" w:hAnsi="Times New Roman" w:cs="Times New Roman"/>
          <w:sz w:val="24"/>
          <w:szCs w:val="24"/>
        </w:rPr>
        <w:t>under subsection 125(1) of the</w:t>
      </w:r>
      <w:r w:rsidRPr="00396FC6">
        <w:rPr>
          <w:rFonts w:ascii="Times New Roman" w:hAnsi="Times New Roman" w:cs="Times New Roman"/>
          <w:i/>
          <w:sz w:val="24"/>
          <w:szCs w:val="24"/>
        </w:rPr>
        <w:t xml:space="preserve"> </w:t>
      </w:r>
      <w:r w:rsidR="0053473E" w:rsidRPr="00396FC6">
        <w:rPr>
          <w:rFonts w:ascii="Times New Roman" w:hAnsi="Times New Roman" w:cs="Times New Roman"/>
          <w:i/>
          <w:sz w:val="24"/>
          <w:szCs w:val="24"/>
        </w:rPr>
        <w:t>Family Law Act 1975</w:t>
      </w:r>
    </w:p>
    <w:p w14:paraId="2EBEFFAE" w14:textId="75E8F875" w:rsidR="00AA17E6" w:rsidRPr="00396FC6" w:rsidRDefault="00AA17E6" w:rsidP="0053473E">
      <w:pPr>
        <w:jc w:val="center"/>
        <w:rPr>
          <w:rFonts w:ascii="Times New Roman" w:hAnsi="Times New Roman" w:cs="Times New Roman"/>
          <w:sz w:val="24"/>
          <w:szCs w:val="24"/>
        </w:rPr>
      </w:pPr>
      <w:r w:rsidRPr="00396FC6">
        <w:rPr>
          <w:rFonts w:ascii="Times New Roman" w:eastAsia="Times New Roman" w:hAnsi="Times New Roman" w:cs="Times New Roman"/>
          <w:i/>
          <w:color w:val="000000" w:themeColor="text1"/>
          <w:sz w:val="24"/>
          <w:szCs w:val="24"/>
          <w:lang w:eastAsia="en-AU"/>
        </w:rPr>
        <w:t>Family Law (Child Abduction Convention) Regulations 1986</w:t>
      </w:r>
    </w:p>
    <w:p w14:paraId="3D49CDCC" w14:textId="4E206133" w:rsidR="0053473E" w:rsidRPr="00396FC6" w:rsidRDefault="0053473E" w:rsidP="0053473E">
      <w:pPr>
        <w:rPr>
          <w:rFonts w:ascii="Times New Roman" w:hAnsi="Times New Roman" w:cs="Times New Roman"/>
          <w:b/>
          <w:sz w:val="24"/>
          <w:szCs w:val="24"/>
        </w:rPr>
      </w:pPr>
      <w:r w:rsidRPr="00396FC6">
        <w:rPr>
          <w:rFonts w:ascii="Times New Roman" w:hAnsi="Times New Roman" w:cs="Times New Roman"/>
          <w:b/>
          <w:caps/>
          <w:sz w:val="24"/>
          <w:szCs w:val="24"/>
        </w:rPr>
        <w:t>Purpose and operation of the Instrument</w:t>
      </w:r>
    </w:p>
    <w:p w14:paraId="5F3C94CA" w14:textId="7A8A19A3" w:rsidR="00E83C03" w:rsidRPr="00396FC6" w:rsidRDefault="00E83C03" w:rsidP="00C91DD2">
      <w:pPr>
        <w:spacing w:before="240" w:after="0"/>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Subsection 125(1) of the </w:t>
      </w:r>
      <w:r w:rsidRPr="00396FC6">
        <w:rPr>
          <w:rFonts w:ascii="Times New Roman" w:hAnsi="Times New Roman" w:cs="Times New Roman"/>
          <w:i/>
          <w:color w:val="000000" w:themeColor="text1"/>
          <w:sz w:val="24"/>
          <w:szCs w:val="24"/>
        </w:rPr>
        <w:t>Family Law Act 1975</w:t>
      </w:r>
      <w:r w:rsidRPr="00396FC6">
        <w:rPr>
          <w:rFonts w:ascii="Times New Roman" w:hAnsi="Times New Roman" w:cs="Times New Roman"/>
          <w:color w:val="000000" w:themeColor="text1"/>
          <w:sz w:val="24"/>
          <w:szCs w:val="24"/>
        </w:rPr>
        <w:t> (the Act) provides, in part, that the Governor</w:t>
      </w:r>
      <w:r w:rsidRPr="00396FC6">
        <w:rPr>
          <w:rFonts w:ascii="Times New Roman" w:hAnsi="Times New Roman" w:cs="Times New Roman"/>
          <w:color w:val="000000" w:themeColor="text1"/>
          <w:sz w:val="24"/>
          <w:szCs w:val="24"/>
        </w:rPr>
        <w:noBreakHyphen/>
        <w:t>General may make regulations, not inconsistent with this Act, prescribing all matters that are required or permitted by the Act to be prescribed or are necessary or convenient to be prescribed for carrying out or giving effect to the Act.</w:t>
      </w:r>
    </w:p>
    <w:p w14:paraId="54614588" w14:textId="77777777" w:rsidR="00C91DD2" w:rsidRPr="00396FC6" w:rsidRDefault="00E83C03" w:rsidP="00C91DD2">
      <w:pPr>
        <w:spacing w:before="240" w:after="0"/>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 xml:space="preserve">Section 111B of the Act provides that the regulations may make such provision as is necessary or convenient to enable Australia to perform its obligations, or obtain any advantage or benefit, under the 1980 Hague </w:t>
      </w:r>
      <w:r w:rsidRPr="008328B3">
        <w:rPr>
          <w:rFonts w:ascii="Times New Roman" w:hAnsi="Times New Roman" w:cs="Times New Roman"/>
          <w:i/>
          <w:color w:val="000000" w:themeColor="text1"/>
          <w:sz w:val="24"/>
          <w:szCs w:val="24"/>
        </w:rPr>
        <w:t>Convention on the Civil Aspects of International Child Abduction</w:t>
      </w:r>
      <w:r w:rsidRPr="00396FC6">
        <w:rPr>
          <w:rFonts w:ascii="Times New Roman" w:hAnsi="Times New Roman" w:cs="Times New Roman"/>
          <w:color w:val="000000" w:themeColor="text1"/>
          <w:sz w:val="24"/>
          <w:szCs w:val="24"/>
        </w:rPr>
        <w:t xml:space="preserve"> (the Convention).  The Convention deals with the civil, not criminal, aspects of international child abduction.</w:t>
      </w:r>
    </w:p>
    <w:p w14:paraId="0C6E7239" w14:textId="40BE385E" w:rsidR="00C91DD2" w:rsidRPr="00396FC6" w:rsidRDefault="00C91DD2" w:rsidP="00C91DD2">
      <w:pPr>
        <w:spacing w:before="240" w:after="0"/>
        <w:rPr>
          <w:rFonts w:ascii="Times New Roman" w:hAnsi="Times New Roman" w:cs="Times New Roman"/>
          <w:color w:val="000000" w:themeColor="text1"/>
          <w:sz w:val="24"/>
          <w:szCs w:val="24"/>
        </w:rPr>
      </w:pPr>
      <w:r w:rsidRPr="00396FC6">
        <w:rPr>
          <w:rFonts w:ascii="Times New Roman" w:eastAsia="Times New Roman" w:hAnsi="Times New Roman" w:cs="Times New Roman"/>
          <w:color w:val="000000"/>
          <w:sz w:val="24"/>
          <w:szCs w:val="24"/>
          <w:lang w:eastAsia="en-AU"/>
        </w:rPr>
        <w:t xml:space="preserve">Regulation 1A of the </w:t>
      </w:r>
      <w:r w:rsidRPr="008328B3">
        <w:rPr>
          <w:rFonts w:ascii="Times New Roman" w:eastAsia="Times New Roman" w:hAnsi="Times New Roman" w:cs="Times New Roman"/>
          <w:i/>
          <w:color w:val="000000"/>
          <w:sz w:val="24"/>
          <w:szCs w:val="24"/>
          <w:lang w:eastAsia="en-AU"/>
        </w:rPr>
        <w:t>Family Law (Child Abduction Convention) Regulations 1986</w:t>
      </w:r>
      <w:r w:rsidRPr="00396FC6">
        <w:rPr>
          <w:rFonts w:ascii="Times New Roman" w:eastAsia="Times New Roman" w:hAnsi="Times New Roman" w:cs="Times New Roman"/>
          <w:color w:val="000000"/>
          <w:sz w:val="24"/>
          <w:szCs w:val="24"/>
          <w:lang w:eastAsia="en-AU"/>
        </w:rPr>
        <w:t xml:space="preserve"> (the</w:t>
      </w:r>
      <w:r w:rsidR="00802602">
        <w:rPr>
          <w:rFonts w:ascii="Times New Roman" w:eastAsia="Times New Roman" w:hAnsi="Times New Roman" w:cs="Times New Roman"/>
          <w:color w:val="000000"/>
          <w:sz w:val="24"/>
          <w:szCs w:val="24"/>
          <w:lang w:eastAsia="en-AU"/>
        </w:rPr>
        <w:t> </w:t>
      </w:r>
      <w:r w:rsidRPr="00396FC6">
        <w:rPr>
          <w:rFonts w:ascii="Times New Roman" w:eastAsia="Times New Roman" w:hAnsi="Times New Roman" w:cs="Times New Roman"/>
          <w:color w:val="000000"/>
          <w:sz w:val="24"/>
          <w:szCs w:val="24"/>
          <w:lang w:eastAsia="en-AU"/>
        </w:rPr>
        <w:t>Principal Regulations) provides that the purpose of the Regulations is to give effect to section 111B of the Act, and that the Regulations are to be construed having regard to the principles and objects of the Convention.</w:t>
      </w:r>
    </w:p>
    <w:p w14:paraId="7B1C384D" w14:textId="77777777" w:rsidR="00C91DD2" w:rsidRPr="00396FC6" w:rsidRDefault="00E83C03" w:rsidP="00C91DD2">
      <w:pPr>
        <w:spacing w:before="240" w:after="0"/>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The objects of the Convention are to secure the prompt return of children wrongfully removed to or retained in any Convention country, and to ensure that rights of custody and access to children under the laws of a Convention country are effectively respected in the other Convention countries.  Australia signed and ratified the Convention on 25 October 1986, and the Convention came into force in respect of Australia on 1 January 1987.</w:t>
      </w:r>
    </w:p>
    <w:p w14:paraId="67767D57" w14:textId="4F3B4A61" w:rsidR="00FF332A" w:rsidRPr="00396FC6" w:rsidRDefault="00EE48D1" w:rsidP="00FF332A">
      <w:pPr>
        <w:spacing w:before="240" w:after="0"/>
        <w:jc w:val="both"/>
        <w:rPr>
          <w:rFonts w:ascii="Times New Roman" w:hAnsi="Times New Roman" w:cs="Times New Roman"/>
          <w:color w:val="000000" w:themeColor="text1"/>
          <w:sz w:val="24"/>
          <w:szCs w:val="24"/>
        </w:rPr>
      </w:pPr>
      <w:r w:rsidRPr="00396FC6">
        <w:rPr>
          <w:rFonts w:ascii="Times New Roman" w:hAnsi="Times New Roman" w:cs="Times New Roman"/>
          <w:sz w:val="24"/>
          <w:szCs w:val="24"/>
        </w:rPr>
        <w:t>The Principal Regulations prescribe information to support the operation of the Family Law Act with respect to matters arising under the Convention.</w:t>
      </w:r>
    </w:p>
    <w:p w14:paraId="536671F3" w14:textId="31892533" w:rsidR="00EE48D1" w:rsidRPr="00396FC6" w:rsidRDefault="00FF332A" w:rsidP="00FF332A">
      <w:pPr>
        <w:spacing w:before="240" w:after="0"/>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 xml:space="preserve">The purpose of the </w:t>
      </w:r>
      <w:r w:rsidRPr="00396FC6">
        <w:rPr>
          <w:rFonts w:ascii="Times New Roman" w:hAnsi="Times New Roman" w:cs="Times New Roman"/>
          <w:i/>
          <w:color w:val="000000" w:themeColor="text1"/>
          <w:sz w:val="24"/>
          <w:szCs w:val="24"/>
        </w:rPr>
        <w:t>Family Law (Child Abduction Convention) Amendment (Family Violence) Regulations 202</w:t>
      </w:r>
      <w:r w:rsidR="006711F4">
        <w:rPr>
          <w:rFonts w:ascii="Times New Roman" w:hAnsi="Times New Roman" w:cs="Times New Roman"/>
          <w:i/>
          <w:color w:val="000000" w:themeColor="text1"/>
          <w:sz w:val="24"/>
          <w:szCs w:val="24"/>
        </w:rPr>
        <w:t>2</w:t>
      </w:r>
      <w:r w:rsidRPr="00396FC6">
        <w:rPr>
          <w:rFonts w:ascii="Times New Roman" w:hAnsi="Times New Roman" w:cs="Times New Roman"/>
          <w:color w:val="000000" w:themeColor="text1"/>
          <w:sz w:val="24"/>
          <w:szCs w:val="24"/>
        </w:rPr>
        <w:t xml:space="preserve"> (the Amendment Regulations) </w:t>
      </w:r>
      <w:r w:rsidRPr="00396FC6">
        <w:rPr>
          <w:rFonts w:ascii="Times New Roman" w:eastAsia="Times New Roman" w:hAnsi="Times New Roman" w:cs="Times New Roman"/>
          <w:sz w:val="24"/>
          <w:szCs w:val="24"/>
          <w:lang w:eastAsia="en-AU"/>
        </w:rPr>
        <w:t xml:space="preserve">is to amend the Principal Regulations to clarify the operation of the Convention in Australia through its implementing legislation. </w:t>
      </w:r>
      <w:bookmarkStart w:id="1" w:name="_Hlk119588435"/>
      <w:r w:rsidR="00000443" w:rsidRPr="00396FC6">
        <w:rPr>
          <w:rFonts w:ascii="Times New Roman" w:eastAsia="Times New Roman" w:hAnsi="Times New Roman" w:cs="Times New Roman"/>
          <w:sz w:val="24"/>
          <w:szCs w:val="24"/>
          <w:lang w:eastAsia="en-AU"/>
        </w:rPr>
        <w:t xml:space="preserve">In particular, the </w:t>
      </w:r>
      <w:r w:rsidR="002974BA">
        <w:rPr>
          <w:rFonts w:ascii="Times New Roman" w:eastAsia="Times New Roman" w:hAnsi="Times New Roman" w:cs="Times New Roman"/>
          <w:sz w:val="24"/>
          <w:szCs w:val="24"/>
          <w:lang w:eastAsia="en-AU"/>
        </w:rPr>
        <w:t xml:space="preserve">Amendment </w:t>
      </w:r>
      <w:r w:rsidR="00000443" w:rsidRPr="00396FC6">
        <w:rPr>
          <w:rFonts w:ascii="Times New Roman" w:eastAsia="Times New Roman" w:hAnsi="Times New Roman" w:cs="Times New Roman"/>
          <w:sz w:val="24"/>
          <w:szCs w:val="24"/>
          <w:lang w:eastAsia="en-AU"/>
        </w:rPr>
        <w:t xml:space="preserve">Regulations seek to </w:t>
      </w:r>
      <w:r w:rsidR="00261676">
        <w:rPr>
          <w:rFonts w:ascii="Times New Roman" w:eastAsia="Times New Roman" w:hAnsi="Times New Roman" w:cs="Times New Roman"/>
          <w:sz w:val="24"/>
          <w:szCs w:val="24"/>
          <w:lang w:eastAsia="en-AU"/>
        </w:rPr>
        <w:t>clarify the judicial hand</w:t>
      </w:r>
      <w:r w:rsidR="00875B4B">
        <w:rPr>
          <w:rFonts w:ascii="Times New Roman" w:eastAsia="Times New Roman" w:hAnsi="Times New Roman" w:cs="Times New Roman"/>
          <w:sz w:val="24"/>
          <w:szCs w:val="24"/>
          <w:lang w:eastAsia="en-AU"/>
        </w:rPr>
        <w:t>l</w:t>
      </w:r>
      <w:r w:rsidR="00261676">
        <w:rPr>
          <w:rFonts w:ascii="Times New Roman" w:eastAsia="Times New Roman" w:hAnsi="Times New Roman" w:cs="Times New Roman"/>
          <w:sz w:val="24"/>
          <w:szCs w:val="24"/>
          <w:lang w:eastAsia="en-AU"/>
        </w:rPr>
        <w:t xml:space="preserve">ing of </w:t>
      </w:r>
      <w:r w:rsidR="0059648E" w:rsidRPr="00396FC6">
        <w:rPr>
          <w:rFonts w:ascii="Times New Roman" w:eastAsia="Times New Roman" w:hAnsi="Times New Roman" w:cs="Times New Roman"/>
          <w:sz w:val="24"/>
          <w:szCs w:val="24"/>
          <w:lang w:eastAsia="en-AU"/>
        </w:rPr>
        <w:t xml:space="preserve">family violence risks </w:t>
      </w:r>
      <w:r w:rsidR="00261676">
        <w:rPr>
          <w:rFonts w:ascii="Times New Roman" w:eastAsia="Times New Roman" w:hAnsi="Times New Roman" w:cs="Times New Roman"/>
          <w:sz w:val="24"/>
          <w:szCs w:val="24"/>
          <w:lang w:eastAsia="en-AU"/>
        </w:rPr>
        <w:t xml:space="preserve">in matters brought under the Convention, and codify </w:t>
      </w:r>
      <w:r w:rsidR="009E7A5B">
        <w:rPr>
          <w:rFonts w:ascii="Times New Roman" w:eastAsia="Times New Roman" w:hAnsi="Times New Roman" w:cs="Times New Roman"/>
          <w:sz w:val="24"/>
          <w:szCs w:val="24"/>
          <w:lang w:eastAsia="en-AU"/>
        </w:rPr>
        <w:t xml:space="preserve">judicial </w:t>
      </w:r>
      <w:r w:rsidR="00261676">
        <w:rPr>
          <w:rFonts w:ascii="Times New Roman" w:eastAsia="Times New Roman" w:hAnsi="Times New Roman" w:cs="Times New Roman"/>
          <w:sz w:val="24"/>
          <w:szCs w:val="24"/>
          <w:lang w:eastAsia="en-AU"/>
        </w:rPr>
        <w:t>good practice</w:t>
      </w:r>
      <w:r w:rsidR="0059648E" w:rsidRPr="00396FC6">
        <w:rPr>
          <w:rFonts w:ascii="Times New Roman" w:eastAsia="Times New Roman" w:hAnsi="Times New Roman" w:cs="Times New Roman"/>
          <w:sz w:val="24"/>
          <w:szCs w:val="24"/>
          <w:lang w:eastAsia="en-AU"/>
        </w:rPr>
        <w:t xml:space="preserve">. </w:t>
      </w:r>
      <w:r w:rsidRPr="00396FC6">
        <w:rPr>
          <w:rFonts w:ascii="Times New Roman" w:eastAsia="Times New Roman" w:hAnsi="Times New Roman" w:cs="Times New Roman"/>
          <w:sz w:val="24"/>
          <w:szCs w:val="24"/>
          <w:lang w:eastAsia="en-AU"/>
        </w:rPr>
        <w:t xml:space="preserve">Specifically, the </w:t>
      </w:r>
      <w:r w:rsidR="002974BA">
        <w:rPr>
          <w:rFonts w:ascii="Times New Roman" w:eastAsia="Times New Roman" w:hAnsi="Times New Roman" w:cs="Times New Roman"/>
          <w:sz w:val="24"/>
          <w:szCs w:val="24"/>
          <w:lang w:eastAsia="en-AU"/>
        </w:rPr>
        <w:t xml:space="preserve">Amendment </w:t>
      </w:r>
      <w:r w:rsidRPr="00396FC6">
        <w:rPr>
          <w:rFonts w:ascii="Times New Roman" w:eastAsia="Times New Roman" w:hAnsi="Times New Roman" w:cs="Times New Roman"/>
          <w:sz w:val="24"/>
          <w:szCs w:val="24"/>
          <w:lang w:eastAsia="en-AU"/>
        </w:rPr>
        <w:t>Regulations:</w:t>
      </w:r>
    </w:p>
    <w:p w14:paraId="29988141" w14:textId="77777777" w:rsidR="00FF332A" w:rsidRPr="00396FC6" w:rsidRDefault="00FF332A" w:rsidP="00FF332A">
      <w:pPr>
        <w:spacing w:after="0" w:line="240" w:lineRule="auto"/>
        <w:ind w:right="91"/>
        <w:rPr>
          <w:rFonts w:ascii="Times New Roman" w:eastAsia="Times New Roman" w:hAnsi="Times New Roman" w:cs="Times New Roman"/>
          <w:sz w:val="24"/>
          <w:szCs w:val="24"/>
          <w:lang w:eastAsia="en-AU"/>
        </w:rPr>
      </w:pPr>
    </w:p>
    <w:p w14:paraId="0048505A" w14:textId="699EBA4C" w:rsidR="006711F4" w:rsidRDefault="006711F4" w:rsidP="006711F4">
      <w:pPr>
        <w:numPr>
          <w:ilvl w:val="0"/>
          <w:numId w:val="16"/>
        </w:numPr>
        <w:spacing w:after="0" w:line="240" w:lineRule="auto"/>
        <w:ind w:right="91"/>
        <w:contextualSpacing/>
        <w:rPr>
          <w:rFonts w:ascii="Times New Roman" w:eastAsia="Times New Roman" w:hAnsi="Times New Roman" w:cs="Times New Roman"/>
          <w:sz w:val="24"/>
          <w:lang w:val="en-GB" w:eastAsia="en-AU"/>
        </w:rPr>
      </w:pPr>
      <w:bookmarkStart w:id="2" w:name="_Hlk119869162"/>
      <w:bookmarkStart w:id="3" w:name="_Hlk119869644"/>
      <w:r w:rsidRPr="00A360A5">
        <w:rPr>
          <w:rFonts w:ascii="Times New Roman" w:eastAsia="Times New Roman" w:hAnsi="Times New Roman" w:cs="Times New Roman"/>
          <w:sz w:val="24"/>
          <w:lang w:val="en-GB" w:eastAsia="en-AU"/>
        </w:rPr>
        <w:t>clarify that court consideration of the ‘grave risk defence’ in paragraph 16(3)(b) can include consideration of any risk that the child would be subjected or exposed to family violence</w:t>
      </w:r>
      <w:r>
        <w:rPr>
          <w:rFonts w:ascii="Times New Roman" w:eastAsia="Times New Roman" w:hAnsi="Times New Roman" w:cs="Times New Roman"/>
          <w:sz w:val="24"/>
          <w:lang w:val="en-GB" w:eastAsia="en-AU"/>
        </w:rPr>
        <w:t xml:space="preserve">, </w:t>
      </w:r>
      <w:r w:rsidRPr="00A360A5">
        <w:rPr>
          <w:rFonts w:ascii="Times New Roman" w:eastAsia="Times New Roman" w:hAnsi="Times New Roman" w:cs="Times New Roman"/>
          <w:sz w:val="24"/>
          <w:lang w:val="en-GB" w:eastAsia="en-AU"/>
        </w:rPr>
        <w:t xml:space="preserve">regardless of whether the </w:t>
      </w:r>
      <w:bookmarkStart w:id="4" w:name="_Hlk120189199"/>
      <w:r w:rsidRPr="00A360A5">
        <w:rPr>
          <w:rFonts w:ascii="Times New Roman" w:eastAsia="Times New Roman" w:hAnsi="Times New Roman" w:cs="Times New Roman"/>
          <w:sz w:val="24"/>
          <w:lang w:val="en-GB" w:eastAsia="en-AU"/>
        </w:rPr>
        <w:t xml:space="preserve">court </w:t>
      </w:r>
      <w:r>
        <w:rPr>
          <w:rFonts w:ascii="Times New Roman" w:eastAsia="Times New Roman" w:hAnsi="Times New Roman" w:cs="Times New Roman"/>
          <w:sz w:val="24"/>
          <w:lang w:val="en-GB" w:eastAsia="en-AU"/>
        </w:rPr>
        <w:t>is satisfied</w:t>
      </w:r>
      <w:r w:rsidRPr="00A360A5">
        <w:rPr>
          <w:rFonts w:ascii="Times New Roman" w:eastAsia="Times New Roman" w:hAnsi="Times New Roman" w:cs="Times New Roman"/>
          <w:sz w:val="24"/>
          <w:lang w:val="en-GB" w:eastAsia="en-AU"/>
        </w:rPr>
        <w:t xml:space="preserve"> that </w:t>
      </w:r>
      <w:r w:rsidRPr="006711F4">
        <w:rPr>
          <w:rFonts w:ascii="Times New Roman" w:eastAsia="Times New Roman" w:hAnsi="Times New Roman" w:cs="Times New Roman"/>
          <w:sz w:val="24"/>
          <w:lang w:val="en-GB" w:eastAsia="en-AU"/>
        </w:rPr>
        <w:t>family violence has occurred, will occur or is likely to occur</w:t>
      </w:r>
      <w:bookmarkEnd w:id="4"/>
      <w:r w:rsidRPr="00A360A5">
        <w:rPr>
          <w:rFonts w:ascii="Times New Roman" w:eastAsia="Times New Roman" w:hAnsi="Times New Roman" w:cs="Times New Roman"/>
          <w:sz w:val="24"/>
          <w:lang w:val="en-GB" w:eastAsia="en-AU"/>
        </w:rPr>
        <w:t xml:space="preserve">; </w:t>
      </w:r>
    </w:p>
    <w:p w14:paraId="369553A0" w14:textId="77777777" w:rsidR="00A360A5" w:rsidRPr="00A360A5" w:rsidRDefault="00A360A5" w:rsidP="00A360A5">
      <w:pPr>
        <w:numPr>
          <w:ilvl w:val="0"/>
          <w:numId w:val="16"/>
        </w:numPr>
        <w:spacing w:after="0" w:line="240" w:lineRule="auto"/>
        <w:ind w:right="91"/>
        <w:contextualSpacing/>
        <w:rPr>
          <w:rFonts w:ascii="Times New Roman" w:eastAsia="Times New Roman" w:hAnsi="Times New Roman" w:cs="Times New Roman"/>
          <w:sz w:val="24"/>
          <w:lang w:val="en-GB" w:eastAsia="en-AU"/>
        </w:rPr>
      </w:pPr>
      <w:r w:rsidRPr="00A360A5">
        <w:rPr>
          <w:rFonts w:ascii="Times New Roman" w:eastAsia="Times New Roman" w:hAnsi="Times New Roman" w:cs="Times New Roman"/>
          <w:sz w:val="24"/>
          <w:lang w:val="en-GB" w:eastAsia="en-AU"/>
        </w:rPr>
        <w:t>clarify that the court can include conditions on a return order for the purposes of reducing a risk under paragraph 16(3)(b) of the Regulations (being a grave risk that the return of the child would expose the child to physical or psychological harm or otherwise place the child in an intolerable situation), regardless of whether the court considers that the risk will eventuate, is likely to eventuate or has eventuated in the past;</w:t>
      </w:r>
    </w:p>
    <w:p w14:paraId="19B5EB9B" w14:textId="6DCDC964" w:rsidR="00A360A5" w:rsidRPr="00A360A5" w:rsidRDefault="00A360A5" w:rsidP="00A360A5">
      <w:pPr>
        <w:numPr>
          <w:ilvl w:val="0"/>
          <w:numId w:val="16"/>
        </w:numPr>
        <w:spacing w:after="0" w:line="240" w:lineRule="auto"/>
        <w:ind w:right="91"/>
        <w:contextualSpacing/>
        <w:rPr>
          <w:rFonts w:ascii="Times New Roman" w:eastAsia="Times New Roman" w:hAnsi="Times New Roman" w:cs="Times New Roman"/>
          <w:sz w:val="24"/>
          <w:lang w:val="en-GB" w:eastAsia="en-AU"/>
        </w:rPr>
      </w:pPr>
      <w:r w:rsidRPr="00A360A5">
        <w:rPr>
          <w:rFonts w:ascii="Times New Roman" w:eastAsia="Times New Roman" w:hAnsi="Times New Roman" w:cs="Times New Roman"/>
          <w:sz w:val="24"/>
          <w:lang w:val="en-GB" w:eastAsia="en-AU"/>
        </w:rPr>
        <w:t>add a non-exhaustive list of considerations that the court may have regard to when considering whether to include a condition in a return order or other order made to give effect to the Convention;</w:t>
      </w:r>
      <w:r w:rsidR="006711F4">
        <w:rPr>
          <w:rFonts w:ascii="Times New Roman" w:eastAsia="Times New Roman" w:hAnsi="Times New Roman" w:cs="Times New Roman"/>
          <w:sz w:val="24"/>
          <w:lang w:val="en-GB" w:eastAsia="en-AU"/>
        </w:rPr>
        <w:t xml:space="preserve"> and</w:t>
      </w:r>
    </w:p>
    <w:p w14:paraId="0D42836F" w14:textId="7E8A1A16" w:rsidR="00A360A5" w:rsidRPr="00A360A5" w:rsidRDefault="00A360A5" w:rsidP="00A360A5">
      <w:pPr>
        <w:numPr>
          <w:ilvl w:val="0"/>
          <w:numId w:val="16"/>
        </w:numPr>
        <w:spacing w:after="0" w:line="240" w:lineRule="auto"/>
        <w:ind w:right="91"/>
        <w:contextualSpacing/>
        <w:rPr>
          <w:rFonts w:ascii="Times New Roman" w:eastAsia="Times New Roman" w:hAnsi="Times New Roman" w:cs="Times New Roman"/>
          <w:sz w:val="24"/>
          <w:lang w:val="en-GB" w:eastAsia="en-AU"/>
        </w:rPr>
      </w:pPr>
      <w:r w:rsidRPr="00A360A5">
        <w:rPr>
          <w:rFonts w:ascii="Times New Roman" w:eastAsia="Times New Roman" w:hAnsi="Times New Roman" w:cs="Times New Roman"/>
          <w:sz w:val="24"/>
          <w:szCs w:val="20"/>
          <w:lang w:eastAsia="en-AU"/>
        </w:rPr>
        <w:t>require that where the court is considering whether to refuse to make a return order on the basis of the grave risk defence, and a party to the proceedings raises a condition that could be included for the purpose of reducing a paragraph 16(3)(b) risk, that the court must consider whether it is appropriate to include the condition.</w:t>
      </w:r>
      <w:bookmarkEnd w:id="2"/>
    </w:p>
    <w:bookmarkEnd w:id="3"/>
    <w:p w14:paraId="47E99899" w14:textId="31365AB4" w:rsidR="00717F00" w:rsidRPr="00396FC6" w:rsidRDefault="00AA17E6" w:rsidP="00A360A5">
      <w:pPr>
        <w:spacing w:before="240" w:after="0"/>
        <w:jc w:val="both"/>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 xml:space="preserve">Details of the Amendment Regulations </w:t>
      </w:r>
      <w:bookmarkEnd w:id="1"/>
      <w:r w:rsidRPr="00396FC6">
        <w:rPr>
          <w:rFonts w:ascii="Times New Roman" w:hAnsi="Times New Roman" w:cs="Times New Roman"/>
          <w:color w:val="000000" w:themeColor="text1"/>
          <w:sz w:val="24"/>
          <w:szCs w:val="24"/>
        </w:rPr>
        <w:t xml:space="preserve">are set out in </w:t>
      </w:r>
      <w:r w:rsidRPr="00396FC6">
        <w:rPr>
          <w:rFonts w:ascii="Times New Roman" w:hAnsi="Times New Roman" w:cs="Times New Roman"/>
          <w:color w:val="000000" w:themeColor="text1"/>
          <w:sz w:val="24"/>
          <w:szCs w:val="24"/>
          <w:u w:val="single"/>
        </w:rPr>
        <w:t>Attachment A</w:t>
      </w:r>
      <w:r w:rsidRPr="00396FC6">
        <w:rPr>
          <w:rFonts w:ascii="Times New Roman" w:hAnsi="Times New Roman" w:cs="Times New Roman"/>
          <w:color w:val="000000" w:themeColor="text1"/>
          <w:sz w:val="24"/>
          <w:szCs w:val="24"/>
        </w:rPr>
        <w:t xml:space="preserve">. </w:t>
      </w:r>
    </w:p>
    <w:p w14:paraId="00B36BCD" w14:textId="46C72A7D" w:rsidR="00717F00" w:rsidRPr="00396FC6" w:rsidRDefault="00717F00" w:rsidP="00717F00">
      <w:pPr>
        <w:spacing w:before="240" w:after="0"/>
        <w:jc w:val="both"/>
        <w:rPr>
          <w:rFonts w:ascii="Times New Roman" w:hAnsi="Times New Roman" w:cs="Times New Roman"/>
          <w:color w:val="000000" w:themeColor="text1"/>
          <w:sz w:val="24"/>
          <w:szCs w:val="24"/>
        </w:rPr>
      </w:pPr>
      <w:r w:rsidRPr="00396FC6">
        <w:rPr>
          <w:rFonts w:ascii="Times New Roman" w:eastAsia="Times New Roman" w:hAnsi="Times New Roman" w:cs="Times New Roman"/>
          <w:sz w:val="24"/>
          <w:szCs w:val="24"/>
          <w:lang w:eastAsia="en-AU"/>
        </w:rPr>
        <w:t xml:space="preserve">The Act specifies no conditions that need to be met before the power to make </w:t>
      </w:r>
    </w:p>
    <w:p w14:paraId="2510D5D8" w14:textId="77777777" w:rsidR="00717F00" w:rsidRPr="00396FC6" w:rsidRDefault="00717F00" w:rsidP="00717F00">
      <w:pPr>
        <w:spacing w:after="0" w:line="240" w:lineRule="auto"/>
        <w:ind w:right="91"/>
        <w:rPr>
          <w:rFonts w:ascii="Times New Roman" w:eastAsia="Times New Roman" w:hAnsi="Times New Roman" w:cs="Times New Roman"/>
          <w:sz w:val="24"/>
          <w:szCs w:val="24"/>
          <w:lang w:eastAsia="en-AU"/>
        </w:rPr>
      </w:pPr>
      <w:r w:rsidRPr="00396FC6">
        <w:rPr>
          <w:rFonts w:ascii="Times New Roman" w:eastAsia="Times New Roman" w:hAnsi="Times New Roman" w:cs="Times New Roman"/>
          <w:sz w:val="24"/>
          <w:szCs w:val="24"/>
          <w:lang w:eastAsia="en-AU"/>
        </w:rPr>
        <w:t xml:space="preserve">Regulations may be exercised. </w:t>
      </w:r>
    </w:p>
    <w:p w14:paraId="1FEFE42C" w14:textId="77777777" w:rsidR="00717F00" w:rsidRPr="00396FC6" w:rsidRDefault="00717F00" w:rsidP="00717F00">
      <w:pPr>
        <w:spacing w:after="0" w:line="240" w:lineRule="auto"/>
        <w:ind w:right="91"/>
        <w:rPr>
          <w:rFonts w:ascii="Times New Roman" w:hAnsi="Times New Roman" w:cs="Times New Roman"/>
          <w:color w:val="000000" w:themeColor="text1"/>
          <w:sz w:val="24"/>
          <w:szCs w:val="24"/>
        </w:rPr>
      </w:pPr>
    </w:p>
    <w:p w14:paraId="3634C6E1" w14:textId="0020EADC" w:rsidR="00444AD4" w:rsidRPr="00396FC6" w:rsidRDefault="00AA17E6" w:rsidP="00D75C5A">
      <w:pPr>
        <w:rPr>
          <w:rFonts w:ascii="Times New Roman" w:eastAsia="Times New Roman" w:hAnsi="Times New Roman" w:cs="Times New Roman"/>
          <w:sz w:val="24"/>
          <w:szCs w:val="24"/>
          <w:lang w:eastAsia="en-AU"/>
        </w:rPr>
      </w:pPr>
      <w:r w:rsidRPr="00396FC6">
        <w:rPr>
          <w:rFonts w:ascii="Times New Roman" w:hAnsi="Times New Roman" w:cs="Times New Roman"/>
          <w:color w:val="000000" w:themeColor="text1"/>
          <w:sz w:val="24"/>
          <w:szCs w:val="24"/>
        </w:rPr>
        <w:t>The Amendment Regulations are a legislative instrument for the purposes of the</w:t>
      </w:r>
      <w:r w:rsidR="00B33323" w:rsidRPr="00396FC6">
        <w:rPr>
          <w:rFonts w:ascii="Times New Roman" w:hAnsi="Times New Roman" w:cs="Times New Roman"/>
          <w:color w:val="000000" w:themeColor="text1"/>
          <w:sz w:val="24"/>
          <w:szCs w:val="24"/>
        </w:rPr>
        <w:t xml:space="preserve"> </w:t>
      </w:r>
      <w:r w:rsidRPr="00396FC6">
        <w:rPr>
          <w:rFonts w:ascii="Times New Roman" w:hAnsi="Times New Roman" w:cs="Times New Roman"/>
          <w:i/>
          <w:color w:val="000000" w:themeColor="text1"/>
          <w:sz w:val="24"/>
          <w:szCs w:val="24"/>
        </w:rPr>
        <w:t>Legislation</w:t>
      </w:r>
      <w:r w:rsidR="00B33323" w:rsidRPr="00396FC6">
        <w:rPr>
          <w:rFonts w:ascii="Times New Roman" w:hAnsi="Times New Roman" w:cs="Times New Roman"/>
          <w:i/>
          <w:color w:val="000000" w:themeColor="text1"/>
          <w:sz w:val="24"/>
          <w:szCs w:val="24"/>
        </w:rPr>
        <w:t> </w:t>
      </w:r>
      <w:r w:rsidRPr="00396FC6">
        <w:rPr>
          <w:rFonts w:ascii="Times New Roman" w:hAnsi="Times New Roman" w:cs="Times New Roman"/>
          <w:i/>
          <w:color w:val="000000" w:themeColor="text1"/>
          <w:sz w:val="24"/>
          <w:szCs w:val="24"/>
        </w:rPr>
        <w:t>Act 2003</w:t>
      </w:r>
      <w:r w:rsidRPr="00396FC6">
        <w:rPr>
          <w:rFonts w:ascii="Times New Roman" w:hAnsi="Times New Roman" w:cs="Times New Roman"/>
          <w:color w:val="000000" w:themeColor="text1"/>
          <w:sz w:val="24"/>
          <w:szCs w:val="24"/>
        </w:rPr>
        <w:t xml:space="preserve"> (</w:t>
      </w:r>
      <w:proofErr w:type="spellStart"/>
      <w:r w:rsidRPr="00396FC6">
        <w:rPr>
          <w:rFonts w:ascii="Times New Roman" w:hAnsi="Times New Roman" w:cs="Times New Roman"/>
          <w:color w:val="000000" w:themeColor="text1"/>
          <w:sz w:val="24"/>
          <w:szCs w:val="24"/>
        </w:rPr>
        <w:t>Cth</w:t>
      </w:r>
      <w:proofErr w:type="spellEnd"/>
      <w:r w:rsidRPr="00396FC6">
        <w:rPr>
          <w:rFonts w:ascii="Times New Roman" w:hAnsi="Times New Roman" w:cs="Times New Roman"/>
          <w:color w:val="000000" w:themeColor="text1"/>
          <w:sz w:val="24"/>
          <w:szCs w:val="24"/>
        </w:rPr>
        <w:t>).</w:t>
      </w:r>
      <w:r w:rsidR="00B33323" w:rsidRPr="00396FC6">
        <w:rPr>
          <w:rFonts w:ascii="Times New Roman" w:hAnsi="Times New Roman" w:cs="Times New Roman"/>
          <w:color w:val="000000" w:themeColor="text1"/>
          <w:sz w:val="24"/>
          <w:szCs w:val="24"/>
        </w:rPr>
        <w:t xml:space="preserve"> </w:t>
      </w:r>
      <w:r w:rsidR="00B33323" w:rsidRPr="00396FC6">
        <w:rPr>
          <w:rFonts w:ascii="Times New Roman" w:eastAsia="Times New Roman" w:hAnsi="Times New Roman" w:cs="Times New Roman"/>
          <w:sz w:val="24"/>
          <w:szCs w:val="24"/>
          <w:lang w:eastAsia="en-AU"/>
        </w:rPr>
        <w:t xml:space="preserve">The </w:t>
      </w:r>
      <w:r w:rsidR="00B33323" w:rsidRPr="00D75C5A">
        <w:rPr>
          <w:rFonts w:ascii="Times New Roman" w:hAnsi="Times New Roman" w:cs="Times New Roman"/>
          <w:color w:val="000000" w:themeColor="text1"/>
          <w:sz w:val="24"/>
          <w:szCs w:val="24"/>
        </w:rPr>
        <w:t>Regulations</w:t>
      </w:r>
      <w:r w:rsidR="00B33323" w:rsidRPr="00396FC6">
        <w:rPr>
          <w:rFonts w:ascii="Times New Roman" w:eastAsia="Times New Roman" w:hAnsi="Times New Roman" w:cs="Times New Roman"/>
          <w:sz w:val="24"/>
          <w:szCs w:val="24"/>
          <w:lang w:eastAsia="en-AU"/>
        </w:rPr>
        <w:t xml:space="preserve"> commence on the day after they are registered on the Federal Register of Legislative Instruments. </w:t>
      </w:r>
    </w:p>
    <w:p w14:paraId="3678634E" w14:textId="46D16EBE" w:rsidR="000B3210" w:rsidRPr="00D75C5A" w:rsidRDefault="008328B3" w:rsidP="00D75C5A">
      <w:pPr>
        <w:rPr>
          <w:rFonts w:ascii="Times New Roman" w:hAnsi="Times New Roman" w:cs="Times New Roman"/>
          <w:color w:val="000000" w:themeColor="text1"/>
          <w:sz w:val="24"/>
          <w:szCs w:val="24"/>
        </w:rPr>
      </w:pPr>
      <w:r w:rsidRPr="00D75C5A">
        <w:rPr>
          <w:rFonts w:ascii="Times New Roman" w:hAnsi="Times New Roman" w:cs="Times New Roman"/>
          <w:color w:val="000000" w:themeColor="text1"/>
          <w:sz w:val="24"/>
          <w:szCs w:val="24"/>
        </w:rPr>
        <w:t>A person who is dissatisfied with a judicial d</w:t>
      </w:r>
      <w:r w:rsidR="000B3210" w:rsidRPr="00D75C5A">
        <w:rPr>
          <w:rFonts w:ascii="Times New Roman" w:hAnsi="Times New Roman" w:cs="Times New Roman"/>
          <w:color w:val="000000" w:themeColor="text1"/>
          <w:sz w:val="24"/>
          <w:szCs w:val="24"/>
        </w:rPr>
        <w:t xml:space="preserve">ecision </w:t>
      </w:r>
      <w:r w:rsidRPr="00D75C5A">
        <w:rPr>
          <w:rFonts w:ascii="Times New Roman" w:hAnsi="Times New Roman" w:cs="Times New Roman"/>
          <w:color w:val="000000" w:themeColor="text1"/>
          <w:sz w:val="24"/>
          <w:szCs w:val="24"/>
        </w:rPr>
        <w:t>made</w:t>
      </w:r>
      <w:r w:rsidR="000B3210" w:rsidRPr="00D75C5A">
        <w:rPr>
          <w:rFonts w:ascii="Times New Roman" w:hAnsi="Times New Roman" w:cs="Times New Roman"/>
          <w:color w:val="000000" w:themeColor="text1"/>
          <w:sz w:val="24"/>
          <w:szCs w:val="24"/>
        </w:rPr>
        <w:t xml:space="preserve"> under the </w:t>
      </w:r>
      <w:r w:rsidRPr="00D75C5A">
        <w:rPr>
          <w:rFonts w:ascii="Times New Roman" w:hAnsi="Times New Roman" w:cs="Times New Roman"/>
          <w:color w:val="000000" w:themeColor="text1"/>
          <w:sz w:val="24"/>
          <w:szCs w:val="24"/>
        </w:rPr>
        <w:t>Principal</w:t>
      </w:r>
      <w:r w:rsidR="000B3210" w:rsidRPr="00D75C5A">
        <w:rPr>
          <w:rFonts w:ascii="Times New Roman" w:hAnsi="Times New Roman" w:cs="Times New Roman"/>
          <w:color w:val="000000" w:themeColor="text1"/>
          <w:sz w:val="24"/>
          <w:szCs w:val="24"/>
        </w:rPr>
        <w:t xml:space="preserve"> Regulations</w:t>
      </w:r>
      <w:r w:rsidRPr="00D75C5A">
        <w:rPr>
          <w:rFonts w:ascii="Times New Roman" w:hAnsi="Times New Roman" w:cs="Times New Roman"/>
          <w:color w:val="000000" w:themeColor="text1"/>
          <w:sz w:val="24"/>
          <w:szCs w:val="24"/>
        </w:rPr>
        <w:t>, once amended,</w:t>
      </w:r>
      <w:r w:rsidR="000B3210" w:rsidRPr="00D75C5A">
        <w:rPr>
          <w:rFonts w:ascii="Times New Roman" w:hAnsi="Times New Roman" w:cs="Times New Roman"/>
          <w:color w:val="000000" w:themeColor="text1"/>
          <w:sz w:val="24"/>
          <w:szCs w:val="24"/>
        </w:rPr>
        <w:t xml:space="preserve"> </w:t>
      </w:r>
      <w:r w:rsidRPr="00D75C5A">
        <w:rPr>
          <w:rFonts w:ascii="Times New Roman" w:hAnsi="Times New Roman" w:cs="Times New Roman"/>
          <w:color w:val="000000" w:themeColor="text1"/>
          <w:sz w:val="24"/>
          <w:szCs w:val="24"/>
        </w:rPr>
        <w:t>could seek to appeal that decision in accordance with</w:t>
      </w:r>
      <w:r w:rsidR="000B3210" w:rsidRPr="00D75C5A">
        <w:rPr>
          <w:rFonts w:ascii="Times New Roman" w:hAnsi="Times New Roman" w:cs="Times New Roman"/>
          <w:color w:val="000000" w:themeColor="text1"/>
          <w:sz w:val="24"/>
          <w:szCs w:val="24"/>
        </w:rPr>
        <w:t xml:space="preserve"> the appeal procedures set out in the Act.</w:t>
      </w:r>
    </w:p>
    <w:p w14:paraId="3A34A3EE" w14:textId="04A7D8CC" w:rsidR="0053473E" w:rsidRPr="00396FC6" w:rsidRDefault="0053473E" w:rsidP="00444AD4">
      <w:pPr>
        <w:spacing w:before="240" w:after="0"/>
        <w:jc w:val="both"/>
        <w:rPr>
          <w:rFonts w:ascii="Times New Roman" w:hAnsi="Times New Roman" w:cs="Times New Roman"/>
          <w:color w:val="000000" w:themeColor="text1"/>
          <w:sz w:val="24"/>
          <w:szCs w:val="24"/>
        </w:rPr>
      </w:pPr>
      <w:r w:rsidRPr="00396FC6">
        <w:rPr>
          <w:rFonts w:ascii="Times New Roman" w:hAnsi="Times New Roman" w:cs="Times New Roman"/>
          <w:b/>
          <w:caps/>
          <w:color w:val="000000" w:themeColor="text1"/>
          <w:sz w:val="24"/>
          <w:szCs w:val="24"/>
        </w:rPr>
        <w:t>Consultation</w:t>
      </w:r>
    </w:p>
    <w:p w14:paraId="5195DF7D" w14:textId="30126A3D" w:rsidR="004A2C6F" w:rsidRPr="00396FC6" w:rsidRDefault="0068516B" w:rsidP="00C650B0">
      <w:pPr>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 xml:space="preserve">Consistent with the requirements of the </w:t>
      </w:r>
      <w:r w:rsidRPr="00396FC6">
        <w:rPr>
          <w:rFonts w:ascii="Times New Roman" w:hAnsi="Times New Roman" w:cs="Times New Roman"/>
          <w:i/>
          <w:color w:val="000000" w:themeColor="text1"/>
          <w:sz w:val="24"/>
          <w:szCs w:val="24"/>
        </w:rPr>
        <w:t>Legislation Act 2003</w:t>
      </w:r>
      <w:r w:rsidRPr="00396FC6">
        <w:rPr>
          <w:rFonts w:ascii="Times New Roman" w:hAnsi="Times New Roman" w:cs="Times New Roman"/>
          <w:color w:val="000000" w:themeColor="text1"/>
          <w:sz w:val="24"/>
          <w:szCs w:val="24"/>
        </w:rPr>
        <w:t xml:space="preserve">, the Amendment Regulations have been informed by consultation </w:t>
      </w:r>
      <w:r w:rsidR="00D42D18" w:rsidRPr="00396FC6">
        <w:rPr>
          <w:rFonts w:ascii="Times New Roman" w:hAnsi="Times New Roman" w:cs="Times New Roman"/>
          <w:color w:val="000000" w:themeColor="text1"/>
          <w:sz w:val="24"/>
          <w:szCs w:val="24"/>
        </w:rPr>
        <w:t>with State Central Authorities</w:t>
      </w:r>
      <w:r w:rsidR="008328B3">
        <w:rPr>
          <w:rFonts w:ascii="Times New Roman" w:hAnsi="Times New Roman" w:cs="Times New Roman"/>
          <w:color w:val="000000" w:themeColor="text1"/>
          <w:sz w:val="24"/>
          <w:szCs w:val="24"/>
        </w:rPr>
        <w:t>,</w:t>
      </w:r>
      <w:r w:rsidR="00D42D18" w:rsidRPr="00396FC6">
        <w:rPr>
          <w:rFonts w:ascii="Times New Roman" w:hAnsi="Times New Roman" w:cs="Times New Roman"/>
          <w:color w:val="000000" w:themeColor="text1"/>
          <w:sz w:val="24"/>
          <w:szCs w:val="24"/>
        </w:rPr>
        <w:t xml:space="preserve"> which </w:t>
      </w:r>
      <w:r w:rsidR="008328B3">
        <w:rPr>
          <w:rFonts w:ascii="Times New Roman" w:hAnsi="Times New Roman" w:cs="Times New Roman"/>
          <w:color w:val="000000" w:themeColor="text1"/>
          <w:sz w:val="24"/>
          <w:szCs w:val="24"/>
        </w:rPr>
        <w:t>have responsibilities under</w:t>
      </w:r>
      <w:r w:rsidR="00D42D18" w:rsidRPr="00396FC6">
        <w:rPr>
          <w:rFonts w:ascii="Times New Roman" w:hAnsi="Times New Roman" w:cs="Times New Roman"/>
          <w:color w:val="000000" w:themeColor="text1"/>
          <w:sz w:val="24"/>
          <w:szCs w:val="24"/>
        </w:rPr>
        <w:t xml:space="preserve"> the </w:t>
      </w:r>
      <w:r w:rsidR="008328B3">
        <w:rPr>
          <w:rFonts w:ascii="Times New Roman" w:hAnsi="Times New Roman" w:cs="Times New Roman"/>
          <w:color w:val="000000" w:themeColor="text1"/>
          <w:sz w:val="24"/>
          <w:szCs w:val="24"/>
        </w:rPr>
        <w:t xml:space="preserve">Principal </w:t>
      </w:r>
      <w:r w:rsidR="00D42D18" w:rsidRPr="00396FC6">
        <w:rPr>
          <w:rFonts w:ascii="Times New Roman" w:hAnsi="Times New Roman" w:cs="Times New Roman"/>
          <w:color w:val="000000" w:themeColor="text1"/>
          <w:sz w:val="24"/>
          <w:szCs w:val="24"/>
        </w:rPr>
        <w:t xml:space="preserve">Regulations, </w:t>
      </w:r>
      <w:r w:rsidR="00D42D18" w:rsidRPr="008328B3">
        <w:rPr>
          <w:rFonts w:ascii="Times New Roman" w:hAnsi="Times New Roman" w:cs="Times New Roman"/>
          <w:color w:val="000000" w:themeColor="text1"/>
          <w:sz w:val="24"/>
          <w:szCs w:val="24"/>
        </w:rPr>
        <w:t xml:space="preserve">as well as </w:t>
      </w:r>
      <w:r w:rsidR="00D34E74" w:rsidRPr="008328B3">
        <w:rPr>
          <w:rFonts w:ascii="Times New Roman" w:hAnsi="Times New Roman" w:cs="Times New Roman"/>
          <w:color w:val="000000" w:themeColor="text1"/>
          <w:sz w:val="24"/>
          <w:szCs w:val="24"/>
        </w:rPr>
        <w:t>other relevant Commonwealth government bodies</w:t>
      </w:r>
      <w:r w:rsidR="00D42D18" w:rsidRPr="008328B3">
        <w:rPr>
          <w:rFonts w:ascii="Times New Roman" w:hAnsi="Times New Roman" w:cs="Times New Roman"/>
          <w:color w:val="000000" w:themeColor="text1"/>
          <w:sz w:val="24"/>
          <w:szCs w:val="24"/>
        </w:rPr>
        <w:t>.</w:t>
      </w:r>
      <w:r w:rsidR="00D42D18" w:rsidRPr="00396FC6">
        <w:rPr>
          <w:rFonts w:ascii="Times New Roman" w:hAnsi="Times New Roman" w:cs="Times New Roman"/>
          <w:color w:val="000000" w:themeColor="text1"/>
          <w:sz w:val="24"/>
          <w:szCs w:val="24"/>
        </w:rPr>
        <w:t xml:space="preserve"> </w:t>
      </w:r>
      <w:r w:rsidR="004A2C6F" w:rsidRPr="00396FC6">
        <w:rPr>
          <w:rFonts w:ascii="Times New Roman" w:hAnsi="Times New Roman" w:cs="Times New Roman"/>
          <w:color w:val="000000" w:themeColor="text1"/>
          <w:sz w:val="24"/>
          <w:szCs w:val="24"/>
        </w:rPr>
        <w:t xml:space="preserve">The </w:t>
      </w:r>
      <w:r w:rsidR="006645D8" w:rsidRPr="00396FC6">
        <w:rPr>
          <w:rFonts w:ascii="Times New Roman" w:hAnsi="Times New Roman" w:cs="Times New Roman"/>
          <w:color w:val="000000" w:themeColor="text1"/>
          <w:sz w:val="24"/>
          <w:szCs w:val="24"/>
        </w:rPr>
        <w:t xml:space="preserve">Attorney-General’s Department consulted with the Federal Family and Circuit Court </w:t>
      </w:r>
      <w:r w:rsidR="004D4953" w:rsidRPr="00396FC6">
        <w:rPr>
          <w:rFonts w:ascii="Times New Roman" w:hAnsi="Times New Roman" w:cs="Times New Roman"/>
          <w:color w:val="000000" w:themeColor="text1"/>
          <w:sz w:val="24"/>
          <w:szCs w:val="24"/>
        </w:rPr>
        <w:t xml:space="preserve">of Australia </w:t>
      </w:r>
      <w:r w:rsidR="006645D8" w:rsidRPr="00396FC6">
        <w:rPr>
          <w:rFonts w:ascii="Times New Roman" w:hAnsi="Times New Roman" w:cs="Times New Roman"/>
          <w:color w:val="000000" w:themeColor="text1"/>
          <w:sz w:val="24"/>
          <w:szCs w:val="24"/>
        </w:rPr>
        <w:t>and the Family Court</w:t>
      </w:r>
      <w:r w:rsidR="004D4953" w:rsidRPr="00396FC6">
        <w:rPr>
          <w:rFonts w:ascii="Times New Roman" w:hAnsi="Times New Roman" w:cs="Times New Roman"/>
          <w:color w:val="000000" w:themeColor="text1"/>
          <w:sz w:val="24"/>
          <w:szCs w:val="24"/>
        </w:rPr>
        <w:t xml:space="preserve"> of Western Australia</w:t>
      </w:r>
      <w:r w:rsidR="006645D8" w:rsidRPr="00396FC6">
        <w:rPr>
          <w:rFonts w:ascii="Times New Roman" w:hAnsi="Times New Roman" w:cs="Times New Roman"/>
          <w:color w:val="000000" w:themeColor="text1"/>
          <w:sz w:val="24"/>
          <w:szCs w:val="24"/>
        </w:rPr>
        <w:t xml:space="preserve">, </w:t>
      </w:r>
      <w:r w:rsidR="004A2C6F" w:rsidRPr="00396FC6">
        <w:rPr>
          <w:rFonts w:ascii="Times New Roman" w:hAnsi="Times New Roman" w:cs="Times New Roman"/>
          <w:color w:val="000000" w:themeColor="text1"/>
          <w:sz w:val="24"/>
          <w:szCs w:val="24"/>
        </w:rPr>
        <w:t>who support the proposed Amendment Regulations.</w:t>
      </w:r>
      <w:r w:rsidR="00C650B0" w:rsidRPr="00396FC6">
        <w:rPr>
          <w:rFonts w:ascii="Times New Roman" w:hAnsi="Times New Roman" w:cs="Times New Roman"/>
          <w:color w:val="000000" w:themeColor="text1"/>
          <w:sz w:val="24"/>
          <w:szCs w:val="24"/>
        </w:rPr>
        <w:t xml:space="preserve"> The Attorney-General’s Department also consulted internally, including with the Office of International Law, Human Rights Unit, and the Australian </w:t>
      </w:r>
      <w:r w:rsidR="00C650B0" w:rsidRPr="003A3CEC">
        <w:rPr>
          <w:rFonts w:ascii="Times New Roman" w:hAnsi="Times New Roman" w:cs="Times New Roman"/>
          <w:color w:val="000000" w:themeColor="text1"/>
          <w:sz w:val="24"/>
          <w:szCs w:val="24"/>
        </w:rPr>
        <w:t xml:space="preserve">Government Solicitor in alignment with OPC drafting direction 4.2 – Referral of drafts to agencies. </w:t>
      </w:r>
    </w:p>
    <w:p w14:paraId="5C0C89DE" w14:textId="349D1AE3" w:rsidR="0053473E" w:rsidRPr="00396FC6" w:rsidRDefault="0053473E" w:rsidP="0053473E">
      <w:pPr>
        <w:tabs>
          <w:tab w:val="left" w:pos="7524"/>
        </w:tabs>
        <w:rPr>
          <w:rFonts w:ascii="Times New Roman" w:hAnsi="Times New Roman" w:cs="Times New Roman"/>
          <w:b/>
          <w:caps/>
          <w:color w:val="000000" w:themeColor="text1"/>
          <w:sz w:val="24"/>
          <w:szCs w:val="24"/>
        </w:rPr>
      </w:pPr>
      <w:r w:rsidRPr="00396FC6">
        <w:rPr>
          <w:rFonts w:ascii="Times New Roman" w:hAnsi="Times New Roman" w:cs="Times New Roman"/>
          <w:b/>
          <w:caps/>
          <w:color w:val="000000" w:themeColor="text1"/>
          <w:sz w:val="24"/>
          <w:szCs w:val="24"/>
        </w:rPr>
        <w:t>Regulation Impact Statement</w:t>
      </w:r>
    </w:p>
    <w:p w14:paraId="6811F0AC" w14:textId="356348B5" w:rsidR="0053473E" w:rsidRPr="00396FC6" w:rsidRDefault="0053473E" w:rsidP="0053473E">
      <w:pPr>
        <w:jc w:val="both"/>
        <w:rPr>
          <w:rFonts w:ascii="Times New Roman" w:hAnsi="Times New Roman" w:cs="Times New Roman"/>
          <w:color w:val="000000" w:themeColor="text1"/>
          <w:sz w:val="24"/>
          <w:szCs w:val="24"/>
        </w:rPr>
      </w:pPr>
      <w:r w:rsidRPr="00396FC6">
        <w:rPr>
          <w:rFonts w:ascii="Times New Roman" w:hAnsi="Times New Roman" w:cs="Times New Roman"/>
          <w:color w:val="000000" w:themeColor="text1"/>
          <w:sz w:val="24"/>
          <w:szCs w:val="24"/>
        </w:rPr>
        <w:t>The Office of Best Practice Regulation (OBPR) has been consulted and ha</w:t>
      </w:r>
      <w:r w:rsidR="00875B4B">
        <w:rPr>
          <w:rFonts w:ascii="Times New Roman" w:hAnsi="Times New Roman" w:cs="Times New Roman"/>
          <w:color w:val="000000" w:themeColor="text1"/>
          <w:sz w:val="24"/>
          <w:szCs w:val="24"/>
        </w:rPr>
        <w:t>s</w:t>
      </w:r>
      <w:r w:rsidRPr="00396FC6">
        <w:rPr>
          <w:rFonts w:ascii="Times New Roman" w:hAnsi="Times New Roman" w:cs="Times New Roman"/>
          <w:color w:val="000000" w:themeColor="text1"/>
          <w:sz w:val="24"/>
          <w:szCs w:val="24"/>
        </w:rPr>
        <w:t xml:space="preserve"> assessed the </w:t>
      </w:r>
      <w:r w:rsidR="0087144C" w:rsidRPr="00396FC6">
        <w:rPr>
          <w:rFonts w:ascii="Times New Roman" w:hAnsi="Times New Roman" w:cs="Times New Roman"/>
          <w:color w:val="000000" w:themeColor="text1"/>
          <w:sz w:val="24"/>
          <w:szCs w:val="24"/>
        </w:rPr>
        <w:t xml:space="preserve">Amendment </w:t>
      </w:r>
      <w:r w:rsidRPr="00396FC6">
        <w:rPr>
          <w:rFonts w:ascii="Times New Roman" w:hAnsi="Times New Roman" w:cs="Times New Roman"/>
          <w:color w:val="000000" w:themeColor="text1"/>
          <w:sz w:val="24"/>
          <w:szCs w:val="24"/>
        </w:rPr>
        <w:t xml:space="preserve">Regulations as </w:t>
      </w:r>
      <w:r w:rsidR="0059651B" w:rsidRPr="00396FC6">
        <w:rPr>
          <w:rFonts w:ascii="Times New Roman" w:hAnsi="Times New Roman" w:cs="Times New Roman"/>
          <w:color w:val="000000" w:themeColor="text1"/>
          <w:sz w:val="24"/>
          <w:szCs w:val="24"/>
        </w:rPr>
        <w:t>unlikely to have a more than minor regulatory impact</w:t>
      </w:r>
      <w:r w:rsidRPr="00396FC6">
        <w:rPr>
          <w:rFonts w:ascii="Times New Roman" w:hAnsi="Times New Roman" w:cs="Times New Roman"/>
          <w:color w:val="000000" w:themeColor="text1"/>
          <w:sz w:val="24"/>
          <w:szCs w:val="24"/>
        </w:rPr>
        <w:t xml:space="preserve">. OBPR has confirmed that a Regulation Impact Statement is not required for the Regulations. The OBPR reference ID is </w:t>
      </w:r>
      <w:r w:rsidR="0059651B" w:rsidRPr="00396FC6">
        <w:rPr>
          <w:rFonts w:ascii="Times New Roman" w:hAnsi="Times New Roman" w:cs="Times New Roman"/>
          <w:color w:val="000000" w:themeColor="text1"/>
          <w:sz w:val="24"/>
          <w:szCs w:val="24"/>
        </w:rPr>
        <w:t>OBPR22-03655</w:t>
      </w:r>
      <w:r w:rsidRPr="00396FC6">
        <w:rPr>
          <w:rFonts w:ascii="Times New Roman" w:hAnsi="Times New Roman" w:cs="Times New Roman"/>
          <w:color w:val="000000" w:themeColor="text1"/>
          <w:sz w:val="24"/>
          <w:szCs w:val="24"/>
        </w:rPr>
        <w:t>.</w:t>
      </w:r>
    </w:p>
    <w:p w14:paraId="134AED53" w14:textId="77777777" w:rsidR="0053473E" w:rsidRPr="00396FC6" w:rsidRDefault="0053473E" w:rsidP="0053473E">
      <w:pPr>
        <w:rPr>
          <w:rFonts w:ascii="Times New Roman" w:hAnsi="Times New Roman" w:cs="Times New Roman"/>
          <w:b/>
          <w:caps/>
          <w:color w:val="000000" w:themeColor="text1"/>
          <w:sz w:val="24"/>
          <w:szCs w:val="24"/>
        </w:rPr>
      </w:pPr>
      <w:r w:rsidRPr="00396FC6">
        <w:rPr>
          <w:rFonts w:ascii="Times New Roman" w:hAnsi="Times New Roman" w:cs="Times New Roman"/>
          <w:b/>
          <w:caps/>
          <w:color w:val="000000" w:themeColor="text1"/>
          <w:sz w:val="24"/>
          <w:szCs w:val="24"/>
        </w:rPr>
        <w:t>Statement of Compatibility with Human Rights</w:t>
      </w:r>
    </w:p>
    <w:p w14:paraId="3C7F3FC7" w14:textId="562C9436" w:rsidR="0053473E" w:rsidRPr="00396FC6" w:rsidRDefault="0053473E" w:rsidP="005012C1">
      <w:pPr>
        <w:pStyle w:val="Paragraph"/>
        <w:spacing w:before="0" w:after="120" w:line="276" w:lineRule="auto"/>
        <w:contextualSpacing/>
        <w:rPr>
          <w:u w:val="single"/>
        </w:rPr>
      </w:pPr>
      <w:r w:rsidRPr="00396FC6">
        <w:rPr>
          <w:color w:val="000000" w:themeColor="text1"/>
        </w:rPr>
        <w:t xml:space="preserve">The </w:t>
      </w:r>
      <w:r w:rsidR="0087144C" w:rsidRPr="00396FC6">
        <w:rPr>
          <w:color w:val="000000" w:themeColor="text1"/>
        </w:rPr>
        <w:t xml:space="preserve">Amendment </w:t>
      </w:r>
      <w:r w:rsidRPr="00396FC6">
        <w:rPr>
          <w:color w:val="000000" w:themeColor="text1"/>
        </w:rPr>
        <w:t xml:space="preserve">Regulations are compatible with the human rights and freedoms recognised or declared in the international instruments listed in section 3 of the </w:t>
      </w:r>
      <w:r w:rsidRPr="00396FC6">
        <w:rPr>
          <w:i/>
          <w:iCs/>
          <w:color w:val="000000" w:themeColor="text1"/>
        </w:rPr>
        <w:t>Human</w:t>
      </w:r>
      <w:r w:rsidR="005012C1">
        <w:rPr>
          <w:i/>
          <w:iCs/>
          <w:color w:val="000000" w:themeColor="text1"/>
        </w:rPr>
        <w:t> </w:t>
      </w:r>
      <w:r w:rsidRPr="00396FC6">
        <w:rPr>
          <w:i/>
          <w:iCs/>
          <w:color w:val="000000" w:themeColor="text1"/>
        </w:rPr>
        <w:t>Rights</w:t>
      </w:r>
      <w:r w:rsidR="005012C1">
        <w:rPr>
          <w:i/>
          <w:iCs/>
          <w:color w:val="000000" w:themeColor="text1"/>
        </w:rPr>
        <w:t> </w:t>
      </w:r>
      <w:r w:rsidRPr="00396FC6">
        <w:rPr>
          <w:i/>
          <w:iCs/>
          <w:color w:val="000000" w:themeColor="text1"/>
        </w:rPr>
        <w:t>(Parliamentary Scrutiny) Act 2011</w:t>
      </w:r>
      <w:r w:rsidR="00503842" w:rsidRPr="00396FC6">
        <w:rPr>
          <w:i/>
          <w:iCs/>
          <w:color w:val="000000" w:themeColor="text1"/>
        </w:rPr>
        <w:t xml:space="preserve"> </w:t>
      </w:r>
      <w:r w:rsidR="00503842" w:rsidRPr="00396FC6">
        <w:rPr>
          <w:iCs/>
          <w:color w:val="000000" w:themeColor="text1"/>
        </w:rPr>
        <w:t>(Cth)</w:t>
      </w:r>
      <w:r w:rsidRPr="00396FC6">
        <w:rPr>
          <w:i/>
          <w:iCs/>
          <w:color w:val="000000" w:themeColor="text1"/>
        </w:rPr>
        <w:t xml:space="preserve">. </w:t>
      </w:r>
      <w:r w:rsidRPr="00396FC6">
        <w:rPr>
          <w:color w:val="000000" w:themeColor="text1"/>
        </w:rPr>
        <w:t xml:space="preserve">A Statement of Compatibility with Human Rights is set out in </w:t>
      </w:r>
      <w:r w:rsidRPr="00396FC6">
        <w:rPr>
          <w:color w:val="000000" w:themeColor="text1"/>
          <w:u w:val="single"/>
        </w:rPr>
        <w:t>Attachment B.</w:t>
      </w:r>
      <w:r w:rsidRPr="00396FC6">
        <w:rPr>
          <w:u w:val="single"/>
        </w:rPr>
        <w:br w:type="page"/>
      </w:r>
    </w:p>
    <w:p w14:paraId="78BE78BA" w14:textId="77777777" w:rsidR="0053473E" w:rsidRPr="00396FC6" w:rsidRDefault="0053473E" w:rsidP="0053473E">
      <w:pPr>
        <w:jc w:val="right"/>
        <w:rPr>
          <w:rFonts w:ascii="Times New Roman" w:eastAsia="Times New Roman" w:hAnsi="Times New Roman" w:cs="Times New Roman"/>
          <w:b/>
          <w:sz w:val="24"/>
          <w:szCs w:val="24"/>
          <w:u w:val="single"/>
          <w:lang w:eastAsia="en-AU"/>
        </w:rPr>
      </w:pPr>
      <w:r w:rsidRPr="00396FC6">
        <w:rPr>
          <w:rFonts w:ascii="Times New Roman" w:eastAsia="Times New Roman" w:hAnsi="Times New Roman" w:cs="Times New Roman"/>
          <w:b/>
          <w:sz w:val="24"/>
          <w:szCs w:val="24"/>
          <w:u w:val="single"/>
          <w:lang w:eastAsia="en-AU"/>
        </w:rPr>
        <w:t>ATTACHMENT A</w:t>
      </w:r>
    </w:p>
    <w:p w14:paraId="3E2A63B1" w14:textId="46FB2B5C" w:rsidR="0053473E" w:rsidRPr="00396FC6" w:rsidRDefault="0053473E" w:rsidP="0053473E">
      <w:pPr>
        <w:rPr>
          <w:rFonts w:ascii="Times New Roman" w:hAnsi="Times New Roman" w:cs="Times New Roman"/>
          <w:b/>
          <w:sz w:val="24"/>
          <w:szCs w:val="24"/>
        </w:rPr>
      </w:pPr>
      <w:r w:rsidRPr="00396FC6">
        <w:rPr>
          <w:rFonts w:ascii="Times New Roman" w:hAnsi="Times New Roman" w:cs="Times New Roman"/>
          <w:b/>
          <w:sz w:val="24"/>
          <w:szCs w:val="24"/>
        </w:rPr>
        <w:t xml:space="preserve">Details of the </w:t>
      </w:r>
      <w:r w:rsidR="004A2C6F" w:rsidRPr="00396FC6">
        <w:rPr>
          <w:rFonts w:ascii="Times New Roman" w:hAnsi="Times New Roman" w:cs="Times New Roman"/>
          <w:b/>
          <w:sz w:val="24"/>
          <w:szCs w:val="24"/>
        </w:rPr>
        <w:t xml:space="preserve">Family Law </w:t>
      </w:r>
      <w:r w:rsidR="00FE58B1" w:rsidRPr="00396FC6">
        <w:rPr>
          <w:rFonts w:ascii="Times New Roman" w:hAnsi="Times New Roman" w:cs="Times New Roman"/>
          <w:b/>
          <w:sz w:val="24"/>
          <w:szCs w:val="24"/>
        </w:rPr>
        <w:t xml:space="preserve">(Child Abduction Convention) </w:t>
      </w:r>
      <w:r w:rsidR="004A2C6F" w:rsidRPr="00396FC6">
        <w:rPr>
          <w:rFonts w:ascii="Times New Roman" w:hAnsi="Times New Roman" w:cs="Times New Roman"/>
          <w:b/>
          <w:sz w:val="24"/>
          <w:szCs w:val="24"/>
        </w:rPr>
        <w:t xml:space="preserve">Amendment </w:t>
      </w:r>
      <w:r w:rsidR="006645D8" w:rsidRPr="00396FC6">
        <w:rPr>
          <w:rFonts w:ascii="Times New Roman" w:hAnsi="Times New Roman" w:cs="Times New Roman"/>
          <w:b/>
          <w:sz w:val="24"/>
          <w:szCs w:val="24"/>
        </w:rPr>
        <w:t xml:space="preserve">(Family Violence) </w:t>
      </w:r>
      <w:r w:rsidR="004A2C6F" w:rsidRPr="00396FC6">
        <w:rPr>
          <w:rFonts w:ascii="Times New Roman" w:hAnsi="Times New Roman" w:cs="Times New Roman"/>
          <w:b/>
          <w:sz w:val="24"/>
          <w:szCs w:val="24"/>
        </w:rPr>
        <w:t>Regulations 2022 (</w:t>
      </w:r>
      <w:proofErr w:type="spellStart"/>
      <w:r w:rsidR="004A2C6F" w:rsidRPr="00396FC6">
        <w:rPr>
          <w:rFonts w:ascii="Times New Roman" w:hAnsi="Times New Roman" w:cs="Times New Roman"/>
          <w:b/>
          <w:sz w:val="24"/>
          <w:szCs w:val="24"/>
        </w:rPr>
        <w:t>Cth</w:t>
      </w:r>
      <w:proofErr w:type="spellEnd"/>
      <w:r w:rsidR="004A2C6F" w:rsidRPr="00396FC6">
        <w:rPr>
          <w:rFonts w:ascii="Times New Roman" w:hAnsi="Times New Roman" w:cs="Times New Roman"/>
          <w:b/>
          <w:sz w:val="24"/>
          <w:szCs w:val="24"/>
        </w:rPr>
        <w:t>)</w:t>
      </w:r>
    </w:p>
    <w:p w14:paraId="27CEAD12" w14:textId="3ED25904" w:rsidR="00FE58B1" w:rsidRPr="00396FC6" w:rsidRDefault="00FE58B1" w:rsidP="0053473E">
      <w:pPr>
        <w:rPr>
          <w:rFonts w:ascii="Times New Roman" w:hAnsi="Times New Roman" w:cs="Times New Roman"/>
          <w:b/>
          <w:sz w:val="24"/>
          <w:szCs w:val="24"/>
        </w:rPr>
      </w:pPr>
      <w:r w:rsidRPr="00396FC6">
        <w:rPr>
          <w:rFonts w:ascii="Times New Roman" w:eastAsia="Times New Roman" w:hAnsi="Times New Roman" w:cs="Times New Roman"/>
          <w:b/>
          <w:bCs/>
          <w:caps/>
          <w:kern w:val="32"/>
          <w:sz w:val="24"/>
          <w:szCs w:val="24"/>
          <w:u w:val="single"/>
        </w:rPr>
        <w:t>FAMILY LAW (CHILD ABDUCTION CONVENTION) AMENDMENT REGULATIONS</w:t>
      </w:r>
    </w:p>
    <w:p w14:paraId="7B3F5B55" w14:textId="77777777" w:rsidR="0053473E" w:rsidRPr="00396FC6" w:rsidRDefault="0053473E" w:rsidP="0053473E">
      <w:pPr>
        <w:rPr>
          <w:rFonts w:ascii="Times New Roman" w:hAnsi="Times New Roman" w:cs="Times New Roman"/>
          <w:sz w:val="24"/>
          <w:szCs w:val="24"/>
          <w:u w:val="single"/>
        </w:rPr>
      </w:pPr>
      <w:r w:rsidRPr="00396FC6">
        <w:rPr>
          <w:rFonts w:ascii="Times New Roman" w:hAnsi="Times New Roman" w:cs="Times New Roman"/>
          <w:sz w:val="24"/>
          <w:szCs w:val="24"/>
          <w:u w:val="single"/>
        </w:rPr>
        <w:t>Section 1 – Name</w:t>
      </w:r>
    </w:p>
    <w:p w14:paraId="489FCA82" w14:textId="4A8844A7" w:rsidR="0053473E" w:rsidRPr="00396FC6" w:rsidRDefault="0053473E" w:rsidP="00B57147">
      <w:pPr>
        <w:rPr>
          <w:rFonts w:ascii="Times New Roman" w:hAnsi="Times New Roman" w:cs="Times New Roman"/>
          <w:sz w:val="24"/>
          <w:szCs w:val="24"/>
        </w:rPr>
      </w:pPr>
      <w:r w:rsidRPr="00396FC6">
        <w:rPr>
          <w:rFonts w:ascii="Times New Roman" w:hAnsi="Times New Roman" w:cs="Times New Roman"/>
          <w:sz w:val="24"/>
          <w:szCs w:val="24"/>
        </w:rPr>
        <w:t xml:space="preserve">This section provides that the title is the </w:t>
      </w:r>
      <w:r w:rsidR="006645D8" w:rsidRPr="00396FC6">
        <w:rPr>
          <w:rFonts w:ascii="Times New Roman" w:hAnsi="Times New Roman" w:cs="Times New Roman"/>
          <w:sz w:val="24"/>
          <w:szCs w:val="24"/>
        </w:rPr>
        <w:t xml:space="preserve">Family Law (Child Abduction Convention) Amendment (Family Violence) Regulations 2022 </w:t>
      </w:r>
      <w:r w:rsidR="00B57147" w:rsidRPr="00396FC6">
        <w:rPr>
          <w:rFonts w:ascii="Times New Roman" w:hAnsi="Times New Roman" w:cs="Times New Roman"/>
          <w:sz w:val="24"/>
          <w:szCs w:val="24"/>
        </w:rPr>
        <w:t>(</w:t>
      </w:r>
      <w:proofErr w:type="spellStart"/>
      <w:r w:rsidR="00B57147" w:rsidRPr="00396FC6">
        <w:rPr>
          <w:rFonts w:ascii="Times New Roman" w:hAnsi="Times New Roman" w:cs="Times New Roman"/>
          <w:sz w:val="24"/>
          <w:szCs w:val="24"/>
        </w:rPr>
        <w:t>Cth</w:t>
      </w:r>
      <w:proofErr w:type="spellEnd"/>
      <w:r w:rsidR="00B57147" w:rsidRPr="00396FC6">
        <w:rPr>
          <w:rFonts w:ascii="Times New Roman" w:hAnsi="Times New Roman" w:cs="Times New Roman"/>
          <w:sz w:val="24"/>
          <w:szCs w:val="24"/>
        </w:rPr>
        <w:t>)</w:t>
      </w:r>
      <w:r w:rsidR="00394610" w:rsidRPr="00396FC6">
        <w:rPr>
          <w:rFonts w:ascii="Times New Roman" w:hAnsi="Times New Roman" w:cs="Times New Roman"/>
          <w:sz w:val="24"/>
          <w:szCs w:val="24"/>
        </w:rPr>
        <w:t xml:space="preserve"> (the Amendment Regulations).</w:t>
      </w:r>
    </w:p>
    <w:p w14:paraId="3528B62B" w14:textId="77777777" w:rsidR="0053473E" w:rsidRPr="00396FC6" w:rsidRDefault="0053473E" w:rsidP="0053473E">
      <w:pPr>
        <w:jc w:val="both"/>
        <w:rPr>
          <w:rFonts w:ascii="Times New Roman" w:hAnsi="Times New Roman" w:cs="Times New Roman"/>
          <w:sz w:val="24"/>
          <w:szCs w:val="24"/>
          <w:u w:val="single"/>
        </w:rPr>
      </w:pPr>
      <w:r w:rsidRPr="00396FC6">
        <w:rPr>
          <w:rFonts w:ascii="Times New Roman" w:hAnsi="Times New Roman" w:cs="Times New Roman"/>
          <w:sz w:val="24"/>
          <w:szCs w:val="24"/>
          <w:u w:val="single"/>
        </w:rPr>
        <w:t>Section 2 – Commencement</w:t>
      </w:r>
    </w:p>
    <w:p w14:paraId="32630D03" w14:textId="00441D34" w:rsidR="00D674F6" w:rsidRPr="00396FC6" w:rsidRDefault="00D674F6" w:rsidP="00D674F6">
      <w:pPr>
        <w:jc w:val="both"/>
        <w:rPr>
          <w:rFonts w:ascii="Times New Roman" w:hAnsi="Times New Roman" w:cs="Times New Roman"/>
          <w:sz w:val="24"/>
          <w:szCs w:val="24"/>
        </w:rPr>
      </w:pPr>
      <w:r w:rsidRPr="00396FC6">
        <w:rPr>
          <w:rFonts w:ascii="Times New Roman" w:hAnsi="Times New Roman" w:cs="Times New Roman"/>
          <w:sz w:val="24"/>
          <w:szCs w:val="24"/>
        </w:rPr>
        <w:t>This section provide</w:t>
      </w:r>
      <w:r w:rsidR="006645D8" w:rsidRPr="00396FC6">
        <w:rPr>
          <w:rFonts w:ascii="Times New Roman" w:hAnsi="Times New Roman" w:cs="Times New Roman"/>
          <w:sz w:val="24"/>
          <w:szCs w:val="24"/>
        </w:rPr>
        <w:t>s</w:t>
      </w:r>
      <w:r w:rsidRPr="00396FC6">
        <w:rPr>
          <w:rFonts w:ascii="Times New Roman" w:hAnsi="Times New Roman" w:cs="Times New Roman"/>
          <w:sz w:val="24"/>
          <w:szCs w:val="24"/>
        </w:rPr>
        <w:t xml:space="preserve"> that the </w:t>
      </w:r>
      <w:r w:rsidR="00394610" w:rsidRPr="00396FC6">
        <w:rPr>
          <w:rFonts w:ascii="Times New Roman" w:hAnsi="Times New Roman" w:cs="Times New Roman"/>
          <w:sz w:val="24"/>
          <w:szCs w:val="24"/>
        </w:rPr>
        <w:t>Amendment Regulations</w:t>
      </w:r>
      <w:r w:rsidRPr="00396FC6">
        <w:rPr>
          <w:rFonts w:ascii="Times New Roman" w:hAnsi="Times New Roman" w:cs="Times New Roman"/>
          <w:sz w:val="24"/>
          <w:szCs w:val="24"/>
        </w:rPr>
        <w:t xml:space="preserve"> commence </w:t>
      </w:r>
      <w:r w:rsidR="00394610" w:rsidRPr="00396FC6">
        <w:rPr>
          <w:rFonts w:ascii="Times New Roman" w:hAnsi="Times New Roman" w:cs="Times New Roman"/>
          <w:sz w:val="24"/>
          <w:szCs w:val="24"/>
        </w:rPr>
        <w:t xml:space="preserve">the day </w:t>
      </w:r>
      <w:r w:rsidR="006645D8" w:rsidRPr="00396FC6">
        <w:rPr>
          <w:rFonts w:ascii="Times New Roman" w:hAnsi="Times New Roman" w:cs="Times New Roman"/>
          <w:sz w:val="24"/>
          <w:szCs w:val="24"/>
        </w:rPr>
        <w:t>after</w:t>
      </w:r>
      <w:r w:rsidRPr="00396FC6">
        <w:rPr>
          <w:rFonts w:ascii="Times New Roman" w:hAnsi="Times New Roman" w:cs="Times New Roman"/>
          <w:sz w:val="24"/>
          <w:szCs w:val="24"/>
        </w:rPr>
        <w:t xml:space="preserve"> </w:t>
      </w:r>
      <w:r w:rsidR="00394610" w:rsidRPr="00396FC6">
        <w:rPr>
          <w:rFonts w:ascii="Times New Roman" w:hAnsi="Times New Roman" w:cs="Times New Roman"/>
          <w:sz w:val="24"/>
          <w:szCs w:val="24"/>
        </w:rPr>
        <w:t>they are</w:t>
      </w:r>
      <w:r w:rsidRPr="00396FC6">
        <w:rPr>
          <w:rFonts w:ascii="Times New Roman" w:hAnsi="Times New Roman" w:cs="Times New Roman"/>
          <w:sz w:val="24"/>
          <w:szCs w:val="24"/>
        </w:rPr>
        <w:t xml:space="preserve"> registered.</w:t>
      </w:r>
    </w:p>
    <w:p w14:paraId="6155DF88" w14:textId="77777777" w:rsidR="0053473E" w:rsidRPr="00396FC6" w:rsidRDefault="0053473E" w:rsidP="0053473E">
      <w:pPr>
        <w:jc w:val="both"/>
        <w:rPr>
          <w:rFonts w:ascii="Times New Roman" w:hAnsi="Times New Roman" w:cs="Times New Roman"/>
          <w:sz w:val="24"/>
          <w:szCs w:val="24"/>
          <w:u w:val="single"/>
        </w:rPr>
      </w:pPr>
      <w:r w:rsidRPr="00396FC6">
        <w:rPr>
          <w:rFonts w:ascii="Times New Roman" w:hAnsi="Times New Roman" w:cs="Times New Roman"/>
          <w:sz w:val="24"/>
          <w:szCs w:val="24"/>
          <w:u w:val="single"/>
        </w:rPr>
        <w:t>Section 3 – Authority</w:t>
      </w:r>
    </w:p>
    <w:p w14:paraId="366D5493" w14:textId="2B2AAC9B" w:rsidR="0053473E" w:rsidRPr="00396FC6" w:rsidRDefault="0053473E" w:rsidP="0053473E">
      <w:pPr>
        <w:jc w:val="both"/>
        <w:rPr>
          <w:rFonts w:ascii="Times New Roman" w:hAnsi="Times New Roman" w:cs="Times New Roman"/>
          <w:sz w:val="24"/>
          <w:szCs w:val="24"/>
        </w:rPr>
      </w:pPr>
      <w:r w:rsidRPr="00396FC6">
        <w:rPr>
          <w:rFonts w:ascii="Times New Roman" w:hAnsi="Times New Roman" w:cs="Times New Roman"/>
          <w:sz w:val="24"/>
          <w:szCs w:val="24"/>
        </w:rPr>
        <w:t xml:space="preserve">This section provides that the </w:t>
      </w:r>
      <w:r w:rsidR="006645D8" w:rsidRPr="00396FC6">
        <w:rPr>
          <w:rFonts w:ascii="Times New Roman" w:hAnsi="Times New Roman" w:cs="Times New Roman"/>
          <w:sz w:val="24"/>
          <w:szCs w:val="24"/>
        </w:rPr>
        <w:t xml:space="preserve">Amendment Regulations </w:t>
      </w:r>
      <w:r w:rsidRPr="00396FC6">
        <w:rPr>
          <w:rFonts w:ascii="Times New Roman" w:hAnsi="Times New Roman" w:cs="Times New Roman"/>
          <w:sz w:val="24"/>
          <w:szCs w:val="24"/>
        </w:rPr>
        <w:t xml:space="preserve">are made under the </w:t>
      </w:r>
      <w:r w:rsidRPr="00396FC6">
        <w:rPr>
          <w:rFonts w:ascii="Times New Roman" w:hAnsi="Times New Roman" w:cs="Times New Roman"/>
          <w:i/>
          <w:sz w:val="24"/>
          <w:szCs w:val="24"/>
        </w:rPr>
        <w:t>Family Law Act 1975</w:t>
      </w:r>
      <w:r w:rsidRPr="00396FC6">
        <w:rPr>
          <w:rFonts w:ascii="Times New Roman" w:hAnsi="Times New Roman" w:cs="Times New Roman"/>
          <w:sz w:val="24"/>
          <w:szCs w:val="24"/>
        </w:rPr>
        <w:t xml:space="preserve"> (Cth) (the Family Law Act).</w:t>
      </w:r>
    </w:p>
    <w:p w14:paraId="1B526206" w14:textId="77777777" w:rsidR="0053473E" w:rsidRPr="00396FC6" w:rsidRDefault="0053473E" w:rsidP="0053473E">
      <w:pPr>
        <w:jc w:val="both"/>
        <w:rPr>
          <w:rFonts w:ascii="Times New Roman" w:hAnsi="Times New Roman" w:cs="Times New Roman"/>
          <w:sz w:val="24"/>
          <w:szCs w:val="24"/>
          <w:u w:val="single"/>
        </w:rPr>
      </w:pPr>
      <w:r w:rsidRPr="00396FC6">
        <w:rPr>
          <w:rFonts w:ascii="Times New Roman" w:hAnsi="Times New Roman" w:cs="Times New Roman"/>
          <w:sz w:val="24"/>
          <w:szCs w:val="24"/>
          <w:u w:val="single"/>
        </w:rPr>
        <w:t>Section 4 – Schedules</w:t>
      </w:r>
    </w:p>
    <w:p w14:paraId="187D26D6" w14:textId="34D73524" w:rsidR="00915DC9" w:rsidRPr="00396FC6" w:rsidRDefault="00915DC9" w:rsidP="00915DC9">
      <w:pPr>
        <w:rPr>
          <w:rFonts w:ascii="Times New Roman" w:hAnsi="Times New Roman" w:cs="Times New Roman"/>
          <w:sz w:val="24"/>
          <w:szCs w:val="24"/>
        </w:rPr>
      </w:pPr>
      <w:r w:rsidRPr="00396FC6">
        <w:rPr>
          <w:rFonts w:ascii="Times New Roman" w:hAnsi="Times New Roman" w:cs="Times New Roman"/>
          <w:sz w:val="24"/>
          <w:szCs w:val="24"/>
        </w:rPr>
        <w:t>This regulation provides that the Family Law (Child Abduction Convention)</w:t>
      </w:r>
      <w:r w:rsidR="00566868" w:rsidRPr="00396FC6">
        <w:rPr>
          <w:rFonts w:ascii="Times New Roman" w:hAnsi="Times New Roman" w:cs="Times New Roman"/>
          <w:sz w:val="24"/>
          <w:szCs w:val="24"/>
        </w:rPr>
        <w:t xml:space="preserve"> </w:t>
      </w:r>
      <w:r w:rsidRPr="00396FC6">
        <w:rPr>
          <w:rFonts w:ascii="Times New Roman" w:hAnsi="Times New Roman" w:cs="Times New Roman"/>
          <w:sz w:val="24"/>
          <w:szCs w:val="24"/>
        </w:rPr>
        <w:t>Regulations 1986 (the Principal Regulations) are amended as set out in Schedule 1.</w:t>
      </w:r>
    </w:p>
    <w:p w14:paraId="57B30741" w14:textId="43010081" w:rsidR="0053473E" w:rsidRPr="00396FC6" w:rsidRDefault="0053473E" w:rsidP="00915DC9">
      <w:pPr>
        <w:rPr>
          <w:rFonts w:ascii="Times New Roman" w:hAnsi="Times New Roman" w:cs="Times New Roman"/>
          <w:sz w:val="24"/>
          <w:szCs w:val="24"/>
          <w:u w:val="single"/>
        </w:rPr>
      </w:pPr>
      <w:r w:rsidRPr="00396FC6">
        <w:rPr>
          <w:rFonts w:ascii="Times New Roman" w:hAnsi="Times New Roman" w:cs="Times New Roman"/>
          <w:sz w:val="24"/>
          <w:szCs w:val="24"/>
          <w:u w:val="single"/>
        </w:rPr>
        <w:t>Schedule 1 – Amendments</w:t>
      </w:r>
    </w:p>
    <w:p w14:paraId="0A2A2D19" w14:textId="5E4E66FB" w:rsidR="0053473E" w:rsidRPr="00396FC6" w:rsidRDefault="000F7479" w:rsidP="0053473E">
      <w:pPr>
        <w:rPr>
          <w:rFonts w:ascii="Times New Roman" w:hAnsi="Times New Roman" w:cs="Times New Roman"/>
          <w:i/>
          <w:sz w:val="24"/>
          <w:szCs w:val="24"/>
          <w:u w:val="single"/>
        </w:rPr>
      </w:pPr>
      <w:r w:rsidRPr="00396FC6">
        <w:rPr>
          <w:rFonts w:ascii="Times New Roman" w:hAnsi="Times New Roman" w:cs="Times New Roman"/>
          <w:i/>
          <w:sz w:val="24"/>
          <w:szCs w:val="24"/>
          <w:u w:val="single"/>
        </w:rPr>
        <w:t>Family Law (Child Abduction Convention) Regulations 1986</w:t>
      </w:r>
    </w:p>
    <w:p w14:paraId="75E19BB4" w14:textId="11D1FA76" w:rsidR="00D674F6" w:rsidRPr="00396FC6" w:rsidRDefault="00D674F6" w:rsidP="00D674F6">
      <w:pPr>
        <w:rPr>
          <w:rFonts w:ascii="Times New Roman" w:hAnsi="Times New Roman" w:cs="Times New Roman"/>
          <w:b/>
          <w:sz w:val="24"/>
          <w:szCs w:val="24"/>
        </w:rPr>
      </w:pPr>
      <w:bookmarkStart w:id="5" w:name="_Hlk119870027"/>
      <w:r w:rsidRPr="00396FC6">
        <w:rPr>
          <w:rFonts w:ascii="Times New Roman" w:hAnsi="Times New Roman" w:cs="Times New Roman"/>
          <w:b/>
          <w:sz w:val="24"/>
          <w:szCs w:val="24"/>
        </w:rPr>
        <w:t>Item [1]</w:t>
      </w:r>
      <w:r w:rsidR="000F7479" w:rsidRPr="00396FC6">
        <w:rPr>
          <w:rFonts w:ascii="Times New Roman" w:hAnsi="Times New Roman" w:cs="Times New Roman"/>
          <w:b/>
          <w:sz w:val="24"/>
          <w:szCs w:val="24"/>
        </w:rPr>
        <w:t xml:space="preserve">: </w:t>
      </w:r>
      <w:r w:rsidR="006D3287">
        <w:rPr>
          <w:rFonts w:ascii="Times New Roman" w:hAnsi="Times New Roman" w:cs="Times New Roman"/>
          <w:b/>
          <w:sz w:val="24"/>
          <w:szCs w:val="24"/>
        </w:rPr>
        <w:t xml:space="preserve">New </w:t>
      </w:r>
      <w:proofErr w:type="spellStart"/>
      <w:r w:rsidR="006D3287">
        <w:rPr>
          <w:rFonts w:ascii="Times New Roman" w:hAnsi="Times New Roman" w:cs="Times New Roman"/>
          <w:b/>
          <w:sz w:val="24"/>
          <w:szCs w:val="24"/>
        </w:rPr>
        <w:t>s</w:t>
      </w:r>
      <w:r w:rsidR="00804598" w:rsidRPr="00396FC6">
        <w:rPr>
          <w:rFonts w:ascii="Times New Roman" w:hAnsi="Times New Roman" w:cs="Times New Roman"/>
          <w:b/>
          <w:sz w:val="24"/>
          <w:szCs w:val="24"/>
        </w:rPr>
        <w:t>ubr</w:t>
      </w:r>
      <w:r w:rsidR="000F7479" w:rsidRPr="00396FC6">
        <w:rPr>
          <w:rFonts w:ascii="Times New Roman" w:hAnsi="Times New Roman" w:cs="Times New Roman"/>
          <w:b/>
          <w:sz w:val="24"/>
          <w:szCs w:val="24"/>
        </w:rPr>
        <w:t>egulation</w:t>
      </w:r>
      <w:proofErr w:type="spellEnd"/>
      <w:r w:rsidR="000F7479" w:rsidRPr="00396FC6">
        <w:rPr>
          <w:rFonts w:ascii="Times New Roman" w:hAnsi="Times New Roman" w:cs="Times New Roman"/>
          <w:b/>
          <w:sz w:val="24"/>
          <w:szCs w:val="24"/>
        </w:rPr>
        <w:t xml:space="preserve"> 15</w:t>
      </w:r>
      <w:r w:rsidR="00804598" w:rsidRPr="00396FC6">
        <w:rPr>
          <w:rFonts w:ascii="Times New Roman" w:hAnsi="Times New Roman" w:cs="Times New Roman"/>
          <w:b/>
          <w:sz w:val="24"/>
          <w:szCs w:val="24"/>
        </w:rPr>
        <w:t>(5)</w:t>
      </w:r>
      <w:r w:rsidR="006711F4">
        <w:rPr>
          <w:rFonts w:ascii="Times New Roman" w:hAnsi="Times New Roman" w:cs="Times New Roman"/>
          <w:b/>
          <w:sz w:val="24"/>
          <w:szCs w:val="24"/>
        </w:rPr>
        <w:t xml:space="preserve">, </w:t>
      </w:r>
      <w:r w:rsidR="005E0D03" w:rsidRPr="00396FC6">
        <w:rPr>
          <w:rFonts w:ascii="Times New Roman" w:hAnsi="Times New Roman" w:cs="Times New Roman"/>
          <w:b/>
          <w:sz w:val="24"/>
          <w:szCs w:val="24"/>
        </w:rPr>
        <w:t>15(6)</w:t>
      </w:r>
      <w:r w:rsidR="006711F4">
        <w:rPr>
          <w:rFonts w:ascii="Times New Roman" w:hAnsi="Times New Roman" w:cs="Times New Roman"/>
          <w:b/>
          <w:sz w:val="24"/>
          <w:szCs w:val="24"/>
        </w:rPr>
        <w:t xml:space="preserve"> and 15(7)</w:t>
      </w:r>
    </w:p>
    <w:p w14:paraId="5F1E6280" w14:textId="1D11E153" w:rsidR="000F7479" w:rsidRPr="00396FC6" w:rsidRDefault="006715D4" w:rsidP="005E0D03">
      <w:pPr>
        <w:rPr>
          <w:rFonts w:ascii="Times New Roman" w:hAnsi="Times New Roman" w:cs="Times New Roman"/>
          <w:color w:val="000000" w:themeColor="text1"/>
          <w:sz w:val="24"/>
          <w:szCs w:val="24"/>
        </w:rPr>
      </w:pPr>
      <w:proofErr w:type="spellStart"/>
      <w:r w:rsidRPr="00396FC6">
        <w:rPr>
          <w:rFonts w:ascii="Times New Roman" w:hAnsi="Times New Roman" w:cs="Times New Roman"/>
          <w:sz w:val="24"/>
          <w:szCs w:val="24"/>
        </w:rPr>
        <w:t>Subr</w:t>
      </w:r>
      <w:r w:rsidR="000F7479" w:rsidRPr="00396FC6">
        <w:rPr>
          <w:rFonts w:ascii="Times New Roman" w:hAnsi="Times New Roman" w:cs="Times New Roman"/>
          <w:sz w:val="24"/>
          <w:szCs w:val="24"/>
        </w:rPr>
        <w:t>egulation</w:t>
      </w:r>
      <w:proofErr w:type="spellEnd"/>
      <w:r w:rsidR="000F7479" w:rsidRPr="00396FC6">
        <w:rPr>
          <w:rFonts w:ascii="Times New Roman" w:hAnsi="Times New Roman" w:cs="Times New Roman"/>
          <w:sz w:val="24"/>
          <w:szCs w:val="24"/>
        </w:rPr>
        <w:t xml:space="preserve"> 15</w:t>
      </w:r>
      <w:r w:rsidRPr="00396FC6">
        <w:rPr>
          <w:rFonts w:ascii="Times New Roman" w:hAnsi="Times New Roman" w:cs="Times New Roman"/>
          <w:sz w:val="24"/>
          <w:szCs w:val="24"/>
        </w:rPr>
        <w:t>(1)</w:t>
      </w:r>
      <w:r w:rsidR="000F7479" w:rsidRPr="00396FC6">
        <w:rPr>
          <w:rFonts w:ascii="Times New Roman" w:hAnsi="Times New Roman" w:cs="Times New Roman"/>
          <w:sz w:val="24"/>
          <w:szCs w:val="24"/>
        </w:rPr>
        <w:t xml:space="preserve"> of the </w:t>
      </w:r>
      <w:r w:rsidR="000F7479" w:rsidRPr="00396FC6">
        <w:rPr>
          <w:rFonts w:ascii="Times New Roman" w:hAnsi="Times New Roman" w:cs="Times New Roman"/>
          <w:color w:val="000000" w:themeColor="text1"/>
          <w:sz w:val="24"/>
          <w:szCs w:val="24"/>
        </w:rPr>
        <w:t>Principal Regulations states that the court may, if it is satisfied it is desirable to do so, make an order</w:t>
      </w:r>
      <w:r w:rsidR="00394610" w:rsidRPr="00396FC6">
        <w:rPr>
          <w:rFonts w:ascii="Times New Roman" w:hAnsi="Times New Roman" w:cs="Times New Roman"/>
          <w:color w:val="000000" w:themeColor="text1"/>
          <w:sz w:val="24"/>
          <w:szCs w:val="24"/>
        </w:rPr>
        <w:t xml:space="preserve"> </w:t>
      </w:r>
      <w:r w:rsidR="001F4E72" w:rsidRPr="00396FC6">
        <w:rPr>
          <w:rFonts w:ascii="Times New Roman" w:hAnsi="Times New Roman" w:cs="Times New Roman"/>
          <w:color w:val="000000" w:themeColor="text1"/>
          <w:sz w:val="24"/>
          <w:szCs w:val="24"/>
        </w:rPr>
        <w:t>in relation to an</w:t>
      </w:r>
      <w:r w:rsidR="00394610" w:rsidRPr="00396FC6">
        <w:rPr>
          <w:rFonts w:ascii="Times New Roman" w:hAnsi="Times New Roman" w:cs="Times New Roman"/>
          <w:color w:val="000000" w:themeColor="text1"/>
          <w:sz w:val="24"/>
          <w:szCs w:val="24"/>
        </w:rPr>
        <w:t xml:space="preserve"> application </w:t>
      </w:r>
      <w:r w:rsidR="000F7479" w:rsidRPr="00396FC6">
        <w:rPr>
          <w:rFonts w:ascii="Times New Roman" w:hAnsi="Times New Roman" w:cs="Times New Roman"/>
          <w:color w:val="000000" w:themeColor="text1"/>
          <w:sz w:val="24"/>
          <w:szCs w:val="24"/>
        </w:rPr>
        <w:t xml:space="preserve">under </w:t>
      </w:r>
      <w:r w:rsidR="001F4E72" w:rsidRPr="00396FC6">
        <w:rPr>
          <w:rFonts w:ascii="Times New Roman" w:hAnsi="Times New Roman" w:cs="Times New Roman"/>
          <w:color w:val="000000" w:themeColor="text1"/>
          <w:sz w:val="24"/>
          <w:szCs w:val="24"/>
        </w:rPr>
        <w:t xml:space="preserve">regulation </w:t>
      </w:r>
      <w:r w:rsidR="000F7479" w:rsidRPr="00396FC6">
        <w:rPr>
          <w:rFonts w:ascii="Times New Roman" w:hAnsi="Times New Roman" w:cs="Times New Roman"/>
          <w:color w:val="000000" w:themeColor="text1"/>
          <w:sz w:val="24"/>
          <w:szCs w:val="24"/>
        </w:rPr>
        <w:t>14</w:t>
      </w:r>
      <w:r w:rsidR="001F4E72" w:rsidRPr="00396FC6">
        <w:rPr>
          <w:rFonts w:ascii="Times New Roman" w:hAnsi="Times New Roman" w:cs="Times New Roman"/>
          <w:color w:val="000000" w:themeColor="text1"/>
          <w:sz w:val="24"/>
          <w:szCs w:val="24"/>
        </w:rPr>
        <w:t xml:space="preserve">. Such an order can be of a kind mentioned in regulation 14 or an order the court considers appropriate to </w:t>
      </w:r>
      <w:r w:rsidR="000F7479" w:rsidRPr="00396FC6">
        <w:rPr>
          <w:rFonts w:ascii="Times New Roman" w:hAnsi="Times New Roman" w:cs="Times New Roman"/>
          <w:color w:val="000000" w:themeColor="text1"/>
          <w:sz w:val="24"/>
          <w:szCs w:val="24"/>
        </w:rPr>
        <w:t xml:space="preserve">give effect to the </w:t>
      </w:r>
      <w:r w:rsidR="001A504A" w:rsidRPr="00396FC6">
        <w:rPr>
          <w:rFonts w:ascii="Times New Roman" w:hAnsi="Times New Roman" w:cs="Times New Roman"/>
          <w:color w:val="000000" w:themeColor="text1"/>
          <w:sz w:val="24"/>
          <w:szCs w:val="24"/>
        </w:rPr>
        <w:t>Convention</w:t>
      </w:r>
      <w:r w:rsidRPr="00396FC6">
        <w:rPr>
          <w:rFonts w:ascii="Times New Roman" w:hAnsi="Times New Roman" w:cs="Times New Roman"/>
          <w:color w:val="000000" w:themeColor="text1"/>
          <w:sz w:val="24"/>
          <w:szCs w:val="24"/>
        </w:rPr>
        <w:t xml:space="preserve"> (together, ‘Convention orders’). </w:t>
      </w:r>
      <w:r w:rsidR="00463537" w:rsidRPr="00396FC6">
        <w:rPr>
          <w:rFonts w:ascii="Times New Roman" w:hAnsi="Times New Roman" w:cs="Times New Roman"/>
          <w:sz w:val="24"/>
          <w:szCs w:val="24"/>
        </w:rPr>
        <w:t xml:space="preserve">Paragraph </w:t>
      </w:r>
      <w:r w:rsidRPr="00396FC6">
        <w:rPr>
          <w:rFonts w:ascii="Times New Roman" w:hAnsi="Times New Roman" w:cs="Times New Roman"/>
          <w:sz w:val="24"/>
          <w:szCs w:val="24"/>
        </w:rPr>
        <w:t>15(1)</w:t>
      </w:r>
      <w:r w:rsidR="00D85EE4" w:rsidRPr="00396FC6">
        <w:rPr>
          <w:rFonts w:ascii="Times New Roman" w:hAnsi="Times New Roman" w:cs="Times New Roman"/>
          <w:sz w:val="24"/>
          <w:szCs w:val="24"/>
        </w:rPr>
        <w:t xml:space="preserve">(c) provides that </w:t>
      </w:r>
      <w:r w:rsidRPr="00396FC6">
        <w:rPr>
          <w:rFonts w:ascii="Times New Roman" w:hAnsi="Times New Roman" w:cs="Times New Roman"/>
          <w:color w:val="000000" w:themeColor="text1"/>
          <w:sz w:val="24"/>
          <w:szCs w:val="24"/>
        </w:rPr>
        <w:t xml:space="preserve">courts </w:t>
      </w:r>
      <w:r w:rsidR="000F7479" w:rsidRPr="00396FC6">
        <w:rPr>
          <w:rFonts w:ascii="Times New Roman" w:hAnsi="Times New Roman" w:cs="Times New Roman"/>
          <w:color w:val="000000" w:themeColor="text1"/>
          <w:sz w:val="24"/>
          <w:szCs w:val="24"/>
        </w:rPr>
        <w:t>may include</w:t>
      </w:r>
      <w:r w:rsidR="005E0D03" w:rsidRPr="00396FC6">
        <w:rPr>
          <w:rFonts w:ascii="Times New Roman" w:hAnsi="Times New Roman" w:cs="Times New Roman"/>
          <w:color w:val="000000" w:themeColor="text1"/>
          <w:sz w:val="24"/>
          <w:szCs w:val="24"/>
        </w:rPr>
        <w:t xml:space="preserve"> in these orders</w:t>
      </w:r>
      <w:r w:rsidR="000F7479" w:rsidRPr="00396FC6">
        <w:rPr>
          <w:rFonts w:ascii="Times New Roman" w:hAnsi="Times New Roman" w:cs="Times New Roman"/>
          <w:color w:val="000000" w:themeColor="text1"/>
          <w:sz w:val="24"/>
          <w:szCs w:val="24"/>
        </w:rPr>
        <w:t xml:space="preserve"> </w:t>
      </w:r>
      <w:r w:rsidR="005E0D03" w:rsidRPr="00396FC6">
        <w:rPr>
          <w:rFonts w:ascii="Times New Roman" w:hAnsi="Times New Roman" w:cs="Times New Roman"/>
          <w:color w:val="000000" w:themeColor="text1"/>
          <w:sz w:val="24"/>
          <w:szCs w:val="24"/>
        </w:rPr>
        <w:t xml:space="preserve">a ‘condition’ </w:t>
      </w:r>
      <w:r w:rsidR="00D85EE4" w:rsidRPr="00396FC6">
        <w:rPr>
          <w:rFonts w:ascii="Times New Roman" w:hAnsi="Times New Roman" w:cs="Times New Roman"/>
          <w:color w:val="000000" w:themeColor="text1"/>
          <w:sz w:val="24"/>
          <w:szCs w:val="24"/>
        </w:rPr>
        <w:t xml:space="preserve">that </w:t>
      </w:r>
      <w:r w:rsidR="001A504A" w:rsidRPr="00396FC6">
        <w:rPr>
          <w:rFonts w:ascii="Times New Roman" w:hAnsi="Times New Roman" w:cs="Times New Roman"/>
          <w:color w:val="000000" w:themeColor="text1"/>
          <w:sz w:val="24"/>
          <w:szCs w:val="24"/>
        </w:rPr>
        <w:t>the court considers appropriate to give effect to the Convention.</w:t>
      </w:r>
    </w:p>
    <w:p w14:paraId="3A258EE7" w14:textId="2DED21CD" w:rsidR="001A504A" w:rsidRPr="00396FC6" w:rsidRDefault="001A504A" w:rsidP="005E0D03">
      <w:pPr>
        <w:rPr>
          <w:rFonts w:ascii="Times New Roman" w:hAnsi="Times New Roman" w:cs="Times New Roman"/>
          <w:sz w:val="24"/>
          <w:szCs w:val="24"/>
        </w:rPr>
      </w:pPr>
      <w:r w:rsidRPr="00396FC6">
        <w:rPr>
          <w:rFonts w:ascii="Times New Roman" w:hAnsi="Times New Roman" w:cs="Times New Roman"/>
          <w:sz w:val="24"/>
          <w:szCs w:val="24"/>
        </w:rPr>
        <w:t xml:space="preserve">Item 1 inserts a new </w:t>
      </w:r>
      <w:proofErr w:type="spellStart"/>
      <w:r w:rsidRPr="00396FC6">
        <w:rPr>
          <w:rFonts w:ascii="Times New Roman" w:hAnsi="Times New Roman" w:cs="Times New Roman"/>
          <w:sz w:val="24"/>
          <w:szCs w:val="24"/>
        </w:rPr>
        <w:t>subregulation</w:t>
      </w:r>
      <w:proofErr w:type="spellEnd"/>
      <w:r w:rsidRPr="00396FC6">
        <w:rPr>
          <w:rFonts w:ascii="Times New Roman" w:hAnsi="Times New Roman" w:cs="Times New Roman"/>
          <w:sz w:val="24"/>
          <w:szCs w:val="24"/>
        </w:rPr>
        <w:t xml:space="preserve"> 15(5) </w:t>
      </w:r>
      <w:r w:rsidR="006715D4" w:rsidRPr="00396FC6">
        <w:rPr>
          <w:rFonts w:ascii="Times New Roman" w:hAnsi="Times New Roman" w:cs="Times New Roman"/>
          <w:sz w:val="24"/>
          <w:szCs w:val="24"/>
        </w:rPr>
        <w:t xml:space="preserve">as an avoidance of doubt provision, </w:t>
      </w:r>
      <w:r w:rsidRPr="00396FC6">
        <w:rPr>
          <w:rFonts w:ascii="Times New Roman" w:hAnsi="Times New Roman" w:cs="Times New Roman"/>
          <w:sz w:val="24"/>
          <w:szCs w:val="24"/>
        </w:rPr>
        <w:t xml:space="preserve">to make clear that courts can </w:t>
      </w:r>
      <w:r w:rsidR="00A360A5">
        <w:rPr>
          <w:rFonts w:ascii="Times New Roman" w:hAnsi="Times New Roman" w:cs="Times New Roman"/>
          <w:sz w:val="24"/>
          <w:szCs w:val="24"/>
        </w:rPr>
        <w:t>include</w:t>
      </w:r>
      <w:r w:rsidRPr="00396FC6">
        <w:rPr>
          <w:rFonts w:ascii="Times New Roman" w:hAnsi="Times New Roman" w:cs="Times New Roman"/>
          <w:sz w:val="24"/>
          <w:szCs w:val="24"/>
        </w:rPr>
        <w:t xml:space="preserve"> </w:t>
      </w:r>
      <w:r w:rsidR="006715D4" w:rsidRPr="00396FC6">
        <w:rPr>
          <w:rFonts w:ascii="Times New Roman" w:hAnsi="Times New Roman" w:cs="Times New Roman"/>
          <w:sz w:val="24"/>
          <w:szCs w:val="24"/>
        </w:rPr>
        <w:t xml:space="preserve">a condition </w:t>
      </w:r>
      <w:r w:rsidR="00A360A5">
        <w:rPr>
          <w:rFonts w:ascii="Times New Roman" w:hAnsi="Times New Roman" w:cs="Times New Roman"/>
          <w:sz w:val="24"/>
          <w:szCs w:val="24"/>
        </w:rPr>
        <w:t xml:space="preserve">in a Convention order, </w:t>
      </w:r>
      <w:r w:rsidR="006715D4" w:rsidRPr="00396FC6">
        <w:rPr>
          <w:rFonts w:ascii="Times New Roman" w:hAnsi="Times New Roman" w:cs="Times New Roman"/>
          <w:sz w:val="24"/>
          <w:szCs w:val="24"/>
        </w:rPr>
        <w:t xml:space="preserve">or make </w:t>
      </w:r>
      <w:r w:rsidRPr="00396FC6">
        <w:rPr>
          <w:rFonts w:ascii="Times New Roman" w:hAnsi="Times New Roman" w:cs="Times New Roman"/>
          <w:sz w:val="24"/>
          <w:szCs w:val="24"/>
        </w:rPr>
        <w:t>a</w:t>
      </w:r>
      <w:r w:rsidR="006715D4" w:rsidRPr="00396FC6">
        <w:rPr>
          <w:rFonts w:ascii="Times New Roman" w:hAnsi="Times New Roman" w:cs="Times New Roman"/>
          <w:sz w:val="24"/>
          <w:szCs w:val="24"/>
        </w:rPr>
        <w:t xml:space="preserve"> Convention </w:t>
      </w:r>
      <w:r w:rsidRPr="00396FC6">
        <w:rPr>
          <w:rFonts w:ascii="Times New Roman" w:hAnsi="Times New Roman" w:cs="Times New Roman"/>
          <w:sz w:val="24"/>
          <w:szCs w:val="24"/>
        </w:rPr>
        <w:t>order</w:t>
      </w:r>
      <w:r w:rsidR="00A360A5">
        <w:rPr>
          <w:rFonts w:ascii="Times New Roman" w:hAnsi="Times New Roman" w:cs="Times New Roman"/>
          <w:sz w:val="24"/>
          <w:szCs w:val="24"/>
        </w:rPr>
        <w:t xml:space="preserve">, </w:t>
      </w:r>
      <w:r w:rsidR="006715D4" w:rsidRPr="00396FC6">
        <w:rPr>
          <w:rFonts w:ascii="Times New Roman" w:hAnsi="Times New Roman" w:cs="Times New Roman"/>
          <w:sz w:val="24"/>
          <w:szCs w:val="24"/>
        </w:rPr>
        <w:t xml:space="preserve">for the purpose of reducing a risk under paragraph 16(3)(b). The amendment notes that </w:t>
      </w:r>
      <w:r w:rsidR="00A360A5">
        <w:rPr>
          <w:rFonts w:ascii="Times New Roman" w:hAnsi="Times New Roman" w:cs="Times New Roman"/>
          <w:sz w:val="24"/>
          <w:szCs w:val="24"/>
        </w:rPr>
        <w:t>this is</w:t>
      </w:r>
      <w:r w:rsidR="006715D4" w:rsidRPr="00396FC6">
        <w:rPr>
          <w:rFonts w:ascii="Times New Roman" w:hAnsi="Times New Roman" w:cs="Times New Roman"/>
          <w:sz w:val="24"/>
          <w:szCs w:val="24"/>
        </w:rPr>
        <w:t xml:space="preserve"> regardless of whether the court is satisfied </w:t>
      </w:r>
      <w:r w:rsidR="00AA162F">
        <w:rPr>
          <w:rFonts w:ascii="Times New Roman" w:hAnsi="Times New Roman" w:cs="Times New Roman"/>
          <w:sz w:val="24"/>
          <w:szCs w:val="24"/>
        </w:rPr>
        <w:t>that</w:t>
      </w:r>
      <w:r w:rsidR="006715D4" w:rsidRPr="00396FC6">
        <w:rPr>
          <w:rFonts w:ascii="Times New Roman" w:hAnsi="Times New Roman" w:cs="Times New Roman"/>
          <w:sz w:val="24"/>
          <w:szCs w:val="24"/>
        </w:rPr>
        <w:t xml:space="preserve"> the risk will eventuate, </w:t>
      </w:r>
      <w:r w:rsidR="005E0D03" w:rsidRPr="00396FC6">
        <w:rPr>
          <w:rFonts w:ascii="Times New Roman" w:hAnsi="Times New Roman" w:cs="Times New Roman"/>
          <w:sz w:val="24"/>
          <w:szCs w:val="24"/>
        </w:rPr>
        <w:t>is</w:t>
      </w:r>
      <w:r w:rsidR="006715D4" w:rsidRPr="00396FC6">
        <w:rPr>
          <w:rFonts w:ascii="Times New Roman" w:hAnsi="Times New Roman" w:cs="Times New Roman"/>
          <w:sz w:val="24"/>
          <w:szCs w:val="24"/>
        </w:rPr>
        <w:t xml:space="preserve"> likely to eventuate or has eventuated in the past. </w:t>
      </w:r>
    </w:p>
    <w:p w14:paraId="5BABE2C9" w14:textId="77777777" w:rsidR="005E0D03" w:rsidRPr="00396FC6" w:rsidRDefault="006715D4" w:rsidP="005E0D03">
      <w:pPr>
        <w:rPr>
          <w:rFonts w:ascii="Times New Roman" w:hAnsi="Times New Roman" w:cs="Times New Roman"/>
          <w:sz w:val="24"/>
          <w:szCs w:val="24"/>
        </w:rPr>
      </w:pPr>
      <w:r w:rsidRPr="00396FC6">
        <w:rPr>
          <w:rFonts w:ascii="Times New Roman" w:hAnsi="Times New Roman" w:cs="Times New Roman"/>
          <w:sz w:val="24"/>
          <w:szCs w:val="24"/>
        </w:rPr>
        <w:t xml:space="preserve">Item 1 inserts a new </w:t>
      </w:r>
      <w:proofErr w:type="spellStart"/>
      <w:r w:rsidRPr="00396FC6">
        <w:rPr>
          <w:rFonts w:ascii="Times New Roman" w:hAnsi="Times New Roman" w:cs="Times New Roman"/>
          <w:sz w:val="24"/>
          <w:szCs w:val="24"/>
        </w:rPr>
        <w:t>subregulation</w:t>
      </w:r>
      <w:proofErr w:type="spellEnd"/>
      <w:r w:rsidRPr="00396FC6">
        <w:rPr>
          <w:rFonts w:ascii="Times New Roman" w:hAnsi="Times New Roman" w:cs="Times New Roman"/>
          <w:sz w:val="24"/>
          <w:szCs w:val="24"/>
        </w:rPr>
        <w:t xml:space="preserve"> 15(6) to </w:t>
      </w:r>
      <w:r w:rsidR="005E0D03" w:rsidRPr="00396FC6">
        <w:rPr>
          <w:rFonts w:ascii="Times New Roman" w:hAnsi="Times New Roman" w:cs="Times New Roman"/>
          <w:sz w:val="24"/>
          <w:szCs w:val="24"/>
        </w:rPr>
        <w:t>codify a non-exhaustive list of</w:t>
      </w:r>
      <w:r w:rsidRPr="00396FC6">
        <w:rPr>
          <w:rFonts w:ascii="Times New Roman" w:hAnsi="Times New Roman" w:cs="Times New Roman"/>
          <w:sz w:val="24"/>
          <w:szCs w:val="24"/>
        </w:rPr>
        <w:t xml:space="preserve"> principles that the court my have regard to when considering whether to include a condition in a Convention order. These principles are drawn from those set out by the courts in</w:t>
      </w:r>
      <w:r w:rsidR="005E0D03" w:rsidRPr="00396FC6">
        <w:rPr>
          <w:rFonts w:ascii="Times New Roman" w:hAnsi="Times New Roman" w:cs="Times New Roman"/>
          <w:sz w:val="24"/>
          <w:szCs w:val="24"/>
        </w:rPr>
        <w:t xml:space="preserve"> </w:t>
      </w:r>
      <w:r w:rsidR="005E0D03" w:rsidRPr="00774542">
        <w:rPr>
          <w:rFonts w:ascii="Times New Roman" w:hAnsi="Times New Roman" w:cs="Times New Roman"/>
          <w:i/>
          <w:sz w:val="24"/>
          <w:szCs w:val="24"/>
        </w:rPr>
        <w:t>Commonwealth Central Authority v Sangster</w:t>
      </w:r>
      <w:r w:rsidR="005E0D03" w:rsidRPr="00396FC6">
        <w:rPr>
          <w:rFonts w:ascii="Times New Roman" w:hAnsi="Times New Roman" w:cs="Times New Roman"/>
          <w:sz w:val="24"/>
          <w:szCs w:val="24"/>
        </w:rPr>
        <w:t xml:space="preserve"> [2018] </w:t>
      </w:r>
      <w:proofErr w:type="spellStart"/>
      <w:r w:rsidR="005E0D03" w:rsidRPr="00396FC6">
        <w:rPr>
          <w:rFonts w:ascii="Times New Roman" w:hAnsi="Times New Roman" w:cs="Times New Roman"/>
          <w:sz w:val="24"/>
          <w:szCs w:val="24"/>
        </w:rPr>
        <w:t>FamCA</w:t>
      </w:r>
      <w:proofErr w:type="spellEnd"/>
      <w:r w:rsidR="005E0D03" w:rsidRPr="00396FC6">
        <w:rPr>
          <w:rFonts w:ascii="Times New Roman" w:hAnsi="Times New Roman" w:cs="Times New Roman"/>
          <w:sz w:val="24"/>
          <w:szCs w:val="24"/>
        </w:rPr>
        <w:t xml:space="preserve"> 765 at [166], and </w:t>
      </w:r>
      <w:r w:rsidR="005E0D03" w:rsidRPr="00774542">
        <w:rPr>
          <w:rFonts w:ascii="Times New Roman" w:hAnsi="Times New Roman" w:cs="Times New Roman"/>
          <w:i/>
          <w:sz w:val="24"/>
          <w:szCs w:val="24"/>
        </w:rPr>
        <w:t>State Central Authority v Del Rosario</w:t>
      </w:r>
      <w:r w:rsidR="005E0D03" w:rsidRPr="00396FC6">
        <w:rPr>
          <w:rFonts w:ascii="Times New Roman" w:hAnsi="Times New Roman" w:cs="Times New Roman"/>
          <w:sz w:val="24"/>
          <w:szCs w:val="24"/>
        </w:rPr>
        <w:t xml:space="preserve"> [2019] </w:t>
      </w:r>
      <w:proofErr w:type="spellStart"/>
      <w:r w:rsidR="005E0D03" w:rsidRPr="00396FC6">
        <w:rPr>
          <w:rFonts w:ascii="Times New Roman" w:hAnsi="Times New Roman" w:cs="Times New Roman"/>
          <w:sz w:val="24"/>
          <w:szCs w:val="24"/>
        </w:rPr>
        <w:t>FamCA</w:t>
      </w:r>
      <w:proofErr w:type="spellEnd"/>
      <w:r w:rsidR="005E0D03" w:rsidRPr="00396FC6">
        <w:rPr>
          <w:rFonts w:ascii="Times New Roman" w:hAnsi="Times New Roman" w:cs="Times New Roman"/>
          <w:sz w:val="24"/>
          <w:szCs w:val="24"/>
        </w:rPr>
        <w:t xml:space="preserve"> 607 at [27].</w:t>
      </w:r>
    </w:p>
    <w:p w14:paraId="121F39FC" w14:textId="6344A647" w:rsidR="006715D4" w:rsidRPr="00396FC6" w:rsidRDefault="006715D4" w:rsidP="005E0D03">
      <w:pPr>
        <w:jc w:val="both"/>
        <w:rPr>
          <w:rFonts w:ascii="Times New Roman" w:hAnsi="Times New Roman" w:cs="Times New Roman"/>
          <w:sz w:val="24"/>
          <w:szCs w:val="24"/>
        </w:rPr>
      </w:pPr>
      <w:r w:rsidRPr="00396FC6">
        <w:rPr>
          <w:rFonts w:ascii="Times New Roman" w:hAnsi="Times New Roman" w:cs="Times New Roman"/>
          <w:sz w:val="24"/>
          <w:szCs w:val="24"/>
        </w:rPr>
        <w:t xml:space="preserve">New </w:t>
      </w:r>
      <w:proofErr w:type="spellStart"/>
      <w:r w:rsidRPr="00396FC6">
        <w:rPr>
          <w:rFonts w:ascii="Times New Roman" w:hAnsi="Times New Roman" w:cs="Times New Roman"/>
          <w:sz w:val="24"/>
          <w:szCs w:val="24"/>
        </w:rPr>
        <w:t>subregulation</w:t>
      </w:r>
      <w:proofErr w:type="spellEnd"/>
      <w:r w:rsidRPr="00396FC6">
        <w:rPr>
          <w:rFonts w:ascii="Times New Roman" w:hAnsi="Times New Roman" w:cs="Times New Roman"/>
          <w:sz w:val="24"/>
          <w:szCs w:val="24"/>
        </w:rPr>
        <w:t xml:space="preserve"> 15(7) notes that these factors are not intended to be exhaustive and the court may have regard to other matters when considering whether to include a condition in a Convention order.</w:t>
      </w:r>
    </w:p>
    <w:p w14:paraId="6D0B2CD6" w14:textId="4B235AFF" w:rsidR="006715D4" w:rsidRPr="00396FC6" w:rsidRDefault="006715D4" w:rsidP="006715D4">
      <w:pPr>
        <w:rPr>
          <w:rFonts w:ascii="Times New Roman" w:hAnsi="Times New Roman" w:cs="Times New Roman"/>
          <w:b/>
          <w:sz w:val="24"/>
          <w:szCs w:val="24"/>
        </w:rPr>
      </w:pPr>
      <w:r w:rsidRPr="00396FC6">
        <w:rPr>
          <w:rFonts w:ascii="Times New Roman" w:hAnsi="Times New Roman" w:cs="Times New Roman"/>
          <w:b/>
          <w:sz w:val="24"/>
          <w:szCs w:val="24"/>
        </w:rPr>
        <w:t xml:space="preserve">Item [2]: </w:t>
      </w:r>
      <w:r w:rsidR="008E386D" w:rsidRPr="00396FC6">
        <w:rPr>
          <w:rFonts w:ascii="Times New Roman" w:hAnsi="Times New Roman" w:cs="Times New Roman"/>
          <w:b/>
          <w:sz w:val="24"/>
          <w:szCs w:val="24"/>
        </w:rPr>
        <w:t>Statutory note</w:t>
      </w:r>
      <w:r w:rsidR="006D3287">
        <w:rPr>
          <w:rFonts w:ascii="Times New Roman" w:hAnsi="Times New Roman" w:cs="Times New Roman"/>
          <w:b/>
          <w:sz w:val="24"/>
          <w:szCs w:val="24"/>
        </w:rPr>
        <w:t>s</w:t>
      </w:r>
      <w:r w:rsidR="008E386D" w:rsidRPr="00396FC6">
        <w:rPr>
          <w:rFonts w:ascii="Times New Roman" w:hAnsi="Times New Roman" w:cs="Times New Roman"/>
          <w:b/>
          <w:sz w:val="24"/>
          <w:szCs w:val="24"/>
        </w:rPr>
        <w:t xml:space="preserve"> at</w:t>
      </w:r>
      <w:r w:rsidR="006D3287">
        <w:rPr>
          <w:rFonts w:ascii="Times New Roman" w:hAnsi="Times New Roman" w:cs="Times New Roman"/>
          <w:b/>
          <w:sz w:val="24"/>
          <w:szCs w:val="24"/>
        </w:rPr>
        <w:t xml:space="preserve"> the end of</w:t>
      </w:r>
      <w:r w:rsidR="008E386D" w:rsidRPr="00396FC6">
        <w:rPr>
          <w:rFonts w:ascii="Times New Roman" w:hAnsi="Times New Roman" w:cs="Times New Roman"/>
          <w:b/>
          <w:sz w:val="24"/>
          <w:szCs w:val="24"/>
        </w:rPr>
        <w:t xml:space="preserve"> </w:t>
      </w:r>
      <w:proofErr w:type="spellStart"/>
      <w:r w:rsidR="008E386D" w:rsidRPr="00396FC6">
        <w:rPr>
          <w:rFonts w:ascii="Times New Roman" w:hAnsi="Times New Roman" w:cs="Times New Roman"/>
          <w:b/>
          <w:sz w:val="24"/>
          <w:szCs w:val="24"/>
        </w:rPr>
        <w:t>s</w:t>
      </w:r>
      <w:r w:rsidRPr="00396FC6">
        <w:rPr>
          <w:rFonts w:ascii="Times New Roman" w:hAnsi="Times New Roman" w:cs="Times New Roman"/>
          <w:b/>
          <w:sz w:val="24"/>
          <w:szCs w:val="24"/>
        </w:rPr>
        <w:t>ubregulation</w:t>
      </w:r>
      <w:proofErr w:type="spellEnd"/>
      <w:r w:rsidRPr="00396FC6">
        <w:rPr>
          <w:rFonts w:ascii="Times New Roman" w:hAnsi="Times New Roman" w:cs="Times New Roman"/>
          <w:b/>
          <w:sz w:val="24"/>
          <w:szCs w:val="24"/>
        </w:rPr>
        <w:t xml:space="preserve"> 16(3)</w:t>
      </w:r>
    </w:p>
    <w:p w14:paraId="54EEE556" w14:textId="15522620" w:rsidR="000715A7" w:rsidRPr="00396FC6" w:rsidRDefault="000715A7" w:rsidP="00D674F6">
      <w:pPr>
        <w:jc w:val="both"/>
        <w:rPr>
          <w:rFonts w:ascii="Times New Roman" w:hAnsi="Times New Roman" w:cs="Times New Roman"/>
          <w:sz w:val="24"/>
          <w:szCs w:val="24"/>
        </w:rPr>
      </w:pPr>
      <w:proofErr w:type="spellStart"/>
      <w:r w:rsidRPr="00396FC6">
        <w:rPr>
          <w:rFonts w:ascii="Times New Roman" w:hAnsi="Times New Roman" w:cs="Times New Roman"/>
          <w:sz w:val="24"/>
          <w:szCs w:val="24"/>
        </w:rPr>
        <w:t>Subregulation</w:t>
      </w:r>
      <w:proofErr w:type="spellEnd"/>
      <w:r w:rsidRPr="00396FC6">
        <w:rPr>
          <w:rFonts w:ascii="Times New Roman" w:hAnsi="Times New Roman" w:cs="Times New Roman"/>
          <w:sz w:val="24"/>
          <w:szCs w:val="24"/>
        </w:rPr>
        <w:t xml:space="preserve"> 16(3) of the Principal Regulations outlines the circumstances in which the court may refuse to make a return order. Paragraph 16(3)(b) states that the court may refuse to make a return order if a person opposing the return establishes that there is a grave risk that the return of the child under the Convention would expose the child to physical or psychological harm or otherwise place the child in an intolerable situation (the ‘grave risk defence’).</w:t>
      </w:r>
    </w:p>
    <w:p w14:paraId="1739046B" w14:textId="77777777" w:rsidR="0003049A" w:rsidRPr="00396FC6" w:rsidRDefault="006715D4" w:rsidP="007C14C0">
      <w:pPr>
        <w:jc w:val="both"/>
        <w:rPr>
          <w:rFonts w:ascii="Times New Roman" w:hAnsi="Times New Roman" w:cs="Times New Roman"/>
          <w:sz w:val="24"/>
          <w:szCs w:val="24"/>
        </w:rPr>
      </w:pPr>
      <w:r w:rsidRPr="00396FC6">
        <w:rPr>
          <w:rFonts w:ascii="Times New Roman" w:hAnsi="Times New Roman" w:cs="Times New Roman"/>
          <w:sz w:val="24"/>
          <w:szCs w:val="24"/>
        </w:rPr>
        <w:t>Item 2</w:t>
      </w:r>
      <w:r w:rsidR="000715A7" w:rsidRPr="00396FC6">
        <w:rPr>
          <w:rFonts w:ascii="Times New Roman" w:hAnsi="Times New Roman" w:cs="Times New Roman"/>
          <w:sz w:val="24"/>
          <w:szCs w:val="24"/>
        </w:rPr>
        <w:t xml:space="preserve"> inserts </w:t>
      </w:r>
      <w:r w:rsidR="0003049A" w:rsidRPr="00396FC6">
        <w:rPr>
          <w:rFonts w:ascii="Times New Roman" w:hAnsi="Times New Roman" w:cs="Times New Roman"/>
          <w:sz w:val="24"/>
          <w:szCs w:val="24"/>
        </w:rPr>
        <w:t xml:space="preserve">two statutory notes at the end of </w:t>
      </w:r>
      <w:proofErr w:type="spellStart"/>
      <w:r w:rsidR="0003049A" w:rsidRPr="00396FC6">
        <w:rPr>
          <w:rFonts w:ascii="Times New Roman" w:hAnsi="Times New Roman" w:cs="Times New Roman"/>
          <w:sz w:val="24"/>
          <w:szCs w:val="24"/>
        </w:rPr>
        <w:t>subregulation</w:t>
      </w:r>
      <w:proofErr w:type="spellEnd"/>
      <w:r w:rsidR="0003049A" w:rsidRPr="00396FC6">
        <w:rPr>
          <w:rFonts w:ascii="Times New Roman" w:hAnsi="Times New Roman" w:cs="Times New Roman"/>
          <w:sz w:val="24"/>
          <w:szCs w:val="24"/>
        </w:rPr>
        <w:t xml:space="preserve"> 16(3). The first is a </w:t>
      </w:r>
      <w:r w:rsidR="003F5B9F" w:rsidRPr="00396FC6">
        <w:rPr>
          <w:rFonts w:ascii="Times New Roman" w:hAnsi="Times New Roman" w:cs="Times New Roman"/>
          <w:sz w:val="24"/>
          <w:szCs w:val="24"/>
        </w:rPr>
        <w:t>statutory</w:t>
      </w:r>
      <w:r w:rsidR="000715A7" w:rsidRPr="00396FC6">
        <w:rPr>
          <w:rFonts w:ascii="Times New Roman" w:hAnsi="Times New Roman" w:cs="Times New Roman"/>
          <w:sz w:val="24"/>
          <w:szCs w:val="24"/>
        </w:rPr>
        <w:t xml:space="preserve"> not</w:t>
      </w:r>
      <w:r w:rsidR="003F5B9F" w:rsidRPr="00396FC6">
        <w:rPr>
          <w:rFonts w:ascii="Times New Roman" w:hAnsi="Times New Roman" w:cs="Times New Roman"/>
          <w:sz w:val="24"/>
          <w:szCs w:val="24"/>
        </w:rPr>
        <w:t>e</w:t>
      </w:r>
      <w:r w:rsidR="000715A7" w:rsidRPr="00396FC6">
        <w:rPr>
          <w:rFonts w:ascii="Times New Roman" w:hAnsi="Times New Roman" w:cs="Times New Roman"/>
          <w:sz w:val="24"/>
          <w:szCs w:val="24"/>
        </w:rPr>
        <w:t xml:space="preserve"> to </w:t>
      </w:r>
      <w:r w:rsidR="003F5B9F" w:rsidRPr="00396FC6">
        <w:rPr>
          <w:rFonts w:ascii="Times New Roman" w:hAnsi="Times New Roman" w:cs="Times New Roman"/>
          <w:sz w:val="24"/>
          <w:szCs w:val="24"/>
        </w:rPr>
        <w:t>clarify</w:t>
      </w:r>
      <w:r w:rsidR="000715A7" w:rsidRPr="00396FC6">
        <w:rPr>
          <w:rFonts w:ascii="Times New Roman" w:hAnsi="Times New Roman" w:cs="Times New Roman"/>
          <w:sz w:val="24"/>
          <w:szCs w:val="24"/>
        </w:rPr>
        <w:t xml:space="preserve"> that family violence can be taken into account in </w:t>
      </w:r>
      <w:r w:rsidR="00D85EE4" w:rsidRPr="00396FC6">
        <w:rPr>
          <w:rFonts w:ascii="Times New Roman" w:hAnsi="Times New Roman" w:cs="Times New Roman"/>
          <w:sz w:val="24"/>
          <w:szCs w:val="24"/>
        </w:rPr>
        <w:t xml:space="preserve">considering </w:t>
      </w:r>
      <w:r w:rsidR="003F5B9F" w:rsidRPr="00396FC6">
        <w:rPr>
          <w:rFonts w:ascii="Times New Roman" w:hAnsi="Times New Roman" w:cs="Times New Roman"/>
          <w:sz w:val="24"/>
          <w:szCs w:val="24"/>
        </w:rPr>
        <w:t xml:space="preserve">whether </w:t>
      </w:r>
      <w:r w:rsidR="000715A7" w:rsidRPr="00396FC6">
        <w:rPr>
          <w:rFonts w:ascii="Times New Roman" w:hAnsi="Times New Roman" w:cs="Times New Roman"/>
          <w:sz w:val="24"/>
          <w:szCs w:val="24"/>
        </w:rPr>
        <w:t>the grave risk defence</w:t>
      </w:r>
      <w:r w:rsidR="003F5B9F" w:rsidRPr="00396FC6">
        <w:rPr>
          <w:rFonts w:ascii="Times New Roman" w:hAnsi="Times New Roman" w:cs="Times New Roman"/>
          <w:sz w:val="24"/>
          <w:szCs w:val="24"/>
        </w:rPr>
        <w:t xml:space="preserve"> has been established</w:t>
      </w:r>
      <w:r w:rsidR="000715A7" w:rsidRPr="00396FC6">
        <w:rPr>
          <w:rFonts w:ascii="Times New Roman" w:hAnsi="Times New Roman" w:cs="Times New Roman"/>
          <w:sz w:val="24"/>
          <w:szCs w:val="24"/>
        </w:rPr>
        <w:t xml:space="preserve">. The note states that </w:t>
      </w:r>
      <w:r w:rsidR="003F5B9F" w:rsidRPr="00396FC6">
        <w:rPr>
          <w:rFonts w:ascii="Times New Roman" w:hAnsi="Times New Roman" w:cs="Times New Roman"/>
          <w:sz w:val="24"/>
          <w:szCs w:val="24"/>
        </w:rPr>
        <w:t>in this context,</w:t>
      </w:r>
      <w:r w:rsidR="000715A7" w:rsidRPr="00396FC6">
        <w:rPr>
          <w:rFonts w:ascii="Times New Roman" w:hAnsi="Times New Roman" w:cs="Times New Roman"/>
          <w:sz w:val="24"/>
          <w:szCs w:val="24"/>
        </w:rPr>
        <w:t xml:space="preserve"> the court may have regard to any risk that the return of the child under the Convention would result in the child being subject to, or exposed to, family violence, as well as the extent to which the child could be protected from any such risk if the child was returned under the Convention. The note states that the court may have regard to these matters regardless of whether the court is satisfied that family violence has occurred, will occur or is likely to occur. </w:t>
      </w:r>
    </w:p>
    <w:p w14:paraId="68E5E267" w14:textId="5A17C4CF" w:rsidR="007C14C0" w:rsidRPr="00396FC6" w:rsidRDefault="000715A7" w:rsidP="007C14C0">
      <w:pPr>
        <w:jc w:val="both"/>
        <w:rPr>
          <w:rFonts w:ascii="Times New Roman" w:hAnsi="Times New Roman" w:cs="Times New Roman"/>
          <w:sz w:val="24"/>
          <w:szCs w:val="24"/>
        </w:rPr>
      </w:pPr>
      <w:r w:rsidRPr="00396FC6">
        <w:rPr>
          <w:rFonts w:ascii="Times New Roman" w:hAnsi="Times New Roman" w:cs="Times New Roman"/>
          <w:sz w:val="24"/>
          <w:szCs w:val="24"/>
        </w:rPr>
        <w:t xml:space="preserve">The </w:t>
      </w:r>
      <w:r w:rsidR="007C14C0" w:rsidRPr="00396FC6">
        <w:rPr>
          <w:rFonts w:ascii="Times New Roman" w:hAnsi="Times New Roman" w:cs="Times New Roman"/>
          <w:sz w:val="24"/>
          <w:szCs w:val="24"/>
        </w:rPr>
        <w:t xml:space="preserve">second </w:t>
      </w:r>
      <w:r w:rsidR="0003049A" w:rsidRPr="00396FC6">
        <w:rPr>
          <w:rFonts w:ascii="Times New Roman" w:hAnsi="Times New Roman" w:cs="Times New Roman"/>
          <w:sz w:val="24"/>
          <w:szCs w:val="24"/>
        </w:rPr>
        <w:t>statutory</w:t>
      </w:r>
      <w:r w:rsidR="007C14C0" w:rsidRPr="00396FC6">
        <w:rPr>
          <w:rFonts w:ascii="Times New Roman" w:hAnsi="Times New Roman" w:cs="Times New Roman"/>
          <w:sz w:val="24"/>
          <w:szCs w:val="24"/>
        </w:rPr>
        <w:t xml:space="preserve"> note </w:t>
      </w:r>
      <w:r w:rsidR="0003049A" w:rsidRPr="00396FC6">
        <w:rPr>
          <w:rFonts w:ascii="Times New Roman" w:hAnsi="Times New Roman" w:cs="Times New Roman"/>
          <w:sz w:val="24"/>
          <w:szCs w:val="24"/>
        </w:rPr>
        <w:t xml:space="preserve">stipulates </w:t>
      </w:r>
      <w:r w:rsidR="007C14C0" w:rsidRPr="00396FC6">
        <w:rPr>
          <w:rFonts w:ascii="Times New Roman" w:hAnsi="Times New Roman" w:cs="Times New Roman"/>
          <w:sz w:val="24"/>
          <w:szCs w:val="24"/>
        </w:rPr>
        <w:t xml:space="preserve">that family violence is defined in section 4AB of the </w:t>
      </w:r>
      <w:r w:rsidR="007C14C0" w:rsidRPr="00396FC6">
        <w:rPr>
          <w:rFonts w:ascii="Times New Roman" w:hAnsi="Times New Roman" w:cs="Times New Roman"/>
          <w:i/>
          <w:sz w:val="24"/>
          <w:szCs w:val="24"/>
        </w:rPr>
        <w:t xml:space="preserve">Family Law Act 197 </w:t>
      </w:r>
      <w:r w:rsidR="007C14C0" w:rsidRPr="00396FC6">
        <w:rPr>
          <w:rFonts w:ascii="Times New Roman" w:hAnsi="Times New Roman" w:cs="Times New Roman"/>
          <w:sz w:val="24"/>
          <w:szCs w:val="24"/>
        </w:rPr>
        <w:t>(</w:t>
      </w:r>
      <w:proofErr w:type="spellStart"/>
      <w:r w:rsidR="007C14C0" w:rsidRPr="00396FC6">
        <w:rPr>
          <w:rFonts w:ascii="Times New Roman" w:hAnsi="Times New Roman" w:cs="Times New Roman"/>
          <w:sz w:val="24"/>
          <w:szCs w:val="24"/>
        </w:rPr>
        <w:t>Cth</w:t>
      </w:r>
      <w:proofErr w:type="spellEnd"/>
      <w:r w:rsidR="007C14C0" w:rsidRPr="00396FC6">
        <w:rPr>
          <w:rFonts w:ascii="Times New Roman" w:hAnsi="Times New Roman" w:cs="Times New Roman"/>
          <w:sz w:val="24"/>
          <w:szCs w:val="24"/>
        </w:rPr>
        <w:t>).</w:t>
      </w:r>
    </w:p>
    <w:p w14:paraId="2F42433F" w14:textId="4E4F3C1A" w:rsidR="007C14C0" w:rsidRPr="00396FC6" w:rsidRDefault="007C14C0" w:rsidP="007C14C0">
      <w:pPr>
        <w:rPr>
          <w:rFonts w:ascii="Times New Roman" w:hAnsi="Times New Roman" w:cs="Times New Roman"/>
          <w:b/>
          <w:sz w:val="24"/>
          <w:szCs w:val="24"/>
        </w:rPr>
      </w:pPr>
      <w:r w:rsidRPr="00396FC6">
        <w:rPr>
          <w:rFonts w:ascii="Times New Roman" w:hAnsi="Times New Roman" w:cs="Times New Roman"/>
          <w:b/>
          <w:sz w:val="24"/>
          <w:szCs w:val="24"/>
        </w:rPr>
        <w:t xml:space="preserve">Item [3]: </w:t>
      </w:r>
      <w:r w:rsidR="006D3287">
        <w:rPr>
          <w:rFonts w:ascii="Times New Roman" w:hAnsi="Times New Roman" w:cs="Times New Roman"/>
          <w:b/>
          <w:sz w:val="24"/>
          <w:szCs w:val="24"/>
        </w:rPr>
        <w:t xml:space="preserve">New </w:t>
      </w:r>
      <w:proofErr w:type="spellStart"/>
      <w:r w:rsidR="006D3287">
        <w:rPr>
          <w:rFonts w:ascii="Times New Roman" w:hAnsi="Times New Roman" w:cs="Times New Roman"/>
          <w:b/>
          <w:sz w:val="24"/>
          <w:szCs w:val="24"/>
        </w:rPr>
        <w:t>s</w:t>
      </w:r>
      <w:r w:rsidR="00E413B3" w:rsidRPr="00396FC6">
        <w:rPr>
          <w:rFonts w:ascii="Times New Roman" w:hAnsi="Times New Roman" w:cs="Times New Roman"/>
          <w:b/>
          <w:sz w:val="24"/>
          <w:szCs w:val="24"/>
        </w:rPr>
        <w:t>ubr</w:t>
      </w:r>
      <w:r w:rsidRPr="00396FC6">
        <w:rPr>
          <w:rFonts w:ascii="Times New Roman" w:hAnsi="Times New Roman" w:cs="Times New Roman"/>
          <w:b/>
          <w:sz w:val="24"/>
          <w:szCs w:val="24"/>
        </w:rPr>
        <w:t>egulation</w:t>
      </w:r>
      <w:r w:rsidR="006D3287">
        <w:rPr>
          <w:rFonts w:ascii="Times New Roman" w:hAnsi="Times New Roman" w:cs="Times New Roman"/>
          <w:b/>
          <w:sz w:val="24"/>
          <w:szCs w:val="24"/>
        </w:rPr>
        <w:t>s</w:t>
      </w:r>
      <w:proofErr w:type="spellEnd"/>
      <w:r w:rsidRPr="00396FC6">
        <w:rPr>
          <w:rFonts w:ascii="Times New Roman" w:hAnsi="Times New Roman" w:cs="Times New Roman"/>
          <w:b/>
          <w:sz w:val="24"/>
          <w:szCs w:val="24"/>
        </w:rPr>
        <w:t xml:space="preserve"> 16</w:t>
      </w:r>
      <w:r w:rsidR="00E413B3" w:rsidRPr="00396FC6">
        <w:rPr>
          <w:rFonts w:ascii="Times New Roman" w:hAnsi="Times New Roman" w:cs="Times New Roman"/>
          <w:b/>
          <w:sz w:val="24"/>
          <w:szCs w:val="24"/>
        </w:rPr>
        <w:t>(6), 16(7) and 16(8)</w:t>
      </w:r>
    </w:p>
    <w:p w14:paraId="4529378A" w14:textId="778A0AE1" w:rsidR="007C14C0" w:rsidRPr="00396FC6" w:rsidRDefault="007C14C0" w:rsidP="007C14C0">
      <w:pPr>
        <w:jc w:val="both"/>
        <w:rPr>
          <w:rFonts w:ascii="Times New Roman" w:hAnsi="Times New Roman" w:cs="Times New Roman"/>
          <w:sz w:val="24"/>
          <w:szCs w:val="24"/>
        </w:rPr>
      </w:pPr>
      <w:r w:rsidRPr="00396FC6">
        <w:rPr>
          <w:rFonts w:ascii="Times New Roman" w:hAnsi="Times New Roman" w:cs="Times New Roman"/>
          <w:sz w:val="24"/>
          <w:szCs w:val="24"/>
        </w:rPr>
        <w:t xml:space="preserve">Regulation 16 of the Principal Regulations sets out the circumstances in which the court </w:t>
      </w:r>
      <w:r w:rsidR="0056208C" w:rsidRPr="00396FC6">
        <w:rPr>
          <w:rFonts w:ascii="Times New Roman" w:hAnsi="Times New Roman" w:cs="Times New Roman"/>
          <w:sz w:val="24"/>
          <w:szCs w:val="24"/>
        </w:rPr>
        <w:t>is obligated to make an order for the return of a child (</w:t>
      </w:r>
      <w:r w:rsidR="00C74B43" w:rsidRPr="00396FC6">
        <w:rPr>
          <w:rFonts w:ascii="Times New Roman" w:hAnsi="Times New Roman" w:cs="Times New Roman"/>
          <w:sz w:val="24"/>
          <w:szCs w:val="24"/>
        </w:rPr>
        <w:t>Convention</w:t>
      </w:r>
      <w:r w:rsidR="0056208C" w:rsidRPr="00396FC6">
        <w:rPr>
          <w:rFonts w:ascii="Times New Roman" w:hAnsi="Times New Roman" w:cs="Times New Roman"/>
          <w:sz w:val="24"/>
          <w:szCs w:val="24"/>
        </w:rPr>
        <w:t xml:space="preserve"> order)</w:t>
      </w:r>
      <w:r w:rsidRPr="00396FC6">
        <w:rPr>
          <w:rFonts w:ascii="Times New Roman" w:hAnsi="Times New Roman" w:cs="Times New Roman"/>
          <w:sz w:val="24"/>
          <w:szCs w:val="24"/>
        </w:rPr>
        <w:t xml:space="preserve"> and the circumstances in which the court may refuse to make a </w:t>
      </w:r>
      <w:r w:rsidR="00C74B43" w:rsidRPr="00396FC6">
        <w:rPr>
          <w:rFonts w:ascii="Times New Roman" w:hAnsi="Times New Roman" w:cs="Times New Roman"/>
          <w:sz w:val="24"/>
          <w:szCs w:val="24"/>
        </w:rPr>
        <w:t>Convention</w:t>
      </w:r>
      <w:r w:rsidRPr="00396FC6">
        <w:rPr>
          <w:rFonts w:ascii="Times New Roman" w:hAnsi="Times New Roman" w:cs="Times New Roman"/>
          <w:sz w:val="24"/>
          <w:szCs w:val="24"/>
        </w:rPr>
        <w:t xml:space="preserve"> order.</w:t>
      </w:r>
      <w:r w:rsidR="00835D97" w:rsidRPr="00396FC6">
        <w:rPr>
          <w:rFonts w:ascii="Times New Roman" w:hAnsi="Times New Roman" w:cs="Times New Roman"/>
          <w:sz w:val="24"/>
          <w:szCs w:val="24"/>
        </w:rPr>
        <w:t xml:space="preserve"> Item 3 </w:t>
      </w:r>
      <w:r w:rsidR="0056208C" w:rsidRPr="00396FC6">
        <w:rPr>
          <w:rFonts w:ascii="Times New Roman" w:hAnsi="Times New Roman" w:cs="Times New Roman"/>
          <w:sz w:val="24"/>
          <w:szCs w:val="24"/>
        </w:rPr>
        <w:t>inserts three new provisions to clarify</w:t>
      </w:r>
      <w:r w:rsidR="00835D97" w:rsidRPr="00396FC6">
        <w:rPr>
          <w:rFonts w:ascii="Times New Roman" w:hAnsi="Times New Roman" w:cs="Times New Roman"/>
          <w:sz w:val="24"/>
          <w:szCs w:val="24"/>
        </w:rPr>
        <w:t xml:space="preserve"> </w:t>
      </w:r>
      <w:r w:rsidR="00D85EE4" w:rsidRPr="00396FC6">
        <w:rPr>
          <w:rFonts w:ascii="Times New Roman" w:hAnsi="Times New Roman" w:cs="Times New Roman"/>
          <w:sz w:val="24"/>
          <w:szCs w:val="24"/>
        </w:rPr>
        <w:t xml:space="preserve">the </w:t>
      </w:r>
      <w:r w:rsidR="00835D97" w:rsidRPr="00396FC6">
        <w:rPr>
          <w:rFonts w:ascii="Times New Roman" w:hAnsi="Times New Roman" w:cs="Times New Roman"/>
          <w:sz w:val="24"/>
          <w:szCs w:val="24"/>
        </w:rPr>
        <w:t xml:space="preserve">considerations that the court may have regard to for the purpose of reducing a risk under paragraph 16(3)(b) and when considering whether to refuse to make a </w:t>
      </w:r>
      <w:r w:rsidR="00C74B43" w:rsidRPr="00396FC6">
        <w:rPr>
          <w:rFonts w:ascii="Times New Roman" w:hAnsi="Times New Roman" w:cs="Times New Roman"/>
          <w:sz w:val="24"/>
          <w:szCs w:val="24"/>
        </w:rPr>
        <w:t>Conventio</w:t>
      </w:r>
      <w:r w:rsidR="00835D97" w:rsidRPr="00396FC6">
        <w:rPr>
          <w:rFonts w:ascii="Times New Roman" w:hAnsi="Times New Roman" w:cs="Times New Roman"/>
          <w:sz w:val="24"/>
          <w:szCs w:val="24"/>
        </w:rPr>
        <w:t xml:space="preserve">n order on the basis of </w:t>
      </w:r>
      <w:r w:rsidR="00D85EE4" w:rsidRPr="00396FC6">
        <w:rPr>
          <w:rFonts w:ascii="Times New Roman" w:hAnsi="Times New Roman" w:cs="Times New Roman"/>
          <w:sz w:val="24"/>
          <w:szCs w:val="24"/>
        </w:rPr>
        <w:t xml:space="preserve">a </w:t>
      </w:r>
      <w:r w:rsidR="00835D97" w:rsidRPr="00396FC6">
        <w:rPr>
          <w:rFonts w:ascii="Times New Roman" w:hAnsi="Times New Roman" w:cs="Times New Roman"/>
          <w:sz w:val="24"/>
          <w:szCs w:val="24"/>
        </w:rPr>
        <w:t>matter mentioned in paragraph 16(3)(b)</w:t>
      </w:r>
      <w:r w:rsidR="0056208C" w:rsidRPr="00396FC6">
        <w:rPr>
          <w:rFonts w:ascii="Times New Roman" w:hAnsi="Times New Roman" w:cs="Times New Roman"/>
          <w:sz w:val="24"/>
          <w:szCs w:val="24"/>
        </w:rPr>
        <w:t xml:space="preserve"> (the grave risk defence)</w:t>
      </w:r>
      <w:r w:rsidR="00835D97" w:rsidRPr="00396FC6">
        <w:rPr>
          <w:rFonts w:ascii="Times New Roman" w:hAnsi="Times New Roman" w:cs="Times New Roman"/>
          <w:sz w:val="24"/>
          <w:szCs w:val="24"/>
        </w:rPr>
        <w:t>.</w:t>
      </w:r>
    </w:p>
    <w:p w14:paraId="1011C365" w14:textId="3675BA17" w:rsidR="007C14C0" w:rsidRPr="00396FC6" w:rsidRDefault="007C14C0" w:rsidP="0056208C">
      <w:pPr>
        <w:rPr>
          <w:rFonts w:ascii="Times New Roman" w:hAnsi="Times New Roman" w:cs="Times New Roman"/>
          <w:sz w:val="24"/>
          <w:szCs w:val="24"/>
        </w:rPr>
      </w:pPr>
      <w:r w:rsidRPr="00396FC6">
        <w:rPr>
          <w:rFonts w:ascii="Times New Roman" w:hAnsi="Times New Roman" w:cs="Times New Roman"/>
          <w:sz w:val="24"/>
          <w:szCs w:val="24"/>
        </w:rPr>
        <w:t xml:space="preserve">New </w:t>
      </w:r>
      <w:proofErr w:type="spellStart"/>
      <w:r w:rsidRPr="00396FC6">
        <w:rPr>
          <w:rFonts w:ascii="Times New Roman" w:hAnsi="Times New Roman" w:cs="Times New Roman"/>
          <w:sz w:val="24"/>
          <w:szCs w:val="24"/>
        </w:rPr>
        <w:t>subregulation</w:t>
      </w:r>
      <w:proofErr w:type="spellEnd"/>
      <w:r w:rsidRPr="00396FC6">
        <w:rPr>
          <w:rFonts w:ascii="Times New Roman" w:hAnsi="Times New Roman" w:cs="Times New Roman"/>
          <w:sz w:val="24"/>
          <w:szCs w:val="24"/>
        </w:rPr>
        <w:t xml:space="preserve"> 16(6) states that where a party to the proceedings or an independent children’s lawyer raises</w:t>
      </w:r>
      <w:r w:rsidR="00D85EE4" w:rsidRPr="00396FC6">
        <w:rPr>
          <w:rFonts w:ascii="Times New Roman" w:hAnsi="Times New Roman" w:cs="Times New Roman"/>
          <w:sz w:val="24"/>
          <w:szCs w:val="24"/>
        </w:rPr>
        <w:t>,</w:t>
      </w:r>
      <w:r w:rsidRPr="00396FC6">
        <w:rPr>
          <w:rFonts w:ascii="Times New Roman" w:hAnsi="Times New Roman" w:cs="Times New Roman"/>
          <w:sz w:val="24"/>
          <w:szCs w:val="24"/>
        </w:rPr>
        <w:t xml:space="preserve"> in the proceedings</w:t>
      </w:r>
      <w:r w:rsidR="00D85EE4" w:rsidRPr="00396FC6">
        <w:rPr>
          <w:rFonts w:ascii="Times New Roman" w:hAnsi="Times New Roman" w:cs="Times New Roman"/>
          <w:sz w:val="24"/>
          <w:szCs w:val="24"/>
        </w:rPr>
        <w:t>,</w:t>
      </w:r>
      <w:r w:rsidRPr="00396FC6">
        <w:rPr>
          <w:rFonts w:ascii="Times New Roman" w:hAnsi="Times New Roman" w:cs="Times New Roman"/>
          <w:sz w:val="24"/>
          <w:szCs w:val="24"/>
        </w:rPr>
        <w:t xml:space="preserve"> a</w:t>
      </w:r>
      <w:r w:rsidR="0056208C" w:rsidRPr="00396FC6">
        <w:rPr>
          <w:rFonts w:ascii="Times New Roman" w:hAnsi="Times New Roman" w:cs="Times New Roman"/>
          <w:sz w:val="24"/>
          <w:szCs w:val="24"/>
        </w:rPr>
        <w:t xml:space="preserve"> </w:t>
      </w:r>
      <w:r w:rsidRPr="00396FC6">
        <w:rPr>
          <w:rFonts w:ascii="Times New Roman" w:hAnsi="Times New Roman" w:cs="Times New Roman"/>
          <w:sz w:val="24"/>
          <w:szCs w:val="24"/>
        </w:rPr>
        <w:t xml:space="preserve">condition </w:t>
      </w:r>
      <w:r w:rsidR="0056208C" w:rsidRPr="00396FC6">
        <w:rPr>
          <w:rFonts w:ascii="Times New Roman" w:hAnsi="Times New Roman" w:cs="Times New Roman"/>
          <w:sz w:val="24"/>
          <w:szCs w:val="24"/>
        </w:rPr>
        <w:t xml:space="preserve">on a return order for the </w:t>
      </w:r>
      <w:r w:rsidRPr="00396FC6">
        <w:rPr>
          <w:rFonts w:ascii="Times New Roman" w:hAnsi="Times New Roman" w:cs="Times New Roman"/>
          <w:sz w:val="24"/>
          <w:szCs w:val="24"/>
        </w:rPr>
        <w:t xml:space="preserve">purpose of reducing a risk under paragraph 16(3)(b), the court must consider whether </w:t>
      </w:r>
      <w:r w:rsidR="006D3287">
        <w:rPr>
          <w:rFonts w:ascii="Times New Roman" w:hAnsi="Times New Roman" w:cs="Times New Roman"/>
          <w:sz w:val="24"/>
          <w:szCs w:val="24"/>
        </w:rPr>
        <w:t xml:space="preserve">it would be appropriate to include the condition </w:t>
      </w:r>
      <w:r w:rsidRPr="00396FC6">
        <w:rPr>
          <w:rFonts w:ascii="Times New Roman" w:hAnsi="Times New Roman" w:cs="Times New Roman"/>
          <w:sz w:val="24"/>
          <w:szCs w:val="24"/>
        </w:rPr>
        <w:t>in a Convention order.</w:t>
      </w:r>
    </w:p>
    <w:p w14:paraId="42F350FA" w14:textId="4ADB608C" w:rsidR="007C14C0" w:rsidRPr="00396FC6" w:rsidRDefault="007C14C0" w:rsidP="007C14C0">
      <w:pPr>
        <w:jc w:val="both"/>
        <w:rPr>
          <w:rFonts w:ascii="Times New Roman" w:hAnsi="Times New Roman" w:cs="Times New Roman"/>
          <w:sz w:val="24"/>
          <w:szCs w:val="24"/>
        </w:rPr>
      </w:pPr>
      <w:r w:rsidRPr="00396FC6">
        <w:rPr>
          <w:rFonts w:ascii="Times New Roman" w:hAnsi="Times New Roman" w:cs="Times New Roman"/>
          <w:sz w:val="24"/>
          <w:szCs w:val="24"/>
        </w:rPr>
        <w:t xml:space="preserve">New </w:t>
      </w:r>
      <w:proofErr w:type="spellStart"/>
      <w:r w:rsidRPr="00396FC6">
        <w:rPr>
          <w:rFonts w:ascii="Times New Roman" w:hAnsi="Times New Roman" w:cs="Times New Roman"/>
          <w:sz w:val="24"/>
          <w:szCs w:val="24"/>
        </w:rPr>
        <w:t>subregulation</w:t>
      </w:r>
      <w:proofErr w:type="spellEnd"/>
      <w:r w:rsidRPr="00396FC6">
        <w:rPr>
          <w:rFonts w:ascii="Times New Roman" w:hAnsi="Times New Roman" w:cs="Times New Roman"/>
          <w:sz w:val="24"/>
          <w:szCs w:val="24"/>
        </w:rPr>
        <w:t xml:space="preserve"> 16(7) clarifies that the court may have regard to any other measures that would </w:t>
      </w:r>
      <w:r w:rsidR="00D85EE4" w:rsidRPr="00396FC6">
        <w:rPr>
          <w:rFonts w:ascii="Times New Roman" w:hAnsi="Times New Roman" w:cs="Times New Roman"/>
          <w:sz w:val="24"/>
          <w:szCs w:val="24"/>
        </w:rPr>
        <w:t xml:space="preserve">be </w:t>
      </w:r>
      <w:r w:rsidRPr="00396FC6">
        <w:rPr>
          <w:rFonts w:ascii="Times New Roman" w:hAnsi="Times New Roman" w:cs="Times New Roman"/>
          <w:sz w:val="24"/>
          <w:szCs w:val="24"/>
        </w:rPr>
        <w:t xml:space="preserve">reasonably likely to reduce the risk mentioned in paragraph 16(3)(b) when considering whether to refuse to make a return order. </w:t>
      </w:r>
    </w:p>
    <w:p w14:paraId="2ECE2397" w14:textId="3C4549B0" w:rsidR="007C14C0" w:rsidRPr="00396FC6" w:rsidRDefault="007C14C0" w:rsidP="007C14C0">
      <w:pPr>
        <w:jc w:val="both"/>
        <w:rPr>
          <w:rFonts w:ascii="Times New Roman" w:hAnsi="Times New Roman" w:cs="Times New Roman"/>
          <w:sz w:val="24"/>
          <w:szCs w:val="24"/>
        </w:rPr>
      </w:pPr>
      <w:r w:rsidRPr="00396FC6">
        <w:rPr>
          <w:rFonts w:ascii="Times New Roman" w:hAnsi="Times New Roman" w:cs="Times New Roman"/>
          <w:sz w:val="24"/>
          <w:szCs w:val="24"/>
        </w:rPr>
        <w:t xml:space="preserve">New </w:t>
      </w:r>
      <w:proofErr w:type="spellStart"/>
      <w:r w:rsidRPr="00396FC6">
        <w:rPr>
          <w:rFonts w:ascii="Times New Roman" w:hAnsi="Times New Roman" w:cs="Times New Roman"/>
          <w:sz w:val="24"/>
          <w:szCs w:val="24"/>
        </w:rPr>
        <w:t>subregulation</w:t>
      </w:r>
      <w:proofErr w:type="spellEnd"/>
      <w:r w:rsidRPr="00396FC6">
        <w:rPr>
          <w:rFonts w:ascii="Times New Roman" w:hAnsi="Times New Roman" w:cs="Times New Roman"/>
          <w:sz w:val="24"/>
          <w:szCs w:val="24"/>
        </w:rPr>
        <w:t xml:space="preserve"> 16(8) </w:t>
      </w:r>
      <w:r w:rsidR="00C74B43" w:rsidRPr="00396FC6">
        <w:rPr>
          <w:rFonts w:ascii="Times New Roman" w:hAnsi="Times New Roman" w:cs="Times New Roman"/>
          <w:sz w:val="24"/>
          <w:szCs w:val="24"/>
        </w:rPr>
        <w:t>clarifies</w:t>
      </w:r>
      <w:r w:rsidRPr="00396FC6">
        <w:rPr>
          <w:rFonts w:ascii="Times New Roman" w:hAnsi="Times New Roman" w:cs="Times New Roman"/>
          <w:sz w:val="24"/>
          <w:szCs w:val="24"/>
        </w:rPr>
        <w:t xml:space="preserve"> that these two new </w:t>
      </w:r>
      <w:proofErr w:type="spellStart"/>
      <w:r w:rsidRPr="00396FC6">
        <w:rPr>
          <w:rFonts w:ascii="Times New Roman" w:hAnsi="Times New Roman" w:cs="Times New Roman"/>
          <w:sz w:val="24"/>
          <w:szCs w:val="24"/>
        </w:rPr>
        <w:t>subregulations</w:t>
      </w:r>
      <w:proofErr w:type="spellEnd"/>
      <w:r w:rsidRPr="00396FC6">
        <w:rPr>
          <w:rFonts w:ascii="Times New Roman" w:hAnsi="Times New Roman" w:cs="Times New Roman"/>
          <w:sz w:val="24"/>
          <w:szCs w:val="24"/>
        </w:rPr>
        <w:t xml:space="preserve"> are not intended to limit the matters to which the court may have regard when considering whether to refuse to make a return order on the basis of </w:t>
      </w:r>
      <w:r w:rsidR="006D3287">
        <w:rPr>
          <w:rFonts w:ascii="Times New Roman" w:hAnsi="Times New Roman" w:cs="Times New Roman"/>
          <w:sz w:val="24"/>
          <w:szCs w:val="24"/>
        </w:rPr>
        <w:t>the grave risk defence</w:t>
      </w:r>
      <w:r w:rsidRPr="00396FC6">
        <w:rPr>
          <w:rFonts w:ascii="Times New Roman" w:hAnsi="Times New Roman" w:cs="Times New Roman"/>
          <w:sz w:val="24"/>
          <w:szCs w:val="24"/>
        </w:rPr>
        <w:t>.</w:t>
      </w:r>
    </w:p>
    <w:p w14:paraId="1F91F62D" w14:textId="63DA9505" w:rsidR="00835D97" w:rsidRPr="00396FC6" w:rsidRDefault="00835D97" w:rsidP="00835D97">
      <w:pPr>
        <w:rPr>
          <w:rFonts w:ascii="Times New Roman" w:hAnsi="Times New Roman" w:cs="Times New Roman"/>
          <w:b/>
          <w:sz w:val="24"/>
          <w:szCs w:val="24"/>
        </w:rPr>
      </w:pPr>
      <w:r w:rsidRPr="00396FC6">
        <w:rPr>
          <w:rFonts w:ascii="Times New Roman" w:hAnsi="Times New Roman" w:cs="Times New Roman"/>
          <w:b/>
          <w:sz w:val="24"/>
          <w:szCs w:val="24"/>
        </w:rPr>
        <w:t xml:space="preserve">Item [4]: </w:t>
      </w:r>
      <w:r w:rsidR="008078C4">
        <w:rPr>
          <w:rFonts w:ascii="Times New Roman" w:hAnsi="Times New Roman" w:cs="Times New Roman"/>
          <w:b/>
          <w:sz w:val="24"/>
          <w:szCs w:val="24"/>
        </w:rPr>
        <w:t>Saving</w:t>
      </w:r>
      <w:r w:rsidR="00E573A7" w:rsidRPr="00396FC6">
        <w:rPr>
          <w:rFonts w:ascii="Times New Roman" w:hAnsi="Times New Roman" w:cs="Times New Roman"/>
          <w:b/>
          <w:sz w:val="24"/>
          <w:szCs w:val="24"/>
        </w:rPr>
        <w:t xml:space="preserve"> provision</w:t>
      </w:r>
    </w:p>
    <w:p w14:paraId="4F83A948" w14:textId="68563BB3" w:rsidR="007C14C0" w:rsidRPr="00396FC6" w:rsidRDefault="00835D97" w:rsidP="00E573A7">
      <w:pPr>
        <w:rPr>
          <w:rFonts w:ascii="Times New Roman" w:hAnsi="Times New Roman" w:cs="Times New Roman"/>
          <w:sz w:val="24"/>
          <w:szCs w:val="24"/>
        </w:rPr>
      </w:pPr>
      <w:r w:rsidRPr="00396FC6">
        <w:rPr>
          <w:rFonts w:ascii="Times New Roman" w:hAnsi="Times New Roman" w:cs="Times New Roman"/>
          <w:sz w:val="24"/>
          <w:szCs w:val="24"/>
        </w:rPr>
        <w:t xml:space="preserve">Item 4 clarifies that the </w:t>
      </w:r>
      <w:r w:rsidRPr="00396FC6">
        <w:rPr>
          <w:rFonts w:ascii="Times New Roman" w:hAnsi="Times New Roman" w:cs="Times New Roman"/>
          <w:color w:val="000000" w:themeColor="text1"/>
          <w:sz w:val="24"/>
          <w:szCs w:val="24"/>
        </w:rPr>
        <w:t xml:space="preserve">Amendment Regulations </w:t>
      </w:r>
      <w:r w:rsidRPr="00396FC6">
        <w:rPr>
          <w:rFonts w:ascii="Times New Roman" w:hAnsi="Times New Roman" w:cs="Times New Roman"/>
          <w:sz w:val="24"/>
          <w:szCs w:val="24"/>
        </w:rPr>
        <w:t xml:space="preserve">apply </w:t>
      </w:r>
      <w:r w:rsidR="00E573A7" w:rsidRPr="00396FC6">
        <w:rPr>
          <w:rFonts w:ascii="Times New Roman" w:hAnsi="Times New Roman" w:cs="Times New Roman"/>
          <w:sz w:val="24"/>
          <w:szCs w:val="24"/>
        </w:rPr>
        <w:t xml:space="preserve">only </w:t>
      </w:r>
      <w:r w:rsidRPr="00396FC6">
        <w:rPr>
          <w:rFonts w:ascii="Times New Roman" w:hAnsi="Times New Roman" w:cs="Times New Roman"/>
          <w:sz w:val="24"/>
          <w:szCs w:val="24"/>
        </w:rPr>
        <w:t xml:space="preserve">to applications made </w:t>
      </w:r>
      <w:r w:rsidR="00E573A7" w:rsidRPr="00396FC6">
        <w:rPr>
          <w:rFonts w:ascii="Times New Roman" w:hAnsi="Times New Roman" w:cs="Times New Roman"/>
          <w:sz w:val="24"/>
          <w:szCs w:val="24"/>
        </w:rPr>
        <w:t xml:space="preserve">after the commencement of the instrument. Applications that were made </w:t>
      </w:r>
      <w:r w:rsidRPr="00396FC6">
        <w:rPr>
          <w:rFonts w:ascii="Times New Roman" w:hAnsi="Times New Roman" w:cs="Times New Roman"/>
          <w:sz w:val="24"/>
          <w:szCs w:val="24"/>
        </w:rPr>
        <w:t xml:space="preserve">under regulation 14 of the Principal Regulations </w:t>
      </w:r>
      <w:r w:rsidR="00E573A7" w:rsidRPr="00396FC6">
        <w:rPr>
          <w:rFonts w:ascii="Times New Roman" w:hAnsi="Times New Roman" w:cs="Times New Roman"/>
          <w:sz w:val="24"/>
          <w:szCs w:val="24"/>
        </w:rPr>
        <w:t xml:space="preserve">prior to </w:t>
      </w:r>
      <w:r w:rsidRPr="00396FC6">
        <w:rPr>
          <w:rFonts w:ascii="Times New Roman" w:hAnsi="Times New Roman" w:cs="Times New Roman"/>
          <w:sz w:val="24"/>
          <w:szCs w:val="24"/>
        </w:rPr>
        <w:t xml:space="preserve">commencement </w:t>
      </w:r>
      <w:r w:rsidR="00E573A7" w:rsidRPr="00396FC6">
        <w:rPr>
          <w:rFonts w:ascii="Times New Roman" w:hAnsi="Times New Roman" w:cs="Times New Roman"/>
          <w:color w:val="000000" w:themeColor="text1"/>
          <w:sz w:val="24"/>
          <w:szCs w:val="24"/>
        </w:rPr>
        <w:t>should treat the Principle Regulations as if the Amendment Regulations has not been made.</w:t>
      </w:r>
    </w:p>
    <w:bookmarkEnd w:id="5"/>
    <w:p w14:paraId="7E539E1E" w14:textId="7A5AD1C3" w:rsidR="007C14C0" w:rsidRPr="00396FC6" w:rsidRDefault="007C14C0" w:rsidP="00D674F6">
      <w:pPr>
        <w:jc w:val="both"/>
        <w:rPr>
          <w:rFonts w:ascii="Times New Roman" w:hAnsi="Times New Roman" w:cs="Times New Roman"/>
          <w:sz w:val="24"/>
          <w:szCs w:val="24"/>
        </w:rPr>
      </w:pPr>
    </w:p>
    <w:p w14:paraId="6CDFFD75" w14:textId="77777777" w:rsidR="0053473E" w:rsidRPr="00396FC6" w:rsidRDefault="0053473E" w:rsidP="0053473E">
      <w:pPr>
        <w:jc w:val="both"/>
        <w:rPr>
          <w:rFonts w:ascii="Times New Roman" w:eastAsia="Times New Roman" w:hAnsi="Times New Roman" w:cs="Times New Roman"/>
          <w:b/>
          <w:sz w:val="24"/>
          <w:szCs w:val="24"/>
          <w:u w:val="single"/>
          <w:lang w:eastAsia="en-AU"/>
        </w:rPr>
      </w:pPr>
      <w:r w:rsidRPr="00396FC6">
        <w:rPr>
          <w:rFonts w:ascii="Times New Roman" w:eastAsia="Times New Roman" w:hAnsi="Times New Roman" w:cs="Times New Roman"/>
          <w:b/>
          <w:sz w:val="24"/>
          <w:szCs w:val="24"/>
          <w:u w:val="single"/>
          <w:lang w:eastAsia="en-AU"/>
        </w:rPr>
        <w:br w:type="page"/>
      </w:r>
    </w:p>
    <w:p w14:paraId="680B553B" w14:textId="77777777" w:rsidR="0053473E" w:rsidRPr="00396FC6" w:rsidRDefault="0053473E" w:rsidP="0053473E">
      <w:pPr>
        <w:jc w:val="right"/>
        <w:rPr>
          <w:rFonts w:ascii="Times New Roman" w:eastAsia="Times New Roman" w:hAnsi="Times New Roman" w:cs="Times New Roman"/>
          <w:b/>
          <w:sz w:val="24"/>
          <w:szCs w:val="24"/>
          <w:u w:val="single"/>
          <w:lang w:eastAsia="en-AU"/>
        </w:rPr>
      </w:pPr>
      <w:r w:rsidRPr="00396FC6">
        <w:rPr>
          <w:rFonts w:ascii="Times New Roman" w:eastAsia="Times New Roman" w:hAnsi="Times New Roman" w:cs="Times New Roman"/>
          <w:b/>
          <w:sz w:val="24"/>
          <w:szCs w:val="24"/>
          <w:u w:val="single"/>
          <w:lang w:eastAsia="en-AU"/>
        </w:rPr>
        <w:t>ATTACHMENT B</w:t>
      </w:r>
    </w:p>
    <w:p w14:paraId="2151EA26" w14:textId="77777777" w:rsidR="00F57EA9" w:rsidRPr="00396FC6" w:rsidRDefault="00F57EA9" w:rsidP="00F57EA9">
      <w:pPr>
        <w:spacing w:line="240" w:lineRule="auto"/>
        <w:rPr>
          <w:rFonts w:ascii="Times New Roman" w:hAnsi="Times New Roman" w:cs="Times New Roman"/>
          <w:b/>
          <w:sz w:val="24"/>
          <w:szCs w:val="24"/>
          <w:u w:val="single"/>
        </w:rPr>
      </w:pPr>
      <w:r w:rsidRPr="00396FC6">
        <w:rPr>
          <w:rFonts w:ascii="Times New Roman" w:hAnsi="Times New Roman" w:cs="Times New Roman"/>
          <w:b/>
          <w:sz w:val="24"/>
          <w:szCs w:val="24"/>
          <w:u w:val="single"/>
        </w:rPr>
        <w:t xml:space="preserve">STATEMENT OF COMPATIBILITY WITH HUMAN RIGHTS </w:t>
      </w:r>
    </w:p>
    <w:p w14:paraId="5E906DA6" w14:textId="77777777" w:rsidR="00F57EA9" w:rsidRPr="00396FC6" w:rsidRDefault="00F57EA9" w:rsidP="00F57EA9">
      <w:pPr>
        <w:spacing w:line="240" w:lineRule="auto"/>
        <w:rPr>
          <w:rFonts w:ascii="Times New Roman" w:hAnsi="Times New Roman" w:cs="Times New Roman"/>
          <w:b/>
          <w:sz w:val="24"/>
          <w:szCs w:val="24"/>
          <w:u w:val="single"/>
        </w:rPr>
      </w:pPr>
    </w:p>
    <w:p w14:paraId="65CB5BD5" w14:textId="77777777" w:rsidR="00F57EA9" w:rsidRPr="00396FC6" w:rsidRDefault="00F57EA9" w:rsidP="00F57EA9">
      <w:pPr>
        <w:spacing w:line="240" w:lineRule="auto"/>
        <w:rPr>
          <w:rFonts w:ascii="Times New Roman" w:hAnsi="Times New Roman" w:cs="Times New Roman"/>
          <w:i/>
          <w:sz w:val="24"/>
          <w:szCs w:val="24"/>
        </w:rPr>
      </w:pPr>
      <w:r w:rsidRPr="00396FC6">
        <w:rPr>
          <w:rFonts w:ascii="Times New Roman" w:hAnsi="Times New Roman" w:cs="Times New Roman"/>
          <w:i/>
          <w:sz w:val="24"/>
          <w:szCs w:val="24"/>
        </w:rPr>
        <w:t xml:space="preserve">Prepared in accordance with Part 3 of the Human Rights (Parliamentary Scrutiny) Act 2011 </w:t>
      </w:r>
    </w:p>
    <w:p w14:paraId="458EF51D" w14:textId="77777777" w:rsidR="00F57EA9" w:rsidRPr="00396FC6" w:rsidRDefault="00F57EA9" w:rsidP="00F57EA9">
      <w:pPr>
        <w:spacing w:line="240" w:lineRule="auto"/>
        <w:rPr>
          <w:rFonts w:ascii="Times New Roman" w:hAnsi="Times New Roman" w:cs="Times New Roman"/>
          <w:i/>
          <w:sz w:val="24"/>
          <w:szCs w:val="24"/>
        </w:rPr>
      </w:pPr>
    </w:p>
    <w:p w14:paraId="185E213F" w14:textId="77777777" w:rsidR="00F57EA9" w:rsidRPr="00396FC6" w:rsidRDefault="00F57EA9" w:rsidP="00F57EA9">
      <w:pPr>
        <w:spacing w:line="240" w:lineRule="auto"/>
        <w:rPr>
          <w:rFonts w:ascii="Times New Roman" w:hAnsi="Times New Roman" w:cs="Times New Roman"/>
          <w:b/>
          <w:sz w:val="24"/>
          <w:szCs w:val="24"/>
        </w:rPr>
      </w:pPr>
      <w:r w:rsidRPr="00396FC6">
        <w:rPr>
          <w:rFonts w:ascii="Times New Roman" w:hAnsi="Times New Roman" w:cs="Times New Roman"/>
          <w:b/>
          <w:sz w:val="24"/>
          <w:szCs w:val="24"/>
        </w:rPr>
        <w:t>FAMILY LAW (CHILD ABDUCTION CONVENTION) AMENDMENT (FAMILY VIOLENCE) REGULATIONS 2022</w:t>
      </w:r>
    </w:p>
    <w:p w14:paraId="79C8A9B5" w14:textId="77777777"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396FC6">
        <w:rPr>
          <w:rFonts w:ascii="Times New Roman" w:hAnsi="Times New Roman" w:cs="Times New Roman"/>
          <w:i/>
          <w:sz w:val="24"/>
          <w:szCs w:val="24"/>
        </w:rPr>
        <w:t>Human Rights (Parliamentary Scrutiny) Act 2011</w:t>
      </w:r>
      <w:r w:rsidRPr="00396FC6">
        <w:rPr>
          <w:rFonts w:ascii="Times New Roman" w:hAnsi="Times New Roman" w:cs="Times New Roman"/>
          <w:sz w:val="24"/>
          <w:szCs w:val="24"/>
        </w:rPr>
        <w:t xml:space="preserve">. </w:t>
      </w:r>
    </w:p>
    <w:p w14:paraId="6064D3D7" w14:textId="77777777"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b/>
          <w:sz w:val="24"/>
          <w:szCs w:val="24"/>
        </w:rPr>
        <w:t xml:space="preserve">Overview of the Instrument </w:t>
      </w:r>
    </w:p>
    <w:p w14:paraId="5A1B49DE" w14:textId="77777777"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w:t>
      </w:r>
      <w:r w:rsidRPr="00396FC6">
        <w:rPr>
          <w:rFonts w:ascii="Times New Roman" w:hAnsi="Times New Roman" w:cs="Times New Roman"/>
          <w:i/>
          <w:sz w:val="24"/>
          <w:szCs w:val="24"/>
        </w:rPr>
        <w:t>Family Law (Child Abduction Convention) Amendment (Family Violence) Regulations 2022</w:t>
      </w:r>
      <w:r w:rsidRPr="00396FC6">
        <w:rPr>
          <w:rFonts w:ascii="Times New Roman" w:hAnsi="Times New Roman" w:cs="Times New Roman"/>
          <w:sz w:val="24"/>
          <w:szCs w:val="24"/>
        </w:rPr>
        <w:t xml:space="preserve"> (‘the Instrument’) would amend the </w:t>
      </w:r>
      <w:r w:rsidRPr="00396FC6">
        <w:rPr>
          <w:rFonts w:ascii="Times New Roman" w:hAnsi="Times New Roman" w:cs="Times New Roman"/>
          <w:i/>
          <w:sz w:val="24"/>
          <w:szCs w:val="24"/>
        </w:rPr>
        <w:t>Family Law (Child Abduction Convention) Regulations 1986</w:t>
      </w:r>
      <w:r w:rsidRPr="00396FC6">
        <w:rPr>
          <w:rFonts w:ascii="Times New Roman" w:hAnsi="Times New Roman" w:cs="Times New Roman"/>
          <w:sz w:val="24"/>
          <w:szCs w:val="24"/>
        </w:rPr>
        <w:t xml:space="preserve"> (‘the Primary Regulations’) to codify the current way that family violence is considered in cases arising under the Primary Regulations and the 1980 Hague </w:t>
      </w:r>
      <w:r w:rsidRPr="00396FC6">
        <w:rPr>
          <w:rFonts w:ascii="Times New Roman" w:hAnsi="Times New Roman" w:cs="Times New Roman"/>
          <w:i/>
          <w:sz w:val="24"/>
          <w:szCs w:val="24"/>
        </w:rPr>
        <w:t>Convention on the Civil Aspects of International Child Abduction</w:t>
      </w:r>
      <w:r w:rsidRPr="00396FC6">
        <w:rPr>
          <w:rFonts w:ascii="Times New Roman" w:hAnsi="Times New Roman" w:cs="Times New Roman"/>
          <w:sz w:val="24"/>
          <w:szCs w:val="24"/>
        </w:rPr>
        <w:t xml:space="preserve"> (‘the Convention’). </w:t>
      </w:r>
    </w:p>
    <w:p w14:paraId="53CC46D0" w14:textId="77777777"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Primary Regulations are made under the </w:t>
      </w:r>
      <w:r w:rsidRPr="00396FC6">
        <w:rPr>
          <w:rFonts w:ascii="Times New Roman" w:hAnsi="Times New Roman" w:cs="Times New Roman"/>
          <w:i/>
          <w:sz w:val="24"/>
          <w:szCs w:val="24"/>
        </w:rPr>
        <w:t>Family Law Act 1975</w:t>
      </w:r>
      <w:r w:rsidRPr="00396FC6">
        <w:rPr>
          <w:rFonts w:ascii="Times New Roman" w:hAnsi="Times New Roman" w:cs="Times New Roman"/>
          <w:sz w:val="24"/>
          <w:szCs w:val="24"/>
        </w:rPr>
        <w:t xml:space="preserve"> (</w:t>
      </w:r>
      <w:proofErr w:type="spellStart"/>
      <w:r w:rsidRPr="00396FC6">
        <w:rPr>
          <w:rFonts w:ascii="Times New Roman" w:hAnsi="Times New Roman" w:cs="Times New Roman"/>
          <w:sz w:val="24"/>
          <w:szCs w:val="24"/>
        </w:rPr>
        <w:t>Cth</w:t>
      </w:r>
      <w:proofErr w:type="spellEnd"/>
      <w:r w:rsidRPr="00396FC6">
        <w:rPr>
          <w:rFonts w:ascii="Times New Roman" w:hAnsi="Times New Roman" w:cs="Times New Roman"/>
          <w:sz w:val="24"/>
          <w:szCs w:val="24"/>
        </w:rPr>
        <w:t>)</w:t>
      </w:r>
      <w:r w:rsidRPr="00396FC6">
        <w:rPr>
          <w:rFonts w:ascii="Times New Roman" w:hAnsi="Times New Roman" w:cs="Times New Roman"/>
          <w:i/>
          <w:sz w:val="24"/>
          <w:szCs w:val="24"/>
        </w:rPr>
        <w:t xml:space="preserve"> </w:t>
      </w:r>
      <w:r w:rsidRPr="00396FC6">
        <w:rPr>
          <w:rFonts w:ascii="Times New Roman" w:hAnsi="Times New Roman" w:cs="Times New Roman"/>
          <w:sz w:val="24"/>
          <w:szCs w:val="24"/>
        </w:rPr>
        <w:t>(‘the Family Law Act’). The Primary Regulations prescribe information to support the operation of the Family Law Act with respect to matters arising under the Convention.</w:t>
      </w:r>
    </w:p>
    <w:p w14:paraId="433641B0" w14:textId="16553083"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Th</w:t>
      </w:r>
      <w:r w:rsidR="00774542">
        <w:rPr>
          <w:rFonts w:ascii="Times New Roman" w:hAnsi="Times New Roman" w:cs="Times New Roman"/>
          <w:sz w:val="24"/>
          <w:szCs w:val="24"/>
        </w:rPr>
        <w:t>e</w:t>
      </w:r>
      <w:r w:rsidRPr="00396FC6">
        <w:rPr>
          <w:rFonts w:ascii="Times New Roman" w:hAnsi="Times New Roman" w:cs="Times New Roman"/>
          <w:sz w:val="24"/>
          <w:szCs w:val="24"/>
        </w:rPr>
        <w:t xml:space="preserve"> Instrument amends regulation 15 of the Principal Regulations to make it clear that courts can impose conditions or make an order to give effect to the Convention for the purpose of reducing a risk under paragraph 16(3)(b) of the Principal Regulations, regardless of whether the court considers that the risk will eventuate, be likely to eventuate or has eventuated in the past. </w:t>
      </w:r>
    </w:p>
    <w:p w14:paraId="7AC8D599" w14:textId="0A0260F8"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This Instrument also amends regulation 15 of the Principal Regulations to establish a list of non-exhaustive principles </w:t>
      </w:r>
      <w:r w:rsidR="00774542">
        <w:rPr>
          <w:rFonts w:ascii="Times New Roman" w:hAnsi="Times New Roman" w:cs="Times New Roman"/>
          <w:sz w:val="24"/>
          <w:szCs w:val="24"/>
        </w:rPr>
        <w:t xml:space="preserve">to </w:t>
      </w:r>
      <w:r w:rsidRPr="00396FC6">
        <w:rPr>
          <w:rFonts w:ascii="Times New Roman" w:hAnsi="Times New Roman" w:cs="Times New Roman"/>
          <w:sz w:val="24"/>
          <w:szCs w:val="24"/>
        </w:rPr>
        <w:t xml:space="preserve">which the court may have regard when considering whether to impose conditions in a Convention order. </w:t>
      </w:r>
    </w:p>
    <w:p w14:paraId="049F4039" w14:textId="2EA8810D" w:rsidR="008F4E56"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This Instrument further inserts an explanatory note following regulation 16 of the Principal Regulations to make clear that ‘family violence’ can be considered in the context of assessing the grave risk defence in regulation 16(3)(b). The explanatory note confirms that the court may have regard to any risk that the return of the child under the Convention would result in the child being subject</w:t>
      </w:r>
      <w:r w:rsidR="00774542">
        <w:rPr>
          <w:rFonts w:ascii="Times New Roman" w:hAnsi="Times New Roman" w:cs="Times New Roman"/>
          <w:sz w:val="24"/>
          <w:szCs w:val="24"/>
        </w:rPr>
        <w:t xml:space="preserve"> to,</w:t>
      </w:r>
      <w:r w:rsidRPr="00396FC6">
        <w:rPr>
          <w:rFonts w:ascii="Times New Roman" w:hAnsi="Times New Roman" w:cs="Times New Roman"/>
          <w:sz w:val="24"/>
          <w:szCs w:val="24"/>
        </w:rPr>
        <w:t xml:space="preserve"> or exposed to</w:t>
      </w:r>
      <w:r w:rsidR="00774542">
        <w:rPr>
          <w:rFonts w:ascii="Times New Roman" w:hAnsi="Times New Roman" w:cs="Times New Roman"/>
          <w:sz w:val="24"/>
          <w:szCs w:val="24"/>
        </w:rPr>
        <w:t>,</w:t>
      </w:r>
      <w:r w:rsidRPr="00396FC6">
        <w:rPr>
          <w:rFonts w:ascii="Times New Roman" w:hAnsi="Times New Roman" w:cs="Times New Roman"/>
          <w:sz w:val="24"/>
          <w:szCs w:val="24"/>
        </w:rPr>
        <w:t xml:space="preserve"> family violence, as well as the extent to which the child could be protected from any such risk if they were returned under the Convention. The explanatory note states that the court may have regard to these matters regardless of whether the court is satisfied that family violence has occurred, will occur or is likely to occur. A second explanatory note explains that ‘family violence’ should be defined by its definition in section 4AB of the Family Law Act</w:t>
      </w:r>
      <w:r w:rsidRPr="00396FC6">
        <w:rPr>
          <w:rFonts w:ascii="Times New Roman" w:hAnsi="Times New Roman" w:cs="Times New Roman"/>
          <w:i/>
          <w:sz w:val="24"/>
          <w:szCs w:val="24"/>
        </w:rPr>
        <w:t>.</w:t>
      </w:r>
    </w:p>
    <w:p w14:paraId="0F034F65" w14:textId="0349A0AB" w:rsidR="008F4E56"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This Instrument also includes new non-exhaustive considerations that the court may have regard to, for the purpose of reducing a risk under paragraph 16(3)(b) and when considering whether to refuse to make a return order on the basis of matter the mentioned in paragraph</w:t>
      </w:r>
      <w:r w:rsidR="00D75C5A">
        <w:rPr>
          <w:rFonts w:ascii="Times New Roman" w:hAnsi="Times New Roman" w:cs="Times New Roman"/>
          <w:sz w:val="24"/>
          <w:szCs w:val="24"/>
        </w:rPr>
        <w:t> </w:t>
      </w:r>
      <w:r w:rsidRPr="00396FC6">
        <w:rPr>
          <w:rFonts w:ascii="Times New Roman" w:hAnsi="Times New Roman" w:cs="Times New Roman"/>
          <w:sz w:val="24"/>
          <w:szCs w:val="24"/>
        </w:rPr>
        <w:t>16(3)(b).</w:t>
      </w:r>
    </w:p>
    <w:p w14:paraId="0D4356CE" w14:textId="0ACA53F3"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b/>
          <w:sz w:val="24"/>
          <w:szCs w:val="24"/>
        </w:rPr>
        <w:t xml:space="preserve">Human Rights Implications </w:t>
      </w:r>
    </w:p>
    <w:p w14:paraId="39ED1625" w14:textId="77777777"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Instrument engages the following human rights: </w:t>
      </w:r>
    </w:p>
    <w:p w14:paraId="57774D8D" w14:textId="77777777" w:rsidR="00F57EA9" w:rsidRPr="00396FC6" w:rsidRDefault="00F57EA9" w:rsidP="008F4E56">
      <w:pPr>
        <w:pStyle w:val="ListParagraph"/>
        <w:numPr>
          <w:ilvl w:val="0"/>
          <w:numId w:val="25"/>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The right to respect for the family (Articles 16(1) and (2) of the Convention on the Rights of the Child (‘CRC’), Articles 17(1) and 23(1) of the International Covenant on Civil and Political Rights (‘ICCPR’) and Article 16(1) of the Convention on the Elimination of All Forms of Discrimination Against Women (‘CEDAW’));</w:t>
      </w:r>
    </w:p>
    <w:p w14:paraId="16E6F856" w14:textId="77777777" w:rsidR="00F57EA9" w:rsidRPr="00396FC6" w:rsidRDefault="00F57EA9" w:rsidP="008F4E56">
      <w:pPr>
        <w:pStyle w:val="ListParagraph"/>
        <w:numPr>
          <w:ilvl w:val="0"/>
          <w:numId w:val="25"/>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The right to protection from exploitation, violence, abuse (Articles 11(1), 19(1) and (2) of the CRC); and</w:t>
      </w:r>
    </w:p>
    <w:p w14:paraId="7666ADC3" w14:textId="77777777" w:rsidR="003A7D34" w:rsidRPr="00396FC6" w:rsidRDefault="00F57EA9" w:rsidP="00F57EA9">
      <w:pPr>
        <w:pStyle w:val="ListParagraph"/>
        <w:numPr>
          <w:ilvl w:val="0"/>
          <w:numId w:val="25"/>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The rights of parents and children (Articles 9(1), 12(1) and 1(2) of the CRC and Article 16 of the CEDAW).</w:t>
      </w:r>
    </w:p>
    <w:p w14:paraId="53C1228F" w14:textId="77777777" w:rsidR="003A7D34" w:rsidRPr="00396FC6" w:rsidRDefault="003A7D34" w:rsidP="003A7D34">
      <w:pPr>
        <w:spacing w:after="0" w:line="240" w:lineRule="auto"/>
        <w:rPr>
          <w:rFonts w:ascii="Times New Roman" w:hAnsi="Times New Roman" w:cs="Times New Roman"/>
          <w:sz w:val="24"/>
          <w:szCs w:val="24"/>
          <w:u w:val="single"/>
        </w:rPr>
      </w:pPr>
    </w:p>
    <w:p w14:paraId="73E4E9A9" w14:textId="77777777" w:rsidR="003A7D34" w:rsidRPr="00396FC6" w:rsidRDefault="00F57EA9" w:rsidP="003A7D34">
      <w:pPr>
        <w:spacing w:after="0" w:line="240" w:lineRule="auto"/>
        <w:rPr>
          <w:rFonts w:ascii="Times New Roman" w:hAnsi="Times New Roman" w:cs="Times New Roman"/>
          <w:sz w:val="24"/>
          <w:szCs w:val="24"/>
        </w:rPr>
      </w:pPr>
      <w:r w:rsidRPr="00396FC6">
        <w:rPr>
          <w:rFonts w:ascii="Times New Roman" w:hAnsi="Times New Roman" w:cs="Times New Roman"/>
          <w:sz w:val="24"/>
          <w:szCs w:val="24"/>
          <w:u w:val="single"/>
        </w:rPr>
        <w:t>The right to respect for the family</w:t>
      </w:r>
    </w:p>
    <w:p w14:paraId="4E33D2EF" w14:textId="35300586" w:rsidR="003A7D34" w:rsidRPr="00396FC6" w:rsidRDefault="00F57EA9" w:rsidP="003A7D34">
      <w:pPr>
        <w:spacing w:line="240" w:lineRule="auto"/>
        <w:rPr>
          <w:rFonts w:ascii="Times New Roman" w:hAnsi="Times New Roman" w:cs="Times New Roman"/>
          <w:sz w:val="24"/>
          <w:szCs w:val="24"/>
        </w:rPr>
      </w:pPr>
      <w:r w:rsidRPr="00396FC6">
        <w:rPr>
          <w:rFonts w:ascii="Times New Roman" w:hAnsi="Times New Roman" w:cs="Times New Roman"/>
          <w:sz w:val="24"/>
          <w:szCs w:val="24"/>
        </w:rPr>
        <w:t>In relation to the right to respect for the family, the CRC provides that:</w:t>
      </w:r>
    </w:p>
    <w:p w14:paraId="029CA69E" w14:textId="77777777" w:rsidR="00F57EA9" w:rsidRPr="00396FC6" w:rsidRDefault="00F57EA9" w:rsidP="003A7D34">
      <w:pPr>
        <w:pStyle w:val="ListParagraph"/>
        <w:numPr>
          <w:ilvl w:val="0"/>
          <w:numId w:val="29"/>
        </w:num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No child shall be subjected to arbitrary or unlawful interference with his or her family (Article 16(1)); and </w:t>
      </w:r>
    </w:p>
    <w:p w14:paraId="6976ECF7" w14:textId="5766E6EE" w:rsidR="00F57EA9" w:rsidRPr="00396FC6" w:rsidRDefault="00F57EA9" w:rsidP="003A7D34">
      <w:pPr>
        <w:pStyle w:val="ListParagraph"/>
        <w:numPr>
          <w:ilvl w:val="0"/>
          <w:numId w:val="29"/>
        </w:num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child has the right to the protection of the law against such interference or attacks (Article 16(2)). </w:t>
      </w:r>
    </w:p>
    <w:p w14:paraId="308CC916" w14:textId="77777777" w:rsidR="003A7D34" w:rsidRPr="00396FC6" w:rsidRDefault="00F57EA9" w:rsidP="003A7D34">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ICCPR further provides that: </w:t>
      </w:r>
    </w:p>
    <w:p w14:paraId="60332EDE" w14:textId="77777777" w:rsidR="003A7D34" w:rsidRPr="00396FC6" w:rsidRDefault="00F57EA9" w:rsidP="003A7D34">
      <w:pPr>
        <w:pStyle w:val="ListParagraph"/>
        <w:numPr>
          <w:ilvl w:val="0"/>
          <w:numId w:val="26"/>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No one shall be subjected to arbitrary or unlawful interference with their family (Article 17(1));</w:t>
      </w:r>
    </w:p>
    <w:p w14:paraId="251C85A2" w14:textId="77777777" w:rsidR="003A7D34" w:rsidRPr="00396FC6" w:rsidRDefault="00F57EA9" w:rsidP="003A7D34">
      <w:pPr>
        <w:pStyle w:val="ListParagraph"/>
        <w:numPr>
          <w:ilvl w:val="0"/>
          <w:numId w:val="26"/>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 xml:space="preserve">Everyone has the right to the protection of the law against such interference or attacks (Article 17(2)); and </w:t>
      </w:r>
    </w:p>
    <w:p w14:paraId="2BF0CA9F" w14:textId="1320044C" w:rsidR="00F57EA9" w:rsidRPr="00396FC6" w:rsidRDefault="00F57EA9" w:rsidP="00F57EA9">
      <w:pPr>
        <w:pStyle w:val="ListParagraph"/>
        <w:numPr>
          <w:ilvl w:val="0"/>
          <w:numId w:val="26"/>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 xml:space="preserve">The family is the natural and fundamental group unit of society and is entitled to protection by society and the State (Article 23(1)). </w:t>
      </w:r>
    </w:p>
    <w:p w14:paraId="4E5185FD" w14:textId="77777777" w:rsidR="003A7D34" w:rsidRPr="00396FC6" w:rsidRDefault="003A7D34" w:rsidP="003A7D34">
      <w:pPr>
        <w:pStyle w:val="ListParagraph"/>
        <w:spacing w:after="0" w:line="240" w:lineRule="auto"/>
        <w:contextualSpacing w:val="0"/>
        <w:rPr>
          <w:rFonts w:ascii="Times New Roman" w:hAnsi="Times New Roman" w:cs="Times New Roman"/>
          <w:sz w:val="24"/>
          <w:szCs w:val="24"/>
        </w:rPr>
      </w:pPr>
    </w:p>
    <w:p w14:paraId="5D4AD53E" w14:textId="7485811F" w:rsidR="003A7D34"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Instrument does not provide for arbitrary or unlawful interference with a family or children. The proposed Regulations enhance the right of the child and family to protection by the State. </w:t>
      </w:r>
    </w:p>
    <w:p w14:paraId="2BB672E4" w14:textId="77777777" w:rsidR="003A7D34"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The Instrument serves to enhance the safety of women and children fleeing family violence by clarifying the protections available to them against any arbitrary or unlawful interference that could be associated with a return to an intolerable situation. Where allegations of family violence are substantiated, these amendments affirm that the court has discretion not to return children to an unsafe environment, which positively engages the right of children to be protected by the law from unlawful interference.</w:t>
      </w:r>
    </w:p>
    <w:p w14:paraId="0093FE18" w14:textId="77777777" w:rsidR="003A7D34" w:rsidRPr="00396FC6" w:rsidRDefault="00F57EA9" w:rsidP="003A7D34">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Instrument further provides a non-exhaustive list of guiding principles that the court may consider when imposing protective conditions upon return orders. The codification of these principles provides additional safeguards against conditions being used arbitrarily, disproportionately or unlawfully to hamper the return of a child under the Convention. </w:t>
      </w:r>
    </w:p>
    <w:p w14:paraId="58C3B450" w14:textId="77777777" w:rsidR="003A7D34"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Instrument would not undermine the family as the natural and fundamental group unit of society. Instead, the Instrument seeks to clarify the protective measures available to family units who are subject to unlawful interference in the form of family violence. </w:t>
      </w:r>
    </w:p>
    <w:p w14:paraId="16CECB83" w14:textId="77777777" w:rsidR="003A7D34"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Instrument is not arbitrary and it seeks to lawfully protect individuals and children from violence within their family units. </w:t>
      </w:r>
    </w:p>
    <w:p w14:paraId="7340B5A5" w14:textId="21034DDD"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Further, in relation to the right to respect for the family, the CEDAW provides that:</w:t>
      </w:r>
      <w:r w:rsidRPr="00396FC6" w:rsidDel="00DA3F08">
        <w:rPr>
          <w:rFonts w:ascii="Times New Roman" w:hAnsi="Times New Roman" w:cs="Times New Roman"/>
          <w:sz w:val="24"/>
          <w:szCs w:val="24"/>
        </w:rPr>
        <w:t xml:space="preserve"> </w:t>
      </w:r>
    </w:p>
    <w:p w14:paraId="14857A19" w14:textId="77777777" w:rsidR="00F57EA9" w:rsidRPr="00396FC6" w:rsidRDefault="00F57EA9" w:rsidP="00C90C0A">
      <w:pPr>
        <w:pStyle w:val="ListParagraph"/>
        <w:numPr>
          <w:ilvl w:val="0"/>
          <w:numId w:val="26"/>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States Parties shall take all appropriate measures to eliminate discrimination against women in all matters relating to marriage and family relations and in particular shall ensure, on a basis of equality of men and women: the same rights and responsibilities as parents, irrespective of their marital status, in matters relating to their children; in all cases the interests of the children shall be paramount (Article 16(1)(d)).</w:t>
      </w:r>
    </w:p>
    <w:p w14:paraId="5FA9CDFF" w14:textId="77777777" w:rsidR="00F57EA9" w:rsidRPr="00396FC6" w:rsidRDefault="00F57EA9" w:rsidP="00F57EA9">
      <w:pPr>
        <w:spacing w:after="0" w:line="240" w:lineRule="auto"/>
        <w:rPr>
          <w:rFonts w:ascii="Times New Roman" w:hAnsi="Times New Roman" w:cs="Times New Roman"/>
          <w:sz w:val="24"/>
          <w:szCs w:val="24"/>
        </w:rPr>
      </w:pPr>
      <w:r w:rsidRPr="00396FC6">
        <w:rPr>
          <w:rFonts w:ascii="Times New Roman" w:eastAsia="Times New Roman" w:hAnsi="Times New Roman" w:cs="Times New Roman"/>
          <w:color w:val="000000"/>
          <w:sz w:val="24"/>
          <w:szCs w:val="24"/>
          <w:lang w:eastAsia="en-AU"/>
        </w:rPr>
        <w:t xml:space="preserve"> </w:t>
      </w:r>
    </w:p>
    <w:p w14:paraId="78341EB5" w14:textId="77777777" w:rsidR="006F7DB7" w:rsidRPr="00396FC6" w:rsidRDefault="00F57EA9" w:rsidP="006F7DB7">
      <w:pPr>
        <w:shd w:val="clear" w:color="auto" w:fill="FFFFFF"/>
        <w:spacing w:after="100" w:afterAutospacing="1" w:line="240" w:lineRule="auto"/>
        <w:rPr>
          <w:rFonts w:ascii="Times New Roman" w:hAnsi="Times New Roman" w:cs="Times New Roman"/>
          <w:sz w:val="24"/>
          <w:szCs w:val="24"/>
        </w:rPr>
      </w:pPr>
      <w:r w:rsidRPr="00396FC6">
        <w:rPr>
          <w:rFonts w:ascii="Times New Roman" w:hAnsi="Times New Roman" w:cs="Times New Roman"/>
          <w:sz w:val="24"/>
          <w:szCs w:val="24"/>
        </w:rPr>
        <w:t>The codification of the court’s treatment of family violence in the context of the grave risk defence will positively engage the right of women to not be discriminated against and ensure their equal treatment in the course of resolving disputes under the Convention involving allegations of family violence.</w:t>
      </w:r>
    </w:p>
    <w:p w14:paraId="48983C3D" w14:textId="77777777" w:rsidR="006F7DB7" w:rsidRPr="00396FC6" w:rsidRDefault="00F57EA9" w:rsidP="006F7DB7">
      <w:pPr>
        <w:shd w:val="clear" w:color="auto" w:fill="FFFFFF"/>
        <w:spacing w:after="100" w:afterAutospacing="1"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This express codification will ensure that litigants and their representatives are aware of how the court considers family violence in Convention cases. This clarity will primarily benefit women, as they are disproportionately subjected to family and domestic violence. </w:t>
      </w:r>
    </w:p>
    <w:p w14:paraId="4D5BC3E6" w14:textId="77777777" w:rsidR="006F7DB7" w:rsidRPr="00396FC6" w:rsidRDefault="00F57EA9" w:rsidP="006F7DB7">
      <w:pPr>
        <w:shd w:val="clear" w:color="auto" w:fill="FFFFFF"/>
        <w:spacing w:after="100" w:afterAutospacing="1" w:line="240" w:lineRule="auto"/>
        <w:rPr>
          <w:rFonts w:ascii="Times New Roman" w:hAnsi="Times New Roman" w:cs="Times New Roman"/>
          <w:sz w:val="24"/>
          <w:szCs w:val="24"/>
        </w:rPr>
      </w:pPr>
      <w:r w:rsidRPr="00396FC6">
        <w:rPr>
          <w:rFonts w:ascii="Times New Roman" w:hAnsi="Times New Roman" w:cs="Times New Roman"/>
          <w:sz w:val="24"/>
          <w:szCs w:val="24"/>
        </w:rPr>
        <w:t xml:space="preserve">While there is no reference to gender or sex in the Instrument or in the Primary Regulations, the practical effect of the amendments will be to enhance the right of women to be protected from discrimination on the grounds of gender-based violence. </w:t>
      </w:r>
    </w:p>
    <w:p w14:paraId="20B93937" w14:textId="2D5C894E" w:rsidR="006F7DB7" w:rsidRPr="00396FC6" w:rsidRDefault="00F57EA9" w:rsidP="006F7DB7">
      <w:pPr>
        <w:shd w:val="clear" w:color="auto" w:fill="FFFFFF"/>
        <w:spacing w:after="100" w:afterAutospacing="1" w:line="240" w:lineRule="auto"/>
        <w:rPr>
          <w:rFonts w:ascii="Times New Roman" w:hAnsi="Times New Roman" w:cs="Times New Roman"/>
          <w:sz w:val="24"/>
          <w:szCs w:val="24"/>
        </w:rPr>
      </w:pPr>
      <w:r w:rsidRPr="00396FC6">
        <w:rPr>
          <w:rFonts w:ascii="Times New Roman" w:hAnsi="Times New Roman" w:cs="Times New Roman"/>
          <w:sz w:val="24"/>
          <w:szCs w:val="24"/>
        </w:rPr>
        <w:t xml:space="preserve">Further, the Instrument positively engages the right of women to not be discriminated against in matters relating to family relations in accordance with Article 16(1)(d) of the CEDAW. The Instrument would promote </w:t>
      </w:r>
      <w:r w:rsidR="000F6BF9">
        <w:rPr>
          <w:rFonts w:ascii="Times New Roman" w:hAnsi="Times New Roman" w:cs="Times New Roman"/>
          <w:sz w:val="24"/>
          <w:szCs w:val="24"/>
        </w:rPr>
        <w:t xml:space="preserve">appropriate </w:t>
      </w:r>
      <w:r w:rsidRPr="00396FC6">
        <w:rPr>
          <w:rFonts w:ascii="Times New Roman" w:hAnsi="Times New Roman" w:cs="Times New Roman"/>
          <w:sz w:val="24"/>
          <w:szCs w:val="24"/>
        </w:rPr>
        <w:t>legal outcomes where a respondent mother has not contributed to the violence, abuse or neglect, and has indeed attempted to remove herself and her child/ren from a</w:t>
      </w:r>
      <w:r w:rsidR="000F6BF9">
        <w:rPr>
          <w:rFonts w:ascii="Times New Roman" w:hAnsi="Times New Roman" w:cs="Times New Roman"/>
          <w:sz w:val="24"/>
          <w:szCs w:val="24"/>
        </w:rPr>
        <w:t>n</w:t>
      </w:r>
      <w:r w:rsidRPr="00396FC6">
        <w:rPr>
          <w:rFonts w:ascii="Times New Roman" w:hAnsi="Times New Roman" w:cs="Times New Roman"/>
          <w:sz w:val="24"/>
          <w:szCs w:val="24"/>
        </w:rPr>
        <w:t xml:space="preserve"> intolerable situation. Observable trends in Australian cases over recent years indicate that a growing number of female respondents </w:t>
      </w:r>
      <w:r w:rsidR="000F6BF9">
        <w:rPr>
          <w:rFonts w:ascii="Times New Roman" w:hAnsi="Times New Roman" w:cs="Times New Roman"/>
          <w:sz w:val="24"/>
          <w:szCs w:val="24"/>
        </w:rPr>
        <w:t xml:space="preserve">in Convention matters </w:t>
      </w:r>
      <w:r w:rsidRPr="00396FC6">
        <w:rPr>
          <w:rFonts w:ascii="Times New Roman" w:hAnsi="Times New Roman" w:cs="Times New Roman"/>
          <w:sz w:val="24"/>
          <w:szCs w:val="24"/>
        </w:rPr>
        <w:t xml:space="preserve">raise allegations of family violence </w:t>
      </w:r>
      <w:r w:rsidR="000F6BF9">
        <w:rPr>
          <w:rFonts w:ascii="Times New Roman" w:hAnsi="Times New Roman" w:cs="Times New Roman"/>
          <w:sz w:val="24"/>
          <w:szCs w:val="24"/>
        </w:rPr>
        <w:t>during those</w:t>
      </w:r>
      <w:r w:rsidRPr="00396FC6">
        <w:rPr>
          <w:rFonts w:ascii="Times New Roman" w:hAnsi="Times New Roman" w:cs="Times New Roman"/>
          <w:sz w:val="24"/>
          <w:szCs w:val="24"/>
        </w:rPr>
        <w:t xml:space="preserve"> proceedings. </w:t>
      </w:r>
      <w:r w:rsidR="000F6BF9">
        <w:rPr>
          <w:rFonts w:ascii="Times New Roman" w:hAnsi="Times New Roman" w:cs="Times New Roman"/>
          <w:sz w:val="24"/>
          <w:szCs w:val="24"/>
        </w:rPr>
        <w:t>A specific reference to</w:t>
      </w:r>
      <w:r w:rsidRPr="00396FC6">
        <w:rPr>
          <w:rFonts w:ascii="Times New Roman" w:hAnsi="Times New Roman" w:cs="Times New Roman"/>
          <w:sz w:val="24"/>
          <w:szCs w:val="24"/>
        </w:rPr>
        <w:t xml:space="preserve"> family violence in the Primary Regulations would </w:t>
      </w:r>
      <w:r w:rsidR="000F6BF9">
        <w:rPr>
          <w:rFonts w:ascii="Times New Roman" w:hAnsi="Times New Roman" w:cs="Times New Roman"/>
          <w:sz w:val="24"/>
          <w:szCs w:val="24"/>
        </w:rPr>
        <w:t>promote</w:t>
      </w:r>
      <w:r w:rsidRPr="00396FC6">
        <w:rPr>
          <w:rFonts w:ascii="Times New Roman" w:hAnsi="Times New Roman" w:cs="Times New Roman"/>
          <w:sz w:val="24"/>
          <w:szCs w:val="24"/>
        </w:rPr>
        <w:t xml:space="preserve"> the protection of equal access for women to parenting rights and responsibilities over their children in circumstances involving family violence. </w:t>
      </w:r>
    </w:p>
    <w:p w14:paraId="639518E3" w14:textId="77777777" w:rsidR="006F7DB7" w:rsidRPr="00396FC6" w:rsidRDefault="00F57EA9" w:rsidP="006F7DB7">
      <w:pPr>
        <w:shd w:val="clear" w:color="auto" w:fill="FFFFFF"/>
        <w:spacing w:after="100" w:afterAutospacing="1"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evidence requirements for proving family violence allegations are consistent with those already provided for in the Family Law Act, the </w:t>
      </w:r>
      <w:r w:rsidRPr="00396FC6">
        <w:rPr>
          <w:rFonts w:ascii="Times New Roman" w:hAnsi="Times New Roman" w:cs="Times New Roman"/>
          <w:i/>
          <w:sz w:val="24"/>
          <w:szCs w:val="24"/>
        </w:rPr>
        <w:t xml:space="preserve">Family Law Regulations 1984 </w:t>
      </w:r>
      <w:r w:rsidRPr="00396FC6">
        <w:rPr>
          <w:rFonts w:ascii="Times New Roman" w:hAnsi="Times New Roman" w:cs="Times New Roman"/>
          <w:sz w:val="24"/>
          <w:szCs w:val="24"/>
        </w:rPr>
        <w:t>(</w:t>
      </w:r>
      <w:proofErr w:type="spellStart"/>
      <w:r w:rsidRPr="00396FC6">
        <w:rPr>
          <w:rFonts w:ascii="Times New Roman" w:hAnsi="Times New Roman" w:cs="Times New Roman"/>
          <w:sz w:val="24"/>
          <w:szCs w:val="24"/>
        </w:rPr>
        <w:t>Cth</w:t>
      </w:r>
      <w:proofErr w:type="spellEnd"/>
      <w:r w:rsidRPr="00396FC6">
        <w:rPr>
          <w:rFonts w:ascii="Times New Roman" w:hAnsi="Times New Roman" w:cs="Times New Roman"/>
          <w:sz w:val="24"/>
          <w:szCs w:val="24"/>
        </w:rPr>
        <w:t>), and the Primary Regulations.</w:t>
      </w:r>
    </w:p>
    <w:p w14:paraId="112755BE" w14:textId="77777777" w:rsidR="006F7DB7" w:rsidRPr="00396FC6" w:rsidRDefault="00F57EA9" w:rsidP="006F7DB7">
      <w:pPr>
        <w:shd w:val="clear" w:color="auto" w:fill="FFFFFF"/>
        <w:spacing w:after="100" w:afterAutospacing="1" w:line="240" w:lineRule="auto"/>
        <w:rPr>
          <w:rFonts w:ascii="Times New Roman" w:hAnsi="Times New Roman" w:cs="Times New Roman"/>
          <w:sz w:val="24"/>
          <w:szCs w:val="24"/>
        </w:rPr>
      </w:pPr>
      <w:r w:rsidRPr="00396FC6">
        <w:rPr>
          <w:rFonts w:ascii="Times New Roman" w:hAnsi="Times New Roman" w:cs="Times New Roman"/>
          <w:sz w:val="24"/>
          <w:szCs w:val="24"/>
        </w:rPr>
        <w:t>The Instrument positively engages with and supports the right to respect for the family found within the CRC, the ICCPR and the CEDAW.</w:t>
      </w:r>
    </w:p>
    <w:p w14:paraId="734A1F60" w14:textId="77777777" w:rsidR="006F7DB7" w:rsidRPr="00396FC6" w:rsidRDefault="00F57EA9" w:rsidP="006F7DB7">
      <w:pPr>
        <w:shd w:val="clear" w:color="auto" w:fill="FFFFFF"/>
        <w:spacing w:after="100" w:afterAutospacing="1" w:line="240" w:lineRule="auto"/>
        <w:rPr>
          <w:rFonts w:ascii="Times New Roman" w:hAnsi="Times New Roman" w:cs="Times New Roman"/>
          <w:sz w:val="24"/>
          <w:szCs w:val="24"/>
        </w:rPr>
      </w:pPr>
      <w:r w:rsidRPr="00396FC6">
        <w:rPr>
          <w:rFonts w:ascii="Times New Roman" w:hAnsi="Times New Roman" w:cs="Times New Roman"/>
          <w:sz w:val="24"/>
          <w:szCs w:val="24"/>
          <w:u w:val="single"/>
        </w:rPr>
        <w:t>The right to protection from exploitation, violence, and abuse;</w:t>
      </w:r>
    </w:p>
    <w:p w14:paraId="659BDF1C" w14:textId="02F7B0E6" w:rsidR="00F57EA9" w:rsidRPr="00396FC6" w:rsidRDefault="00F57EA9" w:rsidP="006F7DB7">
      <w:pPr>
        <w:shd w:val="clear" w:color="auto" w:fill="FFFFFF"/>
        <w:spacing w:after="100" w:afterAutospacing="1" w:line="240" w:lineRule="auto"/>
        <w:rPr>
          <w:rFonts w:ascii="Times New Roman" w:hAnsi="Times New Roman" w:cs="Times New Roman"/>
          <w:sz w:val="24"/>
          <w:szCs w:val="24"/>
        </w:rPr>
      </w:pPr>
      <w:r w:rsidRPr="00396FC6">
        <w:rPr>
          <w:rFonts w:ascii="Times New Roman" w:hAnsi="Times New Roman" w:cs="Times New Roman"/>
          <w:sz w:val="24"/>
          <w:szCs w:val="24"/>
        </w:rPr>
        <w:t>In relation to the right for children to be protected from all forms of physical or mental violence, the CRC provides that:</w:t>
      </w:r>
    </w:p>
    <w:p w14:paraId="27CB1E00" w14:textId="77777777" w:rsidR="00F57EA9" w:rsidRPr="00396FC6" w:rsidRDefault="00F57EA9" w:rsidP="00D75C5A">
      <w:pPr>
        <w:pStyle w:val="ListParagraph"/>
        <w:numPr>
          <w:ilvl w:val="0"/>
          <w:numId w:val="31"/>
        </w:numPr>
        <w:spacing w:after="0" w:line="240" w:lineRule="auto"/>
        <w:ind w:left="714" w:hanging="357"/>
        <w:contextualSpacing w:val="0"/>
        <w:rPr>
          <w:rFonts w:ascii="Times New Roman" w:hAnsi="Times New Roman" w:cs="Times New Roman"/>
          <w:sz w:val="24"/>
          <w:szCs w:val="24"/>
        </w:rPr>
      </w:pPr>
      <w:r w:rsidRPr="00396FC6">
        <w:rPr>
          <w:rFonts w:ascii="Times New Roman" w:eastAsia="Times New Roman" w:hAnsi="Times New Roman" w:cs="Times New Roman"/>
          <w:color w:val="000000"/>
          <w:sz w:val="24"/>
          <w:szCs w:val="24"/>
          <w:lang w:eastAsia="en-AU"/>
        </w:rPr>
        <w:t xml:space="preserve">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(Article 19(1)); and </w:t>
      </w:r>
    </w:p>
    <w:p w14:paraId="01FF862F" w14:textId="77777777" w:rsidR="00DE0504" w:rsidRPr="00396FC6" w:rsidRDefault="00F57EA9" w:rsidP="00D75C5A">
      <w:pPr>
        <w:pStyle w:val="ListParagraph"/>
        <w:numPr>
          <w:ilvl w:val="0"/>
          <w:numId w:val="31"/>
        </w:numPr>
        <w:spacing w:after="0" w:line="240" w:lineRule="auto"/>
        <w:ind w:left="714" w:hanging="357"/>
        <w:contextualSpacing w:val="0"/>
        <w:rPr>
          <w:rFonts w:ascii="Times New Roman" w:hAnsi="Times New Roman" w:cs="Times New Roman"/>
          <w:sz w:val="24"/>
          <w:szCs w:val="24"/>
        </w:rPr>
      </w:pPr>
      <w:r w:rsidRPr="00396FC6">
        <w:rPr>
          <w:rFonts w:ascii="Times New Roman" w:eastAsia="Times New Roman" w:hAnsi="Times New Roman" w:cs="Times New Roman"/>
          <w:color w:val="000000"/>
          <w:sz w:val="24"/>
          <w:szCs w:val="24"/>
          <w:lang w:eastAsia="en-AU"/>
        </w:rPr>
        <w:t xml:space="preserve">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 (Article 19(2)). </w:t>
      </w:r>
    </w:p>
    <w:p w14:paraId="59388EBF" w14:textId="77777777" w:rsidR="00DE0504" w:rsidRPr="00396FC6" w:rsidRDefault="00DE0504" w:rsidP="00DE0504">
      <w:pPr>
        <w:keepNext/>
        <w:spacing w:after="0" w:line="240" w:lineRule="auto"/>
        <w:rPr>
          <w:rFonts w:ascii="Times New Roman" w:hAnsi="Times New Roman" w:cs="Times New Roman"/>
          <w:sz w:val="24"/>
          <w:szCs w:val="24"/>
        </w:rPr>
      </w:pPr>
    </w:p>
    <w:p w14:paraId="63DAF8E7" w14:textId="625A44A5" w:rsidR="00DE0504" w:rsidRDefault="00F57EA9" w:rsidP="006D3287">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codification of the ‘grave risk’ defence to </w:t>
      </w:r>
      <w:r w:rsidR="004864D2">
        <w:rPr>
          <w:rFonts w:ascii="Times New Roman" w:hAnsi="Times New Roman" w:cs="Times New Roman"/>
          <w:sz w:val="24"/>
          <w:szCs w:val="24"/>
        </w:rPr>
        <w:t xml:space="preserve">explicitly </w:t>
      </w:r>
      <w:r w:rsidRPr="00396FC6">
        <w:rPr>
          <w:rFonts w:ascii="Times New Roman" w:hAnsi="Times New Roman" w:cs="Times New Roman"/>
          <w:sz w:val="24"/>
          <w:szCs w:val="24"/>
        </w:rPr>
        <w:t>encompass subjection and exposure to family violence positively engages the right of protection from exploitation, violence and abuse. The Instrument clarifies that where there is evidence of family violence, such that there is a grave risk that returning the child would place the child at risk of harm</w:t>
      </w:r>
      <w:r w:rsidR="004864D2">
        <w:rPr>
          <w:rFonts w:ascii="Times New Roman" w:hAnsi="Times New Roman" w:cs="Times New Roman"/>
          <w:sz w:val="24"/>
          <w:szCs w:val="24"/>
        </w:rPr>
        <w:t xml:space="preserve"> or otherwise place them in an intolerable situation</w:t>
      </w:r>
      <w:r w:rsidRPr="00396FC6">
        <w:rPr>
          <w:rFonts w:ascii="Times New Roman" w:hAnsi="Times New Roman" w:cs="Times New Roman"/>
          <w:sz w:val="24"/>
          <w:szCs w:val="24"/>
        </w:rPr>
        <w:t xml:space="preserve">, the court may refuse to issue a return order. This aligns with CRC obligations to take appropriate legislative measures to protect children from exploitation, violence and abuse. </w:t>
      </w:r>
    </w:p>
    <w:p w14:paraId="1CF5AE56" w14:textId="56C6176A" w:rsidR="00DE0504"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The Principal Regulations, consistent with the preamble to the Convention, provide for the prompt return of abducted children, to minimise the harmful effects of international child abduction and discourage its occurrence. Safety risks associated with such returns can be mitigated through the use of protective measures. The Instrument seeks to clarify the discretion available to the courts in relation to the use of protective measures or</w:t>
      </w:r>
      <w:r w:rsidR="001862AD" w:rsidRPr="00396FC6">
        <w:rPr>
          <w:rFonts w:ascii="Times New Roman" w:hAnsi="Times New Roman" w:cs="Times New Roman"/>
          <w:sz w:val="24"/>
          <w:szCs w:val="24"/>
        </w:rPr>
        <w:t xml:space="preserve"> </w:t>
      </w:r>
      <w:r w:rsidRPr="00396FC6">
        <w:rPr>
          <w:rFonts w:ascii="Times New Roman" w:hAnsi="Times New Roman" w:cs="Times New Roman"/>
          <w:sz w:val="24"/>
          <w:szCs w:val="24"/>
        </w:rPr>
        <w:t>‘</w:t>
      </w:r>
      <w:proofErr w:type="gramStart"/>
      <w:r w:rsidRPr="00396FC6">
        <w:rPr>
          <w:rFonts w:ascii="Times New Roman" w:hAnsi="Times New Roman" w:cs="Times New Roman"/>
          <w:sz w:val="24"/>
          <w:szCs w:val="24"/>
        </w:rPr>
        <w:t>conditions’</w:t>
      </w:r>
      <w:proofErr w:type="gramEnd"/>
      <w:r w:rsidR="001862AD" w:rsidRPr="00396FC6">
        <w:rPr>
          <w:rFonts w:ascii="Times New Roman" w:hAnsi="Times New Roman" w:cs="Times New Roman"/>
          <w:sz w:val="24"/>
          <w:szCs w:val="24"/>
        </w:rPr>
        <w:t>.</w:t>
      </w:r>
    </w:p>
    <w:p w14:paraId="5CC8F504" w14:textId="29695185" w:rsidR="00DE0504"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The Instrument provides that ‘family violence’ is as defined by section 4AB (2) of the Family Law Act. Family violence encompasses a broad range of behaviours as defined by section</w:t>
      </w:r>
      <w:r w:rsidR="00D75C5A">
        <w:rPr>
          <w:rFonts w:ascii="Times New Roman" w:hAnsi="Times New Roman" w:cs="Times New Roman"/>
          <w:sz w:val="24"/>
          <w:szCs w:val="24"/>
        </w:rPr>
        <w:t> </w:t>
      </w:r>
      <w:r w:rsidRPr="00396FC6">
        <w:rPr>
          <w:rFonts w:ascii="Times New Roman" w:hAnsi="Times New Roman" w:cs="Times New Roman"/>
          <w:sz w:val="24"/>
          <w:szCs w:val="24"/>
        </w:rPr>
        <w:t xml:space="preserve">4AB (2) of the Act, and includes, but is not limited to, ‘assault, sexual assault…intentionally damaging property… unreasonably denying a family member financial autonomy, unreasonably withholding financial support, and unlawfully depriving a family member of their liberty.’ Under section 4AB (3) of the Act, a child is exposed to family violence if the child sees or hears family violence or otherwise experiences the effects of family violence. This definition of family violence accords with the behaviours </w:t>
      </w:r>
      <w:r w:rsidR="004864D2" w:rsidRPr="00396FC6">
        <w:rPr>
          <w:rFonts w:ascii="Times New Roman" w:hAnsi="Times New Roman" w:cs="Times New Roman"/>
          <w:sz w:val="24"/>
          <w:szCs w:val="24"/>
        </w:rPr>
        <w:t xml:space="preserve">that a child has a right to be protected from </w:t>
      </w:r>
      <w:r w:rsidR="004864D2">
        <w:rPr>
          <w:rFonts w:ascii="Times New Roman" w:hAnsi="Times New Roman" w:cs="Times New Roman"/>
          <w:sz w:val="24"/>
          <w:szCs w:val="24"/>
        </w:rPr>
        <w:t xml:space="preserve">that are </w:t>
      </w:r>
      <w:r w:rsidRPr="00396FC6">
        <w:rPr>
          <w:rFonts w:ascii="Times New Roman" w:hAnsi="Times New Roman" w:cs="Times New Roman"/>
          <w:sz w:val="24"/>
          <w:szCs w:val="24"/>
        </w:rPr>
        <w:t xml:space="preserve">articulated in Article 19(1) of the CRC. </w:t>
      </w:r>
    </w:p>
    <w:p w14:paraId="1D11D54C" w14:textId="246C74D2"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 xml:space="preserve">As a result, the Instrument positively engages the right to protection from exploitation, violence and abuse through (i) the inclusion of the statutory note expressly providing that family violence can be taken into account in considering the grave risk defence, and (ii) a statutory note linking to the definition of family violence in the Family Law Act, which is consistent with the behaviours that the CRC articulates children have the right to be protected from. </w:t>
      </w:r>
    </w:p>
    <w:p w14:paraId="50308F3D" w14:textId="77777777"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The CRC also provides that:</w:t>
      </w:r>
    </w:p>
    <w:p w14:paraId="71F3EDB3" w14:textId="77777777" w:rsidR="00F57EA9" w:rsidRPr="00396FC6" w:rsidRDefault="00F57EA9" w:rsidP="00D776E0">
      <w:pPr>
        <w:pStyle w:val="ListParagraph"/>
        <w:keepNext/>
        <w:numPr>
          <w:ilvl w:val="0"/>
          <w:numId w:val="31"/>
        </w:numPr>
        <w:spacing w:after="0" w:line="240" w:lineRule="auto"/>
        <w:contextualSpacing w:val="0"/>
        <w:rPr>
          <w:rFonts w:ascii="Times New Roman" w:eastAsia="Times New Roman" w:hAnsi="Times New Roman" w:cs="Times New Roman"/>
          <w:color w:val="000000"/>
          <w:sz w:val="24"/>
          <w:szCs w:val="24"/>
          <w:lang w:eastAsia="en-AU"/>
        </w:rPr>
      </w:pPr>
      <w:r w:rsidRPr="00396FC6">
        <w:rPr>
          <w:rFonts w:ascii="Times New Roman" w:eastAsia="Times New Roman" w:hAnsi="Times New Roman" w:cs="Times New Roman"/>
          <w:color w:val="000000"/>
          <w:sz w:val="24"/>
          <w:szCs w:val="24"/>
          <w:lang w:eastAsia="en-AU"/>
        </w:rPr>
        <w:t xml:space="preserve">States Parties shall take measures to combat the illicit transfer and non-return of children abroad (Article 11(1)); and </w:t>
      </w:r>
    </w:p>
    <w:p w14:paraId="726EB41F" w14:textId="77777777" w:rsidR="00D776E0" w:rsidRPr="00396FC6" w:rsidRDefault="00F57EA9" w:rsidP="00F57EA9">
      <w:pPr>
        <w:pStyle w:val="ListParagraph"/>
        <w:keepNext/>
        <w:numPr>
          <w:ilvl w:val="0"/>
          <w:numId w:val="31"/>
        </w:numPr>
        <w:spacing w:after="0" w:line="240" w:lineRule="auto"/>
        <w:contextualSpacing w:val="0"/>
        <w:rPr>
          <w:rFonts w:ascii="Times New Roman" w:eastAsia="Times New Roman" w:hAnsi="Times New Roman" w:cs="Times New Roman"/>
          <w:color w:val="000000"/>
          <w:sz w:val="24"/>
          <w:szCs w:val="24"/>
          <w:lang w:eastAsia="en-AU"/>
        </w:rPr>
      </w:pPr>
      <w:r w:rsidRPr="00396FC6">
        <w:rPr>
          <w:rFonts w:ascii="Times New Roman" w:eastAsia="Times New Roman" w:hAnsi="Times New Roman" w:cs="Times New Roman"/>
          <w:color w:val="000000"/>
          <w:sz w:val="24"/>
          <w:szCs w:val="24"/>
          <w:lang w:eastAsia="en-AU"/>
        </w:rPr>
        <w:t>To this end, States Parties shall promote the conclusion of bilateral or multilateral agreements or accession to existing agreements (Article 11(2)).</w:t>
      </w:r>
    </w:p>
    <w:p w14:paraId="145C3921" w14:textId="77777777" w:rsidR="00D776E0" w:rsidRPr="00396FC6" w:rsidRDefault="00D776E0" w:rsidP="00D776E0">
      <w:pPr>
        <w:keepNext/>
        <w:spacing w:after="0" w:line="240" w:lineRule="auto"/>
        <w:rPr>
          <w:rFonts w:ascii="Times New Roman" w:hAnsi="Times New Roman" w:cs="Times New Roman"/>
          <w:sz w:val="24"/>
          <w:szCs w:val="24"/>
        </w:rPr>
      </w:pPr>
    </w:p>
    <w:p w14:paraId="2A406F46" w14:textId="252B8C9C" w:rsidR="000B1E05" w:rsidRPr="00396FC6" w:rsidRDefault="00F57EA9" w:rsidP="000B1E05">
      <w:pPr>
        <w:keepNext/>
        <w:spacing w:after="0" w:line="240" w:lineRule="auto"/>
        <w:rPr>
          <w:rFonts w:ascii="Times New Roman" w:eastAsia="Times New Roman" w:hAnsi="Times New Roman" w:cs="Times New Roman"/>
          <w:color w:val="000000"/>
          <w:sz w:val="24"/>
          <w:szCs w:val="24"/>
          <w:lang w:eastAsia="en-AU"/>
        </w:rPr>
      </w:pPr>
      <w:r w:rsidRPr="00396FC6">
        <w:rPr>
          <w:rFonts w:ascii="Times New Roman" w:hAnsi="Times New Roman" w:cs="Times New Roman"/>
          <w:sz w:val="24"/>
          <w:szCs w:val="24"/>
        </w:rPr>
        <w:t xml:space="preserve">The Instrument </w:t>
      </w:r>
      <w:r w:rsidR="00D776E0" w:rsidRPr="00396FC6">
        <w:rPr>
          <w:rFonts w:ascii="Times New Roman" w:hAnsi="Times New Roman" w:cs="Times New Roman"/>
          <w:sz w:val="24"/>
          <w:szCs w:val="24"/>
        </w:rPr>
        <w:t>promotes the rights set out at</w:t>
      </w:r>
      <w:r w:rsidRPr="00396FC6">
        <w:rPr>
          <w:rFonts w:ascii="Times New Roman" w:hAnsi="Times New Roman" w:cs="Times New Roman"/>
          <w:sz w:val="24"/>
          <w:szCs w:val="24"/>
        </w:rPr>
        <w:t xml:space="preserve"> Article 11 of the CRC. The Convention and the Principal Regulations provide for the prompt return of abducted children and seek to both minimise the harmful effects of international child abduction and to discourage its occurrence. The Instrument does not alter, change or amend this fundamental purpose of the Convention or of the Principal Regulations.</w:t>
      </w:r>
      <w:r w:rsidR="00D776E0" w:rsidRPr="00396FC6">
        <w:rPr>
          <w:rFonts w:ascii="Times New Roman" w:hAnsi="Times New Roman" w:cs="Times New Roman"/>
          <w:sz w:val="24"/>
          <w:szCs w:val="24"/>
        </w:rPr>
        <w:t xml:space="preserve"> Further, not every Convention matter </w:t>
      </w:r>
      <w:r w:rsidR="004864D2">
        <w:rPr>
          <w:rFonts w:ascii="Times New Roman" w:hAnsi="Times New Roman" w:cs="Times New Roman"/>
          <w:sz w:val="24"/>
          <w:szCs w:val="24"/>
        </w:rPr>
        <w:t>heard by a court where family violence is</w:t>
      </w:r>
      <w:r w:rsidR="00D776E0" w:rsidRPr="00396FC6">
        <w:rPr>
          <w:rFonts w:ascii="Times New Roman" w:hAnsi="Times New Roman" w:cs="Times New Roman"/>
          <w:sz w:val="24"/>
          <w:szCs w:val="24"/>
        </w:rPr>
        <w:t xml:space="preserve"> allege</w:t>
      </w:r>
      <w:r w:rsidR="004864D2">
        <w:rPr>
          <w:rFonts w:ascii="Times New Roman" w:hAnsi="Times New Roman" w:cs="Times New Roman"/>
          <w:sz w:val="24"/>
          <w:szCs w:val="24"/>
        </w:rPr>
        <w:t xml:space="preserve">d and </w:t>
      </w:r>
      <w:r w:rsidR="00D776E0" w:rsidRPr="00396FC6">
        <w:rPr>
          <w:rFonts w:ascii="Times New Roman" w:hAnsi="Times New Roman" w:cs="Times New Roman"/>
          <w:sz w:val="24"/>
          <w:szCs w:val="24"/>
        </w:rPr>
        <w:t>establishe</w:t>
      </w:r>
      <w:r w:rsidR="004864D2">
        <w:rPr>
          <w:rFonts w:ascii="Times New Roman" w:hAnsi="Times New Roman" w:cs="Times New Roman"/>
          <w:sz w:val="24"/>
          <w:szCs w:val="24"/>
        </w:rPr>
        <w:t>d</w:t>
      </w:r>
      <w:r w:rsidR="00D776E0" w:rsidRPr="00396FC6">
        <w:rPr>
          <w:rFonts w:ascii="Times New Roman" w:hAnsi="Times New Roman" w:cs="Times New Roman"/>
          <w:sz w:val="24"/>
          <w:szCs w:val="24"/>
        </w:rPr>
        <w:t xml:space="preserve"> will </w:t>
      </w:r>
      <w:r w:rsidR="004864D2">
        <w:rPr>
          <w:rFonts w:ascii="Times New Roman" w:hAnsi="Times New Roman" w:cs="Times New Roman"/>
          <w:sz w:val="24"/>
          <w:szCs w:val="24"/>
        </w:rPr>
        <w:t>result in</w:t>
      </w:r>
      <w:r w:rsidR="00D776E0" w:rsidRPr="00396FC6">
        <w:rPr>
          <w:rFonts w:ascii="Times New Roman" w:hAnsi="Times New Roman" w:cs="Times New Roman"/>
          <w:sz w:val="24"/>
          <w:szCs w:val="24"/>
        </w:rPr>
        <w:t xml:space="preserve"> a non</w:t>
      </w:r>
      <w:r w:rsidR="00D776E0" w:rsidRPr="00396FC6">
        <w:rPr>
          <w:rFonts w:ascii="Times New Roman" w:hAnsi="Times New Roman" w:cs="Times New Roman"/>
          <w:sz w:val="24"/>
          <w:szCs w:val="24"/>
        </w:rPr>
        <w:noBreakHyphen/>
        <w:t xml:space="preserve">return order </w:t>
      </w:r>
      <w:r w:rsidR="004864D2">
        <w:rPr>
          <w:rFonts w:ascii="Times New Roman" w:hAnsi="Times New Roman" w:cs="Times New Roman"/>
          <w:sz w:val="24"/>
          <w:szCs w:val="24"/>
        </w:rPr>
        <w:t xml:space="preserve">being </w:t>
      </w:r>
      <w:r w:rsidR="00D776E0" w:rsidRPr="00396FC6">
        <w:rPr>
          <w:rFonts w:ascii="Times New Roman" w:hAnsi="Times New Roman" w:cs="Times New Roman"/>
          <w:sz w:val="24"/>
          <w:szCs w:val="24"/>
        </w:rPr>
        <w:t xml:space="preserve">imposed. </w:t>
      </w:r>
    </w:p>
    <w:p w14:paraId="78C6AD95" w14:textId="77777777" w:rsidR="000B1E05" w:rsidRPr="00396FC6" w:rsidRDefault="000B1E05" w:rsidP="000B1E05">
      <w:pPr>
        <w:keepNext/>
        <w:spacing w:after="0" w:line="240" w:lineRule="auto"/>
        <w:rPr>
          <w:rFonts w:ascii="Times New Roman" w:hAnsi="Times New Roman" w:cs="Times New Roman"/>
          <w:sz w:val="24"/>
          <w:szCs w:val="24"/>
          <w:u w:val="single"/>
        </w:rPr>
      </w:pPr>
    </w:p>
    <w:p w14:paraId="37324758" w14:textId="04F9A8A0" w:rsidR="00F57EA9" w:rsidRPr="00396FC6" w:rsidRDefault="00F57EA9" w:rsidP="000B1E05">
      <w:pPr>
        <w:keepNext/>
        <w:spacing w:after="0" w:line="240" w:lineRule="auto"/>
        <w:rPr>
          <w:rFonts w:ascii="Times New Roman" w:eastAsia="Times New Roman" w:hAnsi="Times New Roman" w:cs="Times New Roman"/>
          <w:color w:val="000000"/>
          <w:sz w:val="24"/>
          <w:szCs w:val="24"/>
          <w:lang w:eastAsia="en-AU"/>
        </w:rPr>
      </w:pPr>
      <w:r w:rsidRPr="00396FC6">
        <w:rPr>
          <w:rFonts w:ascii="Times New Roman" w:hAnsi="Times New Roman" w:cs="Times New Roman"/>
          <w:sz w:val="24"/>
          <w:szCs w:val="24"/>
          <w:u w:val="single"/>
        </w:rPr>
        <w:t>The rights of parents and children:</w:t>
      </w:r>
    </w:p>
    <w:p w14:paraId="3BD3BDCA" w14:textId="77777777" w:rsidR="00F57EA9" w:rsidRPr="00396FC6" w:rsidRDefault="00F57EA9" w:rsidP="00F57EA9">
      <w:pPr>
        <w:spacing w:line="240" w:lineRule="auto"/>
        <w:rPr>
          <w:rFonts w:ascii="Times New Roman" w:hAnsi="Times New Roman" w:cs="Times New Roman"/>
          <w:sz w:val="24"/>
          <w:szCs w:val="24"/>
        </w:rPr>
      </w:pPr>
      <w:r w:rsidRPr="00396FC6">
        <w:rPr>
          <w:rFonts w:ascii="Times New Roman" w:hAnsi="Times New Roman" w:cs="Times New Roman"/>
          <w:sz w:val="24"/>
          <w:szCs w:val="24"/>
        </w:rPr>
        <w:t>In relation to the rights of parents and children, the CRC provides that:</w:t>
      </w:r>
    </w:p>
    <w:p w14:paraId="4524C7EC" w14:textId="77777777" w:rsidR="00F57EA9" w:rsidRPr="00396FC6" w:rsidRDefault="00F57EA9" w:rsidP="0002387E">
      <w:pPr>
        <w:pStyle w:val="ListParagraph"/>
        <w:numPr>
          <w:ilvl w:val="0"/>
          <w:numId w:val="32"/>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separately and a decision must be made as to the child's place of residence (Article 9(1));</w:t>
      </w:r>
    </w:p>
    <w:p w14:paraId="2F1684E6" w14:textId="77777777" w:rsidR="00F57EA9" w:rsidRPr="00396FC6" w:rsidRDefault="00F57EA9" w:rsidP="0002387E">
      <w:pPr>
        <w:pStyle w:val="ListParagraph"/>
        <w:numPr>
          <w:ilvl w:val="0"/>
          <w:numId w:val="32"/>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States Parties shall assure to the child who is capable of forming his or her own views the right to express those views freely in all matters affecting the child, the views of the child being given due weight in accordance with the age and maturity of the child (Article 12(1));</w:t>
      </w:r>
    </w:p>
    <w:p w14:paraId="21DD84B0" w14:textId="77777777" w:rsidR="00F57EA9" w:rsidRPr="00396FC6" w:rsidRDefault="00F57EA9" w:rsidP="0002387E">
      <w:pPr>
        <w:pStyle w:val="ListParagraph"/>
        <w:numPr>
          <w:ilvl w:val="0"/>
          <w:numId w:val="32"/>
        </w:numPr>
        <w:spacing w:after="0" w:line="240" w:lineRule="auto"/>
        <w:contextualSpacing w:val="0"/>
        <w:rPr>
          <w:rFonts w:ascii="Times New Roman" w:hAnsi="Times New Roman" w:cs="Times New Roman"/>
          <w:sz w:val="24"/>
          <w:szCs w:val="24"/>
        </w:rPr>
      </w:pPr>
      <w:r w:rsidRPr="00396FC6">
        <w:rPr>
          <w:rFonts w:ascii="Times New Roman" w:hAnsi="Times New Roman" w:cs="Times New Roman"/>
          <w:sz w:val="24"/>
          <w:szCs w:val="24"/>
        </w:rPr>
        <w:t>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 (Article 12(2)).</w:t>
      </w:r>
    </w:p>
    <w:p w14:paraId="08CAF385" w14:textId="77777777" w:rsidR="00F57EA9" w:rsidRPr="00396FC6" w:rsidRDefault="00F57EA9" w:rsidP="00F57EA9">
      <w:pPr>
        <w:spacing w:after="0" w:line="240" w:lineRule="auto"/>
        <w:rPr>
          <w:rFonts w:ascii="Times New Roman" w:hAnsi="Times New Roman" w:cs="Times New Roman"/>
          <w:sz w:val="24"/>
          <w:szCs w:val="24"/>
        </w:rPr>
      </w:pPr>
    </w:p>
    <w:p w14:paraId="15F524A1" w14:textId="7F091AFE" w:rsidR="00A54FD7" w:rsidRPr="00396FC6" w:rsidRDefault="00F57EA9" w:rsidP="00A54FD7">
      <w:pPr>
        <w:spacing w:after="0" w:line="240" w:lineRule="auto"/>
        <w:rPr>
          <w:rFonts w:ascii="Times New Roman" w:hAnsi="Times New Roman" w:cs="Times New Roman"/>
          <w:sz w:val="24"/>
          <w:szCs w:val="24"/>
        </w:rPr>
      </w:pPr>
      <w:r w:rsidRPr="00396FC6">
        <w:rPr>
          <w:rFonts w:ascii="Times New Roman" w:hAnsi="Times New Roman" w:cs="Times New Roman"/>
          <w:sz w:val="24"/>
          <w:szCs w:val="24"/>
        </w:rPr>
        <w:t xml:space="preserve">The Instrument promotes the Article 9(1) right </w:t>
      </w:r>
      <w:r w:rsidR="004864D2">
        <w:rPr>
          <w:rFonts w:ascii="Times New Roman" w:hAnsi="Times New Roman" w:cs="Times New Roman"/>
          <w:sz w:val="24"/>
          <w:szCs w:val="24"/>
        </w:rPr>
        <w:t>articulated in</w:t>
      </w:r>
      <w:r w:rsidRPr="00396FC6">
        <w:rPr>
          <w:rFonts w:ascii="Times New Roman" w:hAnsi="Times New Roman" w:cs="Times New Roman"/>
          <w:sz w:val="24"/>
          <w:szCs w:val="24"/>
        </w:rPr>
        <w:t xml:space="preserve"> the CRC by codifying the courts’ approach to considering allegations of family violence in Convention cases. Such allegations may result in the making of an order that results in the separation of a child from one of its parents, however this is consistent with the exception provided for in Article 9(1) of the CRC. Therefore, the amendment shall have the effect of promoting this right. In instances where the child is returned to their state of habitual residence, contact with both parents can be maintained</w:t>
      </w:r>
      <w:r w:rsidR="004864D2">
        <w:rPr>
          <w:rFonts w:ascii="Times New Roman" w:hAnsi="Times New Roman" w:cs="Times New Roman"/>
          <w:sz w:val="24"/>
          <w:szCs w:val="24"/>
        </w:rPr>
        <w:t xml:space="preserve"> in appropriate cases</w:t>
      </w:r>
      <w:r w:rsidRPr="00396FC6">
        <w:rPr>
          <w:rFonts w:ascii="Times New Roman" w:hAnsi="Times New Roman" w:cs="Times New Roman"/>
          <w:sz w:val="24"/>
          <w:szCs w:val="24"/>
        </w:rPr>
        <w:t xml:space="preserve">, thereby ensuring this right is not infringed upon. </w:t>
      </w:r>
    </w:p>
    <w:p w14:paraId="041CDE77" w14:textId="77777777" w:rsidR="00A54FD7" w:rsidRPr="00396FC6" w:rsidRDefault="00A54FD7" w:rsidP="00A54FD7">
      <w:pPr>
        <w:spacing w:after="0" w:line="240" w:lineRule="auto"/>
        <w:rPr>
          <w:rFonts w:ascii="Times New Roman" w:hAnsi="Times New Roman" w:cs="Times New Roman"/>
          <w:sz w:val="24"/>
          <w:szCs w:val="24"/>
        </w:rPr>
      </w:pPr>
    </w:p>
    <w:p w14:paraId="6207790D" w14:textId="77777777" w:rsidR="00A54FD7" w:rsidRPr="00396FC6" w:rsidRDefault="00F57EA9" w:rsidP="00A54FD7">
      <w:pPr>
        <w:spacing w:after="0" w:line="240" w:lineRule="auto"/>
        <w:rPr>
          <w:rFonts w:ascii="Times New Roman" w:hAnsi="Times New Roman" w:cs="Times New Roman"/>
          <w:sz w:val="24"/>
          <w:szCs w:val="24"/>
        </w:rPr>
      </w:pPr>
      <w:r w:rsidRPr="00396FC6">
        <w:rPr>
          <w:rFonts w:ascii="Times New Roman" w:hAnsi="Times New Roman" w:cs="Times New Roman"/>
          <w:sz w:val="24"/>
          <w:szCs w:val="24"/>
        </w:rPr>
        <w:t>In relation to Article 12 of the CRC, the Instrument codifies that where an independent children’s lawyer representing the interests of the child proposes that a protective measure be included, the court must consider including such measure.  This provision therefore promotes the views of the child being heard and considered during proceedings.</w:t>
      </w:r>
    </w:p>
    <w:p w14:paraId="678445E2" w14:textId="77777777" w:rsidR="00A54FD7" w:rsidRPr="00396FC6" w:rsidRDefault="00A54FD7" w:rsidP="00A54FD7">
      <w:pPr>
        <w:spacing w:after="0" w:line="240" w:lineRule="auto"/>
        <w:rPr>
          <w:rFonts w:ascii="Times New Roman" w:hAnsi="Times New Roman" w:cs="Times New Roman"/>
          <w:b/>
          <w:sz w:val="24"/>
          <w:szCs w:val="24"/>
        </w:rPr>
      </w:pPr>
    </w:p>
    <w:p w14:paraId="147A3115" w14:textId="53BBD26B" w:rsidR="00F57EA9" w:rsidRPr="00396FC6" w:rsidRDefault="00F57EA9" w:rsidP="00A54FD7">
      <w:pPr>
        <w:spacing w:after="0" w:line="240" w:lineRule="auto"/>
        <w:rPr>
          <w:rFonts w:ascii="Times New Roman" w:hAnsi="Times New Roman" w:cs="Times New Roman"/>
          <w:sz w:val="24"/>
          <w:szCs w:val="24"/>
        </w:rPr>
      </w:pPr>
      <w:r w:rsidRPr="00396FC6">
        <w:rPr>
          <w:rFonts w:ascii="Times New Roman" w:hAnsi="Times New Roman" w:cs="Times New Roman"/>
          <w:b/>
          <w:sz w:val="24"/>
          <w:szCs w:val="24"/>
        </w:rPr>
        <w:t xml:space="preserve">Conclusion </w:t>
      </w:r>
    </w:p>
    <w:p w14:paraId="2EB9BEAF" w14:textId="77777777" w:rsidR="00F57EA9" w:rsidRPr="00396FC6" w:rsidRDefault="00F57EA9" w:rsidP="00F57EA9">
      <w:pPr>
        <w:shd w:val="clear" w:color="auto" w:fill="FFFFFF"/>
        <w:spacing w:after="100" w:afterAutospacing="1"/>
        <w:rPr>
          <w:rFonts w:ascii="Times New Roman" w:hAnsi="Times New Roman" w:cs="Times New Roman"/>
          <w:sz w:val="24"/>
          <w:szCs w:val="24"/>
        </w:rPr>
      </w:pPr>
      <w:r w:rsidRPr="00396FC6">
        <w:rPr>
          <w:rFonts w:ascii="Times New Roman" w:hAnsi="Times New Roman" w:cs="Times New Roman"/>
          <w:color w:val="000000"/>
          <w:sz w:val="24"/>
          <w:szCs w:val="24"/>
          <w:shd w:val="clear" w:color="auto" w:fill="FFFFFF"/>
        </w:rPr>
        <w:t>The Instrument is compatible with human rights because it advances the protection and enjoyment of human rights provided for under the CRC, CEDAW and ICCPR.</w:t>
      </w:r>
    </w:p>
    <w:p w14:paraId="77DEF112" w14:textId="2081AC6F" w:rsidR="00935BDA" w:rsidRPr="00396FC6" w:rsidRDefault="00935BDA" w:rsidP="0053473E">
      <w:pPr>
        <w:rPr>
          <w:rFonts w:ascii="Times New Roman" w:hAnsi="Times New Roman" w:cs="Times New Roman"/>
          <w:sz w:val="24"/>
          <w:szCs w:val="24"/>
        </w:rPr>
      </w:pPr>
    </w:p>
    <w:sectPr w:rsidR="00935BDA" w:rsidRPr="00396FC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44A8" w14:textId="77777777" w:rsidR="009948E6" w:rsidRDefault="009948E6" w:rsidP="0002636A">
      <w:pPr>
        <w:spacing w:after="0" w:line="240" w:lineRule="auto"/>
      </w:pPr>
      <w:r>
        <w:separator/>
      </w:r>
    </w:p>
  </w:endnote>
  <w:endnote w:type="continuationSeparator" w:id="0">
    <w:p w14:paraId="09B47AD4" w14:textId="77777777" w:rsidR="009948E6" w:rsidRDefault="009948E6"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3473E">
          <w:rPr>
            <w:noProof/>
          </w:rPr>
          <w:t>6</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E43EF" w14:textId="77777777" w:rsidR="009948E6" w:rsidRDefault="009948E6" w:rsidP="0002636A">
      <w:pPr>
        <w:spacing w:after="0" w:line="240" w:lineRule="auto"/>
      </w:pPr>
      <w:r>
        <w:separator/>
      </w:r>
    </w:p>
  </w:footnote>
  <w:footnote w:type="continuationSeparator" w:id="0">
    <w:p w14:paraId="70DB8964" w14:textId="77777777" w:rsidR="009948E6" w:rsidRDefault="009948E6"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ABB"/>
    <w:multiLevelType w:val="hybridMultilevel"/>
    <w:tmpl w:val="AAFE4EA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52EA9"/>
    <w:multiLevelType w:val="hybridMultilevel"/>
    <w:tmpl w:val="6BAC3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E36E7"/>
    <w:multiLevelType w:val="hybridMultilevel"/>
    <w:tmpl w:val="3C02A35E"/>
    <w:lvl w:ilvl="0" w:tplc="E18077B2">
      <w:start w:val="1"/>
      <w:numFmt w:val="lowerLetter"/>
      <w:lvlText w:val="%1."/>
      <w:lvlJc w:val="left"/>
      <w:pPr>
        <w:ind w:left="1080" w:hanging="360"/>
      </w:pPr>
      <w:rPr>
        <w:rFonts w:ascii="Times New Roman" w:eastAsiaTheme="minorHAnsi"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C2E3B90"/>
    <w:multiLevelType w:val="hybridMultilevel"/>
    <w:tmpl w:val="F3768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56407"/>
    <w:multiLevelType w:val="hybridMultilevel"/>
    <w:tmpl w:val="446A0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4A026F"/>
    <w:multiLevelType w:val="hybridMultilevel"/>
    <w:tmpl w:val="3D682790"/>
    <w:lvl w:ilvl="0" w:tplc="32C4F514">
      <w:start w:val="1"/>
      <w:numFmt w:val="lowerLetter"/>
      <w:lvlText w:val="%1."/>
      <w:lvlJc w:val="left"/>
      <w:pPr>
        <w:ind w:left="1080" w:hanging="360"/>
      </w:pPr>
      <w:rPr>
        <w:rFonts w:ascii="Times New Roman" w:eastAsia="Times New Roman"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F7F3562"/>
    <w:multiLevelType w:val="hybridMultilevel"/>
    <w:tmpl w:val="B05AF238"/>
    <w:lvl w:ilvl="0" w:tplc="0C80D09E">
      <w:start w:val="1"/>
      <w:numFmt w:val="lowerLetter"/>
      <w:lvlText w:val="%1."/>
      <w:lvlJc w:val="left"/>
      <w:pPr>
        <w:ind w:left="1080" w:hanging="360"/>
      </w:pPr>
      <w:rPr>
        <w:rFonts w:ascii="Times New Roman" w:eastAsiaTheme="minorHAnsi" w:hAnsi="Times New Roman" w:cs="Times New Roman"/>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21F64BD"/>
    <w:multiLevelType w:val="hybridMultilevel"/>
    <w:tmpl w:val="D80498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79C70A4"/>
    <w:multiLevelType w:val="hybridMultilevel"/>
    <w:tmpl w:val="D41CD746"/>
    <w:lvl w:ilvl="0" w:tplc="27486F1C">
      <w:start w:val="1"/>
      <w:numFmt w:val="lowerLetter"/>
      <w:lvlText w:val="%1."/>
      <w:lvlJc w:val="left"/>
      <w:pPr>
        <w:ind w:left="1080" w:hanging="360"/>
      </w:pPr>
      <w:rPr>
        <w:rFonts w:ascii="Times New Roman" w:eastAsia="Times New Roman"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23E657D"/>
    <w:multiLevelType w:val="hybridMultilevel"/>
    <w:tmpl w:val="58A89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386B6D"/>
    <w:multiLevelType w:val="hybridMultilevel"/>
    <w:tmpl w:val="7F7674F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872E13"/>
    <w:multiLevelType w:val="hybridMultilevel"/>
    <w:tmpl w:val="9C60AC86"/>
    <w:lvl w:ilvl="0" w:tplc="221AA2EE">
      <w:start w:val="1"/>
      <w:numFmt w:val="lowerLetter"/>
      <w:lvlText w:val="%1."/>
      <w:lvlJc w:val="left"/>
      <w:pPr>
        <w:ind w:left="1080" w:hanging="360"/>
      </w:pPr>
      <w:rPr>
        <w:rFonts w:ascii="Times New Roman" w:eastAsiaTheme="minorHAnsi"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DA15DA"/>
    <w:multiLevelType w:val="hybridMultilevel"/>
    <w:tmpl w:val="164CC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38073C"/>
    <w:multiLevelType w:val="hybridMultilevel"/>
    <w:tmpl w:val="3C02A35E"/>
    <w:lvl w:ilvl="0" w:tplc="E18077B2">
      <w:start w:val="1"/>
      <w:numFmt w:val="lowerLetter"/>
      <w:lvlText w:val="%1."/>
      <w:lvlJc w:val="left"/>
      <w:pPr>
        <w:ind w:left="1080" w:hanging="360"/>
      </w:pPr>
      <w:rPr>
        <w:rFonts w:ascii="Times New Roman" w:eastAsiaTheme="minorHAnsi" w:hAnsi="Times New Roman" w:cs="Times New Roman"/>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B643ADF"/>
    <w:multiLevelType w:val="hybridMultilevel"/>
    <w:tmpl w:val="17A42CCC"/>
    <w:lvl w:ilvl="0" w:tplc="94D4F7A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AF2750"/>
    <w:multiLevelType w:val="hybridMultilevel"/>
    <w:tmpl w:val="E7AC3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0B3972"/>
    <w:multiLevelType w:val="hybridMultilevel"/>
    <w:tmpl w:val="7F8CBBCA"/>
    <w:lvl w:ilvl="0" w:tplc="A52880F0">
      <w:start w:val="1"/>
      <w:numFmt w:val="decimal"/>
      <w:lvlText w:val="%1."/>
      <w:lvlJc w:val="left"/>
      <w:pPr>
        <w:ind w:left="1211" w:hanging="360"/>
      </w:pPr>
      <w:rPr>
        <w:rFonts w:hint="default"/>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A15FE4"/>
    <w:multiLevelType w:val="hybridMultilevel"/>
    <w:tmpl w:val="CC28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67792"/>
    <w:multiLevelType w:val="hybridMultilevel"/>
    <w:tmpl w:val="DA301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8"/>
  </w:num>
  <w:num w:numId="4">
    <w:abstractNumId w:val="27"/>
  </w:num>
  <w:num w:numId="5">
    <w:abstractNumId w:val="6"/>
  </w:num>
  <w:num w:numId="6">
    <w:abstractNumId w:val="28"/>
  </w:num>
  <w:num w:numId="7">
    <w:abstractNumId w:val="2"/>
  </w:num>
  <w:num w:numId="8">
    <w:abstractNumId w:val="16"/>
  </w:num>
  <w:num w:numId="9">
    <w:abstractNumId w:val="8"/>
  </w:num>
  <w:num w:numId="10">
    <w:abstractNumId w:val="23"/>
  </w:num>
  <w:num w:numId="11">
    <w:abstractNumId w:val="21"/>
  </w:num>
  <w:num w:numId="12">
    <w:abstractNumId w:val="20"/>
  </w:num>
  <w:num w:numId="13">
    <w:abstractNumId w:val="9"/>
  </w:num>
  <w:num w:numId="14">
    <w:abstractNumId w:val="29"/>
  </w:num>
  <w:num w:numId="15">
    <w:abstractNumId w:val="25"/>
  </w:num>
  <w:num w:numId="16">
    <w:abstractNumId w:val="5"/>
  </w:num>
  <w:num w:numId="17">
    <w:abstractNumId w:val="26"/>
  </w:num>
  <w:num w:numId="18">
    <w:abstractNumId w:val="11"/>
  </w:num>
  <w:num w:numId="19">
    <w:abstractNumId w:val="13"/>
  </w:num>
  <w:num w:numId="20">
    <w:abstractNumId w:val="4"/>
  </w:num>
  <w:num w:numId="21">
    <w:abstractNumId w:val="19"/>
  </w:num>
  <w:num w:numId="22">
    <w:abstractNumId w:val="10"/>
  </w:num>
  <w:num w:numId="23">
    <w:abstractNumId w:val="17"/>
  </w:num>
  <w:num w:numId="24">
    <w:abstractNumId w:val="24"/>
  </w:num>
  <w:num w:numId="25">
    <w:abstractNumId w:val="0"/>
  </w:num>
  <w:num w:numId="26">
    <w:abstractNumId w:val="7"/>
  </w:num>
  <w:num w:numId="27">
    <w:abstractNumId w:val="12"/>
  </w:num>
  <w:num w:numId="28">
    <w:abstractNumId w:val="14"/>
  </w:num>
  <w:num w:numId="29">
    <w:abstractNumId w:val="22"/>
  </w:num>
  <w:num w:numId="30">
    <w:abstractNumId w:val="1"/>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0443"/>
    <w:rsid w:val="00001A39"/>
    <w:rsid w:val="0000330F"/>
    <w:rsid w:val="00012AD6"/>
    <w:rsid w:val="00013255"/>
    <w:rsid w:val="00023003"/>
    <w:rsid w:val="0002387E"/>
    <w:rsid w:val="0002636A"/>
    <w:rsid w:val="0003049A"/>
    <w:rsid w:val="00037AE1"/>
    <w:rsid w:val="000415BA"/>
    <w:rsid w:val="00043840"/>
    <w:rsid w:val="0005505E"/>
    <w:rsid w:val="000715A7"/>
    <w:rsid w:val="000845C4"/>
    <w:rsid w:val="00092565"/>
    <w:rsid w:val="000A3C18"/>
    <w:rsid w:val="000A66BD"/>
    <w:rsid w:val="000B1E05"/>
    <w:rsid w:val="000B3210"/>
    <w:rsid w:val="000B73EB"/>
    <w:rsid w:val="000C6B27"/>
    <w:rsid w:val="000D1AF6"/>
    <w:rsid w:val="000D3998"/>
    <w:rsid w:val="000D4929"/>
    <w:rsid w:val="000D4ED3"/>
    <w:rsid w:val="000E1EA1"/>
    <w:rsid w:val="000E2C80"/>
    <w:rsid w:val="000E48E2"/>
    <w:rsid w:val="000F0FB1"/>
    <w:rsid w:val="000F6BF9"/>
    <w:rsid w:val="000F7479"/>
    <w:rsid w:val="0010364C"/>
    <w:rsid w:val="00106CBA"/>
    <w:rsid w:val="0012307A"/>
    <w:rsid w:val="0013056D"/>
    <w:rsid w:val="00132863"/>
    <w:rsid w:val="001469C7"/>
    <w:rsid w:val="00162BA2"/>
    <w:rsid w:val="0017177D"/>
    <w:rsid w:val="0017246A"/>
    <w:rsid w:val="001732EC"/>
    <w:rsid w:val="00173A31"/>
    <w:rsid w:val="0017632E"/>
    <w:rsid w:val="00182F8A"/>
    <w:rsid w:val="00184DAC"/>
    <w:rsid w:val="001862AD"/>
    <w:rsid w:val="00186EFA"/>
    <w:rsid w:val="00195A18"/>
    <w:rsid w:val="00197F4A"/>
    <w:rsid w:val="001A504A"/>
    <w:rsid w:val="001C1623"/>
    <w:rsid w:val="001C4696"/>
    <w:rsid w:val="001C5FBA"/>
    <w:rsid w:val="001D2714"/>
    <w:rsid w:val="001D3031"/>
    <w:rsid w:val="001F4E72"/>
    <w:rsid w:val="0021798D"/>
    <w:rsid w:val="002207AB"/>
    <w:rsid w:val="00220F67"/>
    <w:rsid w:val="00223C3A"/>
    <w:rsid w:val="00226CE0"/>
    <w:rsid w:val="002329DC"/>
    <w:rsid w:val="00235EDC"/>
    <w:rsid w:val="00237BC5"/>
    <w:rsid w:val="00251E3B"/>
    <w:rsid w:val="0026109C"/>
    <w:rsid w:val="00261676"/>
    <w:rsid w:val="00262B9E"/>
    <w:rsid w:val="0026521A"/>
    <w:rsid w:val="002733BD"/>
    <w:rsid w:val="002811C0"/>
    <w:rsid w:val="00293D32"/>
    <w:rsid w:val="002974BA"/>
    <w:rsid w:val="002A4AC6"/>
    <w:rsid w:val="002B0350"/>
    <w:rsid w:val="002B270D"/>
    <w:rsid w:val="002B361E"/>
    <w:rsid w:val="002C5B76"/>
    <w:rsid w:val="002D5FD0"/>
    <w:rsid w:val="002E2783"/>
    <w:rsid w:val="00302474"/>
    <w:rsid w:val="0030496E"/>
    <w:rsid w:val="00322335"/>
    <w:rsid w:val="00331E27"/>
    <w:rsid w:val="0034683F"/>
    <w:rsid w:val="003514AF"/>
    <w:rsid w:val="003516FD"/>
    <w:rsid w:val="00353916"/>
    <w:rsid w:val="003621E8"/>
    <w:rsid w:val="0037072E"/>
    <w:rsid w:val="00370B67"/>
    <w:rsid w:val="00372B1A"/>
    <w:rsid w:val="00381AEC"/>
    <w:rsid w:val="00394610"/>
    <w:rsid w:val="00394DC5"/>
    <w:rsid w:val="00396FC6"/>
    <w:rsid w:val="003A3CEC"/>
    <w:rsid w:val="003A6372"/>
    <w:rsid w:val="003A7D34"/>
    <w:rsid w:val="003B6050"/>
    <w:rsid w:val="003C6789"/>
    <w:rsid w:val="003D407C"/>
    <w:rsid w:val="003F51EB"/>
    <w:rsid w:val="003F5B9F"/>
    <w:rsid w:val="00403C82"/>
    <w:rsid w:val="00405739"/>
    <w:rsid w:val="004067B8"/>
    <w:rsid w:val="00416CC3"/>
    <w:rsid w:val="00417B95"/>
    <w:rsid w:val="00425786"/>
    <w:rsid w:val="004267BB"/>
    <w:rsid w:val="00430AEC"/>
    <w:rsid w:val="00430C8F"/>
    <w:rsid w:val="00436F13"/>
    <w:rsid w:val="00441695"/>
    <w:rsid w:val="00444AD4"/>
    <w:rsid w:val="004518A4"/>
    <w:rsid w:val="00451AA2"/>
    <w:rsid w:val="00452EB3"/>
    <w:rsid w:val="00455B38"/>
    <w:rsid w:val="00463537"/>
    <w:rsid w:val="004709FE"/>
    <w:rsid w:val="00473705"/>
    <w:rsid w:val="00481D8A"/>
    <w:rsid w:val="00483E20"/>
    <w:rsid w:val="004864D2"/>
    <w:rsid w:val="0049094A"/>
    <w:rsid w:val="00492849"/>
    <w:rsid w:val="00492EE5"/>
    <w:rsid w:val="004A01CB"/>
    <w:rsid w:val="004A0438"/>
    <w:rsid w:val="004A179E"/>
    <w:rsid w:val="004A2C6F"/>
    <w:rsid w:val="004A4086"/>
    <w:rsid w:val="004B1815"/>
    <w:rsid w:val="004B2C53"/>
    <w:rsid w:val="004B3C03"/>
    <w:rsid w:val="004C4E2F"/>
    <w:rsid w:val="004D2011"/>
    <w:rsid w:val="004D4953"/>
    <w:rsid w:val="004E0581"/>
    <w:rsid w:val="004E0821"/>
    <w:rsid w:val="004E50FF"/>
    <w:rsid w:val="004F430F"/>
    <w:rsid w:val="005012C1"/>
    <w:rsid w:val="00503842"/>
    <w:rsid w:val="0050398F"/>
    <w:rsid w:val="00504BB9"/>
    <w:rsid w:val="00521029"/>
    <w:rsid w:val="0053041E"/>
    <w:rsid w:val="0053473E"/>
    <w:rsid w:val="00537FED"/>
    <w:rsid w:val="00541572"/>
    <w:rsid w:val="0056208C"/>
    <w:rsid w:val="00566868"/>
    <w:rsid w:val="00566C9B"/>
    <w:rsid w:val="005829A6"/>
    <w:rsid w:val="0059648E"/>
    <w:rsid w:val="0059651B"/>
    <w:rsid w:val="005A51D1"/>
    <w:rsid w:val="005B07A7"/>
    <w:rsid w:val="005B2DFF"/>
    <w:rsid w:val="005B5D71"/>
    <w:rsid w:val="005B7D9D"/>
    <w:rsid w:val="005C65AC"/>
    <w:rsid w:val="005D1598"/>
    <w:rsid w:val="005D194A"/>
    <w:rsid w:val="005E0D03"/>
    <w:rsid w:val="005E3D3F"/>
    <w:rsid w:val="006007FC"/>
    <w:rsid w:val="00602A71"/>
    <w:rsid w:val="00602C45"/>
    <w:rsid w:val="0061133C"/>
    <w:rsid w:val="0062420F"/>
    <w:rsid w:val="00624B07"/>
    <w:rsid w:val="0063239B"/>
    <w:rsid w:val="00634AE9"/>
    <w:rsid w:val="00635783"/>
    <w:rsid w:val="00635C6A"/>
    <w:rsid w:val="00636B96"/>
    <w:rsid w:val="00637A0F"/>
    <w:rsid w:val="00657F7D"/>
    <w:rsid w:val="006645D8"/>
    <w:rsid w:val="0066673E"/>
    <w:rsid w:val="00670C8D"/>
    <w:rsid w:val="006711F4"/>
    <w:rsid w:val="006715D4"/>
    <w:rsid w:val="00674543"/>
    <w:rsid w:val="00674919"/>
    <w:rsid w:val="0068516B"/>
    <w:rsid w:val="0069634A"/>
    <w:rsid w:val="006A55D1"/>
    <w:rsid w:val="006B0460"/>
    <w:rsid w:val="006B0467"/>
    <w:rsid w:val="006C1CAA"/>
    <w:rsid w:val="006C6FDC"/>
    <w:rsid w:val="006C71F5"/>
    <w:rsid w:val="006D3287"/>
    <w:rsid w:val="006D5DC2"/>
    <w:rsid w:val="006E2C82"/>
    <w:rsid w:val="006F7DB7"/>
    <w:rsid w:val="00717F00"/>
    <w:rsid w:val="00726DC5"/>
    <w:rsid w:val="00730A00"/>
    <w:rsid w:val="0074184E"/>
    <w:rsid w:val="00741BBC"/>
    <w:rsid w:val="0075445D"/>
    <w:rsid w:val="007613C2"/>
    <w:rsid w:val="00770392"/>
    <w:rsid w:val="0077086F"/>
    <w:rsid w:val="00774542"/>
    <w:rsid w:val="0078348F"/>
    <w:rsid w:val="00784E47"/>
    <w:rsid w:val="007867BA"/>
    <w:rsid w:val="00787C90"/>
    <w:rsid w:val="00793A24"/>
    <w:rsid w:val="007B7195"/>
    <w:rsid w:val="007C14C0"/>
    <w:rsid w:val="007E0B98"/>
    <w:rsid w:val="007E12A0"/>
    <w:rsid w:val="007F1D53"/>
    <w:rsid w:val="00802602"/>
    <w:rsid w:val="00804598"/>
    <w:rsid w:val="008078C4"/>
    <w:rsid w:val="008154B5"/>
    <w:rsid w:val="008328B3"/>
    <w:rsid w:val="008339B5"/>
    <w:rsid w:val="00834EF5"/>
    <w:rsid w:val="00835D97"/>
    <w:rsid w:val="00842EF2"/>
    <w:rsid w:val="00863F9A"/>
    <w:rsid w:val="0087144C"/>
    <w:rsid w:val="00872B27"/>
    <w:rsid w:val="00875B4B"/>
    <w:rsid w:val="00882179"/>
    <w:rsid w:val="00894D9D"/>
    <w:rsid w:val="008A4B11"/>
    <w:rsid w:val="008A714B"/>
    <w:rsid w:val="008B2955"/>
    <w:rsid w:val="008B394E"/>
    <w:rsid w:val="008C39B9"/>
    <w:rsid w:val="008D2E22"/>
    <w:rsid w:val="008D7339"/>
    <w:rsid w:val="008E386D"/>
    <w:rsid w:val="008E3F65"/>
    <w:rsid w:val="008E6939"/>
    <w:rsid w:val="008F06E1"/>
    <w:rsid w:val="008F0B05"/>
    <w:rsid w:val="008F41C5"/>
    <w:rsid w:val="008F4E56"/>
    <w:rsid w:val="008F7C63"/>
    <w:rsid w:val="00901345"/>
    <w:rsid w:val="00902F3D"/>
    <w:rsid w:val="00905FF7"/>
    <w:rsid w:val="0090685D"/>
    <w:rsid w:val="00911332"/>
    <w:rsid w:val="00915DC9"/>
    <w:rsid w:val="009200E9"/>
    <w:rsid w:val="009227B6"/>
    <w:rsid w:val="00930916"/>
    <w:rsid w:val="00930DF6"/>
    <w:rsid w:val="00932214"/>
    <w:rsid w:val="00935BDA"/>
    <w:rsid w:val="00940A08"/>
    <w:rsid w:val="00945CC3"/>
    <w:rsid w:val="00946A96"/>
    <w:rsid w:val="00957401"/>
    <w:rsid w:val="009601BB"/>
    <w:rsid w:val="00960D34"/>
    <w:rsid w:val="00964433"/>
    <w:rsid w:val="0096578D"/>
    <w:rsid w:val="00977340"/>
    <w:rsid w:val="00977B59"/>
    <w:rsid w:val="009943A7"/>
    <w:rsid w:val="009948E6"/>
    <w:rsid w:val="009A146C"/>
    <w:rsid w:val="009A2939"/>
    <w:rsid w:val="009B1F88"/>
    <w:rsid w:val="009B6322"/>
    <w:rsid w:val="009C0BE2"/>
    <w:rsid w:val="009C233D"/>
    <w:rsid w:val="009C7939"/>
    <w:rsid w:val="009D2B82"/>
    <w:rsid w:val="009D4C59"/>
    <w:rsid w:val="009E7A5B"/>
    <w:rsid w:val="009E7FE9"/>
    <w:rsid w:val="00A012DE"/>
    <w:rsid w:val="00A12824"/>
    <w:rsid w:val="00A13E57"/>
    <w:rsid w:val="00A253FB"/>
    <w:rsid w:val="00A330F9"/>
    <w:rsid w:val="00A360A5"/>
    <w:rsid w:val="00A54FD7"/>
    <w:rsid w:val="00A63F45"/>
    <w:rsid w:val="00A65D96"/>
    <w:rsid w:val="00A66F7D"/>
    <w:rsid w:val="00A70B9C"/>
    <w:rsid w:val="00A74313"/>
    <w:rsid w:val="00A74F78"/>
    <w:rsid w:val="00A759FD"/>
    <w:rsid w:val="00A801A3"/>
    <w:rsid w:val="00A81A8D"/>
    <w:rsid w:val="00A95BA3"/>
    <w:rsid w:val="00AA162F"/>
    <w:rsid w:val="00AA17E6"/>
    <w:rsid w:val="00AB0C65"/>
    <w:rsid w:val="00AB3F89"/>
    <w:rsid w:val="00AC39E5"/>
    <w:rsid w:val="00AC4C11"/>
    <w:rsid w:val="00AC6AF2"/>
    <w:rsid w:val="00AD377B"/>
    <w:rsid w:val="00AE4884"/>
    <w:rsid w:val="00AE5527"/>
    <w:rsid w:val="00AF0C63"/>
    <w:rsid w:val="00AF3528"/>
    <w:rsid w:val="00AF673F"/>
    <w:rsid w:val="00B019AE"/>
    <w:rsid w:val="00B0624F"/>
    <w:rsid w:val="00B06DC4"/>
    <w:rsid w:val="00B147FA"/>
    <w:rsid w:val="00B273E1"/>
    <w:rsid w:val="00B33323"/>
    <w:rsid w:val="00B427D5"/>
    <w:rsid w:val="00B44F29"/>
    <w:rsid w:val="00B56F62"/>
    <w:rsid w:val="00B57147"/>
    <w:rsid w:val="00B57503"/>
    <w:rsid w:val="00B828BC"/>
    <w:rsid w:val="00B83E9F"/>
    <w:rsid w:val="00B856D3"/>
    <w:rsid w:val="00B91E7E"/>
    <w:rsid w:val="00B9771E"/>
    <w:rsid w:val="00BA3F3C"/>
    <w:rsid w:val="00BA4BA7"/>
    <w:rsid w:val="00BA5F70"/>
    <w:rsid w:val="00BC6B0A"/>
    <w:rsid w:val="00BD1266"/>
    <w:rsid w:val="00BD16AA"/>
    <w:rsid w:val="00BD2324"/>
    <w:rsid w:val="00BD5FE0"/>
    <w:rsid w:val="00BE76D8"/>
    <w:rsid w:val="00BF7185"/>
    <w:rsid w:val="00C04087"/>
    <w:rsid w:val="00C1013C"/>
    <w:rsid w:val="00C15D55"/>
    <w:rsid w:val="00C16B35"/>
    <w:rsid w:val="00C34C3F"/>
    <w:rsid w:val="00C34DDA"/>
    <w:rsid w:val="00C61F56"/>
    <w:rsid w:val="00C650B0"/>
    <w:rsid w:val="00C74B43"/>
    <w:rsid w:val="00C81D64"/>
    <w:rsid w:val="00C84B34"/>
    <w:rsid w:val="00C858F4"/>
    <w:rsid w:val="00C87482"/>
    <w:rsid w:val="00C90476"/>
    <w:rsid w:val="00C90B43"/>
    <w:rsid w:val="00C90C0A"/>
    <w:rsid w:val="00C91DD2"/>
    <w:rsid w:val="00CA2397"/>
    <w:rsid w:val="00CA243F"/>
    <w:rsid w:val="00CC7A05"/>
    <w:rsid w:val="00CD1921"/>
    <w:rsid w:val="00CE6485"/>
    <w:rsid w:val="00CF14E3"/>
    <w:rsid w:val="00D01DED"/>
    <w:rsid w:val="00D339B1"/>
    <w:rsid w:val="00D34E74"/>
    <w:rsid w:val="00D36BAE"/>
    <w:rsid w:val="00D42D18"/>
    <w:rsid w:val="00D44E87"/>
    <w:rsid w:val="00D47866"/>
    <w:rsid w:val="00D51A2A"/>
    <w:rsid w:val="00D5317B"/>
    <w:rsid w:val="00D55E91"/>
    <w:rsid w:val="00D674F6"/>
    <w:rsid w:val="00D73DCB"/>
    <w:rsid w:val="00D75C5A"/>
    <w:rsid w:val="00D761D9"/>
    <w:rsid w:val="00D776E0"/>
    <w:rsid w:val="00D82A6E"/>
    <w:rsid w:val="00D85EE4"/>
    <w:rsid w:val="00D91FD9"/>
    <w:rsid w:val="00DB2DA6"/>
    <w:rsid w:val="00DB54AF"/>
    <w:rsid w:val="00DB5DA0"/>
    <w:rsid w:val="00DC4FA7"/>
    <w:rsid w:val="00DD1EA7"/>
    <w:rsid w:val="00DD2183"/>
    <w:rsid w:val="00DE0504"/>
    <w:rsid w:val="00DF3323"/>
    <w:rsid w:val="00E208BC"/>
    <w:rsid w:val="00E23B2F"/>
    <w:rsid w:val="00E24BF6"/>
    <w:rsid w:val="00E37647"/>
    <w:rsid w:val="00E413B3"/>
    <w:rsid w:val="00E44073"/>
    <w:rsid w:val="00E47DA0"/>
    <w:rsid w:val="00E573A7"/>
    <w:rsid w:val="00E62187"/>
    <w:rsid w:val="00E6539A"/>
    <w:rsid w:val="00E75423"/>
    <w:rsid w:val="00E7719E"/>
    <w:rsid w:val="00E81349"/>
    <w:rsid w:val="00E83C03"/>
    <w:rsid w:val="00EB328E"/>
    <w:rsid w:val="00EB3414"/>
    <w:rsid w:val="00EC0A29"/>
    <w:rsid w:val="00EC1D2B"/>
    <w:rsid w:val="00EC2189"/>
    <w:rsid w:val="00EC5E3B"/>
    <w:rsid w:val="00EC7E9E"/>
    <w:rsid w:val="00ED14D9"/>
    <w:rsid w:val="00ED357E"/>
    <w:rsid w:val="00ED5CD4"/>
    <w:rsid w:val="00ED703F"/>
    <w:rsid w:val="00EE1C2D"/>
    <w:rsid w:val="00EE48D1"/>
    <w:rsid w:val="00EE7719"/>
    <w:rsid w:val="00EF6F45"/>
    <w:rsid w:val="00F01848"/>
    <w:rsid w:val="00F07F30"/>
    <w:rsid w:val="00F1002F"/>
    <w:rsid w:val="00F100E4"/>
    <w:rsid w:val="00F10A91"/>
    <w:rsid w:val="00F11561"/>
    <w:rsid w:val="00F178C7"/>
    <w:rsid w:val="00F17953"/>
    <w:rsid w:val="00F26896"/>
    <w:rsid w:val="00F3287B"/>
    <w:rsid w:val="00F33269"/>
    <w:rsid w:val="00F41B5B"/>
    <w:rsid w:val="00F5669D"/>
    <w:rsid w:val="00F57EA9"/>
    <w:rsid w:val="00F769DC"/>
    <w:rsid w:val="00F815E6"/>
    <w:rsid w:val="00F86675"/>
    <w:rsid w:val="00F87E20"/>
    <w:rsid w:val="00FA115F"/>
    <w:rsid w:val="00FB2FD7"/>
    <w:rsid w:val="00FC01F0"/>
    <w:rsid w:val="00FC0DD3"/>
    <w:rsid w:val="00FC19F1"/>
    <w:rsid w:val="00FC5FB9"/>
    <w:rsid w:val="00FC7CBC"/>
    <w:rsid w:val="00FD4FA9"/>
    <w:rsid w:val="00FE58B1"/>
    <w:rsid w:val="00FE621D"/>
    <w:rsid w:val="00FF04EB"/>
    <w:rsid w:val="00FF332A"/>
    <w:rsid w:val="00FF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935B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styleId="SubtleEmphasis">
    <w:name w:val="Subtle Emphasis"/>
    <w:basedOn w:val="DefaultParagraphFont"/>
    <w:uiPriority w:val="19"/>
    <w:qFormat/>
    <w:rsid w:val="00B0624F"/>
    <w:rPr>
      <w:i/>
      <w:iCs/>
      <w:color w:val="404040" w:themeColor="text1" w:themeTint="BF"/>
    </w:rPr>
  </w:style>
  <w:style w:type="character" w:customStyle="1" w:styleId="Heading2Char">
    <w:name w:val="Heading 2 Char"/>
    <w:basedOn w:val="DefaultParagraphFont"/>
    <w:link w:val="Heading2"/>
    <w:uiPriority w:val="9"/>
    <w:semiHidden/>
    <w:rsid w:val="00935BD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30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4290">
      <w:bodyDiv w:val="1"/>
      <w:marLeft w:val="0"/>
      <w:marRight w:val="0"/>
      <w:marTop w:val="0"/>
      <w:marBottom w:val="0"/>
      <w:divBdr>
        <w:top w:val="none" w:sz="0" w:space="0" w:color="auto"/>
        <w:left w:val="none" w:sz="0" w:space="0" w:color="auto"/>
        <w:bottom w:val="none" w:sz="0" w:space="0" w:color="auto"/>
        <w:right w:val="none" w:sz="0" w:space="0" w:color="auto"/>
      </w:divBdr>
    </w:div>
    <w:div w:id="48517251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1104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1BF9F3CE286AF438C84F6328C18A702" ma:contentTypeVersion="" ma:contentTypeDescription="PDMS Document Site Content Type" ma:contentTypeScope="" ma:versionID="dfee37c3fef90d048bdfc919483e4056">
  <xsd:schema xmlns:xsd="http://www.w3.org/2001/XMLSchema" xmlns:xs="http://www.w3.org/2001/XMLSchema" xmlns:p="http://schemas.microsoft.com/office/2006/metadata/properties" xmlns:ns2="94AE324A-F070-4A19-AF29-75CF6FFAC19C" targetNamespace="http://schemas.microsoft.com/office/2006/metadata/properties" ma:root="true" ma:fieldsID="38a4db2ca7d7d3f4a25d815b30a17930" ns2:_="">
    <xsd:import namespace="94AE324A-F070-4A19-AF29-75CF6FFAC19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E324A-F070-4A19-AF29-75CF6FFAC19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4AE324A-F070-4A19-AF29-75CF6FFAC1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67C4-B942-44C1-AC1A-36B1B3C75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E324A-F070-4A19-AF29-75CF6FFA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94AE324A-F070-4A19-AF29-75CF6FFAC19C"/>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37954FB6-8D37-41F1-BFE4-633D4B41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van der Westhuizen, Georgia</cp:lastModifiedBy>
  <cp:revision>2</cp:revision>
  <dcterms:created xsi:type="dcterms:W3CDTF">2022-12-08T04:53:00Z</dcterms:created>
  <dcterms:modified xsi:type="dcterms:W3CDTF">2022-12-08T04:53:00Z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0x010100266966F133664895A6EE3632470D45F50071BF9F3CE286AF438C84F6328C18A702</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