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21" w14:textId="7D06F3FC" w:rsidR="00FA6784" w:rsidRPr="00F368C8" w:rsidRDefault="00FA6784" w:rsidP="00C571B1">
      <w:pPr>
        <w:pStyle w:val="H3"/>
        <w:jc w:val="center"/>
        <w:rPr>
          <w:sz w:val="24"/>
          <w:szCs w:val="24"/>
        </w:rPr>
      </w:pPr>
      <w:r w:rsidRPr="00F368C8">
        <w:rPr>
          <w:sz w:val="24"/>
          <w:szCs w:val="24"/>
        </w:rPr>
        <w:t>EXPLANATORY STATEMENT</w:t>
      </w:r>
    </w:p>
    <w:p w14:paraId="2412D122" w14:textId="77777777" w:rsidR="00FA6784" w:rsidRPr="00F368C8" w:rsidRDefault="00FA6784" w:rsidP="00FA6784">
      <w:pPr>
        <w:jc w:val="center"/>
        <w:rPr>
          <w:i/>
          <w:iCs/>
          <w:sz w:val="20"/>
        </w:rPr>
      </w:pPr>
    </w:p>
    <w:p w14:paraId="2412D123" w14:textId="77777777" w:rsidR="00FA6784" w:rsidRPr="00F368C8" w:rsidRDefault="00FA6784" w:rsidP="00FA6784">
      <w:pPr>
        <w:jc w:val="center"/>
        <w:rPr>
          <w:i/>
          <w:iCs/>
        </w:rPr>
      </w:pPr>
      <w:r w:rsidRPr="00F368C8">
        <w:rPr>
          <w:i/>
          <w:iCs/>
        </w:rPr>
        <w:t>Health Insurance Act 1973</w:t>
      </w:r>
    </w:p>
    <w:p w14:paraId="2412D124" w14:textId="77777777" w:rsidR="00A1739A" w:rsidRPr="00F368C8" w:rsidRDefault="00A1739A" w:rsidP="00A1739A">
      <w:pPr>
        <w:rPr>
          <w:szCs w:val="24"/>
          <w:u w:val="single"/>
        </w:rPr>
      </w:pPr>
    </w:p>
    <w:p w14:paraId="2838A7B4" w14:textId="575997BD" w:rsidR="00FD602D" w:rsidRPr="00F368C8" w:rsidRDefault="00C571B1" w:rsidP="00961795">
      <w:pPr>
        <w:ind w:right="84"/>
        <w:jc w:val="center"/>
        <w:rPr>
          <w:color w:val="FF0000"/>
          <w:szCs w:val="24"/>
        </w:rPr>
      </w:pPr>
      <w:bookmarkStart w:id="0" w:name="_Hlk112933629"/>
      <w:r w:rsidRPr="00F368C8">
        <w:rPr>
          <w:i/>
          <w:iCs/>
        </w:rPr>
        <w:t xml:space="preserve">Health Insurance Legislation Amendment (2022 Measures No. </w:t>
      </w:r>
      <w:r w:rsidR="005D6AC4" w:rsidRPr="00F368C8">
        <w:rPr>
          <w:i/>
          <w:iCs/>
        </w:rPr>
        <w:t>5</w:t>
      </w:r>
      <w:r w:rsidRPr="00F368C8">
        <w:rPr>
          <w:i/>
          <w:iCs/>
        </w:rPr>
        <w:t>) Determination 2022</w:t>
      </w:r>
      <w:bookmarkEnd w:id="0"/>
    </w:p>
    <w:p w14:paraId="052E97C1" w14:textId="77777777" w:rsidR="00164A69" w:rsidRPr="00F368C8"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7DB18649" w14:textId="3D646478" w:rsidR="00841EDA" w:rsidRPr="00F368C8"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F368C8">
        <w:rPr>
          <w:color w:val="000000"/>
          <w:shd w:val="clear" w:color="auto" w:fill="FFFFFF"/>
        </w:rPr>
        <w:t>Subsection 3</w:t>
      </w:r>
      <w:proofErr w:type="gramStart"/>
      <w:r w:rsidRPr="00F368C8">
        <w:rPr>
          <w:color w:val="000000"/>
          <w:shd w:val="clear" w:color="auto" w:fill="FFFFFF"/>
        </w:rPr>
        <w:t>C(</w:t>
      </w:r>
      <w:proofErr w:type="gramEnd"/>
      <w:r w:rsidRPr="00F368C8">
        <w:rPr>
          <w:color w:val="000000"/>
          <w:shd w:val="clear" w:color="auto" w:fill="FFFFFF"/>
        </w:rPr>
        <w:t xml:space="preserve">1) of the </w:t>
      </w:r>
      <w:r w:rsidRPr="00F368C8">
        <w:rPr>
          <w:i/>
          <w:color w:val="000000"/>
          <w:shd w:val="clear" w:color="auto" w:fill="FFFFFF"/>
        </w:rPr>
        <w:t>Health Insurance Act 1973</w:t>
      </w:r>
      <w:r w:rsidRPr="00F368C8">
        <w:rPr>
          <w:color w:val="000000"/>
          <w:shd w:val="clear" w:color="auto" w:fill="FFFFFF"/>
        </w:rPr>
        <w:t xml:space="preserve"> (the Act) </w:t>
      </w:r>
      <w:r w:rsidR="00477C74" w:rsidRPr="00F368C8">
        <w:rPr>
          <w:color w:val="000000"/>
          <w:shd w:val="clear" w:color="auto" w:fill="FFFFFF"/>
        </w:rPr>
        <w:t>provide</w:t>
      </w:r>
      <w:r w:rsidR="002E5708" w:rsidRPr="00F368C8">
        <w:rPr>
          <w:color w:val="000000"/>
          <w:shd w:val="clear" w:color="auto" w:fill="FFFFFF"/>
        </w:rPr>
        <w:t>s</w:t>
      </w:r>
      <w:r w:rsidR="00477C74" w:rsidRPr="00F368C8">
        <w:rPr>
          <w:color w:val="000000"/>
          <w:shd w:val="clear" w:color="auto" w:fill="FFFFFF"/>
        </w:rPr>
        <w:t xml:space="preserve"> that</w:t>
      </w:r>
      <w:r w:rsidRPr="00F368C8">
        <w:rPr>
          <w:color w:val="000000"/>
          <w:shd w:val="clear" w:color="auto" w:fill="FFFFFF"/>
        </w:rPr>
        <w:t xml:space="preserve"> the Minister </w:t>
      </w:r>
      <w:r w:rsidR="00477C74" w:rsidRPr="00F368C8">
        <w:rPr>
          <w:color w:val="000000"/>
          <w:shd w:val="clear" w:color="auto" w:fill="FFFFFF"/>
        </w:rPr>
        <w:t>may</w:t>
      </w:r>
      <w:r w:rsidRPr="00F368C8">
        <w:rPr>
          <w:color w:val="000000"/>
          <w:shd w:val="clear" w:color="auto" w:fill="FFFFFF"/>
        </w:rPr>
        <w:t xml:space="preserve">, by legislative instrument, determine that a health service not specified in an item in the </w:t>
      </w:r>
      <w:r w:rsidR="00C571B1" w:rsidRPr="00F368C8">
        <w:rPr>
          <w:color w:val="000000"/>
          <w:shd w:val="clear" w:color="auto" w:fill="FFFFFF"/>
        </w:rPr>
        <w:t>general medical services table (the GMST)</w:t>
      </w:r>
      <w:r w:rsidR="00BA0ACD" w:rsidRPr="00F368C8">
        <w:rPr>
          <w:color w:val="000000"/>
          <w:shd w:val="clear" w:color="auto" w:fill="FFFFFF"/>
        </w:rPr>
        <w:t xml:space="preserve"> or the pathology services table (the PST)</w:t>
      </w:r>
      <w:r w:rsidR="00D01D5A" w:rsidRPr="00F368C8">
        <w:rPr>
          <w:color w:val="000000"/>
          <w:shd w:val="clear" w:color="auto" w:fill="FFFFFF"/>
        </w:rPr>
        <w:t xml:space="preserve"> </w:t>
      </w:r>
      <w:r w:rsidRPr="00F368C8">
        <w:rPr>
          <w:color w:val="000000"/>
          <w:shd w:val="clear" w:color="auto" w:fill="FFFFFF"/>
        </w:rPr>
        <w:t xml:space="preserve">shall, in specified circumstances and for specified statutory provisions, be treated as if it were specified in the </w:t>
      </w:r>
      <w:r w:rsidR="00BA0ACD" w:rsidRPr="00F368C8">
        <w:rPr>
          <w:color w:val="000000"/>
          <w:shd w:val="clear" w:color="auto" w:fill="FFFFFF"/>
        </w:rPr>
        <w:t>GMST or PST</w:t>
      </w:r>
      <w:r w:rsidR="00D01D5A" w:rsidRPr="00F368C8">
        <w:rPr>
          <w:color w:val="000000"/>
          <w:shd w:val="clear" w:color="auto" w:fill="FFFFFF"/>
        </w:rPr>
        <w:t xml:space="preserve">. </w:t>
      </w:r>
      <w:r w:rsidRPr="00F368C8">
        <w:rPr>
          <w:color w:val="FF0000"/>
          <w:shd w:val="clear" w:color="auto" w:fill="FFFFFF"/>
        </w:rPr>
        <w:t xml:space="preserve">  </w:t>
      </w:r>
    </w:p>
    <w:p w14:paraId="33DCC19B" w14:textId="77777777" w:rsidR="00C571B1" w:rsidRPr="00F368C8" w:rsidRDefault="00C571B1"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5DD7C266" w:rsidR="00050623" w:rsidRPr="00F368C8" w:rsidRDefault="00C571B1"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F368C8">
        <w:rPr>
          <w:color w:val="000000"/>
          <w:shd w:val="clear" w:color="auto" w:fill="FFFFFF"/>
        </w:rPr>
        <w:t>The GMST is set out in the regulations made under subsection 4(1) of the Act. The most recent version of the regulations is the</w:t>
      </w:r>
      <w:r w:rsidRPr="00F368C8">
        <w:rPr>
          <w:i/>
          <w:iCs/>
          <w:color w:val="000000"/>
          <w:shd w:val="clear" w:color="auto" w:fill="FFFFFF"/>
        </w:rPr>
        <w:t> Health Insurance (General Medical Services Table) Regulations 2021</w:t>
      </w:r>
      <w:r w:rsidRPr="00F368C8">
        <w:rPr>
          <w:color w:val="000000"/>
          <w:shd w:val="clear" w:color="auto" w:fill="FFFFFF"/>
        </w:rPr>
        <w:t>.</w:t>
      </w:r>
      <w:r w:rsidR="00050623" w:rsidRPr="00F368C8">
        <w:rPr>
          <w:color w:val="FF0000"/>
        </w:rPr>
        <w:t xml:space="preserve"> </w:t>
      </w:r>
    </w:p>
    <w:p w14:paraId="3949A1C4" w14:textId="58CFA675" w:rsidR="00BA0ACD" w:rsidRPr="00F368C8" w:rsidRDefault="00BA0ACD"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p>
    <w:p w14:paraId="3131B092" w14:textId="210D0925" w:rsidR="00BA0ACD" w:rsidRPr="00F368C8" w:rsidRDefault="00BA0ACD"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F368C8">
        <w:t xml:space="preserve">The PST is set out in the regulations made under subsection 4A of the Act. The most recent version of the regulations is the </w:t>
      </w:r>
      <w:r w:rsidRPr="00F368C8">
        <w:rPr>
          <w:i/>
          <w:iCs/>
          <w:color w:val="000000"/>
          <w:shd w:val="clear" w:color="auto" w:fill="FFFFFF"/>
        </w:rPr>
        <w:t>Health Insurance (Pathology Services Table) Regulations 2020</w:t>
      </w:r>
      <w:r w:rsidRPr="00F368C8">
        <w:rPr>
          <w:color w:val="000000"/>
          <w:shd w:val="clear" w:color="auto" w:fill="FFFFFF"/>
        </w:rPr>
        <w:t>.</w:t>
      </w:r>
    </w:p>
    <w:p w14:paraId="2E6FE463" w14:textId="77777777" w:rsidR="00050623" w:rsidRPr="00F368C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5B002666" w:rsidR="00050623" w:rsidRPr="00F368C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368C8">
        <w:t>Th</w:t>
      </w:r>
      <w:r w:rsidR="00BA0ACD" w:rsidRPr="00F368C8">
        <w:t>is</w:t>
      </w:r>
      <w:r w:rsidRPr="00F368C8">
        <w:t xml:space="preserve"> instrument </w:t>
      </w:r>
      <w:r w:rsidR="0073403A" w:rsidRPr="00F368C8">
        <w:t>relies</w:t>
      </w:r>
      <w:r w:rsidRPr="00F368C8">
        <w:t xml:space="preserve"> on subsection 33(3) of the </w:t>
      </w:r>
      <w:r w:rsidRPr="00F368C8">
        <w:rPr>
          <w:i/>
        </w:rPr>
        <w:t>Acts Interpretation Act 1901</w:t>
      </w:r>
      <w:r w:rsidRPr="00F368C8">
        <w:t xml:space="preserve"> (AIA). Subsection 33(3) of the AIA</w:t>
      </w:r>
      <w:r w:rsidRPr="00F368C8">
        <w:rPr>
          <w:i/>
        </w:rPr>
        <w:t xml:space="preserve"> </w:t>
      </w:r>
      <w:r w:rsidRPr="00F368C8">
        <w:t xml:space="preserve">provides that where an Act confers a power to make, grant or issue any instrument of a legislative or administrative character (including rules, </w:t>
      </w:r>
      <w:r w:rsidR="005D6AC4" w:rsidRPr="00F368C8">
        <w:t>regulations,</w:t>
      </w:r>
      <w:r w:rsidRPr="00F368C8">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F368C8" w:rsidRDefault="008C5F1C" w:rsidP="00D33180">
      <w:pPr>
        <w:autoSpaceDE w:val="0"/>
        <w:autoSpaceDN w:val="0"/>
        <w:adjustRightInd w:val="0"/>
        <w:ind w:right="-483"/>
        <w:rPr>
          <w:szCs w:val="24"/>
        </w:rPr>
      </w:pPr>
    </w:p>
    <w:p w14:paraId="2412D12A" w14:textId="77777777" w:rsidR="00BB00BA" w:rsidRPr="00F368C8" w:rsidRDefault="00A1739A" w:rsidP="00BB00BA">
      <w:pPr>
        <w:rPr>
          <w:b/>
          <w:szCs w:val="24"/>
          <w:lang w:val="en-US" w:eastAsia="en-US"/>
        </w:rPr>
      </w:pPr>
      <w:r w:rsidRPr="00F368C8">
        <w:rPr>
          <w:b/>
          <w:szCs w:val="24"/>
          <w:lang w:val="en-US" w:eastAsia="en-US"/>
        </w:rPr>
        <w:t>Purpose</w:t>
      </w:r>
    </w:p>
    <w:p w14:paraId="1A3FD9EA" w14:textId="364F6207" w:rsidR="007918F1" w:rsidRPr="00F368C8" w:rsidRDefault="00C571B1" w:rsidP="007918F1">
      <w:pPr>
        <w:ind w:right="-483"/>
        <w:rPr>
          <w:color w:val="000000"/>
          <w:shd w:val="clear" w:color="auto" w:fill="FFFFFF"/>
        </w:rPr>
      </w:pPr>
      <w:bookmarkStart w:id="1" w:name="_Hlk112935049"/>
      <w:bookmarkStart w:id="2" w:name="_Hlk119588461"/>
      <w:r w:rsidRPr="00F368C8">
        <w:rPr>
          <w:color w:val="000000"/>
          <w:shd w:val="clear" w:color="auto" w:fill="FFFFFF"/>
        </w:rPr>
        <w:t>The purpose of the </w:t>
      </w:r>
      <w:bookmarkStart w:id="3" w:name="_Hlk98405245"/>
      <w:r w:rsidRPr="00F368C8">
        <w:rPr>
          <w:i/>
          <w:iCs/>
          <w:color w:val="000000"/>
          <w:shd w:val="clear" w:color="auto" w:fill="FFFFFF"/>
        </w:rPr>
        <w:t xml:space="preserve">Health Insurance Legislation Amendment (2022 Measures No. </w:t>
      </w:r>
      <w:r w:rsidR="005D6AC4" w:rsidRPr="00F368C8">
        <w:rPr>
          <w:i/>
          <w:iCs/>
          <w:color w:val="000000"/>
          <w:shd w:val="clear" w:color="auto" w:fill="FFFFFF"/>
        </w:rPr>
        <w:t>5</w:t>
      </w:r>
      <w:r w:rsidRPr="00F368C8">
        <w:rPr>
          <w:i/>
          <w:iCs/>
          <w:color w:val="000000"/>
          <w:shd w:val="clear" w:color="auto" w:fill="FFFFFF"/>
        </w:rPr>
        <w:t>) Determination 2022</w:t>
      </w:r>
      <w:bookmarkEnd w:id="3"/>
      <w:r w:rsidRPr="00F368C8">
        <w:rPr>
          <w:color w:val="000000"/>
          <w:shd w:val="clear" w:color="auto" w:fill="FFFFFF"/>
        </w:rPr>
        <w:t> (the Amendment Determination) is to:</w:t>
      </w:r>
    </w:p>
    <w:p w14:paraId="60DADD94" w14:textId="77777777" w:rsidR="005D6AC4" w:rsidRPr="00F368C8" w:rsidRDefault="005D6AC4" w:rsidP="005D6AC4">
      <w:pPr>
        <w:pStyle w:val="ListParagraph"/>
        <w:numPr>
          <w:ilvl w:val="0"/>
          <w:numId w:val="33"/>
        </w:numPr>
        <w:ind w:right="-483"/>
        <w:rPr>
          <w:szCs w:val="24"/>
        </w:rPr>
      </w:pPr>
      <w:bookmarkStart w:id="4" w:name="_Hlk118196893"/>
      <w:bookmarkEnd w:id="1"/>
      <w:r w:rsidRPr="00F368C8">
        <w:rPr>
          <w:szCs w:val="24"/>
        </w:rPr>
        <w:t xml:space="preserve">extend the cessation date for the </w:t>
      </w:r>
      <w:r w:rsidRPr="00F368C8">
        <w:rPr>
          <w:i/>
          <w:iCs/>
          <w:szCs w:val="24"/>
        </w:rPr>
        <w:t>Health Insurance (General Practice COVID-19 Treatment) Determination 2022</w:t>
      </w:r>
      <w:r w:rsidRPr="00F368C8">
        <w:rPr>
          <w:szCs w:val="24"/>
        </w:rPr>
        <w:t xml:space="preserve"> (the COVID-19 Treatment Determination) from </w:t>
      </w:r>
    </w:p>
    <w:p w14:paraId="6FCDFB84" w14:textId="242ED1BF" w:rsidR="00DF6EEE" w:rsidRPr="00F368C8" w:rsidRDefault="005D6AC4" w:rsidP="005D6AC4">
      <w:pPr>
        <w:pStyle w:val="ListParagraph"/>
        <w:ind w:right="-483"/>
        <w:rPr>
          <w:szCs w:val="24"/>
        </w:rPr>
      </w:pPr>
      <w:r w:rsidRPr="00F368C8">
        <w:rPr>
          <w:szCs w:val="24"/>
        </w:rPr>
        <w:t xml:space="preserve">31 December 2022 to 31 </w:t>
      </w:r>
      <w:r w:rsidR="00303D77" w:rsidRPr="00F368C8">
        <w:rPr>
          <w:szCs w:val="24"/>
        </w:rPr>
        <w:t>December</w:t>
      </w:r>
      <w:r w:rsidRPr="00F368C8">
        <w:rPr>
          <w:szCs w:val="24"/>
        </w:rPr>
        <w:t xml:space="preserve"> 2023; </w:t>
      </w:r>
      <w:r w:rsidR="00B75A76" w:rsidRPr="00F368C8">
        <w:rPr>
          <w:szCs w:val="24"/>
        </w:rPr>
        <w:t>and</w:t>
      </w:r>
    </w:p>
    <w:p w14:paraId="3299A5EC" w14:textId="707AA1F1" w:rsidR="005D6AC4" w:rsidRPr="00F368C8" w:rsidRDefault="005D6AC4" w:rsidP="002D03BE">
      <w:pPr>
        <w:pStyle w:val="ListParagraph"/>
        <w:numPr>
          <w:ilvl w:val="0"/>
          <w:numId w:val="33"/>
        </w:numPr>
        <w:ind w:right="-483"/>
        <w:rPr>
          <w:szCs w:val="24"/>
        </w:rPr>
      </w:pPr>
      <w:bookmarkStart w:id="5" w:name="_Hlk118383737"/>
      <w:r w:rsidRPr="00F368C8">
        <w:rPr>
          <w:szCs w:val="24"/>
        </w:rPr>
        <w:t xml:space="preserve">extend the </w:t>
      </w:r>
      <w:r w:rsidRPr="00F368C8">
        <w:rPr>
          <w:i/>
          <w:iCs/>
          <w:szCs w:val="24"/>
        </w:rPr>
        <w:t>Health Insurance (Section 3C Pathology Services – COVID 19) Determination 2020</w:t>
      </w:r>
      <w:r w:rsidRPr="00F368C8">
        <w:rPr>
          <w:szCs w:val="24"/>
        </w:rPr>
        <w:t xml:space="preserve"> (the Pathology COVID-19 Determination) from                      31 December 2022 to 31 </w:t>
      </w:r>
      <w:r w:rsidR="00303D77" w:rsidRPr="00F368C8">
        <w:rPr>
          <w:szCs w:val="24"/>
        </w:rPr>
        <w:t>December</w:t>
      </w:r>
      <w:r w:rsidRPr="00F368C8">
        <w:rPr>
          <w:szCs w:val="24"/>
        </w:rPr>
        <w:t xml:space="preserve"> 2023</w:t>
      </w:r>
      <w:r w:rsidR="00DF6EEE" w:rsidRPr="00F368C8">
        <w:rPr>
          <w:szCs w:val="24"/>
        </w:rPr>
        <w:t xml:space="preserve"> and </w:t>
      </w:r>
      <w:bookmarkStart w:id="6" w:name="_Hlk121125854"/>
      <w:r w:rsidR="00DF6EEE" w:rsidRPr="00F368C8">
        <w:rPr>
          <w:szCs w:val="24"/>
        </w:rPr>
        <w:t xml:space="preserve">remove the </w:t>
      </w:r>
      <w:r w:rsidR="00497DDE" w:rsidRPr="00F368C8">
        <w:rPr>
          <w:szCs w:val="24"/>
        </w:rPr>
        <w:t>requirement that fees charged</w:t>
      </w:r>
      <w:r w:rsidR="008E6921" w:rsidRPr="00F368C8">
        <w:rPr>
          <w:szCs w:val="24"/>
        </w:rPr>
        <w:t xml:space="preserve"> for in-hospital services cannot exceed the </w:t>
      </w:r>
      <w:r w:rsidR="009A44C2" w:rsidRPr="00F368C8">
        <w:rPr>
          <w:szCs w:val="24"/>
        </w:rPr>
        <w:t>s</w:t>
      </w:r>
      <w:r w:rsidR="008E6921" w:rsidRPr="00F368C8">
        <w:rPr>
          <w:szCs w:val="24"/>
        </w:rPr>
        <w:t>chedule fee</w:t>
      </w:r>
      <w:bookmarkEnd w:id="6"/>
      <w:r w:rsidR="008E6921" w:rsidRPr="00F368C8">
        <w:rPr>
          <w:szCs w:val="24"/>
        </w:rPr>
        <w:t>.</w:t>
      </w:r>
      <w:bookmarkEnd w:id="5"/>
    </w:p>
    <w:p w14:paraId="5825FBD3" w14:textId="77777777" w:rsidR="00CD48F8" w:rsidRPr="00F368C8" w:rsidRDefault="00CD48F8" w:rsidP="00CD48F8">
      <w:pPr>
        <w:ind w:right="-483"/>
        <w:rPr>
          <w:szCs w:val="24"/>
        </w:rPr>
      </w:pPr>
    </w:p>
    <w:p w14:paraId="1781402D" w14:textId="12459AF7" w:rsidR="00C52F5A" w:rsidRPr="00F368C8" w:rsidRDefault="00C52F5A" w:rsidP="00F6006F">
      <w:pPr>
        <w:ind w:right="-483"/>
        <w:rPr>
          <w:szCs w:val="24"/>
          <w:u w:val="single"/>
        </w:rPr>
      </w:pPr>
      <w:bookmarkStart w:id="7" w:name="_Hlk120804079"/>
      <w:bookmarkStart w:id="8" w:name="_Hlk112935543"/>
      <w:bookmarkEnd w:id="2"/>
      <w:bookmarkEnd w:id="4"/>
      <w:r w:rsidRPr="00F368C8">
        <w:rPr>
          <w:szCs w:val="24"/>
          <w:u w:val="single"/>
        </w:rPr>
        <w:t xml:space="preserve">Extension of COVID-19 </w:t>
      </w:r>
      <w:r w:rsidR="002E216A" w:rsidRPr="00F368C8">
        <w:rPr>
          <w:szCs w:val="24"/>
          <w:u w:val="single"/>
        </w:rPr>
        <w:t>s</w:t>
      </w:r>
      <w:r w:rsidRPr="00F368C8">
        <w:rPr>
          <w:szCs w:val="24"/>
          <w:u w:val="single"/>
        </w:rPr>
        <w:t>ervices</w:t>
      </w:r>
    </w:p>
    <w:p w14:paraId="5609634E" w14:textId="68DD338C" w:rsidR="002E216A" w:rsidRPr="00F368C8" w:rsidRDefault="004E3B2C" w:rsidP="004E3B2C">
      <w:pPr>
        <w:ind w:right="-483"/>
        <w:rPr>
          <w:shd w:val="clear" w:color="auto" w:fill="FFFFFF"/>
        </w:rPr>
      </w:pPr>
      <w:r w:rsidRPr="00F368C8">
        <w:rPr>
          <w:shd w:val="clear" w:color="auto" w:fill="FFFFFF"/>
        </w:rPr>
        <w:t>Schedule 1 of the Amendment Determination will extend the cessation date for the</w:t>
      </w:r>
      <w:r w:rsidR="00B75A76" w:rsidRPr="00F368C8" w:rsidDel="00B75A76">
        <w:rPr>
          <w:shd w:val="clear" w:color="auto" w:fill="FFFFFF"/>
        </w:rPr>
        <w:t xml:space="preserve"> </w:t>
      </w:r>
      <w:r w:rsidR="00E21D5B" w:rsidRPr="00F368C8">
        <w:rPr>
          <w:shd w:val="clear" w:color="auto" w:fill="FFFFFF"/>
        </w:rPr>
        <w:t xml:space="preserve">COVID-19 Treatment Determination and the </w:t>
      </w:r>
      <w:r w:rsidRPr="00F368C8">
        <w:rPr>
          <w:shd w:val="clear" w:color="auto" w:fill="FFFFFF"/>
        </w:rPr>
        <w:t xml:space="preserve">Pathology COVID-19 Determination </w:t>
      </w:r>
      <w:r w:rsidR="002E216A" w:rsidRPr="00F368C8">
        <w:rPr>
          <w:shd w:val="clear" w:color="auto" w:fill="FFFFFF"/>
        </w:rPr>
        <w:t>to</w:t>
      </w:r>
      <w:r w:rsidR="00E21D5B" w:rsidRPr="00F368C8">
        <w:rPr>
          <w:shd w:val="clear" w:color="auto" w:fill="FFFFFF"/>
        </w:rPr>
        <w:t xml:space="preserve">     </w:t>
      </w:r>
      <w:r w:rsidRPr="00F368C8">
        <w:rPr>
          <w:shd w:val="clear" w:color="auto" w:fill="FFFFFF"/>
        </w:rPr>
        <w:t xml:space="preserve"> 31 </w:t>
      </w:r>
      <w:r w:rsidR="00303D77" w:rsidRPr="00F368C8">
        <w:rPr>
          <w:shd w:val="clear" w:color="auto" w:fill="FFFFFF"/>
        </w:rPr>
        <w:t>December</w:t>
      </w:r>
      <w:r w:rsidR="00D1796F" w:rsidRPr="00F368C8">
        <w:rPr>
          <w:shd w:val="clear" w:color="auto" w:fill="FFFFFF"/>
        </w:rPr>
        <w:t xml:space="preserve"> 2023</w:t>
      </w:r>
      <w:r w:rsidRPr="00F368C8">
        <w:rPr>
          <w:shd w:val="clear" w:color="auto" w:fill="FFFFFF"/>
        </w:rPr>
        <w:t>. The extension of th</w:t>
      </w:r>
      <w:r w:rsidR="009A44C2" w:rsidRPr="00F368C8">
        <w:rPr>
          <w:shd w:val="clear" w:color="auto" w:fill="FFFFFF"/>
        </w:rPr>
        <w:t>ese</w:t>
      </w:r>
      <w:r w:rsidRPr="00F368C8">
        <w:rPr>
          <w:shd w:val="clear" w:color="auto" w:fill="FFFFFF"/>
        </w:rPr>
        <w:t xml:space="preserve"> instrument</w:t>
      </w:r>
      <w:r w:rsidR="009A44C2" w:rsidRPr="00F368C8">
        <w:rPr>
          <w:shd w:val="clear" w:color="auto" w:fill="FFFFFF"/>
        </w:rPr>
        <w:t>s</w:t>
      </w:r>
      <w:r w:rsidRPr="00F368C8">
        <w:rPr>
          <w:shd w:val="clear" w:color="auto" w:fill="FFFFFF"/>
        </w:rPr>
        <w:t xml:space="preserve"> will allow patients to continue to access th</w:t>
      </w:r>
      <w:r w:rsidR="00E21D5B" w:rsidRPr="00F368C8">
        <w:rPr>
          <w:shd w:val="clear" w:color="auto" w:fill="FFFFFF"/>
        </w:rPr>
        <w:t>ese</w:t>
      </w:r>
      <w:r w:rsidRPr="00F368C8">
        <w:rPr>
          <w:shd w:val="clear" w:color="auto" w:fill="FFFFFF"/>
        </w:rPr>
        <w:t xml:space="preserve"> COVID-19 support service</w:t>
      </w:r>
      <w:r w:rsidR="00E21D5B" w:rsidRPr="00F368C8">
        <w:rPr>
          <w:shd w:val="clear" w:color="auto" w:fill="FFFFFF"/>
        </w:rPr>
        <w:t>s</w:t>
      </w:r>
      <w:r w:rsidRPr="00F368C8">
        <w:rPr>
          <w:shd w:val="clear" w:color="auto" w:fill="FFFFFF"/>
        </w:rPr>
        <w:t>.</w:t>
      </w:r>
    </w:p>
    <w:p w14:paraId="1EA3F4B9" w14:textId="77777777" w:rsidR="00101A55" w:rsidRPr="00F368C8" w:rsidRDefault="00101A55" w:rsidP="00F6006F">
      <w:pPr>
        <w:ind w:right="-483"/>
        <w:rPr>
          <w:shd w:val="clear" w:color="auto" w:fill="FFFFFF"/>
        </w:rPr>
      </w:pPr>
    </w:p>
    <w:p w14:paraId="0BE17A7D" w14:textId="0FC22BA3" w:rsidR="00101A55" w:rsidRPr="00F368C8" w:rsidRDefault="00101A55" w:rsidP="00F6006F">
      <w:pPr>
        <w:ind w:right="-483"/>
        <w:rPr>
          <w:szCs w:val="24"/>
          <w:u w:val="single"/>
        </w:rPr>
      </w:pPr>
      <w:bookmarkStart w:id="9" w:name="_Hlk120799395"/>
      <w:r w:rsidRPr="00F368C8">
        <w:rPr>
          <w:u w:val="single"/>
        </w:rPr>
        <w:t>Amendments to pathology COVID-19 services</w:t>
      </w:r>
      <w:r w:rsidRPr="00F368C8" w:rsidDel="002E216A">
        <w:rPr>
          <w:szCs w:val="24"/>
          <w:u w:val="single"/>
        </w:rPr>
        <w:t xml:space="preserve"> </w:t>
      </w:r>
    </w:p>
    <w:p w14:paraId="0C54FB74" w14:textId="77CFD5A2" w:rsidR="00CE682C" w:rsidRPr="00F368C8" w:rsidRDefault="006C7F96" w:rsidP="00501323">
      <w:pPr>
        <w:ind w:right="-483"/>
        <w:rPr>
          <w:rFonts w:cs="Arial"/>
          <w:szCs w:val="24"/>
        </w:rPr>
      </w:pPr>
      <w:r w:rsidRPr="00F368C8">
        <w:rPr>
          <w:szCs w:val="24"/>
        </w:rPr>
        <w:t xml:space="preserve">Schedule 2 of the Amendment Determination will amend four temporary pathology items </w:t>
      </w:r>
      <w:r w:rsidRPr="00F368C8">
        <w:rPr>
          <w:color w:val="000000"/>
          <w:shd w:val="clear" w:color="auto" w:fill="FFFFFF"/>
        </w:rPr>
        <w:t>for testing of COVID-19 and other respiratory pathogens (</w:t>
      </w:r>
      <w:r w:rsidRPr="00F368C8">
        <w:rPr>
          <w:rFonts w:cs="Arial"/>
          <w:szCs w:val="24"/>
        </w:rPr>
        <w:t>69506, 69507, 69511 and 69512)</w:t>
      </w:r>
      <w:r w:rsidRPr="00F368C8">
        <w:rPr>
          <w:color w:val="000000"/>
          <w:shd w:val="clear" w:color="auto" w:fill="FFFFFF"/>
        </w:rPr>
        <w:t xml:space="preserve"> to </w:t>
      </w:r>
      <w:r w:rsidRPr="00F368C8">
        <w:rPr>
          <w:rFonts w:cs="Arial"/>
          <w:szCs w:val="24"/>
        </w:rPr>
        <w:t xml:space="preserve">allow pathology providers to charge fees </w:t>
      </w:r>
      <w:r w:rsidR="002D207F" w:rsidRPr="00F368C8">
        <w:rPr>
          <w:rFonts w:cs="Arial"/>
          <w:szCs w:val="24"/>
        </w:rPr>
        <w:t>more than</w:t>
      </w:r>
      <w:r w:rsidRPr="00F368C8">
        <w:rPr>
          <w:rFonts w:cs="Arial"/>
          <w:szCs w:val="24"/>
        </w:rPr>
        <w:t xml:space="preserve"> the schedule fee for services provided in-hospital under the</w:t>
      </w:r>
      <w:r w:rsidR="008E6921" w:rsidRPr="00F368C8">
        <w:rPr>
          <w:rFonts w:cs="Arial"/>
          <w:szCs w:val="24"/>
        </w:rPr>
        <w:t>se</w:t>
      </w:r>
      <w:r w:rsidRPr="00F368C8">
        <w:rPr>
          <w:rFonts w:cs="Arial"/>
          <w:szCs w:val="24"/>
        </w:rPr>
        <w:t xml:space="preserve"> items</w:t>
      </w:r>
      <w:r w:rsidR="008E6921" w:rsidRPr="00F368C8">
        <w:rPr>
          <w:rFonts w:cs="Arial"/>
          <w:szCs w:val="24"/>
        </w:rPr>
        <w:t xml:space="preserve"> and associated items 69508, 69509, 69510, 69513, </w:t>
      </w:r>
      <w:r w:rsidR="008E6921" w:rsidRPr="00F368C8">
        <w:rPr>
          <w:rFonts w:cs="Arial"/>
          <w:szCs w:val="24"/>
        </w:rPr>
        <w:lastRenderedPageBreak/>
        <w:t>69514 and 69515</w:t>
      </w:r>
      <w:r w:rsidRPr="00F368C8">
        <w:rPr>
          <w:rFonts w:cs="Arial"/>
          <w:szCs w:val="24"/>
        </w:rPr>
        <w:t>.</w:t>
      </w:r>
      <w:r w:rsidR="00016D59" w:rsidRPr="00F368C8">
        <w:rPr>
          <w:rFonts w:cs="Arial"/>
          <w:szCs w:val="24"/>
        </w:rPr>
        <w:t xml:space="preserve"> This change will </w:t>
      </w:r>
      <w:r w:rsidR="002D207F" w:rsidRPr="00F368C8">
        <w:rPr>
          <w:rFonts w:cs="Arial"/>
          <w:szCs w:val="24"/>
        </w:rPr>
        <w:t>align</w:t>
      </w:r>
      <w:r w:rsidR="00016D59" w:rsidRPr="00F368C8">
        <w:rPr>
          <w:rFonts w:cs="Arial"/>
          <w:szCs w:val="24"/>
        </w:rPr>
        <w:t xml:space="preserve"> arrangements for these items with other MBS pathology services delivered in-hospital</w:t>
      </w:r>
      <w:bookmarkEnd w:id="7"/>
      <w:r w:rsidR="00016D59" w:rsidRPr="00F368C8">
        <w:rPr>
          <w:rFonts w:cs="Arial"/>
          <w:szCs w:val="24"/>
        </w:rPr>
        <w:t xml:space="preserve">. </w:t>
      </w:r>
      <w:bookmarkEnd w:id="9"/>
    </w:p>
    <w:bookmarkEnd w:id="8"/>
    <w:p w14:paraId="79057F80" w14:textId="4B5522DE" w:rsidR="008E6921" w:rsidRPr="00F368C8" w:rsidRDefault="00A1739A" w:rsidP="00D338B1">
      <w:pPr>
        <w:shd w:val="clear" w:color="auto" w:fill="FFFFFF"/>
        <w:spacing w:before="100" w:beforeAutospacing="1"/>
        <w:rPr>
          <w:szCs w:val="24"/>
        </w:rPr>
      </w:pPr>
      <w:r w:rsidRPr="00F368C8">
        <w:rPr>
          <w:b/>
        </w:rPr>
        <w:t>Consultation</w:t>
      </w:r>
    </w:p>
    <w:p w14:paraId="57830E55" w14:textId="5BF48412" w:rsidR="005C73D0" w:rsidRPr="00F368C8" w:rsidRDefault="003A1CF0" w:rsidP="00F6006F">
      <w:pPr>
        <w:rPr>
          <w:szCs w:val="24"/>
        </w:rPr>
      </w:pPr>
      <w:r w:rsidRPr="00F368C8">
        <w:rPr>
          <w:bCs/>
          <w:iCs/>
          <w:szCs w:val="24"/>
        </w:rPr>
        <w:t xml:space="preserve">On 12 December 2022, the Minister for Health and Aged Care, the Hon Mark Butler MP, announced </w:t>
      </w:r>
      <w:r w:rsidR="005C73D0" w:rsidRPr="00F368C8">
        <w:rPr>
          <w:bCs/>
          <w:iCs/>
          <w:szCs w:val="24"/>
        </w:rPr>
        <w:t xml:space="preserve">the extension to the cessation date for the </w:t>
      </w:r>
      <w:r w:rsidR="005C73D0" w:rsidRPr="00F368C8">
        <w:rPr>
          <w:shd w:val="clear" w:color="auto" w:fill="FFFFFF"/>
        </w:rPr>
        <w:t>COVID-19 Treatment Determination</w:t>
      </w:r>
      <w:r w:rsidRPr="00F368C8">
        <w:rPr>
          <w:shd w:val="clear" w:color="auto" w:fill="FFFFFF"/>
        </w:rPr>
        <w:t xml:space="preserve"> and the Pathology COVID-19 Determination</w:t>
      </w:r>
      <w:r w:rsidR="005C73D0" w:rsidRPr="00F368C8">
        <w:rPr>
          <w:bCs/>
          <w:iCs/>
          <w:szCs w:val="24"/>
        </w:rPr>
        <w:t xml:space="preserve">. The extension will </w:t>
      </w:r>
      <w:r w:rsidR="005C73D0" w:rsidRPr="00F368C8">
        <w:rPr>
          <w:szCs w:val="24"/>
        </w:rPr>
        <w:t xml:space="preserve">ensure patients continue to have access </w:t>
      </w:r>
      <w:r w:rsidRPr="00F368C8">
        <w:rPr>
          <w:szCs w:val="24"/>
        </w:rPr>
        <w:t xml:space="preserve">to </w:t>
      </w:r>
      <w:r w:rsidR="005C73D0" w:rsidRPr="00F368C8">
        <w:rPr>
          <w:szCs w:val="24"/>
        </w:rPr>
        <w:t>COVID-19 support services and will provide service providers with certainty about support provision.</w:t>
      </w:r>
    </w:p>
    <w:p w14:paraId="29417D07" w14:textId="77777777" w:rsidR="005C73D0" w:rsidRPr="00F368C8" w:rsidRDefault="005C73D0" w:rsidP="00F6006F">
      <w:pPr>
        <w:rPr>
          <w:szCs w:val="24"/>
        </w:rPr>
      </w:pPr>
    </w:p>
    <w:p w14:paraId="7D7F59AB" w14:textId="6A03A7AB" w:rsidR="00A958A4" w:rsidRPr="00F368C8" w:rsidRDefault="008E6921" w:rsidP="00F6006F">
      <w:pPr>
        <w:rPr>
          <w:szCs w:val="24"/>
        </w:rPr>
      </w:pPr>
      <w:r w:rsidRPr="00F368C8">
        <w:rPr>
          <w:szCs w:val="24"/>
        </w:rPr>
        <w:t>Consultation was undertaken with pathology peak bodies, the Royal College of Pathologists of Australasia, Australian Pathology and Public Pathology Australia</w:t>
      </w:r>
      <w:r w:rsidR="0043291C" w:rsidRPr="00F368C8">
        <w:rPr>
          <w:szCs w:val="24"/>
        </w:rPr>
        <w:t>,</w:t>
      </w:r>
      <w:r w:rsidRPr="00F368C8">
        <w:rPr>
          <w:szCs w:val="24"/>
        </w:rPr>
        <w:t xml:space="preserve"> regarding </w:t>
      </w:r>
      <w:r w:rsidR="003A1CF0" w:rsidRPr="00F368C8">
        <w:rPr>
          <w:szCs w:val="24"/>
        </w:rPr>
        <w:t xml:space="preserve">the change to charging arrangements for the </w:t>
      </w:r>
      <w:r w:rsidRPr="00F368C8">
        <w:rPr>
          <w:szCs w:val="24"/>
        </w:rPr>
        <w:t>temporary</w:t>
      </w:r>
      <w:r w:rsidR="003A1CF0" w:rsidRPr="00F368C8">
        <w:rPr>
          <w:szCs w:val="24"/>
        </w:rPr>
        <w:t xml:space="preserve"> in-hospital</w:t>
      </w:r>
      <w:r w:rsidRPr="00F368C8">
        <w:rPr>
          <w:szCs w:val="24"/>
        </w:rPr>
        <w:t xml:space="preserve"> pathology items for COVID-19 </w:t>
      </w:r>
      <w:r w:rsidR="003A1CF0" w:rsidRPr="00F368C8">
        <w:rPr>
          <w:szCs w:val="24"/>
        </w:rPr>
        <w:t xml:space="preserve">testing </w:t>
      </w:r>
      <w:r w:rsidRPr="00F368C8">
        <w:rPr>
          <w:szCs w:val="24"/>
        </w:rPr>
        <w:t>and other respiratory pathogens.</w:t>
      </w:r>
    </w:p>
    <w:p w14:paraId="02264A85" w14:textId="77777777" w:rsidR="007708B3" w:rsidRPr="00F368C8" w:rsidRDefault="007708B3" w:rsidP="002806A1">
      <w:pPr>
        <w:shd w:val="clear" w:color="auto" w:fill="FFFFFF"/>
        <w:rPr>
          <w:color w:val="000000"/>
          <w:szCs w:val="24"/>
        </w:rPr>
      </w:pPr>
    </w:p>
    <w:p w14:paraId="2412D134" w14:textId="52653E96" w:rsidR="00967E51" w:rsidRPr="00F368C8" w:rsidRDefault="00A1739A" w:rsidP="000337CB">
      <w:pPr>
        <w:rPr>
          <w:szCs w:val="24"/>
        </w:rPr>
      </w:pPr>
      <w:r w:rsidRPr="00F368C8">
        <w:rPr>
          <w:szCs w:val="24"/>
        </w:rPr>
        <w:t xml:space="preserve">Details of the </w:t>
      </w:r>
      <w:r w:rsidR="00C571B1" w:rsidRPr="00F368C8">
        <w:rPr>
          <w:szCs w:val="24"/>
        </w:rPr>
        <w:t xml:space="preserve">Amendment </w:t>
      </w:r>
      <w:r w:rsidR="00574E71" w:rsidRPr="00F368C8">
        <w:rPr>
          <w:szCs w:val="24"/>
        </w:rPr>
        <w:t>Determination</w:t>
      </w:r>
      <w:r w:rsidRPr="00F368C8">
        <w:rPr>
          <w:szCs w:val="24"/>
        </w:rPr>
        <w:t xml:space="preserve"> are set out in the </w:t>
      </w:r>
      <w:r w:rsidRPr="00F368C8">
        <w:rPr>
          <w:szCs w:val="24"/>
          <w:u w:val="single"/>
        </w:rPr>
        <w:t>Attachment</w:t>
      </w:r>
      <w:r w:rsidR="004E3B2C" w:rsidRPr="00F368C8">
        <w:rPr>
          <w:szCs w:val="24"/>
          <w:u w:val="single"/>
        </w:rPr>
        <w:t xml:space="preserve"> </w:t>
      </w:r>
      <w:r w:rsidR="004E3B2C" w:rsidRPr="00F368C8">
        <w:rPr>
          <w:szCs w:val="24"/>
        </w:rPr>
        <w:t>below</w:t>
      </w:r>
      <w:r w:rsidRPr="00F368C8">
        <w:rPr>
          <w:szCs w:val="24"/>
        </w:rPr>
        <w:t>.</w:t>
      </w:r>
    </w:p>
    <w:p w14:paraId="2412D136" w14:textId="4553C253" w:rsidR="00236DF2" w:rsidRPr="00F368C8" w:rsidRDefault="00C52F5A" w:rsidP="004E3B2C">
      <w:pPr>
        <w:tabs>
          <w:tab w:val="left" w:pos="567"/>
        </w:tabs>
        <w:spacing w:before="240"/>
        <w:rPr>
          <w:szCs w:val="24"/>
        </w:rPr>
      </w:pPr>
      <w:r w:rsidRPr="00F368C8">
        <w:rPr>
          <w:szCs w:val="24"/>
        </w:rPr>
        <w:t>Schedule 1 of t</w:t>
      </w:r>
      <w:r w:rsidR="00297AD0" w:rsidRPr="00F368C8">
        <w:rPr>
          <w:szCs w:val="24"/>
        </w:rPr>
        <w:t xml:space="preserve">he </w:t>
      </w:r>
      <w:r w:rsidR="00C571B1" w:rsidRPr="00F368C8">
        <w:rPr>
          <w:szCs w:val="24"/>
        </w:rPr>
        <w:t xml:space="preserve">Amendment </w:t>
      </w:r>
      <w:r w:rsidR="00967E51" w:rsidRPr="00F368C8">
        <w:rPr>
          <w:szCs w:val="24"/>
        </w:rPr>
        <w:t>Determination</w:t>
      </w:r>
      <w:r w:rsidR="00297AD0" w:rsidRPr="00F368C8">
        <w:rPr>
          <w:szCs w:val="24"/>
        </w:rPr>
        <w:t xml:space="preserve"> </w:t>
      </w:r>
      <w:r w:rsidR="007524B0" w:rsidRPr="00F368C8">
        <w:rPr>
          <w:szCs w:val="24"/>
        </w:rPr>
        <w:t>commence</w:t>
      </w:r>
      <w:r w:rsidR="002E216A" w:rsidRPr="00F368C8">
        <w:rPr>
          <w:szCs w:val="24"/>
        </w:rPr>
        <w:t>s</w:t>
      </w:r>
      <w:r w:rsidR="007524B0" w:rsidRPr="00F368C8">
        <w:rPr>
          <w:szCs w:val="24"/>
        </w:rPr>
        <w:t xml:space="preserve"> </w:t>
      </w:r>
      <w:r w:rsidR="00C63FDC" w:rsidRPr="00F368C8">
        <w:rPr>
          <w:szCs w:val="24"/>
        </w:rPr>
        <w:t xml:space="preserve">on </w:t>
      </w:r>
      <w:r w:rsidR="00303D77" w:rsidRPr="00F368C8">
        <w:rPr>
          <w:szCs w:val="24"/>
        </w:rPr>
        <w:t>31 December 2022</w:t>
      </w:r>
      <w:r w:rsidR="002E216A" w:rsidRPr="00F368C8">
        <w:rPr>
          <w:szCs w:val="24"/>
        </w:rPr>
        <w:t xml:space="preserve"> and </w:t>
      </w:r>
      <w:r w:rsidR="00DF6EEE" w:rsidRPr="00F368C8">
        <w:rPr>
          <w:szCs w:val="24"/>
        </w:rPr>
        <w:t>Schedule 2 of the Amendment Determination commence</w:t>
      </w:r>
      <w:r w:rsidR="002E216A" w:rsidRPr="00F368C8">
        <w:rPr>
          <w:szCs w:val="24"/>
        </w:rPr>
        <w:t>s on</w:t>
      </w:r>
      <w:r w:rsidR="00DF6EEE" w:rsidRPr="00F368C8">
        <w:rPr>
          <w:szCs w:val="24"/>
        </w:rPr>
        <w:t xml:space="preserve"> 1 January 2023.</w:t>
      </w:r>
      <w:r w:rsidRPr="00F368C8">
        <w:rPr>
          <w:szCs w:val="24"/>
        </w:rPr>
        <w:br/>
      </w:r>
    </w:p>
    <w:p w14:paraId="2412D139" w14:textId="5358CC50" w:rsidR="00A1739A" w:rsidRPr="00F368C8" w:rsidRDefault="0002728B" w:rsidP="007918F1">
      <w:pPr>
        <w:spacing w:after="200" w:line="276" w:lineRule="auto"/>
        <w:rPr>
          <w:szCs w:val="24"/>
        </w:rPr>
      </w:pPr>
      <w:r w:rsidRPr="00F368C8">
        <w:rPr>
          <w:szCs w:val="24"/>
        </w:rPr>
        <w:t>T</w:t>
      </w:r>
      <w:r w:rsidR="00574E71" w:rsidRPr="00F368C8">
        <w:rPr>
          <w:szCs w:val="24"/>
        </w:rPr>
        <w:t xml:space="preserve">he </w:t>
      </w:r>
      <w:r w:rsidR="00C571B1" w:rsidRPr="00F368C8">
        <w:rPr>
          <w:szCs w:val="24"/>
        </w:rPr>
        <w:t xml:space="preserve">Amendment </w:t>
      </w:r>
      <w:r w:rsidR="00574E71" w:rsidRPr="00F368C8">
        <w:rPr>
          <w:szCs w:val="24"/>
        </w:rPr>
        <w:t xml:space="preserve">Determination is </w:t>
      </w:r>
      <w:r w:rsidR="004417A2" w:rsidRPr="00F368C8">
        <w:rPr>
          <w:szCs w:val="24"/>
        </w:rPr>
        <w:t xml:space="preserve">a </w:t>
      </w:r>
      <w:r w:rsidR="00574E71" w:rsidRPr="00F368C8">
        <w:rPr>
          <w:szCs w:val="24"/>
        </w:rPr>
        <w:t xml:space="preserve">legislative instrument for the purposes of the </w:t>
      </w:r>
      <w:r w:rsidR="00574E71" w:rsidRPr="00F368C8">
        <w:rPr>
          <w:i/>
        </w:rPr>
        <w:t>Legislation Act 2003</w:t>
      </w:r>
      <w:r w:rsidR="00574E71" w:rsidRPr="00F368C8">
        <w:rPr>
          <w:szCs w:val="24"/>
        </w:rPr>
        <w:t>.</w:t>
      </w:r>
      <w:r w:rsidR="00A1739A" w:rsidRPr="00F368C8">
        <w:rPr>
          <w:szCs w:val="24"/>
        </w:rPr>
        <w:t xml:space="preserve">        </w:t>
      </w:r>
    </w:p>
    <w:p w14:paraId="2412D13A" w14:textId="77777777" w:rsidR="00A1739A" w:rsidRPr="00F368C8" w:rsidRDefault="00A1739A" w:rsidP="000337CB">
      <w:pPr>
        <w:ind w:left="6663" w:hanging="3119"/>
        <w:rPr>
          <w:szCs w:val="24"/>
        </w:rPr>
      </w:pPr>
      <w:r w:rsidRPr="00F368C8">
        <w:rPr>
          <w:szCs w:val="24"/>
          <w:u w:val="single"/>
        </w:rPr>
        <w:t>Authority</w:t>
      </w:r>
      <w:r w:rsidR="00967E51" w:rsidRPr="00F368C8">
        <w:rPr>
          <w:szCs w:val="24"/>
        </w:rPr>
        <w:t xml:space="preserve">:     Subsection </w:t>
      </w:r>
      <w:r w:rsidRPr="00F368C8">
        <w:rPr>
          <w:szCs w:val="24"/>
        </w:rPr>
        <w:t>3</w:t>
      </w:r>
      <w:proofErr w:type="gramStart"/>
      <w:r w:rsidR="00967E51" w:rsidRPr="00F368C8">
        <w:rPr>
          <w:szCs w:val="24"/>
        </w:rPr>
        <w:t>C</w:t>
      </w:r>
      <w:r w:rsidRPr="00F368C8">
        <w:rPr>
          <w:szCs w:val="24"/>
        </w:rPr>
        <w:t>(</w:t>
      </w:r>
      <w:proofErr w:type="gramEnd"/>
      <w:r w:rsidRPr="00F368C8">
        <w:rPr>
          <w:szCs w:val="24"/>
        </w:rPr>
        <w:t xml:space="preserve">1) of the </w:t>
      </w:r>
    </w:p>
    <w:p w14:paraId="2412D13B" w14:textId="0596CD30" w:rsidR="00A1739A" w:rsidRPr="00F368C8" w:rsidRDefault="00A1739A" w:rsidP="000337CB">
      <w:pPr>
        <w:tabs>
          <w:tab w:val="left" w:pos="4820"/>
        </w:tabs>
        <w:rPr>
          <w:szCs w:val="24"/>
        </w:rPr>
        <w:sectPr w:rsidR="00A1739A" w:rsidRPr="00F368C8" w:rsidSect="00235B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135" w:left="1800" w:header="708" w:footer="708" w:gutter="0"/>
          <w:pgNumType w:start="1"/>
          <w:cols w:space="708"/>
          <w:docGrid w:linePitch="360"/>
        </w:sectPr>
      </w:pPr>
      <w:r w:rsidRPr="00F368C8">
        <w:rPr>
          <w:i/>
          <w:szCs w:val="24"/>
        </w:rPr>
        <w:tab/>
        <w:t>Health Insurance Act 1973</w:t>
      </w:r>
    </w:p>
    <w:p w14:paraId="2412D13D" w14:textId="77777777" w:rsidR="006D5816" w:rsidRPr="00F368C8" w:rsidRDefault="006D5816" w:rsidP="000337CB">
      <w:pPr>
        <w:pStyle w:val="BodyText"/>
        <w:jc w:val="right"/>
        <w:rPr>
          <w:szCs w:val="24"/>
        </w:rPr>
      </w:pPr>
      <w:r w:rsidRPr="00F368C8">
        <w:rPr>
          <w:szCs w:val="24"/>
        </w:rPr>
        <w:lastRenderedPageBreak/>
        <w:t>ATTACHMENT</w:t>
      </w:r>
    </w:p>
    <w:p w14:paraId="2412D13E" w14:textId="77777777" w:rsidR="006D5816" w:rsidRPr="00F368C8" w:rsidRDefault="006D5816" w:rsidP="000337CB">
      <w:pPr>
        <w:pStyle w:val="BodyText"/>
        <w:rPr>
          <w:szCs w:val="24"/>
          <w:u w:val="single"/>
        </w:rPr>
      </w:pPr>
    </w:p>
    <w:p w14:paraId="5B0C808A" w14:textId="662991E1" w:rsidR="00215191" w:rsidRPr="00F368C8" w:rsidRDefault="00A41364" w:rsidP="00186752">
      <w:pPr>
        <w:pStyle w:val="BodyText"/>
        <w:rPr>
          <w:i/>
          <w:iCs/>
          <w:color w:val="FF0000"/>
        </w:rPr>
      </w:pPr>
      <w:r w:rsidRPr="00F368C8">
        <w:rPr>
          <w:szCs w:val="24"/>
        </w:rPr>
        <w:t xml:space="preserve">Details of the </w:t>
      </w:r>
      <w:r w:rsidR="00C571B1" w:rsidRPr="00F368C8">
        <w:rPr>
          <w:i/>
          <w:iCs/>
          <w:color w:val="000000"/>
          <w:shd w:val="clear" w:color="auto" w:fill="FFFFFF"/>
        </w:rPr>
        <w:t xml:space="preserve">Health Insurance Legislation Amendment (2022 Measures No. </w:t>
      </w:r>
      <w:r w:rsidR="004E3B2C" w:rsidRPr="00F368C8">
        <w:rPr>
          <w:i/>
          <w:iCs/>
          <w:color w:val="000000"/>
          <w:shd w:val="clear" w:color="auto" w:fill="FFFFFF"/>
        </w:rPr>
        <w:t>5</w:t>
      </w:r>
      <w:r w:rsidR="00C571B1" w:rsidRPr="00F368C8">
        <w:rPr>
          <w:i/>
          <w:iCs/>
          <w:color w:val="000000"/>
          <w:shd w:val="clear" w:color="auto" w:fill="FFFFFF"/>
        </w:rPr>
        <w:t>) Determination 2022</w:t>
      </w:r>
    </w:p>
    <w:p w14:paraId="7BBEB147" w14:textId="720F9678" w:rsidR="00E70355" w:rsidRPr="00F368C8" w:rsidRDefault="00E70355" w:rsidP="000337CB">
      <w:pPr>
        <w:pStyle w:val="BodyText"/>
        <w:rPr>
          <w:b w:val="0"/>
          <w:i/>
          <w:szCs w:val="24"/>
        </w:rPr>
      </w:pPr>
    </w:p>
    <w:p w14:paraId="2412D141" w14:textId="7C34D5F4" w:rsidR="00FE02C2" w:rsidRPr="00F368C8" w:rsidRDefault="001B0111" w:rsidP="000337CB">
      <w:pPr>
        <w:pStyle w:val="BodyText"/>
        <w:rPr>
          <w:b w:val="0"/>
          <w:szCs w:val="24"/>
          <w:u w:val="single"/>
        </w:rPr>
      </w:pPr>
      <w:r w:rsidRPr="00F368C8">
        <w:rPr>
          <w:b w:val="0"/>
          <w:szCs w:val="24"/>
          <w:u w:val="single"/>
        </w:rPr>
        <w:t>Section 1 – Name</w:t>
      </w:r>
    </w:p>
    <w:p w14:paraId="2412D142" w14:textId="77777777" w:rsidR="00FE02C2" w:rsidRPr="00F368C8" w:rsidRDefault="00FE02C2" w:rsidP="000337CB">
      <w:pPr>
        <w:pStyle w:val="BodyText"/>
        <w:rPr>
          <w:b w:val="0"/>
          <w:szCs w:val="24"/>
          <w:u w:val="single"/>
        </w:rPr>
      </w:pPr>
    </w:p>
    <w:p w14:paraId="2412D144" w14:textId="43ADA4F8" w:rsidR="00F83B6F" w:rsidRPr="00F368C8" w:rsidRDefault="00BC7397" w:rsidP="00C67BC7">
      <w:pPr>
        <w:pStyle w:val="BodyText"/>
        <w:rPr>
          <w:color w:val="FF0000"/>
        </w:rPr>
      </w:pPr>
      <w:r w:rsidRPr="00F368C8">
        <w:rPr>
          <w:b w:val="0"/>
          <w:szCs w:val="24"/>
        </w:rPr>
        <w:t>S</w:t>
      </w:r>
      <w:r w:rsidR="00FE02C2" w:rsidRPr="00F368C8">
        <w:rPr>
          <w:b w:val="0"/>
          <w:szCs w:val="24"/>
        </w:rPr>
        <w:t xml:space="preserve">ection </w:t>
      </w:r>
      <w:r w:rsidRPr="00F368C8">
        <w:rPr>
          <w:b w:val="0"/>
          <w:szCs w:val="24"/>
        </w:rPr>
        <w:t xml:space="preserve">1 </w:t>
      </w:r>
      <w:r w:rsidR="00FE02C2" w:rsidRPr="00F368C8">
        <w:rPr>
          <w:b w:val="0"/>
          <w:szCs w:val="24"/>
        </w:rPr>
        <w:t>provides</w:t>
      </w:r>
      <w:r w:rsidR="008B683E" w:rsidRPr="00F368C8">
        <w:rPr>
          <w:b w:val="0"/>
          <w:szCs w:val="24"/>
        </w:rPr>
        <w:t xml:space="preserve"> for the </w:t>
      </w:r>
      <w:r w:rsidR="00C571B1" w:rsidRPr="00F368C8">
        <w:rPr>
          <w:b w:val="0"/>
          <w:szCs w:val="24"/>
        </w:rPr>
        <w:t xml:space="preserve">Amendment </w:t>
      </w:r>
      <w:r w:rsidR="008B2094" w:rsidRPr="00F368C8">
        <w:rPr>
          <w:b w:val="0"/>
          <w:szCs w:val="24"/>
        </w:rPr>
        <w:t>Determination</w:t>
      </w:r>
      <w:r w:rsidR="00FE02C2" w:rsidRPr="00F368C8">
        <w:rPr>
          <w:b w:val="0"/>
          <w:szCs w:val="24"/>
        </w:rPr>
        <w:t xml:space="preserve"> to be referred to as the </w:t>
      </w:r>
      <w:bookmarkStart w:id="10" w:name="_Hlk118196549"/>
      <w:r w:rsidR="00C571B1" w:rsidRPr="00F368C8">
        <w:rPr>
          <w:b w:val="0"/>
          <w:i/>
          <w:iCs/>
          <w:szCs w:val="24"/>
        </w:rPr>
        <w:t xml:space="preserve">Health Insurance Legislation Amendment (2022 Measures No. </w:t>
      </w:r>
      <w:r w:rsidR="004E3B2C" w:rsidRPr="00F368C8">
        <w:rPr>
          <w:b w:val="0"/>
          <w:i/>
          <w:iCs/>
          <w:szCs w:val="24"/>
        </w:rPr>
        <w:t>5</w:t>
      </w:r>
      <w:r w:rsidR="00C571B1" w:rsidRPr="00F368C8">
        <w:rPr>
          <w:b w:val="0"/>
          <w:i/>
          <w:iCs/>
          <w:szCs w:val="24"/>
        </w:rPr>
        <w:t>) Determination 2022</w:t>
      </w:r>
      <w:r w:rsidR="00C571B1" w:rsidRPr="00F368C8">
        <w:rPr>
          <w:b w:val="0"/>
          <w:szCs w:val="24"/>
        </w:rPr>
        <w:t>.</w:t>
      </w:r>
      <w:bookmarkEnd w:id="10"/>
    </w:p>
    <w:p w14:paraId="68DAA207" w14:textId="77777777" w:rsidR="00FD602D" w:rsidRPr="00F368C8" w:rsidRDefault="00FD602D" w:rsidP="00FD602D"/>
    <w:p w14:paraId="49D1E050" w14:textId="77777777" w:rsidR="007A4089" w:rsidRPr="00F368C8" w:rsidRDefault="00FE02C2" w:rsidP="000337CB">
      <w:pPr>
        <w:pStyle w:val="BodyText"/>
        <w:rPr>
          <w:b w:val="0"/>
          <w:szCs w:val="24"/>
          <w:u w:val="single"/>
        </w:rPr>
      </w:pPr>
      <w:r w:rsidRPr="00F368C8">
        <w:rPr>
          <w:b w:val="0"/>
          <w:szCs w:val="24"/>
          <w:u w:val="single"/>
        </w:rPr>
        <w:t xml:space="preserve">Section 2 – Commencement </w:t>
      </w:r>
    </w:p>
    <w:p w14:paraId="2DCE2ED0" w14:textId="77777777" w:rsidR="007A4089" w:rsidRPr="00F368C8" w:rsidRDefault="007A4089" w:rsidP="000337CB">
      <w:pPr>
        <w:pStyle w:val="BodyText"/>
        <w:rPr>
          <w:b w:val="0"/>
          <w:szCs w:val="24"/>
          <w:u w:val="single"/>
        </w:rPr>
      </w:pPr>
    </w:p>
    <w:p w14:paraId="2412D148" w14:textId="00D31D63" w:rsidR="00510A4F" w:rsidRPr="00F368C8" w:rsidRDefault="00510A4F" w:rsidP="000337CB">
      <w:pPr>
        <w:pStyle w:val="BodyText"/>
        <w:rPr>
          <w:b w:val="0"/>
          <w:color w:val="FF0000"/>
          <w:szCs w:val="24"/>
        </w:rPr>
      </w:pPr>
      <w:r w:rsidRPr="00F368C8">
        <w:rPr>
          <w:b w:val="0"/>
          <w:szCs w:val="24"/>
        </w:rPr>
        <w:t xml:space="preserve">Section 2 </w:t>
      </w:r>
      <w:r w:rsidR="00404F11" w:rsidRPr="00F368C8">
        <w:rPr>
          <w:b w:val="0"/>
          <w:szCs w:val="24"/>
        </w:rPr>
        <w:t xml:space="preserve">provides that </w:t>
      </w:r>
      <w:r w:rsidR="00917921" w:rsidRPr="00F368C8">
        <w:rPr>
          <w:b w:val="0"/>
          <w:szCs w:val="24"/>
        </w:rPr>
        <w:t xml:space="preserve">Sections 1 to 4 and </w:t>
      </w:r>
      <w:r w:rsidR="00C52F5A" w:rsidRPr="00F368C8">
        <w:rPr>
          <w:b w:val="0"/>
          <w:szCs w:val="24"/>
        </w:rPr>
        <w:t xml:space="preserve">Schedule 1 of the Amendment Determination </w:t>
      </w:r>
      <w:r w:rsidR="00303D77" w:rsidRPr="00F368C8">
        <w:rPr>
          <w:b w:val="0"/>
          <w:szCs w:val="24"/>
        </w:rPr>
        <w:t xml:space="preserve">will </w:t>
      </w:r>
      <w:r w:rsidR="00C52F5A" w:rsidRPr="00F368C8">
        <w:rPr>
          <w:b w:val="0"/>
          <w:szCs w:val="24"/>
        </w:rPr>
        <w:t xml:space="preserve">commence on </w:t>
      </w:r>
      <w:r w:rsidR="00303D77" w:rsidRPr="00F368C8">
        <w:rPr>
          <w:b w:val="0"/>
          <w:szCs w:val="24"/>
        </w:rPr>
        <w:t>31 December 2022</w:t>
      </w:r>
      <w:r w:rsidR="00130ABE" w:rsidRPr="00F368C8">
        <w:rPr>
          <w:b w:val="0"/>
          <w:szCs w:val="24"/>
        </w:rPr>
        <w:t xml:space="preserve"> and Schedule 2 will commence on 1 January 2023</w:t>
      </w:r>
      <w:r w:rsidR="004E3B2C" w:rsidRPr="00F368C8">
        <w:rPr>
          <w:b w:val="0"/>
          <w:szCs w:val="24"/>
        </w:rPr>
        <w:t>.</w:t>
      </w:r>
      <w:r w:rsidR="00C63FDC" w:rsidRPr="00F368C8">
        <w:rPr>
          <w:b w:val="0"/>
          <w:szCs w:val="24"/>
        </w:rPr>
        <w:t xml:space="preserve"> </w:t>
      </w:r>
    </w:p>
    <w:p w14:paraId="16C03200" w14:textId="77777777" w:rsidR="007E0017" w:rsidRPr="00F368C8" w:rsidRDefault="007E0017" w:rsidP="000337CB">
      <w:pPr>
        <w:pStyle w:val="BodyText"/>
        <w:rPr>
          <w:b w:val="0"/>
          <w:szCs w:val="24"/>
        </w:rPr>
      </w:pPr>
    </w:p>
    <w:p w14:paraId="005D5660" w14:textId="77777777" w:rsidR="007A4089" w:rsidRPr="00F368C8" w:rsidRDefault="00FE02C2" w:rsidP="000337CB">
      <w:pPr>
        <w:pStyle w:val="BodyText"/>
        <w:rPr>
          <w:b w:val="0"/>
          <w:szCs w:val="24"/>
          <w:u w:val="single"/>
        </w:rPr>
      </w:pPr>
      <w:r w:rsidRPr="00F368C8">
        <w:rPr>
          <w:b w:val="0"/>
          <w:szCs w:val="24"/>
          <w:u w:val="single"/>
        </w:rPr>
        <w:t xml:space="preserve">Section 3 – </w:t>
      </w:r>
      <w:r w:rsidR="00E5798A" w:rsidRPr="00F368C8">
        <w:rPr>
          <w:b w:val="0"/>
          <w:szCs w:val="24"/>
          <w:u w:val="single"/>
        </w:rPr>
        <w:t>Authority</w:t>
      </w:r>
    </w:p>
    <w:p w14:paraId="53BFA098" w14:textId="77777777" w:rsidR="007A4089" w:rsidRPr="00F368C8" w:rsidRDefault="007A4089" w:rsidP="000337CB">
      <w:pPr>
        <w:pStyle w:val="BodyText"/>
        <w:rPr>
          <w:b w:val="0"/>
          <w:szCs w:val="24"/>
          <w:u w:val="single"/>
        </w:rPr>
      </w:pPr>
    </w:p>
    <w:p w14:paraId="2412D14B" w14:textId="77AA5E7A" w:rsidR="00FE02C2" w:rsidRPr="00F368C8" w:rsidRDefault="00F83B6F" w:rsidP="000337CB">
      <w:pPr>
        <w:pStyle w:val="BodyText"/>
        <w:rPr>
          <w:b w:val="0"/>
        </w:rPr>
      </w:pPr>
      <w:r w:rsidRPr="00F368C8">
        <w:rPr>
          <w:b w:val="0"/>
        </w:rPr>
        <w:t xml:space="preserve">Section 3 provides that the </w:t>
      </w:r>
      <w:r w:rsidR="00C571B1" w:rsidRPr="00F368C8">
        <w:rPr>
          <w:b w:val="0"/>
        </w:rPr>
        <w:t xml:space="preserve">Amendment </w:t>
      </w:r>
      <w:r w:rsidR="008B2094" w:rsidRPr="00F368C8">
        <w:rPr>
          <w:b w:val="0"/>
          <w:szCs w:val="24"/>
        </w:rPr>
        <w:t xml:space="preserve">Determination </w:t>
      </w:r>
      <w:r w:rsidR="00E5798A" w:rsidRPr="00F368C8">
        <w:rPr>
          <w:b w:val="0"/>
        </w:rPr>
        <w:t xml:space="preserve">is made under </w:t>
      </w:r>
      <w:r w:rsidR="00367440" w:rsidRPr="00F368C8">
        <w:rPr>
          <w:b w:val="0"/>
        </w:rPr>
        <w:t xml:space="preserve">subsection </w:t>
      </w:r>
      <w:r w:rsidR="00E5798A" w:rsidRPr="00F368C8">
        <w:rPr>
          <w:b w:val="0"/>
        </w:rPr>
        <w:t>3</w:t>
      </w:r>
      <w:proofErr w:type="gramStart"/>
      <w:r w:rsidR="00E5798A" w:rsidRPr="00F368C8">
        <w:rPr>
          <w:b w:val="0"/>
        </w:rPr>
        <w:t>C(</w:t>
      </w:r>
      <w:proofErr w:type="gramEnd"/>
      <w:r w:rsidR="00E5798A" w:rsidRPr="00F368C8">
        <w:rPr>
          <w:b w:val="0"/>
        </w:rPr>
        <w:t xml:space="preserve">1) of the </w:t>
      </w:r>
      <w:r w:rsidR="00E5798A" w:rsidRPr="00F368C8">
        <w:rPr>
          <w:b w:val="0"/>
          <w:i/>
        </w:rPr>
        <w:t>Health Insurance Act 1973</w:t>
      </w:r>
      <w:r w:rsidR="00E5798A" w:rsidRPr="00F368C8">
        <w:rPr>
          <w:b w:val="0"/>
        </w:rPr>
        <w:t>.</w:t>
      </w:r>
    </w:p>
    <w:p w14:paraId="0DBF1241" w14:textId="77777777" w:rsidR="00E70355" w:rsidRPr="00F368C8" w:rsidRDefault="00E70355" w:rsidP="000337CB">
      <w:pPr>
        <w:pStyle w:val="BodyText"/>
        <w:rPr>
          <w:b w:val="0"/>
        </w:rPr>
      </w:pPr>
    </w:p>
    <w:p w14:paraId="20CBF84A" w14:textId="77777777" w:rsidR="00C63FDC" w:rsidRPr="00F368C8" w:rsidRDefault="00C63FDC" w:rsidP="00C63FDC">
      <w:pPr>
        <w:pStyle w:val="BodyText"/>
        <w:rPr>
          <w:b w:val="0"/>
          <w:szCs w:val="24"/>
          <w:u w:val="single"/>
        </w:rPr>
      </w:pPr>
      <w:r w:rsidRPr="00F368C8">
        <w:rPr>
          <w:b w:val="0"/>
          <w:szCs w:val="24"/>
          <w:u w:val="single"/>
        </w:rPr>
        <w:t>Section 4 – Schedules</w:t>
      </w:r>
    </w:p>
    <w:p w14:paraId="4C010161" w14:textId="77777777" w:rsidR="00C63FDC" w:rsidRPr="00F368C8" w:rsidRDefault="00C63FDC" w:rsidP="00C63FDC">
      <w:pPr>
        <w:pStyle w:val="BodyText"/>
        <w:rPr>
          <w:b w:val="0"/>
          <w:szCs w:val="24"/>
          <w:u w:val="single"/>
        </w:rPr>
      </w:pPr>
    </w:p>
    <w:p w14:paraId="5D9EBF8D" w14:textId="2A7CCCBF" w:rsidR="00C63FDC" w:rsidRPr="00F368C8" w:rsidRDefault="00C63FDC" w:rsidP="00C63FDC">
      <w:pPr>
        <w:pStyle w:val="BodyText"/>
        <w:rPr>
          <w:b w:val="0"/>
          <w:szCs w:val="24"/>
        </w:rPr>
      </w:pPr>
      <w:r w:rsidRPr="00F368C8">
        <w:rPr>
          <w:b w:val="0"/>
          <w:szCs w:val="24"/>
        </w:rPr>
        <w:t xml:space="preserve">Section 4 provides that each instrument that is specified in a Schedule to this </w:t>
      </w:r>
      <w:r w:rsidR="00C571B1" w:rsidRPr="00F368C8">
        <w:rPr>
          <w:b w:val="0"/>
          <w:szCs w:val="24"/>
        </w:rPr>
        <w:t xml:space="preserve">Amendment </w:t>
      </w:r>
      <w:r w:rsidRPr="00F368C8">
        <w:rPr>
          <w:b w:val="0"/>
          <w:szCs w:val="24"/>
        </w:rPr>
        <w:t xml:space="preserve">Determination is amended or repealed as set out in the applicable items in the Schedule concerned, and any other item in a Schedule to this </w:t>
      </w:r>
      <w:r w:rsidR="00C571B1" w:rsidRPr="00F368C8">
        <w:rPr>
          <w:b w:val="0"/>
          <w:szCs w:val="24"/>
        </w:rPr>
        <w:t xml:space="preserve">Amendment </w:t>
      </w:r>
      <w:r w:rsidRPr="00F368C8">
        <w:rPr>
          <w:b w:val="0"/>
          <w:szCs w:val="24"/>
        </w:rPr>
        <w:t>Determination has effect according to its terms.</w:t>
      </w:r>
    </w:p>
    <w:p w14:paraId="17D2CF69" w14:textId="77777777" w:rsidR="007E0017" w:rsidRPr="00F368C8" w:rsidRDefault="007E0017" w:rsidP="00404F11">
      <w:pPr>
        <w:pStyle w:val="BodyText"/>
        <w:rPr>
          <w:b w:val="0"/>
          <w:szCs w:val="24"/>
        </w:rPr>
      </w:pPr>
    </w:p>
    <w:p w14:paraId="4202927E" w14:textId="2E6FACE0" w:rsidR="00C52F5A" w:rsidRPr="00F368C8" w:rsidRDefault="00C63FDC" w:rsidP="00C63FDC">
      <w:pPr>
        <w:pStyle w:val="Header"/>
        <w:tabs>
          <w:tab w:val="num" w:pos="1080"/>
        </w:tabs>
        <w:rPr>
          <w:szCs w:val="24"/>
          <w:u w:val="single"/>
        </w:rPr>
      </w:pPr>
      <w:r w:rsidRPr="00F368C8">
        <w:rPr>
          <w:szCs w:val="24"/>
          <w:u w:val="single"/>
        </w:rPr>
        <w:t xml:space="preserve">Schedule 1 – </w:t>
      </w:r>
      <w:r w:rsidR="00C52F5A" w:rsidRPr="00F368C8">
        <w:rPr>
          <w:szCs w:val="24"/>
          <w:u w:val="single"/>
        </w:rPr>
        <w:t>Extension of COVID-19 services</w:t>
      </w:r>
    </w:p>
    <w:p w14:paraId="786CF823" w14:textId="77777777" w:rsidR="003A31DB" w:rsidRPr="00F368C8" w:rsidRDefault="003A31DB" w:rsidP="004E3B2C">
      <w:pPr>
        <w:pStyle w:val="Header"/>
        <w:rPr>
          <w:i/>
          <w:iCs/>
        </w:rPr>
      </w:pPr>
    </w:p>
    <w:p w14:paraId="681B0037" w14:textId="19660875" w:rsidR="003A31DB" w:rsidRPr="00F368C8" w:rsidRDefault="003A31DB" w:rsidP="004E3B2C">
      <w:pPr>
        <w:pStyle w:val="Header"/>
        <w:rPr>
          <w:iCs/>
        </w:rPr>
      </w:pPr>
      <w:r w:rsidRPr="00F368C8">
        <w:rPr>
          <w:i/>
          <w:iCs/>
        </w:rPr>
        <w:t>Health Insurance (General Practice COVID-19 Treatment) Determination 2022</w:t>
      </w:r>
      <w:r w:rsidRPr="00F368C8">
        <w:rPr>
          <w:iCs/>
        </w:rPr>
        <w:t xml:space="preserve"> (COVID-19 Treatment Determination)</w:t>
      </w:r>
    </w:p>
    <w:p w14:paraId="7D29FEE9" w14:textId="77777777" w:rsidR="003A31DB" w:rsidRPr="00F368C8" w:rsidRDefault="003A31DB" w:rsidP="003A31DB">
      <w:pPr>
        <w:pStyle w:val="Header"/>
        <w:rPr>
          <w:i/>
          <w:iCs/>
        </w:rPr>
      </w:pPr>
    </w:p>
    <w:p w14:paraId="7FF8425C" w14:textId="7216C9C4" w:rsidR="003A31DB" w:rsidRPr="00F368C8" w:rsidRDefault="003A31DB" w:rsidP="003A31DB">
      <w:pPr>
        <w:pStyle w:val="Header"/>
      </w:pPr>
      <w:r w:rsidRPr="00F368C8">
        <w:rPr>
          <w:i/>
          <w:iCs/>
        </w:rPr>
        <w:t>Health Insurance (Section 3C Pathology Services – COVID‑19) Determination 2020</w:t>
      </w:r>
      <w:r w:rsidRPr="00F368C8">
        <w:rPr>
          <w:iCs/>
        </w:rPr>
        <w:t xml:space="preserve"> (</w:t>
      </w:r>
      <w:r w:rsidRPr="00F368C8">
        <w:rPr>
          <w:shd w:val="clear" w:color="auto" w:fill="FFFFFF"/>
        </w:rPr>
        <w:t>Pathology COVID-19 Determination)</w:t>
      </w:r>
    </w:p>
    <w:p w14:paraId="1D544619" w14:textId="77777777" w:rsidR="004E3B2C" w:rsidRPr="00F368C8" w:rsidRDefault="004E3B2C" w:rsidP="004E3B2C">
      <w:pPr>
        <w:pStyle w:val="Header"/>
        <w:rPr>
          <w:iCs/>
        </w:rPr>
      </w:pPr>
    </w:p>
    <w:p w14:paraId="0EDC2C72" w14:textId="157361C4" w:rsidR="004E3B2C" w:rsidRPr="00F368C8" w:rsidRDefault="004E3B2C" w:rsidP="004E3B2C">
      <w:pPr>
        <w:pStyle w:val="Header"/>
        <w:rPr>
          <w:b/>
          <w:bCs/>
          <w:i/>
          <w:iCs/>
        </w:rPr>
      </w:pPr>
      <w:r w:rsidRPr="00F368C8">
        <w:rPr>
          <w:b/>
          <w:bCs/>
          <w:iCs/>
        </w:rPr>
        <w:t xml:space="preserve">Amendment item </w:t>
      </w:r>
      <w:r w:rsidR="00E60599" w:rsidRPr="00F368C8">
        <w:rPr>
          <w:b/>
          <w:bCs/>
          <w:iCs/>
        </w:rPr>
        <w:t>1</w:t>
      </w:r>
      <w:r w:rsidRPr="00F368C8">
        <w:rPr>
          <w:iCs/>
        </w:rPr>
        <w:t xml:space="preserve"> amends section 4 to extend the cessation date of the COVID-19 Treatment Determination from 31 December 2022 to 31 </w:t>
      </w:r>
      <w:r w:rsidR="00303D77" w:rsidRPr="00F368C8">
        <w:rPr>
          <w:iCs/>
        </w:rPr>
        <w:t>December</w:t>
      </w:r>
      <w:r w:rsidRPr="00F368C8">
        <w:rPr>
          <w:iCs/>
        </w:rPr>
        <w:t xml:space="preserve"> 2023.</w:t>
      </w:r>
    </w:p>
    <w:p w14:paraId="5AB90A6C" w14:textId="77777777" w:rsidR="00DF6EEE" w:rsidRPr="00F368C8" w:rsidRDefault="00DF6EEE" w:rsidP="00DF6EEE">
      <w:pPr>
        <w:pStyle w:val="Header"/>
        <w:rPr>
          <w:b/>
          <w:bCs/>
        </w:rPr>
      </w:pPr>
    </w:p>
    <w:p w14:paraId="221C115C" w14:textId="504A2803" w:rsidR="00DF6EEE" w:rsidRPr="00F368C8" w:rsidRDefault="00DF6EEE" w:rsidP="00DF6EEE">
      <w:pPr>
        <w:pStyle w:val="Header"/>
        <w:tabs>
          <w:tab w:val="num" w:pos="1080"/>
        </w:tabs>
        <w:rPr>
          <w:shd w:val="clear" w:color="auto" w:fill="FFFFFF"/>
        </w:rPr>
      </w:pPr>
      <w:r w:rsidRPr="00F368C8">
        <w:rPr>
          <w:b/>
          <w:bCs/>
          <w:iCs/>
        </w:rPr>
        <w:t xml:space="preserve">Amendment item </w:t>
      </w:r>
      <w:r w:rsidR="00B75A76" w:rsidRPr="00F368C8">
        <w:rPr>
          <w:b/>
          <w:bCs/>
          <w:iCs/>
        </w:rPr>
        <w:t>2</w:t>
      </w:r>
      <w:r w:rsidRPr="00F368C8">
        <w:rPr>
          <w:iCs/>
        </w:rPr>
        <w:t xml:space="preserve"> amends section 3</w:t>
      </w:r>
      <w:r w:rsidRPr="00F368C8">
        <w:rPr>
          <w:shd w:val="clear" w:color="auto" w:fill="FFFFFF"/>
        </w:rPr>
        <w:t xml:space="preserve"> to extend the cessation date of </w:t>
      </w:r>
      <w:r w:rsidRPr="00F368C8">
        <w:rPr>
          <w:rFonts w:cs="Arial"/>
          <w:lang w:eastAsia="en-US"/>
        </w:rPr>
        <w:t xml:space="preserve">the </w:t>
      </w:r>
      <w:r w:rsidRPr="00F368C8">
        <w:rPr>
          <w:shd w:val="clear" w:color="auto" w:fill="FFFFFF"/>
        </w:rPr>
        <w:t>Pathology COVID-19 Determination from 31 December 2022 to 31 December 2023.</w:t>
      </w:r>
    </w:p>
    <w:p w14:paraId="11C6419B" w14:textId="77777777" w:rsidR="00130ABE" w:rsidRPr="00F368C8" w:rsidRDefault="00130ABE" w:rsidP="00DF6EEE">
      <w:pPr>
        <w:pStyle w:val="Header"/>
        <w:tabs>
          <w:tab w:val="num" w:pos="1080"/>
        </w:tabs>
        <w:rPr>
          <w:shd w:val="clear" w:color="auto" w:fill="FFFFFF"/>
        </w:rPr>
      </w:pPr>
    </w:p>
    <w:p w14:paraId="3EB81D9A" w14:textId="4768B194" w:rsidR="00DF6EEE" w:rsidRPr="00F368C8" w:rsidRDefault="00DF6EEE" w:rsidP="00DF6EEE">
      <w:pPr>
        <w:pStyle w:val="Header"/>
        <w:tabs>
          <w:tab w:val="num" w:pos="1080"/>
        </w:tabs>
        <w:rPr>
          <w:iCs/>
          <w:u w:val="single"/>
          <w:shd w:val="clear" w:color="auto" w:fill="FFFFFF"/>
        </w:rPr>
      </w:pPr>
      <w:r w:rsidRPr="00F368C8">
        <w:rPr>
          <w:u w:val="single"/>
          <w:shd w:val="clear" w:color="auto" w:fill="FFFFFF"/>
        </w:rPr>
        <w:t xml:space="preserve">Schedule 2 – </w:t>
      </w:r>
      <w:r w:rsidR="004B5740" w:rsidRPr="00F368C8">
        <w:rPr>
          <w:u w:val="single"/>
          <w:shd w:val="clear" w:color="auto" w:fill="FFFFFF"/>
        </w:rPr>
        <w:t>Amendments to pathology COVID-19 services</w:t>
      </w:r>
      <w:r w:rsidR="004B5740" w:rsidRPr="00F368C8" w:rsidDel="004B5740">
        <w:rPr>
          <w:u w:val="single"/>
          <w:shd w:val="clear" w:color="auto" w:fill="FFFFFF"/>
        </w:rPr>
        <w:t xml:space="preserve"> </w:t>
      </w:r>
    </w:p>
    <w:p w14:paraId="38546B52" w14:textId="2F73963C" w:rsidR="00DF6EEE" w:rsidRPr="00F368C8" w:rsidRDefault="00DF6EEE" w:rsidP="00DF6EEE">
      <w:pPr>
        <w:pStyle w:val="Header"/>
        <w:rPr>
          <w:b/>
          <w:shd w:val="clear" w:color="auto" w:fill="FFFFFF"/>
        </w:rPr>
      </w:pPr>
    </w:p>
    <w:p w14:paraId="00575989" w14:textId="3212992A" w:rsidR="005B0D0F" w:rsidRPr="00F368C8" w:rsidRDefault="005B0D0F" w:rsidP="00DF6EEE">
      <w:pPr>
        <w:pStyle w:val="Header"/>
        <w:rPr>
          <w:b/>
          <w:shd w:val="clear" w:color="auto" w:fill="FFFFFF"/>
        </w:rPr>
      </w:pPr>
      <w:r w:rsidRPr="00F368C8">
        <w:rPr>
          <w:i/>
          <w:iCs/>
        </w:rPr>
        <w:t>Health Insurance (Section 3C Pathology Services – COVID‑19) Determination 2020</w:t>
      </w:r>
      <w:r w:rsidRPr="00F368C8">
        <w:rPr>
          <w:iCs/>
        </w:rPr>
        <w:t xml:space="preserve"> (</w:t>
      </w:r>
      <w:r w:rsidRPr="00F368C8">
        <w:rPr>
          <w:shd w:val="clear" w:color="auto" w:fill="FFFFFF"/>
        </w:rPr>
        <w:t>Pathology COVID-19 Determination)</w:t>
      </w:r>
    </w:p>
    <w:p w14:paraId="281B03F5" w14:textId="77777777" w:rsidR="005B0D0F" w:rsidRPr="00F368C8" w:rsidRDefault="005B0D0F" w:rsidP="00DF6EEE">
      <w:pPr>
        <w:pStyle w:val="Header"/>
        <w:rPr>
          <w:b/>
          <w:shd w:val="clear" w:color="auto" w:fill="FFFFFF"/>
        </w:rPr>
      </w:pPr>
    </w:p>
    <w:p w14:paraId="596719C3" w14:textId="4C0A0ED7" w:rsidR="0043291C" w:rsidRPr="00F368C8" w:rsidRDefault="008029D6" w:rsidP="0043291C">
      <w:pPr>
        <w:ind w:right="-483"/>
        <w:rPr>
          <w:szCs w:val="24"/>
          <w:u w:val="single"/>
        </w:rPr>
      </w:pPr>
      <w:r w:rsidRPr="00F368C8">
        <w:rPr>
          <w:b/>
          <w:bCs/>
          <w:shd w:val="clear" w:color="auto" w:fill="FFFFFF"/>
        </w:rPr>
        <w:t>Am</w:t>
      </w:r>
      <w:r w:rsidR="005B0D0F" w:rsidRPr="00F368C8">
        <w:rPr>
          <w:b/>
          <w:bCs/>
          <w:shd w:val="clear" w:color="auto" w:fill="FFFFFF"/>
        </w:rPr>
        <w:t>endment item 1</w:t>
      </w:r>
      <w:r w:rsidR="005B0D0F" w:rsidRPr="00F368C8">
        <w:rPr>
          <w:shd w:val="clear" w:color="auto" w:fill="FFFFFF"/>
        </w:rPr>
        <w:t xml:space="preserve"> amends </w:t>
      </w:r>
      <w:r w:rsidR="005B0D0F" w:rsidRPr="00F368C8">
        <w:rPr>
          <w:rFonts w:cs="Arial"/>
          <w:szCs w:val="24"/>
        </w:rPr>
        <w:t xml:space="preserve">items 69506, 69507, 69511 and 69512 to allow pathology providers to charge fees </w:t>
      </w:r>
      <w:proofErr w:type="gramStart"/>
      <w:r w:rsidR="005B0D0F" w:rsidRPr="00F368C8">
        <w:rPr>
          <w:rFonts w:cs="Arial"/>
          <w:szCs w:val="24"/>
        </w:rPr>
        <w:t>in excess of</w:t>
      </w:r>
      <w:proofErr w:type="gramEnd"/>
      <w:r w:rsidR="005B0D0F" w:rsidRPr="00F368C8">
        <w:rPr>
          <w:rFonts w:cs="Arial"/>
          <w:szCs w:val="24"/>
        </w:rPr>
        <w:t xml:space="preserve"> the schedule fee for services provided in-hospital under these items</w:t>
      </w:r>
      <w:r w:rsidR="0043291C" w:rsidRPr="00F368C8">
        <w:rPr>
          <w:rFonts w:cs="Arial"/>
          <w:szCs w:val="24"/>
        </w:rPr>
        <w:t xml:space="preserve"> and associated items 69508, 69509, 69510, 69513, 69514 and 69515.</w:t>
      </w:r>
    </w:p>
    <w:p w14:paraId="19A6027B" w14:textId="38E8338F" w:rsidR="00DF6EEE" w:rsidRPr="00F368C8" w:rsidRDefault="00DF6EEE" w:rsidP="00DF6EEE">
      <w:pPr>
        <w:pStyle w:val="Header"/>
        <w:rPr>
          <w:shd w:val="clear" w:color="auto" w:fill="FFFFFF"/>
        </w:rPr>
      </w:pPr>
    </w:p>
    <w:p w14:paraId="2412D14E" w14:textId="2EF1FA9B" w:rsidR="00A17F2C" w:rsidRPr="00F368C8" w:rsidRDefault="00B75A76" w:rsidP="00D338B1">
      <w:pPr>
        <w:spacing w:after="200" w:line="276" w:lineRule="auto"/>
        <w:rPr>
          <w:b/>
          <w:sz w:val="28"/>
          <w:szCs w:val="28"/>
        </w:rPr>
      </w:pPr>
      <w:r w:rsidRPr="00F368C8">
        <w:rPr>
          <w:b/>
          <w:sz w:val="28"/>
          <w:szCs w:val="28"/>
        </w:rPr>
        <w:lastRenderedPageBreak/>
        <w:t xml:space="preserve">                         </w:t>
      </w:r>
      <w:r w:rsidR="00A17F2C" w:rsidRPr="00F368C8">
        <w:rPr>
          <w:b/>
          <w:sz w:val="28"/>
          <w:szCs w:val="28"/>
        </w:rPr>
        <w:t>Statement of Compatibility with Human Rights</w:t>
      </w:r>
    </w:p>
    <w:p w14:paraId="2412D14F" w14:textId="77777777" w:rsidR="00A17F2C" w:rsidRPr="00F368C8" w:rsidRDefault="00A17F2C" w:rsidP="000337CB">
      <w:pPr>
        <w:spacing w:before="120" w:after="120"/>
        <w:jc w:val="center"/>
        <w:rPr>
          <w:szCs w:val="24"/>
        </w:rPr>
      </w:pPr>
      <w:r w:rsidRPr="00F368C8">
        <w:rPr>
          <w:i/>
          <w:szCs w:val="24"/>
        </w:rPr>
        <w:t>Prepared in accordance with Part 3 of the Human Rights (Parliamentary Scrutiny) Act 2011</w:t>
      </w:r>
    </w:p>
    <w:p w14:paraId="751DE726" w14:textId="77777777" w:rsidR="002A6C77" w:rsidRPr="00F368C8" w:rsidRDefault="002A6C77" w:rsidP="000337CB">
      <w:pPr>
        <w:tabs>
          <w:tab w:val="left" w:pos="1418"/>
        </w:tabs>
        <w:ind w:left="851"/>
        <w:jc w:val="center"/>
        <w:rPr>
          <w:b/>
          <w:i/>
          <w:iCs/>
        </w:rPr>
      </w:pPr>
    </w:p>
    <w:p w14:paraId="3A52A4B2" w14:textId="73246DA1" w:rsidR="00C6094D" w:rsidRPr="00F368C8" w:rsidRDefault="00440D49" w:rsidP="007708B3">
      <w:pPr>
        <w:tabs>
          <w:tab w:val="left" w:pos="1418"/>
        </w:tabs>
        <w:jc w:val="center"/>
        <w:rPr>
          <w:iCs/>
          <w:color w:val="FF0000"/>
        </w:rPr>
      </w:pPr>
      <w:r w:rsidRPr="00F368C8">
        <w:rPr>
          <w:i/>
          <w:iCs/>
        </w:rPr>
        <w:t xml:space="preserve">Health Insurance Legislation Amendment (2022 Measures No. </w:t>
      </w:r>
      <w:r w:rsidR="00D1796F" w:rsidRPr="00F368C8">
        <w:rPr>
          <w:i/>
          <w:iCs/>
        </w:rPr>
        <w:t>5</w:t>
      </w:r>
      <w:r w:rsidRPr="00F368C8">
        <w:rPr>
          <w:i/>
          <w:iCs/>
        </w:rPr>
        <w:t>) Determination 2022</w:t>
      </w:r>
    </w:p>
    <w:p w14:paraId="1BF56C38" w14:textId="77777777" w:rsidR="007708B3" w:rsidRPr="00F368C8" w:rsidRDefault="007708B3" w:rsidP="000337CB">
      <w:pPr>
        <w:tabs>
          <w:tab w:val="left" w:pos="1418"/>
        </w:tabs>
        <w:ind w:left="851"/>
        <w:jc w:val="center"/>
        <w:rPr>
          <w:b/>
          <w:i/>
          <w:szCs w:val="24"/>
        </w:rPr>
      </w:pPr>
    </w:p>
    <w:p w14:paraId="2412D153" w14:textId="7AFD921D" w:rsidR="00A17F2C" w:rsidRPr="00F368C8" w:rsidRDefault="00A17F2C" w:rsidP="000337CB">
      <w:pPr>
        <w:jc w:val="center"/>
        <w:rPr>
          <w:szCs w:val="24"/>
        </w:rPr>
      </w:pPr>
      <w:r w:rsidRPr="00F368C8">
        <w:rPr>
          <w:szCs w:val="24"/>
        </w:rPr>
        <w:t xml:space="preserve">This </w:t>
      </w:r>
      <w:r w:rsidR="0046022A" w:rsidRPr="00F368C8">
        <w:rPr>
          <w:szCs w:val="24"/>
        </w:rPr>
        <w:t>instrument</w:t>
      </w:r>
      <w:r w:rsidRPr="00F368C8">
        <w:rPr>
          <w:szCs w:val="24"/>
        </w:rPr>
        <w:t xml:space="preserve"> is compatible with the human rights and freedoms recognised or declared in the international instruments listed in section 3 of the </w:t>
      </w:r>
      <w:r w:rsidRPr="00F368C8">
        <w:rPr>
          <w:i/>
          <w:szCs w:val="24"/>
        </w:rPr>
        <w:t>Human Rights (Parliamentary Scrutiny) Act 2011</w:t>
      </w:r>
      <w:r w:rsidRPr="00F368C8">
        <w:rPr>
          <w:szCs w:val="24"/>
        </w:rPr>
        <w:t>.</w:t>
      </w:r>
    </w:p>
    <w:p w14:paraId="7EDA9098" w14:textId="306A78E1" w:rsidR="006E6BBF" w:rsidRPr="00F368C8" w:rsidRDefault="006E6BBF" w:rsidP="008734F5">
      <w:pPr>
        <w:spacing w:before="120" w:after="120"/>
        <w:rPr>
          <w:b/>
          <w:szCs w:val="24"/>
        </w:rPr>
      </w:pPr>
      <w:r w:rsidRPr="00F368C8">
        <w:rPr>
          <w:b/>
          <w:szCs w:val="24"/>
        </w:rPr>
        <w:t xml:space="preserve">Overview of the </w:t>
      </w:r>
      <w:r w:rsidR="00B86A9F" w:rsidRPr="00F368C8">
        <w:rPr>
          <w:b/>
          <w:szCs w:val="24"/>
        </w:rPr>
        <w:t>Determination</w:t>
      </w:r>
    </w:p>
    <w:p w14:paraId="07CDE86F" w14:textId="77777777" w:rsidR="00D338B1" w:rsidRPr="00F368C8" w:rsidRDefault="00D338B1" w:rsidP="00D338B1">
      <w:pPr>
        <w:ind w:right="-483"/>
        <w:rPr>
          <w:color w:val="000000"/>
          <w:shd w:val="clear" w:color="auto" w:fill="FFFFFF"/>
        </w:rPr>
      </w:pPr>
      <w:r w:rsidRPr="00F368C8">
        <w:rPr>
          <w:color w:val="000000"/>
          <w:shd w:val="clear" w:color="auto" w:fill="FFFFFF"/>
        </w:rPr>
        <w:t>The purpose of the </w:t>
      </w:r>
      <w:r w:rsidRPr="00F368C8">
        <w:rPr>
          <w:i/>
          <w:iCs/>
          <w:color w:val="000000"/>
          <w:shd w:val="clear" w:color="auto" w:fill="FFFFFF"/>
        </w:rPr>
        <w:t>Health Insurance Legislation Amendment (2022 Measures No. 5) Determination 2022</w:t>
      </w:r>
      <w:r w:rsidRPr="00F368C8">
        <w:rPr>
          <w:color w:val="000000"/>
          <w:shd w:val="clear" w:color="auto" w:fill="FFFFFF"/>
        </w:rPr>
        <w:t> (the Amendment Determination) is to:</w:t>
      </w:r>
    </w:p>
    <w:p w14:paraId="015A95F0" w14:textId="77777777" w:rsidR="00D338B1" w:rsidRPr="00F368C8" w:rsidRDefault="00D338B1" w:rsidP="00D338B1">
      <w:pPr>
        <w:pStyle w:val="ListParagraph"/>
        <w:numPr>
          <w:ilvl w:val="0"/>
          <w:numId w:val="33"/>
        </w:numPr>
        <w:ind w:right="-483"/>
        <w:rPr>
          <w:szCs w:val="24"/>
        </w:rPr>
      </w:pPr>
      <w:r w:rsidRPr="00F368C8">
        <w:rPr>
          <w:szCs w:val="24"/>
        </w:rPr>
        <w:t xml:space="preserve">extend the cessation date for the </w:t>
      </w:r>
      <w:r w:rsidRPr="00F368C8">
        <w:rPr>
          <w:i/>
          <w:iCs/>
          <w:szCs w:val="24"/>
        </w:rPr>
        <w:t>Health Insurance (General Practice COVID-19 Treatment) Determination 2022</w:t>
      </w:r>
      <w:r w:rsidRPr="00F368C8">
        <w:rPr>
          <w:szCs w:val="24"/>
        </w:rPr>
        <w:t xml:space="preserve"> (the COVID-19 Treatment Determination) from </w:t>
      </w:r>
    </w:p>
    <w:p w14:paraId="0B36C0BA" w14:textId="77777777" w:rsidR="00D338B1" w:rsidRPr="00F368C8" w:rsidRDefault="00D338B1" w:rsidP="00D338B1">
      <w:pPr>
        <w:pStyle w:val="ListParagraph"/>
        <w:ind w:right="-483"/>
        <w:rPr>
          <w:szCs w:val="24"/>
        </w:rPr>
      </w:pPr>
      <w:r w:rsidRPr="00F368C8">
        <w:rPr>
          <w:szCs w:val="24"/>
        </w:rPr>
        <w:t>31 December 2022 to 31 December 2023; and</w:t>
      </w:r>
    </w:p>
    <w:p w14:paraId="4E8C5D50" w14:textId="69BDA49A" w:rsidR="00D338B1" w:rsidRPr="00F368C8" w:rsidRDefault="00D338B1" w:rsidP="00D338B1">
      <w:pPr>
        <w:pStyle w:val="ListParagraph"/>
        <w:numPr>
          <w:ilvl w:val="0"/>
          <w:numId w:val="33"/>
        </w:numPr>
        <w:ind w:right="-483"/>
        <w:rPr>
          <w:szCs w:val="24"/>
        </w:rPr>
      </w:pPr>
      <w:r w:rsidRPr="00F368C8">
        <w:rPr>
          <w:szCs w:val="24"/>
        </w:rPr>
        <w:t xml:space="preserve">extend the </w:t>
      </w:r>
      <w:r w:rsidRPr="00F368C8">
        <w:rPr>
          <w:i/>
          <w:iCs/>
          <w:szCs w:val="24"/>
        </w:rPr>
        <w:t>Health Insurance (Section 3C Pathology Services – COVID 19) Determination 2020</w:t>
      </w:r>
      <w:r w:rsidRPr="00F368C8">
        <w:rPr>
          <w:szCs w:val="24"/>
        </w:rPr>
        <w:t xml:space="preserve"> (the Pathology COVID-19 Determination) from</w:t>
      </w:r>
      <w:r w:rsidR="00701493" w:rsidRPr="00F368C8">
        <w:rPr>
          <w:szCs w:val="24"/>
        </w:rPr>
        <w:t xml:space="preserve"> </w:t>
      </w:r>
      <w:r w:rsidRPr="00F368C8">
        <w:rPr>
          <w:szCs w:val="24"/>
        </w:rPr>
        <w:t xml:space="preserve">31 December 2022 to </w:t>
      </w:r>
      <w:r w:rsidR="00701493" w:rsidRPr="00F368C8">
        <w:rPr>
          <w:szCs w:val="24"/>
        </w:rPr>
        <w:br/>
      </w:r>
      <w:r w:rsidRPr="00F368C8">
        <w:rPr>
          <w:szCs w:val="24"/>
        </w:rPr>
        <w:t>31 December 2023 and remove the requirement that fees charged for in-hospital services cannot exceed the schedule fee.</w:t>
      </w:r>
    </w:p>
    <w:p w14:paraId="79E49ED0" w14:textId="77777777" w:rsidR="00D338B1" w:rsidRPr="00F368C8" w:rsidRDefault="00D338B1" w:rsidP="00D338B1">
      <w:pPr>
        <w:ind w:right="-483"/>
        <w:rPr>
          <w:szCs w:val="24"/>
        </w:rPr>
      </w:pPr>
    </w:p>
    <w:p w14:paraId="52AD8480" w14:textId="77777777" w:rsidR="00D338B1" w:rsidRPr="00F368C8" w:rsidRDefault="00D338B1" w:rsidP="00D338B1">
      <w:pPr>
        <w:ind w:right="-483"/>
        <w:rPr>
          <w:szCs w:val="24"/>
          <w:u w:val="single"/>
        </w:rPr>
      </w:pPr>
      <w:r w:rsidRPr="00F368C8">
        <w:rPr>
          <w:szCs w:val="24"/>
          <w:u w:val="single"/>
        </w:rPr>
        <w:t>Extension of COVID-19 services</w:t>
      </w:r>
    </w:p>
    <w:p w14:paraId="65C114EA" w14:textId="090F6405" w:rsidR="00D338B1" w:rsidRPr="00F368C8" w:rsidRDefault="00D338B1" w:rsidP="00D338B1">
      <w:pPr>
        <w:ind w:right="-483"/>
        <w:rPr>
          <w:shd w:val="clear" w:color="auto" w:fill="FFFFFF"/>
        </w:rPr>
      </w:pPr>
      <w:r w:rsidRPr="00F368C8">
        <w:rPr>
          <w:shd w:val="clear" w:color="auto" w:fill="FFFFFF"/>
        </w:rPr>
        <w:t>Schedule 1 of the Amendment Determination will extend the cessation date for the</w:t>
      </w:r>
      <w:r w:rsidRPr="00F368C8" w:rsidDel="00B75A76">
        <w:rPr>
          <w:shd w:val="clear" w:color="auto" w:fill="FFFFFF"/>
        </w:rPr>
        <w:t xml:space="preserve"> </w:t>
      </w:r>
      <w:r w:rsidRPr="00F368C8">
        <w:rPr>
          <w:shd w:val="clear" w:color="auto" w:fill="FFFFFF"/>
        </w:rPr>
        <w:t>COVID-19 Treatment Determination and the Pathology COVID-19 Determination to 31 December 2023. The extension of these instruments will allow patients to continue to access these COVID-19 support services.</w:t>
      </w:r>
    </w:p>
    <w:p w14:paraId="3B4C3CDC" w14:textId="77777777" w:rsidR="00D338B1" w:rsidRPr="00F368C8" w:rsidRDefault="00D338B1" w:rsidP="00D338B1">
      <w:pPr>
        <w:ind w:right="-483"/>
        <w:rPr>
          <w:shd w:val="clear" w:color="auto" w:fill="FFFFFF"/>
        </w:rPr>
      </w:pPr>
    </w:p>
    <w:p w14:paraId="76C79451" w14:textId="77777777" w:rsidR="00D338B1" w:rsidRPr="00F368C8" w:rsidRDefault="00D338B1" w:rsidP="00D338B1">
      <w:pPr>
        <w:ind w:right="-483"/>
        <w:rPr>
          <w:szCs w:val="24"/>
          <w:u w:val="single"/>
        </w:rPr>
      </w:pPr>
      <w:r w:rsidRPr="00F368C8">
        <w:rPr>
          <w:u w:val="single"/>
        </w:rPr>
        <w:t>Amendments to pathology COVID-19 services</w:t>
      </w:r>
      <w:r w:rsidRPr="00F368C8" w:rsidDel="002E216A">
        <w:rPr>
          <w:szCs w:val="24"/>
          <w:u w:val="single"/>
        </w:rPr>
        <w:t xml:space="preserve"> </w:t>
      </w:r>
    </w:p>
    <w:p w14:paraId="22242F26" w14:textId="3F1224BE" w:rsidR="00DF6EEE" w:rsidRPr="00F368C8" w:rsidRDefault="00D338B1" w:rsidP="00103DD3">
      <w:pPr>
        <w:ind w:right="-483"/>
        <w:rPr>
          <w:szCs w:val="24"/>
        </w:rPr>
      </w:pPr>
      <w:r w:rsidRPr="00F368C8">
        <w:rPr>
          <w:szCs w:val="24"/>
        </w:rPr>
        <w:t xml:space="preserve">Schedule 2 of the Amendment Determination will amend four temporary pathology items </w:t>
      </w:r>
      <w:r w:rsidRPr="00F368C8">
        <w:rPr>
          <w:color w:val="000000"/>
          <w:shd w:val="clear" w:color="auto" w:fill="FFFFFF"/>
        </w:rPr>
        <w:t>for testing of COVID-19 and other respiratory pathogens (</w:t>
      </w:r>
      <w:r w:rsidRPr="00F368C8">
        <w:rPr>
          <w:rFonts w:cs="Arial"/>
          <w:szCs w:val="24"/>
        </w:rPr>
        <w:t>69506, 69507, 69511 and 69512)</w:t>
      </w:r>
      <w:r w:rsidRPr="00F368C8">
        <w:rPr>
          <w:color w:val="000000"/>
          <w:shd w:val="clear" w:color="auto" w:fill="FFFFFF"/>
        </w:rPr>
        <w:t xml:space="preserve"> to </w:t>
      </w:r>
      <w:r w:rsidRPr="00F368C8">
        <w:rPr>
          <w:rFonts w:cs="Arial"/>
          <w:szCs w:val="24"/>
        </w:rPr>
        <w:t>allow pathology providers to charge fees more than the schedule fee for services provided in-hospital under these items and associated items 69508, 69509, 69510, 69513, 69514 and 69515. This change will align arrangements for these items with other MBS pathology services delivered in-hospital.</w:t>
      </w:r>
    </w:p>
    <w:p w14:paraId="370627DF" w14:textId="77777777" w:rsidR="00103DD3" w:rsidRPr="00F368C8" w:rsidRDefault="00103DD3" w:rsidP="00103DD3">
      <w:pPr>
        <w:ind w:right="-483"/>
        <w:rPr>
          <w:szCs w:val="24"/>
        </w:rPr>
      </w:pPr>
    </w:p>
    <w:p w14:paraId="2412D15C" w14:textId="50D38E8B" w:rsidR="00A17F2C" w:rsidRPr="00F368C8" w:rsidRDefault="00A17F2C" w:rsidP="002A6C77">
      <w:pPr>
        <w:ind w:right="-482"/>
        <w:rPr>
          <w:b/>
          <w:szCs w:val="24"/>
        </w:rPr>
      </w:pPr>
      <w:r w:rsidRPr="00F368C8">
        <w:rPr>
          <w:b/>
          <w:szCs w:val="24"/>
        </w:rPr>
        <w:t>Human rights implications</w:t>
      </w:r>
    </w:p>
    <w:p w14:paraId="449665F0" w14:textId="2ED3F54B" w:rsidR="00806020" w:rsidRPr="00F368C8" w:rsidRDefault="00806020" w:rsidP="00806020">
      <w:pPr>
        <w:spacing w:before="120" w:after="120"/>
        <w:rPr>
          <w:szCs w:val="24"/>
        </w:rPr>
      </w:pPr>
      <w:r w:rsidRPr="00F368C8">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368C8" w:rsidRDefault="00A17F2C" w:rsidP="00806020">
      <w:pPr>
        <w:spacing w:before="120" w:after="120"/>
        <w:rPr>
          <w:i/>
          <w:szCs w:val="24"/>
        </w:rPr>
      </w:pPr>
      <w:r w:rsidRPr="00F368C8">
        <w:rPr>
          <w:i/>
          <w:szCs w:val="24"/>
        </w:rPr>
        <w:t>The Right to Health</w:t>
      </w:r>
    </w:p>
    <w:p w14:paraId="2412D15F" w14:textId="1E774E10" w:rsidR="00A17F2C" w:rsidRPr="00F368C8" w:rsidRDefault="00A17F2C" w:rsidP="000337CB">
      <w:pPr>
        <w:spacing w:before="120" w:after="120"/>
        <w:rPr>
          <w:szCs w:val="24"/>
        </w:rPr>
      </w:pPr>
      <w:r w:rsidRPr="00F368C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F368C8">
        <w:rPr>
          <w:szCs w:val="24"/>
        </w:rPr>
        <w:t>each individual</w:t>
      </w:r>
      <w:proofErr w:type="gramEnd"/>
      <w:r w:rsidRPr="00F368C8">
        <w:rPr>
          <w:szCs w:val="24"/>
        </w:rPr>
        <w:t xml:space="preserve"> to be </w:t>
      </w:r>
      <w:r w:rsidR="00832C49" w:rsidRPr="00F368C8">
        <w:rPr>
          <w:szCs w:val="24"/>
        </w:rPr>
        <w:t>healthy but</w:t>
      </w:r>
      <w:r w:rsidRPr="00F368C8">
        <w:rPr>
          <w:szCs w:val="24"/>
        </w:rPr>
        <w:t xml:space="preserve"> is a right to a system of health protection which provides equality of opportunity for people to enjoy the highest attainable level of health. </w:t>
      </w:r>
    </w:p>
    <w:p w14:paraId="2412D160" w14:textId="5F1F0078" w:rsidR="00A17F2C" w:rsidRPr="00F368C8" w:rsidRDefault="00A17F2C" w:rsidP="000337CB">
      <w:pPr>
        <w:spacing w:before="120" w:after="120"/>
        <w:rPr>
          <w:szCs w:val="24"/>
        </w:rPr>
      </w:pPr>
      <w:r w:rsidRPr="00F368C8">
        <w:rPr>
          <w:szCs w:val="24"/>
        </w:rPr>
        <w:t xml:space="preserve">The Committee reports that the </w:t>
      </w:r>
      <w:r w:rsidRPr="00F368C8">
        <w:rPr>
          <w:i/>
          <w:szCs w:val="24"/>
        </w:rPr>
        <w:t>‘highest attainable standard of health’</w:t>
      </w:r>
      <w:r w:rsidRPr="00F368C8">
        <w:rPr>
          <w:szCs w:val="24"/>
        </w:rPr>
        <w:t xml:space="preserve"> </w:t>
      </w:r>
      <w:r w:rsidR="00832C49" w:rsidRPr="00F368C8">
        <w:rPr>
          <w:szCs w:val="24"/>
        </w:rPr>
        <w:t>considers</w:t>
      </w:r>
      <w:r w:rsidRPr="00F368C8">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BC62D5F" w:rsidR="00A17F2C" w:rsidRPr="00F368C8" w:rsidRDefault="00A17F2C" w:rsidP="000337CB">
      <w:pPr>
        <w:spacing w:before="120" w:after="120"/>
        <w:rPr>
          <w:i/>
          <w:szCs w:val="24"/>
        </w:rPr>
      </w:pPr>
      <w:r w:rsidRPr="00F368C8">
        <w:rPr>
          <w:i/>
          <w:szCs w:val="24"/>
        </w:rPr>
        <w:lastRenderedPageBreak/>
        <w:t xml:space="preserve">The Right to Social Security </w:t>
      </w:r>
    </w:p>
    <w:p w14:paraId="2412D162" w14:textId="1BAD5058" w:rsidR="00A17F2C" w:rsidRPr="00F368C8" w:rsidRDefault="00A17F2C" w:rsidP="000337CB">
      <w:pPr>
        <w:spacing w:before="120" w:after="120"/>
        <w:rPr>
          <w:szCs w:val="24"/>
        </w:rPr>
      </w:pPr>
      <w:r w:rsidRPr="00F368C8">
        <w:rPr>
          <w:szCs w:val="24"/>
        </w:rPr>
        <w:t>The right to social security is contained in Article 9 of the ICESCR. It requires that a country must, within its maximum available resources, ensure access to a social security scheme that</w:t>
      </w:r>
      <w:r w:rsidR="00BA69CB" w:rsidRPr="00F368C8">
        <w:rPr>
          <w:szCs w:val="24"/>
        </w:rPr>
        <w:t xml:space="preserve"> </w:t>
      </w:r>
      <w:r w:rsidRPr="00F368C8">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r w:rsidR="00832C49" w:rsidRPr="00F368C8">
        <w:rPr>
          <w:szCs w:val="24"/>
        </w:rPr>
        <w:t>to</w:t>
      </w:r>
      <w:r w:rsidRPr="00F368C8">
        <w:rPr>
          <w:szCs w:val="24"/>
        </w:rPr>
        <w:t xml:space="preserve"> satisfy, as a matter of priority, this minimum obligation.</w:t>
      </w:r>
    </w:p>
    <w:p w14:paraId="66FC6343" w14:textId="78CFC98B" w:rsidR="00B612B5" w:rsidRPr="00F368C8" w:rsidRDefault="00A17F2C" w:rsidP="000337CB">
      <w:pPr>
        <w:spacing w:before="120" w:after="120"/>
        <w:rPr>
          <w:szCs w:val="24"/>
        </w:rPr>
      </w:pPr>
      <w:r w:rsidRPr="00F368C8">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F368C8" w:rsidRDefault="00B612B5" w:rsidP="00B612B5">
      <w:pPr>
        <w:spacing w:before="120" w:after="120"/>
        <w:rPr>
          <w:szCs w:val="24"/>
        </w:rPr>
      </w:pPr>
      <w:r w:rsidRPr="00F368C8">
        <w:rPr>
          <w:i/>
          <w:iCs/>
          <w:szCs w:val="24"/>
        </w:rPr>
        <w:t>The right of equality and non-discrimination</w:t>
      </w:r>
    </w:p>
    <w:p w14:paraId="01405BA5" w14:textId="6B9DB180" w:rsidR="00B612B5" w:rsidRPr="00F368C8" w:rsidRDefault="00B612B5" w:rsidP="00B612B5">
      <w:pPr>
        <w:spacing w:before="120" w:after="120"/>
        <w:rPr>
          <w:szCs w:val="24"/>
        </w:rPr>
      </w:pPr>
      <w:r w:rsidRPr="00F368C8">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F368C8">
        <w:rPr>
          <w:szCs w:val="24"/>
        </w:rPr>
        <w:t>birth</w:t>
      </w:r>
      <w:proofErr w:type="gramEnd"/>
      <w:r w:rsidRPr="00F368C8">
        <w:rPr>
          <w:szCs w:val="24"/>
        </w:rPr>
        <w:t xml:space="preserve"> or other status.</w:t>
      </w:r>
    </w:p>
    <w:p w14:paraId="2412D164" w14:textId="1BF78036" w:rsidR="00A17F2C" w:rsidRPr="00F368C8" w:rsidRDefault="00A17F2C" w:rsidP="00FC2DAE">
      <w:pPr>
        <w:keepNext/>
        <w:keepLines/>
        <w:spacing w:before="120" w:after="120"/>
        <w:rPr>
          <w:szCs w:val="24"/>
          <w:u w:val="single"/>
        </w:rPr>
      </w:pPr>
      <w:r w:rsidRPr="00F368C8">
        <w:rPr>
          <w:szCs w:val="24"/>
          <w:u w:val="single"/>
        </w:rPr>
        <w:t xml:space="preserve">Analysis </w:t>
      </w:r>
    </w:p>
    <w:p w14:paraId="5CED5F70" w14:textId="460E9388" w:rsidR="0079191B" w:rsidRPr="00F368C8" w:rsidRDefault="00440D49" w:rsidP="00FC2DAE">
      <w:pPr>
        <w:keepNext/>
        <w:keepLines/>
        <w:rPr>
          <w:szCs w:val="24"/>
        </w:rPr>
      </w:pPr>
      <w:r w:rsidRPr="00F368C8">
        <w:rPr>
          <w:szCs w:val="24"/>
        </w:rPr>
        <w:t xml:space="preserve">The changes </w:t>
      </w:r>
      <w:r w:rsidR="003068E8" w:rsidRPr="00F368C8">
        <w:rPr>
          <w:szCs w:val="24"/>
        </w:rPr>
        <w:t>in the</w:t>
      </w:r>
      <w:r w:rsidRPr="00F368C8">
        <w:rPr>
          <w:szCs w:val="24"/>
        </w:rPr>
        <w:t xml:space="preserve"> </w:t>
      </w:r>
      <w:r w:rsidR="00832C49" w:rsidRPr="00F368C8">
        <w:rPr>
          <w:szCs w:val="24"/>
        </w:rPr>
        <w:t xml:space="preserve">Amendment </w:t>
      </w:r>
      <w:r w:rsidRPr="00F368C8">
        <w:rPr>
          <w:szCs w:val="24"/>
        </w:rPr>
        <w:t>Determination will maintain the rights to health and social security and the right</w:t>
      </w:r>
      <w:r w:rsidR="00832C49" w:rsidRPr="00F368C8">
        <w:rPr>
          <w:szCs w:val="24"/>
        </w:rPr>
        <w:t>s</w:t>
      </w:r>
      <w:r w:rsidRPr="00F368C8">
        <w:rPr>
          <w:szCs w:val="24"/>
        </w:rPr>
        <w:t xml:space="preserve"> of equality and non-discrimination by </w:t>
      </w:r>
      <w:r w:rsidRPr="00F368C8">
        <w:rPr>
          <w:bCs/>
          <w:szCs w:val="24"/>
        </w:rPr>
        <w:t>supporting patient access to</w:t>
      </w:r>
      <w:r w:rsidR="0043291C" w:rsidRPr="00F368C8">
        <w:rPr>
          <w:bCs/>
          <w:szCs w:val="24"/>
        </w:rPr>
        <w:t xml:space="preserve"> clinically</w:t>
      </w:r>
      <w:r w:rsidRPr="00F368C8">
        <w:rPr>
          <w:bCs/>
          <w:szCs w:val="24"/>
        </w:rPr>
        <w:t xml:space="preserve"> necessary </w:t>
      </w:r>
      <w:r w:rsidR="0043291C" w:rsidRPr="00F368C8">
        <w:rPr>
          <w:bCs/>
          <w:szCs w:val="24"/>
        </w:rPr>
        <w:t xml:space="preserve">laboratory </w:t>
      </w:r>
      <w:r w:rsidRPr="00F368C8">
        <w:rPr>
          <w:bCs/>
          <w:szCs w:val="24"/>
        </w:rPr>
        <w:t xml:space="preserve">testing for </w:t>
      </w:r>
      <w:r w:rsidR="00E21D5B" w:rsidRPr="00F368C8">
        <w:rPr>
          <w:bCs/>
          <w:szCs w:val="24"/>
        </w:rPr>
        <w:t xml:space="preserve">respiratory pathogens including </w:t>
      </w:r>
      <w:r w:rsidRPr="00F368C8">
        <w:rPr>
          <w:bCs/>
          <w:szCs w:val="24"/>
        </w:rPr>
        <w:t xml:space="preserve">COVID-19 </w:t>
      </w:r>
      <w:r w:rsidR="00A958A4" w:rsidRPr="00F368C8">
        <w:rPr>
          <w:bCs/>
          <w:szCs w:val="24"/>
        </w:rPr>
        <w:t xml:space="preserve">and </w:t>
      </w:r>
      <w:r w:rsidR="00832C49" w:rsidRPr="00F368C8">
        <w:rPr>
          <w:bCs/>
          <w:szCs w:val="24"/>
        </w:rPr>
        <w:t xml:space="preserve">other </w:t>
      </w:r>
      <w:r w:rsidR="00B94EA1" w:rsidRPr="00F368C8">
        <w:rPr>
          <w:bCs/>
          <w:szCs w:val="24"/>
        </w:rPr>
        <w:t xml:space="preserve">COVID-19 </w:t>
      </w:r>
      <w:r w:rsidRPr="00F368C8">
        <w:rPr>
          <w:shd w:val="clear" w:color="auto" w:fill="FFFFFF"/>
        </w:rPr>
        <w:t>support services.</w:t>
      </w:r>
    </w:p>
    <w:p w14:paraId="2412D166" w14:textId="1973400E" w:rsidR="00A17F2C" w:rsidRPr="00F368C8" w:rsidRDefault="00A17F2C" w:rsidP="004B7CB9">
      <w:pPr>
        <w:spacing w:before="120" w:after="120" w:line="276" w:lineRule="auto"/>
        <w:rPr>
          <w:rFonts w:eastAsia="Calibri"/>
          <w:b/>
          <w:szCs w:val="24"/>
          <w:lang w:eastAsia="en-US"/>
        </w:rPr>
      </w:pPr>
      <w:r w:rsidRPr="00F368C8">
        <w:rPr>
          <w:rFonts w:eastAsia="Calibri"/>
          <w:b/>
          <w:szCs w:val="24"/>
          <w:lang w:eastAsia="en-US"/>
        </w:rPr>
        <w:t xml:space="preserve">Conclusion </w:t>
      </w:r>
    </w:p>
    <w:p w14:paraId="2412D167" w14:textId="252D6C9E" w:rsidR="00A17F2C" w:rsidRPr="00F368C8" w:rsidRDefault="006E6BBF" w:rsidP="000337CB">
      <w:pPr>
        <w:rPr>
          <w:color w:val="FF0000"/>
          <w:szCs w:val="24"/>
        </w:rPr>
      </w:pPr>
      <w:r w:rsidRPr="00F368C8">
        <w:rPr>
          <w:szCs w:val="24"/>
        </w:rPr>
        <w:t xml:space="preserve">This </w:t>
      </w:r>
      <w:r w:rsidR="0046022A" w:rsidRPr="00F368C8">
        <w:rPr>
          <w:szCs w:val="24"/>
        </w:rPr>
        <w:t>instrument</w:t>
      </w:r>
      <w:r w:rsidRPr="00F368C8">
        <w:rPr>
          <w:szCs w:val="24"/>
        </w:rPr>
        <w:t xml:space="preserve"> </w:t>
      </w:r>
      <w:r w:rsidR="00F15284" w:rsidRPr="00F368C8">
        <w:rPr>
          <w:szCs w:val="24"/>
        </w:rPr>
        <w:t xml:space="preserve">is compatible with human rights as it </w:t>
      </w:r>
      <w:r w:rsidR="007C7403" w:rsidRPr="00F368C8">
        <w:rPr>
          <w:szCs w:val="24"/>
        </w:rPr>
        <w:t xml:space="preserve">maintains the </w:t>
      </w:r>
      <w:r w:rsidR="00910EF6" w:rsidRPr="00F368C8">
        <w:rPr>
          <w:szCs w:val="24"/>
        </w:rPr>
        <w:t>right to health</w:t>
      </w:r>
      <w:r w:rsidR="00440D49" w:rsidRPr="00F368C8">
        <w:rPr>
          <w:szCs w:val="24"/>
        </w:rPr>
        <w:t>,</w:t>
      </w:r>
      <w:r w:rsidR="00910EF6" w:rsidRPr="00F368C8">
        <w:rPr>
          <w:szCs w:val="24"/>
        </w:rPr>
        <w:t xml:space="preserve"> the right to social security</w:t>
      </w:r>
      <w:r w:rsidR="00440D49" w:rsidRPr="00F368C8">
        <w:rPr>
          <w:szCs w:val="24"/>
        </w:rPr>
        <w:t>, the right of equality and non-discrimination.</w:t>
      </w:r>
    </w:p>
    <w:p w14:paraId="2412D168" w14:textId="77777777" w:rsidR="00F15284" w:rsidRPr="00F368C8" w:rsidRDefault="00F15284" w:rsidP="000337CB">
      <w:pPr>
        <w:rPr>
          <w:rFonts w:eastAsia="Calibri"/>
          <w:szCs w:val="24"/>
          <w:lang w:eastAsia="en-US"/>
        </w:rPr>
      </w:pPr>
    </w:p>
    <w:p w14:paraId="75A46380" w14:textId="77777777" w:rsidR="00C67BC7" w:rsidRPr="00F368C8" w:rsidRDefault="00C67BC7" w:rsidP="000F2948">
      <w:pPr>
        <w:jc w:val="center"/>
        <w:rPr>
          <w:b/>
          <w:bCs/>
        </w:rPr>
      </w:pPr>
    </w:p>
    <w:p w14:paraId="42E9857F" w14:textId="0E8667F1" w:rsidR="001B6095" w:rsidRPr="00F368C8" w:rsidRDefault="00440D49" w:rsidP="001B6095">
      <w:pPr>
        <w:shd w:val="clear" w:color="auto" w:fill="FFFFFF"/>
        <w:spacing w:line="240" w:lineRule="atLeast"/>
        <w:ind w:right="-23"/>
        <w:jc w:val="center"/>
        <w:rPr>
          <w:b/>
          <w:bCs/>
          <w:szCs w:val="22"/>
        </w:rPr>
      </w:pPr>
      <w:r w:rsidRPr="00F368C8">
        <w:rPr>
          <w:b/>
          <w:bCs/>
          <w:szCs w:val="22"/>
        </w:rPr>
        <w:t>Travis Haslam</w:t>
      </w:r>
      <w:r w:rsidR="00701493" w:rsidRPr="00F368C8">
        <w:rPr>
          <w:b/>
          <w:bCs/>
          <w:szCs w:val="22"/>
        </w:rPr>
        <w:t xml:space="preserve"> PSM</w:t>
      </w:r>
    </w:p>
    <w:p w14:paraId="1E1BB761" w14:textId="316B7A63" w:rsidR="00440D49" w:rsidRPr="00F368C8" w:rsidRDefault="00440D49" w:rsidP="001B6095">
      <w:pPr>
        <w:shd w:val="clear" w:color="auto" w:fill="FFFFFF"/>
        <w:spacing w:line="240" w:lineRule="atLeast"/>
        <w:ind w:right="-23"/>
        <w:jc w:val="center"/>
        <w:rPr>
          <w:b/>
          <w:bCs/>
          <w:szCs w:val="22"/>
        </w:rPr>
      </w:pPr>
      <w:r w:rsidRPr="00F368C8">
        <w:rPr>
          <w:b/>
          <w:bCs/>
          <w:szCs w:val="22"/>
        </w:rPr>
        <w:t>Acting First Assistant Secretary</w:t>
      </w:r>
    </w:p>
    <w:p w14:paraId="450A2648" w14:textId="40EA9BF0" w:rsidR="00440D49" w:rsidRPr="00F368C8" w:rsidRDefault="00440D49" w:rsidP="001B6095">
      <w:pPr>
        <w:shd w:val="clear" w:color="auto" w:fill="FFFFFF"/>
        <w:spacing w:line="240" w:lineRule="atLeast"/>
        <w:ind w:right="-23"/>
        <w:jc w:val="center"/>
        <w:rPr>
          <w:b/>
          <w:bCs/>
          <w:szCs w:val="22"/>
        </w:rPr>
      </w:pPr>
      <w:r w:rsidRPr="00F368C8">
        <w:rPr>
          <w:b/>
          <w:bCs/>
          <w:szCs w:val="22"/>
        </w:rPr>
        <w:t>Medical Benefits Division</w:t>
      </w:r>
    </w:p>
    <w:p w14:paraId="036D2487" w14:textId="58E41C74" w:rsidR="00440D49" w:rsidRPr="00F368C8" w:rsidRDefault="00440D49" w:rsidP="001B6095">
      <w:pPr>
        <w:shd w:val="clear" w:color="auto" w:fill="FFFFFF"/>
        <w:spacing w:line="240" w:lineRule="atLeast"/>
        <w:ind w:right="-23"/>
        <w:jc w:val="center"/>
        <w:rPr>
          <w:b/>
          <w:bCs/>
          <w:szCs w:val="22"/>
        </w:rPr>
      </w:pPr>
      <w:r w:rsidRPr="00F368C8">
        <w:rPr>
          <w:b/>
          <w:bCs/>
          <w:szCs w:val="22"/>
        </w:rPr>
        <w:t>Health Resourcing Group</w:t>
      </w:r>
    </w:p>
    <w:p w14:paraId="2412D16E" w14:textId="7F74790A" w:rsidR="00636C51" w:rsidRPr="0020245D" w:rsidRDefault="000F2948" w:rsidP="001B6095">
      <w:pPr>
        <w:jc w:val="center"/>
        <w:rPr>
          <w:rFonts w:eastAsia="Calibri"/>
          <w:szCs w:val="24"/>
          <w:lang w:eastAsia="en-US"/>
        </w:rPr>
      </w:pPr>
      <w:r w:rsidRPr="00F368C8">
        <w:rPr>
          <w:b/>
          <w:bCs/>
        </w:rPr>
        <w:t>Department of Health</w:t>
      </w:r>
      <w:r w:rsidR="00346E4E" w:rsidRPr="00F368C8">
        <w:rPr>
          <w:b/>
          <w:bCs/>
        </w:rPr>
        <w:t xml:space="preserve"> and Aged Care</w:t>
      </w:r>
    </w:p>
    <w:sectPr w:rsidR="00636C51" w:rsidRPr="0020245D" w:rsidSect="00B15781">
      <w:headerReference w:type="even" r:id="rId17"/>
      <w:headerReference w:type="default" r:id="rId18"/>
      <w:headerReference w:type="first" r:id="rId19"/>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C042" w14:textId="77777777" w:rsidR="00B50CF6" w:rsidRDefault="00B50CF6">
      <w:r>
        <w:separator/>
      </w:r>
    </w:p>
  </w:endnote>
  <w:endnote w:type="continuationSeparator" w:id="0">
    <w:p w14:paraId="356D8452" w14:textId="77777777" w:rsidR="00B50CF6" w:rsidRDefault="00B5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E9F9" w14:textId="77777777" w:rsidR="00A958A4" w:rsidRDefault="00A95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EFFD" w14:textId="77777777" w:rsidR="00A958A4" w:rsidRDefault="00A95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7215" w14:textId="77777777" w:rsidR="00A958A4" w:rsidRDefault="00A95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9B2B" w14:textId="77777777" w:rsidR="00B50CF6" w:rsidRDefault="00B50CF6">
      <w:r>
        <w:separator/>
      </w:r>
    </w:p>
  </w:footnote>
  <w:footnote w:type="continuationSeparator" w:id="0">
    <w:p w14:paraId="024000AE" w14:textId="77777777" w:rsidR="00B50CF6" w:rsidRDefault="00B5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0E9D" w14:textId="77777777" w:rsidR="00A958A4" w:rsidRDefault="00A95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79D6" w14:textId="77777777" w:rsidR="00A958A4" w:rsidRDefault="00A958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0372E"/>
    <w:multiLevelType w:val="hybridMultilevel"/>
    <w:tmpl w:val="4934AFF2"/>
    <w:lvl w:ilvl="0" w:tplc="4260C6C0">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73391"/>
    <w:multiLevelType w:val="hybridMultilevel"/>
    <w:tmpl w:val="ED3E1AE2"/>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711956"/>
    <w:multiLevelType w:val="hybridMultilevel"/>
    <w:tmpl w:val="D4265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8869C7"/>
    <w:multiLevelType w:val="hybridMultilevel"/>
    <w:tmpl w:val="8F308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C63C53"/>
    <w:multiLevelType w:val="hybridMultilevel"/>
    <w:tmpl w:val="3F7CE5A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1"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
  </w:num>
  <w:num w:numId="4">
    <w:abstractNumId w:val="13"/>
  </w:num>
  <w:num w:numId="5">
    <w:abstractNumId w:val="20"/>
  </w:num>
  <w:num w:numId="6">
    <w:abstractNumId w:val="10"/>
  </w:num>
  <w:num w:numId="7">
    <w:abstractNumId w:val="33"/>
  </w:num>
  <w:num w:numId="8">
    <w:abstractNumId w:val="7"/>
  </w:num>
  <w:num w:numId="9">
    <w:abstractNumId w:val="6"/>
  </w:num>
  <w:num w:numId="10">
    <w:abstractNumId w:val="35"/>
  </w:num>
  <w:num w:numId="11">
    <w:abstractNumId w:val="32"/>
  </w:num>
  <w:num w:numId="12">
    <w:abstractNumId w:val="15"/>
  </w:num>
  <w:num w:numId="13">
    <w:abstractNumId w:val="17"/>
  </w:num>
  <w:num w:numId="14">
    <w:abstractNumId w:val="30"/>
  </w:num>
  <w:num w:numId="15">
    <w:abstractNumId w:val="8"/>
  </w:num>
  <w:num w:numId="16">
    <w:abstractNumId w:val="22"/>
  </w:num>
  <w:num w:numId="17">
    <w:abstractNumId w:val="25"/>
  </w:num>
  <w:num w:numId="18">
    <w:abstractNumId w:val="23"/>
  </w:num>
  <w:num w:numId="19">
    <w:abstractNumId w:val="3"/>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9"/>
  </w:num>
  <w:num w:numId="26">
    <w:abstractNumId w:val="5"/>
  </w:num>
  <w:num w:numId="27">
    <w:abstractNumId w:val="18"/>
  </w:num>
  <w:num w:numId="28">
    <w:abstractNumId w:val="34"/>
  </w:num>
  <w:num w:numId="29">
    <w:abstractNumId w:val="19"/>
  </w:num>
  <w:num w:numId="30">
    <w:abstractNumId w:val="31"/>
  </w:num>
  <w:num w:numId="31">
    <w:abstractNumId w:val="16"/>
  </w:num>
  <w:num w:numId="32">
    <w:abstractNumId w:val="29"/>
  </w:num>
  <w:num w:numId="33">
    <w:abstractNumId w:val="26"/>
  </w:num>
  <w:num w:numId="34">
    <w:abstractNumId w:val="1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16D59"/>
    <w:rsid w:val="000203B4"/>
    <w:rsid w:val="00021EFA"/>
    <w:rsid w:val="00024158"/>
    <w:rsid w:val="00024A1D"/>
    <w:rsid w:val="0002525C"/>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55D7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31A6"/>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5E1"/>
    <w:rsid w:val="000F2948"/>
    <w:rsid w:val="000F2AFC"/>
    <w:rsid w:val="000F37A0"/>
    <w:rsid w:val="000F548E"/>
    <w:rsid w:val="000F5E76"/>
    <w:rsid w:val="000F6853"/>
    <w:rsid w:val="001000CE"/>
    <w:rsid w:val="001015AE"/>
    <w:rsid w:val="00101A55"/>
    <w:rsid w:val="00103DD3"/>
    <w:rsid w:val="00104751"/>
    <w:rsid w:val="0010617D"/>
    <w:rsid w:val="00106763"/>
    <w:rsid w:val="00107F36"/>
    <w:rsid w:val="0011066E"/>
    <w:rsid w:val="00110D12"/>
    <w:rsid w:val="00113B2E"/>
    <w:rsid w:val="00120766"/>
    <w:rsid w:val="00121189"/>
    <w:rsid w:val="00121A66"/>
    <w:rsid w:val="00130ABE"/>
    <w:rsid w:val="00132087"/>
    <w:rsid w:val="00134B27"/>
    <w:rsid w:val="00135D0D"/>
    <w:rsid w:val="001400C4"/>
    <w:rsid w:val="00141323"/>
    <w:rsid w:val="00141E8C"/>
    <w:rsid w:val="00143685"/>
    <w:rsid w:val="00143943"/>
    <w:rsid w:val="001448F2"/>
    <w:rsid w:val="00145918"/>
    <w:rsid w:val="00145D25"/>
    <w:rsid w:val="00145DED"/>
    <w:rsid w:val="001519E4"/>
    <w:rsid w:val="00153D48"/>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3C51"/>
    <w:rsid w:val="001B5ED9"/>
    <w:rsid w:val="001B6095"/>
    <w:rsid w:val="001B66AF"/>
    <w:rsid w:val="001B7092"/>
    <w:rsid w:val="001C1B86"/>
    <w:rsid w:val="001C35BC"/>
    <w:rsid w:val="001C51D8"/>
    <w:rsid w:val="001C5FC1"/>
    <w:rsid w:val="001C6713"/>
    <w:rsid w:val="001D0C04"/>
    <w:rsid w:val="001D0CEB"/>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52"/>
    <w:rsid w:val="00200971"/>
    <w:rsid w:val="0020245D"/>
    <w:rsid w:val="00203952"/>
    <w:rsid w:val="00203F23"/>
    <w:rsid w:val="00204413"/>
    <w:rsid w:val="00210EE7"/>
    <w:rsid w:val="00211393"/>
    <w:rsid w:val="00212AD1"/>
    <w:rsid w:val="00213177"/>
    <w:rsid w:val="00215191"/>
    <w:rsid w:val="00216C44"/>
    <w:rsid w:val="00217EBF"/>
    <w:rsid w:val="00220EE3"/>
    <w:rsid w:val="00221C4B"/>
    <w:rsid w:val="002227DF"/>
    <w:rsid w:val="0022342C"/>
    <w:rsid w:val="0022384B"/>
    <w:rsid w:val="00225B50"/>
    <w:rsid w:val="00225D8E"/>
    <w:rsid w:val="00225DDA"/>
    <w:rsid w:val="002264F4"/>
    <w:rsid w:val="002322A8"/>
    <w:rsid w:val="0023311C"/>
    <w:rsid w:val="00233BEB"/>
    <w:rsid w:val="002343F5"/>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672CE"/>
    <w:rsid w:val="00274073"/>
    <w:rsid w:val="0027545F"/>
    <w:rsid w:val="0027610D"/>
    <w:rsid w:val="002806A1"/>
    <w:rsid w:val="00281918"/>
    <w:rsid w:val="00282EC8"/>
    <w:rsid w:val="00284483"/>
    <w:rsid w:val="00284749"/>
    <w:rsid w:val="00285256"/>
    <w:rsid w:val="00287AEF"/>
    <w:rsid w:val="00287B08"/>
    <w:rsid w:val="00290B98"/>
    <w:rsid w:val="002944D4"/>
    <w:rsid w:val="00296075"/>
    <w:rsid w:val="00296763"/>
    <w:rsid w:val="0029737E"/>
    <w:rsid w:val="00297AD0"/>
    <w:rsid w:val="002A0CC8"/>
    <w:rsid w:val="002A1E2C"/>
    <w:rsid w:val="002A3243"/>
    <w:rsid w:val="002A3B3D"/>
    <w:rsid w:val="002A5CDF"/>
    <w:rsid w:val="002A68B3"/>
    <w:rsid w:val="002A6C77"/>
    <w:rsid w:val="002B2AC5"/>
    <w:rsid w:val="002B2E78"/>
    <w:rsid w:val="002B49DE"/>
    <w:rsid w:val="002B4E4D"/>
    <w:rsid w:val="002B53D3"/>
    <w:rsid w:val="002B7177"/>
    <w:rsid w:val="002B7A4F"/>
    <w:rsid w:val="002C1BFE"/>
    <w:rsid w:val="002C4F5B"/>
    <w:rsid w:val="002C54A1"/>
    <w:rsid w:val="002C5B84"/>
    <w:rsid w:val="002C5DCD"/>
    <w:rsid w:val="002D03AB"/>
    <w:rsid w:val="002D03BE"/>
    <w:rsid w:val="002D207F"/>
    <w:rsid w:val="002D2A4E"/>
    <w:rsid w:val="002D5294"/>
    <w:rsid w:val="002D59E0"/>
    <w:rsid w:val="002D5DFC"/>
    <w:rsid w:val="002D5E92"/>
    <w:rsid w:val="002D6269"/>
    <w:rsid w:val="002D629A"/>
    <w:rsid w:val="002E12C3"/>
    <w:rsid w:val="002E216A"/>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3D77"/>
    <w:rsid w:val="00304080"/>
    <w:rsid w:val="003068E8"/>
    <w:rsid w:val="0031124D"/>
    <w:rsid w:val="00312ED1"/>
    <w:rsid w:val="00313554"/>
    <w:rsid w:val="00317B55"/>
    <w:rsid w:val="00320E30"/>
    <w:rsid w:val="0032155B"/>
    <w:rsid w:val="003239D0"/>
    <w:rsid w:val="00324908"/>
    <w:rsid w:val="00331752"/>
    <w:rsid w:val="00332AF9"/>
    <w:rsid w:val="003332C9"/>
    <w:rsid w:val="0033493D"/>
    <w:rsid w:val="00337DE1"/>
    <w:rsid w:val="00340BDB"/>
    <w:rsid w:val="00340E39"/>
    <w:rsid w:val="00341145"/>
    <w:rsid w:val="003412CB"/>
    <w:rsid w:val="00346E4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5FDC"/>
    <w:rsid w:val="00386C22"/>
    <w:rsid w:val="003876E6"/>
    <w:rsid w:val="0039170C"/>
    <w:rsid w:val="00391AFA"/>
    <w:rsid w:val="003937EF"/>
    <w:rsid w:val="00393E9B"/>
    <w:rsid w:val="00397A97"/>
    <w:rsid w:val="003A1CF0"/>
    <w:rsid w:val="003A280D"/>
    <w:rsid w:val="003A31DB"/>
    <w:rsid w:val="003A3AD1"/>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321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42C1"/>
    <w:rsid w:val="00425F40"/>
    <w:rsid w:val="004265AA"/>
    <w:rsid w:val="00426A8D"/>
    <w:rsid w:val="00430861"/>
    <w:rsid w:val="0043291C"/>
    <w:rsid w:val="00432D4D"/>
    <w:rsid w:val="00433DCE"/>
    <w:rsid w:val="004345AB"/>
    <w:rsid w:val="00437B1B"/>
    <w:rsid w:val="004405B8"/>
    <w:rsid w:val="00440D49"/>
    <w:rsid w:val="004417A2"/>
    <w:rsid w:val="00442F9D"/>
    <w:rsid w:val="00444782"/>
    <w:rsid w:val="00444EDF"/>
    <w:rsid w:val="004456A4"/>
    <w:rsid w:val="00445A6D"/>
    <w:rsid w:val="00446A6B"/>
    <w:rsid w:val="00450DE3"/>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6A7"/>
    <w:rsid w:val="00477C74"/>
    <w:rsid w:val="00480561"/>
    <w:rsid w:val="004806B3"/>
    <w:rsid w:val="00481E5E"/>
    <w:rsid w:val="004828A9"/>
    <w:rsid w:val="004849DE"/>
    <w:rsid w:val="00484A65"/>
    <w:rsid w:val="00484E4F"/>
    <w:rsid w:val="00486070"/>
    <w:rsid w:val="004876DF"/>
    <w:rsid w:val="00492341"/>
    <w:rsid w:val="00492DBE"/>
    <w:rsid w:val="004962CC"/>
    <w:rsid w:val="00497DDE"/>
    <w:rsid w:val="00497EC1"/>
    <w:rsid w:val="004A0313"/>
    <w:rsid w:val="004A0A89"/>
    <w:rsid w:val="004A0BE6"/>
    <w:rsid w:val="004A2249"/>
    <w:rsid w:val="004A26E0"/>
    <w:rsid w:val="004A524A"/>
    <w:rsid w:val="004A56D3"/>
    <w:rsid w:val="004A6B0F"/>
    <w:rsid w:val="004B1ECE"/>
    <w:rsid w:val="004B38C8"/>
    <w:rsid w:val="004B5740"/>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3B2C"/>
    <w:rsid w:val="004E71DC"/>
    <w:rsid w:val="004E7F97"/>
    <w:rsid w:val="004F1563"/>
    <w:rsid w:val="004F20B0"/>
    <w:rsid w:val="004F4BAD"/>
    <w:rsid w:val="004F7682"/>
    <w:rsid w:val="005012BC"/>
    <w:rsid w:val="00501323"/>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5C3D"/>
    <w:rsid w:val="0059798F"/>
    <w:rsid w:val="00597EC9"/>
    <w:rsid w:val="005A0300"/>
    <w:rsid w:val="005A163F"/>
    <w:rsid w:val="005A3D73"/>
    <w:rsid w:val="005A3D8D"/>
    <w:rsid w:val="005A445D"/>
    <w:rsid w:val="005A5604"/>
    <w:rsid w:val="005B0D0F"/>
    <w:rsid w:val="005B0EA3"/>
    <w:rsid w:val="005B1B0A"/>
    <w:rsid w:val="005B4383"/>
    <w:rsid w:val="005B5062"/>
    <w:rsid w:val="005B6234"/>
    <w:rsid w:val="005B7596"/>
    <w:rsid w:val="005C4A91"/>
    <w:rsid w:val="005C56EF"/>
    <w:rsid w:val="005C5824"/>
    <w:rsid w:val="005C6118"/>
    <w:rsid w:val="005C73D0"/>
    <w:rsid w:val="005D3575"/>
    <w:rsid w:val="005D3CED"/>
    <w:rsid w:val="005D538F"/>
    <w:rsid w:val="005D5B49"/>
    <w:rsid w:val="005D63D9"/>
    <w:rsid w:val="005D68D1"/>
    <w:rsid w:val="005D6AC4"/>
    <w:rsid w:val="005E293A"/>
    <w:rsid w:val="005E44A6"/>
    <w:rsid w:val="005E49E7"/>
    <w:rsid w:val="005E56FE"/>
    <w:rsid w:val="005E62D6"/>
    <w:rsid w:val="005E6A82"/>
    <w:rsid w:val="005E7398"/>
    <w:rsid w:val="005F0338"/>
    <w:rsid w:val="005F04DC"/>
    <w:rsid w:val="005F0F6C"/>
    <w:rsid w:val="005F1A7F"/>
    <w:rsid w:val="00601165"/>
    <w:rsid w:val="00604379"/>
    <w:rsid w:val="00607971"/>
    <w:rsid w:val="00607D8B"/>
    <w:rsid w:val="00611A4E"/>
    <w:rsid w:val="006122C0"/>
    <w:rsid w:val="0061281D"/>
    <w:rsid w:val="00613C46"/>
    <w:rsid w:val="00614085"/>
    <w:rsid w:val="00616889"/>
    <w:rsid w:val="00617F77"/>
    <w:rsid w:val="00623004"/>
    <w:rsid w:val="006237CC"/>
    <w:rsid w:val="00627C91"/>
    <w:rsid w:val="00635031"/>
    <w:rsid w:val="006369D4"/>
    <w:rsid w:val="00636C51"/>
    <w:rsid w:val="00637318"/>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87771"/>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C7F96"/>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1493"/>
    <w:rsid w:val="00702854"/>
    <w:rsid w:val="00704585"/>
    <w:rsid w:val="00704A1A"/>
    <w:rsid w:val="00705833"/>
    <w:rsid w:val="00705924"/>
    <w:rsid w:val="00707B77"/>
    <w:rsid w:val="00707CE9"/>
    <w:rsid w:val="00710055"/>
    <w:rsid w:val="007103BC"/>
    <w:rsid w:val="0071184F"/>
    <w:rsid w:val="00712189"/>
    <w:rsid w:val="007134A2"/>
    <w:rsid w:val="00713FB2"/>
    <w:rsid w:val="00715596"/>
    <w:rsid w:val="00717B45"/>
    <w:rsid w:val="007202C4"/>
    <w:rsid w:val="0072331C"/>
    <w:rsid w:val="00726CFA"/>
    <w:rsid w:val="0072758A"/>
    <w:rsid w:val="007304D5"/>
    <w:rsid w:val="00730965"/>
    <w:rsid w:val="00733599"/>
    <w:rsid w:val="00733F09"/>
    <w:rsid w:val="0073403A"/>
    <w:rsid w:val="00735753"/>
    <w:rsid w:val="00735CCC"/>
    <w:rsid w:val="007368DC"/>
    <w:rsid w:val="00736AC9"/>
    <w:rsid w:val="00741A4E"/>
    <w:rsid w:val="00742E97"/>
    <w:rsid w:val="007452E0"/>
    <w:rsid w:val="00745BD4"/>
    <w:rsid w:val="00750378"/>
    <w:rsid w:val="007505FB"/>
    <w:rsid w:val="007524B0"/>
    <w:rsid w:val="00752997"/>
    <w:rsid w:val="007533EC"/>
    <w:rsid w:val="0075532D"/>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8F1"/>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11C"/>
    <w:rsid w:val="007B37E0"/>
    <w:rsid w:val="007B4784"/>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5A40"/>
    <w:rsid w:val="007E7ABF"/>
    <w:rsid w:val="007F0907"/>
    <w:rsid w:val="007F0D24"/>
    <w:rsid w:val="007F10B5"/>
    <w:rsid w:val="007F1C81"/>
    <w:rsid w:val="007F6ABA"/>
    <w:rsid w:val="0080144C"/>
    <w:rsid w:val="00801B90"/>
    <w:rsid w:val="008029D6"/>
    <w:rsid w:val="00804A3C"/>
    <w:rsid w:val="00804A98"/>
    <w:rsid w:val="00805C3A"/>
    <w:rsid w:val="00806020"/>
    <w:rsid w:val="008061B8"/>
    <w:rsid w:val="008100CF"/>
    <w:rsid w:val="008129B1"/>
    <w:rsid w:val="00817A12"/>
    <w:rsid w:val="0082437E"/>
    <w:rsid w:val="008259FD"/>
    <w:rsid w:val="00825B2C"/>
    <w:rsid w:val="00825D67"/>
    <w:rsid w:val="00826C1C"/>
    <w:rsid w:val="00832BD0"/>
    <w:rsid w:val="00832C49"/>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262C"/>
    <w:rsid w:val="008734F5"/>
    <w:rsid w:val="00874DE6"/>
    <w:rsid w:val="00875104"/>
    <w:rsid w:val="008774D2"/>
    <w:rsid w:val="00880E40"/>
    <w:rsid w:val="00881FA2"/>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E6921"/>
    <w:rsid w:val="008F1AA9"/>
    <w:rsid w:val="008F7C5B"/>
    <w:rsid w:val="00901B61"/>
    <w:rsid w:val="00901C4E"/>
    <w:rsid w:val="00904502"/>
    <w:rsid w:val="009049C0"/>
    <w:rsid w:val="00906257"/>
    <w:rsid w:val="009069D6"/>
    <w:rsid w:val="00910EF6"/>
    <w:rsid w:val="00911B1A"/>
    <w:rsid w:val="00912380"/>
    <w:rsid w:val="009124F6"/>
    <w:rsid w:val="00912BC1"/>
    <w:rsid w:val="00913B67"/>
    <w:rsid w:val="0091520D"/>
    <w:rsid w:val="00915B08"/>
    <w:rsid w:val="00917921"/>
    <w:rsid w:val="00921DD1"/>
    <w:rsid w:val="009225FE"/>
    <w:rsid w:val="00923D31"/>
    <w:rsid w:val="00923F94"/>
    <w:rsid w:val="00926DD3"/>
    <w:rsid w:val="00935308"/>
    <w:rsid w:val="009361FD"/>
    <w:rsid w:val="009406D2"/>
    <w:rsid w:val="00940F17"/>
    <w:rsid w:val="009414C5"/>
    <w:rsid w:val="009427F2"/>
    <w:rsid w:val="00944F64"/>
    <w:rsid w:val="00945CE1"/>
    <w:rsid w:val="00945ED0"/>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5C1D"/>
    <w:rsid w:val="00996BF2"/>
    <w:rsid w:val="009A222A"/>
    <w:rsid w:val="009A26CA"/>
    <w:rsid w:val="009A44C2"/>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4A"/>
    <w:rsid w:val="009F4352"/>
    <w:rsid w:val="009F45FE"/>
    <w:rsid w:val="009F4E4E"/>
    <w:rsid w:val="009F6717"/>
    <w:rsid w:val="00A01F6A"/>
    <w:rsid w:val="00A0321B"/>
    <w:rsid w:val="00A045CA"/>
    <w:rsid w:val="00A04DC3"/>
    <w:rsid w:val="00A0597B"/>
    <w:rsid w:val="00A05DAD"/>
    <w:rsid w:val="00A05EB2"/>
    <w:rsid w:val="00A06FB4"/>
    <w:rsid w:val="00A14350"/>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156"/>
    <w:rsid w:val="00A853D1"/>
    <w:rsid w:val="00A85AA3"/>
    <w:rsid w:val="00A86302"/>
    <w:rsid w:val="00A86D69"/>
    <w:rsid w:val="00A90EE0"/>
    <w:rsid w:val="00A9123D"/>
    <w:rsid w:val="00A918D2"/>
    <w:rsid w:val="00A91DC0"/>
    <w:rsid w:val="00A91EEC"/>
    <w:rsid w:val="00A92534"/>
    <w:rsid w:val="00A927C4"/>
    <w:rsid w:val="00A92BCA"/>
    <w:rsid w:val="00A93B9E"/>
    <w:rsid w:val="00A958A4"/>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0D9B"/>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BB9"/>
    <w:rsid w:val="00B45C4D"/>
    <w:rsid w:val="00B50CF6"/>
    <w:rsid w:val="00B50E59"/>
    <w:rsid w:val="00B53FF2"/>
    <w:rsid w:val="00B54620"/>
    <w:rsid w:val="00B54F42"/>
    <w:rsid w:val="00B55CDD"/>
    <w:rsid w:val="00B56E4F"/>
    <w:rsid w:val="00B612B5"/>
    <w:rsid w:val="00B63345"/>
    <w:rsid w:val="00B63A7A"/>
    <w:rsid w:val="00B652B0"/>
    <w:rsid w:val="00B70D13"/>
    <w:rsid w:val="00B7119B"/>
    <w:rsid w:val="00B71CF1"/>
    <w:rsid w:val="00B72847"/>
    <w:rsid w:val="00B7318F"/>
    <w:rsid w:val="00B73A3D"/>
    <w:rsid w:val="00B74168"/>
    <w:rsid w:val="00B746F1"/>
    <w:rsid w:val="00B7481E"/>
    <w:rsid w:val="00B748AE"/>
    <w:rsid w:val="00B75A76"/>
    <w:rsid w:val="00B75DB2"/>
    <w:rsid w:val="00B7681E"/>
    <w:rsid w:val="00B81EB1"/>
    <w:rsid w:val="00B832A3"/>
    <w:rsid w:val="00B83AFF"/>
    <w:rsid w:val="00B84886"/>
    <w:rsid w:val="00B84958"/>
    <w:rsid w:val="00B86A9F"/>
    <w:rsid w:val="00B90E4C"/>
    <w:rsid w:val="00B910E8"/>
    <w:rsid w:val="00B93137"/>
    <w:rsid w:val="00B9328C"/>
    <w:rsid w:val="00B94CD8"/>
    <w:rsid w:val="00B94EA1"/>
    <w:rsid w:val="00B96F16"/>
    <w:rsid w:val="00B97A54"/>
    <w:rsid w:val="00BA0974"/>
    <w:rsid w:val="00BA0ACD"/>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2F5A"/>
    <w:rsid w:val="00C549BC"/>
    <w:rsid w:val="00C54F71"/>
    <w:rsid w:val="00C56251"/>
    <w:rsid w:val="00C5667B"/>
    <w:rsid w:val="00C56A65"/>
    <w:rsid w:val="00C56FE0"/>
    <w:rsid w:val="00C571B1"/>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8CB"/>
    <w:rsid w:val="00C90EAC"/>
    <w:rsid w:val="00C917FD"/>
    <w:rsid w:val="00C93D01"/>
    <w:rsid w:val="00C951DF"/>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8F8"/>
    <w:rsid w:val="00CD4A21"/>
    <w:rsid w:val="00CE3A6F"/>
    <w:rsid w:val="00CE63F9"/>
    <w:rsid w:val="00CE682C"/>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96F"/>
    <w:rsid w:val="00D17BDD"/>
    <w:rsid w:val="00D24F7B"/>
    <w:rsid w:val="00D30F03"/>
    <w:rsid w:val="00D33180"/>
    <w:rsid w:val="00D338B1"/>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25B"/>
    <w:rsid w:val="00D644BD"/>
    <w:rsid w:val="00D65500"/>
    <w:rsid w:val="00D65F8F"/>
    <w:rsid w:val="00D664A9"/>
    <w:rsid w:val="00D66520"/>
    <w:rsid w:val="00D66C5B"/>
    <w:rsid w:val="00D671E2"/>
    <w:rsid w:val="00D67E0A"/>
    <w:rsid w:val="00D712E9"/>
    <w:rsid w:val="00D7566A"/>
    <w:rsid w:val="00D7630B"/>
    <w:rsid w:val="00D84279"/>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D6E8A"/>
    <w:rsid w:val="00DE07E4"/>
    <w:rsid w:val="00DE0877"/>
    <w:rsid w:val="00DE0FF8"/>
    <w:rsid w:val="00DE3EBF"/>
    <w:rsid w:val="00DE6D39"/>
    <w:rsid w:val="00DE7345"/>
    <w:rsid w:val="00DE76EB"/>
    <w:rsid w:val="00DF51CA"/>
    <w:rsid w:val="00DF5581"/>
    <w:rsid w:val="00DF6EEE"/>
    <w:rsid w:val="00DF7501"/>
    <w:rsid w:val="00DF7936"/>
    <w:rsid w:val="00DF7D45"/>
    <w:rsid w:val="00E004EF"/>
    <w:rsid w:val="00E04B6F"/>
    <w:rsid w:val="00E13281"/>
    <w:rsid w:val="00E13833"/>
    <w:rsid w:val="00E17001"/>
    <w:rsid w:val="00E17406"/>
    <w:rsid w:val="00E20AE5"/>
    <w:rsid w:val="00E20F00"/>
    <w:rsid w:val="00E21297"/>
    <w:rsid w:val="00E21D5B"/>
    <w:rsid w:val="00E22B28"/>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0599"/>
    <w:rsid w:val="00E61288"/>
    <w:rsid w:val="00E628D9"/>
    <w:rsid w:val="00E63ADA"/>
    <w:rsid w:val="00E640E0"/>
    <w:rsid w:val="00E645F6"/>
    <w:rsid w:val="00E64C5F"/>
    <w:rsid w:val="00E6580C"/>
    <w:rsid w:val="00E664F4"/>
    <w:rsid w:val="00E70355"/>
    <w:rsid w:val="00E72855"/>
    <w:rsid w:val="00E72E5D"/>
    <w:rsid w:val="00E7377F"/>
    <w:rsid w:val="00E74710"/>
    <w:rsid w:val="00E74C1D"/>
    <w:rsid w:val="00E75ACC"/>
    <w:rsid w:val="00E77BDF"/>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24F"/>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2D9"/>
    <w:rsid w:val="00EE3C59"/>
    <w:rsid w:val="00EE5B70"/>
    <w:rsid w:val="00EE66B6"/>
    <w:rsid w:val="00EE7B48"/>
    <w:rsid w:val="00EF0AFA"/>
    <w:rsid w:val="00EF38E5"/>
    <w:rsid w:val="00EF3F20"/>
    <w:rsid w:val="00EF5C33"/>
    <w:rsid w:val="00EF629C"/>
    <w:rsid w:val="00EF6508"/>
    <w:rsid w:val="00EF6AB8"/>
    <w:rsid w:val="00EF7C6E"/>
    <w:rsid w:val="00F012F4"/>
    <w:rsid w:val="00F01632"/>
    <w:rsid w:val="00F019EF"/>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5CC7"/>
    <w:rsid w:val="00F27444"/>
    <w:rsid w:val="00F317CA"/>
    <w:rsid w:val="00F319F3"/>
    <w:rsid w:val="00F31BFB"/>
    <w:rsid w:val="00F323E7"/>
    <w:rsid w:val="00F324D2"/>
    <w:rsid w:val="00F32A56"/>
    <w:rsid w:val="00F335E4"/>
    <w:rsid w:val="00F35509"/>
    <w:rsid w:val="00F358C3"/>
    <w:rsid w:val="00F368C8"/>
    <w:rsid w:val="00F37661"/>
    <w:rsid w:val="00F413D8"/>
    <w:rsid w:val="00F42100"/>
    <w:rsid w:val="00F42A9B"/>
    <w:rsid w:val="00F45470"/>
    <w:rsid w:val="00F464FE"/>
    <w:rsid w:val="00F465F9"/>
    <w:rsid w:val="00F47621"/>
    <w:rsid w:val="00F47EAC"/>
    <w:rsid w:val="00F56B2F"/>
    <w:rsid w:val="00F570AB"/>
    <w:rsid w:val="00F571A5"/>
    <w:rsid w:val="00F57A71"/>
    <w:rsid w:val="00F6006F"/>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2DAE"/>
    <w:rsid w:val="00FC33A2"/>
    <w:rsid w:val="00FC7C25"/>
    <w:rsid w:val="00FD1C2E"/>
    <w:rsid w:val="00FD3574"/>
    <w:rsid w:val="00FD602D"/>
    <w:rsid w:val="00FD60D2"/>
    <w:rsid w:val="00FD6697"/>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8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92159437">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08245696">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514589">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8119687">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ADAMS, Matthew</cp:lastModifiedBy>
  <cp:revision>3</cp:revision>
  <cp:lastPrinted>2019-09-23T06:46:00Z</cp:lastPrinted>
  <dcterms:created xsi:type="dcterms:W3CDTF">2022-12-12T03:57:00Z</dcterms:created>
  <dcterms:modified xsi:type="dcterms:W3CDTF">2022-12-12T03:58:00Z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