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163EEC" w:rsidRPr="00E500D4" w:rsidRDefault="00163EEC" w:rsidP="00163EEC">
      <w:pPr>
        <w:pStyle w:val="ShortT"/>
      </w:pPr>
      <w:r w:rsidRPr="000049A8">
        <w:t xml:space="preserve">Defence Honours and Awards Appeals Tribunal </w:t>
      </w:r>
      <w:r>
        <w:t xml:space="preserve">Amendment </w:t>
      </w:r>
      <w:r w:rsidRPr="000049A8">
        <w:t>Procedural R</w:t>
      </w:r>
      <w:r>
        <w:t>ules 2022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63EEC">
        <w:rPr>
          <w:szCs w:val="22"/>
        </w:rPr>
        <w:t xml:space="preserve">Stephen </w:t>
      </w:r>
      <w:proofErr w:type="spellStart"/>
      <w:r w:rsidR="00163EEC">
        <w:rPr>
          <w:szCs w:val="22"/>
        </w:rPr>
        <w:t>Skehill</w:t>
      </w:r>
      <w:proofErr w:type="spellEnd"/>
      <w:r w:rsidR="00163EEC" w:rsidRPr="00DA182D">
        <w:rPr>
          <w:szCs w:val="22"/>
        </w:rPr>
        <w:t xml:space="preserve">, </w:t>
      </w:r>
      <w:r w:rsidR="00163EEC">
        <w:rPr>
          <w:szCs w:val="22"/>
        </w:rPr>
        <w:t>Chair of the Defence Honours and Awards Appeals Tribunal</w:t>
      </w:r>
      <w:r w:rsidR="00163EEC" w:rsidRPr="00DA182D">
        <w:rPr>
          <w:szCs w:val="22"/>
        </w:rPr>
        <w:t xml:space="preserve">, </w:t>
      </w:r>
      <w:r w:rsidR="00163EEC">
        <w:rPr>
          <w:szCs w:val="22"/>
        </w:rPr>
        <w:t>make the following procedural rules.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942F04">
        <w:rPr>
          <w:szCs w:val="22"/>
        </w:rPr>
        <w:t>12 December 2022</w:t>
      </w:r>
      <w:r w:rsidRPr="00001A63">
        <w:rPr>
          <w:szCs w:val="22"/>
        </w:rPr>
        <w:tab/>
      </w:r>
    </w:p>
    <w:p w:rsidR="00163EEC" w:rsidRDefault="00163EEC" w:rsidP="00163EE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Stephen </w:t>
      </w:r>
      <w:proofErr w:type="spellStart"/>
      <w:r>
        <w:rPr>
          <w:szCs w:val="22"/>
        </w:rPr>
        <w:t>Skehill</w:t>
      </w:r>
      <w:proofErr w:type="spellEnd"/>
      <w:r w:rsidRPr="00A75FE9">
        <w:rPr>
          <w:szCs w:val="22"/>
        </w:rPr>
        <w:t xml:space="preserve"> </w:t>
      </w:r>
    </w:p>
    <w:p w:rsidR="00163EEC" w:rsidRPr="000D3FB9" w:rsidRDefault="00163EEC" w:rsidP="00163EEC">
      <w:pPr>
        <w:pStyle w:val="SignCoverPageEnd"/>
        <w:ind w:right="91"/>
        <w:rPr>
          <w:sz w:val="22"/>
        </w:rPr>
      </w:pPr>
      <w:r>
        <w:rPr>
          <w:sz w:val="22"/>
        </w:rPr>
        <w:t>Chair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163EE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63EEC">
        <w:rPr>
          <w:noProof/>
        </w:rPr>
        <w:t>1  Name</w:t>
      </w:r>
      <w:r w:rsidR="00163EEC">
        <w:rPr>
          <w:noProof/>
        </w:rPr>
        <w:tab/>
      </w:r>
      <w:r w:rsidR="00163EEC">
        <w:rPr>
          <w:noProof/>
        </w:rPr>
        <w:fldChar w:fldCharType="begin"/>
      </w:r>
      <w:r w:rsidR="00163EEC">
        <w:rPr>
          <w:noProof/>
        </w:rPr>
        <w:instrText xml:space="preserve"> PAGEREF _Toc121236842 \h </w:instrText>
      </w:r>
      <w:r w:rsidR="00163EEC">
        <w:rPr>
          <w:noProof/>
        </w:rPr>
      </w:r>
      <w:r w:rsidR="00163EEC">
        <w:rPr>
          <w:noProof/>
        </w:rPr>
        <w:fldChar w:fldCharType="separate"/>
      </w:r>
      <w:r w:rsidR="00163EEC">
        <w:rPr>
          <w:noProof/>
        </w:rPr>
        <w:t>1</w:t>
      </w:r>
      <w:r w:rsidR="00163EEC">
        <w:rPr>
          <w:noProof/>
        </w:rPr>
        <w:fldChar w:fldCharType="end"/>
      </w:r>
    </w:p>
    <w:p w:rsidR="00163EEC" w:rsidRDefault="00163E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_Toc121236843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63EEC" w:rsidRDefault="00163E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_Toc121236844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63EEC" w:rsidRDefault="00163E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_Toc121236845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63EEC" w:rsidRDefault="00163E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_Toc121236846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Pr="00163EEC" w:rsidRDefault="00163EEC" w:rsidP="00163E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Honours and Awards Appeals Tribunal Procedural Rules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_Toc121236847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="00B20990" w:rsidRPr="005E317F"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2123684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63EEC">
        <w:rPr>
          <w:i/>
        </w:rPr>
        <w:t>Defence Honours and Awards Appeals Tribunal Amendment Procedural Rules 2022.</w:t>
      </w:r>
    </w:p>
    <w:p w:rsidR="005E317F" w:rsidRDefault="005E317F" w:rsidP="005E317F">
      <w:pPr>
        <w:pStyle w:val="ActHead5"/>
      </w:pPr>
      <w:bookmarkStart w:id="4" w:name="_Toc12123684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163EEC">
              <w:rPr>
                <w:i/>
              </w:rPr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163EEC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12123684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63EEC">
        <w:t>section</w:t>
      </w:r>
      <w:r w:rsidR="00163EEC" w:rsidRPr="009C2562">
        <w:t xml:space="preserve"> </w:t>
      </w:r>
      <w:r w:rsidR="00163EEC" w:rsidRPr="004E3297">
        <w:t xml:space="preserve">110XH of the </w:t>
      </w:r>
      <w:r w:rsidR="00163EEC" w:rsidRPr="004E3297">
        <w:rPr>
          <w:i/>
        </w:rPr>
        <w:t>Defence Act 1903</w:t>
      </w:r>
      <w:r w:rsidR="00163EEC" w:rsidRPr="004E3297">
        <w:t>.</w:t>
      </w:r>
    </w:p>
    <w:p w:rsidR="005E317F" w:rsidRPr="006065DA" w:rsidRDefault="005E317F" w:rsidP="005E317F">
      <w:pPr>
        <w:pStyle w:val="ActHead5"/>
      </w:pPr>
      <w:bookmarkStart w:id="6" w:name="_Toc121236845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12123684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163EEC" w:rsidRDefault="00163EEC" w:rsidP="00163EEC">
      <w:pPr>
        <w:pStyle w:val="ActHead9"/>
      </w:pPr>
      <w:bookmarkStart w:id="8" w:name="_Toc114141024"/>
      <w:bookmarkStart w:id="9" w:name="_Toc121236847"/>
      <w:r w:rsidRPr="007949C3">
        <w:rPr>
          <w:noProof/>
        </w:rPr>
        <w:t>Defence Honours and Awards Appeals Tribunal Procedural Rules 2021</w:t>
      </w:r>
      <w:bookmarkEnd w:id="8"/>
      <w:bookmarkEnd w:id="9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163EEC">
        <w:t>Rule</w:t>
      </w:r>
      <w:proofErr w:type="gramEnd"/>
      <w:r w:rsidR="00163EEC">
        <w:t xml:space="preserve"> 4 (definition of </w:t>
      </w:r>
      <w:r w:rsidR="00163EEC" w:rsidRPr="007949C3">
        <w:rPr>
          <w:i/>
        </w:rPr>
        <w:t>approved form</w:t>
      </w:r>
      <w:r w:rsidR="00163EEC">
        <w:t>)</w:t>
      </w:r>
    </w:p>
    <w:p w:rsidR="00163EEC" w:rsidRDefault="00163EEC" w:rsidP="00163EEC">
      <w:pPr>
        <w:pStyle w:val="Item"/>
      </w:pPr>
      <w:r>
        <w:t>Omit</w:t>
      </w:r>
      <w:r w:rsidRPr="001F1772">
        <w:t xml:space="preserve"> “4”, substitute “6”.</w:t>
      </w:r>
    </w:p>
    <w:p w:rsidR="005E317F" w:rsidRDefault="005E317F" w:rsidP="005E317F">
      <w:pPr>
        <w:pStyle w:val="ItemHead"/>
      </w:pPr>
      <w:proofErr w:type="gramStart"/>
      <w:r>
        <w:t xml:space="preserve">2  </w:t>
      </w:r>
      <w:r w:rsidR="00163EEC">
        <w:t>Rule</w:t>
      </w:r>
      <w:proofErr w:type="gramEnd"/>
      <w:r w:rsidR="00163EEC">
        <w:t xml:space="preserve"> 4 (definition of </w:t>
      </w:r>
      <w:r w:rsidR="00163EEC" w:rsidRPr="007949C3">
        <w:rPr>
          <w:i/>
        </w:rPr>
        <w:t>audio link</w:t>
      </w:r>
      <w:r w:rsidR="00163EEC">
        <w:t>)</w:t>
      </w:r>
    </w:p>
    <w:p w:rsidR="00163EEC" w:rsidRDefault="00163EEC" w:rsidP="00163EEC">
      <w:pPr>
        <w:pStyle w:val="Item"/>
      </w:pPr>
      <w:r>
        <w:t>Repeal the definition</w:t>
      </w:r>
      <w:r w:rsidRPr="001F1772">
        <w:t>, substitute</w:t>
      </w:r>
      <w:r>
        <w:t>:</w:t>
      </w:r>
    </w:p>
    <w:p w:rsidR="00163EEC" w:rsidRDefault="00163EEC" w:rsidP="00163EEC">
      <w:pPr>
        <w:pStyle w:val="subsection"/>
        <w:tabs>
          <w:tab w:val="clear" w:pos="1021"/>
          <w:tab w:val="right" w:pos="1276"/>
        </w:tabs>
        <w:ind w:firstLine="0"/>
        <w:rPr>
          <w:color w:val="000000"/>
          <w:szCs w:val="22"/>
          <w:shd w:val="clear" w:color="auto" w:fill="FFFFFF"/>
        </w:rPr>
      </w:pPr>
      <w:proofErr w:type="gramStart"/>
      <w:r>
        <w:rPr>
          <w:b/>
          <w:i/>
        </w:rPr>
        <w:t>audio</w:t>
      </w:r>
      <w:proofErr w:type="gramEnd"/>
      <w:r>
        <w:rPr>
          <w:b/>
          <w:i/>
        </w:rPr>
        <w:t xml:space="preserve"> l</w:t>
      </w:r>
      <w:r w:rsidRPr="001F1772">
        <w:rPr>
          <w:b/>
          <w:i/>
        </w:rPr>
        <w:t>ink</w:t>
      </w:r>
      <w:r>
        <w:t xml:space="preserve"> </w:t>
      </w:r>
      <w:r>
        <w:rPr>
          <w:color w:val="000000"/>
          <w:szCs w:val="22"/>
          <w:shd w:val="clear" w:color="auto" w:fill="FFFFFF"/>
        </w:rPr>
        <w:t>means facilities (for example, telephone facilities) that enable audio communication between persons in different places.</w:t>
      </w:r>
    </w:p>
    <w:p w:rsidR="005E317F" w:rsidRDefault="005E317F" w:rsidP="005E317F">
      <w:pPr>
        <w:pStyle w:val="ItemHead"/>
      </w:pPr>
      <w:proofErr w:type="gramStart"/>
      <w:r>
        <w:t xml:space="preserve">3  </w:t>
      </w:r>
      <w:r w:rsidR="00163EEC">
        <w:t>Rule</w:t>
      </w:r>
      <w:proofErr w:type="gramEnd"/>
      <w:r w:rsidR="00163EEC">
        <w:t xml:space="preserve"> 4 (definition of </w:t>
      </w:r>
      <w:proofErr w:type="spellStart"/>
      <w:r w:rsidR="00163EEC" w:rsidRPr="00596BE0">
        <w:rPr>
          <w:i/>
        </w:rPr>
        <w:t>audi</w:t>
      </w:r>
      <w:r w:rsidR="00163EEC">
        <w:rPr>
          <w:i/>
        </w:rPr>
        <w:t>o</w:t>
      </w:r>
      <w:r w:rsidR="00163EEC" w:rsidRPr="00596BE0">
        <w:rPr>
          <w:i/>
        </w:rPr>
        <w:t>visual</w:t>
      </w:r>
      <w:proofErr w:type="spellEnd"/>
      <w:r w:rsidR="00163EEC" w:rsidRPr="00596BE0">
        <w:rPr>
          <w:i/>
        </w:rPr>
        <w:t xml:space="preserve"> link</w:t>
      </w:r>
      <w:r w:rsidR="00163EEC">
        <w:t>)</w:t>
      </w:r>
    </w:p>
    <w:p w:rsidR="00163EEC" w:rsidRDefault="00163EEC" w:rsidP="00163EEC">
      <w:pPr>
        <w:pStyle w:val="Item"/>
      </w:pPr>
      <w:r>
        <w:t>Repeal the definition, insert:</w:t>
      </w:r>
    </w:p>
    <w:p w:rsidR="00163EEC" w:rsidRDefault="00163EEC" w:rsidP="00163EEC">
      <w:pPr>
        <w:pStyle w:val="subsection"/>
        <w:tabs>
          <w:tab w:val="clear" w:pos="1021"/>
          <w:tab w:val="right" w:pos="1276"/>
        </w:tabs>
        <w:ind w:firstLine="0"/>
        <w:rPr>
          <w:color w:val="000000"/>
          <w:szCs w:val="22"/>
          <w:shd w:val="clear" w:color="auto" w:fill="FFFFFF"/>
        </w:rPr>
      </w:pPr>
      <w:proofErr w:type="gramStart"/>
      <w:r>
        <w:rPr>
          <w:b/>
          <w:i/>
        </w:rPr>
        <w:t>video</w:t>
      </w:r>
      <w:proofErr w:type="gramEnd"/>
      <w:r w:rsidRPr="00596BE0">
        <w:rPr>
          <w:b/>
          <w:i/>
        </w:rPr>
        <w:t xml:space="preserve"> link</w:t>
      </w:r>
      <w:r w:rsidRPr="00596BE0">
        <w:t xml:space="preserve"> </w:t>
      </w:r>
      <w:r w:rsidRPr="009E552C">
        <w:rPr>
          <w:color w:val="000000"/>
          <w:szCs w:val="22"/>
          <w:shd w:val="clear" w:color="auto" w:fill="FFFFFF"/>
        </w:rPr>
        <w:t>means facilities (for example, closed</w:t>
      </w:r>
      <w:r w:rsidRPr="009E552C">
        <w:rPr>
          <w:color w:val="000000"/>
          <w:szCs w:val="22"/>
          <w:shd w:val="clear" w:color="auto" w:fill="FFFFFF"/>
        </w:rPr>
        <w:noBreakHyphen/>
        <w:t>circuit television facilities) that enable audio and visual communication between persons in different places.</w:t>
      </w:r>
    </w:p>
    <w:p w:rsidR="005E317F" w:rsidRDefault="005E317F" w:rsidP="005E317F">
      <w:pPr>
        <w:pStyle w:val="ItemHead"/>
      </w:pPr>
      <w:proofErr w:type="gramStart"/>
      <w:r>
        <w:t xml:space="preserve">4  </w:t>
      </w:r>
      <w:proofErr w:type="spellStart"/>
      <w:r w:rsidR="00163EEC">
        <w:t>Subrule</w:t>
      </w:r>
      <w:proofErr w:type="spellEnd"/>
      <w:proofErr w:type="gramEnd"/>
      <w:r w:rsidR="00163EEC">
        <w:t xml:space="preserve"> 9(1)</w:t>
      </w:r>
    </w:p>
    <w:p w:rsidR="00163EEC" w:rsidRDefault="00163EEC" w:rsidP="00163EEC">
      <w:pPr>
        <w:pStyle w:val="Item"/>
      </w:pPr>
      <w:r w:rsidRPr="00F9458C">
        <w:t>After the word “Secretary”, insert “</w:t>
      </w:r>
      <w:r>
        <w:t xml:space="preserve">, </w:t>
      </w:r>
      <w:r w:rsidRPr="00F9458C">
        <w:t>or an office hol</w:t>
      </w:r>
      <w:r>
        <w:t xml:space="preserve">der designated by the Secretary in writing from time to time </w:t>
      </w:r>
      <w:r w:rsidRPr="00163EEC">
        <w:t>and notified to the Tribunal</w:t>
      </w:r>
      <w:r>
        <w:t xml:space="preserve"> (</w:t>
      </w:r>
      <w:r w:rsidRPr="009D6EC2">
        <w:rPr>
          <w:b/>
          <w:i/>
        </w:rPr>
        <w:t>designated office holder</w:t>
      </w:r>
      <w:r w:rsidR="001709C6">
        <w:t>)”.</w:t>
      </w:r>
    </w:p>
    <w:p w:rsidR="00163EEC" w:rsidRDefault="005E317F" w:rsidP="00163EEC">
      <w:pPr>
        <w:pStyle w:val="ItemHead"/>
        <w:ind w:left="0" w:firstLine="0"/>
      </w:pPr>
      <w:proofErr w:type="gramStart"/>
      <w:r>
        <w:t xml:space="preserve">5  </w:t>
      </w:r>
      <w:proofErr w:type="spellStart"/>
      <w:r w:rsidR="00163EEC">
        <w:t>Subrules</w:t>
      </w:r>
      <w:proofErr w:type="spellEnd"/>
      <w:proofErr w:type="gramEnd"/>
      <w:r w:rsidR="00163EEC">
        <w:t xml:space="preserve"> 9(2), 9(3), 9(5) and 9(6)</w:t>
      </w:r>
    </w:p>
    <w:p w:rsidR="00163EEC" w:rsidRDefault="00163EEC" w:rsidP="00163EEC">
      <w:pPr>
        <w:pStyle w:val="Item"/>
      </w:pPr>
      <w:r>
        <w:t xml:space="preserve">After the word </w:t>
      </w:r>
      <w:r w:rsidRPr="00F9458C">
        <w:t xml:space="preserve">“Secretary”, </w:t>
      </w:r>
      <w:r>
        <w:t>wherever occurring</w:t>
      </w:r>
      <w:r w:rsidRPr="009D6EC2">
        <w:t xml:space="preserve">, </w:t>
      </w:r>
      <w:r>
        <w:t xml:space="preserve">insert </w:t>
      </w:r>
      <w:r w:rsidRPr="009D6EC2">
        <w:t>“or designated office holder”.</w:t>
      </w:r>
      <w:r>
        <w:t xml:space="preserve"> </w:t>
      </w:r>
    </w:p>
    <w:p w:rsidR="00163EEC" w:rsidRDefault="005E317F" w:rsidP="00163EEC">
      <w:pPr>
        <w:pStyle w:val="ItemHead"/>
        <w:ind w:left="0" w:firstLine="0"/>
      </w:pPr>
      <w:proofErr w:type="gramStart"/>
      <w:r>
        <w:t xml:space="preserve">6  </w:t>
      </w:r>
      <w:proofErr w:type="spellStart"/>
      <w:r w:rsidR="00163EEC">
        <w:t>Subrule</w:t>
      </w:r>
      <w:proofErr w:type="spellEnd"/>
      <w:proofErr w:type="gramEnd"/>
      <w:r w:rsidR="00163EEC">
        <w:t xml:space="preserve"> 10(1)</w:t>
      </w:r>
    </w:p>
    <w:p w:rsidR="00163EEC" w:rsidRPr="00737051" w:rsidRDefault="00163EEC" w:rsidP="00163EEC">
      <w:pPr>
        <w:pStyle w:val="Item"/>
      </w:pPr>
      <w:r>
        <w:t xml:space="preserve">Omit “7”, substitute “9”.  </w:t>
      </w:r>
    </w:p>
    <w:p w:rsidR="00163EEC" w:rsidRDefault="00163EEC" w:rsidP="00163EEC">
      <w:pPr>
        <w:pStyle w:val="ItemHead"/>
      </w:pPr>
      <w:proofErr w:type="gramStart"/>
      <w:r>
        <w:t>7  Paragraphs</w:t>
      </w:r>
      <w:proofErr w:type="gramEnd"/>
      <w:r>
        <w:t xml:space="preserve"> 11(1)(a) and 11(1)(b)</w:t>
      </w:r>
    </w:p>
    <w:p w:rsidR="00163EEC" w:rsidRDefault="00163EEC" w:rsidP="00163EEC">
      <w:pPr>
        <w:pStyle w:val="Item"/>
      </w:pPr>
      <w:r>
        <w:t>Omit “7”, substitute “9”.</w:t>
      </w:r>
    </w:p>
    <w:p w:rsidR="00163EEC" w:rsidRDefault="00163EEC" w:rsidP="00163EEC">
      <w:pPr>
        <w:pStyle w:val="ItemHead"/>
        <w:ind w:left="0" w:firstLine="0"/>
      </w:pPr>
      <w:proofErr w:type="gramStart"/>
      <w:r>
        <w:t xml:space="preserve">8  </w:t>
      </w:r>
      <w:proofErr w:type="spellStart"/>
      <w:r>
        <w:t>Subrule</w:t>
      </w:r>
      <w:proofErr w:type="spellEnd"/>
      <w:proofErr w:type="gramEnd"/>
      <w:r>
        <w:t xml:space="preserve"> 11(2)</w:t>
      </w:r>
    </w:p>
    <w:p w:rsidR="00163EEC" w:rsidRDefault="00163EEC" w:rsidP="00163EEC">
      <w:pPr>
        <w:pStyle w:val="Item"/>
      </w:pPr>
      <w:r>
        <w:t>After the word “Secretary”</w:t>
      </w:r>
      <w:r w:rsidRPr="009D6EC2">
        <w:t xml:space="preserve">, </w:t>
      </w:r>
      <w:r>
        <w:t xml:space="preserve">insert </w:t>
      </w:r>
      <w:r w:rsidRPr="009D6EC2">
        <w:t>“or designated office holder”.</w:t>
      </w:r>
      <w:r>
        <w:t xml:space="preserve"> </w:t>
      </w:r>
    </w:p>
    <w:p w:rsidR="00163EEC" w:rsidRDefault="00163EEC" w:rsidP="00163EEC">
      <w:pPr>
        <w:pStyle w:val="ItemHead"/>
      </w:pPr>
      <w:proofErr w:type="gramStart"/>
      <w:r>
        <w:t>9  Paragraph</w:t>
      </w:r>
      <w:proofErr w:type="gramEnd"/>
      <w:r>
        <w:t xml:space="preserve"> 15(1)(c)</w:t>
      </w:r>
    </w:p>
    <w:p w:rsidR="00163EEC" w:rsidRDefault="00163EEC" w:rsidP="00163EEC">
      <w:pPr>
        <w:pStyle w:val="Item"/>
      </w:pPr>
      <w:r>
        <w:t>Omit “</w:t>
      </w:r>
      <w:proofErr w:type="spellStart"/>
      <w:r w:rsidRPr="0049682E">
        <w:t>audiovisual</w:t>
      </w:r>
      <w:proofErr w:type="spellEnd"/>
      <w:r>
        <w:t xml:space="preserve">”, substitute “video”. </w:t>
      </w:r>
    </w:p>
    <w:p w:rsidR="00163EEC" w:rsidRDefault="00163EEC" w:rsidP="00163EEC">
      <w:pPr>
        <w:pStyle w:val="ItemHead"/>
      </w:pPr>
      <w:proofErr w:type="gramStart"/>
      <w:r>
        <w:t xml:space="preserve">10  </w:t>
      </w:r>
      <w:proofErr w:type="spellStart"/>
      <w:r>
        <w:t>Subrule</w:t>
      </w:r>
      <w:proofErr w:type="spellEnd"/>
      <w:proofErr w:type="gramEnd"/>
      <w:r>
        <w:t xml:space="preserve"> 18(4)</w:t>
      </w:r>
    </w:p>
    <w:p w:rsidR="00163EEC" w:rsidRDefault="00163EEC" w:rsidP="00163EEC">
      <w:pPr>
        <w:pStyle w:val="Item"/>
      </w:pPr>
      <w:r w:rsidRPr="00F9458C">
        <w:t xml:space="preserve">Repeal the </w:t>
      </w:r>
      <w:proofErr w:type="spellStart"/>
      <w:r w:rsidRPr="00F9458C">
        <w:t>subrule</w:t>
      </w:r>
      <w:proofErr w:type="spellEnd"/>
      <w:r w:rsidRPr="00F9458C">
        <w:t>, substitute:</w:t>
      </w:r>
    </w:p>
    <w:p w:rsidR="00163EEC" w:rsidRDefault="00163EEC" w:rsidP="00163EEC">
      <w:pPr>
        <w:pStyle w:val="subsection"/>
        <w:tabs>
          <w:tab w:val="clear" w:pos="1021"/>
          <w:tab w:val="right" w:pos="1276"/>
        </w:tabs>
        <w:ind w:firstLine="0"/>
      </w:pPr>
      <w:r w:rsidRPr="00F9458C">
        <w:t>(4) The Chair may decide not to publish the name of an applicant or of a person to whom a recommendation relates or any other information that is likely to identify such a person, or to redact from the published version other personal information or sensitive information that the Chair considers it appropriate to withhold from publication.</w:t>
      </w:r>
    </w:p>
    <w:p w:rsidR="00163EEC" w:rsidRPr="00F9458C" w:rsidRDefault="00163EEC" w:rsidP="00163EEC">
      <w:pPr>
        <w:pStyle w:val="subsection"/>
        <w:tabs>
          <w:tab w:val="clear" w:pos="1021"/>
          <w:tab w:val="right" w:pos="1276"/>
        </w:tabs>
        <w:ind w:firstLine="0"/>
      </w:pPr>
    </w:p>
    <w:p w:rsidR="00163EEC" w:rsidRDefault="00163EEC" w:rsidP="00163EEC">
      <w:pPr>
        <w:pStyle w:val="ItemHead"/>
      </w:pPr>
      <w:proofErr w:type="gramStart"/>
      <w:r>
        <w:lastRenderedPageBreak/>
        <w:t>11  After</w:t>
      </w:r>
      <w:proofErr w:type="gramEnd"/>
      <w:r>
        <w:t xml:space="preserve"> </w:t>
      </w:r>
      <w:proofErr w:type="spellStart"/>
      <w:r>
        <w:t>Subrule</w:t>
      </w:r>
      <w:proofErr w:type="spellEnd"/>
      <w:r>
        <w:t xml:space="preserve"> 18(4)</w:t>
      </w:r>
    </w:p>
    <w:p w:rsidR="00163EEC" w:rsidRDefault="00163EEC" w:rsidP="00163EEC">
      <w:pPr>
        <w:pStyle w:val="Item"/>
      </w:pPr>
      <w:r>
        <w:t>Insert:</w:t>
      </w:r>
    </w:p>
    <w:p w:rsidR="00163EEC" w:rsidRDefault="00163EEC" w:rsidP="00163EEC">
      <w:pPr>
        <w:pStyle w:val="subsection"/>
        <w:tabs>
          <w:tab w:val="clear" w:pos="1021"/>
          <w:tab w:val="right" w:pos="1276"/>
        </w:tabs>
        <w:ind w:firstLine="0"/>
      </w:pPr>
      <w:r w:rsidRPr="00F9458C">
        <w:t xml:space="preserve">(5) The published version shall be published on the website 20 working days after it is provided to the parties, or at a later date as determined by the Chair as necessary to allow consideration of issues referred to in </w:t>
      </w:r>
      <w:proofErr w:type="spellStart"/>
      <w:r w:rsidRPr="00F9458C">
        <w:t>subrule</w:t>
      </w:r>
      <w:proofErr w:type="spellEnd"/>
      <w:r w:rsidRPr="00F9458C">
        <w:t xml:space="preserve"> (4).</w:t>
      </w:r>
    </w:p>
    <w:p w:rsidR="00163EEC" w:rsidRDefault="00163EEC" w:rsidP="00163EEC">
      <w:pPr>
        <w:pStyle w:val="ItemHead"/>
      </w:pPr>
      <w:proofErr w:type="gramStart"/>
      <w:r>
        <w:t>12  Paragraph</w:t>
      </w:r>
      <w:proofErr w:type="gramEnd"/>
      <w:r>
        <w:t xml:space="preserve"> 23(1)(b)</w:t>
      </w:r>
    </w:p>
    <w:p w:rsidR="00163EEC" w:rsidRDefault="00163EEC" w:rsidP="00163EEC">
      <w:pPr>
        <w:pStyle w:val="Item"/>
      </w:pPr>
      <w:r>
        <w:t>Omit “</w:t>
      </w:r>
      <w:proofErr w:type="spellStart"/>
      <w:r>
        <w:t>audiovisual</w:t>
      </w:r>
      <w:proofErr w:type="spellEnd"/>
      <w:r>
        <w:t xml:space="preserve"> 34”, substitute “video link”.  </w:t>
      </w:r>
    </w:p>
    <w:p w:rsidR="00163EEC" w:rsidRDefault="00163EEC" w:rsidP="00163EEC">
      <w:pPr>
        <w:pStyle w:val="ItemHead"/>
      </w:pPr>
      <w:proofErr w:type="gramStart"/>
      <w:r>
        <w:t>13  Rule</w:t>
      </w:r>
      <w:proofErr w:type="gramEnd"/>
      <w:r>
        <w:t xml:space="preserve"> 27</w:t>
      </w:r>
    </w:p>
    <w:p w:rsidR="00163EEC" w:rsidRDefault="00163EEC" w:rsidP="00163EEC">
      <w:pPr>
        <w:pStyle w:val="Item"/>
      </w:pPr>
      <w:r>
        <w:t xml:space="preserve">Repeal </w:t>
      </w:r>
      <w:r w:rsidRPr="00FC4B38">
        <w:t>the rule</w:t>
      </w:r>
      <w:r>
        <w:t>, substitute:</w:t>
      </w:r>
    </w:p>
    <w:p w:rsidR="00163EEC" w:rsidRPr="000B1EFC" w:rsidRDefault="00163EEC" w:rsidP="00163EEC">
      <w:pPr>
        <w:pStyle w:val="subsection"/>
        <w:tabs>
          <w:tab w:val="clear" w:pos="1021"/>
          <w:tab w:val="right" w:pos="1276"/>
        </w:tabs>
        <w:rPr>
          <w:b/>
        </w:rPr>
      </w:pPr>
      <w:r>
        <w:tab/>
      </w:r>
      <w:r w:rsidRPr="000B1EFC">
        <w:rPr>
          <w:b/>
        </w:rPr>
        <w:t>27 Oath or affirmation for witnesses</w:t>
      </w:r>
    </w:p>
    <w:p w:rsidR="00163EEC" w:rsidRDefault="00163EEC" w:rsidP="00163EEC">
      <w:pPr>
        <w:pStyle w:val="subsection"/>
        <w:tabs>
          <w:tab w:val="clear" w:pos="1021"/>
          <w:tab w:val="right" w:pos="1276"/>
        </w:tabs>
        <w:ind w:firstLine="0"/>
      </w:pPr>
      <w:r w:rsidRPr="00FC4B38">
        <w:t xml:space="preserve">The Tribunal may require a person who gives evidence before the Tribunal to take an oath or make an affirmation. </w:t>
      </w:r>
    </w:p>
    <w:p w:rsidR="00163EEC" w:rsidRDefault="00163EEC" w:rsidP="00163EEC">
      <w:pPr>
        <w:pStyle w:val="ItemHead"/>
      </w:pPr>
      <w:proofErr w:type="gramStart"/>
      <w:r>
        <w:t>14  After</w:t>
      </w:r>
      <w:proofErr w:type="gramEnd"/>
      <w:r>
        <w:t xml:space="preserve"> Rule 30</w:t>
      </w:r>
    </w:p>
    <w:p w:rsidR="00163EEC" w:rsidRPr="00531021" w:rsidRDefault="00163EEC" w:rsidP="00163EEC">
      <w:pPr>
        <w:pStyle w:val="Item"/>
      </w:pPr>
      <w:r>
        <w:t>Insert:</w:t>
      </w:r>
    </w:p>
    <w:p w:rsidR="00163EEC" w:rsidRPr="00F9458C" w:rsidRDefault="00163EEC" w:rsidP="00163EEC">
      <w:pPr>
        <w:pStyle w:val="ActHead5"/>
      </w:pPr>
      <w:bookmarkStart w:id="10" w:name="_Toc114141025"/>
      <w:bookmarkStart w:id="11" w:name="_Toc121236848"/>
      <w:proofErr w:type="gramStart"/>
      <w:r w:rsidRPr="00F9458C">
        <w:t>31  Public</w:t>
      </w:r>
      <w:proofErr w:type="gramEnd"/>
      <w:r w:rsidRPr="00F9458C">
        <w:t xml:space="preserve"> Hearings</w:t>
      </w:r>
      <w:bookmarkEnd w:id="10"/>
      <w:bookmarkEnd w:id="11"/>
    </w:p>
    <w:p w:rsidR="003F6F52" w:rsidRPr="00DA182D" w:rsidRDefault="00163EEC" w:rsidP="00163EEC">
      <w:pPr>
        <w:pStyle w:val="subsection"/>
        <w:tabs>
          <w:tab w:val="clear" w:pos="1021"/>
          <w:tab w:val="right" w:pos="1276"/>
        </w:tabs>
        <w:ind w:firstLine="0"/>
      </w:pPr>
      <w:r>
        <w:tab/>
        <w:t>The Tribunal may, if</w:t>
      </w:r>
      <w:r w:rsidRPr="00F9458C">
        <w:t xml:space="preserve"> it considers it appropriate, arrange for a hearing, or a part of a hearing, that is to be held in public to be broadcast by live-streaming or other technology in order to allow members of the public not in attendance who wish to do so to observe proceedings at that hearing or that part of a hearing.</w:t>
      </w:r>
      <w:r>
        <w:t xml:space="preserve"> </w:t>
      </w: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03" w:rsidRDefault="003E0903" w:rsidP="0048364F">
      <w:pPr>
        <w:spacing w:line="240" w:lineRule="auto"/>
      </w:pPr>
      <w:r>
        <w:separator/>
      </w:r>
    </w:p>
  </w:endnote>
  <w:endnote w:type="continuationSeparator" w:id="0">
    <w:p w:rsidR="003E0903" w:rsidRDefault="003E09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3EEC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2F04">
            <w:rPr>
              <w:i/>
              <w:noProof/>
              <w:sz w:val="18"/>
            </w:rPr>
            <w:t>Defence Honours and Awards Appeals Tribunal Amendment Procedural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F0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F0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2F04">
            <w:rPr>
              <w:i/>
              <w:noProof/>
              <w:sz w:val="18"/>
            </w:rPr>
            <w:t>Defence Honours and Awards Appeals Tribunal Amendment Procedural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2F04">
            <w:rPr>
              <w:i/>
              <w:noProof/>
              <w:sz w:val="18"/>
            </w:rPr>
            <w:t>Defence Honours and Awards Appeals Tribunal Amendment Procedural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F0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3EE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63EEC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42F04">
            <w:rPr>
              <w:i/>
              <w:noProof/>
              <w:sz w:val="18"/>
            </w:rPr>
            <w:t>13/12/2022 10:22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03" w:rsidRDefault="003E0903" w:rsidP="0048364F">
      <w:pPr>
        <w:spacing w:line="240" w:lineRule="auto"/>
      </w:pPr>
      <w:r>
        <w:separator/>
      </w:r>
    </w:p>
  </w:footnote>
  <w:footnote w:type="continuationSeparator" w:id="0">
    <w:p w:rsidR="003E0903" w:rsidRDefault="003E09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EC"/>
    <w:rsid w:val="00000263"/>
    <w:rsid w:val="00001680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3EEC"/>
    <w:rsid w:val="001643C9"/>
    <w:rsid w:val="00165568"/>
    <w:rsid w:val="00166082"/>
    <w:rsid w:val="00166C2F"/>
    <w:rsid w:val="001709C6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070FC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0903"/>
    <w:rsid w:val="003E584F"/>
    <w:rsid w:val="003F6F52"/>
    <w:rsid w:val="004022CA"/>
    <w:rsid w:val="004116CD"/>
    <w:rsid w:val="00414ADE"/>
    <w:rsid w:val="00424CA9"/>
    <w:rsid w:val="004257BB"/>
    <w:rsid w:val="0044291A"/>
    <w:rsid w:val="004468F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6D00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2F04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0500"/>
    <w:rsid w:val="00D12B0D"/>
    <w:rsid w:val="00D13441"/>
    <w:rsid w:val="00D243A3"/>
    <w:rsid w:val="00D33440"/>
    <w:rsid w:val="00D3722B"/>
    <w:rsid w:val="00D52EFE"/>
    <w:rsid w:val="00D56A0D"/>
    <w:rsid w:val="00D618D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B6C18"/>
  <w15:docId w15:val="{06878AE6-78FE-4ED8-982D-9F84F8B9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Mallon, Chloe MISS</dc:creator>
  <cp:lastModifiedBy>Mallon, Chloe MISS</cp:lastModifiedBy>
  <cp:revision>3</cp:revision>
  <dcterms:created xsi:type="dcterms:W3CDTF">2022-12-08T04:54:00Z</dcterms:created>
  <dcterms:modified xsi:type="dcterms:W3CDTF">2022-12-12T23:23:00Z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BN52576803</vt:lpwstr>
  </property>
  <property fmtid="{D5CDD505-2E9C-101B-9397-08002B2CF9AE}" pid="4" name="Objective-Title">
    <vt:lpwstr>Defence Honours and Awards Appeals Tribunal Amendment Procedural Rules 2022</vt:lpwstr>
  </property>
  <property fmtid="{D5CDD505-2E9C-101B-9397-08002B2CF9AE}" pid="5" name="Objective-Comment">
    <vt:lpwstr/>
  </property>
  <property fmtid="{D5CDD505-2E9C-101B-9397-08002B2CF9AE}" pid="6" name="Objective-CreationStamp">
    <vt:filetime>2022-09-15T02:32:43Z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2022-12-08T02:28:06Z</vt:filetime>
  </property>
  <property fmtid="{D5CDD505-2E9C-101B-9397-08002B2CF9AE}" pid="10" name="Objective-ModificationStamp">
    <vt:filetime>2022-12-08T02:28:06Z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Legal:DLD : Defence Legal Division:Legislative Reform:Defence Instrument Program:. Defence Instruments Program 2022:Defence Honours and Awards Appeals Tribunal </vt:lpwstr>
  </property>
  <property fmtid="{D5CDD505-2E9C-101B-9397-08002B2CF9AE}" pid="13" name="Objective-Parent">
    <vt:lpwstr>Defence Honours and Awards Appeals Tribunal Procedural Rules 2022 - (GC-D - DLLR)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17.0</vt:lpwstr>
  </property>
  <property fmtid="{D5CDD505-2E9C-101B-9397-08002B2CF9AE}" pid="16" name="Objective-VersionNumber">
    <vt:i4>17</vt:i4>
  </property>
  <property fmtid="{D5CDD505-2E9C-101B-9397-08002B2CF9AE}" pid="17" name="Objective-VersionComment">
    <vt:lpwstr/>
  </property>
  <property fmtid="{D5CDD505-2E9C-101B-9397-08002B2CF9AE}" pid="18" name="Objective-FileNumber">
    <vt:lpwstr>2022/1113235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