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762C4A3F" w:rsidR="00670C8D" w:rsidRPr="00521029" w:rsidRDefault="00474FED"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Royal commissions amendment (custody of records) regulations 2022</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D" w14:textId="285CA5C6" w:rsidR="00670C8D" w:rsidRPr="001D3031"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0" w14:textId="77777777" w:rsidR="00AF0C63" w:rsidRPr="00474FED" w:rsidRDefault="00C16B35" w:rsidP="00CF14E3">
      <w:pPr>
        <w:spacing w:line="360" w:lineRule="auto"/>
        <w:jc w:val="center"/>
        <w:rPr>
          <w:rFonts w:ascii="Times New Roman" w:hAnsi="Times New Roman" w:cs="Times New Roman"/>
          <w:i/>
        </w:rPr>
      </w:pPr>
      <w:r w:rsidRPr="00474FED">
        <w:rPr>
          <w:rFonts w:ascii="Times New Roman" w:hAnsi="Times New Roman" w:cs="Times New Roman"/>
        </w:rPr>
        <w:t>in compliance with</w:t>
      </w:r>
      <w:r w:rsidR="005D194A" w:rsidRPr="00474FED">
        <w:rPr>
          <w:rFonts w:ascii="Times New Roman" w:hAnsi="Times New Roman" w:cs="Times New Roman"/>
        </w:rPr>
        <w:t xml:space="preserve"> section 15J of the </w:t>
      </w:r>
      <w:r w:rsidR="00AC39E5" w:rsidRPr="00474FED">
        <w:rPr>
          <w:rFonts w:ascii="Times New Roman" w:hAnsi="Times New Roman" w:cs="Times New Roman"/>
          <w:i/>
        </w:rPr>
        <w:t>Legislati</w:t>
      </w:r>
      <w:r w:rsidR="005D194A" w:rsidRPr="00474FED">
        <w:rPr>
          <w:rFonts w:ascii="Times New Roman" w:hAnsi="Times New Roman" w:cs="Times New Roman"/>
          <w:i/>
        </w:rPr>
        <w:t>on</w:t>
      </w:r>
      <w:r w:rsidR="00AC39E5" w:rsidRPr="00474FED">
        <w:rPr>
          <w:rFonts w:ascii="Times New Roman" w:hAnsi="Times New Roman" w:cs="Times New Roman"/>
          <w:i/>
        </w:rPr>
        <w:t xml:space="preserve"> Act </w:t>
      </w:r>
      <w:r w:rsidR="005D194A" w:rsidRPr="00474FED">
        <w:rPr>
          <w:rFonts w:ascii="Times New Roman" w:hAnsi="Times New Roman" w:cs="Times New Roman"/>
          <w:i/>
        </w:rPr>
        <w:t>20</w:t>
      </w:r>
      <w:r w:rsidR="00AF0C63" w:rsidRPr="00474FED">
        <w:rPr>
          <w:rFonts w:ascii="Times New Roman" w:hAnsi="Times New Roman" w:cs="Times New Roman"/>
          <w:i/>
        </w:rPr>
        <w:t>0</w:t>
      </w:r>
      <w:r w:rsidR="005D194A" w:rsidRPr="00474FED">
        <w:rPr>
          <w:rFonts w:ascii="Times New Roman" w:hAnsi="Times New Roman" w:cs="Times New Roman"/>
          <w:i/>
        </w:rPr>
        <w:t>3</w:t>
      </w:r>
      <w:r w:rsidR="00AF0C63" w:rsidRPr="00474FED">
        <w:rPr>
          <w:rFonts w:ascii="Times New Roman" w:hAnsi="Times New Roman" w:cs="Times New Roman"/>
          <w:i/>
        </w:rPr>
        <w:t xml:space="preserve"> </w:t>
      </w: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4D9DADA9" w14:textId="4D423B57" w:rsidR="00243059" w:rsidRDefault="00243059" w:rsidP="00243059">
      <w:pPr>
        <w:shd w:val="clear" w:color="auto" w:fill="FFFFFF"/>
        <w:spacing w:after="0" w:line="240" w:lineRule="auto"/>
        <w:rPr>
          <w:rFonts w:ascii="Times New Roman" w:eastAsia="Times New Roman" w:hAnsi="Times New Roman" w:cs="Times New Roman"/>
          <w:color w:val="000000"/>
          <w:sz w:val="24"/>
          <w:szCs w:val="24"/>
          <w:lang w:eastAsia="en-AU"/>
        </w:rPr>
      </w:pPr>
      <w:r w:rsidRPr="00E421BD">
        <w:rPr>
          <w:rFonts w:ascii="Times New Roman" w:eastAsia="Times New Roman" w:hAnsi="Times New Roman" w:cs="Times New Roman"/>
          <w:color w:val="000000"/>
          <w:sz w:val="24"/>
          <w:szCs w:val="24"/>
          <w:lang w:eastAsia="en-AU"/>
        </w:rPr>
        <w:t>The </w:t>
      </w:r>
      <w:r w:rsidR="006B3F80" w:rsidRPr="004E79C7">
        <w:rPr>
          <w:rFonts w:ascii="Times New Roman" w:eastAsia="Times New Roman" w:hAnsi="Times New Roman" w:cs="Times New Roman"/>
          <w:i/>
          <w:color w:val="000000"/>
          <w:sz w:val="24"/>
          <w:szCs w:val="24"/>
          <w:lang w:eastAsia="en-AU"/>
        </w:rPr>
        <w:t xml:space="preserve">Royal Commissions </w:t>
      </w:r>
      <w:r w:rsidRPr="004E79C7">
        <w:rPr>
          <w:rFonts w:ascii="Times New Roman" w:eastAsia="Times New Roman" w:hAnsi="Times New Roman" w:cs="Times New Roman"/>
          <w:i/>
          <w:iCs/>
          <w:color w:val="000000"/>
          <w:sz w:val="24"/>
          <w:szCs w:val="24"/>
          <w:lang w:eastAsia="en-AU"/>
        </w:rPr>
        <w:t>Act</w:t>
      </w:r>
      <w:r w:rsidR="006B3F80" w:rsidRPr="004E79C7">
        <w:rPr>
          <w:rFonts w:ascii="Times New Roman" w:eastAsia="Times New Roman" w:hAnsi="Times New Roman" w:cs="Times New Roman"/>
          <w:i/>
          <w:iCs/>
          <w:color w:val="000000"/>
          <w:sz w:val="24"/>
          <w:szCs w:val="24"/>
          <w:lang w:eastAsia="en-AU"/>
        </w:rPr>
        <w:t xml:space="preserve"> 1902</w:t>
      </w:r>
      <w:r w:rsidRPr="00E421BD">
        <w:rPr>
          <w:rFonts w:ascii="Times New Roman" w:eastAsia="Times New Roman" w:hAnsi="Times New Roman" w:cs="Times New Roman"/>
          <w:color w:val="000000"/>
          <w:sz w:val="24"/>
          <w:szCs w:val="24"/>
          <w:lang w:eastAsia="en-AU"/>
        </w:rPr>
        <w:t xml:space="preserve"> </w:t>
      </w:r>
      <w:r w:rsidR="006E5261">
        <w:rPr>
          <w:rFonts w:ascii="Times New Roman" w:eastAsia="Times New Roman" w:hAnsi="Times New Roman" w:cs="Times New Roman"/>
          <w:color w:val="000000"/>
          <w:sz w:val="24"/>
          <w:szCs w:val="24"/>
          <w:lang w:eastAsia="en-AU"/>
        </w:rPr>
        <w:t xml:space="preserve">(the Act) </w:t>
      </w:r>
      <w:r w:rsidRPr="00E421BD">
        <w:rPr>
          <w:rFonts w:ascii="Times New Roman" w:eastAsia="Times New Roman" w:hAnsi="Times New Roman" w:cs="Times New Roman"/>
          <w:color w:val="000000"/>
          <w:sz w:val="24"/>
          <w:szCs w:val="24"/>
          <w:lang w:eastAsia="en-AU"/>
        </w:rPr>
        <w:t xml:space="preserve">provides for the establishment, powers and operation of </w:t>
      </w:r>
      <w:r w:rsidR="00640538">
        <w:rPr>
          <w:rFonts w:ascii="Times New Roman" w:eastAsia="Times New Roman" w:hAnsi="Times New Roman" w:cs="Times New Roman"/>
          <w:color w:val="000000"/>
          <w:sz w:val="24"/>
          <w:szCs w:val="24"/>
          <w:lang w:eastAsia="en-AU"/>
        </w:rPr>
        <w:t>r</w:t>
      </w:r>
      <w:r w:rsidRPr="00E421BD">
        <w:rPr>
          <w:rFonts w:ascii="Times New Roman" w:eastAsia="Times New Roman" w:hAnsi="Times New Roman" w:cs="Times New Roman"/>
          <w:color w:val="000000"/>
          <w:sz w:val="24"/>
          <w:szCs w:val="24"/>
          <w:lang w:eastAsia="en-AU"/>
        </w:rPr>
        <w:t xml:space="preserve">oyal </w:t>
      </w:r>
      <w:r w:rsidR="00640538">
        <w:rPr>
          <w:rFonts w:ascii="Times New Roman" w:eastAsia="Times New Roman" w:hAnsi="Times New Roman" w:cs="Times New Roman"/>
          <w:color w:val="000000"/>
          <w:sz w:val="24"/>
          <w:szCs w:val="24"/>
          <w:lang w:eastAsia="en-AU"/>
        </w:rPr>
        <w:t>c</w:t>
      </w:r>
      <w:r w:rsidRPr="00E421BD">
        <w:rPr>
          <w:rFonts w:ascii="Times New Roman" w:eastAsia="Times New Roman" w:hAnsi="Times New Roman" w:cs="Times New Roman"/>
          <w:color w:val="000000"/>
          <w:sz w:val="24"/>
          <w:szCs w:val="24"/>
          <w:lang w:eastAsia="en-AU"/>
        </w:rPr>
        <w:t xml:space="preserve">ommissions and for the management of </w:t>
      </w:r>
      <w:r w:rsidR="00640538">
        <w:rPr>
          <w:rFonts w:ascii="Times New Roman" w:eastAsia="Times New Roman" w:hAnsi="Times New Roman" w:cs="Times New Roman"/>
          <w:color w:val="000000"/>
          <w:sz w:val="24"/>
          <w:szCs w:val="24"/>
          <w:lang w:eastAsia="en-AU"/>
        </w:rPr>
        <w:t>r</w:t>
      </w:r>
      <w:r w:rsidRPr="00E421BD">
        <w:rPr>
          <w:rFonts w:ascii="Times New Roman" w:eastAsia="Times New Roman" w:hAnsi="Times New Roman" w:cs="Times New Roman"/>
          <w:color w:val="000000"/>
          <w:sz w:val="24"/>
          <w:szCs w:val="24"/>
          <w:lang w:eastAsia="en-AU"/>
        </w:rPr>
        <w:t xml:space="preserve">oyal </w:t>
      </w:r>
      <w:r w:rsidR="00640538">
        <w:rPr>
          <w:rFonts w:ascii="Times New Roman" w:eastAsia="Times New Roman" w:hAnsi="Times New Roman" w:cs="Times New Roman"/>
          <w:color w:val="000000"/>
          <w:sz w:val="24"/>
          <w:szCs w:val="24"/>
          <w:lang w:eastAsia="en-AU"/>
        </w:rPr>
        <w:t>c</w:t>
      </w:r>
      <w:r w:rsidRPr="00E421BD">
        <w:rPr>
          <w:rFonts w:ascii="Times New Roman" w:eastAsia="Times New Roman" w:hAnsi="Times New Roman" w:cs="Times New Roman"/>
          <w:color w:val="000000"/>
          <w:sz w:val="24"/>
          <w:szCs w:val="24"/>
          <w:lang w:eastAsia="en-AU"/>
        </w:rPr>
        <w:t>ommission records.</w:t>
      </w:r>
      <w:r>
        <w:rPr>
          <w:rFonts w:ascii="Times New Roman" w:eastAsia="Times New Roman" w:hAnsi="Times New Roman" w:cs="Times New Roman"/>
          <w:color w:val="000000"/>
          <w:sz w:val="24"/>
          <w:szCs w:val="24"/>
          <w:lang w:eastAsia="en-AU"/>
        </w:rPr>
        <w:t xml:space="preserve"> </w:t>
      </w:r>
    </w:p>
    <w:p w14:paraId="351C0CC1" w14:textId="77777777" w:rsidR="00243059" w:rsidRDefault="00243059" w:rsidP="00243059">
      <w:pPr>
        <w:shd w:val="clear" w:color="auto" w:fill="FFFFFF"/>
        <w:spacing w:after="0" w:line="240" w:lineRule="auto"/>
        <w:rPr>
          <w:rFonts w:ascii="Times New Roman" w:eastAsia="Times New Roman" w:hAnsi="Times New Roman" w:cs="Times New Roman"/>
          <w:color w:val="000000"/>
          <w:sz w:val="24"/>
          <w:szCs w:val="24"/>
          <w:lang w:eastAsia="en-AU"/>
        </w:rPr>
      </w:pPr>
    </w:p>
    <w:p w14:paraId="10221238" w14:textId="0C0909F7" w:rsidR="00243059" w:rsidRDefault="00243059" w:rsidP="00243059">
      <w:pPr>
        <w:shd w:val="clear" w:color="auto" w:fill="FFFFFF"/>
        <w:spacing w:after="0" w:line="240" w:lineRule="auto"/>
        <w:rPr>
          <w:rFonts w:ascii="Times New Roman" w:eastAsia="Times New Roman" w:hAnsi="Times New Roman" w:cs="Times New Roman"/>
          <w:color w:val="000000"/>
          <w:sz w:val="24"/>
          <w:szCs w:val="24"/>
          <w:lang w:eastAsia="en-AU"/>
        </w:rPr>
      </w:pPr>
      <w:r w:rsidRPr="00E421BD">
        <w:rPr>
          <w:rFonts w:ascii="Times New Roman" w:eastAsia="Times New Roman" w:hAnsi="Times New Roman" w:cs="Times New Roman"/>
          <w:color w:val="000000"/>
          <w:sz w:val="24"/>
          <w:szCs w:val="24"/>
          <w:lang w:eastAsia="en-AU"/>
        </w:rPr>
        <w:t>Section 17 of the Act provides that the Governor-General may make regulations, not inconsistent with the Act, prescribing all matters that the Act requires or permits to be prescribed, or necessary or convenient for carrying out or giving effect to the Act.</w:t>
      </w:r>
    </w:p>
    <w:p w14:paraId="51D00520" w14:textId="77777777" w:rsidR="007F1E0D" w:rsidRPr="009F4811" w:rsidRDefault="007F1E0D" w:rsidP="00243059">
      <w:pPr>
        <w:shd w:val="clear" w:color="auto" w:fill="FFFFFF"/>
        <w:spacing w:after="0" w:line="240" w:lineRule="auto"/>
        <w:rPr>
          <w:rFonts w:ascii="Times New Roman" w:eastAsia="Times New Roman" w:hAnsi="Times New Roman" w:cs="Times New Roman"/>
          <w:color w:val="000000"/>
          <w:sz w:val="24"/>
          <w:szCs w:val="24"/>
          <w:lang w:eastAsia="en-AU"/>
        </w:rPr>
      </w:pPr>
    </w:p>
    <w:p w14:paraId="4C60AF99" w14:textId="7E4B542A" w:rsidR="000F2ADA" w:rsidRDefault="00243059" w:rsidP="000F2ADA">
      <w:pPr>
        <w:pStyle w:val="Default"/>
        <w:rPr>
          <w:color w:val="auto"/>
        </w:rPr>
      </w:pPr>
      <w:r w:rsidRPr="009F4811">
        <w:rPr>
          <w:rFonts w:eastAsia="Times New Roman"/>
          <w:lang w:eastAsia="en-AU"/>
        </w:rPr>
        <w:t>The purpose of th</w:t>
      </w:r>
      <w:r w:rsidR="00D43CD7">
        <w:rPr>
          <w:rFonts w:eastAsia="Times New Roman"/>
          <w:lang w:eastAsia="en-AU"/>
        </w:rPr>
        <w:t xml:space="preserve">is instrument is to correct drafting oversights and ensure that </w:t>
      </w:r>
      <w:r w:rsidRPr="009F4811">
        <w:rPr>
          <w:rFonts w:eastAsia="Times New Roman"/>
          <w:lang w:eastAsia="en-AU"/>
        </w:rPr>
        <w:t>th</w:t>
      </w:r>
      <w:r>
        <w:rPr>
          <w:rFonts w:eastAsia="Times New Roman"/>
          <w:lang w:eastAsia="en-AU"/>
        </w:rPr>
        <w:t xml:space="preserve">e </w:t>
      </w:r>
      <w:r w:rsidRPr="008C7305">
        <w:rPr>
          <w:rFonts w:eastAsia="Times New Roman"/>
          <w:i/>
          <w:lang w:eastAsia="en-AU"/>
        </w:rPr>
        <w:t>Royal Commissions</w:t>
      </w:r>
      <w:r>
        <w:rPr>
          <w:rFonts w:eastAsia="Times New Roman"/>
          <w:i/>
          <w:lang w:eastAsia="en-AU"/>
        </w:rPr>
        <w:t xml:space="preserve"> </w:t>
      </w:r>
      <w:r w:rsidRPr="008C7305">
        <w:rPr>
          <w:rFonts w:eastAsia="Times New Roman"/>
          <w:i/>
          <w:lang w:eastAsia="en-AU"/>
        </w:rPr>
        <w:t>Regulations</w:t>
      </w:r>
      <w:r>
        <w:rPr>
          <w:rFonts w:eastAsia="Times New Roman"/>
          <w:i/>
          <w:lang w:eastAsia="en-AU"/>
        </w:rPr>
        <w:t xml:space="preserve"> </w:t>
      </w:r>
      <w:r w:rsidRPr="008C7305">
        <w:rPr>
          <w:rFonts w:eastAsia="Times New Roman"/>
          <w:i/>
          <w:lang w:eastAsia="en-AU"/>
        </w:rPr>
        <w:t>2019</w:t>
      </w:r>
      <w:r w:rsidR="009A3EAB">
        <w:rPr>
          <w:rFonts w:eastAsia="Times New Roman"/>
          <w:i/>
          <w:lang w:eastAsia="en-AU"/>
        </w:rPr>
        <w:t xml:space="preserve"> </w:t>
      </w:r>
      <w:r w:rsidR="009A3EAB" w:rsidRPr="009A3EAB">
        <w:rPr>
          <w:rFonts w:eastAsia="Times New Roman"/>
          <w:lang w:eastAsia="en-AU"/>
        </w:rPr>
        <w:t>(the Regulations)</w:t>
      </w:r>
      <w:r w:rsidR="00D43CD7">
        <w:rPr>
          <w:rFonts w:eastAsia="Times New Roman"/>
          <w:lang w:eastAsia="en-AU"/>
        </w:rPr>
        <w:t xml:space="preserve"> can operate as intended. It</w:t>
      </w:r>
      <w:r w:rsidRPr="009F4811">
        <w:rPr>
          <w:rFonts w:eastAsia="Times New Roman"/>
          <w:lang w:eastAsia="en-AU"/>
        </w:rPr>
        <w:t xml:space="preserve"> </w:t>
      </w:r>
      <w:r w:rsidR="000F2ADA">
        <w:rPr>
          <w:color w:val="auto"/>
        </w:rPr>
        <w:t>provide</w:t>
      </w:r>
      <w:r w:rsidR="00D43CD7">
        <w:rPr>
          <w:color w:val="auto"/>
        </w:rPr>
        <w:t>s</w:t>
      </w:r>
      <w:r w:rsidR="000F2ADA">
        <w:rPr>
          <w:color w:val="auto"/>
        </w:rPr>
        <w:t xml:space="preserve"> for the handling of requests for copies of, or access to, records of the Royal Commission into National Natural Disaster Arrangements (the Natural Disaster Royal Commission), the Royal Commission into Aged Care Quality and Safety (the Aged Care Royal Commission), and </w:t>
      </w:r>
      <w:r w:rsidR="00640538">
        <w:rPr>
          <w:color w:val="auto"/>
        </w:rPr>
        <w:t>r</w:t>
      </w:r>
      <w:r w:rsidR="000F2ADA">
        <w:rPr>
          <w:color w:val="auto"/>
        </w:rPr>
        <w:t xml:space="preserve">oyal </w:t>
      </w:r>
      <w:r w:rsidR="00640538">
        <w:rPr>
          <w:color w:val="auto"/>
        </w:rPr>
        <w:t>c</w:t>
      </w:r>
      <w:r w:rsidR="000F2ADA">
        <w:rPr>
          <w:color w:val="auto"/>
        </w:rPr>
        <w:t xml:space="preserve">ommissions that are yet to be finalised or commenced. </w:t>
      </w:r>
      <w:r w:rsidR="009736FB">
        <w:rPr>
          <w:color w:val="auto"/>
        </w:rPr>
        <w:t xml:space="preserve"> The amendments will also clarify the custodianship of the records of the Royal Commission into the Home Insulation Program (the Home Insulation Royal Commission).</w:t>
      </w:r>
    </w:p>
    <w:p w14:paraId="343D54BA" w14:textId="77777777" w:rsidR="000F2ADA" w:rsidRDefault="000F2ADA" w:rsidP="000F2ADA">
      <w:pPr>
        <w:pStyle w:val="Default"/>
        <w:rPr>
          <w:color w:val="auto"/>
        </w:rPr>
      </w:pPr>
    </w:p>
    <w:p w14:paraId="2FE83CBC" w14:textId="4D773AD3" w:rsidR="000F2ADA" w:rsidRDefault="000F2ADA" w:rsidP="000F2ADA">
      <w:pPr>
        <w:pStyle w:val="Default"/>
        <w:rPr>
          <w:color w:val="auto"/>
        </w:rPr>
      </w:pPr>
      <w:r>
        <w:rPr>
          <w:color w:val="auto"/>
        </w:rPr>
        <w:t xml:space="preserve">Section 10 of the Regulations provides that custody of records of </w:t>
      </w:r>
      <w:r w:rsidR="00640538">
        <w:rPr>
          <w:color w:val="auto"/>
        </w:rPr>
        <w:t>r</w:t>
      </w:r>
      <w:r>
        <w:rPr>
          <w:color w:val="auto"/>
        </w:rPr>
        <w:t xml:space="preserve">oyal </w:t>
      </w:r>
      <w:r w:rsidR="00640538">
        <w:rPr>
          <w:color w:val="auto"/>
        </w:rPr>
        <w:t>c</w:t>
      </w:r>
      <w:r>
        <w:rPr>
          <w:color w:val="auto"/>
        </w:rPr>
        <w:t>ommissions that conclude after the commencement of the Regulation</w:t>
      </w:r>
      <w:r w:rsidR="00640538">
        <w:rPr>
          <w:color w:val="auto"/>
        </w:rPr>
        <w:t>s</w:t>
      </w:r>
      <w:r>
        <w:rPr>
          <w:color w:val="auto"/>
        </w:rPr>
        <w:t xml:space="preserve"> (21 September 2019) vests with the Secretary of the Attorney-General’s Department during a 20-year interim period, prior to the records being kept in the custody of the National Archives of Australia. Th</w:t>
      </w:r>
      <w:r w:rsidR="009A3EAB">
        <w:rPr>
          <w:color w:val="auto"/>
        </w:rPr>
        <w:t>is means that</w:t>
      </w:r>
      <w:r>
        <w:rPr>
          <w:color w:val="auto"/>
        </w:rPr>
        <w:t xml:space="preserve"> the Secretary of the Attorney-General’s Department is currently the custodian of the records of the Nat</w:t>
      </w:r>
      <w:r w:rsidR="004E79C7">
        <w:rPr>
          <w:color w:val="auto"/>
        </w:rPr>
        <w:t>ur</w:t>
      </w:r>
      <w:r>
        <w:rPr>
          <w:color w:val="auto"/>
        </w:rPr>
        <w:t>al Disaster Royal Commission and the Aged Care Royal Commission.</w:t>
      </w:r>
    </w:p>
    <w:p w14:paraId="7B6ED7FA" w14:textId="77777777" w:rsidR="000F2ADA" w:rsidRDefault="000F2ADA" w:rsidP="000F2ADA">
      <w:pPr>
        <w:pStyle w:val="Default"/>
        <w:rPr>
          <w:color w:val="auto"/>
        </w:rPr>
      </w:pPr>
    </w:p>
    <w:p w14:paraId="507CE739" w14:textId="77777777" w:rsidR="004F563A" w:rsidRDefault="004F563A" w:rsidP="004F563A">
      <w:pPr>
        <w:pStyle w:val="Default"/>
      </w:pPr>
      <w:r>
        <w:t xml:space="preserve">Section 12 of the Regulations provides for requests for copies of, or access to records for royal commissions listed in the table in section 11 of the Regulations, while section 14 provides the way in which those requests are responded to. </w:t>
      </w:r>
    </w:p>
    <w:p w14:paraId="62BF4F9F" w14:textId="77777777" w:rsidR="004F563A" w:rsidRDefault="004F563A" w:rsidP="004F563A">
      <w:pPr>
        <w:pStyle w:val="Default"/>
      </w:pPr>
    </w:p>
    <w:p w14:paraId="605E5F66" w14:textId="2AE8CDD0" w:rsidR="004F563A" w:rsidRDefault="004F563A" w:rsidP="004F563A">
      <w:pPr>
        <w:pStyle w:val="Default"/>
      </w:pPr>
      <w:r>
        <w:t xml:space="preserve">It is an apparent drafting oversight that section 10 provides for the custody of records of future royal commissions, whereas sections 12 and 14 only refer to records for royal commissions listed in the table in section 11. As that table represents a point in time when the Regulations were made in September 2019, it has resulted in the anomaly that the Secretary of the </w:t>
      </w:r>
      <w:r w:rsidR="0037690E">
        <w:t>Attorney-General’s D</w:t>
      </w:r>
      <w:r>
        <w:t>epartment is the custodian of the records of both the Natural Disaster Royal Commission and the Aged Care Royal Commission, but there are no provisions to handle requests for copies of, or access to, those records.</w:t>
      </w:r>
    </w:p>
    <w:p w14:paraId="6EA3EA46" w14:textId="77777777" w:rsidR="004F563A" w:rsidRDefault="004F563A" w:rsidP="009A3EAB">
      <w:pPr>
        <w:pStyle w:val="Default"/>
      </w:pPr>
    </w:p>
    <w:p w14:paraId="6590F41D" w14:textId="77777777" w:rsidR="004F563A" w:rsidRDefault="004F563A" w:rsidP="009A3EAB">
      <w:pPr>
        <w:pStyle w:val="Default"/>
      </w:pPr>
    </w:p>
    <w:p w14:paraId="01201A4B" w14:textId="550DAAF4" w:rsidR="009A3EAB" w:rsidRDefault="009A3EAB" w:rsidP="009A3EAB">
      <w:pPr>
        <w:pStyle w:val="Default"/>
        <w:rPr>
          <w:color w:val="auto"/>
        </w:rPr>
      </w:pPr>
      <w:r>
        <w:rPr>
          <w:color w:val="auto"/>
        </w:rPr>
        <w:lastRenderedPageBreak/>
        <w:t xml:space="preserve">The amendments </w:t>
      </w:r>
      <w:r w:rsidR="00D56AC3">
        <w:rPr>
          <w:color w:val="auto"/>
        </w:rPr>
        <w:t xml:space="preserve">made by the Regulations </w:t>
      </w:r>
      <w:r>
        <w:rPr>
          <w:color w:val="auto"/>
        </w:rPr>
        <w:t>will enable the Attorney-General’s Department to handle requests for copies of, or access to, these records in the same way that requests are handled for records of other past royal commissions for which the Secretary of the Attorney</w:t>
      </w:r>
      <w:r>
        <w:rPr>
          <w:color w:val="auto"/>
        </w:rPr>
        <w:noBreakHyphen/>
        <w:t>General’s Department is the custodian. The amendments reflect the original intention of the provision to enable the custodian of records to be able to handle requests for copies of, or access to, those records.</w:t>
      </w:r>
    </w:p>
    <w:p w14:paraId="479D5C6D" w14:textId="77777777" w:rsidR="009A3EAB" w:rsidRDefault="009A3EAB" w:rsidP="009A3EAB">
      <w:pPr>
        <w:pStyle w:val="Default"/>
        <w:rPr>
          <w:color w:val="auto"/>
        </w:rPr>
      </w:pPr>
    </w:p>
    <w:p w14:paraId="177B5596" w14:textId="19271C2E" w:rsidR="009736FB" w:rsidRDefault="009A3EAB" w:rsidP="009A3EAB">
      <w:pPr>
        <w:pStyle w:val="Default"/>
        <w:rPr>
          <w:color w:val="auto"/>
        </w:rPr>
      </w:pPr>
      <w:r>
        <w:rPr>
          <w:color w:val="auto"/>
        </w:rPr>
        <w:t>A further amendment relates to the Home Insulation Royal Commission, which is not currently listed in the table in section 11 of the Regulations.  The Attorney-General’s Department has consulted the Office of Parliamentary Counsel and the Department of the Prime Minister and Cabinet and it appears the Home Insulation Royal Commission was inadvertently omitted from the table. The amendment clarify that the Secretary of the Department of the Prime Minister and Cabinet is the custodian of the Home Insulation Royal Commission records.</w:t>
      </w:r>
    </w:p>
    <w:p w14:paraId="5EAC0136" w14:textId="07B76803" w:rsidR="007C38B2" w:rsidRDefault="007C38B2" w:rsidP="009A3EAB">
      <w:pPr>
        <w:pStyle w:val="Default"/>
        <w:rPr>
          <w:color w:val="auto"/>
        </w:rPr>
      </w:pPr>
    </w:p>
    <w:p w14:paraId="3C2C203C" w14:textId="5C5CE008" w:rsidR="007C38B2" w:rsidRPr="005411E2" w:rsidRDefault="007C38B2" w:rsidP="007C38B2">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The </w:t>
      </w:r>
      <w:r w:rsidR="006B5166">
        <w:rPr>
          <w:rFonts w:ascii="Times New Roman" w:eastAsia="Times New Roman" w:hAnsi="Times New Roman" w:cs="Times New Roman"/>
          <w:sz w:val="24"/>
          <w:lang w:eastAsia="en-AU"/>
        </w:rPr>
        <w:t>amendments made by the</w:t>
      </w:r>
      <w:r w:rsidR="006B5166" w:rsidRPr="005411E2">
        <w:rPr>
          <w:rFonts w:ascii="Times New Roman" w:eastAsia="Times New Roman" w:hAnsi="Times New Roman" w:cs="Times New Roman"/>
          <w:sz w:val="24"/>
          <w:lang w:eastAsia="en-AU"/>
        </w:rPr>
        <w:t xml:space="preserve"> </w:t>
      </w:r>
      <w:r w:rsidRPr="005411E2">
        <w:rPr>
          <w:rFonts w:ascii="Times New Roman" w:eastAsia="Times New Roman" w:hAnsi="Times New Roman" w:cs="Times New Roman"/>
          <w:sz w:val="24"/>
          <w:lang w:eastAsia="en-AU"/>
        </w:rPr>
        <w:t>Regulations specify that:</w:t>
      </w:r>
    </w:p>
    <w:p w14:paraId="03DD75FE" w14:textId="77777777" w:rsidR="007C38B2" w:rsidRPr="008F7E61" w:rsidRDefault="007C38B2" w:rsidP="007C38B2">
      <w:pPr>
        <w:pStyle w:val="ListParagraph"/>
        <w:numPr>
          <w:ilvl w:val="0"/>
          <w:numId w:val="15"/>
        </w:numPr>
        <w:tabs>
          <w:tab w:val="left" w:pos="6804"/>
        </w:tabs>
        <w:spacing w:after="0"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Sections 12 and 14 also apply to the Natural Disaster Royal Commission and the Aged Care Royal Commission, as well as to </w:t>
      </w:r>
      <w:r>
        <w:rPr>
          <w:rFonts w:ascii="Times New Roman" w:hAnsi="Times New Roman"/>
          <w:sz w:val="24"/>
          <w:szCs w:val="24"/>
        </w:rPr>
        <w:t>royal commissions that are yet to be finalised or commenced</w:t>
      </w:r>
      <w:r>
        <w:rPr>
          <w:rFonts w:ascii="Times New Roman" w:eastAsia="Times New Roman" w:hAnsi="Times New Roman" w:cs="Times New Roman"/>
          <w:sz w:val="24"/>
          <w:lang w:eastAsia="en-AU"/>
        </w:rPr>
        <w:t>.</w:t>
      </w:r>
    </w:p>
    <w:p w14:paraId="62043CBB" w14:textId="77777777" w:rsidR="007C38B2" w:rsidRPr="00B847A0" w:rsidRDefault="007C38B2" w:rsidP="007C38B2">
      <w:pPr>
        <w:pStyle w:val="ListParagraph"/>
        <w:numPr>
          <w:ilvl w:val="0"/>
          <w:numId w:val="15"/>
        </w:numPr>
        <w:tabs>
          <w:tab w:val="left" w:pos="6804"/>
        </w:tabs>
        <w:spacing w:after="0" w:line="24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Secretary of the Department of the Prime Minister and Cabinet is the custodian of the Home Insulation Royal Commission records.</w:t>
      </w:r>
    </w:p>
    <w:p w14:paraId="1A5A7974" w14:textId="77777777" w:rsidR="009736FB" w:rsidRDefault="009736FB" w:rsidP="00BF6BC7">
      <w:pPr>
        <w:pStyle w:val="Default"/>
        <w:rPr>
          <w:color w:val="auto"/>
        </w:rPr>
      </w:pPr>
    </w:p>
    <w:p w14:paraId="6712E291" w14:textId="715D6806" w:rsidR="00750AB7" w:rsidRDefault="00750AB7" w:rsidP="00EE38B3">
      <w:pPr>
        <w:tabs>
          <w:tab w:val="left" w:pos="6521"/>
        </w:tabs>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Details of the Regulations are set out in the </w:t>
      </w:r>
      <w:r w:rsidRPr="0065217F">
        <w:rPr>
          <w:rFonts w:ascii="Times New Roman" w:eastAsia="Times New Roman" w:hAnsi="Times New Roman" w:cs="Times New Roman"/>
          <w:sz w:val="24"/>
          <w:lang w:eastAsia="en-AU"/>
        </w:rPr>
        <w:t>Attachment</w:t>
      </w:r>
      <w:r w:rsidRPr="005411E2">
        <w:rPr>
          <w:rFonts w:ascii="Times New Roman" w:eastAsia="Times New Roman" w:hAnsi="Times New Roman" w:cs="Times New Roman"/>
          <w:sz w:val="24"/>
          <w:lang w:eastAsia="en-AU"/>
        </w:rPr>
        <w:t>.</w:t>
      </w:r>
    </w:p>
    <w:p w14:paraId="276C94FC" w14:textId="77777777" w:rsidR="00EE38B3" w:rsidRDefault="00EE38B3" w:rsidP="00EE38B3">
      <w:pPr>
        <w:tabs>
          <w:tab w:val="left" w:pos="6521"/>
        </w:tabs>
        <w:spacing w:after="0" w:line="240" w:lineRule="auto"/>
        <w:ind w:right="91"/>
        <w:rPr>
          <w:rFonts w:ascii="Times New Roman" w:eastAsia="Times New Roman" w:hAnsi="Times New Roman" w:cs="Times New Roman"/>
          <w:sz w:val="24"/>
          <w:lang w:eastAsia="en-AU"/>
        </w:rPr>
      </w:pPr>
    </w:p>
    <w:p w14:paraId="5A8AC8D0" w14:textId="0B9C431E" w:rsidR="00750AB7" w:rsidRDefault="00750AB7" w:rsidP="00EE38B3">
      <w:pPr>
        <w:shd w:val="clear" w:color="auto" w:fill="FFFFFF"/>
        <w:spacing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 xml:space="preserve">The Act </w:t>
      </w:r>
      <w:r w:rsidR="004F563A">
        <w:rPr>
          <w:rFonts w:ascii="Times New Roman" w:eastAsia="Times New Roman" w:hAnsi="Times New Roman" w:cs="Times New Roman"/>
          <w:color w:val="000000"/>
          <w:sz w:val="24"/>
          <w:szCs w:val="24"/>
          <w:lang w:eastAsia="en-AU"/>
        </w:rPr>
        <w:t xml:space="preserve">does not specify any conditions </w:t>
      </w:r>
      <w:r w:rsidRPr="006E5DF3">
        <w:rPr>
          <w:rFonts w:ascii="Times New Roman" w:eastAsia="Times New Roman" w:hAnsi="Times New Roman" w:cs="Times New Roman"/>
          <w:color w:val="000000"/>
          <w:sz w:val="24"/>
          <w:szCs w:val="24"/>
          <w:lang w:eastAsia="en-AU"/>
        </w:rPr>
        <w:t>that need to be satisfied before the power to make the Regulations may be exercised.</w:t>
      </w:r>
    </w:p>
    <w:p w14:paraId="04C798E3" w14:textId="77777777" w:rsidR="00EE38B3" w:rsidRPr="006E5DF3" w:rsidRDefault="00EE38B3" w:rsidP="00833891">
      <w:pPr>
        <w:shd w:val="clear" w:color="auto" w:fill="FFFFFF"/>
        <w:spacing w:after="0" w:line="240" w:lineRule="auto"/>
        <w:rPr>
          <w:rFonts w:ascii="Times New Roman" w:eastAsia="Times New Roman" w:hAnsi="Times New Roman" w:cs="Times New Roman"/>
          <w:color w:val="000000"/>
          <w:sz w:val="24"/>
          <w:szCs w:val="24"/>
          <w:lang w:eastAsia="en-AU"/>
        </w:rPr>
      </w:pPr>
    </w:p>
    <w:p w14:paraId="1946C23C" w14:textId="77777777" w:rsidR="00750AB7" w:rsidRPr="006E5DF3" w:rsidRDefault="00750AB7" w:rsidP="00833891">
      <w:pPr>
        <w:shd w:val="clear" w:color="auto" w:fill="FFFFFF"/>
        <w:spacing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The Regulations are a legislative instrument for the purposes of the </w:t>
      </w:r>
      <w:r w:rsidRPr="006E5DF3">
        <w:rPr>
          <w:rFonts w:ascii="Times New Roman" w:eastAsia="Times New Roman" w:hAnsi="Times New Roman" w:cs="Times New Roman"/>
          <w:i/>
          <w:iCs/>
          <w:color w:val="000000"/>
          <w:sz w:val="24"/>
          <w:szCs w:val="24"/>
          <w:lang w:eastAsia="en-AU"/>
        </w:rPr>
        <w:t>Legislation Act 2003</w:t>
      </w:r>
      <w:r w:rsidRPr="006E5DF3">
        <w:rPr>
          <w:rFonts w:ascii="Times New Roman" w:eastAsia="Times New Roman" w:hAnsi="Times New Roman" w:cs="Times New Roman"/>
          <w:color w:val="000000"/>
          <w:sz w:val="24"/>
          <w:szCs w:val="24"/>
          <w:lang w:eastAsia="en-AU"/>
        </w:rPr>
        <w:t>.</w:t>
      </w:r>
    </w:p>
    <w:p w14:paraId="4A963623" w14:textId="77777777" w:rsidR="00750AB7" w:rsidRPr="006E5DF3" w:rsidRDefault="00750AB7" w:rsidP="00833891">
      <w:pPr>
        <w:shd w:val="clear" w:color="auto" w:fill="FFFFFF"/>
        <w:spacing w:after="0" w:line="240" w:lineRule="auto"/>
        <w:rPr>
          <w:rFonts w:ascii="Times New Roman" w:eastAsia="Times New Roman" w:hAnsi="Times New Roman" w:cs="Times New Roman"/>
          <w:color w:val="000000"/>
          <w:sz w:val="24"/>
          <w:szCs w:val="24"/>
          <w:lang w:eastAsia="en-AU"/>
        </w:rPr>
      </w:pPr>
      <w:r w:rsidRPr="006E5DF3">
        <w:rPr>
          <w:rFonts w:ascii="Times New Roman" w:eastAsia="Times New Roman" w:hAnsi="Times New Roman" w:cs="Times New Roman"/>
          <w:color w:val="000000"/>
          <w:sz w:val="24"/>
          <w:szCs w:val="24"/>
          <w:lang w:eastAsia="en-AU"/>
        </w:rPr>
        <w:t>The Regulations commence the day after registration.</w:t>
      </w:r>
    </w:p>
    <w:p w14:paraId="7FA7BB59" w14:textId="77777777" w:rsidR="00750AB7" w:rsidRPr="002F02B2" w:rsidRDefault="00750AB7" w:rsidP="00750AB7">
      <w:pPr>
        <w:spacing w:after="0" w:line="240" w:lineRule="auto"/>
        <w:ind w:right="91"/>
        <w:rPr>
          <w:rFonts w:ascii="Times New Roman" w:eastAsia="Times New Roman" w:hAnsi="Times New Roman" w:cs="Times New Roman"/>
          <w:sz w:val="24"/>
          <w:lang w:eastAsia="en-AU"/>
        </w:rPr>
      </w:pPr>
    </w:p>
    <w:p w14:paraId="60CB2EFB" w14:textId="77777777" w:rsidR="00750AB7" w:rsidRPr="00563135" w:rsidRDefault="00750AB7" w:rsidP="00750AB7">
      <w:pPr>
        <w:rPr>
          <w:rFonts w:ascii="Times New Roman" w:hAnsi="Times New Roman" w:cs="Times New Roman"/>
          <w:color w:val="FF0000"/>
        </w:rPr>
      </w:pPr>
      <w:r w:rsidRPr="005411E2">
        <w:rPr>
          <w:rFonts w:ascii="Times New Roman" w:eastAsia="Times New Roman" w:hAnsi="Times New Roman" w:cs="Times New Roman"/>
          <w:sz w:val="24"/>
          <w:u w:val="single"/>
          <w:lang w:eastAsia="en-AU"/>
        </w:rPr>
        <w:t>Authority</w:t>
      </w:r>
      <w:r>
        <w:rPr>
          <w:rFonts w:ascii="Times New Roman" w:eastAsia="Times New Roman" w:hAnsi="Times New Roman" w:cs="Times New Roman"/>
          <w:sz w:val="24"/>
          <w:lang w:eastAsia="en-AU"/>
        </w:rPr>
        <w:t>:  Section</w:t>
      </w:r>
      <w:r w:rsidRPr="00E42C9E">
        <w:rPr>
          <w:rFonts w:ascii="Times New Roman" w:eastAsia="Times New Roman" w:hAnsi="Times New Roman" w:cs="Times New Roman"/>
          <w:sz w:val="24"/>
          <w:lang w:eastAsia="en-AU"/>
        </w:rPr>
        <w:t xml:space="preserve"> 17 of the </w:t>
      </w:r>
      <w:r w:rsidRPr="00E42C9E">
        <w:rPr>
          <w:rFonts w:ascii="Times New Roman" w:eastAsia="Times New Roman" w:hAnsi="Times New Roman" w:cs="Times New Roman"/>
          <w:i/>
          <w:sz w:val="24"/>
          <w:lang w:eastAsia="en-AU"/>
        </w:rPr>
        <w:t>Royal Commissions Act 1902</w:t>
      </w:r>
      <w:r w:rsidRPr="00563135">
        <w:rPr>
          <w:rFonts w:ascii="Times New Roman" w:hAnsi="Times New Roman" w:cs="Times New Roman"/>
          <w:color w:val="FF0000"/>
        </w:rPr>
        <w:t>.</w:t>
      </w:r>
    </w:p>
    <w:p w14:paraId="09BFDCE0" w14:textId="77777777" w:rsidR="0026109C" w:rsidRPr="00521029" w:rsidRDefault="004F430F" w:rsidP="00111E62">
      <w:pPr>
        <w:spacing w:after="0"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7A0D9002" w14:textId="7BF9BD7F" w:rsidR="00750AB7" w:rsidRDefault="00750AB7" w:rsidP="00111E62">
      <w:pPr>
        <w:spacing w:after="0" w:line="360" w:lineRule="auto"/>
        <w:rPr>
          <w:rFonts w:ascii="Times New Roman" w:hAnsi="Times New Roman" w:cs="Times New Roman"/>
          <w:sz w:val="24"/>
          <w:szCs w:val="24"/>
        </w:rPr>
      </w:pPr>
      <w:r w:rsidRPr="00AE4D7C">
        <w:rPr>
          <w:rFonts w:ascii="Times New Roman" w:hAnsi="Times New Roman" w:cs="Times New Roman"/>
          <w:sz w:val="24"/>
          <w:szCs w:val="24"/>
        </w:rPr>
        <w:t xml:space="preserve">Consultation was considered unnecessary as the legislative instrument is of a minor nature and does not substantially alter existing arrangements. </w:t>
      </w:r>
    </w:p>
    <w:p w14:paraId="36E7ACC5" w14:textId="77777777" w:rsidR="00111E62" w:rsidRDefault="00111E62" w:rsidP="00833891">
      <w:pPr>
        <w:spacing w:after="0" w:line="360" w:lineRule="auto"/>
        <w:rPr>
          <w:rFonts w:ascii="Times New Roman" w:hAnsi="Times New Roman" w:cs="Times New Roman"/>
          <w:b/>
          <w:caps/>
          <w:sz w:val="24"/>
          <w:szCs w:val="24"/>
        </w:rPr>
      </w:pPr>
    </w:p>
    <w:p w14:paraId="09BFDCE4" w14:textId="198763D5" w:rsidR="00566C9B" w:rsidRPr="00521029" w:rsidRDefault="004F430F" w:rsidP="00833891">
      <w:pPr>
        <w:spacing w:after="0"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0B41FAC" w14:textId="70DBD050" w:rsidR="00750AB7" w:rsidRDefault="00750AB7" w:rsidP="00111E62">
      <w:pPr>
        <w:spacing w:after="0" w:line="360" w:lineRule="auto"/>
        <w:rPr>
          <w:rFonts w:ascii="Times New Roman" w:hAnsi="Times New Roman" w:cs="Times New Roman"/>
          <w:sz w:val="24"/>
          <w:szCs w:val="24"/>
        </w:rPr>
      </w:pPr>
      <w:r w:rsidRPr="00750AB7">
        <w:rPr>
          <w:rFonts w:ascii="Times New Roman" w:hAnsi="Times New Roman" w:cs="Times New Roman"/>
          <w:sz w:val="24"/>
          <w:szCs w:val="24"/>
        </w:rPr>
        <w:t xml:space="preserve">No Regulation Impact Statement was completed following consultation with the OBPR (OBPR reference is </w:t>
      </w:r>
      <w:r w:rsidR="004E79C7" w:rsidRPr="004E79C7">
        <w:rPr>
          <w:rFonts w:ascii="Times New Roman" w:hAnsi="Times New Roman" w:cs="Times New Roman"/>
          <w:sz w:val="24"/>
          <w:szCs w:val="24"/>
        </w:rPr>
        <w:t>OBPR22-02126</w:t>
      </w:r>
      <w:r w:rsidRPr="00750AB7">
        <w:rPr>
          <w:rFonts w:ascii="Times New Roman" w:hAnsi="Times New Roman" w:cs="Times New Roman"/>
          <w:sz w:val="24"/>
          <w:szCs w:val="24"/>
        </w:rPr>
        <w:t>). OBPR advised that based on the information provided OBPR considers that the determination is machinery in nature. As Cabinet is not the decision-maker, a Regulation Impact Statement is not required for this proposal.</w:t>
      </w:r>
    </w:p>
    <w:p w14:paraId="3BD38998" w14:textId="77777777" w:rsidR="00111E62" w:rsidRPr="00750AB7" w:rsidRDefault="00111E62" w:rsidP="00833891">
      <w:pPr>
        <w:spacing w:after="0" w:line="360" w:lineRule="auto"/>
        <w:rPr>
          <w:rFonts w:ascii="Times New Roman" w:hAnsi="Times New Roman" w:cs="Times New Roman"/>
          <w:sz w:val="24"/>
          <w:szCs w:val="24"/>
        </w:rPr>
      </w:pPr>
    </w:p>
    <w:p w14:paraId="4D128E10" w14:textId="77777777" w:rsidR="00833891" w:rsidRDefault="00833891">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275A44EA" w:rsidR="008B2955" w:rsidRPr="00521029" w:rsidRDefault="008B2955" w:rsidP="00833891">
      <w:pPr>
        <w:spacing w:after="0"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09BFDCE8" w14:textId="77777777" w:rsidR="001D3031" w:rsidRPr="00833891" w:rsidRDefault="001D3031" w:rsidP="00CF14E3">
      <w:pPr>
        <w:spacing w:line="360" w:lineRule="auto"/>
        <w:rPr>
          <w:rFonts w:ascii="Times New Roman" w:hAnsi="Times New Roman" w:cs="Times New Roman"/>
          <w:color w:val="FF0000"/>
          <w:sz w:val="24"/>
          <w:szCs w:val="24"/>
        </w:rPr>
      </w:pPr>
      <w:r w:rsidRPr="00833891">
        <w:rPr>
          <w:rFonts w:ascii="Times New Roman" w:hAnsi="Times New Roman" w:cs="Times New Roman"/>
          <w:i/>
          <w:iCs/>
          <w:color w:val="000000"/>
          <w:sz w:val="24"/>
          <w:szCs w:val="24"/>
        </w:rPr>
        <w:t>Prepared in accordance with Part 3 of the Human Rights (Parliamentary Scrutiny) Act 2011</w:t>
      </w:r>
    </w:p>
    <w:p w14:paraId="518FDB5B" w14:textId="77777777" w:rsidR="000F2ADA" w:rsidRPr="006D6C9F" w:rsidRDefault="000F2ADA" w:rsidP="000F2ADA">
      <w:pPr>
        <w:pStyle w:val="Heading1"/>
        <w:spacing w:before="0" w:after="0" w:line="240" w:lineRule="auto"/>
        <w:rPr>
          <w:rFonts w:ascii="Times New Roman" w:hAnsi="Times New Roman"/>
          <w:i/>
          <w:caps w:val="0"/>
          <w:sz w:val="24"/>
          <w:szCs w:val="24"/>
        </w:rPr>
      </w:pPr>
      <w:r w:rsidRPr="006D6C9F">
        <w:rPr>
          <w:rFonts w:ascii="Times New Roman" w:hAnsi="Times New Roman"/>
          <w:i/>
          <w:caps w:val="0"/>
          <w:sz w:val="24"/>
          <w:szCs w:val="24"/>
        </w:rPr>
        <w:t>Royal Commissions Amendment (Custody of Records) Regulations 2022</w:t>
      </w:r>
    </w:p>
    <w:p w14:paraId="320C13DC" w14:textId="77777777" w:rsidR="00833891" w:rsidRDefault="000F2ADA" w:rsidP="000F2ADA">
      <w:pPr>
        <w:spacing w:before="240" w:after="120" w:line="240" w:lineRule="auto"/>
        <w:rPr>
          <w:rFonts w:ascii="Times New Roman" w:hAnsi="Times New Roman"/>
          <w:sz w:val="24"/>
          <w:szCs w:val="24"/>
        </w:rPr>
      </w:pPr>
      <w:r w:rsidRPr="00AA5438">
        <w:rPr>
          <w:rFonts w:ascii="Times New Roman" w:hAnsi="Times New Roman"/>
          <w:sz w:val="24"/>
          <w:szCs w:val="24"/>
        </w:rPr>
        <w:t xml:space="preserve">The Regulations are compatible with the human rights and freedoms recognised or declared in the international instruments listed in section 3 of the </w:t>
      </w:r>
      <w:r w:rsidRPr="00AA5438">
        <w:rPr>
          <w:rFonts w:ascii="Times New Roman" w:hAnsi="Times New Roman"/>
          <w:i/>
          <w:sz w:val="24"/>
          <w:szCs w:val="24"/>
        </w:rPr>
        <w:t>Human Rights (Parliamentary Scrutiny) Act 2011</w:t>
      </w:r>
      <w:r w:rsidRPr="00AA5438">
        <w:rPr>
          <w:rFonts w:ascii="Times New Roman" w:hAnsi="Times New Roman"/>
          <w:sz w:val="24"/>
          <w:szCs w:val="24"/>
        </w:rPr>
        <w:t>.</w:t>
      </w:r>
    </w:p>
    <w:p w14:paraId="06BE3DE2" w14:textId="1462A4D5" w:rsidR="000F2ADA" w:rsidRDefault="000F2ADA" w:rsidP="000F2ADA">
      <w:pPr>
        <w:spacing w:before="240" w:after="120" w:line="240" w:lineRule="auto"/>
        <w:rPr>
          <w:rFonts w:ascii="Times New Roman" w:hAnsi="Times New Roman"/>
          <w:b/>
          <w:sz w:val="24"/>
          <w:szCs w:val="24"/>
        </w:rPr>
      </w:pPr>
      <w:r w:rsidRPr="00B40F40">
        <w:rPr>
          <w:rFonts w:ascii="Times New Roman" w:hAnsi="Times New Roman"/>
          <w:b/>
          <w:sz w:val="24"/>
          <w:szCs w:val="24"/>
        </w:rPr>
        <w:t>Overview of the Bill</w:t>
      </w:r>
    </w:p>
    <w:p w14:paraId="4B58C9B6" w14:textId="776A569C" w:rsidR="000F2ADA" w:rsidRPr="0037690E" w:rsidRDefault="000F2ADA" w:rsidP="0037690E">
      <w:pPr>
        <w:spacing w:before="240" w:after="0" w:line="240" w:lineRule="auto"/>
        <w:rPr>
          <w:rFonts w:ascii="Times New Roman" w:hAnsi="Times New Roman"/>
          <w:color w:val="FF0000"/>
          <w:sz w:val="24"/>
          <w:szCs w:val="24"/>
        </w:rPr>
      </w:pPr>
      <w:r w:rsidRPr="0037690E">
        <w:rPr>
          <w:rFonts w:ascii="Times New Roman" w:hAnsi="Times New Roman"/>
          <w:sz w:val="24"/>
          <w:szCs w:val="24"/>
        </w:rPr>
        <w:t>The Regulations reflect the original intent of the provision to enable the Attorney</w:t>
      </w:r>
      <w:r w:rsidRPr="0037690E">
        <w:rPr>
          <w:rFonts w:ascii="Times New Roman" w:hAnsi="Times New Roman"/>
          <w:sz w:val="24"/>
          <w:szCs w:val="24"/>
        </w:rPr>
        <w:noBreakHyphen/>
        <w:t xml:space="preserve">General’s Department, as custodian of the records of a </w:t>
      </w:r>
      <w:r w:rsidR="00334C9D" w:rsidRPr="0037690E">
        <w:rPr>
          <w:rFonts w:ascii="Times New Roman" w:hAnsi="Times New Roman"/>
          <w:sz w:val="24"/>
          <w:szCs w:val="24"/>
        </w:rPr>
        <w:t>r</w:t>
      </w:r>
      <w:r w:rsidRPr="0037690E">
        <w:rPr>
          <w:rFonts w:ascii="Times New Roman" w:hAnsi="Times New Roman"/>
          <w:sz w:val="24"/>
          <w:szCs w:val="24"/>
        </w:rPr>
        <w:t xml:space="preserve">oyal </w:t>
      </w:r>
      <w:r w:rsidR="00334C9D" w:rsidRPr="0037690E">
        <w:rPr>
          <w:rFonts w:ascii="Times New Roman" w:hAnsi="Times New Roman"/>
          <w:sz w:val="24"/>
          <w:szCs w:val="24"/>
        </w:rPr>
        <w:t>c</w:t>
      </w:r>
      <w:r w:rsidRPr="0037690E">
        <w:rPr>
          <w:rFonts w:ascii="Times New Roman" w:hAnsi="Times New Roman"/>
          <w:sz w:val="24"/>
          <w:szCs w:val="24"/>
        </w:rPr>
        <w:t>ommission that concluded after 21</w:t>
      </w:r>
      <w:r w:rsidR="0037690E">
        <w:rPr>
          <w:rFonts w:ascii="Times New Roman" w:hAnsi="Times New Roman"/>
          <w:sz w:val="24"/>
          <w:szCs w:val="24"/>
        </w:rPr>
        <w:t> </w:t>
      </w:r>
      <w:r w:rsidRPr="0037690E">
        <w:rPr>
          <w:rFonts w:ascii="Times New Roman" w:hAnsi="Times New Roman"/>
          <w:sz w:val="24"/>
          <w:szCs w:val="24"/>
        </w:rPr>
        <w:t xml:space="preserve">September 2019 (the date of commencement of the Royal Commissions Regulations), to handle requests for copies of, or access to, records of the </w:t>
      </w:r>
      <w:r w:rsidR="00334C9D" w:rsidRPr="0037690E">
        <w:rPr>
          <w:rFonts w:ascii="Times New Roman" w:hAnsi="Times New Roman"/>
          <w:sz w:val="24"/>
          <w:szCs w:val="24"/>
        </w:rPr>
        <w:t>r</w:t>
      </w:r>
      <w:r w:rsidRPr="0037690E">
        <w:rPr>
          <w:rFonts w:ascii="Times New Roman" w:hAnsi="Times New Roman"/>
          <w:sz w:val="24"/>
          <w:szCs w:val="24"/>
        </w:rPr>
        <w:t xml:space="preserve">oyal </w:t>
      </w:r>
      <w:r w:rsidR="00334C9D" w:rsidRPr="0037690E">
        <w:rPr>
          <w:rFonts w:ascii="Times New Roman" w:hAnsi="Times New Roman"/>
          <w:sz w:val="24"/>
          <w:szCs w:val="24"/>
        </w:rPr>
        <w:t>c</w:t>
      </w:r>
      <w:r w:rsidRPr="0037690E">
        <w:rPr>
          <w:rFonts w:ascii="Times New Roman" w:hAnsi="Times New Roman"/>
          <w:sz w:val="24"/>
          <w:szCs w:val="24"/>
        </w:rPr>
        <w:t>ommission.</w:t>
      </w:r>
    </w:p>
    <w:p w14:paraId="283F3751" w14:textId="6F93A3A9" w:rsidR="000F2ADA" w:rsidRPr="0037690E" w:rsidRDefault="000F2ADA" w:rsidP="0037690E">
      <w:pPr>
        <w:spacing w:before="240" w:after="0" w:line="240" w:lineRule="auto"/>
        <w:rPr>
          <w:rFonts w:ascii="Times New Roman" w:hAnsi="Times New Roman"/>
          <w:sz w:val="24"/>
          <w:szCs w:val="24"/>
        </w:rPr>
      </w:pPr>
      <w:r w:rsidRPr="0037690E">
        <w:rPr>
          <w:rFonts w:ascii="Times New Roman" w:hAnsi="Times New Roman"/>
          <w:sz w:val="24"/>
          <w:szCs w:val="24"/>
        </w:rPr>
        <w:t xml:space="preserve">The Regulations provide for the handling of requests for copies of, or access to, records of the Royal Commission into National Natural Disaster Arrangements (the Natural Disaster Royal Commission), the Royal Commission into Aged Care Quality and Safety (the Aged Care Royal Commission), and </w:t>
      </w:r>
      <w:r w:rsidR="00334C9D" w:rsidRPr="0037690E">
        <w:rPr>
          <w:rFonts w:ascii="Times New Roman" w:hAnsi="Times New Roman"/>
          <w:sz w:val="24"/>
          <w:szCs w:val="24"/>
        </w:rPr>
        <w:t>r</w:t>
      </w:r>
      <w:r w:rsidRPr="0037690E">
        <w:rPr>
          <w:rFonts w:ascii="Times New Roman" w:hAnsi="Times New Roman"/>
          <w:sz w:val="24"/>
          <w:szCs w:val="24"/>
        </w:rPr>
        <w:t xml:space="preserve">oyal </w:t>
      </w:r>
      <w:r w:rsidR="00334C9D" w:rsidRPr="0037690E">
        <w:rPr>
          <w:rFonts w:ascii="Times New Roman" w:hAnsi="Times New Roman"/>
          <w:sz w:val="24"/>
          <w:szCs w:val="24"/>
        </w:rPr>
        <w:t>c</w:t>
      </w:r>
      <w:r w:rsidRPr="0037690E">
        <w:rPr>
          <w:rFonts w:ascii="Times New Roman" w:hAnsi="Times New Roman"/>
          <w:sz w:val="24"/>
          <w:szCs w:val="24"/>
        </w:rPr>
        <w:t>ommissions that are yet to be finalised or commenced.</w:t>
      </w:r>
    </w:p>
    <w:p w14:paraId="640CB36A" w14:textId="543BECC3" w:rsidR="009736FB" w:rsidRPr="009736FB" w:rsidRDefault="009736FB" w:rsidP="009736FB">
      <w:pPr>
        <w:spacing w:before="240" w:after="0" w:line="240" w:lineRule="auto"/>
        <w:rPr>
          <w:rFonts w:ascii="Times New Roman" w:hAnsi="Times New Roman"/>
          <w:sz w:val="24"/>
          <w:szCs w:val="24"/>
        </w:rPr>
      </w:pPr>
      <w:r w:rsidRPr="009736FB">
        <w:rPr>
          <w:rFonts w:ascii="Times New Roman" w:hAnsi="Times New Roman"/>
          <w:sz w:val="24"/>
          <w:szCs w:val="24"/>
        </w:rPr>
        <w:t xml:space="preserve">The </w:t>
      </w:r>
      <w:r w:rsidR="00EE38B3">
        <w:rPr>
          <w:rFonts w:ascii="Times New Roman" w:hAnsi="Times New Roman"/>
          <w:sz w:val="24"/>
          <w:szCs w:val="24"/>
        </w:rPr>
        <w:t>R</w:t>
      </w:r>
      <w:r w:rsidRPr="009736FB">
        <w:rPr>
          <w:rFonts w:ascii="Times New Roman" w:hAnsi="Times New Roman"/>
          <w:sz w:val="24"/>
          <w:szCs w:val="24"/>
        </w:rPr>
        <w:t>egulations also clarify the custodianship of records of the Royal Commission into the Home Insulation Program.</w:t>
      </w:r>
    </w:p>
    <w:p w14:paraId="1C39DCFE" w14:textId="77777777" w:rsidR="000F2ADA" w:rsidRPr="00BA6E04" w:rsidRDefault="000F2ADA" w:rsidP="000F2ADA">
      <w:pPr>
        <w:keepNext/>
        <w:spacing w:before="240" w:after="0" w:line="240" w:lineRule="auto"/>
        <w:rPr>
          <w:rFonts w:ascii="Times New Roman" w:hAnsi="Times New Roman"/>
          <w:b/>
          <w:sz w:val="24"/>
          <w:szCs w:val="24"/>
        </w:rPr>
      </w:pPr>
      <w:r w:rsidRPr="00BA6E04">
        <w:rPr>
          <w:rFonts w:ascii="Times New Roman" w:hAnsi="Times New Roman"/>
          <w:b/>
          <w:sz w:val="24"/>
          <w:szCs w:val="24"/>
        </w:rPr>
        <w:t>Human rights implications</w:t>
      </w:r>
    </w:p>
    <w:p w14:paraId="5ACDDAF4" w14:textId="19F6D546" w:rsidR="00EE38B3" w:rsidRDefault="000F2ADA" w:rsidP="006B5166">
      <w:pPr>
        <w:spacing w:before="240" w:after="0" w:line="240" w:lineRule="auto"/>
        <w:rPr>
          <w:rFonts w:ascii="Times New Roman" w:hAnsi="Times New Roman"/>
          <w:sz w:val="24"/>
          <w:szCs w:val="24"/>
        </w:rPr>
      </w:pPr>
      <w:r w:rsidRPr="006B5166">
        <w:rPr>
          <w:rFonts w:ascii="Times New Roman" w:hAnsi="Times New Roman"/>
          <w:sz w:val="24"/>
          <w:szCs w:val="24"/>
        </w:rPr>
        <w:t xml:space="preserve">The </w:t>
      </w:r>
      <w:r w:rsidR="00EE38B3">
        <w:rPr>
          <w:rFonts w:ascii="Times New Roman" w:hAnsi="Times New Roman"/>
          <w:sz w:val="24"/>
          <w:szCs w:val="24"/>
        </w:rPr>
        <w:t xml:space="preserve">Regulations do not engage any of the applicable rights or freedoms. </w:t>
      </w:r>
      <w:r w:rsidR="00BC3368">
        <w:rPr>
          <w:rFonts w:ascii="Times New Roman" w:hAnsi="Times New Roman"/>
          <w:sz w:val="24"/>
          <w:szCs w:val="24"/>
        </w:rPr>
        <w:t>The amendments are operational in nature and do not impact on individual rights or freedoms. They are designed to correct drafting oversights, clarify custodianship or records and provide a lawful basis for the handling of records.</w:t>
      </w:r>
    </w:p>
    <w:p w14:paraId="5CC95A65" w14:textId="0893C515" w:rsidR="00EE38B3" w:rsidRPr="00833891" w:rsidRDefault="00EE38B3" w:rsidP="00833891">
      <w:pPr>
        <w:tabs>
          <w:tab w:val="left" w:pos="1290"/>
        </w:tabs>
        <w:spacing w:before="240" w:after="0" w:line="240" w:lineRule="auto"/>
        <w:rPr>
          <w:rFonts w:ascii="Times New Roman" w:hAnsi="Times New Roman"/>
          <w:b/>
          <w:sz w:val="24"/>
          <w:szCs w:val="24"/>
        </w:rPr>
      </w:pPr>
      <w:r>
        <w:rPr>
          <w:rFonts w:ascii="Times New Roman" w:hAnsi="Times New Roman"/>
          <w:b/>
          <w:sz w:val="24"/>
          <w:szCs w:val="24"/>
        </w:rPr>
        <w:t>Conclusion</w:t>
      </w:r>
    </w:p>
    <w:p w14:paraId="72DFC972" w14:textId="4D1CC6D7" w:rsidR="000F2ADA" w:rsidRPr="006B5166" w:rsidRDefault="00EE38B3" w:rsidP="006B5166">
      <w:pPr>
        <w:spacing w:before="240" w:after="0" w:line="240" w:lineRule="auto"/>
        <w:rPr>
          <w:rFonts w:ascii="Times New Roman" w:hAnsi="Times New Roman"/>
          <w:sz w:val="24"/>
          <w:szCs w:val="24"/>
        </w:rPr>
      </w:pPr>
      <w:r>
        <w:rPr>
          <w:rFonts w:ascii="Times New Roman" w:hAnsi="Times New Roman"/>
          <w:sz w:val="24"/>
          <w:szCs w:val="24"/>
        </w:rPr>
        <w:t xml:space="preserve">This instrument is compatible with human rights as it does not raise any human rights issues. </w:t>
      </w:r>
    </w:p>
    <w:p w14:paraId="09BFDCEB" w14:textId="6207048F" w:rsidR="009B6322" w:rsidRDefault="001D3031" w:rsidP="00AA5438">
      <w:pPr>
        <w:pStyle w:val="Default"/>
        <w:spacing w:after="200" w:line="360" w:lineRule="auto"/>
        <w:rPr>
          <w:color w:val="FF0000"/>
        </w:rPr>
      </w:pPr>
      <w:r w:rsidRPr="00521029">
        <w:rPr>
          <w:color w:val="FF0000"/>
          <w:sz w:val="22"/>
          <w:szCs w:val="22"/>
        </w:rPr>
        <w:t xml:space="preserve"> </w:t>
      </w:r>
      <w:r w:rsidR="009B6322">
        <w:rPr>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3AD9314E" w14:textId="77777777" w:rsidR="00AA5438" w:rsidRPr="00C741ED" w:rsidRDefault="00AA5438" w:rsidP="00AA5438">
      <w:pPr>
        <w:spacing w:before="240" w:after="0" w:line="240" w:lineRule="auto"/>
        <w:rPr>
          <w:rFonts w:ascii="Times New Roman" w:hAnsi="Times New Roman"/>
          <w:b/>
          <w:sz w:val="24"/>
          <w:szCs w:val="24"/>
        </w:rPr>
      </w:pPr>
      <w:r w:rsidRPr="00A54915">
        <w:rPr>
          <w:rFonts w:ascii="Times New Roman" w:hAnsi="Times New Roman"/>
          <w:b/>
          <w:sz w:val="24"/>
          <w:szCs w:val="24"/>
        </w:rPr>
        <w:t>DETAILS</w:t>
      </w:r>
      <w:r>
        <w:rPr>
          <w:rFonts w:ascii="Times New Roman" w:hAnsi="Times New Roman"/>
          <w:sz w:val="24"/>
          <w:szCs w:val="24"/>
        </w:rPr>
        <w:t xml:space="preserve"> </w:t>
      </w:r>
      <w:r>
        <w:rPr>
          <w:rFonts w:ascii="Times New Roman" w:hAnsi="Times New Roman"/>
          <w:b/>
          <w:sz w:val="24"/>
          <w:szCs w:val="24"/>
        </w:rPr>
        <w:t xml:space="preserve">OF THE PROPOSED </w:t>
      </w:r>
      <w:r w:rsidRPr="002649B9">
        <w:rPr>
          <w:rFonts w:ascii="Times New Roman" w:hAnsi="Times New Roman"/>
          <w:b/>
          <w:i/>
          <w:sz w:val="24"/>
          <w:szCs w:val="24"/>
        </w:rPr>
        <w:t>ROYAL COMMISSIONS AMENDMENT (CUSTODY OF RECORDS) REGULATIONS 2022</w:t>
      </w:r>
    </w:p>
    <w:p w14:paraId="394558AD" w14:textId="77777777" w:rsidR="00AA5438" w:rsidRPr="00F64733" w:rsidRDefault="00AA5438" w:rsidP="00AA5438">
      <w:pPr>
        <w:keepNext/>
        <w:spacing w:before="240"/>
        <w:rPr>
          <w:rFonts w:ascii="Times New Roman" w:hAnsi="Times New Roman"/>
          <w:b/>
          <w:sz w:val="24"/>
          <w:szCs w:val="24"/>
        </w:rPr>
      </w:pPr>
      <w:r w:rsidRPr="00F64733">
        <w:rPr>
          <w:rFonts w:ascii="Times New Roman" w:hAnsi="Times New Roman"/>
          <w:b/>
          <w:sz w:val="24"/>
          <w:szCs w:val="24"/>
        </w:rPr>
        <w:t xml:space="preserve">Preliminary </w:t>
      </w:r>
    </w:p>
    <w:p w14:paraId="3467BF70" w14:textId="62EE73C5" w:rsidR="00AA5438" w:rsidRPr="00F64733" w:rsidRDefault="009A3EAB" w:rsidP="00AA5438">
      <w:pPr>
        <w:keepNext/>
        <w:spacing w:before="240"/>
        <w:rPr>
          <w:rFonts w:ascii="Times New Roman" w:hAnsi="Times New Roman"/>
          <w:b/>
          <w:sz w:val="24"/>
          <w:szCs w:val="24"/>
        </w:rPr>
      </w:pPr>
      <w:r>
        <w:rPr>
          <w:rFonts w:ascii="Times New Roman" w:hAnsi="Times New Roman"/>
          <w:b/>
          <w:sz w:val="24"/>
          <w:szCs w:val="24"/>
        </w:rPr>
        <w:t>Section</w:t>
      </w:r>
      <w:r w:rsidR="00AA5438" w:rsidRPr="00F64733">
        <w:rPr>
          <w:rFonts w:ascii="Times New Roman" w:hAnsi="Times New Roman"/>
          <w:b/>
          <w:sz w:val="24"/>
          <w:szCs w:val="24"/>
        </w:rPr>
        <w:t xml:space="preserve"> 1 – </w:t>
      </w:r>
      <w:r w:rsidR="00AA5438">
        <w:rPr>
          <w:rFonts w:ascii="Times New Roman" w:hAnsi="Times New Roman"/>
          <w:b/>
          <w:sz w:val="24"/>
          <w:szCs w:val="24"/>
        </w:rPr>
        <w:t>Name of Regulations</w:t>
      </w:r>
    </w:p>
    <w:p w14:paraId="0B27F652" w14:textId="15AD1CD8" w:rsidR="00AA5438" w:rsidRPr="00F64733" w:rsidRDefault="00AA5438" w:rsidP="00AA5438">
      <w:pPr>
        <w:numPr>
          <w:ilvl w:val="0"/>
          <w:numId w:val="11"/>
        </w:numPr>
        <w:spacing w:before="240" w:after="0" w:line="240" w:lineRule="auto"/>
        <w:ind w:left="0" w:hanging="11"/>
        <w:rPr>
          <w:rFonts w:ascii="Times New Roman" w:hAnsi="Times New Roman"/>
          <w:sz w:val="24"/>
          <w:szCs w:val="24"/>
        </w:rPr>
      </w:pPr>
      <w:r w:rsidRPr="00F64733">
        <w:rPr>
          <w:rFonts w:ascii="Times New Roman" w:hAnsi="Times New Roman"/>
          <w:sz w:val="24"/>
          <w:szCs w:val="24"/>
        </w:rPr>
        <w:t xml:space="preserve">This </w:t>
      </w:r>
      <w:r w:rsidR="00F53191">
        <w:rPr>
          <w:rFonts w:ascii="Times New Roman" w:hAnsi="Times New Roman"/>
          <w:sz w:val="24"/>
          <w:szCs w:val="24"/>
        </w:rPr>
        <w:t>section</w:t>
      </w:r>
      <w:r w:rsidR="00F53191" w:rsidRPr="00F64733">
        <w:rPr>
          <w:rFonts w:ascii="Times New Roman" w:hAnsi="Times New Roman"/>
          <w:sz w:val="24"/>
          <w:szCs w:val="24"/>
        </w:rPr>
        <w:t xml:space="preserve"> </w:t>
      </w:r>
      <w:r w:rsidRPr="00F64733">
        <w:rPr>
          <w:rFonts w:ascii="Times New Roman" w:hAnsi="Times New Roman"/>
          <w:sz w:val="24"/>
          <w:szCs w:val="24"/>
        </w:rPr>
        <w:t>provides</w:t>
      </w:r>
      <w:r w:rsidRPr="00F64733">
        <w:rPr>
          <w:rStyle w:val="ParagraphChar"/>
          <w:rFonts w:eastAsia="Calibri"/>
        </w:rPr>
        <w:t xml:space="preserve"> </w:t>
      </w:r>
      <w:r>
        <w:rPr>
          <w:rStyle w:val="ParagraphChar"/>
          <w:rFonts w:eastAsia="Calibri"/>
        </w:rPr>
        <w:t xml:space="preserve">the instrument is the </w:t>
      </w:r>
      <w:r w:rsidRPr="00517D8E">
        <w:rPr>
          <w:rStyle w:val="ParagraphChar"/>
          <w:rFonts w:eastAsia="Calibri"/>
          <w:i/>
        </w:rPr>
        <w:t>Royal Commissions Amendment (Custody of Records) Regulations 2022</w:t>
      </w:r>
      <w:r w:rsidRPr="00910790">
        <w:rPr>
          <w:rFonts w:ascii="Times New Roman" w:hAnsi="Times New Roman"/>
          <w:sz w:val="24"/>
          <w:szCs w:val="24"/>
        </w:rPr>
        <w:t>.</w:t>
      </w:r>
    </w:p>
    <w:p w14:paraId="172157F9" w14:textId="4E11BEEA" w:rsidR="00AA5438" w:rsidRPr="00F64733" w:rsidRDefault="009A3EAB" w:rsidP="00AA5438">
      <w:pPr>
        <w:keepNext/>
        <w:spacing w:before="240"/>
        <w:rPr>
          <w:rFonts w:ascii="Times New Roman" w:hAnsi="Times New Roman"/>
          <w:b/>
          <w:sz w:val="24"/>
          <w:szCs w:val="24"/>
        </w:rPr>
      </w:pPr>
      <w:r>
        <w:rPr>
          <w:rFonts w:ascii="Times New Roman" w:hAnsi="Times New Roman"/>
          <w:b/>
          <w:sz w:val="24"/>
          <w:szCs w:val="24"/>
        </w:rPr>
        <w:t>Section</w:t>
      </w:r>
      <w:r w:rsidR="00AA5438" w:rsidRPr="00F64733">
        <w:rPr>
          <w:rFonts w:ascii="Times New Roman" w:hAnsi="Times New Roman"/>
          <w:b/>
          <w:sz w:val="24"/>
          <w:szCs w:val="24"/>
        </w:rPr>
        <w:t xml:space="preserve"> 2 – Commencement</w:t>
      </w:r>
    </w:p>
    <w:p w14:paraId="75389710" w14:textId="2D383567" w:rsidR="00AA5438" w:rsidRDefault="00AA5438" w:rsidP="00AA5438">
      <w:pPr>
        <w:numPr>
          <w:ilvl w:val="0"/>
          <w:numId w:val="11"/>
        </w:numPr>
        <w:spacing w:before="240" w:after="0" w:line="240" w:lineRule="auto"/>
        <w:ind w:left="0" w:hanging="11"/>
        <w:rPr>
          <w:rFonts w:ascii="Times New Roman" w:hAnsi="Times New Roman"/>
          <w:sz w:val="24"/>
          <w:szCs w:val="24"/>
        </w:rPr>
      </w:pPr>
      <w:r w:rsidRPr="00F64733">
        <w:rPr>
          <w:rFonts w:ascii="Times New Roman" w:hAnsi="Times New Roman"/>
          <w:sz w:val="24"/>
          <w:szCs w:val="24"/>
        </w:rPr>
        <w:t xml:space="preserve">This </w:t>
      </w:r>
      <w:r w:rsidR="00F53191">
        <w:rPr>
          <w:rFonts w:ascii="Times New Roman" w:hAnsi="Times New Roman"/>
          <w:sz w:val="24"/>
          <w:szCs w:val="24"/>
        </w:rPr>
        <w:t>section</w:t>
      </w:r>
      <w:r w:rsidR="00F53191" w:rsidRPr="00F64733">
        <w:rPr>
          <w:rFonts w:ascii="Times New Roman" w:hAnsi="Times New Roman"/>
          <w:sz w:val="24"/>
          <w:szCs w:val="24"/>
        </w:rPr>
        <w:t xml:space="preserve"> </w:t>
      </w:r>
      <w:r w:rsidRPr="00F64733">
        <w:rPr>
          <w:rFonts w:ascii="Times New Roman" w:hAnsi="Times New Roman"/>
          <w:sz w:val="24"/>
          <w:szCs w:val="24"/>
        </w:rPr>
        <w:t xml:space="preserve">provides </w:t>
      </w:r>
      <w:r>
        <w:rPr>
          <w:rFonts w:ascii="Times New Roman" w:hAnsi="Times New Roman"/>
          <w:sz w:val="24"/>
          <w:szCs w:val="24"/>
        </w:rPr>
        <w:t>the whole of the instrument</w:t>
      </w:r>
      <w:r w:rsidRPr="00F64733">
        <w:rPr>
          <w:rFonts w:ascii="Times New Roman" w:hAnsi="Times New Roman"/>
          <w:sz w:val="24"/>
          <w:szCs w:val="24"/>
        </w:rPr>
        <w:t xml:space="preserve"> </w:t>
      </w:r>
      <w:r>
        <w:rPr>
          <w:rFonts w:ascii="Times New Roman" w:hAnsi="Times New Roman"/>
          <w:sz w:val="24"/>
          <w:szCs w:val="24"/>
        </w:rPr>
        <w:t>will co</w:t>
      </w:r>
      <w:r w:rsidRPr="00F64733">
        <w:rPr>
          <w:rFonts w:ascii="Times New Roman" w:hAnsi="Times New Roman"/>
          <w:sz w:val="24"/>
          <w:szCs w:val="24"/>
        </w:rPr>
        <w:t xml:space="preserve">mmence on the day </w:t>
      </w:r>
      <w:r>
        <w:rPr>
          <w:rFonts w:ascii="Times New Roman" w:hAnsi="Times New Roman"/>
          <w:sz w:val="24"/>
          <w:szCs w:val="24"/>
        </w:rPr>
        <w:t>after the instrument is registered</w:t>
      </w:r>
      <w:r w:rsidRPr="00F64733">
        <w:rPr>
          <w:rFonts w:ascii="Times New Roman" w:hAnsi="Times New Roman"/>
          <w:sz w:val="24"/>
          <w:szCs w:val="24"/>
        </w:rPr>
        <w:t xml:space="preserve">.  </w:t>
      </w:r>
    </w:p>
    <w:p w14:paraId="17083614" w14:textId="3D915D02" w:rsidR="00AA5438" w:rsidRPr="00517D8E" w:rsidRDefault="009A3EAB" w:rsidP="00AA5438">
      <w:pPr>
        <w:spacing w:before="240" w:after="0" w:line="240" w:lineRule="auto"/>
        <w:rPr>
          <w:rFonts w:ascii="Times New Roman" w:hAnsi="Times New Roman"/>
          <w:b/>
          <w:sz w:val="24"/>
          <w:szCs w:val="24"/>
        </w:rPr>
      </w:pPr>
      <w:r>
        <w:rPr>
          <w:rFonts w:ascii="Times New Roman" w:hAnsi="Times New Roman"/>
          <w:b/>
          <w:sz w:val="24"/>
          <w:szCs w:val="24"/>
        </w:rPr>
        <w:t>Section</w:t>
      </w:r>
      <w:r w:rsidR="00AA5438" w:rsidRPr="00517D8E">
        <w:rPr>
          <w:rFonts w:ascii="Times New Roman" w:hAnsi="Times New Roman"/>
          <w:b/>
          <w:sz w:val="24"/>
          <w:szCs w:val="24"/>
        </w:rPr>
        <w:t xml:space="preserve"> 3 - Authority</w:t>
      </w:r>
    </w:p>
    <w:p w14:paraId="310F5B15" w14:textId="60658D54" w:rsidR="00AA5438" w:rsidRPr="00FB7F48" w:rsidRDefault="00AA5438" w:rsidP="00AA5438">
      <w:pPr>
        <w:numPr>
          <w:ilvl w:val="0"/>
          <w:numId w:val="11"/>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w:t>
      </w:r>
      <w:r w:rsidR="00513511">
        <w:rPr>
          <w:rFonts w:ascii="Times New Roman" w:hAnsi="Times New Roman"/>
          <w:sz w:val="24"/>
          <w:szCs w:val="24"/>
        </w:rPr>
        <w:t xml:space="preserve">section </w:t>
      </w:r>
      <w:r>
        <w:rPr>
          <w:rFonts w:ascii="Times New Roman" w:hAnsi="Times New Roman"/>
          <w:sz w:val="24"/>
          <w:szCs w:val="24"/>
        </w:rPr>
        <w:t>provide</w:t>
      </w:r>
      <w:r w:rsidR="00203B4B">
        <w:rPr>
          <w:rFonts w:ascii="Times New Roman" w:hAnsi="Times New Roman"/>
          <w:sz w:val="24"/>
          <w:szCs w:val="24"/>
        </w:rPr>
        <w:t>s</w:t>
      </w:r>
      <w:r>
        <w:rPr>
          <w:rFonts w:ascii="Times New Roman" w:hAnsi="Times New Roman"/>
          <w:sz w:val="24"/>
          <w:szCs w:val="24"/>
        </w:rPr>
        <w:t xml:space="preserve"> that the </w:t>
      </w:r>
      <w:r w:rsidRPr="002649B9">
        <w:rPr>
          <w:rFonts w:ascii="Times New Roman" w:hAnsi="Times New Roman"/>
          <w:i/>
          <w:sz w:val="24"/>
          <w:szCs w:val="24"/>
        </w:rPr>
        <w:t>Royal Commissions Amendment (Custody of Records) Regulations 2022</w:t>
      </w:r>
      <w:r>
        <w:rPr>
          <w:rFonts w:ascii="Times New Roman" w:hAnsi="Times New Roman"/>
          <w:sz w:val="24"/>
          <w:szCs w:val="24"/>
        </w:rPr>
        <w:t xml:space="preserve"> is made under the </w:t>
      </w:r>
      <w:r w:rsidRPr="00517D8E">
        <w:rPr>
          <w:rFonts w:ascii="Times New Roman" w:hAnsi="Times New Roman"/>
          <w:i/>
          <w:sz w:val="24"/>
          <w:szCs w:val="24"/>
        </w:rPr>
        <w:t>Royal Commissions Act 1902</w:t>
      </w:r>
      <w:r>
        <w:rPr>
          <w:rFonts w:ascii="Times New Roman" w:hAnsi="Times New Roman"/>
          <w:sz w:val="24"/>
          <w:szCs w:val="24"/>
        </w:rPr>
        <w:t>.</w:t>
      </w:r>
    </w:p>
    <w:p w14:paraId="352608D9" w14:textId="7C47D040" w:rsidR="00AA5438" w:rsidRDefault="009A3EAB" w:rsidP="00AA5438">
      <w:pPr>
        <w:keepNext/>
        <w:spacing w:before="240"/>
        <w:rPr>
          <w:rFonts w:ascii="Times New Roman" w:hAnsi="Times New Roman"/>
          <w:b/>
          <w:sz w:val="24"/>
          <w:szCs w:val="24"/>
        </w:rPr>
      </w:pPr>
      <w:r>
        <w:rPr>
          <w:rFonts w:ascii="Times New Roman" w:hAnsi="Times New Roman"/>
          <w:b/>
          <w:sz w:val="24"/>
          <w:szCs w:val="24"/>
        </w:rPr>
        <w:t>Section</w:t>
      </w:r>
      <w:r w:rsidR="00AA5438" w:rsidRPr="00F72B09">
        <w:rPr>
          <w:rFonts w:ascii="Times New Roman" w:hAnsi="Times New Roman"/>
          <w:b/>
          <w:sz w:val="24"/>
          <w:szCs w:val="24"/>
        </w:rPr>
        <w:t xml:space="preserve"> </w:t>
      </w:r>
      <w:r w:rsidR="00AE15BD">
        <w:rPr>
          <w:rFonts w:ascii="Times New Roman" w:hAnsi="Times New Roman"/>
          <w:b/>
          <w:sz w:val="24"/>
          <w:szCs w:val="24"/>
        </w:rPr>
        <w:t>4</w:t>
      </w:r>
      <w:r w:rsidR="00AA5438" w:rsidRPr="00F72B09">
        <w:rPr>
          <w:rFonts w:ascii="Times New Roman" w:hAnsi="Times New Roman"/>
          <w:b/>
          <w:sz w:val="24"/>
          <w:szCs w:val="24"/>
        </w:rPr>
        <w:t xml:space="preserve"> – Schedule</w:t>
      </w:r>
      <w:r>
        <w:rPr>
          <w:rFonts w:ascii="Times New Roman" w:hAnsi="Times New Roman"/>
          <w:b/>
          <w:sz w:val="24"/>
          <w:szCs w:val="24"/>
        </w:rPr>
        <w:t>(</w:t>
      </w:r>
      <w:r w:rsidR="00AA5438" w:rsidRPr="00F72B09">
        <w:rPr>
          <w:rFonts w:ascii="Times New Roman" w:hAnsi="Times New Roman"/>
          <w:b/>
          <w:sz w:val="24"/>
          <w:szCs w:val="24"/>
        </w:rPr>
        <w:t>s</w:t>
      </w:r>
      <w:r>
        <w:rPr>
          <w:rFonts w:ascii="Times New Roman" w:hAnsi="Times New Roman"/>
          <w:b/>
          <w:sz w:val="24"/>
          <w:szCs w:val="24"/>
        </w:rPr>
        <w:t>)</w:t>
      </w:r>
    </w:p>
    <w:p w14:paraId="0F2E4CF8" w14:textId="32EBB259" w:rsidR="00AA5438" w:rsidRDefault="00AA5438" w:rsidP="00AA5438">
      <w:pPr>
        <w:numPr>
          <w:ilvl w:val="0"/>
          <w:numId w:val="11"/>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This </w:t>
      </w:r>
      <w:r w:rsidR="00513511">
        <w:rPr>
          <w:rFonts w:ascii="Times New Roman" w:hAnsi="Times New Roman"/>
          <w:sz w:val="24"/>
          <w:szCs w:val="24"/>
        </w:rPr>
        <w:t xml:space="preserve">section </w:t>
      </w:r>
      <w:r>
        <w:rPr>
          <w:rFonts w:ascii="Times New Roman" w:hAnsi="Times New Roman"/>
          <w:sz w:val="24"/>
          <w:szCs w:val="24"/>
        </w:rPr>
        <w:t>provide</w:t>
      </w:r>
      <w:r w:rsidR="00592C94">
        <w:rPr>
          <w:rFonts w:ascii="Times New Roman" w:hAnsi="Times New Roman"/>
          <w:sz w:val="24"/>
          <w:szCs w:val="24"/>
        </w:rPr>
        <w:t>s</w:t>
      </w:r>
      <w:r>
        <w:rPr>
          <w:rFonts w:ascii="Times New Roman" w:hAnsi="Times New Roman"/>
          <w:sz w:val="24"/>
          <w:szCs w:val="24"/>
        </w:rPr>
        <w:t xml:space="preserve"> that each instrument that is specified in a Sche</w:t>
      </w:r>
      <w:r w:rsidR="00592C94">
        <w:rPr>
          <w:rFonts w:ascii="Times New Roman" w:hAnsi="Times New Roman"/>
          <w:sz w:val="24"/>
          <w:szCs w:val="24"/>
        </w:rPr>
        <w:t>d</w:t>
      </w:r>
      <w:r>
        <w:rPr>
          <w:rFonts w:ascii="Times New Roman" w:hAnsi="Times New Roman"/>
          <w:sz w:val="24"/>
          <w:szCs w:val="24"/>
        </w:rPr>
        <w:t>ule to this instrument is amended or repealed as set out in the applicable items in the Schedule concerned, and any other item in a Schedule to this instrument has effect according to its terms.</w:t>
      </w:r>
    </w:p>
    <w:p w14:paraId="05BBE96A" w14:textId="77777777" w:rsidR="00652181" w:rsidRPr="002649B9" w:rsidRDefault="00652181" w:rsidP="00652181">
      <w:pPr>
        <w:spacing w:before="240" w:after="0" w:line="240" w:lineRule="auto"/>
        <w:rPr>
          <w:rFonts w:ascii="Times New Roman" w:hAnsi="Times New Roman"/>
          <w:b/>
          <w:sz w:val="24"/>
          <w:szCs w:val="24"/>
        </w:rPr>
      </w:pPr>
      <w:r w:rsidRPr="002649B9">
        <w:rPr>
          <w:rFonts w:ascii="Times New Roman" w:hAnsi="Times New Roman"/>
          <w:b/>
          <w:sz w:val="24"/>
          <w:szCs w:val="24"/>
        </w:rPr>
        <w:t>Schedule 1 – Amendments</w:t>
      </w:r>
    </w:p>
    <w:p w14:paraId="14F62C4D" w14:textId="77777777" w:rsidR="00652181" w:rsidRPr="001204AC" w:rsidRDefault="00652181" w:rsidP="00652181">
      <w:pPr>
        <w:spacing w:before="240" w:after="0" w:line="240" w:lineRule="auto"/>
        <w:rPr>
          <w:rFonts w:ascii="Times New Roman" w:hAnsi="Times New Roman"/>
          <w:i/>
          <w:sz w:val="24"/>
          <w:szCs w:val="24"/>
        </w:rPr>
      </w:pPr>
      <w:r w:rsidRPr="001204AC">
        <w:rPr>
          <w:rFonts w:ascii="Times New Roman" w:hAnsi="Times New Roman"/>
          <w:i/>
          <w:sz w:val="24"/>
          <w:szCs w:val="24"/>
        </w:rPr>
        <w:t>Royal Commissions Regulations 2019</w:t>
      </w:r>
    </w:p>
    <w:p w14:paraId="5D925414"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1 – section 4 – would be amended by inserting a definition of “</w:t>
      </w:r>
      <w:r w:rsidRPr="003A4DCE">
        <w:rPr>
          <w:rFonts w:ascii="Times New Roman" w:hAnsi="Times New Roman"/>
          <w:b/>
          <w:i/>
          <w:sz w:val="24"/>
          <w:szCs w:val="24"/>
        </w:rPr>
        <w:t>Home Insulation Royal Commission</w:t>
      </w:r>
      <w:r>
        <w:rPr>
          <w:rFonts w:ascii="Times New Roman" w:hAnsi="Times New Roman"/>
          <w:sz w:val="24"/>
          <w:szCs w:val="24"/>
        </w:rPr>
        <w:t xml:space="preserve">” </w:t>
      </w:r>
    </w:p>
    <w:p w14:paraId="51B06319" w14:textId="252D7D5B"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 xml:space="preserve">Item 2 - section 4 – would be amended by repealing </w:t>
      </w:r>
      <w:r w:rsidR="00AE15BD">
        <w:rPr>
          <w:rFonts w:ascii="Times New Roman" w:hAnsi="Times New Roman"/>
          <w:sz w:val="24"/>
          <w:szCs w:val="24"/>
        </w:rPr>
        <w:t>the</w:t>
      </w:r>
      <w:r>
        <w:rPr>
          <w:rFonts w:ascii="Times New Roman" w:hAnsi="Times New Roman"/>
          <w:sz w:val="24"/>
          <w:szCs w:val="24"/>
        </w:rPr>
        <w:t xml:space="preserve"> definition of “</w:t>
      </w:r>
      <w:r w:rsidRPr="00181708">
        <w:rPr>
          <w:rFonts w:ascii="Times New Roman" w:hAnsi="Times New Roman"/>
          <w:b/>
          <w:i/>
          <w:sz w:val="24"/>
          <w:szCs w:val="24"/>
        </w:rPr>
        <w:t>interim-access period</w:t>
      </w:r>
      <w:r>
        <w:rPr>
          <w:rFonts w:ascii="Times New Roman" w:hAnsi="Times New Roman"/>
          <w:sz w:val="24"/>
          <w:szCs w:val="24"/>
        </w:rPr>
        <w:t>” and substituting a definition of “</w:t>
      </w:r>
      <w:r w:rsidRPr="00A54915">
        <w:rPr>
          <w:rFonts w:ascii="Times New Roman" w:hAnsi="Times New Roman"/>
          <w:b/>
          <w:i/>
          <w:sz w:val="24"/>
          <w:szCs w:val="24"/>
        </w:rPr>
        <w:t>interim-access period</w:t>
      </w:r>
      <w:r>
        <w:rPr>
          <w:rFonts w:ascii="Times New Roman" w:hAnsi="Times New Roman"/>
          <w:b/>
          <w:i/>
          <w:sz w:val="24"/>
          <w:szCs w:val="24"/>
        </w:rPr>
        <w:t xml:space="preserve"> for a Royal Commission</w:t>
      </w:r>
      <w:r>
        <w:rPr>
          <w:rFonts w:ascii="Times New Roman" w:hAnsi="Times New Roman"/>
          <w:sz w:val="24"/>
          <w:szCs w:val="24"/>
        </w:rPr>
        <w:t xml:space="preserve">” </w:t>
      </w:r>
    </w:p>
    <w:p w14:paraId="76D69C22"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3 – section 4 – would be amended by inserting a definition of “</w:t>
      </w:r>
      <w:r w:rsidRPr="00A54915">
        <w:rPr>
          <w:rFonts w:ascii="Times New Roman" w:hAnsi="Times New Roman"/>
          <w:b/>
          <w:i/>
          <w:sz w:val="24"/>
          <w:szCs w:val="24"/>
        </w:rPr>
        <w:t>Natural Disaster Royal Commission</w:t>
      </w:r>
      <w:r>
        <w:rPr>
          <w:rFonts w:ascii="Times New Roman" w:hAnsi="Times New Roman"/>
          <w:sz w:val="24"/>
          <w:szCs w:val="24"/>
        </w:rPr>
        <w:t>”.</w:t>
      </w:r>
    </w:p>
    <w:p w14:paraId="2230AD54" w14:textId="33974D68"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 xml:space="preserve">Item 4 – subsection 10(2) – would be amended by inserting, after “Governor-General”, “(the </w:t>
      </w:r>
      <w:r w:rsidRPr="00736DAD">
        <w:rPr>
          <w:rFonts w:ascii="Times New Roman" w:hAnsi="Times New Roman"/>
          <w:i/>
          <w:sz w:val="24"/>
          <w:szCs w:val="24"/>
        </w:rPr>
        <w:t>interim-access period</w:t>
      </w:r>
      <w:r>
        <w:rPr>
          <w:rFonts w:ascii="Times New Roman" w:hAnsi="Times New Roman"/>
          <w:sz w:val="24"/>
          <w:szCs w:val="24"/>
        </w:rPr>
        <w:t xml:space="preserve"> for that Royal Commission)”.</w:t>
      </w:r>
    </w:p>
    <w:p w14:paraId="4076356D" w14:textId="1DA1E292"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5 – subsection 10(3) – would be amended by omitting “After the end of that 20-year period”, and substituting “After the end of the interim-access period”.</w:t>
      </w:r>
    </w:p>
    <w:p w14:paraId="562A06D6" w14:textId="1E1E1308"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lastRenderedPageBreak/>
        <w:t xml:space="preserve">Item 6 – section 11 (after table item 2) – would be amended by inserting </w:t>
      </w:r>
      <w:bookmarkStart w:id="1" w:name="_Hlk118456419"/>
      <w:r w:rsidR="00B06167">
        <w:rPr>
          <w:rFonts w:ascii="Times New Roman" w:hAnsi="Times New Roman"/>
          <w:sz w:val="24"/>
          <w:szCs w:val="24"/>
        </w:rPr>
        <w:t xml:space="preserve">in the ‘Item’ column “2A”; inserting in column 1 </w:t>
      </w:r>
      <w:r>
        <w:rPr>
          <w:rFonts w:ascii="Times New Roman" w:hAnsi="Times New Roman"/>
          <w:sz w:val="24"/>
          <w:szCs w:val="24"/>
        </w:rPr>
        <w:t xml:space="preserve">“Royal Commission records of the Home </w:t>
      </w:r>
      <w:r w:rsidR="00586363">
        <w:rPr>
          <w:rFonts w:ascii="Times New Roman" w:hAnsi="Times New Roman"/>
          <w:sz w:val="24"/>
          <w:szCs w:val="24"/>
        </w:rPr>
        <w:t>I</w:t>
      </w:r>
      <w:r>
        <w:rPr>
          <w:rFonts w:ascii="Times New Roman" w:hAnsi="Times New Roman"/>
          <w:sz w:val="24"/>
          <w:szCs w:val="24"/>
        </w:rPr>
        <w:t>nsulation Royal Commission</w:t>
      </w:r>
      <w:r w:rsidR="00B06167">
        <w:rPr>
          <w:rFonts w:ascii="Times New Roman" w:hAnsi="Times New Roman"/>
          <w:sz w:val="24"/>
          <w:szCs w:val="24"/>
        </w:rPr>
        <w:t>” and inserting in column 2 “</w:t>
      </w:r>
      <w:r>
        <w:rPr>
          <w:rFonts w:ascii="Times New Roman" w:hAnsi="Times New Roman"/>
          <w:sz w:val="24"/>
          <w:szCs w:val="24"/>
        </w:rPr>
        <w:t>Secretary of the Department</w:t>
      </w:r>
      <w:r w:rsidR="00B06167">
        <w:rPr>
          <w:rFonts w:ascii="Times New Roman" w:hAnsi="Times New Roman"/>
          <w:sz w:val="24"/>
          <w:szCs w:val="24"/>
        </w:rPr>
        <w:t xml:space="preserve"> of the Prime Minister and Cabinet</w:t>
      </w:r>
      <w:r>
        <w:rPr>
          <w:rFonts w:ascii="Times New Roman" w:hAnsi="Times New Roman"/>
          <w:sz w:val="24"/>
          <w:szCs w:val="24"/>
        </w:rPr>
        <w:t>”.</w:t>
      </w:r>
      <w:bookmarkEnd w:id="1"/>
    </w:p>
    <w:p w14:paraId="6A31C488"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7 – section 11 (after note 1) – would be amended by inserting “Note 1A: The Final Report for the Home Insulation Royal Commission was presented to the Governor-General on 29 August 2014 and tabled in the Parliament on 1 September 2014”.</w:t>
      </w:r>
    </w:p>
    <w:p w14:paraId="124D8B6C"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8 - Division 3 of Part 4 (heading) – would be amended by omitting “</w:t>
      </w:r>
      <w:r w:rsidRPr="00736DAD">
        <w:rPr>
          <w:rFonts w:ascii="Times New Roman" w:hAnsi="Times New Roman"/>
          <w:sz w:val="24"/>
          <w:szCs w:val="24"/>
        </w:rPr>
        <w:t>listed</w:t>
      </w:r>
      <w:r>
        <w:rPr>
          <w:rFonts w:ascii="Times New Roman" w:hAnsi="Times New Roman"/>
          <w:sz w:val="24"/>
          <w:szCs w:val="24"/>
        </w:rPr>
        <w:t>”.</w:t>
      </w:r>
    </w:p>
    <w:p w14:paraId="43EA64EF"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9 – Section 12 (heading) – would be amended by omitting “</w:t>
      </w:r>
      <w:r w:rsidRPr="00736DAD">
        <w:rPr>
          <w:rFonts w:ascii="Times New Roman" w:hAnsi="Times New Roman"/>
          <w:sz w:val="24"/>
          <w:szCs w:val="24"/>
        </w:rPr>
        <w:t>listed</w:t>
      </w:r>
      <w:r>
        <w:rPr>
          <w:rFonts w:ascii="Times New Roman" w:hAnsi="Times New Roman"/>
          <w:sz w:val="24"/>
          <w:szCs w:val="24"/>
        </w:rPr>
        <w:t>”.</w:t>
      </w:r>
    </w:p>
    <w:p w14:paraId="122EEF3B"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 xml:space="preserve">Item 10 – Paragraph 12(1)(a) – would be amended by inserting, after “listed Royal Commission”, </w:t>
      </w:r>
      <w:proofErr w:type="gramStart"/>
      <w:r>
        <w:rPr>
          <w:rFonts w:ascii="Times New Roman" w:hAnsi="Times New Roman"/>
          <w:sz w:val="24"/>
          <w:szCs w:val="24"/>
        </w:rPr>
        <w:t>“,or</w:t>
      </w:r>
      <w:proofErr w:type="gramEnd"/>
      <w:r>
        <w:rPr>
          <w:rFonts w:ascii="Times New Roman" w:hAnsi="Times New Roman"/>
          <w:sz w:val="24"/>
          <w:szCs w:val="24"/>
        </w:rPr>
        <w:t xml:space="preserve"> a Royal Commission to which section 10 applies,”.</w:t>
      </w:r>
    </w:p>
    <w:p w14:paraId="2D9C6C12"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11 – Subparagraph 12(1)(d)(</w:t>
      </w:r>
      <w:proofErr w:type="spellStart"/>
      <w:r>
        <w:rPr>
          <w:rFonts w:ascii="Times New Roman" w:hAnsi="Times New Roman"/>
          <w:sz w:val="24"/>
          <w:szCs w:val="24"/>
        </w:rPr>
        <w:t>i</w:t>
      </w:r>
      <w:proofErr w:type="spellEnd"/>
      <w:r>
        <w:rPr>
          <w:rFonts w:ascii="Times New Roman" w:hAnsi="Times New Roman"/>
          <w:sz w:val="24"/>
          <w:szCs w:val="24"/>
        </w:rPr>
        <w:t>) – would be amended by omitting “listed”.</w:t>
      </w:r>
    </w:p>
    <w:p w14:paraId="64EACCDF"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12 – Subparagraph 12(1)(d)(ii) – would be amended by omitting “the Child Sexual Abuse Royal Commission under section 6OB of the Act”, and substituting “a Royal Commission to which Part 4 of the Act applies”.</w:t>
      </w:r>
    </w:p>
    <w:p w14:paraId="1EC27B27"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13 – Paragraph 12(1)(f) – would be amended by omitting “in the case of a record of the NT Royal Commission or the Child Sexual Abuse Royal Commission”, and substituting “in the case of a record to which section 13 applies”.</w:t>
      </w:r>
    </w:p>
    <w:p w14:paraId="25FB4F7A" w14:textId="77777777"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14 – Subsection 12(2) – would be amended by omitting “record of a listed Royal Commission may give a copy of the record to a person or body during the interim access period for the listed Royal Commission”, and substituting “record of a listed Royal Commission, or a Royal Commission to which section 10 applies, may give a copy of the record to a person or body during the interim access period for the Royal Commission”.</w:t>
      </w:r>
    </w:p>
    <w:p w14:paraId="3524B9A9" w14:textId="77777777" w:rsidR="00736DAD" w:rsidRDefault="00736DAD" w:rsidP="00736DAD">
      <w:pPr>
        <w:spacing w:before="240" w:after="0" w:line="240" w:lineRule="auto"/>
        <w:rPr>
          <w:sz w:val="24"/>
          <w:szCs w:val="24"/>
        </w:rPr>
      </w:pPr>
      <w:r>
        <w:rPr>
          <w:rFonts w:ascii="Times New Roman" w:hAnsi="Times New Roman"/>
          <w:sz w:val="24"/>
          <w:szCs w:val="24"/>
        </w:rPr>
        <w:t>Item 15 – Paragraph 12(2)(d) – would be amended by omitting “the Child Sexual Abuse Royal Commission” (first occurring), and substituting “a Royal Commission to which Part 4 of the Act applies”.</w:t>
      </w:r>
    </w:p>
    <w:p w14:paraId="5CF36707" w14:textId="77777777" w:rsidR="00736DAD"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Item 1</w:t>
      </w:r>
      <w:r>
        <w:rPr>
          <w:rFonts w:ascii="Times New Roman" w:hAnsi="Times New Roman"/>
          <w:sz w:val="24"/>
          <w:szCs w:val="24"/>
        </w:rPr>
        <w:t>6 – Subparagraphs 12(2)(d)(</w:t>
      </w:r>
      <w:proofErr w:type="spellStart"/>
      <w:r>
        <w:rPr>
          <w:rFonts w:ascii="Times New Roman" w:hAnsi="Times New Roman"/>
          <w:sz w:val="24"/>
          <w:szCs w:val="24"/>
        </w:rPr>
        <w:t>i</w:t>
      </w:r>
      <w:proofErr w:type="spellEnd"/>
      <w:r>
        <w:rPr>
          <w:rFonts w:ascii="Times New Roman" w:hAnsi="Times New Roman"/>
          <w:sz w:val="24"/>
          <w:szCs w:val="24"/>
        </w:rPr>
        <w:t>) and (iii) – would be amended by omitting “Child Sexual Abuse”.</w:t>
      </w:r>
    </w:p>
    <w:p w14:paraId="00C46132" w14:textId="77777777" w:rsidR="00736DAD" w:rsidRPr="00FC760E" w:rsidRDefault="00736DAD" w:rsidP="00736DAD">
      <w:pPr>
        <w:spacing w:before="240" w:after="0" w:line="240" w:lineRule="auto"/>
        <w:rPr>
          <w:sz w:val="24"/>
          <w:szCs w:val="24"/>
        </w:rPr>
      </w:pPr>
      <w:r>
        <w:rPr>
          <w:rFonts w:ascii="Times New Roman" w:hAnsi="Times New Roman"/>
          <w:sz w:val="24"/>
          <w:szCs w:val="24"/>
        </w:rPr>
        <w:t>Item 17</w:t>
      </w:r>
      <w:r w:rsidRPr="00C267A4">
        <w:rPr>
          <w:rFonts w:ascii="Times New Roman" w:hAnsi="Times New Roman"/>
          <w:sz w:val="24"/>
          <w:szCs w:val="24"/>
        </w:rPr>
        <w:t xml:space="preserve"> – Subsection 12(3)(a) – would be amended by </w:t>
      </w:r>
      <w:r>
        <w:rPr>
          <w:rFonts w:ascii="Times New Roman" w:hAnsi="Times New Roman"/>
          <w:sz w:val="24"/>
          <w:szCs w:val="24"/>
        </w:rPr>
        <w:t>omitting “Child Sexual Abuse”.</w:t>
      </w:r>
    </w:p>
    <w:p w14:paraId="16CC797B" w14:textId="31D42F4B" w:rsidR="00B06167" w:rsidRDefault="00736DAD" w:rsidP="00736DAD">
      <w:pPr>
        <w:spacing w:before="240" w:after="0" w:line="240" w:lineRule="auto"/>
        <w:rPr>
          <w:rFonts w:ascii="Times New Roman" w:hAnsi="Times New Roman"/>
          <w:sz w:val="24"/>
          <w:szCs w:val="24"/>
        </w:rPr>
      </w:pPr>
      <w:bookmarkStart w:id="2" w:name="_Hlk118456579"/>
      <w:r>
        <w:rPr>
          <w:rFonts w:ascii="Times New Roman" w:hAnsi="Times New Roman"/>
          <w:sz w:val="24"/>
          <w:szCs w:val="24"/>
        </w:rPr>
        <w:t>Item 18 –</w:t>
      </w:r>
      <w:r w:rsidR="00B06167">
        <w:rPr>
          <w:rFonts w:ascii="Times New Roman" w:hAnsi="Times New Roman"/>
          <w:sz w:val="24"/>
          <w:szCs w:val="24"/>
        </w:rPr>
        <w:t xml:space="preserve"> Paragraph 12(3)(b) – would be amending be inserting, after “6ON”, “</w:t>
      </w:r>
      <w:r w:rsidR="00CF0527">
        <w:rPr>
          <w:rFonts w:ascii="Times New Roman" w:hAnsi="Times New Roman"/>
          <w:sz w:val="24"/>
          <w:szCs w:val="24"/>
        </w:rPr>
        <w:t>or 6OP”.</w:t>
      </w:r>
      <w:r>
        <w:rPr>
          <w:rFonts w:ascii="Times New Roman" w:hAnsi="Times New Roman"/>
          <w:sz w:val="24"/>
          <w:szCs w:val="24"/>
        </w:rPr>
        <w:t xml:space="preserve"> </w:t>
      </w:r>
    </w:p>
    <w:p w14:paraId="08D172FD" w14:textId="561F37F2" w:rsidR="00736DAD" w:rsidRDefault="00B06167" w:rsidP="00736DAD">
      <w:pPr>
        <w:spacing w:before="240" w:after="0" w:line="240" w:lineRule="auto"/>
        <w:rPr>
          <w:rFonts w:ascii="Times New Roman" w:hAnsi="Times New Roman"/>
          <w:sz w:val="24"/>
          <w:szCs w:val="24"/>
        </w:rPr>
      </w:pPr>
      <w:r>
        <w:rPr>
          <w:rFonts w:ascii="Times New Roman" w:hAnsi="Times New Roman"/>
          <w:sz w:val="24"/>
          <w:szCs w:val="24"/>
        </w:rPr>
        <w:t xml:space="preserve">Item 19 - </w:t>
      </w:r>
      <w:r w:rsidR="00736DAD">
        <w:rPr>
          <w:rFonts w:ascii="Times New Roman" w:hAnsi="Times New Roman"/>
          <w:sz w:val="24"/>
          <w:szCs w:val="24"/>
        </w:rPr>
        <w:t>At the end of section 12 – would be amended by adding:</w:t>
      </w:r>
    </w:p>
    <w:p w14:paraId="663513C0" w14:textId="77777777" w:rsidR="00736DAD" w:rsidRPr="00FC760E" w:rsidRDefault="00736DAD" w:rsidP="00736DAD">
      <w:pPr>
        <w:pStyle w:val="notetext"/>
        <w:rPr>
          <w:sz w:val="24"/>
          <w:szCs w:val="24"/>
        </w:rPr>
      </w:pPr>
      <w:r w:rsidRPr="00FC760E">
        <w:rPr>
          <w:sz w:val="24"/>
          <w:szCs w:val="24"/>
        </w:rPr>
        <w:t>Note 7:</w:t>
      </w:r>
      <w:r w:rsidRPr="00FC760E">
        <w:rPr>
          <w:sz w:val="24"/>
          <w:szCs w:val="24"/>
        </w:rPr>
        <w:tab/>
        <w:t>In 2022, the Aged Care Royal Commission website could be viewed at https://agedcare.royalcommission.gov.au.</w:t>
      </w:r>
    </w:p>
    <w:p w14:paraId="1D4388CD" w14:textId="34272045" w:rsidR="00736DAD" w:rsidRDefault="00736DAD" w:rsidP="00736DAD">
      <w:pPr>
        <w:pStyle w:val="notetext"/>
        <w:rPr>
          <w:sz w:val="24"/>
          <w:szCs w:val="24"/>
        </w:rPr>
      </w:pPr>
      <w:r w:rsidRPr="00FC760E">
        <w:rPr>
          <w:sz w:val="24"/>
          <w:szCs w:val="24"/>
        </w:rPr>
        <w:t>Note 8:</w:t>
      </w:r>
      <w:r w:rsidRPr="00FC760E">
        <w:rPr>
          <w:sz w:val="24"/>
          <w:szCs w:val="24"/>
        </w:rPr>
        <w:tab/>
        <w:t>In 2022, the Natural Disaster Royal Commission website could be viewed at https://naturaldisaster.royalcommission.gov.au.</w:t>
      </w:r>
    </w:p>
    <w:p w14:paraId="70221674" w14:textId="54BD11F3" w:rsidR="00CF0527" w:rsidRPr="00FC760E" w:rsidRDefault="00CF0527" w:rsidP="00CF0527">
      <w:pPr>
        <w:pStyle w:val="notetext"/>
        <w:rPr>
          <w:sz w:val="24"/>
          <w:szCs w:val="24"/>
        </w:rPr>
      </w:pPr>
      <w:r>
        <w:rPr>
          <w:sz w:val="24"/>
          <w:szCs w:val="24"/>
        </w:rPr>
        <w:t xml:space="preserve">Note 9:  In 2022, archived versions of the Home Insulation Royal Commission website could be viewed at the National Library of Australia’s Trove </w:t>
      </w:r>
      <w:r>
        <w:rPr>
          <w:sz w:val="24"/>
          <w:szCs w:val="24"/>
        </w:rPr>
        <w:lastRenderedPageBreak/>
        <w:t>website</w:t>
      </w:r>
      <w:r>
        <w:rPr>
          <w:sz w:val="24"/>
          <w:szCs w:val="24"/>
        </w:rPr>
        <w:br/>
        <w:t>(https://trove.nla.gov.au/website).</w:t>
      </w:r>
      <w:r w:rsidR="009C4595">
        <w:rPr>
          <w:rStyle w:val="FootnoteReference"/>
          <w:sz w:val="24"/>
          <w:szCs w:val="24"/>
        </w:rPr>
        <w:footnoteReference w:id="1"/>
      </w:r>
    </w:p>
    <w:bookmarkEnd w:id="2"/>
    <w:p w14:paraId="42E3ECC0" w14:textId="626797B7" w:rsidR="00736DAD"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 xml:space="preserve">Item </w:t>
      </w:r>
      <w:r w:rsidR="00CF0527">
        <w:rPr>
          <w:rFonts w:ascii="Times New Roman" w:hAnsi="Times New Roman"/>
          <w:sz w:val="24"/>
          <w:szCs w:val="24"/>
        </w:rPr>
        <w:t>20</w:t>
      </w:r>
      <w:r w:rsidRPr="00C267A4">
        <w:rPr>
          <w:rFonts w:ascii="Times New Roman" w:hAnsi="Times New Roman"/>
          <w:sz w:val="24"/>
          <w:szCs w:val="24"/>
        </w:rPr>
        <w:t xml:space="preserve"> – Section 13 (heading) – would be amended by repealing the heading and substituting</w:t>
      </w:r>
      <w:r>
        <w:rPr>
          <w:rFonts w:ascii="Times New Roman" w:hAnsi="Times New Roman"/>
          <w:sz w:val="24"/>
          <w:szCs w:val="24"/>
        </w:rPr>
        <w:t>:</w:t>
      </w:r>
    </w:p>
    <w:p w14:paraId="3CFE5825" w14:textId="77777777" w:rsidR="00736DAD" w:rsidRPr="00C267A4"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w:t>
      </w:r>
      <w:r w:rsidRPr="00980CF0">
        <w:rPr>
          <w:rFonts w:ascii="Times New Roman" w:hAnsi="Times New Roman"/>
          <w:sz w:val="24"/>
          <w:szCs w:val="24"/>
        </w:rPr>
        <w:t>13 Requests on behalf of States or Territories etc for certain Royal Commissions</w:t>
      </w:r>
      <w:r w:rsidRPr="00C267A4">
        <w:rPr>
          <w:rFonts w:ascii="Times New Roman" w:hAnsi="Times New Roman"/>
          <w:sz w:val="24"/>
          <w:szCs w:val="24"/>
        </w:rPr>
        <w:t>”</w:t>
      </w:r>
    </w:p>
    <w:p w14:paraId="0488477B" w14:textId="436D2A7E" w:rsidR="00736DAD" w:rsidRPr="00C267A4"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 xml:space="preserve">Item </w:t>
      </w:r>
      <w:r>
        <w:rPr>
          <w:rFonts w:ascii="Times New Roman" w:hAnsi="Times New Roman"/>
          <w:sz w:val="24"/>
          <w:szCs w:val="24"/>
        </w:rPr>
        <w:t>2</w:t>
      </w:r>
      <w:r w:rsidR="00CF0527">
        <w:rPr>
          <w:rFonts w:ascii="Times New Roman" w:hAnsi="Times New Roman"/>
          <w:sz w:val="24"/>
          <w:szCs w:val="24"/>
        </w:rPr>
        <w:t>1</w:t>
      </w:r>
      <w:r w:rsidRPr="00C267A4">
        <w:rPr>
          <w:rFonts w:ascii="Times New Roman" w:hAnsi="Times New Roman"/>
          <w:sz w:val="24"/>
          <w:szCs w:val="24"/>
        </w:rPr>
        <w:t xml:space="preserve"> – At the end of subsection 13(1) – would be amended by adding:</w:t>
      </w:r>
      <w:r>
        <w:rPr>
          <w:rFonts w:ascii="Times New Roman" w:hAnsi="Times New Roman"/>
          <w:sz w:val="24"/>
          <w:szCs w:val="24"/>
        </w:rPr>
        <w:br/>
      </w:r>
      <w:r w:rsidRPr="00C267A4">
        <w:rPr>
          <w:rFonts w:ascii="Times New Roman" w:hAnsi="Times New Roman"/>
          <w:sz w:val="24"/>
          <w:szCs w:val="24"/>
        </w:rPr>
        <w:tab/>
        <w:t>; and (c)</w:t>
      </w:r>
      <w:r>
        <w:rPr>
          <w:rFonts w:ascii="Times New Roman" w:hAnsi="Times New Roman"/>
          <w:sz w:val="24"/>
          <w:szCs w:val="24"/>
        </w:rPr>
        <w:t xml:space="preserve"> </w:t>
      </w:r>
      <w:r w:rsidRPr="00C267A4">
        <w:rPr>
          <w:rFonts w:ascii="Times New Roman" w:hAnsi="Times New Roman"/>
          <w:sz w:val="24"/>
          <w:szCs w:val="24"/>
        </w:rPr>
        <w:t>Royal Commission records of the Natural Disaster Royal Commission; and</w:t>
      </w:r>
      <w:r>
        <w:rPr>
          <w:rFonts w:ascii="Times New Roman" w:hAnsi="Times New Roman"/>
          <w:sz w:val="24"/>
          <w:szCs w:val="24"/>
        </w:rPr>
        <w:br/>
        <w:t xml:space="preserve">           </w:t>
      </w:r>
      <w:r w:rsidRPr="00C267A4">
        <w:rPr>
          <w:rFonts w:ascii="Times New Roman" w:hAnsi="Times New Roman"/>
          <w:sz w:val="24"/>
          <w:szCs w:val="24"/>
        </w:rPr>
        <w:tab/>
      </w:r>
      <w:bookmarkStart w:id="3" w:name="_Hlk118456663"/>
      <w:r>
        <w:rPr>
          <w:rFonts w:ascii="Times New Roman" w:hAnsi="Times New Roman"/>
          <w:sz w:val="24"/>
          <w:szCs w:val="24"/>
        </w:rPr>
        <w:t xml:space="preserve">         </w:t>
      </w:r>
      <w:r w:rsidRPr="00C267A4">
        <w:rPr>
          <w:rFonts w:ascii="Times New Roman" w:hAnsi="Times New Roman"/>
          <w:sz w:val="24"/>
          <w:szCs w:val="24"/>
        </w:rPr>
        <w:t>(d)</w:t>
      </w:r>
      <w:r>
        <w:rPr>
          <w:rFonts w:ascii="Times New Roman" w:hAnsi="Times New Roman"/>
          <w:sz w:val="24"/>
          <w:szCs w:val="24"/>
        </w:rPr>
        <w:t xml:space="preserve"> </w:t>
      </w:r>
      <w:r w:rsidRPr="00C267A4">
        <w:rPr>
          <w:rFonts w:ascii="Times New Roman" w:hAnsi="Times New Roman"/>
          <w:sz w:val="24"/>
          <w:szCs w:val="24"/>
        </w:rPr>
        <w:t>Royal Commission records of a Royal Commission</w:t>
      </w:r>
      <w:r w:rsidR="00CF0527">
        <w:rPr>
          <w:rFonts w:ascii="Times New Roman" w:hAnsi="Times New Roman"/>
          <w:sz w:val="24"/>
          <w:szCs w:val="24"/>
        </w:rPr>
        <w:t>:</w:t>
      </w:r>
      <w:r w:rsidR="00CF0527">
        <w:rPr>
          <w:rFonts w:ascii="Times New Roman" w:hAnsi="Times New Roman"/>
          <w:sz w:val="24"/>
          <w:szCs w:val="24"/>
        </w:rPr>
        <w:br/>
        <w:t xml:space="preserve">                               (</w:t>
      </w:r>
      <w:proofErr w:type="spellStart"/>
      <w:r w:rsidR="00CF0527">
        <w:rPr>
          <w:rFonts w:ascii="Times New Roman" w:hAnsi="Times New Roman"/>
          <w:sz w:val="24"/>
          <w:szCs w:val="24"/>
        </w:rPr>
        <w:t>i</w:t>
      </w:r>
      <w:proofErr w:type="spellEnd"/>
      <w:r w:rsidR="00CF0527">
        <w:rPr>
          <w:rFonts w:ascii="Times New Roman" w:hAnsi="Times New Roman"/>
          <w:sz w:val="24"/>
          <w:szCs w:val="24"/>
        </w:rPr>
        <w:t xml:space="preserve">) that has conducted an inquiry by virtue of a commission issued by the </w:t>
      </w:r>
      <w:r w:rsidR="00CF0527">
        <w:rPr>
          <w:rFonts w:ascii="Times New Roman" w:hAnsi="Times New Roman"/>
          <w:sz w:val="24"/>
          <w:szCs w:val="24"/>
        </w:rPr>
        <w:br/>
        <w:t xml:space="preserve">                                   Governor of a State in conjunction with its inquiry under a commission </w:t>
      </w:r>
      <w:r w:rsidR="00CF0527">
        <w:rPr>
          <w:rFonts w:ascii="Times New Roman" w:hAnsi="Times New Roman"/>
          <w:sz w:val="24"/>
          <w:szCs w:val="24"/>
        </w:rPr>
        <w:br/>
        <w:t xml:space="preserve">                                    issued by the Governor-General; and</w:t>
      </w:r>
      <w:r w:rsidR="00CF0527">
        <w:rPr>
          <w:rFonts w:ascii="Times New Roman" w:hAnsi="Times New Roman"/>
          <w:sz w:val="24"/>
          <w:szCs w:val="24"/>
        </w:rPr>
        <w:br/>
        <w:t xml:space="preserve">                               (ii) </w:t>
      </w:r>
      <w:r w:rsidRPr="00C267A4">
        <w:rPr>
          <w:rFonts w:ascii="Times New Roman" w:hAnsi="Times New Roman"/>
          <w:sz w:val="24"/>
          <w:szCs w:val="24"/>
        </w:rPr>
        <w:t>that is established after the commencement of this paragraph.</w:t>
      </w:r>
      <w:r w:rsidR="00CF0527">
        <w:rPr>
          <w:rFonts w:ascii="Times New Roman" w:hAnsi="Times New Roman"/>
          <w:sz w:val="24"/>
          <w:szCs w:val="24"/>
        </w:rPr>
        <w:t>”</w:t>
      </w:r>
      <w:bookmarkEnd w:id="3"/>
    </w:p>
    <w:p w14:paraId="7B2AEA75" w14:textId="07342398" w:rsidR="00736DAD"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 xml:space="preserve">Item </w:t>
      </w:r>
      <w:r>
        <w:rPr>
          <w:rFonts w:ascii="Times New Roman" w:hAnsi="Times New Roman"/>
          <w:sz w:val="24"/>
          <w:szCs w:val="24"/>
        </w:rPr>
        <w:t>2</w:t>
      </w:r>
      <w:r w:rsidR="00CF0527">
        <w:rPr>
          <w:rFonts w:ascii="Times New Roman" w:hAnsi="Times New Roman"/>
          <w:sz w:val="24"/>
          <w:szCs w:val="24"/>
        </w:rPr>
        <w:t>2</w:t>
      </w:r>
      <w:r w:rsidRPr="00C267A4">
        <w:rPr>
          <w:rFonts w:ascii="Times New Roman" w:hAnsi="Times New Roman"/>
          <w:sz w:val="24"/>
          <w:szCs w:val="24"/>
        </w:rPr>
        <w:t xml:space="preserve"> – Paragraph 13(2)(d) – would be amended by omitting “the NT Royal Commission, or the Child Sexual Abu</w:t>
      </w:r>
      <w:r>
        <w:rPr>
          <w:rFonts w:ascii="Times New Roman" w:hAnsi="Times New Roman"/>
          <w:sz w:val="24"/>
          <w:szCs w:val="24"/>
        </w:rPr>
        <w:t>s</w:t>
      </w:r>
      <w:r w:rsidRPr="00C267A4">
        <w:rPr>
          <w:rFonts w:ascii="Times New Roman" w:hAnsi="Times New Roman"/>
          <w:sz w:val="24"/>
          <w:szCs w:val="24"/>
        </w:rPr>
        <w:t>e Royal Commission,”, and substituting “the Royal Commission”.</w:t>
      </w:r>
    </w:p>
    <w:p w14:paraId="38719439" w14:textId="7EB0C28A" w:rsidR="00736DAD" w:rsidRDefault="00736DAD" w:rsidP="00736DAD">
      <w:pPr>
        <w:spacing w:before="240" w:after="0" w:line="240" w:lineRule="auto"/>
        <w:rPr>
          <w:rFonts w:ascii="Times New Roman" w:hAnsi="Times New Roman"/>
          <w:sz w:val="24"/>
          <w:szCs w:val="24"/>
        </w:rPr>
      </w:pPr>
      <w:r>
        <w:rPr>
          <w:rFonts w:ascii="Times New Roman" w:hAnsi="Times New Roman"/>
          <w:sz w:val="24"/>
          <w:szCs w:val="24"/>
        </w:rPr>
        <w:t>Item 2</w:t>
      </w:r>
      <w:r w:rsidR="00CF0527">
        <w:rPr>
          <w:rFonts w:ascii="Times New Roman" w:hAnsi="Times New Roman"/>
          <w:sz w:val="24"/>
          <w:szCs w:val="24"/>
        </w:rPr>
        <w:t>3</w:t>
      </w:r>
      <w:r>
        <w:rPr>
          <w:rFonts w:ascii="Times New Roman" w:hAnsi="Times New Roman"/>
          <w:sz w:val="24"/>
          <w:szCs w:val="24"/>
        </w:rPr>
        <w:t xml:space="preserve"> – At the end of section 13 – would be amended by adding:</w:t>
      </w:r>
    </w:p>
    <w:p w14:paraId="78502326" w14:textId="77777777" w:rsidR="00736DAD" w:rsidRPr="007605BF" w:rsidRDefault="00736DAD" w:rsidP="00736DAD">
      <w:pPr>
        <w:pStyle w:val="notetext"/>
        <w:rPr>
          <w:sz w:val="24"/>
          <w:szCs w:val="24"/>
        </w:rPr>
      </w:pPr>
      <w:r w:rsidRPr="007605BF">
        <w:rPr>
          <w:sz w:val="24"/>
          <w:szCs w:val="24"/>
        </w:rPr>
        <w:t>Note 3:</w:t>
      </w:r>
      <w:r w:rsidRPr="007605BF">
        <w:rPr>
          <w:sz w:val="24"/>
          <w:szCs w:val="24"/>
        </w:rPr>
        <w:tab/>
        <w:t>In 2022, the Aged Care Royal Commission website could be viewed at https://agedcare.royalcommission.gov.au.</w:t>
      </w:r>
    </w:p>
    <w:p w14:paraId="35615DD8" w14:textId="77777777" w:rsidR="00736DAD" w:rsidRPr="007605BF" w:rsidRDefault="00736DAD" w:rsidP="00736DAD">
      <w:pPr>
        <w:pStyle w:val="notetext"/>
        <w:rPr>
          <w:sz w:val="24"/>
          <w:szCs w:val="24"/>
        </w:rPr>
      </w:pPr>
      <w:r w:rsidRPr="007605BF">
        <w:rPr>
          <w:sz w:val="24"/>
          <w:szCs w:val="24"/>
        </w:rPr>
        <w:t>Note 4:</w:t>
      </w:r>
      <w:r w:rsidRPr="007605BF">
        <w:rPr>
          <w:sz w:val="24"/>
          <w:szCs w:val="24"/>
        </w:rPr>
        <w:tab/>
        <w:t>In 2022, the Natural Disaster Royal Commission website could be viewed at https://naturaldisaster.royalcommission.gov.au.</w:t>
      </w:r>
    </w:p>
    <w:p w14:paraId="7359F6D1" w14:textId="2A6051AF" w:rsidR="00736DAD" w:rsidRDefault="00736DAD" w:rsidP="00736DAD">
      <w:pPr>
        <w:spacing w:before="240" w:after="0" w:line="240" w:lineRule="auto"/>
        <w:rPr>
          <w:rFonts w:ascii="Times New Roman" w:hAnsi="Times New Roman"/>
          <w:sz w:val="24"/>
          <w:szCs w:val="24"/>
        </w:rPr>
      </w:pPr>
      <w:r w:rsidRPr="00C267A4">
        <w:rPr>
          <w:rFonts w:ascii="Times New Roman" w:hAnsi="Times New Roman"/>
          <w:sz w:val="24"/>
          <w:szCs w:val="24"/>
        </w:rPr>
        <w:t xml:space="preserve">Item </w:t>
      </w:r>
      <w:r>
        <w:rPr>
          <w:rFonts w:ascii="Times New Roman" w:hAnsi="Times New Roman"/>
          <w:sz w:val="24"/>
          <w:szCs w:val="24"/>
        </w:rPr>
        <w:t>2</w:t>
      </w:r>
      <w:r w:rsidR="00CF0527">
        <w:rPr>
          <w:rFonts w:ascii="Times New Roman" w:hAnsi="Times New Roman"/>
          <w:sz w:val="24"/>
          <w:szCs w:val="24"/>
        </w:rPr>
        <w:t>4</w:t>
      </w:r>
      <w:r w:rsidRPr="00C267A4">
        <w:rPr>
          <w:rFonts w:ascii="Times New Roman" w:hAnsi="Times New Roman"/>
          <w:sz w:val="24"/>
          <w:szCs w:val="24"/>
        </w:rPr>
        <w:t xml:space="preserve"> – Section 14 – would be amended by inserting, after “listed Royal Commission”, “or a Royal Commission to which section 10 applies”.</w:t>
      </w:r>
    </w:p>
    <w:p w14:paraId="5D5E977A" w14:textId="11DB7EBB" w:rsidR="00736DAD" w:rsidRDefault="00736DAD" w:rsidP="00736DAD">
      <w:pPr>
        <w:spacing w:before="240" w:after="0" w:line="240" w:lineRule="auto"/>
        <w:rPr>
          <w:rFonts w:ascii="Times New Roman" w:hAnsi="Times New Roman"/>
          <w:sz w:val="24"/>
          <w:szCs w:val="24"/>
        </w:rPr>
      </w:pPr>
      <w:r w:rsidRPr="007605BF">
        <w:rPr>
          <w:rFonts w:ascii="Times New Roman" w:hAnsi="Times New Roman"/>
          <w:sz w:val="24"/>
          <w:szCs w:val="24"/>
        </w:rPr>
        <w:t xml:space="preserve">Item </w:t>
      </w:r>
      <w:r>
        <w:rPr>
          <w:rFonts w:ascii="Times New Roman" w:hAnsi="Times New Roman"/>
          <w:sz w:val="24"/>
          <w:szCs w:val="24"/>
        </w:rPr>
        <w:t>2</w:t>
      </w:r>
      <w:r w:rsidR="00CF0527">
        <w:rPr>
          <w:rFonts w:ascii="Times New Roman" w:hAnsi="Times New Roman"/>
          <w:sz w:val="24"/>
          <w:szCs w:val="24"/>
        </w:rPr>
        <w:t>5</w:t>
      </w:r>
      <w:r w:rsidRPr="007605BF">
        <w:rPr>
          <w:rFonts w:ascii="Times New Roman" w:hAnsi="Times New Roman"/>
          <w:sz w:val="24"/>
          <w:szCs w:val="24"/>
        </w:rPr>
        <w:t xml:space="preserve"> </w:t>
      </w:r>
      <w:r>
        <w:rPr>
          <w:rFonts w:ascii="Times New Roman" w:hAnsi="Times New Roman"/>
          <w:sz w:val="24"/>
          <w:szCs w:val="24"/>
        </w:rPr>
        <w:t>– At the end of Part 5 – would be amended by adding:</w:t>
      </w:r>
    </w:p>
    <w:p w14:paraId="10E5FE5D" w14:textId="77777777" w:rsidR="00736DAD" w:rsidRPr="00980CF0" w:rsidRDefault="00736DAD" w:rsidP="00736DAD">
      <w:pPr>
        <w:pStyle w:val="ActHead5"/>
        <w:rPr>
          <w:b w:val="0"/>
        </w:rPr>
      </w:pPr>
      <w:proofErr w:type="gramStart"/>
      <w:r w:rsidRPr="00980CF0">
        <w:rPr>
          <w:b w:val="0"/>
        </w:rPr>
        <w:t>17  Application</w:t>
      </w:r>
      <w:proofErr w:type="gramEnd"/>
      <w:r w:rsidRPr="00980CF0">
        <w:rPr>
          <w:b w:val="0"/>
        </w:rPr>
        <w:t xml:space="preserve"> of the Royal Commissions Amendment (Custody of Records) Regulations 2022</w:t>
      </w:r>
    </w:p>
    <w:p w14:paraId="625BDD7F" w14:textId="77777777" w:rsidR="00736DAD" w:rsidRPr="00EB0803" w:rsidRDefault="00736DAD" w:rsidP="00736DAD">
      <w:pPr>
        <w:pStyle w:val="subsection"/>
        <w:rPr>
          <w:sz w:val="24"/>
          <w:szCs w:val="24"/>
        </w:rPr>
      </w:pPr>
      <w:r>
        <w:tab/>
      </w:r>
      <w:r>
        <w:tab/>
      </w:r>
      <w:r w:rsidRPr="00EB0803">
        <w:rPr>
          <w:sz w:val="24"/>
          <w:szCs w:val="24"/>
        </w:rPr>
        <w:t xml:space="preserve">The amendments of this instrument by the </w:t>
      </w:r>
      <w:r w:rsidRPr="00EB0803">
        <w:rPr>
          <w:i/>
          <w:sz w:val="24"/>
          <w:szCs w:val="24"/>
        </w:rPr>
        <w:t>Royal Commissions Amendment (Custody of Records) Regulations 2022</w:t>
      </w:r>
      <w:r w:rsidRPr="00EB0803">
        <w:rPr>
          <w:sz w:val="24"/>
          <w:szCs w:val="24"/>
        </w:rPr>
        <w:t xml:space="preserve"> apply in relation to requests made on or after the commencement of that instrument for copies of, or access to, Royal Commission records (whether the Royal Commission to which the records relate was established before, on or after that commencement).</w:t>
      </w:r>
    </w:p>
    <w:p w14:paraId="794D3550" w14:textId="77777777" w:rsidR="00736DAD" w:rsidRPr="007605BF" w:rsidRDefault="00736DAD" w:rsidP="00736DAD">
      <w:pPr>
        <w:spacing w:before="240" w:after="0" w:line="240" w:lineRule="auto"/>
        <w:rPr>
          <w:rFonts w:ascii="Times New Roman" w:hAnsi="Times New Roman"/>
          <w:sz w:val="24"/>
          <w:szCs w:val="24"/>
        </w:rPr>
      </w:pPr>
    </w:p>
    <w:p w14:paraId="220338A6" w14:textId="58F96005" w:rsidR="00736DAD" w:rsidRPr="00C267A4" w:rsidRDefault="003C64D5" w:rsidP="003C64D5">
      <w:pPr>
        <w:tabs>
          <w:tab w:val="left" w:pos="1113"/>
        </w:tabs>
        <w:spacing w:before="240" w:after="0" w:line="240" w:lineRule="auto"/>
        <w:rPr>
          <w:rFonts w:ascii="Times New Roman" w:hAnsi="Times New Roman"/>
          <w:sz w:val="24"/>
          <w:szCs w:val="24"/>
        </w:rPr>
      </w:pPr>
      <w:r>
        <w:rPr>
          <w:rFonts w:ascii="Times New Roman" w:hAnsi="Times New Roman"/>
          <w:sz w:val="24"/>
          <w:szCs w:val="24"/>
        </w:rPr>
        <w:tab/>
      </w:r>
    </w:p>
    <w:p w14:paraId="70A0F212" w14:textId="77777777" w:rsidR="00736DAD" w:rsidRPr="00FB7F48" w:rsidRDefault="00736DAD" w:rsidP="00736DAD">
      <w:pPr>
        <w:spacing w:before="240" w:after="0" w:line="240" w:lineRule="auto"/>
        <w:rPr>
          <w:rFonts w:ascii="Times New Roman" w:hAnsi="Times New Roman"/>
          <w:sz w:val="24"/>
          <w:szCs w:val="24"/>
        </w:rPr>
      </w:pPr>
    </w:p>
    <w:p w14:paraId="3C80FEE9" w14:textId="1FB91A88" w:rsidR="007605BF" w:rsidRPr="007605BF" w:rsidRDefault="007605BF" w:rsidP="00736DAD">
      <w:pPr>
        <w:spacing w:before="240" w:after="0" w:line="240" w:lineRule="auto"/>
        <w:rPr>
          <w:rFonts w:ascii="Times New Roman" w:hAnsi="Times New Roman"/>
          <w:sz w:val="24"/>
          <w:szCs w:val="24"/>
        </w:rPr>
      </w:pPr>
    </w:p>
    <w:sectPr w:rsidR="007605BF" w:rsidRPr="007605B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D376" w14:textId="77777777" w:rsidR="002C75F2" w:rsidRDefault="002C75F2" w:rsidP="0002636A">
      <w:pPr>
        <w:spacing w:after="0" w:line="240" w:lineRule="auto"/>
      </w:pPr>
      <w:r>
        <w:separator/>
      </w:r>
    </w:p>
  </w:endnote>
  <w:endnote w:type="continuationSeparator" w:id="0">
    <w:p w14:paraId="7FF6067E" w14:textId="77777777" w:rsidR="002C75F2" w:rsidRDefault="002C75F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B4A0" w14:textId="77777777" w:rsidR="002C75F2" w:rsidRDefault="002C75F2" w:rsidP="0002636A">
      <w:pPr>
        <w:spacing w:after="0" w:line="240" w:lineRule="auto"/>
      </w:pPr>
      <w:r>
        <w:separator/>
      </w:r>
    </w:p>
  </w:footnote>
  <w:footnote w:type="continuationSeparator" w:id="0">
    <w:p w14:paraId="42117419" w14:textId="77777777" w:rsidR="002C75F2" w:rsidRDefault="002C75F2" w:rsidP="0002636A">
      <w:pPr>
        <w:spacing w:after="0" w:line="240" w:lineRule="auto"/>
      </w:pPr>
      <w:r>
        <w:continuationSeparator/>
      </w:r>
    </w:p>
  </w:footnote>
  <w:footnote w:id="1">
    <w:p w14:paraId="746676F5" w14:textId="603B2B4F" w:rsidR="009C4595" w:rsidRPr="00833891" w:rsidRDefault="009C4595">
      <w:pPr>
        <w:pStyle w:val="FootnoteText"/>
        <w:rPr>
          <w:rFonts w:ascii="Times New Roman" w:hAnsi="Times New Roman" w:cs="Times New Roman"/>
        </w:rPr>
      </w:pPr>
      <w:r w:rsidRPr="00833891">
        <w:rPr>
          <w:rStyle w:val="FootnoteReference"/>
          <w:rFonts w:ascii="Times New Roman" w:hAnsi="Times New Roman" w:cs="Times New Roman"/>
        </w:rPr>
        <w:footnoteRef/>
      </w:r>
      <w:r w:rsidRPr="00833891">
        <w:rPr>
          <w:rFonts w:ascii="Times New Roman" w:hAnsi="Times New Roman" w:cs="Times New Roman"/>
        </w:rPr>
        <w:t xml:space="preserve"> </w:t>
      </w:r>
      <w:r w:rsidR="00494C74" w:rsidRPr="00833891">
        <w:rPr>
          <w:rFonts w:ascii="Times New Roman" w:hAnsi="Times New Roman" w:cs="Times New Roman"/>
        </w:rPr>
        <w:t>The website can be found by entering</w:t>
      </w:r>
      <w:r w:rsidR="003C64D5" w:rsidRPr="00833891">
        <w:rPr>
          <w:rFonts w:ascii="Times New Roman" w:hAnsi="Times New Roman" w:cs="Times New Roman"/>
        </w:rPr>
        <w:t xml:space="preserve"> “homeinsulationroyalcommission.gov.au” in the search bar of the Trove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16102C"/>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
  </w:num>
  <w:num w:numId="3">
    <w:abstractNumId w:val="8"/>
  </w:num>
  <w:num w:numId="4">
    <w:abstractNumId w:val="12"/>
  </w:num>
  <w:num w:numId="5">
    <w:abstractNumId w:val="3"/>
  </w:num>
  <w:num w:numId="6">
    <w:abstractNumId w:val="13"/>
  </w:num>
  <w:num w:numId="7">
    <w:abstractNumId w:val="0"/>
  </w:num>
  <w:num w:numId="8">
    <w:abstractNumId w:val="7"/>
  </w:num>
  <w:num w:numId="9">
    <w:abstractNumId w:val="4"/>
  </w:num>
  <w:num w:numId="10">
    <w:abstractNumId w:val="11"/>
  </w:num>
  <w:num w:numId="11">
    <w:abstractNumId w:val="10"/>
  </w:num>
  <w:num w:numId="12">
    <w:abstractNumId w:val="9"/>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415BA"/>
    <w:rsid w:val="00043840"/>
    <w:rsid w:val="00053E2E"/>
    <w:rsid w:val="00092565"/>
    <w:rsid w:val="000A66BD"/>
    <w:rsid w:val="000E1EA1"/>
    <w:rsid w:val="000E2C80"/>
    <w:rsid w:val="000F0FB1"/>
    <w:rsid w:val="000F2ADA"/>
    <w:rsid w:val="0010364C"/>
    <w:rsid w:val="00106352"/>
    <w:rsid w:val="00106CBA"/>
    <w:rsid w:val="00111E62"/>
    <w:rsid w:val="00132863"/>
    <w:rsid w:val="001469C7"/>
    <w:rsid w:val="0017632E"/>
    <w:rsid w:val="00186EFA"/>
    <w:rsid w:val="00195A18"/>
    <w:rsid w:val="001C4696"/>
    <w:rsid w:val="001D3031"/>
    <w:rsid w:val="001F76C7"/>
    <w:rsid w:val="00203B4B"/>
    <w:rsid w:val="00243059"/>
    <w:rsid w:val="0026109C"/>
    <w:rsid w:val="00262B9E"/>
    <w:rsid w:val="002A7C38"/>
    <w:rsid w:val="002B361E"/>
    <w:rsid w:val="002C5B76"/>
    <w:rsid w:val="002C75F2"/>
    <w:rsid w:val="002E2783"/>
    <w:rsid w:val="00334C9D"/>
    <w:rsid w:val="003516FD"/>
    <w:rsid w:val="0037690E"/>
    <w:rsid w:val="00381AEC"/>
    <w:rsid w:val="003B6050"/>
    <w:rsid w:val="003C64D5"/>
    <w:rsid w:val="003C6789"/>
    <w:rsid w:val="004518A4"/>
    <w:rsid w:val="004709FE"/>
    <w:rsid w:val="00471897"/>
    <w:rsid w:val="00474FED"/>
    <w:rsid w:val="0049094A"/>
    <w:rsid w:val="00494C74"/>
    <w:rsid w:val="004A0438"/>
    <w:rsid w:val="004A4086"/>
    <w:rsid w:val="004B3C03"/>
    <w:rsid w:val="004C165A"/>
    <w:rsid w:val="004E79C7"/>
    <w:rsid w:val="004F430F"/>
    <w:rsid w:val="004F563A"/>
    <w:rsid w:val="0050398F"/>
    <w:rsid w:val="00513511"/>
    <w:rsid w:val="00521029"/>
    <w:rsid w:val="00566C9B"/>
    <w:rsid w:val="00580697"/>
    <w:rsid w:val="00586363"/>
    <w:rsid w:val="00592C94"/>
    <w:rsid w:val="005D194A"/>
    <w:rsid w:val="005E2C79"/>
    <w:rsid w:val="0063239B"/>
    <w:rsid w:val="00634AE9"/>
    <w:rsid w:val="00635C6A"/>
    <w:rsid w:val="00640538"/>
    <w:rsid w:val="00652181"/>
    <w:rsid w:val="00670C8D"/>
    <w:rsid w:val="00674543"/>
    <w:rsid w:val="006B3F80"/>
    <w:rsid w:val="006B5166"/>
    <w:rsid w:val="006E5261"/>
    <w:rsid w:val="00721904"/>
    <w:rsid w:val="00736DAD"/>
    <w:rsid w:val="00750AB7"/>
    <w:rsid w:val="007564E8"/>
    <w:rsid w:val="007605BF"/>
    <w:rsid w:val="00783630"/>
    <w:rsid w:val="007B7195"/>
    <w:rsid w:val="007C38B2"/>
    <w:rsid w:val="007D438C"/>
    <w:rsid w:val="007F1D53"/>
    <w:rsid w:val="007F1E0D"/>
    <w:rsid w:val="00817ED7"/>
    <w:rsid w:val="00833891"/>
    <w:rsid w:val="00872B27"/>
    <w:rsid w:val="00894D9D"/>
    <w:rsid w:val="008B2955"/>
    <w:rsid w:val="00902F3D"/>
    <w:rsid w:val="00911332"/>
    <w:rsid w:val="009227B6"/>
    <w:rsid w:val="00930A13"/>
    <w:rsid w:val="00957401"/>
    <w:rsid w:val="009601BB"/>
    <w:rsid w:val="009736FB"/>
    <w:rsid w:val="009A3EAB"/>
    <w:rsid w:val="009B1F88"/>
    <w:rsid w:val="009B6322"/>
    <w:rsid w:val="009C0BE2"/>
    <w:rsid w:val="009C4595"/>
    <w:rsid w:val="009D2B82"/>
    <w:rsid w:val="00AA5438"/>
    <w:rsid w:val="00AB3F89"/>
    <w:rsid w:val="00AC39E5"/>
    <w:rsid w:val="00AD752C"/>
    <w:rsid w:val="00AE15BD"/>
    <w:rsid w:val="00AF0C63"/>
    <w:rsid w:val="00AF673F"/>
    <w:rsid w:val="00B06167"/>
    <w:rsid w:val="00B273E1"/>
    <w:rsid w:val="00B427D5"/>
    <w:rsid w:val="00B57503"/>
    <w:rsid w:val="00B828BC"/>
    <w:rsid w:val="00BA3F3C"/>
    <w:rsid w:val="00BC3368"/>
    <w:rsid w:val="00BC4178"/>
    <w:rsid w:val="00BF6BC7"/>
    <w:rsid w:val="00C16B35"/>
    <w:rsid w:val="00C31C21"/>
    <w:rsid w:val="00C67F16"/>
    <w:rsid w:val="00C858F4"/>
    <w:rsid w:val="00CE6485"/>
    <w:rsid w:val="00CF0527"/>
    <w:rsid w:val="00CF14E3"/>
    <w:rsid w:val="00D43CD7"/>
    <w:rsid w:val="00D51A2A"/>
    <w:rsid w:val="00D56AC3"/>
    <w:rsid w:val="00DB2DA6"/>
    <w:rsid w:val="00DB54AF"/>
    <w:rsid w:val="00DD29DA"/>
    <w:rsid w:val="00E23B2F"/>
    <w:rsid w:val="00E36682"/>
    <w:rsid w:val="00E44073"/>
    <w:rsid w:val="00E81349"/>
    <w:rsid w:val="00EB0803"/>
    <w:rsid w:val="00ED357E"/>
    <w:rsid w:val="00EE1CFB"/>
    <w:rsid w:val="00EE38B3"/>
    <w:rsid w:val="00F10A91"/>
    <w:rsid w:val="00F11561"/>
    <w:rsid w:val="00F26896"/>
    <w:rsid w:val="00F302E5"/>
    <w:rsid w:val="00F33269"/>
    <w:rsid w:val="00F53191"/>
    <w:rsid w:val="00F53369"/>
    <w:rsid w:val="00F769DC"/>
    <w:rsid w:val="00FB71E1"/>
    <w:rsid w:val="00FC760E"/>
    <w:rsid w:val="00FC7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sub">
    <w:name w:val="paragraph(sub)"/>
    <w:aliases w:val="aa"/>
    <w:basedOn w:val="Normal"/>
    <w:rsid w:val="0065218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0">
    <w:name w:val="paragraph"/>
    <w:aliases w:val="a"/>
    <w:basedOn w:val="Normal"/>
    <w:rsid w:val="0065218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C760E"/>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FC760E"/>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notetextChar">
    <w:name w:val="note(text) Char"/>
    <w:aliases w:val="n Char"/>
    <w:basedOn w:val="DefaultParagraphFont"/>
    <w:link w:val="notetext"/>
    <w:locked/>
    <w:rsid w:val="00FC760E"/>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C760E"/>
    <w:pPr>
      <w:spacing w:before="122" w:after="0" w:line="240" w:lineRule="auto"/>
      <w:ind w:left="1985" w:hanging="851"/>
    </w:pPr>
    <w:rPr>
      <w:rFonts w:ascii="Times New Roman" w:eastAsia="Times New Roman" w:hAnsi="Times New Roman" w:cs="Times New Roman"/>
      <w:sz w:val="18"/>
      <w:lang w:eastAsia="en-AU"/>
    </w:rPr>
  </w:style>
  <w:style w:type="character" w:customStyle="1" w:styleId="ActHead5Char">
    <w:name w:val="ActHead 5 Char"/>
    <w:aliases w:val="s Char"/>
    <w:link w:val="ActHead5"/>
    <w:locked/>
    <w:rsid w:val="007605BF"/>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7605BF"/>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UnresolvedMention">
    <w:name w:val="Unresolved Mention"/>
    <w:basedOn w:val="DefaultParagraphFont"/>
    <w:uiPriority w:val="99"/>
    <w:semiHidden/>
    <w:unhideWhenUsed/>
    <w:rsid w:val="00CF0527"/>
    <w:rPr>
      <w:color w:val="605E5C"/>
      <w:shd w:val="clear" w:color="auto" w:fill="E1DFDD"/>
    </w:rPr>
  </w:style>
  <w:style w:type="paragraph" w:styleId="FootnoteText">
    <w:name w:val="footnote text"/>
    <w:basedOn w:val="Normal"/>
    <w:link w:val="FootnoteTextChar"/>
    <w:uiPriority w:val="99"/>
    <w:semiHidden/>
    <w:unhideWhenUsed/>
    <w:rsid w:val="009C4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595"/>
    <w:rPr>
      <w:sz w:val="20"/>
      <w:szCs w:val="20"/>
    </w:rPr>
  </w:style>
  <w:style w:type="character" w:styleId="FootnoteReference">
    <w:name w:val="footnote reference"/>
    <w:basedOn w:val="DefaultParagraphFont"/>
    <w:uiPriority w:val="99"/>
    <w:semiHidden/>
    <w:unhideWhenUsed/>
    <w:rsid w:val="009C4595"/>
    <w:rPr>
      <w:vertAlign w:val="superscript"/>
    </w:rPr>
  </w:style>
  <w:style w:type="paragraph" w:styleId="NormalWeb">
    <w:name w:val="Normal (Web)"/>
    <w:basedOn w:val="Normal"/>
    <w:uiPriority w:val="99"/>
    <w:semiHidden/>
    <w:unhideWhenUsed/>
    <w:rsid w:val="00EE38B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044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93643782">
      <w:bodyDiv w:val="1"/>
      <w:marLeft w:val="0"/>
      <w:marRight w:val="0"/>
      <w:marTop w:val="0"/>
      <w:marBottom w:val="0"/>
      <w:divBdr>
        <w:top w:val="none" w:sz="0" w:space="0" w:color="auto"/>
        <w:left w:val="none" w:sz="0" w:space="0" w:color="auto"/>
        <w:bottom w:val="none" w:sz="0" w:space="0" w:color="auto"/>
        <w:right w:val="none" w:sz="0" w:space="0" w:color="auto"/>
      </w:divBdr>
    </w:div>
    <w:div w:id="1441532272">
      <w:bodyDiv w:val="1"/>
      <w:marLeft w:val="0"/>
      <w:marRight w:val="0"/>
      <w:marTop w:val="0"/>
      <w:marBottom w:val="0"/>
      <w:divBdr>
        <w:top w:val="none" w:sz="0" w:space="0" w:color="auto"/>
        <w:left w:val="none" w:sz="0" w:space="0" w:color="auto"/>
        <w:bottom w:val="none" w:sz="0" w:space="0" w:color="auto"/>
        <w:right w:val="none" w:sz="0" w:space="0" w:color="auto"/>
      </w:divBdr>
    </w:div>
    <w:div w:id="1519545535">
      <w:bodyDiv w:val="1"/>
      <w:marLeft w:val="0"/>
      <w:marRight w:val="0"/>
      <w:marTop w:val="0"/>
      <w:marBottom w:val="0"/>
      <w:divBdr>
        <w:top w:val="none" w:sz="0" w:space="0" w:color="auto"/>
        <w:left w:val="none" w:sz="0" w:space="0" w:color="auto"/>
        <w:bottom w:val="none" w:sz="0" w:space="0" w:color="auto"/>
        <w:right w:val="none" w:sz="0" w:space="0" w:color="auto"/>
      </w:divBdr>
    </w:div>
    <w:div w:id="19234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949F217-F1CB-40A0-9B7C-2E62414224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24E46CA2EAB20418A2482D76927162E" ma:contentTypeVersion="" ma:contentTypeDescription="PDMS Document Site Content Type" ma:contentTypeScope="" ma:versionID="205eb86529a0cb440e68ec57b77f9dfa">
  <xsd:schema xmlns:xsd="http://www.w3.org/2001/XMLSchema" xmlns:xs="http://www.w3.org/2001/XMLSchema" xmlns:p="http://schemas.microsoft.com/office/2006/metadata/properties" xmlns:ns2="1949F217-F1CB-40A0-9B7C-2E62414224AA" targetNamespace="http://schemas.microsoft.com/office/2006/metadata/properties" ma:root="true" ma:fieldsID="88a9628bcd079c1c9259c545e3a68001" ns2:_="">
    <xsd:import namespace="1949F217-F1CB-40A0-9B7C-2E62414224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F217-F1CB-40A0-9B7C-2E62414224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microsoft.com/office/2006/documentManagement/types"/>
    <ds:schemaRef ds:uri="http://purl.org/dc/dcmitype/"/>
    <ds:schemaRef ds:uri="1949F217-F1CB-40A0-9B7C-2E62414224AA"/>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36F29DC-A11A-4833-90FC-24699EC2D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F217-F1CB-40A0-9B7C-2E624142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B5F81-E2B5-4E23-A7EF-BB8AE7AC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Weekes, Peter</cp:lastModifiedBy>
  <cp:revision>2</cp:revision>
  <dcterms:created xsi:type="dcterms:W3CDTF">2022-12-13T02:36:00Z</dcterms:created>
  <dcterms:modified xsi:type="dcterms:W3CDTF">2022-12-13T02:36:00Z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0x010100266966F133664895A6EE3632470D45F500524E46CA2EAB20418A2482D76927162E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