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1C4F"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FCEDE69" w14:textId="61B24E57"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EFF69588C4524CF1B5E961AD1736D1F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C14EFD">
            <w:rPr>
              <w:rStyle w:val="DefaultChar"/>
            </w:rPr>
            <w:t>the Treasurer</w:t>
          </w:r>
        </w:sdtContent>
      </w:sdt>
      <w:r w:rsidR="00076178" w:rsidRPr="00731FEA">
        <w:rPr>
          <w:sz w:val="24"/>
          <w:szCs w:val="24"/>
        </w:rPr>
        <w:t xml:space="preserve"> </w:t>
      </w:r>
    </w:p>
    <w:p w14:paraId="4E374892" w14:textId="04AA01C9" w:rsidR="00F109D4" w:rsidRDefault="00AC3741" w:rsidP="003C7907">
      <w:pPr>
        <w:spacing w:before="240" w:after="240"/>
        <w:jc w:val="center"/>
        <w:rPr>
          <w:i/>
        </w:rPr>
      </w:pPr>
      <w:r>
        <w:rPr>
          <w:i/>
        </w:rPr>
        <w:t>Competition and Consumer Act 2010</w:t>
      </w:r>
    </w:p>
    <w:p w14:paraId="39E7EE7E" w14:textId="3B76B8E3" w:rsidR="00F109D4" w:rsidRPr="00503E44" w:rsidRDefault="00AC3741" w:rsidP="00AA1689">
      <w:pPr>
        <w:tabs>
          <w:tab w:val="left" w:pos="1418"/>
        </w:tabs>
        <w:spacing w:before="0" w:after="240"/>
        <w:jc w:val="center"/>
        <w:rPr>
          <w:i/>
        </w:rPr>
      </w:pPr>
      <w:r>
        <w:rPr>
          <w:i/>
        </w:rPr>
        <w:t>Competition and Consumer (Price Monitoring—Petroleum Fuels) Direction 2022</w:t>
      </w:r>
    </w:p>
    <w:p w14:paraId="2F163717" w14:textId="77777777" w:rsidR="00AC3741" w:rsidRDefault="00AC3741" w:rsidP="00AC3741">
      <w:pPr>
        <w:spacing w:before="240"/>
      </w:pPr>
      <w:r w:rsidRPr="00503E44">
        <w:t>S</w:t>
      </w:r>
      <w:r>
        <w:t>ubs</w:t>
      </w:r>
      <w:r w:rsidRPr="00503E44">
        <w:t xml:space="preserve">ection </w:t>
      </w:r>
      <w:r>
        <w:t xml:space="preserve">95ZE(1) </w:t>
      </w:r>
      <w:r w:rsidRPr="00503E44">
        <w:t xml:space="preserve">of the </w:t>
      </w:r>
      <w:r w:rsidRPr="00D22800">
        <w:rPr>
          <w:i/>
        </w:rPr>
        <w:t>Competition and Consumer Act 2010</w:t>
      </w:r>
      <w:r w:rsidRPr="00503E44">
        <w:t xml:space="preserve"> (the Act) provides that the </w:t>
      </w:r>
      <w:r>
        <w:t>Minister</w:t>
      </w:r>
      <w:r w:rsidRPr="00503E44">
        <w:t xml:space="preserve"> may </w:t>
      </w:r>
      <w:r>
        <w:t>give the Australian Competition and Consumer Commission (ACCC) a written direction to monitor prices, costs and profits relating to the supply of goods or services by persons in an industry, and to give the Minister reports on the monitoring</w:t>
      </w:r>
      <w:r w:rsidRPr="00503E44">
        <w:t>.</w:t>
      </w:r>
      <w:r>
        <w:t xml:space="preserve"> Subsection 95ZH(1) of the Act provides that the Minister may also give the ACCC a written direction to give special consideration to matters in exercising the ACCC’s powers and performing the ACCC’s functions under Part </w:t>
      </w:r>
      <w:proofErr w:type="spellStart"/>
      <w:r>
        <w:t>VIIA</w:t>
      </w:r>
      <w:proofErr w:type="spellEnd"/>
      <w:r>
        <w:t xml:space="preserve"> of the Act.</w:t>
      </w:r>
    </w:p>
    <w:p w14:paraId="024C3584" w14:textId="4FE08371" w:rsidR="00AC3741" w:rsidRDefault="00AC3741" w:rsidP="00AC3741">
      <w:r>
        <w:t xml:space="preserve">The purpose of the </w:t>
      </w:r>
      <w:r w:rsidRPr="003735D7">
        <w:rPr>
          <w:i/>
        </w:rPr>
        <w:t>Competition and Consumer (Price Monitoring—Petroleum Fuels) Direction 20</w:t>
      </w:r>
      <w:r>
        <w:rPr>
          <w:i/>
        </w:rPr>
        <w:t>22</w:t>
      </w:r>
      <w:r>
        <w:t xml:space="preserve"> (the Direction) is to require the ACCC to monitor the </w:t>
      </w:r>
      <w:r w:rsidRPr="002D548B">
        <w:t xml:space="preserve">prices, costs and profits relating to the supply of goods or services by persons in </w:t>
      </w:r>
      <w:r>
        <w:t>specified industries.</w:t>
      </w:r>
      <w:r w:rsidR="008C6029">
        <w:t xml:space="preserve"> </w:t>
      </w:r>
      <w:r>
        <w:t>These industries are involved in the supply of petroleum fuels, or in the supply of services related to the supply of petroleum fuels.</w:t>
      </w:r>
    </w:p>
    <w:p w14:paraId="46CC660D" w14:textId="77777777" w:rsidR="00AC3741" w:rsidRDefault="00AC3741" w:rsidP="00AC3741">
      <w:r>
        <w:t xml:space="preserve">The Direction also requires the ACCC to give special consideration to monitoring the </w:t>
      </w:r>
      <w:r w:rsidRPr="002D548B">
        <w:t xml:space="preserve">prices, costs and profits relating to the supply of </w:t>
      </w:r>
      <w:r>
        <w:t>petroleum fuels and related services by persons in the industries specified in the Direction.</w:t>
      </w:r>
    </w:p>
    <w:p w14:paraId="41D4366C" w14:textId="19642340" w:rsidR="00E67BB3" w:rsidRDefault="00AC3741" w:rsidP="00E67BB3">
      <w:r>
        <w:t xml:space="preserve">The Direction requires the ACCC to monitor prices, costs and profits for a period of three years, and to report to the Treasurer every </w:t>
      </w:r>
      <w:r w:rsidR="00D43776">
        <w:t xml:space="preserve">three </w:t>
      </w:r>
      <w:r>
        <w:t>months on the monitoring during that perio</w:t>
      </w:r>
      <w:r w:rsidR="00E67BB3">
        <w:t>d</w:t>
      </w:r>
      <w:r>
        <w:t>.</w:t>
      </w:r>
    </w:p>
    <w:p w14:paraId="3D33ECA6" w14:textId="6F9EA904" w:rsidR="00AC3741" w:rsidRDefault="0043403F" w:rsidP="00E67BB3">
      <w:pPr>
        <w:rPr>
          <w:iCs/>
        </w:rPr>
      </w:pPr>
      <w:r>
        <w:t xml:space="preserve">The Direction </w:t>
      </w:r>
      <w:r w:rsidR="003F33A0">
        <w:t>is in the same form</w:t>
      </w:r>
      <w:r>
        <w:t xml:space="preserve"> as the </w:t>
      </w:r>
      <w:r w:rsidRPr="008C6029">
        <w:rPr>
          <w:i/>
          <w:iCs/>
        </w:rPr>
        <w:t xml:space="preserve">Competition and </w:t>
      </w:r>
      <w:r w:rsidR="003F33A0">
        <w:rPr>
          <w:i/>
          <w:iCs/>
        </w:rPr>
        <w:t>C</w:t>
      </w:r>
      <w:r w:rsidRPr="008C6029">
        <w:rPr>
          <w:i/>
          <w:iCs/>
        </w:rPr>
        <w:t>onsumer (Price Monitoring</w:t>
      </w:r>
      <w:r w:rsidRPr="003735D7">
        <w:rPr>
          <w:i/>
        </w:rPr>
        <w:t xml:space="preserve">—Petroleum Fuels) Direction </w:t>
      </w:r>
      <w:r w:rsidR="006B7EEF">
        <w:rPr>
          <w:i/>
        </w:rPr>
        <w:t>2019</w:t>
      </w:r>
      <w:r w:rsidR="008C6029">
        <w:rPr>
          <w:i/>
        </w:rPr>
        <w:t xml:space="preserve"> </w:t>
      </w:r>
      <w:r w:rsidR="008C6029">
        <w:rPr>
          <w:iCs/>
        </w:rPr>
        <w:t xml:space="preserve">(the Previous Direction), which was made on 16 December 2019. The monitoring and reporting period covered by the Previous Direction expires at the end of </w:t>
      </w:r>
      <w:r w:rsidR="00D43776">
        <w:rPr>
          <w:iCs/>
        </w:rPr>
        <w:t>31 </w:t>
      </w:r>
      <w:r w:rsidR="008C6029">
        <w:rPr>
          <w:iCs/>
        </w:rPr>
        <w:t>December 2022.</w:t>
      </w:r>
    </w:p>
    <w:p w14:paraId="1B8EB790" w14:textId="417F2EB9" w:rsidR="008C6029" w:rsidRDefault="008C6029" w:rsidP="00647BB7">
      <w:pPr>
        <w:spacing w:before="240"/>
        <w:rPr>
          <w:iCs/>
        </w:rPr>
      </w:pPr>
      <w:r>
        <w:rPr>
          <w:iCs/>
        </w:rPr>
        <w:t>The Direction has been developed in consultation with the ACCC.</w:t>
      </w:r>
    </w:p>
    <w:p w14:paraId="62FE9F49" w14:textId="6C1E1B30" w:rsidR="008C6029" w:rsidRPr="008C6029" w:rsidRDefault="008C6029" w:rsidP="00647BB7">
      <w:pPr>
        <w:spacing w:before="240"/>
        <w:rPr>
          <w:iCs/>
        </w:rPr>
      </w:pPr>
      <w:r>
        <w:rPr>
          <w:iCs/>
        </w:rPr>
        <w:t xml:space="preserve">Details of the Direction are set out in </w:t>
      </w:r>
      <w:r w:rsidRPr="00C14EFD">
        <w:rPr>
          <w:iCs/>
          <w:u w:val="single"/>
        </w:rPr>
        <w:t>Attachment A</w:t>
      </w:r>
      <w:r>
        <w:rPr>
          <w:iCs/>
        </w:rPr>
        <w:t>.</w:t>
      </w:r>
    </w:p>
    <w:p w14:paraId="3A35F73B" w14:textId="10C4D0F6" w:rsidR="002C226C" w:rsidRDefault="002C226C" w:rsidP="00647BB7">
      <w:pPr>
        <w:spacing w:before="240"/>
      </w:pPr>
      <w:r>
        <w:t>The</w:t>
      </w:r>
      <w:r w:rsidRPr="00D3322F">
        <w:t xml:space="preserve"> </w:t>
      </w:r>
      <w:r w:rsidR="00E3476C">
        <w:t>Direction is</w:t>
      </w:r>
      <w:r w:rsidRPr="00D3322F">
        <w:t xml:space="preserve"> a legislative instrument for the purposes of the</w:t>
      </w:r>
      <w:r w:rsidRPr="00322524">
        <w:t xml:space="preserve"> </w:t>
      </w:r>
      <w:r w:rsidRPr="00D3322F">
        <w:rPr>
          <w:i/>
        </w:rPr>
        <w:t>Legislation Act 2003</w:t>
      </w:r>
      <w:r w:rsidRPr="00D3322F">
        <w:t>.</w:t>
      </w:r>
      <w:r w:rsidR="00E3476C">
        <w:t xml:space="preserve"> In accordance with item 2 of the table in section 9 and item 3 of the table in section 11 of the </w:t>
      </w:r>
      <w:r w:rsidR="00E3476C" w:rsidRPr="00B204C9">
        <w:rPr>
          <w:i/>
          <w:iCs/>
        </w:rPr>
        <w:t>Legislation (Exemptions and Other Matters) Regulation 2015</w:t>
      </w:r>
      <w:r w:rsidR="00E3476C">
        <w:t xml:space="preserve">, the instrument is not disallowable and does not sunset as it is a direction by a Minister to a person or body. It is appropriate that this instrument is not disallowable as it is a ministerial direction, and therefore executive control is intended. Similarly, the </w:t>
      </w:r>
      <w:r w:rsidR="003F33A0">
        <w:t>D</w:t>
      </w:r>
      <w:r w:rsidR="00E3476C">
        <w:t>irection is intended to remain in place until the price monitoring is completed or unless and until revoked by the Treasurer, and therefore it is appropriate that the Direction does not sunset.</w:t>
      </w:r>
    </w:p>
    <w:p w14:paraId="699137EB" w14:textId="31FFBDDE" w:rsidR="00677544" w:rsidRDefault="00677544" w:rsidP="00647BB7">
      <w:pPr>
        <w:spacing w:before="240"/>
      </w:pPr>
      <w:r w:rsidRPr="00677544">
        <w:t>The Office of Best Practice Regulation (OBPR) has been consulted (OBPR22-03779) and a regulation impact statement is not required. The measure has a low impact on compliance costs.</w:t>
      </w:r>
    </w:p>
    <w:p w14:paraId="435A655F" w14:textId="1C6627B3" w:rsidR="009143A0" w:rsidRPr="00647BB7" w:rsidRDefault="00F109D4" w:rsidP="00647BB7">
      <w:pPr>
        <w:spacing w:before="240"/>
        <w:rPr>
          <w:i/>
        </w:rPr>
      </w:pPr>
      <w:r w:rsidRPr="00503E44">
        <w:lastRenderedPageBreak/>
        <w:t xml:space="preserve">The </w:t>
      </w:r>
      <w:r w:rsidR="00E3476C">
        <w:t xml:space="preserve">Direction </w:t>
      </w:r>
      <w:r w:rsidRPr="00503E44">
        <w:t xml:space="preserve">commenced </w:t>
      </w:r>
      <w:r w:rsidR="00E3476C">
        <w:t>the day after the instrument is registered.</w:t>
      </w:r>
    </w:p>
    <w:p w14:paraId="76C6C90D" w14:textId="0538B5EA" w:rsidR="00EB2AEF" w:rsidRPr="00013390" w:rsidRDefault="00EB2AEF" w:rsidP="00647BB7">
      <w:pPr>
        <w:spacing w:before="240"/>
      </w:pPr>
      <w:r>
        <w:t xml:space="preserve">A statement of Compatibility with Human Rights is at </w:t>
      </w:r>
      <w:r w:rsidRPr="000B39A1">
        <w:rPr>
          <w:u w:val="single"/>
        </w:rPr>
        <w:t xml:space="preserve">Attachment </w:t>
      </w:r>
      <w:r w:rsidR="00E41505">
        <w:rPr>
          <w:u w:val="single"/>
        </w:rPr>
        <w:t>B</w:t>
      </w:r>
      <w:r w:rsidR="00E67BB3" w:rsidRPr="003F33A0">
        <w:t>.</w:t>
      </w:r>
    </w:p>
    <w:p w14:paraId="431BEB56" w14:textId="4CB1F91B" w:rsidR="00EA4DD8" w:rsidRDefault="00EA4DD8" w:rsidP="00EA4DD8">
      <w:pPr>
        <w:pageBreakBefore/>
        <w:spacing w:before="240"/>
        <w:jc w:val="right"/>
        <w:rPr>
          <w:b/>
          <w:u w:val="single"/>
        </w:rPr>
      </w:pPr>
      <w:r w:rsidRPr="007B335E">
        <w:rPr>
          <w:b/>
          <w:u w:val="single"/>
        </w:rPr>
        <w:lastRenderedPageBreak/>
        <w:t xml:space="preserve">ATTACHMENT </w:t>
      </w:r>
      <w:r w:rsidR="00E41505">
        <w:rPr>
          <w:b/>
          <w:u w:val="single"/>
        </w:rPr>
        <w:t>A</w:t>
      </w:r>
    </w:p>
    <w:p w14:paraId="21202693" w14:textId="20AFA56D" w:rsidR="00EA4DD8" w:rsidRDefault="00EA4DD8" w:rsidP="00EA4DD8">
      <w:pPr>
        <w:spacing w:before="240"/>
        <w:ind w:right="91"/>
        <w:rPr>
          <w:b/>
          <w:bCs/>
          <w:szCs w:val="24"/>
          <w:u w:val="single"/>
        </w:rPr>
      </w:pPr>
      <w:r>
        <w:rPr>
          <w:b/>
          <w:bCs/>
          <w:u w:val="single"/>
        </w:rPr>
        <w:t xml:space="preserve">Details of the </w:t>
      </w:r>
      <w:r w:rsidR="00F75DB5">
        <w:rPr>
          <w:b/>
          <w:i/>
          <w:u w:val="single"/>
        </w:rPr>
        <w:t>Competition and Consumer (Price Monitoring—Petroleum Fuels) Direction 2022</w:t>
      </w:r>
      <w:r>
        <w:rPr>
          <w:b/>
          <w:bCs/>
          <w:u w:val="single"/>
        </w:rPr>
        <w:t xml:space="preserve"> </w:t>
      </w:r>
    </w:p>
    <w:p w14:paraId="69749131" w14:textId="233B4D40" w:rsidR="00EA4DD8" w:rsidRDefault="00EA4DD8" w:rsidP="00EA4DD8">
      <w:pPr>
        <w:spacing w:before="240"/>
        <w:rPr>
          <w:rFonts w:ascii="Calibri" w:hAnsi="Calibri"/>
          <w:sz w:val="22"/>
          <w:szCs w:val="22"/>
          <w:u w:val="single"/>
          <w:lang w:eastAsia="en-US"/>
        </w:rPr>
      </w:pPr>
      <w:r>
        <w:rPr>
          <w:u w:val="single"/>
        </w:rPr>
        <w:t xml:space="preserve">Section 1 – Name of the </w:t>
      </w:r>
      <w:r w:rsidR="00F75DB5">
        <w:rPr>
          <w:u w:val="single"/>
        </w:rPr>
        <w:t>Direction</w:t>
      </w:r>
    </w:p>
    <w:p w14:paraId="37F3030E" w14:textId="03E905B7" w:rsidR="00EA4DD8" w:rsidRDefault="00EA4DD8" w:rsidP="00EA4DD8">
      <w:pPr>
        <w:spacing w:before="240"/>
      </w:pPr>
      <w:r>
        <w:t xml:space="preserve">This section provides that the name of the </w:t>
      </w:r>
      <w:r w:rsidR="00E41505">
        <w:t>Direction is the</w:t>
      </w:r>
      <w:r>
        <w:t xml:space="preserve"> </w:t>
      </w:r>
      <w:r w:rsidR="00E41505">
        <w:rPr>
          <w:i/>
        </w:rPr>
        <w:t>Competition and Consumer (Price Monitoring—Petroleum Fuels) Direction 2022</w:t>
      </w:r>
      <w:r>
        <w:t xml:space="preserve">  (the </w:t>
      </w:r>
      <w:r w:rsidR="00E41505">
        <w:t>Direction</w:t>
      </w:r>
      <w:r>
        <w:t>).</w:t>
      </w:r>
    </w:p>
    <w:p w14:paraId="00C90C67" w14:textId="77777777" w:rsidR="00EA4DD8" w:rsidRDefault="00EA4DD8" w:rsidP="00EA4DD8">
      <w:pPr>
        <w:spacing w:before="240"/>
        <w:ind w:right="91"/>
        <w:rPr>
          <w:u w:val="single"/>
        </w:rPr>
      </w:pPr>
      <w:r>
        <w:rPr>
          <w:u w:val="single"/>
        </w:rPr>
        <w:t>Section 2 – Commencement</w:t>
      </w:r>
    </w:p>
    <w:p w14:paraId="35196C38" w14:textId="2B39CA11" w:rsidR="00E41505" w:rsidRPr="00524D30" w:rsidRDefault="00E41505" w:rsidP="00E41505">
      <w:pPr>
        <w:spacing w:before="240"/>
        <w:ind w:right="91"/>
      </w:pPr>
      <w:r>
        <w:t xml:space="preserve">The </w:t>
      </w:r>
      <w:r w:rsidRPr="00524D30">
        <w:t>Direction commenced on the day after the instrument was registered on the Federal Register of Legislation.</w:t>
      </w:r>
    </w:p>
    <w:p w14:paraId="1FE7F75A" w14:textId="77777777" w:rsidR="00EA4DD8" w:rsidRDefault="00EA4DD8" w:rsidP="00EA4DD8">
      <w:pPr>
        <w:spacing w:before="240"/>
        <w:ind w:right="91"/>
        <w:rPr>
          <w:u w:val="single"/>
        </w:rPr>
      </w:pPr>
      <w:r>
        <w:rPr>
          <w:u w:val="single"/>
        </w:rPr>
        <w:t>Section 3 – Authority</w:t>
      </w:r>
    </w:p>
    <w:p w14:paraId="2108F763" w14:textId="0C639A9A" w:rsidR="00EA4DD8" w:rsidRDefault="00E41505" w:rsidP="00EA4DD8">
      <w:pPr>
        <w:spacing w:before="240"/>
        <w:ind w:right="91"/>
      </w:pPr>
      <w:r>
        <w:t xml:space="preserve">The Direction is made </w:t>
      </w:r>
      <w:r w:rsidR="00EA4DD8">
        <w:t xml:space="preserve">under the </w:t>
      </w:r>
      <w:r>
        <w:rPr>
          <w:i/>
        </w:rPr>
        <w:t>Competition and Consumer Act 2010</w:t>
      </w:r>
      <w:r w:rsidR="00EA4DD8">
        <w:t xml:space="preserve"> (the Act).</w:t>
      </w:r>
    </w:p>
    <w:p w14:paraId="21620FB4" w14:textId="11FFBE78" w:rsidR="00F32CB9" w:rsidRDefault="00F32CB9" w:rsidP="009E28D0">
      <w:pPr>
        <w:spacing w:before="240"/>
        <w:rPr>
          <w:u w:val="single"/>
        </w:rPr>
      </w:pPr>
      <w:r>
        <w:rPr>
          <w:u w:val="single"/>
        </w:rPr>
        <w:t>Section 4 – Schedules</w:t>
      </w:r>
    </w:p>
    <w:p w14:paraId="7EC0B58E" w14:textId="673C67DD" w:rsidR="00F32CB9" w:rsidRDefault="00F32CB9" w:rsidP="009E28D0">
      <w:pPr>
        <w:spacing w:before="240"/>
      </w:pPr>
      <w:r>
        <w:t>S</w:t>
      </w:r>
      <w:r w:rsidRPr="00F32CB9">
        <w:t xml:space="preserve">ection </w:t>
      </w:r>
      <w:r>
        <w:t xml:space="preserve">4 </w:t>
      </w:r>
      <w:r w:rsidRPr="00F32CB9">
        <w:t>provides that each instrument that is specified in a Schedule to th</w:t>
      </w:r>
      <w:r>
        <w:t>e</w:t>
      </w:r>
      <w:r w:rsidRPr="00F32CB9">
        <w:t xml:space="preserve"> instrument is amended or repealed as set out in the applicable items in the Schedule concerned, and any other item in a Schedule to this instrument has effect according to its terms.</w:t>
      </w:r>
    </w:p>
    <w:p w14:paraId="49BEB77C" w14:textId="0C930202" w:rsidR="009E28D0" w:rsidRDefault="00EA4DD8" w:rsidP="009E28D0">
      <w:pPr>
        <w:spacing w:before="240"/>
        <w:rPr>
          <w:u w:val="single"/>
        </w:rPr>
      </w:pPr>
      <w:r>
        <w:rPr>
          <w:u w:val="single"/>
        </w:rPr>
        <w:t xml:space="preserve">Section </w:t>
      </w:r>
      <w:r w:rsidR="00F32CB9">
        <w:rPr>
          <w:u w:val="single"/>
        </w:rPr>
        <w:t>5</w:t>
      </w:r>
      <w:r>
        <w:rPr>
          <w:u w:val="single"/>
        </w:rPr>
        <w:t xml:space="preserve"> – </w:t>
      </w:r>
      <w:r w:rsidR="00E41505">
        <w:rPr>
          <w:u w:val="single"/>
        </w:rPr>
        <w:t>Definitions</w:t>
      </w:r>
    </w:p>
    <w:p w14:paraId="7DD7E1D4" w14:textId="6F5FC02F" w:rsidR="00E41505" w:rsidRDefault="00E41505" w:rsidP="009E28D0">
      <w:pPr>
        <w:spacing w:before="240"/>
      </w:pPr>
      <w:r w:rsidRPr="009E28D0">
        <w:t>Section</w:t>
      </w:r>
      <w:r>
        <w:t xml:space="preserve"> </w:t>
      </w:r>
      <w:r w:rsidR="00F32CB9">
        <w:t>5</w:t>
      </w:r>
      <w:r>
        <w:t xml:space="preserve"> provides definitions of expressions used in the Direction.</w:t>
      </w:r>
    </w:p>
    <w:p w14:paraId="267A3E52" w14:textId="0DF2CCEE" w:rsidR="00607F08" w:rsidRDefault="009E28D0" w:rsidP="009E28D0">
      <w:pPr>
        <w:spacing w:after="0"/>
        <w:ind w:right="91"/>
      </w:pPr>
      <w:r>
        <w:t>The</w:t>
      </w:r>
      <w:r w:rsidR="00607F08">
        <w:t xml:space="preserve"> industries referred to in section </w:t>
      </w:r>
      <w:r w:rsidR="00F75DB5">
        <w:t>4</w:t>
      </w:r>
      <w:r w:rsidR="00607F08">
        <w:t xml:space="preserve"> are defined by reference to the </w:t>
      </w:r>
      <w:r w:rsidR="00607F08" w:rsidRPr="00094085">
        <w:t xml:space="preserve">Australian and New Zealand Standard Industrial Classification 2006 </w:t>
      </w:r>
      <w:r w:rsidR="00607F08">
        <w:t>(</w:t>
      </w:r>
      <w:proofErr w:type="spellStart"/>
      <w:r w:rsidR="00607F08">
        <w:t>ANZSIC</w:t>
      </w:r>
      <w:proofErr w:type="spellEnd"/>
      <w:r w:rsidR="00607F08">
        <w:t xml:space="preserve">) </w:t>
      </w:r>
      <w:r w:rsidR="00607F08" w:rsidRPr="00094085">
        <w:t>published by the Australian Bureau of Statistics</w:t>
      </w:r>
      <w:r w:rsidR="00607F08">
        <w:t xml:space="preserve"> (</w:t>
      </w:r>
      <w:r w:rsidR="00607F08" w:rsidRPr="00094085">
        <w:t>1292.0)</w:t>
      </w:r>
      <w:r w:rsidR="00607F08">
        <w:t xml:space="preserve">. </w:t>
      </w:r>
      <w:proofErr w:type="spellStart"/>
      <w:r w:rsidR="00607F08">
        <w:t>ANZSIC</w:t>
      </w:r>
      <w:proofErr w:type="spellEnd"/>
      <w:r w:rsidR="00607F08">
        <w:t xml:space="preserve"> is used as a standard means of classifying business units into industry sectors.</w:t>
      </w:r>
    </w:p>
    <w:p w14:paraId="3AB58883" w14:textId="42333093" w:rsidR="00607F08" w:rsidRDefault="009E28D0" w:rsidP="009E28D0">
      <w:pPr>
        <w:spacing w:after="0"/>
        <w:ind w:right="91"/>
      </w:pPr>
      <w:r>
        <w:t>The</w:t>
      </w:r>
      <w:r w:rsidR="00607F08">
        <w:t xml:space="preserve"> references to </w:t>
      </w:r>
      <w:proofErr w:type="spellStart"/>
      <w:r w:rsidR="00607F08">
        <w:t>ANZSIC</w:t>
      </w:r>
      <w:proofErr w:type="spellEnd"/>
      <w:r w:rsidR="00607F08">
        <w:t xml:space="preserve"> are as that document was revised and in force at the time the Direction commenced. At the time the Direction was registered, this document was freely available on the Australian Bureau of Statistics’ website (</w:t>
      </w:r>
      <w:r w:rsidRPr="009E28D0">
        <w:t>http://www.abs.gov.au</w:t>
      </w:r>
      <w:r w:rsidR="00607F08">
        <w:t>).</w:t>
      </w:r>
    </w:p>
    <w:p w14:paraId="0071BAFD" w14:textId="52B832FD" w:rsidR="00607F08" w:rsidRDefault="00607F08" w:rsidP="00607F08">
      <w:pPr>
        <w:keepNext/>
        <w:spacing w:before="240"/>
        <w:rPr>
          <w:u w:val="single"/>
        </w:rPr>
      </w:pPr>
      <w:r w:rsidRPr="00094085">
        <w:rPr>
          <w:u w:val="single"/>
        </w:rPr>
        <w:t xml:space="preserve">Section </w:t>
      </w:r>
      <w:r w:rsidR="00F32CB9">
        <w:rPr>
          <w:u w:val="single"/>
        </w:rPr>
        <w:t>6</w:t>
      </w:r>
      <w:r w:rsidRPr="00094085">
        <w:rPr>
          <w:u w:val="single"/>
        </w:rPr>
        <w:t>—</w:t>
      </w:r>
      <w:r>
        <w:rPr>
          <w:u w:val="single"/>
        </w:rPr>
        <w:t>Object</w:t>
      </w:r>
    </w:p>
    <w:p w14:paraId="261F232D" w14:textId="4197619F" w:rsidR="00607F08" w:rsidRDefault="00607F08" w:rsidP="00607F08">
      <w:pPr>
        <w:spacing w:before="240" w:after="200"/>
        <w:ind w:right="91"/>
      </w:pPr>
      <w:r>
        <w:t xml:space="preserve">Section </w:t>
      </w:r>
      <w:r w:rsidR="00F32CB9">
        <w:t>6</w:t>
      </w:r>
      <w:r>
        <w:t xml:space="preserve"> states the object of the instrument, which is to continue the ACCC’s monitoring and reporting on the prices, costs and profits relating to the supply of petroleum products and related services in the petroleum industry in Australia.</w:t>
      </w:r>
    </w:p>
    <w:p w14:paraId="13952FB9" w14:textId="0C351542" w:rsidR="00607F08" w:rsidRDefault="00607F08" w:rsidP="00607F08">
      <w:pPr>
        <w:keepNext/>
        <w:spacing w:before="240"/>
        <w:rPr>
          <w:u w:val="single"/>
        </w:rPr>
      </w:pPr>
      <w:r w:rsidRPr="00094085">
        <w:rPr>
          <w:u w:val="single"/>
        </w:rPr>
        <w:t xml:space="preserve">Section </w:t>
      </w:r>
      <w:r w:rsidR="00F32CB9">
        <w:rPr>
          <w:u w:val="single"/>
        </w:rPr>
        <w:t>7</w:t>
      </w:r>
      <w:r w:rsidRPr="00094085">
        <w:rPr>
          <w:u w:val="single"/>
        </w:rPr>
        <w:t>—Commission to monitor prices</w:t>
      </w:r>
    </w:p>
    <w:p w14:paraId="5D5477ED" w14:textId="3C649D67" w:rsidR="00607F08" w:rsidRDefault="00607F08" w:rsidP="009E28D0">
      <w:pPr>
        <w:keepNext/>
        <w:spacing w:before="240"/>
      </w:pPr>
      <w:r w:rsidRPr="009E28D0">
        <w:t xml:space="preserve">Section </w:t>
      </w:r>
      <w:r w:rsidR="00F32CB9">
        <w:t>7</w:t>
      </w:r>
      <w:r>
        <w:t xml:space="preserve"> directs the ACCC to monitor prices, costs and profits relating to the supply of goods or services by persons in specified industries. These industries are involved </w:t>
      </w:r>
      <w:r>
        <w:lastRenderedPageBreak/>
        <w:t>in the supply of petroleum fuels, or in the supply of services related to the supply of petroleum fuels.</w:t>
      </w:r>
    </w:p>
    <w:p w14:paraId="0C89ABA2" w14:textId="3DA5780C" w:rsidR="00607F08" w:rsidRDefault="009E28D0" w:rsidP="009E28D0">
      <w:pPr>
        <w:spacing w:after="0"/>
        <w:ind w:right="91"/>
      </w:pPr>
      <w:r>
        <w:t>T</w:t>
      </w:r>
      <w:r w:rsidR="00607F08">
        <w:t>he ACCC is required to monitor prices, costs and profits of the following industries:</w:t>
      </w:r>
    </w:p>
    <w:p w14:paraId="188A30A2" w14:textId="77777777" w:rsidR="00607F08" w:rsidRDefault="00607F08" w:rsidP="00607F08">
      <w:pPr>
        <w:pStyle w:val="ListParagraph"/>
        <w:numPr>
          <w:ilvl w:val="0"/>
          <w:numId w:val="4"/>
        </w:numPr>
        <w:spacing w:before="0" w:after="200"/>
        <w:ind w:left="714" w:right="91" w:hanging="357"/>
      </w:pPr>
      <w:r>
        <w:t>the fuel retailing industry;</w:t>
      </w:r>
    </w:p>
    <w:p w14:paraId="087874F9" w14:textId="77777777" w:rsidR="00607F08" w:rsidRDefault="00607F08" w:rsidP="00607F08">
      <w:pPr>
        <w:pStyle w:val="ListParagraph"/>
        <w:numPr>
          <w:ilvl w:val="0"/>
          <w:numId w:val="4"/>
        </w:numPr>
        <w:spacing w:before="240" w:after="200"/>
        <w:ind w:right="91"/>
      </w:pPr>
      <w:r>
        <w:t>the petroleum product wholesaling industry;</w:t>
      </w:r>
    </w:p>
    <w:p w14:paraId="102C17D4" w14:textId="77777777" w:rsidR="00607F08" w:rsidRDefault="00607F08" w:rsidP="00607F08">
      <w:pPr>
        <w:pStyle w:val="ListParagraph"/>
        <w:numPr>
          <w:ilvl w:val="0"/>
          <w:numId w:val="4"/>
        </w:numPr>
        <w:spacing w:before="240" w:after="200"/>
        <w:ind w:right="91"/>
      </w:pPr>
      <w:r>
        <w:t>the petroleum fuel manufacturing industry; and</w:t>
      </w:r>
    </w:p>
    <w:p w14:paraId="069AC94E" w14:textId="77777777" w:rsidR="00607F08" w:rsidRDefault="00607F08" w:rsidP="00607F08">
      <w:pPr>
        <w:pStyle w:val="ListParagraph"/>
        <w:numPr>
          <w:ilvl w:val="0"/>
          <w:numId w:val="4"/>
        </w:numPr>
        <w:spacing w:before="240" w:after="200"/>
        <w:ind w:right="91"/>
      </w:pPr>
      <w:r>
        <w:t>the bulk petroleum storage sub-industry;</w:t>
      </w:r>
    </w:p>
    <w:p w14:paraId="7B296C08" w14:textId="47304214" w:rsidR="00607F08" w:rsidRDefault="00607F08" w:rsidP="009E28D0">
      <w:pPr>
        <w:spacing w:after="0"/>
        <w:ind w:right="91"/>
      </w:pPr>
      <w:r>
        <w:t xml:space="preserve">The ACCC is required to monitor prices, costs and profits for a period of three years, and to report to the Treasurer every </w:t>
      </w:r>
      <w:r w:rsidR="00BC1AC9">
        <w:t>three</w:t>
      </w:r>
      <w:r>
        <w:t xml:space="preserve"> months on the monitoring during that period.</w:t>
      </w:r>
    </w:p>
    <w:p w14:paraId="7F225FAB" w14:textId="0BE57F32" w:rsidR="00607F08" w:rsidRDefault="00607F08" w:rsidP="009E28D0">
      <w:pPr>
        <w:spacing w:after="0"/>
        <w:ind w:right="91"/>
      </w:pPr>
      <w:r>
        <w:t>Th</w:t>
      </w:r>
      <w:r w:rsidR="00F32CB9">
        <w:t>e</w:t>
      </w:r>
      <w:r>
        <w:t xml:space="preserve"> </w:t>
      </w:r>
      <w:r w:rsidR="00F32CB9">
        <w:t>D</w:t>
      </w:r>
      <w:r>
        <w:t>irection is given under subsection 95ZE(1) of the Act.</w:t>
      </w:r>
    </w:p>
    <w:p w14:paraId="5E571C96" w14:textId="7AD11A07" w:rsidR="00607F08" w:rsidRPr="005D13D6" w:rsidRDefault="00607F08" w:rsidP="00607F08">
      <w:pPr>
        <w:keepNext/>
        <w:spacing w:before="240"/>
        <w:rPr>
          <w:u w:val="single"/>
        </w:rPr>
      </w:pPr>
      <w:r>
        <w:rPr>
          <w:u w:val="single"/>
        </w:rPr>
        <w:t xml:space="preserve">Section </w:t>
      </w:r>
      <w:r w:rsidR="00F32CB9">
        <w:rPr>
          <w:u w:val="single"/>
        </w:rPr>
        <w:t>8</w:t>
      </w:r>
      <w:r>
        <w:rPr>
          <w:u w:val="single"/>
        </w:rPr>
        <w:t>—Direction to give special consideration to specified matters</w:t>
      </w:r>
    </w:p>
    <w:p w14:paraId="4EF08B58" w14:textId="42F94D7D" w:rsidR="00607F08" w:rsidRDefault="00607F08" w:rsidP="00607F08">
      <w:pPr>
        <w:spacing w:before="240" w:after="200"/>
        <w:ind w:right="91"/>
      </w:pPr>
      <w:r>
        <w:t xml:space="preserve">Section </w:t>
      </w:r>
      <w:r w:rsidR="00F32CB9">
        <w:t>8</w:t>
      </w:r>
      <w:r>
        <w:t xml:space="preserve"> directs the ACCC to give special consideration to monitoring the prices, costs and profits relating to the supply of </w:t>
      </w:r>
      <w:r w:rsidRPr="005D13D6">
        <w:t>petroleum fuel products</w:t>
      </w:r>
      <w:r w:rsidRPr="005D13D6" w:rsidDel="002D548B">
        <w:t xml:space="preserve"> </w:t>
      </w:r>
      <w:r>
        <w:t>and services related to the supply of petroleum fuel products when conducting the price monitoring required by the direction in section 6.</w:t>
      </w:r>
    </w:p>
    <w:p w14:paraId="7D1E9B89" w14:textId="38E13D58" w:rsidR="00607F08" w:rsidRDefault="00607F08" w:rsidP="00607F08">
      <w:pPr>
        <w:spacing w:before="240" w:after="200"/>
        <w:ind w:right="91"/>
      </w:pPr>
      <w:r>
        <w:t xml:space="preserve">Section </w:t>
      </w:r>
      <w:r w:rsidR="00F32CB9">
        <w:t>8</w:t>
      </w:r>
      <w:r>
        <w:t xml:space="preserve"> also directs the ACCC to give special consideration to the object of the Direction when exercising its powers and performing its functions under the Act as required by the direction in section 6.</w:t>
      </w:r>
    </w:p>
    <w:p w14:paraId="1A41DE8B" w14:textId="3F397A34" w:rsidR="00607F08" w:rsidRDefault="00607F08" w:rsidP="00607F08">
      <w:pPr>
        <w:spacing w:before="240" w:after="200"/>
        <w:ind w:right="91"/>
      </w:pPr>
      <w:r>
        <w:t xml:space="preserve">This direction is given because persons in the industries specified in the </w:t>
      </w:r>
      <w:r w:rsidR="00F32CB9">
        <w:t>D</w:t>
      </w:r>
      <w:r>
        <w:t xml:space="preserve">irection in section </w:t>
      </w:r>
      <w:r w:rsidR="00F32CB9">
        <w:t>7</w:t>
      </w:r>
      <w:r>
        <w:t xml:space="preserve"> may also supply other goods and services that are not </w:t>
      </w:r>
      <w:r w:rsidR="001625B0">
        <w:t>necessarily</w:t>
      </w:r>
      <w:r>
        <w:t xml:space="preserve"> relevant to the core object of price monitoring of petroleum fuel products in Australia.</w:t>
      </w:r>
    </w:p>
    <w:p w14:paraId="68E18B40" w14:textId="77777777" w:rsidR="003F33A0" w:rsidRDefault="00607F08" w:rsidP="00607F08">
      <w:pPr>
        <w:spacing w:before="240"/>
      </w:pPr>
      <w:r>
        <w:t>Th</w:t>
      </w:r>
      <w:r w:rsidR="00F32CB9">
        <w:t>e</w:t>
      </w:r>
      <w:r>
        <w:t xml:space="preserve"> </w:t>
      </w:r>
      <w:r w:rsidR="00F32CB9">
        <w:t>D</w:t>
      </w:r>
      <w:r>
        <w:t>irection is given under subsection 95ZH(1) of the Act.</w:t>
      </w:r>
    </w:p>
    <w:p w14:paraId="6D6502E8" w14:textId="388D8593" w:rsidR="003F33A0" w:rsidRPr="005D13D6" w:rsidRDefault="003F33A0" w:rsidP="003F33A0">
      <w:pPr>
        <w:keepNext/>
        <w:spacing w:before="240"/>
        <w:rPr>
          <w:u w:val="single"/>
        </w:rPr>
      </w:pPr>
      <w:r>
        <w:rPr>
          <w:u w:val="single"/>
        </w:rPr>
        <w:t>Schedule 1—Repeals</w:t>
      </w:r>
    </w:p>
    <w:p w14:paraId="4090508B" w14:textId="170E02D6" w:rsidR="003F33A0" w:rsidRDefault="003F33A0" w:rsidP="00607F08">
      <w:pPr>
        <w:spacing w:before="240"/>
      </w:pPr>
      <w:r>
        <w:t xml:space="preserve">Schedule 1 repeals now inoperative directions relating to the monitoring of </w:t>
      </w:r>
      <w:r w:rsidRPr="002D548B">
        <w:t xml:space="preserve">prices, costs and profits relating to the supply of </w:t>
      </w:r>
      <w:r>
        <w:t>petroleum fuels and related service</w:t>
      </w:r>
      <w:r w:rsidR="00D75843">
        <w:t>s</w:t>
      </w:r>
      <w:r w:rsidR="00A9070B">
        <w:t>.</w:t>
      </w:r>
    </w:p>
    <w:p w14:paraId="40DDD877" w14:textId="284A2C40" w:rsidR="00EA4DD8" w:rsidRPr="00607F08" w:rsidRDefault="00EA4DD8" w:rsidP="00607F08">
      <w:pPr>
        <w:spacing w:before="240"/>
      </w:pPr>
      <w:r>
        <w:br w:type="page"/>
      </w:r>
    </w:p>
    <w:p w14:paraId="19C61145" w14:textId="6C16864F" w:rsidR="007A55A7" w:rsidRDefault="007A55A7" w:rsidP="00013390">
      <w:pPr>
        <w:pageBreakBefore/>
        <w:spacing w:before="240"/>
        <w:jc w:val="right"/>
        <w:rPr>
          <w:b/>
          <w:u w:val="single"/>
        </w:rPr>
      </w:pPr>
      <w:r w:rsidRPr="007B335E">
        <w:rPr>
          <w:b/>
          <w:u w:val="single"/>
        </w:rPr>
        <w:lastRenderedPageBreak/>
        <w:t xml:space="preserve">ATTACHMENT </w:t>
      </w:r>
      <w:r w:rsidR="00607F08">
        <w:rPr>
          <w:b/>
          <w:u w:val="single"/>
        </w:rPr>
        <w:t>B</w:t>
      </w:r>
    </w:p>
    <w:p w14:paraId="5E9134D8" w14:textId="77777777" w:rsidR="00E4438C" w:rsidRPr="00462095" w:rsidRDefault="00E4438C" w:rsidP="003E1CE3">
      <w:pPr>
        <w:pStyle w:val="Heading3"/>
      </w:pPr>
      <w:r w:rsidRPr="00462095">
        <w:t>Statement of Compatibility with Human Rights</w:t>
      </w:r>
    </w:p>
    <w:p w14:paraId="03A525D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1A8E3F2" w14:textId="5FDD48CB" w:rsidR="00E4438C" w:rsidRPr="00647BB7" w:rsidRDefault="00607F08" w:rsidP="003E1CE3">
      <w:pPr>
        <w:pStyle w:val="Heading3"/>
        <w:jc w:val="center"/>
      </w:pPr>
      <w:r>
        <w:t>Competition and Consumer (Price Monitoring—Petroleum Fuels) Direction 2022</w:t>
      </w:r>
    </w:p>
    <w:p w14:paraId="773DA203"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27D4AE6" w14:textId="77777777" w:rsidR="00E4438C" w:rsidRPr="00647BB7" w:rsidRDefault="00E4438C" w:rsidP="003E1CE3">
      <w:pPr>
        <w:pStyle w:val="Heading3"/>
      </w:pPr>
      <w:r w:rsidRPr="00647BB7">
        <w:t>Overview of the Legislative Instrument</w:t>
      </w:r>
    </w:p>
    <w:p w14:paraId="108B6615" w14:textId="16D02EDC" w:rsidR="00607F08" w:rsidRDefault="00607F08" w:rsidP="00607F08">
      <w:r>
        <w:t xml:space="preserve">The purpose of the </w:t>
      </w:r>
      <w:r w:rsidRPr="003735D7">
        <w:rPr>
          <w:i/>
        </w:rPr>
        <w:t>Competition and Consumer (Price Monitoring—Petroleum Fuels) Direction 20</w:t>
      </w:r>
      <w:r>
        <w:rPr>
          <w:i/>
        </w:rPr>
        <w:t>22</w:t>
      </w:r>
      <w:r>
        <w:t xml:space="preserve"> (the Direction) is to require the Australian Competition and Consumer Commission (ACCC) to monitor the </w:t>
      </w:r>
      <w:r w:rsidRPr="002D548B">
        <w:t xml:space="preserve">prices, costs and profits relating to the supply of goods or services by persons in </w:t>
      </w:r>
      <w:r>
        <w:t>specified industries. These industries are involved in the supply of petroleum fuels, or in the supply of services related to the supply of petroleum fuels.</w:t>
      </w:r>
    </w:p>
    <w:p w14:paraId="4ED7E109" w14:textId="77777777" w:rsidR="00607F08" w:rsidRDefault="00607F08" w:rsidP="00607F08">
      <w:r>
        <w:t>The Direction gives effect to the Government’s decision that the ACCC continue to monitor and report on the prices, costs and profits relating to the supply of petroleum products and related services in the petroleum industry in Australia.</w:t>
      </w:r>
    </w:p>
    <w:p w14:paraId="4AE0F2F5" w14:textId="77777777" w:rsidR="00607F08" w:rsidRDefault="00607F08" w:rsidP="00607F08">
      <w:r>
        <w:t xml:space="preserve">The Direction also requires the ACCC to give special consideration to monitoring the </w:t>
      </w:r>
      <w:r w:rsidRPr="002D548B">
        <w:t xml:space="preserve">prices, costs and profits relating to the supply of </w:t>
      </w:r>
      <w:r>
        <w:t>petroleum fuels and related services by persons in the specified industries.</w:t>
      </w:r>
    </w:p>
    <w:p w14:paraId="32D56EEE" w14:textId="77777777" w:rsidR="00607F08" w:rsidRDefault="00607F08" w:rsidP="00607F08">
      <w:r>
        <w:t>The Direction requires the ACCC to monitor prices, costs and profits for a period of three years, and to report to the Treasurer every 3 months on the monitoring during that period.</w:t>
      </w:r>
    </w:p>
    <w:p w14:paraId="35713F22" w14:textId="77777777" w:rsidR="00E4438C" w:rsidRPr="00647BB7" w:rsidRDefault="00E4438C" w:rsidP="003E1CE3">
      <w:pPr>
        <w:pStyle w:val="Heading3"/>
      </w:pPr>
      <w:r w:rsidRPr="00647BB7">
        <w:t>Human rights implications</w:t>
      </w:r>
    </w:p>
    <w:p w14:paraId="548FB99E" w14:textId="77777777" w:rsidR="00E4438C" w:rsidRPr="00647BB7" w:rsidRDefault="00E4438C" w:rsidP="00647BB7">
      <w:pPr>
        <w:spacing w:before="240"/>
      </w:pPr>
      <w:r w:rsidRPr="00647BB7">
        <w:t>This Legislative Instrument does not engage any of the applicable rights or freedoms.</w:t>
      </w:r>
    </w:p>
    <w:p w14:paraId="28D0BA11" w14:textId="77777777" w:rsidR="00E4438C" w:rsidRPr="00647BB7" w:rsidRDefault="00E4438C" w:rsidP="003E1CE3">
      <w:pPr>
        <w:pStyle w:val="Heading3"/>
      </w:pPr>
      <w:r w:rsidRPr="00647BB7">
        <w:t>Conclusion</w:t>
      </w:r>
    </w:p>
    <w:p w14:paraId="213A62F1" w14:textId="4652A50C" w:rsidR="00482B81" w:rsidRPr="00EA4DD8" w:rsidRDefault="00E4438C" w:rsidP="00F32CB9">
      <w:pPr>
        <w:spacing w:before="240"/>
      </w:pPr>
      <w:r w:rsidRPr="00647BB7">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E5FB" w14:textId="77777777" w:rsidR="00E90C28" w:rsidRDefault="00E90C28" w:rsidP="00954679">
      <w:pPr>
        <w:spacing w:before="0" w:after="0"/>
      </w:pPr>
      <w:r>
        <w:separator/>
      </w:r>
    </w:p>
  </w:endnote>
  <w:endnote w:type="continuationSeparator" w:id="0">
    <w:p w14:paraId="4D21582A" w14:textId="77777777" w:rsidR="00E90C28" w:rsidRDefault="00E90C28"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FB81CBF"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AA59" w14:textId="77777777" w:rsidR="00E90C28" w:rsidRDefault="00E90C28" w:rsidP="00954679">
      <w:pPr>
        <w:spacing w:before="0" w:after="0"/>
      </w:pPr>
      <w:r>
        <w:separator/>
      </w:r>
    </w:p>
  </w:footnote>
  <w:footnote w:type="continuationSeparator" w:id="0">
    <w:p w14:paraId="46AFC585" w14:textId="77777777" w:rsidR="00E90C28" w:rsidRDefault="00E90C28"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2CA3214"/>
    <w:multiLevelType w:val="hybridMultilevel"/>
    <w:tmpl w:val="EEE20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41"/>
    <w:rsid w:val="00013390"/>
    <w:rsid w:val="00016EA2"/>
    <w:rsid w:val="00076178"/>
    <w:rsid w:val="00095211"/>
    <w:rsid w:val="000B39A1"/>
    <w:rsid w:val="000C10DF"/>
    <w:rsid w:val="000C6935"/>
    <w:rsid w:val="000E32E3"/>
    <w:rsid w:val="00113B45"/>
    <w:rsid w:val="00117C02"/>
    <w:rsid w:val="001625B0"/>
    <w:rsid w:val="001B7535"/>
    <w:rsid w:val="001E6A74"/>
    <w:rsid w:val="001F41D0"/>
    <w:rsid w:val="00220F16"/>
    <w:rsid w:val="00254C5B"/>
    <w:rsid w:val="002A7E1F"/>
    <w:rsid w:val="002C226C"/>
    <w:rsid w:val="002F022D"/>
    <w:rsid w:val="003041FA"/>
    <w:rsid w:val="003342CD"/>
    <w:rsid w:val="00335042"/>
    <w:rsid w:val="00362B70"/>
    <w:rsid w:val="00392BBA"/>
    <w:rsid w:val="003954FD"/>
    <w:rsid w:val="003C7907"/>
    <w:rsid w:val="003D60D7"/>
    <w:rsid w:val="003E1CE3"/>
    <w:rsid w:val="003F33A0"/>
    <w:rsid w:val="0043403F"/>
    <w:rsid w:val="00462095"/>
    <w:rsid w:val="00482B81"/>
    <w:rsid w:val="00482D4C"/>
    <w:rsid w:val="004B3C0F"/>
    <w:rsid w:val="004C05E4"/>
    <w:rsid w:val="004E39E1"/>
    <w:rsid w:val="004F56D0"/>
    <w:rsid w:val="00503E44"/>
    <w:rsid w:val="00515283"/>
    <w:rsid w:val="00533926"/>
    <w:rsid w:val="0055675D"/>
    <w:rsid w:val="00566E8F"/>
    <w:rsid w:val="0057422E"/>
    <w:rsid w:val="005833BE"/>
    <w:rsid w:val="005D7D5A"/>
    <w:rsid w:val="005E4BAC"/>
    <w:rsid w:val="0060130D"/>
    <w:rsid w:val="00607F08"/>
    <w:rsid w:val="006100E5"/>
    <w:rsid w:val="0064129F"/>
    <w:rsid w:val="00647BB7"/>
    <w:rsid w:val="00677544"/>
    <w:rsid w:val="00680297"/>
    <w:rsid w:val="006873CE"/>
    <w:rsid w:val="006A0786"/>
    <w:rsid w:val="006B7EEF"/>
    <w:rsid w:val="00710E94"/>
    <w:rsid w:val="00727D8A"/>
    <w:rsid w:val="00731FEA"/>
    <w:rsid w:val="00736F61"/>
    <w:rsid w:val="00742253"/>
    <w:rsid w:val="007662C7"/>
    <w:rsid w:val="00776306"/>
    <w:rsid w:val="007A55A7"/>
    <w:rsid w:val="007B1F10"/>
    <w:rsid w:val="007B335E"/>
    <w:rsid w:val="007C7D64"/>
    <w:rsid w:val="007E018D"/>
    <w:rsid w:val="007F1B71"/>
    <w:rsid w:val="00807E7D"/>
    <w:rsid w:val="00831675"/>
    <w:rsid w:val="0088467C"/>
    <w:rsid w:val="00894579"/>
    <w:rsid w:val="008A5B67"/>
    <w:rsid w:val="008A5CCD"/>
    <w:rsid w:val="008C6029"/>
    <w:rsid w:val="008D16F7"/>
    <w:rsid w:val="008E1427"/>
    <w:rsid w:val="009143A0"/>
    <w:rsid w:val="00936902"/>
    <w:rsid w:val="00954679"/>
    <w:rsid w:val="009C6A1E"/>
    <w:rsid w:val="009E28D0"/>
    <w:rsid w:val="009E2F86"/>
    <w:rsid w:val="00A12209"/>
    <w:rsid w:val="00A34CA4"/>
    <w:rsid w:val="00A36DF3"/>
    <w:rsid w:val="00A532DD"/>
    <w:rsid w:val="00A80BCF"/>
    <w:rsid w:val="00A8369C"/>
    <w:rsid w:val="00A9070B"/>
    <w:rsid w:val="00AA1689"/>
    <w:rsid w:val="00AA5770"/>
    <w:rsid w:val="00AB00C0"/>
    <w:rsid w:val="00AC1D15"/>
    <w:rsid w:val="00AC3741"/>
    <w:rsid w:val="00B07B0C"/>
    <w:rsid w:val="00B204C9"/>
    <w:rsid w:val="00B25563"/>
    <w:rsid w:val="00B26D48"/>
    <w:rsid w:val="00B42EE1"/>
    <w:rsid w:val="00B8293D"/>
    <w:rsid w:val="00B92478"/>
    <w:rsid w:val="00BA6188"/>
    <w:rsid w:val="00BC1AC9"/>
    <w:rsid w:val="00BD61A2"/>
    <w:rsid w:val="00BE484D"/>
    <w:rsid w:val="00C14EFD"/>
    <w:rsid w:val="00C37E05"/>
    <w:rsid w:val="00C47789"/>
    <w:rsid w:val="00C55D29"/>
    <w:rsid w:val="00C925EC"/>
    <w:rsid w:val="00CA0BE9"/>
    <w:rsid w:val="00CA138D"/>
    <w:rsid w:val="00CC7641"/>
    <w:rsid w:val="00D13794"/>
    <w:rsid w:val="00D24052"/>
    <w:rsid w:val="00D24386"/>
    <w:rsid w:val="00D31575"/>
    <w:rsid w:val="00D34626"/>
    <w:rsid w:val="00D34FB4"/>
    <w:rsid w:val="00D4257A"/>
    <w:rsid w:val="00D43776"/>
    <w:rsid w:val="00D53F8C"/>
    <w:rsid w:val="00D62665"/>
    <w:rsid w:val="00D66C71"/>
    <w:rsid w:val="00D75843"/>
    <w:rsid w:val="00D82E47"/>
    <w:rsid w:val="00DC0CDE"/>
    <w:rsid w:val="00DC4D72"/>
    <w:rsid w:val="00E02552"/>
    <w:rsid w:val="00E0624D"/>
    <w:rsid w:val="00E1670B"/>
    <w:rsid w:val="00E3476C"/>
    <w:rsid w:val="00E353A3"/>
    <w:rsid w:val="00E41505"/>
    <w:rsid w:val="00E4438C"/>
    <w:rsid w:val="00E457F3"/>
    <w:rsid w:val="00E67BB3"/>
    <w:rsid w:val="00E90C28"/>
    <w:rsid w:val="00EA4DD8"/>
    <w:rsid w:val="00EB2AEF"/>
    <w:rsid w:val="00EB7E71"/>
    <w:rsid w:val="00F109D4"/>
    <w:rsid w:val="00F15EE9"/>
    <w:rsid w:val="00F32CB9"/>
    <w:rsid w:val="00F47585"/>
    <w:rsid w:val="00F75DB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DBE7D"/>
  <w15:docId w15:val="{6A044DD5-6854-444D-8C73-A8D683AB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607F08"/>
    <w:pPr>
      <w:ind w:left="720"/>
      <w:contextualSpacing/>
    </w:pPr>
  </w:style>
  <w:style w:type="character" w:styleId="UnresolvedMention">
    <w:name w:val="Unresolved Mention"/>
    <w:basedOn w:val="DefaultParagraphFont"/>
    <w:uiPriority w:val="99"/>
    <w:semiHidden/>
    <w:unhideWhenUsed/>
    <w:rsid w:val="009E28D0"/>
    <w:rPr>
      <w:color w:val="605E5C"/>
      <w:shd w:val="clear" w:color="auto" w:fill="E1DFDD"/>
    </w:rPr>
  </w:style>
  <w:style w:type="character" w:customStyle="1" w:styleId="normaltextrun">
    <w:name w:val="normaltextrun"/>
    <w:basedOn w:val="DefaultParagraphFont"/>
    <w:rsid w:val="00677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69588C4524CF1B5E961AD1736D1FF"/>
        <w:category>
          <w:name w:val="General"/>
          <w:gallery w:val="placeholder"/>
        </w:category>
        <w:types>
          <w:type w:val="bbPlcHdr"/>
        </w:types>
        <w:behaviors>
          <w:behavior w:val="content"/>
        </w:behaviors>
        <w:guid w:val="{EF93B3AD-E0EF-4FC0-92D8-8F6A724D28FA}"/>
      </w:docPartPr>
      <w:docPartBody>
        <w:p w:rsidR="0029630E" w:rsidRDefault="003F1EBC">
          <w:pPr>
            <w:pStyle w:val="EFF69588C4524CF1B5E961AD1736D1FF"/>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BC"/>
    <w:rsid w:val="0029630E"/>
    <w:rsid w:val="003F1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F69588C4524CF1B5E961AD1736D1FF">
    <w:name w:val="EFF69588C4524CF1B5E961AD1736D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26</Value>
      <Value>23</Value>
      <Value>1</Value>
      <Value>5</Value>
    </TaxCatchAll>
    <_dlc_DocId xmlns="fe39d773-a83d-4623-ae74-f25711a76616">S574FYTY5PW6-969949929-45</_dlc_DocId>
    <_dlc_DocIdUrl xmlns="fe39d773-a83d-4623-ae74-f25711a76616">
      <Url>https://austreasury.sharepoint.com/sites/leg-cord-function/_layouts/15/DocIdRedir.aspx?ID=S574FYTY5PW6-969949929-45</Url>
      <Description>S574FYTY5PW6-969949929-45</Description>
    </_dlc_DocIdUrl>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k5702ebc2d804f54815653409837d9c5>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1" ma:contentTypeDescription="Create a new document." ma:contentTypeScope="" ma:versionID="210a7fb95df6a4f456f8c63f15c94e0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77ff6bd82291f0e12af38a49ba7a3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1;#Legislation management|cb630f2f-9155-496b-ad0f-d960eb1bf90c" ma:fieldId="{7354c186-57b0-4d3a-ab7a-0b7552b22c2a}"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readOnly="false" ma:default="" ma:fieldId="{45702ebc-2d80-4f54-8156-53409837d9c5}"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readOnly="false" ma:default="" ma:fieldId="{a922f8bb-5657-46e5-94df-d9759c83997b}" ma:sspId="218240cd-c75f-40bd-87f4-262ac964b25b" ma:termSetId="24e09747-f2df-4af3-91a6-5dfababca2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662" ma:contentTypeDescription=" " ma:contentTypeScope="" ma:versionID="db8c0972d54202574c1d691a1bf4670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sharepoint/v3"/>
    <ds:schemaRef ds:uri="http://schemas.microsoft.com/office/infopath/2007/PartnerControls"/>
    <ds:schemaRef ds:uri="9f7bc583-7cbe-45b9-a2bd-8bbb6543b37e"/>
    <ds:schemaRef ds:uri="0f563589-9cf9-4143-b1eb-fb0534803d38"/>
    <ds:schemaRef ds:uri="http://www.w3.org/XML/1998/namespace"/>
  </ds:schemaRefs>
</ds:datastoreItem>
</file>

<file path=customXml/itemProps2.xml><?xml version="1.0" encoding="utf-8"?>
<ds:datastoreItem xmlns:ds="http://schemas.openxmlformats.org/officeDocument/2006/customXml" ds:itemID="{C6E067C1-7574-4190-B38C-550769EFF99E}"/>
</file>

<file path=customXml/itemProps3.xml><?xml version="1.0" encoding="utf-8"?>
<ds:datastoreItem xmlns:ds="http://schemas.openxmlformats.org/officeDocument/2006/customXml" ds:itemID="{3C9F79C2-078E-4012-A8DE-6EC95451F140}"/>
</file>

<file path=customXml/itemProps4.xml><?xml version="1.0" encoding="utf-8"?>
<ds:datastoreItem xmlns:ds="http://schemas.openxmlformats.org/officeDocument/2006/customXml" ds:itemID="{16132976-9DD5-4947-BFE1-EE45EAE9F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1244</Words>
  <Characters>7096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Zanoni, Jacob</dc:creator>
  <cp:lastModifiedBy>Anderson, Roslyn</cp:lastModifiedBy>
  <cp:revision>2</cp:revision>
  <cp:lastPrinted>2022-12-05T04:19:00Z</cp:lastPrinted>
  <dcterms:created xsi:type="dcterms:W3CDTF">2022-12-08T04:11:00Z</dcterms:created>
  <dcterms:modified xsi:type="dcterms:W3CDTF">2022-12-08T04:11:00Z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0x010100B569D256E75E71428C72445DFBB99E7A</vt:lpwstr>
  </property>
  <property fmtid="{D5CDD505-2E9C-101B-9397-08002B2CF9AE}" pid="8" name="TSYRecordClass">
    <vt:lpwstr>1;#AE-20260-Destroy 7 years after action completed|623f5ec9-ec5d-4824-8e13-9c9bfc51fe7e</vt:lpwstr>
  </property>
  <property fmtid="{D5CDD505-2E9C-101B-9397-08002B2CF9AE}" pid="9" name="_dlc_DocIdItemGuid">
    <vt:lpwstr>a221313e-1c1f-4c31-9b51-23689d5baab9</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Activity">
    <vt:lpwstr>5;#Legislation management|cb630f2f-9155-496b-ad0f-d960eb1bf90c</vt:lpwstr>
  </property>
  <property fmtid="{D5CDD505-2E9C-101B-9397-08002B2CF9AE}" pid="14" name="eTheme">
    <vt:lpwstr>1;#Law Design|318dd2d2-18da-4b8e-a458-14db2c1af95f</vt:lpwstr>
  </property>
  <property fmtid="{D5CDD505-2E9C-101B-9397-08002B2CF9AE}" pid="15" name="Topic">
    <vt:lpwstr>23;#explanatory statements and comments on these documents from regulators etc|096402d2-57ea-4a1b-b227-da23d360e0e0</vt:lpwstr>
  </property>
  <property fmtid="{D5CDD505-2E9C-101B-9397-08002B2CF9AE}" pid="16" name="TSYStatus">
    <vt:lpwstr/>
  </property>
  <property fmtid="{D5CDD505-2E9C-101B-9397-08002B2CF9AE}" pid="17" name="Document Type">
    <vt:lpwstr>26;#Legislation|5f24e6e2-f301-4700-a149-750a38c55178</vt:lpwstr>
  </property>
  <property fmtid="{D5CDD505-2E9C-101B-9397-08002B2CF9AE}" pid="23" name="EmailAttachments">
    <vt:bool>false</vt:bool>
  </property>
</Properties>
</file>