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94ADB" w14:textId="77777777" w:rsidR="0048364F" w:rsidRDefault="00193461" w:rsidP="0020300C">
      <w:pPr>
        <w:rPr>
          <w:sz w:val="28"/>
        </w:rPr>
      </w:pPr>
      <w:r>
        <w:rPr>
          <w:noProof/>
          <w:lang w:eastAsia="en-AU"/>
        </w:rPr>
        <w:drawing>
          <wp:inline distT="0" distB="0" distL="0" distR="0" wp14:anchorId="1E48AAA6" wp14:editId="64C75AC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AB9AB72" w14:textId="77777777" w:rsidR="0048364F" w:rsidRDefault="0048364F" w:rsidP="0048364F">
      <w:pPr>
        <w:rPr>
          <w:sz w:val="19"/>
        </w:rPr>
      </w:pPr>
    </w:p>
    <w:p w14:paraId="4FF2FFDE" w14:textId="77777777" w:rsidR="0048364F" w:rsidRDefault="003A5133" w:rsidP="0048364F">
      <w:pPr>
        <w:pStyle w:val="ShortT"/>
      </w:pPr>
      <w:r>
        <w:t xml:space="preserve">Therapeutic Goods Legislation Amendment (2022 Measures No. 3) </w:t>
      </w:r>
      <w:r w:rsidR="007A251A">
        <w:t>Regulations 2</w:t>
      </w:r>
      <w:r>
        <w:t>022</w:t>
      </w:r>
    </w:p>
    <w:p w14:paraId="384EBE1E" w14:textId="77777777" w:rsidR="007A251A" w:rsidRPr="0034086C" w:rsidRDefault="007A251A" w:rsidP="00422B30">
      <w:pPr>
        <w:pStyle w:val="SignCoverPageStart"/>
        <w:spacing w:before="240"/>
        <w:rPr>
          <w:szCs w:val="22"/>
        </w:rPr>
      </w:pPr>
      <w:r w:rsidRPr="0034086C">
        <w:rPr>
          <w:szCs w:val="22"/>
        </w:rPr>
        <w:t xml:space="preserve">I, </w:t>
      </w:r>
      <w:r>
        <w:rPr>
          <w:szCs w:val="22"/>
        </w:rPr>
        <w:t>General the Honourable David Hurley AC DSC (Retd)</w:t>
      </w:r>
      <w:r w:rsidRPr="0034086C">
        <w:rPr>
          <w:szCs w:val="22"/>
        </w:rPr>
        <w:t xml:space="preserve">, </w:t>
      </w:r>
      <w:r>
        <w:rPr>
          <w:szCs w:val="22"/>
        </w:rPr>
        <w:t>Governor</w:t>
      </w:r>
      <w:r w:rsidR="003F00BA">
        <w:rPr>
          <w:szCs w:val="22"/>
        </w:rPr>
        <w:noBreakHyphen/>
      </w:r>
      <w:r>
        <w:rPr>
          <w:szCs w:val="22"/>
        </w:rPr>
        <w:t>General of the Commonwealth of Australia</w:t>
      </w:r>
      <w:r w:rsidRPr="0034086C">
        <w:rPr>
          <w:szCs w:val="22"/>
        </w:rPr>
        <w:t xml:space="preserve">, acting with the advice of the Federal Executive Council, make the following </w:t>
      </w:r>
      <w:r>
        <w:rPr>
          <w:szCs w:val="22"/>
        </w:rPr>
        <w:t>regulations</w:t>
      </w:r>
      <w:r w:rsidRPr="0034086C">
        <w:rPr>
          <w:szCs w:val="22"/>
        </w:rPr>
        <w:t>.</w:t>
      </w:r>
    </w:p>
    <w:p w14:paraId="3FE04FE7" w14:textId="330A294B" w:rsidR="007A251A" w:rsidRPr="0034086C" w:rsidRDefault="007A251A" w:rsidP="00422B30">
      <w:pPr>
        <w:keepNext/>
        <w:spacing w:before="720" w:line="240" w:lineRule="atLeast"/>
        <w:ind w:right="397"/>
        <w:jc w:val="both"/>
        <w:rPr>
          <w:szCs w:val="22"/>
        </w:rPr>
      </w:pPr>
      <w:r w:rsidRPr="0034086C">
        <w:rPr>
          <w:szCs w:val="22"/>
        </w:rPr>
        <w:t xml:space="preserve">Dated </w:t>
      </w:r>
      <w:r w:rsidRPr="0034086C">
        <w:rPr>
          <w:szCs w:val="22"/>
        </w:rPr>
        <w:tab/>
      </w:r>
      <w:r w:rsidR="00144E3C">
        <w:rPr>
          <w:szCs w:val="22"/>
        </w:rPr>
        <w:t xml:space="preserve">15 December </w:t>
      </w:r>
      <w:r w:rsidRPr="0034086C">
        <w:rPr>
          <w:szCs w:val="22"/>
        </w:rPr>
        <w:fldChar w:fldCharType="begin"/>
      </w:r>
      <w:r w:rsidRPr="0034086C">
        <w:rPr>
          <w:szCs w:val="22"/>
        </w:rPr>
        <w:instrText xml:space="preserve"> DOCPROPERTY  DateMade </w:instrText>
      </w:r>
      <w:r w:rsidRPr="0034086C">
        <w:rPr>
          <w:szCs w:val="22"/>
        </w:rPr>
        <w:fldChar w:fldCharType="separate"/>
      </w:r>
      <w:r w:rsidR="003E4337">
        <w:rPr>
          <w:szCs w:val="22"/>
        </w:rPr>
        <w:t>2022</w:t>
      </w:r>
      <w:r w:rsidRPr="0034086C">
        <w:rPr>
          <w:szCs w:val="22"/>
        </w:rPr>
        <w:fldChar w:fldCharType="end"/>
      </w:r>
    </w:p>
    <w:p w14:paraId="1B6623F1" w14:textId="77777777" w:rsidR="007A251A" w:rsidRPr="0034086C" w:rsidRDefault="007A251A" w:rsidP="00422B30">
      <w:pPr>
        <w:keepNext/>
        <w:tabs>
          <w:tab w:val="left" w:pos="3402"/>
        </w:tabs>
        <w:spacing w:before="1080" w:line="300" w:lineRule="atLeast"/>
        <w:ind w:left="397" w:right="397"/>
        <w:jc w:val="right"/>
        <w:rPr>
          <w:szCs w:val="22"/>
        </w:rPr>
      </w:pPr>
      <w:r>
        <w:rPr>
          <w:szCs w:val="22"/>
        </w:rPr>
        <w:t>David Hurley</w:t>
      </w:r>
    </w:p>
    <w:p w14:paraId="387D91EB" w14:textId="77777777" w:rsidR="007A251A" w:rsidRPr="0034086C" w:rsidRDefault="007A251A" w:rsidP="00422B30">
      <w:pPr>
        <w:keepNext/>
        <w:tabs>
          <w:tab w:val="left" w:pos="3402"/>
        </w:tabs>
        <w:spacing w:line="300" w:lineRule="atLeast"/>
        <w:ind w:left="397" w:right="397"/>
        <w:jc w:val="right"/>
        <w:rPr>
          <w:szCs w:val="22"/>
        </w:rPr>
      </w:pPr>
      <w:r>
        <w:rPr>
          <w:szCs w:val="22"/>
        </w:rPr>
        <w:t>Governor</w:t>
      </w:r>
      <w:r w:rsidR="003F00BA">
        <w:rPr>
          <w:szCs w:val="22"/>
        </w:rPr>
        <w:noBreakHyphen/>
      </w:r>
      <w:r>
        <w:rPr>
          <w:szCs w:val="22"/>
        </w:rPr>
        <w:t>General</w:t>
      </w:r>
    </w:p>
    <w:p w14:paraId="4453B525" w14:textId="77777777" w:rsidR="007A251A" w:rsidRPr="0034086C" w:rsidRDefault="007A251A" w:rsidP="00422B30">
      <w:pPr>
        <w:keepNext/>
        <w:tabs>
          <w:tab w:val="left" w:pos="3402"/>
        </w:tabs>
        <w:spacing w:before="840" w:after="1080" w:line="300" w:lineRule="atLeast"/>
        <w:ind w:right="397"/>
        <w:rPr>
          <w:szCs w:val="22"/>
        </w:rPr>
      </w:pPr>
      <w:r w:rsidRPr="0034086C">
        <w:rPr>
          <w:szCs w:val="22"/>
        </w:rPr>
        <w:t>By His Excellency’s Command</w:t>
      </w:r>
    </w:p>
    <w:p w14:paraId="5A591EF0" w14:textId="77777777" w:rsidR="007A251A" w:rsidRPr="0034086C" w:rsidRDefault="007A251A" w:rsidP="00422B30">
      <w:pPr>
        <w:keepNext/>
        <w:tabs>
          <w:tab w:val="left" w:pos="3402"/>
        </w:tabs>
        <w:spacing w:before="480" w:line="300" w:lineRule="atLeast"/>
        <w:ind w:right="397"/>
        <w:rPr>
          <w:szCs w:val="22"/>
        </w:rPr>
      </w:pPr>
      <w:r>
        <w:rPr>
          <w:szCs w:val="22"/>
        </w:rPr>
        <w:t>Mark Butler</w:t>
      </w:r>
    </w:p>
    <w:p w14:paraId="2804B681" w14:textId="77777777" w:rsidR="007A251A" w:rsidRPr="001F2C7F" w:rsidRDefault="007A251A" w:rsidP="00422B30">
      <w:pPr>
        <w:pStyle w:val="SignCoverPageEnd"/>
        <w:rPr>
          <w:szCs w:val="22"/>
        </w:rPr>
      </w:pPr>
      <w:r>
        <w:rPr>
          <w:szCs w:val="22"/>
        </w:rPr>
        <w:t>Minister for Health and Aged Care</w:t>
      </w:r>
    </w:p>
    <w:p w14:paraId="57DA3A1E" w14:textId="77777777" w:rsidR="007A251A" w:rsidRDefault="007A251A" w:rsidP="00422B30"/>
    <w:p w14:paraId="69F48722" w14:textId="77777777" w:rsidR="007A251A" w:rsidRDefault="007A251A" w:rsidP="00422B30"/>
    <w:p w14:paraId="64F11551" w14:textId="77777777" w:rsidR="007A251A" w:rsidRDefault="007A251A" w:rsidP="00422B30"/>
    <w:p w14:paraId="0FCBA8D5" w14:textId="77777777" w:rsidR="0048364F" w:rsidRPr="00E1569E" w:rsidRDefault="0048364F" w:rsidP="0048364F">
      <w:pPr>
        <w:pStyle w:val="Header"/>
        <w:tabs>
          <w:tab w:val="clear" w:pos="4150"/>
          <w:tab w:val="clear" w:pos="8307"/>
        </w:tabs>
      </w:pPr>
      <w:r w:rsidRPr="00E1569E">
        <w:rPr>
          <w:rStyle w:val="CharAmSchNo"/>
        </w:rPr>
        <w:t xml:space="preserve"> </w:t>
      </w:r>
      <w:r w:rsidRPr="00E1569E">
        <w:rPr>
          <w:rStyle w:val="CharAmSchText"/>
        </w:rPr>
        <w:t xml:space="preserve"> </w:t>
      </w:r>
    </w:p>
    <w:p w14:paraId="1318B625" w14:textId="77777777" w:rsidR="0048364F" w:rsidRPr="00E1569E" w:rsidRDefault="0048364F" w:rsidP="0048364F">
      <w:pPr>
        <w:pStyle w:val="Header"/>
        <w:tabs>
          <w:tab w:val="clear" w:pos="4150"/>
          <w:tab w:val="clear" w:pos="8307"/>
        </w:tabs>
      </w:pPr>
      <w:r w:rsidRPr="00E1569E">
        <w:rPr>
          <w:rStyle w:val="CharAmPartNo"/>
        </w:rPr>
        <w:t xml:space="preserve"> </w:t>
      </w:r>
      <w:r w:rsidRPr="00E1569E">
        <w:rPr>
          <w:rStyle w:val="CharAmPartText"/>
        </w:rPr>
        <w:t xml:space="preserve"> </w:t>
      </w:r>
    </w:p>
    <w:p w14:paraId="361056D9" w14:textId="77777777" w:rsidR="0048364F" w:rsidRDefault="0048364F" w:rsidP="0048364F">
      <w:pPr>
        <w:sectPr w:rsidR="0048364F" w:rsidSect="006C2178">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2BE09F85" w14:textId="77777777" w:rsidR="00220A0C" w:rsidRDefault="0048364F" w:rsidP="0048364F">
      <w:pPr>
        <w:outlineLvl w:val="0"/>
        <w:rPr>
          <w:sz w:val="36"/>
        </w:rPr>
      </w:pPr>
      <w:r w:rsidRPr="007A1328">
        <w:rPr>
          <w:sz w:val="36"/>
        </w:rPr>
        <w:lastRenderedPageBreak/>
        <w:t>Contents</w:t>
      </w:r>
    </w:p>
    <w:p w14:paraId="63547F3D" w14:textId="5BAFE6D7" w:rsidR="00FB6D71" w:rsidRDefault="00FB6D7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FB6D71">
        <w:rPr>
          <w:noProof/>
        </w:rPr>
        <w:tab/>
      </w:r>
      <w:r w:rsidRPr="00FB6D71">
        <w:rPr>
          <w:noProof/>
        </w:rPr>
        <w:fldChar w:fldCharType="begin"/>
      </w:r>
      <w:r w:rsidRPr="00FB6D71">
        <w:rPr>
          <w:noProof/>
        </w:rPr>
        <w:instrText xml:space="preserve"> PAGEREF _Toc118800084 \h </w:instrText>
      </w:r>
      <w:r w:rsidRPr="00FB6D71">
        <w:rPr>
          <w:noProof/>
        </w:rPr>
      </w:r>
      <w:r w:rsidRPr="00FB6D71">
        <w:rPr>
          <w:noProof/>
        </w:rPr>
        <w:fldChar w:fldCharType="separate"/>
      </w:r>
      <w:r w:rsidR="009C49B6">
        <w:rPr>
          <w:noProof/>
        </w:rPr>
        <w:t>1</w:t>
      </w:r>
      <w:r w:rsidRPr="00FB6D71">
        <w:rPr>
          <w:noProof/>
        </w:rPr>
        <w:fldChar w:fldCharType="end"/>
      </w:r>
    </w:p>
    <w:p w14:paraId="3BA243C4" w14:textId="2105414F" w:rsidR="00FB6D71" w:rsidRDefault="00FB6D71">
      <w:pPr>
        <w:pStyle w:val="TOC5"/>
        <w:rPr>
          <w:rFonts w:asciiTheme="minorHAnsi" w:eastAsiaTheme="minorEastAsia" w:hAnsiTheme="minorHAnsi" w:cstheme="minorBidi"/>
          <w:noProof/>
          <w:kern w:val="0"/>
          <w:sz w:val="22"/>
          <w:szCs w:val="22"/>
        </w:rPr>
      </w:pPr>
      <w:r>
        <w:rPr>
          <w:noProof/>
        </w:rPr>
        <w:t>2</w:t>
      </w:r>
      <w:r>
        <w:rPr>
          <w:noProof/>
        </w:rPr>
        <w:tab/>
        <w:t>Commencement</w:t>
      </w:r>
      <w:r w:rsidRPr="00FB6D71">
        <w:rPr>
          <w:noProof/>
        </w:rPr>
        <w:tab/>
      </w:r>
      <w:r w:rsidRPr="00FB6D71">
        <w:rPr>
          <w:noProof/>
        </w:rPr>
        <w:fldChar w:fldCharType="begin"/>
      </w:r>
      <w:r w:rsidRPr="00FB6D71">
        <w:rPr>
          <w:noProof/>
        </w:rPr>
        <w:instrText xml:space="preserve"> PAGEREF _Toc118800085 \h </w:instrText>
      </w:r>
      <w:r w:rsidRPr="00FB6D71">
        <w:rPr>
          <w:noProof/>
        </w:rPr>
      </w:r>
      <w:r w:rsidRPr="00FB6D71">
        <w:rPr>
          <w:noProof/>
        </w:rPr>
        <w:fldChar w:fldCharType="separate"/>
      </w:r>
      <w:r w:rsidR="009C49B6">
        <w:rPr>
          <w:noProof/>
        </w:rPr>
        <w:t>1</w:t>
      </w:r>
      <w:r w:rsidRPr="00FB6D71">
        <w:rPr>
          <w:noProof/>
        </w:rPr>
        <w:fldChar w:fldCharType="end"/>
      </w:r>
    </w:p>
    <w:p w14:paraId="5B0E92AA" w14:textId="6856CFD3" w:rsidR="00FB6D71" w:rsidRDefault="00FB6D71">
      <w:pPr>
        <w:pStyle w:val="TOC5"/>
        <w:rPr>
          <w:rFonts w:asciiTheme="minorHAnsi" w:eastAsiaTheme="minorEastAsia" w:hAnsiTheme="minorHAnsi" w:cstheme="minorBidi"/>
          <w:noProof/>
          <w:kern w:val="0"/>
          <w:sz w:val="22"/>
          <w:szCs w:val="22"/>
        </w:rPr>
      </w:pPr>
      <w:r>
        <w:rPr>
          <w:noProof/>
        </w:rPr>
        <w:t>3</w:t>
      </w:r>
      <w:r>
        <w:rPr>
          <w:noProof/>
        </w:rPr>
        <w:tab/>
        <w:t>Authority</w:t>
      </w:r>
      <w:r w:rsidRPr="00FB6D71">
        <w:rPr>
          <w:noProof/>
        </w:rPr>
        <w:tab/>
      </w:r>
      <w:r w:rsidRPr="00FB6D71">
        <w:rPr>
          <w:noProof/>
        </w:rPr>
        <w:fldChar w:fldCharType="begin"/>
      </w:r>
      <w:r w:rsidRPr="00FB6D71">
        <w:rPr>
          <w:noProof/>
        </w:rPr>
        <w:instrText xml:space="preserve"> PAGEREF _Toc118800086 \h </w:instrText>
      </w:r>
      <w:r w:rsidRPr="00FB6D71">
        <w:rPr>
          <w:noProof/>
        </w:rPr>
      </w:r>
      <w:r w:rsidRPr="00FB6D71">
        <w:rPr>
          <w:noProof/>
        </w:rPr>
        <w:fldChar w:fldCharType="separate"/>
      </w:r>
      <w:r w:rsidR="009C49B6">
        <w:rPr>
          <w:noProof/>
        </w:rPr>
        <w:t>1</w:t>
      </w:r>
      <w:r w:rsidRPr="00FB6D71">
        <w:rPr>
          <w:noProof/>
        </w:rPr>
        <w:fldChar w:fldCharType="end"/>
      </w:r>
    </w:p>
    <w:p w14:paraId="591D6324" w14:textId="08B3CB35" w:rsidR="00FB6D71" w:rsidRDefault="00FB6D71">
      <w:pPr>
        <w:pStyle w:val="TOC5"/>
        <w:rPr>
          <w:rFonts w:asciiTheme="minorHAnsi" w:eastAsiaTheme="minorEastAsia" w:hAnsiTheme="minorHAnsi" w:cstheme="minorBidi"/>
          <w:noProof/>
          <w:kern w:val="0"/>
          <w:sz w:val="22"/>
          <w:szCs w:val="22"/>
        </w:rPr>
      </w:pPr>
      <w:r>
        <w:rPr>
          <w:noProof/>
        </w:rPr>
        <w:t>4</w:t>
      </w:r>
      <w:r>
        <w:rPr>
          <w:noProof/>
        </w:rPr>
        <w:tab/>
        <w:t>Schedules</w:t>
      </w:r>
      <w:r w:rsidRPr="00FB6D71">
        <w:rPr>
          <w:noProof/>
        </w:rPr>
        <w:tab/>
      </w:r>
      <w:r w:rsidRPr="00FB6D71">
        <w:rPr>
          <w:noProof/>
        </w:rPr>
        <w:fldChar w:fldCharType="begin"/>
      </w:r>
      <w:r w:rsidRPr="00FB6D71">
        <w:rPr>
          <w:noProof/>
        </w:rPr>
        <w:instrText xml:space="preserve"> PAGEREF _Toc118800087 \h </w:instrText>
      </w:r>
      <w:r w:rsidRPr="00FB6D71">
        <w:rPr>
          <w:noProof/>
        </w:rPr>
      </w:r>
      <w:r w:rsidRPr="00FB6D71">
        <w:rPr>
          <w:noProof/>
        </w:rPr>
        <w:fldChar w:fldCharType="separate"/>
      </w:r>
      <w:r w:rsidR="009C49B6">
        <w:rPr>
          <w:noProof/>
        </w:rPr>
        <w:t>1</w:t>
      </w:r>
      <w:r w:rsidRPr="00FB6D71">
        <w:rPr>
          <w:noProof/>
        </w:rPr>
        <w:fldChar w:fldCharType="end"/>
      </w:r>
    </w:p>
    <w:p w14:paraId="57713EAF" w14:textId="08E1906B" w:rsidR="00FB6D71" w:rsidRDefault="003F00BA">
      <w:pPr>
        <w:pStyle w:val="TOC6"/>
        <w:rPr>
          <w:rFonts w:asciiTheme="minorHAnsi" w:eastAsiaTheme="minorEastAsia" w:hAnsiTheme="minorHAnsi" w:cstheme="minorBidi"/>
          <w:b w:val="0"/>
          <w:noProof/>
          <w:kern w:val="0"/>
          <w:sz w:val="22"/>
          <w:szCs w:val="22"/>
        </w:rPr>
      </w:pPr>
      <w:r>
        <w:rPr>
          <w:noProof/>
        </w:rPr>
        <w:t>Schedule 1</w:t>
      </w:r>
      <w:r w:rsidR="00FB6D71">
        <w:rPr>
          <w:noProof/>
        </w:rPr>
        <w:t>—Amendments relating to medical devices</w:t>
      </w:r>
      <w:r w:rsidR="00FB6D71" w:rsidRPr="00FB6D71">
        <w:rPr>
          <w:b w:val="0"/>
          <w:noProof/>
          <w:sz w:val="18"/>
        </w:rPr>
        <w:tab/>
      </w:r>
      <w:r w:rsidR="00FB6D71" w:rsidRPr="00FB6D71">
        <w:rPr>
          <w:b w:val="0"/>
          <w:noProof/>
          <w:sz w:val="18"/>
        </w:rPr>
        <w:fldChar w:fldCharType="begin"/>
      </w:r>
      <w:r w:rsidR="00FB6D71" w:rsidRPr="00FB6D71">
        <w:rPr>
          <w:b w:val="0"/>
          <w:noProof/>
          <w:sz w:val="18"/>
        </w:rPr>
        <w:instrText xml:space="preserve"> PAGEREF _Toc118800088 \h </w:instrText>
      </w:r>
      <w:r w:rsidR="00FB6D71" w:rsidRPr="00FB6D71">
        <w:rPr>
          <w:b w:val="0"/>
          <w:noProof/>
          <w:sz w:val="18"/>
        </w:rPr>
      </w:r>
      <w:r w:rsidR="00FB6D71" w:rsidRPr="00FB6D71">
        <w:rPr>
          <w:b w:val="0"/>
          <w:noProof/>
          <w:sz w:val="18"/>
        </w:rPr>
        <w:fldChar w:fldCharType="separate"/>
      </w:r>
      <w:r w:rsidR="009C49B6">
        <w:rPr>
          <w:b w:val="0"/>
          <w:noProof/>
          <w:sz w:val="18"/>
        </w:rPr>
        <w:t>1</w:t>
      </w:r>
      <w:r w:rsidR="00FB6D71" w:rsidRPr="00FB6D71">
        <w:rPr>
          <w:b w:val="0"/>
          <w:noProof/>
          <w:sz w:val="18"/>
        </w:rPr>
        <w:fldChar w:fldCharType="end"/>
      </w:r>
    </w:p>
    <w:p w14:paraId="2E7E9AEA" w14:textId="2BB0E36A" w:rsidR="00FB6D71" w:rsidRDefault="00FB6D71">
      <w:pPr>
        <w:pStyle w:val="TOC9"/>
        <w:rPr>
          <w:rFonts w:asciiTheme="minorHAnsi" w:eastAsiaTheme="minorEastAsia" w:hAnsiTheme="minorHAnsi" w:cstheme="minorBidi"/>
          <w:i w:val="0"/>
          <w:noProof/>
          <w:kern w:val="0"/>
          <w:sz w:val="22"/>
          <w:szCs w:val="22"/>
        </w:rPr>
      </w:pPr>
      <w:r>
        <w:rPr>
          <w:noProof/>
        </w:rPr>
        <w:t>Therapeutic Goods (Medical Devices) Regulations 2002</w:t>
      </w:r>
      <w:r w:rsidRPr="00FB6D71">
        <w:rPr>
          <w:i w:val="0"/>
          <w:noProof/>
          <w:sz w:val="18"/>
        </w:rPr>
        <w:tab/>
      </w:r>
      <w:r w:rsidRPr="00FB6D71">
        <w:rPr>
          <w:i w:val="0"/>
          <w:noProof/>
          <w:sz w:val="18"/>
        </w:rPr>
        <w:fldChar w:fldCharType="begin"/>
      </w:r>
      <w:r w:rsidRPr="00FB6D71">
        <w:rPr>
          <w:i w:val="0"/>
          <w:noProof/>
          <w:sz w:val="18"/>
        </w:rPr>
        <w:instrText xml:space="preserve"> PAGEREF _Toc118800089 \h </w:instrText>
      </w:r>
      <w:r w:rsidRPr="00FB6D71">
        <w:rPr>
          <w:i w:val="0"/>
          <w:noProof/>
          <w:sz w:val="18"/>
        </w:rPr>
      </w:r>
      <w:r w:rsidRPr="00FB6D71">
        <w:rPr>
          <w:i w:val="0"/>
          <w:noProof/>
          <w:sz w:val="18"/>
        </w:rPr>
        <w:fldChar w:fldCharType="separate"/>
      </w:r>
      <w:r w:rsidR="009C49B6">
        <w:rPr>
          <w:i w:val="0"/>
          <w:noProof/>
          <w:sz w:val="18"/>
        </w:rPr>
        <w:t>1</w:t>
      </w:r>
      <w:r w:rsidRPr="00FB6D71">
        <w:rPr>
          <w:i w:val="0"/>
          <w:noProof/>
          <w:sz w:val="18"/>
        </w:rPr>
        <w:fldChar w:fldCharType="end"/>
      </w:r>
    </w:p>
    <w:p w14:paraId="4A09C698" w14:textId="7A72F46F" w:rsidR="00FB6D71" w:rsidRDefault="00FB6D71">
      <w:pPr>
        <w:pStyle w:val="TOC6"/>
        <w:rPr>
          <w:rFonts w:asciiTheme="minorHAnsi" w:eastAsiaTheme="minorEastAsia" w:hAnsiTheme="minorHAnsi" w:cstheme="minorBidi"/>
          <w:b w:val="0"/>
          <w:noProof/>
          <w:kern w:val="0"/>
          <w:sz w:val="22"/>
          <w:szCs w:val="22"/>
        </w:rPr>
      </w:pPr>
      <w:r>
        <w:rPr>
          <w:noProof/>
        </w:rPr>
        <w:t>Schedule 2—Amendments relating to medicines and fees</w:t>
      </w:r>
      <w:r w:rsidRPr="00FB6D71">
        <w:rPr>
          <w:b w:val="0"/>
          <w:noProof/>
          <w:sz w:val="18"/>
        </w:rPr>
        <w:tab/>
      </w:r>
      <w:r w:rsidRPr="00FB6D71">
        <w:rPr>
          <w:b w:val="0"/>
          <w:noProof/>
          <w:sz w:val="18"/>
        </w:rPr>
        <w:fldChar w:fldCharType="begin"/>
      </w:r>
      <w:r w:rsidRPr="00FB6D71">
        <w:rPr>
          <w:b w:val="0"/>
          <w:noProof/>
          <w:sz w:val="18"/>
        </w:rPr>
        <w:instrText xml:space="preserve"> PAGEREF _Toc118800091 \h </w:instrText>
      </w:r>
      <w:r w:rsidRPr="00FB6D71">
        <w:rPr>
          <w:b w:val="0"/>
          <w:noProof/>
          <w:sz w:val="18"/>
        </w:rPr>
      </w:r>
      <w:r w:rsidRPr="00FB6D71">
        <w:rPr>
          <w:b w:val="0"/>
          <w:noProof/>
          <w:sz w:val="18"/>
        </w:rPr>
        <w:fldChar w:fldCharType="separate"/>
      </w:r>
      <w:r w:rsidR="009C49B6">
        <w:rPr>
          <w:b w:val="0"/>
          <w:noProof/>
          <w:sz w:val="18"/>
        </w:rPr>
        <w:t>1</w:t>
      </w:r>
      <w:r w:rsidRPr="00FB6D71">
        <w:rPr>
          <w:b w:val="0"/>
          <w:noProof/>
          <w:sz w:val="18"/>
        </w:rPr>
        <w:fldChar w:fldCharType="end"/>
      </w:r>
    </w:p>
    <w:p w14:paraId="741488E9" w14:textId="66769BE5" w:rsidR="00FB6D71" w:rsidRDefault="00FB6D71">
      <w:pPr>
        <w:pStyle w:val="TOC9"/>
        <w:rPr>
          <w:rFonts w:asciiTheme="minorHAnsi" w:eastAsiaTheme="minorEastAsia" w:hAnsiTheme="minorHAnsi" w:cstheme="minorBidi"/>
          <w:i w:val="0"/>
          <w:noProof/>
          <w:kern w:val="0"/>
          <w:sz w:val="22"/>
          <w:szCs w:val="22"/>
        </w:rPr>
      </w:pPr>
      <w:r>
        <w:rPr>
          <w:noProof/>
        </w:rPr>
        <w:t>Therapeutic Goods Regulations 1990</w:t>
      </w:r>
      <w:r w:rsidRPr="00FB6D71">
        <w:rPr>
          <w:i w:val="0"/>
          <w:noProof/>
          <w:sz w:val="18"/>
        </w:rPr>
        <w:tab/>
      </w:r>
      <w:r w:rsidRPr="00FB6D71">
        <w:rPr>
          <w:i w:val="0"/>
          <w:noProof/>
          <w:sz w:val="18"/>
        </w:rPr>
        <w:fldChar w:fldCharType="begin"/>
      </w:r>
      <w:r w:rsidRPr="00FB6D71">
        <w:rPr>
          <w:i w:val="0"/>
          <w:noProof/>
          <w:sz w:val="18"/>
        </w:rPr>
        <w:instrText xml:space="preserve"> PAGEREF _Toc118800092 \h </w:instrText>
      </w:r>
      <w:r w:rsidRPr="00FB6D71">
        <w:rPr>
          <w:i w:val="0"/>
          <w:noProof/>
          <w:sz w:val="18"/>
        </w:rPr>
      </w:r>
      <w:r w:rsidRPr="00FB6D71">
        <w:rPr>
          <w:i w:val="0"/>
          <w:noProof/>
          <w:sz w:val="18"/>
        </w:rPr>
        <w:fldChar w:fldCharType="separate"/>
      </w:r>
      <w:r w:rsidR="009C49B6">
        <w:rPr>
          <w:i w:val="0"/>
          <w:noProof/>
          <w:sz w:val="18"/>
        </w:rPr>
        <w:t>1</w:t>
      </w:r>
      <w:r w:rsidRPr="00FB6D71">
        <w:rPr>
          <w:i w:val="0"/>
          <w:noProof/>
          <w:sz w:val="18"/>
        </w:rPr>
        <w:fldChar w:fldCharType="end"/>
      </w:r>
    </w:p>
    <w:p w14:paraId="52D54EBA" w14:textId="77777777" w:rsidR="0048364F" w:rsidRPr="007A1328" w:rsidRDefault="00FB6D71" w:rsidP="0048364F">
      <w:r>
        <w:fldChar w:fldCharType="end"/>
      </w:r>
    </w:p>
    <w:p w14:paraId="5C3A079E" w14:textId="77777777" w:rsidR="0048364F" w:rsidRDefault="0048364F" w:rsidP="0048364F">
      <w:pPr>
        <w:sectPr w:rsidR="0048364F" w:rsidSect="006C2178">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39430E44" w14:textId="77777777" w:rsidR="0048364F" w:rsidRDefault="0048364F" w:rsidP="0048364F">
      <w:pPr>
        <w:pStyle w:val="ActHead5"/>
      </w:pPr>
      <w:bookmarkStart w:id="0" w:name="_Toc118800084"/>
      <w:r w:rsidRPr="00E1569E">
        <w:rPr>
          <w:rStyle w:val="CharSectno"/>
        </w:rPr>
        <w:lastRenderedPageBreak/>
        <w:t>1</w:t>
      </w:r>
      <w:r>
        <w:t xml:space="preserve">  </w:t>
      </w:r>
      <w:r w:rsidR="004F676E">
        <w:t>Name</w:t>
      </w:r>
      <w:bookmarkEnd w:id="0"/>
    </w:p>
    <w:p w14:paraId="5C8726AF" w14:textId="77777777" w:rsidR="0048364F" w:rsidRDefault="0048364F" w:rsidP="0048364F">
      <w:pPr>
        <w:pStyle w:val="subsection"/>
      </w:pPr>
      <w:r>
        <w:tab/>
      </w:r>
      <w:r>
        <w:tab/>
      </w:r>
      <w:r w:rsidR="003A5133">
        <w:t>This instrument is</w:t>
      </w:r>
      <w:r>
        <w:t xml:space="preserve"> the</w:t>
      </w:r>
      <w:r w:rsidR="003A5133">
        <w:t xml:space="preserve"> </w:t>
      </w:r>
      <w:r w:rsidR="003A5133" w:rsidRPr="003A5133">
        <w:rPr>
          <w:i/>
        </w:rPr>
        <w:t xml:space="preserve">Therapeutic Goods Legislation Amendment (2022 Measures No. 3) </w:t>
      </w:r>
      <w:r w:rsidR="007A251A">
        <w:rPr>
          <w:i/>
        </w:rPr>
        <w:t>Regulations 2</w:t>
      </w:r>
      <w:r w:rsidR="003A5133" w:rsidRPr="003A5133">
        <w:rPr>
          <w:i/>
        </w:rPr>
        <w:t>022</w:t>
      </w:r>
      <w:r>
        <w:t>.</w:t>
      </w:r>
    </w:p>
    <w:p w14:paraId="47E3FB90" w14:textId="77777777" w:rsidR="004F676E" w:rsidRDefault="0048364F" w:rsidP="005452CC">
      <w:pPr>
        <w:pStyle w:val="ActHead5"/>
      </w:pPr>
      <w:bookmarkStart w:id="1" w:name="_Toc118800085"/>
      <w:r w:rsidRPr="00E1569E">
        <w:rPr>
          <w:rStyle w:val="CharSectno"/>
        </w:rPr>
        <w:t>2</w:t>
      </w:r>
      <w:r>
        <w:t xml:space="preserve">  Commencement</w:t>
      </w:r>
      <w:bookmarkEnd w:id="1"/>
    </w:p>
    <w:p w14:paraId="1036A40C" w14:textId="77777777" w:rsidR="005452CC" w:rsidRDefault="005452CC" w:rsidP="006B27BB">
      <w:pPr>
        <w:pStyle w:val="subsection"/>
      </w:pPr>
      <w:r>
        <w:tab/>
        <w:t>(1)</w:t>
      </w:r>
      <w:r>
        <w:tab/>
        <w:t xml:space="preserve">Each provision of </w:t>
      </w:r>
      <w:r w:rsidR="003A5133">
        <w:t>this instrument</w:t>
      </w:r>
      <w:r>
        <w:t xml:space="preserve"> specified in column 1 of the table commences, or is taken to have commenced, in accordance with column 2 of the table. Any other statement in column 2 has effect according to its terms.</w:t>
      </w:r>
    </w:p>
    <w:p w14:paraId="1B4026F2" w14:textId="77777777" w:rsidR="005452CC" w:rsidRDefault="005452CC" w:rsidP="006B27BB">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14:paraId="5C969804" w14:textId="77777777" w:rsidTr="00AD7252">
        <w:trPr>
          <w:tblHeader/>
        </w:trPr>
        <w:tc>
          <w:tcPr>
            <w:tcW w:w="8364" w:type="dxa"/>
            <w:gridSpan w:val="3"/>
            <w:tcBorders>
              <w:top w:val="single" w:sz="12" w:space="0" w:color="auto"/>
              <w:bottom w:val="single" w:sz="6" w:space="0" w:color="auto"/>
            </w:tcBorders>
            <w:shd w:val="clear" w:color="auto" w:fill="auto"/>
            <w:hideMark/>
          </w:tcPr>
          <w:p w14:paraId="0722C971" w14:textId="77777777" w:rsidR="005452CC" w:rsidRPr="00416235" w:rsidRDefault="005452CC" w:rsidP="006B27BB">
            <w:pPr>
              <w:pStyle w:val="TableHeading"/>
            </w:pPr>
            <w:r w:rsidRPr="00416235">
              <w:t>Commencement information</w:t>
            </w:r>
          </w:p>
        </w:tc>
      </w:tr>
      <w:tr w:rsidR="005452CC" w:rsidRPr="00416235" w14:paraId="550C3F88" w14:textId="77777777" w:rsidTr="00AD7252">
        <w:trPr>
          <w:tblHeader/>
        </w:trPr>
        <w:tc>
          <w:tcPr>
            <w:tcW w:w="2127" w:type="dxa"/>
            <w:tcBorders>
              <w:top w:val="single" w:sz="6" w:space="0" w:color="auto"/>
              <w:bottom w:val="single" w:sz="6" w:space="0" w:color="auto"/>
            </w:tcBorders>
            <w:shd w:val="clear" w:color="auto" w:fill="auto"/>
            <w:hideMark/>
          </w:tcPr>
          <w:p w14:paraId="1852B27D" w14:textId="77777777" w:rsidR="005452CC" w:rsidRPr="00416235" w:rsidRDefault="005452CC" w:rsidP="006B27BB">
            <w:pPr>
              <w:pStyle w:val="TableHeading"/>
            </w:pPr>
            <w:r w:rsidRPr="00416235">
              <w:t>Column 1</w:t>
            </w:r>
          </w:p>
        </w:tc>
        <w:tc>
          <w:tcPr>
            <w:tcW w:w="4394" w:type="dxa"/>
            <w:tcBorders>
              <w:top w:val="single" w:sz="6" w:space="0" w:color="auto"/>
              <w:bottom w:val="single" w:sz="6" w:space="0" w:color="auto"/>
            </w:tcBorders>
            <w:shd w:val="clear" w:color="auto" w:fill="auto"/>
            <w:hideMark/>
          </w:tcPr>
          <w:p w14:paraId="37962181" w14:textId="77777777" w:rsidR="005452CC" w:rsidRPr="00416235" w:rsidRDefault="005452CC" w:rsidP="006B27BB">
            <w:pPr>
              <w:pStyle w:val="TableHeading"/>
            </w:pPr>
            <w:r w:rsidRPr="00416235">
              <w:t>Column 2</w:t>
            </w:r>
          </w:p>
        </w:tc>
        <w:tc>
          <w:tcPr>
            <w:tcW w:w="1843" w:type="dxa"/>
            <w:tcBorders>
              <w:top w:val="single" w:sz="6" w:space="0" w:color="auto"/>
              <w:bottom w:val="single" w:sz="6" w:space="0" w:color="auto"/>
            </w:tcBorders>
            <w:shd w:val="clear" w:color="auto" w:fill="auto"/>
            <w:hideMark/>
          </w:tcPr>
          <w:p w14:paraId="15901F44" w14:textId="77777777" w:rsidR="005452CC" w:rsidRPr="00416235" w:rsidRDefault="005452CC" w:rsidP="006B27BB">
            <w:pPr>
              <w:pStyle w:val="TableHeading"/>
            </w:pPr>
            <w:r w:rsidRPr="00416235">
              <w:t>Column 3</w:t>
            </w:r>
          </w:p>
        </w:tc>
      </w:tr>
      <w:tr w:rsidR="005452CC" w14:paraId="29F5382E" w14:textId="77777777" w:rsidTr="00AD7252">
        <w:trPr>
          <w:tblHeader/>
        </w:trPr>
        <w:tc>
          <w:tcPr>
            <w:tcW w:w="2127" w:type="dxa"/>
            <w:tcBorders>
              <w:top w:val="single" w:sz="6" w:space="0" w:color="auto"/>
              <w:bottom w:val="single" w:sz="12" w:space="0" w:color="auto"/>
            </w:tcBorders>
            <w:shd w:val="clear" w:color="auto" w:fill="auto"/>
            <w:hideMark/>
          </w:tcPr>
          <w:p w14:paraId="51EE175A" w14:textId="77777777" w:rsidR="005452CC" w:rsidRPr="00416235" w:rsidRDefault="005452CC" w:rsidP="006B27BB">
            <w:pPr>
              <w:pStyle w:val="TableHeading"/>
            </w:pPr>
            <w:r w:rsidRPr="00416235">
              <w:t>Provisions</w:t>
            </w:r>
          </w:p>
        </w:tc>
        <w:tc>
          <w:tcPr>
            <w:tcW w:w="4394" w:type="dxa"/>
            <w:tcBorders>
              <w:top w:val="single" w:sz="6" w:space="0" w:color="auto"/>
              <w:bottom w:val="single" w:sz="12" w:space="0" w:color="auto"/>
            </w:tcBorders>
            <w:shd w:val="clear" w:color="auto" w:fill="auto"/>
            <w:hideMark/>
          </w:tcPr>
          <w:p w14:paraId="3602B475" w14:textId="77777777" w:rsidR="005452CC" w:rsidRPr="00416235" w:rsidRDefault="005452CC" w:rsidP="006B27BB">
            <w:pPr>
              <w:pStyle w:val="TableHeading"/>
            </w:pPr>
            <w:r w:rsidRPr="00416235">
              <w:t>Commencement</w:t>
            </w:r>
          </w:p>
        </w:tc>
        <w:tc>
          <w:tcPr>
            <w:tcW w:w="1843" w:type="dxa"/>
            <w:tcBorders>
              <w:top w:val="single" w:sz="6" w:space="0" w:color="auto"/>
              <w:bottom w:val="single" w:sz="12" w:space="0" w:color="auto"/>
            </w:tcBorders>
            <w:shd w:val="clear" w:color="auto" w:fill="auto"/>
            <w:hideMark/>
          </w:tcPr>
          <w:p w14:paraId="20D1C166" w14:textId="77777777" w:rsidR="005452CC" w:rsidRPr="00416235" w:rsidRDefault="005452CC" w:rsidP="006B27BB">
            <w:pPr>
              <w:pStyle w:val="TableHeading"/>
            </w:pPr>
            <w:r w:rsidRPr="00416235">
              <w:t>Date/Details</w:t>
            </w:r>
          </w:p>
        </w:tc>
      </w:tr>
      <w:tr w:rsidR="005452CC" w14:paraId="4AABF4A6" w14:textId="77777777" w:rsidTr="00AD7252">
        <w:tc>
          <w:tcPr>
            <w:tcW w:w="2127" w:type="dxa"/>
            <w:tcBorders>
              <w:top w:val="single" w:sz="12" w:space="0" w:color="auto"/>
              <w:bottom w:val="single" w:sz="12" w:space="0" w:color="auto"/>
            </w:tcBorders>
            <w:shd w:val="clear" w:color="auto" w:fill="auto"/>
            <w:hideMark/>
          </w:tcPr>
          <w:p w14:paraId="3F78F32F" w14:textId="77777777" w:rsidR="005452CC" w:rsidRDefault="005452CC" w:rsidP="00AD7252">
            <w:pPr>
              <w:pStyle w:val="Tabletext"/>
            </w:pPr>
            <w:r>
              <w:t xml:space="preserve">1.  </w:t>
            </w:r>
            <w:r w:rsidR="00AD7252">
              <w:t xml:space="preserve">The whole of </w:t>
            </w:r>
            <w:r w:rsidR="003A5133">
              <w:t>this instrument</w:t>
            </w:r>
          </w:p>
        </w:tc>
        <w:tc>
          <w:tcPr>
            <w:tcW w:w="4394" w:type="dxa"/>
            <w:tcBorders>
              <w:top w:val="single" w:sz="12" w:space="0" w:color="auto"/>
              <w:bottom w:val="single" w:sz="12" w:space="0" w:color="auto"/>
            </w:tcBorders>
            <w:shd w:val="clear" w:color="auto" w:fill="auto"/>
            <w:hideMark/>
          </w:tcPr>
          <w:p w14:paraId="1E162DF0" w14:textId="77777777" w:rsidR="005452CC" w:rsidRDefault="005452CC" w:rsidP="005452CC">
            <w:pPr>
              <w:pStyle w:val="Tabletext"/>
            </w:pPr>
            <w:r>
              <w:t xml:space="preserve">The day after </w:t>
            </w:r>
            <w:r w:rsidR="003A5133">
              <w:t>this instrument is</w:t>
            </w:r>
            <w:r>
              <w:t xml:space="preserve"> registered.</w:t>
            </w:r>
          </w:p>
        </w:tc>
        <w:tc>
          <w:tcPr>
            <w:tcW w:w="1843" w:type="dxa"/>
            <w:tcBorders>
              <w:top w:val="single" w:sz="12" w:space="0" w:color="auto"/>
              <w:bottom w:val="single" w:sz="12" w:space="0" w:color="auto"/>
            </w:tcBorders>
            <w:shd w:val="clear" w:color="auto" w:fill="auto"/>
          </w:tcPr>
          <w:p w14:paraId="53ED1E30" w14:textId="0BA2B73E" w:rsidR="005452CC" w:rsidRDefault="009C49B6">
            <w:pPr>
              <w:pStyle w:val="Tabletext"/>
            </w:pPr>
            <w:r>
              <w:t>20 December 2022</w:t>
            </w:r>
            <w:bookmarkStart w:id="2" w:name="_GoBack"/>
            <w:bookmarkEnd w:id="2"/>
          </w:p>
        </w:tc>
      </w:tr>
    </w:tbl>
    <w:p w14:paraId="41D55CA5" w14:textId="77777777" w:rsidR="005452CC" w:rsidRPr="001E6DD6" w:rsidRDefault="005452CC" w:rsidP="006B27BB">
      <w:pPr>
        <w:pStyle w:val="notetext"/>
      </w:pPr>
      <w:r w:rsidRPr="005F477A">
        <w:rPr>
          <w:snapToGrid w:val="0"/>
          <w:lang w:eastAsia="en-US"/>
        </w:rPr>
        <w:t>Note:</w:t>
      </w:r>
      <w:r w:rsidRPr="005F477A">
        <w:rPr>
          <w:snapToGrid w:val="0"/>
          <w:lang w:eastAsia="en-US"/>
        </w:rPr>
        <w:tab/>
        <w:t xml:space="preserve">This table relates only to the provisions of </w:t>
      </w:r>
      <w:r w:rsidR="003A5133">
        <w:rPr>
          <w:snapToGrid w:val="0"/>
          <w:lang w:eastAsia="en-US"/>
        </w:rPr>
        <w:t>this instrument</w:t>
      </w:r>
      <w:r>
        <w:t xml:space="preserve">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w:t>
      </w:r>
      <w:r w:rsidR="003A5133">
        <w:rPr>
          <w:snapToGrid w:val="0"/>
          <w:lang w:eastAsia="en-US"/>
        </w:rPr>
        <w:t>this instrument</w:t>
      </w:r>
      <w:r w:rsidRPr="005F477A">
        <w:rPr>
          <w:snapToGrid w:val="0"/>
          <w:lang w:eastAsia="en-US"/>
        </w:rPr>
        <w:t>.</w:t>
      </w:r>
    </w:p>
    <w:p w14:paraId="315005B3" w14:textId="77777777" w:rsidR="005452CC" w:rsidRDefault="005452CC" w:rsidP="004F676E">
      <w:pPr>
        <w:pStyle w:val="subsection"/>
      </w:pPr>
      <w:r>
        <w:tab/>
        <w:t>(2)</w:t>
      </w:r>
      <w:r>
        <w:tab/>
      </w:r>
      <w:r w:rsidRPr="005F477A">
        <w:t xml:space="preserve">Any information in </w:t>
      </w:r>
      <w:r>
        <w:t>c</w:t>
      </w:r>
      <w:r w:rsidRPr="005F477A">
        <w:t xml:space="preserve">olumn 3 of the table is not part of </w:t>
      </w:r>
      <w:r w:rsidR="003A5133">
        <w:t>this instrument</w:t>
      </w:r>
      <w:r w:rsidRPr="005F477A">
        <w:t xml:space="preserve">. Information may be inserted in this column, or information in it may be edited, in any published version of </w:t>
      </w:r>
      <w:r w:rsidR="003A5133">
        <w:t>this instrument</w:t>
      </w:r>
      <w:r w:rsidRPr="005F477A">
        <w:t>.</w:t>
      </w:r>
    </w:p>
    <w:p w14:paraId="65F7831C" w14:textId="77777777" w:rsidR="00BF6650" w:rsidRDefault="00BF6650" w:rsidP="00BF6650">
      <w:pPr>
        <w:pStyle w:val="ActHead5"/>
      </w:pPr>
      <w:bookmarkStart w:id="3" w:name="_Toc118800086"/>
      <w:r w:rsidRPr="00E1569E">
        <w:rPr>
          <w:rStyle w:val="CharSectno"/>
        </w:rPr>
        <w:t>3</w:t>
      </w:r>
      <w:r>
        <w:t xml:space="preserve">  Authority</w:t>
      </w:r>
      <w:bookmarkEnd w:id="3"/>
    </w:p>
    <w:p w14:paraId="636DB644" w14:textId="77777777" w:rsidR="00BF6650" w:rsidRPr="007769D4" w:rsidRDefault="00BF6650" w:rsidP="00BF6650">
      <w:pPr>
        <w:pStyle w:val="subsection"/>
      </w:pPr>
      <w:r>
        <w:tab/>
      </w:r>
      <w:r>
        <w:tab/>
      </w:r>
      <w:r w:rsidR="003A5133">
        <w:t>This instrument is</w:t>
      </w:r>
      <w:r>
        <w:t xml:space="preserve"> made under the </w:t>
      </w:r>
      <w:r w:rsidR="003A5133" w:rsidRPr="003A5133">
        <w:rPr>
          <w:i/>
        </w:rPr>
        <w:t>Therapeutic Goods Act 1989</w:t>
      </w:r>
      <w:r w:rsidR="00546FA3" w:rsidRPr="00036E24">
        <w:t>.</w:t>
      </w:r>
    </w:p>
    <w:p w14:paraId="02F63A87" w14:textId="77777777" w:rsidR="00557C7A" w:rsidRDefault="00BF6650" w:rsidP="00557C7A">
      <w:pPr>
        <w:pStyle w:val="ActHead5"/>
      </w:pPr>
      <w:bookmarkStart w:id="4" w:name="_Toc118800087"/>
      <w:r w:rsidRPr="00E1569E">
        <w:rPr>
          <w:rStyle w:val="CharSectno"/>
        </w:rPr>
        <w:t>4</w:t>
      </w:r>
      <w:r w:rsidR="00557C7A">
        <w:t xml:space="preserve">  </w:t>
      </w:r>
      <w:r w:rsidR="00083F48">
        <w:t>Schedules</w:t>
      </w:r>
      <w:bookmarkEnd w:id="4"/>
    </w:p>
    <w:p w14:paraId="3B300F21" w14:textId="77777777" w:rsidR="00557C7A" w:rsidRDefault="00557C7A" w:rsidP="00557C7A">
      <w:pPr>
        <w:pStyle w:val="subsection"/>
      </w:pPr>
      <w:r>
        <w:tab/>
      </w:r>
      <w:r>
        <w:tab/>
      </w:r>
      <w:r w:rsidR="00083F48">
        <w:t xml:space="preserve">Each </w:t>
      </w:r>
      <w:r w:rsidR="00160BD7">
        <w:t>instrument</w:t>
      </w:r>
      <w:r w:rsidR="00083F48">
        <w:t xml:space="preserve"> that is specified in a Schedule to </w:t>
      </w:r>
      <w:r w:rsidR="003A5133">
        <w:t>this instrument</w:t>
      </w:r>
      <w:r w:rsidR="00083F48">
        <w:t xml:space="preserve"> is amended or repealed as set out in the applicable items </w:t>
      </w:r>
      <w:r w:rsidR="00083F48" w:rsidRPr="00083F48">
        <w:t xml:space="preserve">in the Schedule concerned, and any other item in a Schedule to </w:t>
      </w:r>
      <w:r w:rsidR="003A5133">
        <w:t>this instrument</w:t>
      </w:r>
      <w:r w:rsidR="00083F48" w:rsidRPr="00083F48">
        <w:t xml:space="preserve"> has effect according to its terms.</w:t>
      </w:r>
    </w:p>
    <w:p w14:paraId="3DC146C6" w14:textId="77777777" w:rsidR="0048364F" w:rsidRDefault="003F00BA" w:rsidP="009C5989">
      <w:pPr>
        <w:pStyle w:val="ActHead6"/>
        <w:pageBreakBefore/>
      </w:pPr>
      <w:bookmarkStart w:id="5" w:name="_Toc118800088"/>
      <w:bookmarkStart w:id="6" w:name="_Hlk118468525"/>
      <w:r w:rsidRPr="00E1569E">
        <w:rPr>
          <w:rStyle w:val="CharAmSchNo"/>
        </w:rPr>
        <w:lastRenderedPageBreak/>
        <w:t>Schedule 1</w:t>
      </w:r>
      <w:r w:rsidR="0048364F">
        <w:t>—</w:t>
      </w:r>
      <w:r w:rsidR="00460499" w:rsidRPr="00E1569E">
        <w:rPr>
          <w:rStyle w:val="CharAmSchText"/>
        </w:rPr>
        <w:t>Amendments</w:t>
      </w:r>
      <w:r w:rsidR="003A5133" w:rsidRPr="00E1569E">
        <w:rPr>
          <w:rStyle w:val="CharAmSchText"/>
        </w:rPr>
        <w:t xml:space="preserve"> </w:t>
      </w:r>
      <w:r w:rsidR="008C59AD" w:rsidRPr="00E1569E">
        <w:rPr>
          <w:rStyle w:val="CharAmSchText"/>
        </w:rPr>
        <w:t xml:space="preserve">relating </w:t>
      </w:r>
      <w:r w:rsidR="003A5133" w:rsidRPr="00E1569E">
        <w:rPr>
          <w:rStyle w:val="CharAmSchText"/>
        </w:rPr>
        <w:t>to medical devices</w:t>
      </w:r>
      <w:bookmarkEnd w:id="5"/>
    </w:p>
    <w:p w14:paraId="3AC4E5FC" w14:textId="77777777" w:rsidR="0004044E" w:rsidRPr="00E1569E" w:rsidRDefault="0004044E" w:rsidP="0004044E">
      <w:pPr>
        <w:pStyle w:val="Header"/>
      </w:pPr>
      <w:r w:rsidRPr="00E1569E">
        <w:rPr>
          <w:rStyle w:val="CharAmPartNo"/>
        </w:rPr>
        <w:t xml:space="preserve"> </w:t>
      </w:r>
      <w:r w:rsidRPr="00E1569E">
        <w:rPr>
          <w:rStyle w:val="CharAmPartText"/>
        </w:rPr>
        <w:t xml:space="preserve"> </w:t>
      </w:r>
    </w:p>
    <w:p w14:paraId="2EB7B609" w14:textId="77777777" w:rsidR="0084172C" w:rsidRDefault="0047703B" w:rsidP="00EA0D36">
      <w:pPr>
        <w:pStyle w:val="ActHead9"/>
      </w:pPr>
      <w:bookmarkStart w:id="7" w:name="_Toc118800089"/>
      <w:r w:rsidRPr="0047703B">
        <w:t xml:space="preserve">Therapeutic Goods (Medical Devices) </w:t>
      </w:r>
      <w:r w:rsidR="007A251A">
        <w:t>Regulations 2</w:t>
      </w:r>
      <w:r w:rsidRPr="0047703B">
        <w:t>002</w:t>
      </w:r>
      <w:bookmarkEnd w:id="7"/>
    </w:p>
    <w:p w14:paraId="58CF47AB" w14:textId="77777777" w:rsidR="003476CC" w:rsidRDefault="003476CC" w:rsidP="003A5133">
      <w:pPr>
        <w:pStyle w:val="ItemHead"/>
      </w:pPr>
      <w:r>
        <w:t xml:space="preserve">1  </w:t>
      </w:r>
      <w:r w:rsidR="007A251A">
        <w:t>Subparagraph 9</w:t>
      </w:r>
      <w:r>
        <w:t>.1AA(3)(b)(ii</w:t>
      </w:r>
      <w:r w:rsidR="00196817">
        <w:t>i</w:t>
      </w:r>
      <w:r>
        <w:t>)</w:t>
      </w:r>
    </w:p>
    <w:p w14:paraId="22FD4124" w14:textId="77777777" w:rsidR="003476CC" w:rsidRPr="003476CC" w:rsidRDefault="003476CC" w:rsidP="003476CC">
      <w:pPr>
        <w:pStyle w:val="Item"/>
      </w:pPr>
      <w:r>
        <w:t>Omit “</w:t>
      </w:r>
      <w:r w:rsidRPr="003476CC">
        <w:t>European Union; and</w:t>
      </w:r>
      <w:r>
        <w:t>”; substitute “</w:t>
      </w:r>
      <w:r w:rsidRPr="003476CC">
        <w:t>European Union</w:t>
      </w:r>
      <w:r>
        <w:t>;”.</w:t>
      </w:r>
    </w:p>
    <w:p w14:paraId="68B8C9A2" w14:textId="77777777" w:rsidR="003476CC" w:rsidRDefault="003476CC" w:rsidP="003A5133">
      <w:pPr>
        <w:pStyle w:val="ItemHead"/>
      </w:pPr>
      <w:r>
        <w:t xml:space="preserve">2  At the end of </w:t>
      </w:r>
      <w:r w:rsidR="007A251A">
        <w:t>paragraph 9</w:t>
      </w:r>
      <w:r>
        <w:t>.1AA(3)(b)</w:t>
      </w:r>
    </w:p>
    <w:p w14:paraId="141C379A" w14:textId="77777777" w:rsidR="003476CC" w:rsidRDefault="003476CC" w:rsidP="003476CC">
      <w:pPr>
        <w:pStyle w:val="Item"/>
      </w:pPr>
      <w:r>
        <w:t>Add:</w:t>
      </w:r>
    </w:p>
    <w:p w14:paraId="198DCA11" w14:textId="77777777" w:rsidR="003476CC" w:rsidRDefault="003476CC" w:rsidP="003476CC">
      <w:pPr>
        <w:pStyle w:val="paragraphsub"/>
        <w:rPr>
          <w:color w:val="000000"/>
          <w:szCs w:val="22"/>
          <w:shd w:val="clear" w:color="auto" w:fill="FFFFFF"/>
        </w:rPr>
      </w:pPr>
      <w:r>
        <w:tab/>
        <w:t>(iv)</w:t>
      </w:r>
      <w:r>
        <w:tab/>
      </w:r>
      <w:r>
        <w:rPr>
          <w:color w:val="000000"/>
          <w:szCs w:val="22"/>
          <w:shd w:val="clear" w:color="auto" w:fill="FFFFFF"/>
        </w:rPr>
        <w:t>ISO 13485</w:t>
      </w:r>
      <w:r w:rsidR="003F7FEE">
        <w:rPr>
          <w:color w:val="000000"/>
          <w:szCs w:val="22"/>
          <w:shd w:val="clear" w:color="auto" w:fill="FFFFFF"/>
        </w:rPr>
        <w:t>,</w:t>
      </w:r>
      <w:r>
        <w:rPr>
          <w:color w:val="000000"/>
          <w:szCs w:val="22"/>
          <w:shd w:val="clear" w:color="auto" w:fill="FFFFFF"/>
        </w:rPr>
        <w:t> </w:t>
      </w:r>
      <w:r>
        <w:rPr>
          <w:i/>
          <w:iCs/>
          <w:color w:val="000000"/>
          <w:szCs w:val="22"/>
          <w:shd w:val="clear" w:color="auto" w:fill="FFFFFF"/>
        </w:rPr>
        <w:t>Medical devices</w:t>
      </w:r>
      <w:r w:rsidR="00E1569E" w:rsidRPr="003F00BA">
        <w:t>—</w:t>
      </w:r>
      <w:r>
        <w:rPr>
          <w:i/>
          <w:iCs/>
          <w:color w:val="000000"/>
          <w:szCs w:val="22"/>
          <w:shd w:val="clear" w:color="auto" w:fill="FFFFFF"/>
        </w:rPr>
        <w:t>Quality management systems</w:t>
      </w:r>
      <w:r w:rsidR="00E1569E" w:rsidRPr="003F00BA">
        <w:t>—</w:t>
      </w:r>
      <w:r>
        <w:rPr>
          <w:i/>
          <w:iCs/>
          <w:color w:val="000000"/>
          <w:szCs w:val="22"/>
          <w:shd w:val="clear" w:color="auto" w:fill="FFFFFF"/>
        </w:rPr>
        <w:t>Requirements for regulatory purposes</w:t>
      </w:r>
      <w:r w:rsidR="001209F5">
        <w:rPr>
          <w:iCs/>
          <w:color w:val="000000"/>
          <w:szCs w:val="22"/>
          <w:shd w:val="clear" w:color="auto" w:fill="FFFFFF"/>
        </w:rPr>
        <w:t>, published</w:t>
      </w:r>
      <w:r w:rsidR="001209F5" w:rsidRPr="00344158">
        <w:t xml:space="preserve"> by the International Organization for Standardization</w:t>
      </w:r>
      <w:r>
        <w:rPr>
          <w:color w:val="000000"/>
          <w:szCs w:val="22"/>
          <w:shd w:val="clear" w:color="auto" w:fill="FFFFFF"/>
        </w:rPr>
        <w:t>; and</w:t>
      </w:r>
    </w:p>
    <w:p w14:paraId="6F8DADB6" w14:textId="77777777" w:rsidR="008C6584" w:rsidRDefault="002C55F8" w:rsidP="008C6584">
      <w:pPr>
        <w:pStyle w:val="ItemHead"/>
      </w:pPr>
      <w:r>
        <w:t>3</w:t>
      </w:r>
      <w:r w:rsidR="003476CC">
        <w:t xml:space="preserve">  </w:t>
      </w:r>
      <w:r w:rsidR="008329C4">
        <w:t>Paragraph</w:t>
      </w:r>
      <w:r w:rsidR="007A251A">
        <w:t> 9</w:t>
      </w:r>
      <w:r w:rsidR="008C6584">
        <w:t>.1AA(3)</w:t>
      </w:r>
      <w:r w:rsidR="008329C4">
        <w:t>(c)</w:t>
      </w:r>
    </w:p>
    <w:p w14:paraId="294E2085" w14:textId="77777777" w:rsidR="008C6584" w:rsidRDefault="008329C4" w:rsidP="008C6584">
      <w:pPr>
        <w:pStyle w:val="Item"/>
      </w:pPr>
      <w:r>
        <w:t>Repeal the paragraph, substitute</w:t>
      </w:r>
      <w:r w:rsidR="008C6584">
        <w:t>:</w:t>
      </w:r>
    </w:p>
    <w:p w14:paraId="35425C78" w14:textId="77777777" w:rsidR="003933A0" w:rsidRDefault="008C6584" w:rsidP="003933A0">
      <w:pPr>
        <w:pStyle w:val="paragraph"/>
      </w:pPr>
      <w:r>
        <w:tab/>
      </w:r>
      <w:r w:rsidR="003933A0">
        <w:t>(c)</w:t>
      </w:r>
      <w:r w:rsidR="003933A0">
        <w:tab/>
      </w:r>
      <w:r w:rsidR="00CE20CC" w:rsidRPr="00CE20CC">
        <w:t>a new overseas regulator conformity assessment document</w:t>
      </w:r>
      <w:r w:rsidR="001238EB">
        <w:t xml:space="preserve"> </w:t>
      </w:r>
      <w:r w:rsidR="00CE20CC" w:rsidRPr="00CE20CC">
        <w:t>has been issued, or is expected to be issued, in respect of devices of that kind under one of the following</w:t>
      </w:r>
      <w:r w:rsidR="003933A0">
        <w:t>:</w:t>
      </w:r>
    </w:p>
    <w:p w14:paraId="4DE22C61" w14:textId="77777777" w:rsidR="003933A0" w:rsidRDefault="003933A0" w:rsidP="003933A0">
      <w:pPr>
        <w:pStyle w:val="paragraphsub"/>
      </w:pPr>
      <w:r>
        <w:tab/>
        <w:t>(</w:t>
      </w:r>
      <w:proofErr w:type="spellStart"/>
      <w:r>
        <w:t>i</w:t>
      </w:r>
      <w:proofErr w:type="spellEnd"/>
      <w:r>
        <w:t>)</w:t>
      </w:r>
      <w:r>
        <w:tab/>
      </w:r>
      <w:r w:rsidR="003F00BA">
        <w:t>Regulation 2</w:t>
      </w:r>
      <w:r w:rsidRPr="003933A0">
        <w:t xml:space="preserve">017/745 </w:t>
      </w:r>
      <w:r>
        <w:t xml:space="preserve">(as in force from time to time) </w:t>
      </w:r>
      <w:r w:rsidRPr="003933A0">
        <w:t>of the European Parliament and the Council of the European Union;</w:t>
      </w:r>
    </w:p>
    <w:p w14:paraId="78CD5555" w14:textId="77777777" w:rsidR="003933A0" w:rsidRDefault="003933A0" w:rsidP="003933A0">
      <w:pPr>
        <w:pStyle w:val="paragraphsub"/>
      </w:pPr>
      <w:r>
        <w:tab/>
        <w:t>(ii)</w:t>
      </w:r>
      <w:r>
        <w:tab/>
      </w:r>
      <w:r w:rsidR="003F00BA">
        <w:t>Regulation 2</w:t>
      </w:r>
      <w:r w:rsidRPr="003933A0">
        <w:t>017/7</w:t>
      </w:r>
      <w:r>
        <w:t>46</w:t>
      </w:r>
      <w:r w:rsidRPr="003933A0">
        <w:t xml:space="preserve"> </w:t>
      </w:r>
      <w:r>
        <w:t>(as in force from time to time)</w:t>
      </w:r>
      <w:r w:rsidRPr="003933A0">
        <w:t xml:space="preserve"> of the European Parliament and the Council of the European Union</w:t>
      </w:r>
      <w:r>
        <w:t>;</w:t>
      </w:r>
    </w:p>
    <w:p w14:paraId="784FA4BF" w14:textId="77777777" w:rsidR="003933A0" w:rsidRPr="003933A0" w:rsidRDefault="003933A0" w:rsidP="003933A0">
      <w:pPr>
        <w:pStyle w:val="paragraphsub"/>
      </w:pPr>
      <w:r>
        <w:tab/>
        <w:t>(iii)</w:t>
      </w:r>
      <w:r>
        <w:tab/>
        <w:t>t</w:t>
      </w:r>
      <w:r>
        <w:rPr>
          <w:shd w:val="clear" w:color="auto" w:fill="FFFFFF"/>
        </w:rPr>
        <w:t xml:space="preserve">he Medical Device Single Audit Program (within the meaning of the </w:t>
      </w:r>
      <w:r>
        <w:rPr>
          <w:i/>
          <w:iCs/>
          <w:shd w:val="clear" w:color="auto" w:fill="FFFFFF"/>
        </w:rPr>
        <w:t>Therapeutic Goods (Overseas Regulators) Determination 2018</w:t>
      </w:r>
      <w:r>
        <w:rPr>
          <w:iCs/>
          <w:shd w:val="clear" w:color="auto" w:fill="FFFFFF"/>
        </w:rPr>
        <w:t>)</w:t>
      </w:r>
      <w:r>
        <w:rPr>
          <w:shd w:val="clear" w:color="auto" w:fill="FFFFFF"/>
        </w:rPr>
        <w:t>.</w:t>
      </w:r>
    </w:p>
    <w:p w14:paraId="227031CB" w14:textId="77777777" w:rsidR="00190023" w:rsidRDefault="00190023" w:rsidP="00190023">
      <w:pPr>
        <w:pStyle w:val="itemhead0"/>
        <w:shd w:val="clear" w:color="auto" w:fill="FFFFFF"/>
        <w:spacing w:before="220" w:beforeAutospacing="0" w:after="0" w:afterAutospacing="0"/>
        <w:ind w:left="709" w:hanging="709"/>
        <w:rPr>
          <w:rFonts w:ascii="Arial" w:hAnsi="Arial" w:cs="Arial"/>
          <w:b/>
          <w:bCs/>
          <w:color w:val="000000"/>
        </w:rPr>
      </w:pPr>
      <w:bookmarkStart w:id="8" w:name="_Hlk118471667"/>
      <w:r>
        <w:rPr>
          <w:rFonts w:ascii="Arial" w:hAnsi="Arial" w:cs="Arial"/>
          <w:b/>
          <w:bCs/>
          <w:color w:val="000000"/>
        </w:rPr>
        <w:t>4  In the appropriate position in Part 11</w:t>
      </w:r>
    </w:p>
    <w:p w14:paraId="4532FCB5" w14:textId="77777777" w:rsidR="00190023" w:rsidRDefault="00190023" w:rsidP="00190023">
      <w:pPr>
        <w:pStyle w:val="item0"/>
        <w:shd w:val="clear" w:color="auto" w:fill="FFFFFF"/>
        <w:spacing w:before="80" w:beforeAutospacing="0" w:after="0" w:afterAutospacing="0"/>
        <w:ind w:left="709"/>
        <w:rPr>
          <w:color w:val="000000"/>
          <w:sz w:val="22"/>
          <w:szCs w:val="22"/>
        </w:rPr>
      </w:pPr>
      <w:r>
        <w:rPr>
          <w:color w:val="000000"/>
          <w:sz w:val="22"/>
          <w:szCs w:val="22"/>
        </w:rPr>
        <w:t>Insert:</w:t>
      </w:r>
    </w:p>
    <w:p w14:paraId="50157BED" w14:textId="77777777" w:rsidR="00190023" w:rsidRDefault="00190023" w:rsidP="00190023">
      <w:pPr>
        <w:pStyle w:val="ActHead3"/>
      </w:pPr>
      <w:r w:rsidRPr="00E1569E">
        <w:rPr>
          <w:rStyle w:val="CharDivNo"/>
        </w:rPr>
        <w:t>Division 11.16</w:t>
      </w:r>
      <w:r w:rsidRPr="003F00BA">
        <w:t>—</w:t>
      </w:r>
      <w:r w:rsidRPr="00E1569E">
        <w:rPr>
          <w:rStyle w:val="CharDivText"/>
        </w:rPr>
        <w:t>Application provisions relating to the Therapeutic Goods Legislation Amendment (2022 Measures No. 3) Regulations 2022</w:t>
      </w:r>
    </w:p>
    <w:p w14:paraId="63401A92" w14:textId="77777777" w:rsidR="00190023" w:rsidRPr="00010519" w:rsidRDefault="00190023" w:rsidP="00190023">
      <w:pPr>
        <w:shd w:val="clear" w:color="auto" w:fill="FFFFFF"/>
        <w:spacing w:before="280" w:line="240" w:lineRule="auto"/>
        <w:ind w:left="1134" w:hanging="1134"/>
        <w:rPr>
          <w:rFonts w:eastAsia="Times New Roman" w:cs="Times New Roman"/>
          <w:b/>
          <w:bCs/>
          <w:color w:val="000000"/>
          <w:sz w:val="24"/>
          <w:szCs w:val="24"/>
          <w:lang w:eastAsia="en-AU"/>
        </w:rPr>
      </w:pPr>
      <w:r>
        <w:rPr>
          <w:rFonts w:eastAsia="Times New Roman" w:cs="Times New Roman"/>
          <w:b/>
          <w:bCs/>
          <w:color w:val="000000"/>
          <w:sz w:val="24"/>
          <w:szCs w:val="24"/>
          <w:lang w:eastAsia="en-AU"/>
        </w:rPr>
        <w:t xml:space="preserve">11.69 </w:t>
      </w:r>
      <w:r w:rsidRPr="00010519">
        <w:rPr>
          <w:rFonts w:eastAsia="Times New Roman" w:cs="Times New Roman"/>
          <w:b/>
          <w:bCs/>
          <w:color w:val="000000"/>
          <w:sz w:val="24"/>
          <w:szCs w:val="24"/>
          <w:lang w:eastAsia="en-AU"/>
        </w:rPr>
        <w:t xml:space="preserve"> </w:t>
      </w:r>
      <w:r w:rsidR="009E0EA3" w:rsidRPr="009E0EA3">
        <w:rPr>
          <w:rFonts w:eastAsia="Times New Roman" w:cs="Times New Roman"/>
          <w:b/>
          <w:bCs/>
          <w:color w:val="000000"/>
          <w:sz w:val="24"/>
          <w:szCs w:val="24"/>
          <w:lang w:eastAsia="en-AU"/>
        </w:rPr>
        <w:t>Fee for application for consent of Secretary</w:t>
      </w:r>
    </w:p>
    <w:p w14:paraId="2D484D53" w14:textId="77777777" w:rsidR="00190023" w:rsidRPr="00010519" w:rsidRDefault="00190023" w:rsidP="00190023">
      <w:pPr>
        <w:pStyle w:val="subsection"/>
      </w:pPr>
      <w:r>
        <w:tab/>
        <w:t>(1)</w:t>
      </w:r>
      <w:r>
        <w:tab/>
      </w:r>
      <w:r w:rsidRPr="00010519">
        <w:t>The amendment</w:t>
      </w:r>
      <w:r>
        <w:t>s</w:t>
      </w:r>
      <w:r w:rsidRPr="00010519">
        <w:t xml:space="preserve"> of </w:t>
      </w:r>
      <w:r w:rsidR="003F00BA">
        <w:t>regulation 9</w:t>
      </w:r>
      <w:r>
        <w:t>.1AA</w:t>
      </w:r>
      <w:r w:rsidRPr="00010519">
        <w:t xml:space="preserve"> made by </w:t>
      </w:r>
      <w:r w:rsidR="003F00BA">
        <w:t>Schedule 1</w:t>
      </w:r>
      <w:r w:rsidRPr="00010519">
        <w:t xml:space="preserve"> to the </w:t>
      </w:r>
      <w:r w:rsidRPr="00A8542F">
        <w:rPr>
          <w:i/>
        </w:rPr>
        <w:t>Therapeutic Goods Legislation Amendment (2022 Measures No. 3) Regulations 2022</w:t>
      </w:r>
      <w:r w:rsidRPr="00FF3BF2">
        <w:rPr>
          <w:i/>
        </w:rPr>
        <w:t> </w:t>
      </w:r>
      <w:r w:rsidRPr="00010519">
        <w:t>appl</w:t>
      </w:r>
      <w:r>
        <w:t>y</w:t>
      </w:r>
      <w:r w:rsidRPr="00010519">
        <w:t xml:space="preserve"> in relation to </w:t>
      </w:r>
      <w:r>
        <w:t>an application</w:t>
      </w:r>
      <w:r w:rsidRPr="00010519">
        <w:t xml:space="preserve"> </w:t>
      </w:r>
      <w:r>
        <w:t xml:space="preserve">for consent </w:t>
      </w:r>
      <w:r w:rsidRPr="00010519">
        <w:t xml:space="preserve">that </w:t>
      </w:r>
      <w:r>
        <w:t>is</w:t>
      </w:r>
      <w:r w:rsidRPr="00010519">
        <w:t xml:space="preserve"> made on or after the commencement of </w:t>
      </w:r>
      <w:r>
        <w:t>this regulation</w:t>
      </w:r>
      <w:r w:rsidRPr="00010519">
        <w:t>.</w:t>
      </w:r>
    </w:p>
    <w:p w14:paraId="49CB2D69" w14:textId="77777777" w:rsidR="003D1D85" w:rsidRPr="00C50D38" w:rsidRDefault="003D1D85" w:rsidP="003D1D85">
      <w:pPr>
        <w:pStyle w:val="subsection"/>
      </w:pPr>
      <w:r w:rsidRPr="00C50D38">
        <w:tab/>
        <w:t>(</w:t>
      </w:r>
      <w:r w:rsidR="00AF22C0">
        <w:t>2</w:t>
      </w:r>
      <w:r w:rsidRPr="00C50D38">
        <w:t>)</w:t>
      </w:r>
      <w:r w:rsidRPr="00C50D38">
        <w:tab/>
        <w:t>If:</w:t>
      </w:r>
    </w:p>
    <w:p w14:paraId="129A0132" w14:textId="77777777" w:rsidR="003D1D85" w:rsidRPr="00C50D38" w:rsidRDefault="003D1D85" w:rsidP="003D1D85">
      <w:pPr>
        <w:pStyle w:val="paragraph"/>
      </w:pPr>
      <w:r w:rsidRPr="00C50D38">
        <w:tab/>
        <w:t>(a)</w:t>
      </w:r>
      <w:r w:rsidRPr="00C50D38">
        <w:tab/>
        <w:t xml:space="preserve">on or after 1 January 2022 and before the commencement of this regulation, a person made an application of a kind covered by </w:t>
      </w:r>
      <w:r w:rsidR="003F00BA">
        <w:t>paragraph (</w:t>
      </w:r>
      <w:r w:rsidRPr="00C50D38">
        <w:t xml:space="preserve">a) or (b) of </w:t>
      </w:r>
      <w:r w:rsidR="003F00BA">
        <w:t>item 1</w:t>
      </w:r>
      <w:r w:rsidRPr="00C50D38">
        <w:t xml:space="preserve">.15 of the table in Part 1 of </w:t>
      </w:r>
      <w:r w:rsidR="003F00BA">
        <w:t>Schedule 5</w:t>
      </w:r>
      <w:r w:rsidRPr="00C50D38">
        <w:t>; and</w:t>
      </w:r>
    </w:p>
    <w:p w14:paraId="392C8BCB" w14:textId="77777777" w:rsidR="003D1D85" w:rsidRPr="00C50D38" w:rsidRDefault="003D1D85" w:rsidP="003D1D85">
      <w:pPr>
        <w:pStyle w:val="paragraph"/>
      </w:pPr>
      <w:r w:rsidRPr="00C50D38">
        <w:tab/>
        <w:t>(b)</w:t>
      </w:r>
      <w:r w:rsidRPr="00C50D38">
        <w:tab/>
        <w:t xml:space="preserve">the application was made in relation to the application of one or more of clauses 13.1 to 13.4 of </w:t>
      </w:r>
      <w:r w:rsidR="003F00BA">
        <w:t>Schedule 1</w:t>
      </w:r>
      <w:r w:rsidRPr="00C50D38">
        <w:t xml:space="preserve"> to the medical device or devices; and</w:t>
      </w:r>
    </w:p>
    <w:p w14:paraId="7CFBC029" w14:textId="77777777" w:rsidR="003D1D85" w:rsidRPr="00A60458" w:rsidRDefault="003D1D85" w:rsidP="003D1D85">
      <w:pPr>
        <w:pStyle w:val="paragraph"/>
      </w:pPr>
      <w:r w:rsidRPr="00C50D38">
        <w:tab/>
        <w:t>(c)</w:t>
      </w:r>
      <w:r w:rsidRPr="00C50D38">
        <w:tab/>
        <w:t xml:space="preserve">the reason for the medical device or devices not complying with one or more of those clauses was that the device or devices were affected by the EU transition (within the meaning of </w:t>
      </w:r>
      <w:proofErr w:type="spellStart"/>
      <w:r w:rsidRPr="00C50D38">
        <w:t>sub</w:t>
      </w:r>
      <w:r w:rsidR="003F00BA">
        <w:t>regulation</w:t>
      </w:r>
      <w:proofErr w:type="spellEnd"/>
      <w:r w:rsidR="003F00BA">
        <w:t> 9</w:t>
      </w:r>
      <w:r w:rsidRPr="00C50D38">
        <w:t>.1AA(3) of these Regulations</w:t>
      </w:r>
      <w:r w:rsidR="00BB0DB0" w:rsidRPr="00A60458">
        <w:t xml:space="preserve"> as in force at the commencement of this regulation</w:t>
      </w:r>
      <w:r w:rsidRPr="00A60458">
        <w:t>); and</w:t>
      </w:r>
    </w:p>
    <w:p w14:paraId="6107E7CB" w14:textId="77777777" w:rsidR="003D1D85" w:rsidRPr="00A60458" w:rsidRDefault="003D1D85" w:rsidP="003D1D85">
      <w:pPr>
        <w:pStyle w:val="paragraph"/>
      </w:pPr>
      <w:r w:rsidRPr="00A60458">
        <w:lastRenderedPageBreak/>
        <w:tab/>
        <w:t>(d)</w:t>
      </w:r>
      <w:r w:rsidRPr="00A60458">
        <w:tab/>
        <w:t>the application was made:</w:t>
      </w:r>
    </w:p>
    <w:p w14:paraId="07543D2D" w14:textId="77777777" w:rsidR="003D1D85" w:rsidRPr="00C50D38" w:rsidRDefault="003D1D85" w:rsidP="003D1D85">
      <w:pPr>
        <w:pStyle w:val="paragraphsub"/>
      </w:pPr>
      <w:r w:rsidRPr="00C50D38">
        <w:tab/>
        <w:t>(</w:t>
      </w:r>
      <w:proofErr w:type="spellStart"/>
      <w:r w:rsidRPr="00C50D38">
        <w:t>i</w:t>
      </w:r>
      <w:proofErr w:type="spellEnd"/>
      <w:r w:rsidRPr="00C50D38">
        <w:t>)</w:t>
      </w:r>
      <w:r w:rsidRPr="00C50D38">
        <w:tab/>
        <w:t>solely in relation to the application of one or more of those clauses; or</w:t>
      </w:r>
    </w:p>
    <w:p w14:paraId="45BBA670" w14:textId="77777777" w:rsidR="003D1D85" w:rsidRPr="00C50D38" w:rsidRDefault="003D1D85" w:rsidP="003D1D85">
      <w:pPr>
        <w:pStyle w:val="paragraphsub"/>
      </w:pPr>
      <w:r w:rsidRPr="00C50D38">
        <w:tab/>
        <w:t>(ii)</w:t>
      </w:r>
      <w:r w:rsidRPr="00C50D38">
        <w:tab/>
        <w:t xml:space="preserve">also in relation to the application of either or both of clauses 13A.2 and 13A.3 of </w:t>
      </w:r>
      <w:r w:rsidR="003F00BA">
        <w:t>Schedule 1</w:t>
      </w:r>
      <w:r w:rsidRPr="00C50D38">
        <w:t>, but not any other provision; and</w:t>
      </w:r>
    </w:p>
    <w:p w14:paraId="4AECEE47" w14:textId="77777777" w:rsidR="003D1D85" w:rsidRPr="00C50D38" w:rsidRDefault="003D1D85" w:rsidP="003D1D85">
      <w:pPr>
        <w:pStyle w:val="paragraph"/>
      </w:pPr>
      <w:r w:rsidRPr="00C50D38">
        <w:tab/>
        <w:t>(e)</w:t>
      </w:r>
      <w:r w:rsidRPr="00C50D38">
        <w:tab/>
        <w:t xml:space="preserve">on or after 1 January 2022 and before the commencement of this regulation, the person paid the fee applicable in relation to the application under </w:t>
      </w:r>
      <w:r w:rsidR="003F00BA">
        <w:t>item 1</w:t>
      </w:r>
      <w:r w:rsidRPr="00C50D38">
        <w:t xml:space="preserve">.15 of the table in Part 1 of </w:t>
      </w:r>
      <w:r w:rsidR="003F00BA">
        <w:t>Schedule 5</w:t>
      </w:r>
      <w:r w:rsidRPr="00C50D38">
        <w:t>;</w:t>
      </w:r>
    </w:p>
    <w:p w14:paraId="7E7E0097" w14:textId="77777777" w:rsidR="003D1D85" w:rsidRDefault="003D1D85" w:rsidP="003D1D85">
      <w:pPr>
        <w:pStyle w:val="subsection2"/>
      </w:pPr>
      <w:r w:rsidRPr="00C50D38">
        <w:t xml:space="preserve">the Secretary must, on behalf of the Commonwealth, refund to the person the difference between the fee paid and the fee that would have been applicable in relation to the application under </w:t>
      </w:r>
      <w:r w:rsidR="003F00BA">
        <w:t>regulation 9</w:t>
      </w:r>
      <w:r w:rsidRPr="00C50D38">
        <w:t>.1AA if the application had been made on the day on which this regulation commences.</w:t>
      </w:r>
    </w:p>
    <w:p w14:paraId="42E9A926" w14:textId="77777777" w:rsidR="00A9194B" w:rsidRPr="00A9194B" w:rsidRDefault="00A9194B" w:rsidP="00A9194B">
      <w:pPr>
        <w:pStyle w:val="ActHead5"/>
      </w:pPr>
      <w:r w:rsidRPr="00E1569E">
        <w:rPr>
          <w:rStyle w:val="CharSectno"/>
        </w:rPr>
        <w:t>11.70</w:t>
      </w:r>
      <w:r>
        <w:t xml:space="preserve">  Exempt medical devices</w:t>
      </w:r>
    </w:p>
    <w:p w14:paraId="190B003B" w14:textId="77777777" w:rsidR="003D1D85" w:rsidRPr="00DD722F" w:rsidRDefault="00AF22C0" w:rsidP="00190023">
      <w:pPr>
        <w:pStyle w:val="subsection"/>
      </w:pPr>
      <w:r>
        <w:tab/>
      </w:r>
      <w:r>
        <w:tab/>
      </w:r>
      <w:r w:rsidRPr="00010519">
        <w:t xml:space="preserve">The amendment of </w:t>
      </w:r>
      <w:r w:rsidR="003F00BA">
        <w:t>Schedule 4</w:t>
      </w:r>
      <w:r w:rsidRPr="00010519">
        <w:t xml:space="preserve"> made by </w:t>
      </w:r>
      <w:r w:rsidR="003F00BA">
        <w:t>Schedule 1</w:t>
      </w:r>
      <w:r w:rsidRPr="00010519">
        <w:t xml:space="preserve"> to the </w:t>
      </w:r>
      <w:r w:rsidRPr="00A8542F">
        <w:rPr>
          <w:i/>
        </w:rPr>
        <w:t>Therapeutic Goods Legislation Amendment (2022 Measures No. 3) Regulations 2022</w:t>
      </w:r>
      <w:r w:rsidRPr="00FF3BF2">
        <w:rPr>
          <w:i/>
        </w:rPr>
        <w:t> </w:t>
      </w:r>
      <w:r w:rsidRPr="00010519">
        <w:t>appl</w:t>
      </w:r>
      <w:r>
        <w:t xml:space="preserve">ies </w:t>
      </w:r>
      <w:r w:rsidRPr="00010519">
        <w:t xml:space="preserve">in relation to </w:t>
      </w:r>
      <w:r>
        <w:t>a medical device that is imported into Australia</w:t>
      </w:r>
      <w:r w:rsidRPr="00010519">
        <w:t xml:space="preserve"> on or after the commencement of </w:t>
      </w:r>
      <w:r>
        <w:t>this regulation</w:t>
      </w:r>
      <w:r w:rsidRPr="00010519">
        <w:t>.</w:t>
      </w:r>
    </w:p>
    <w:p w14:paraId="5614A0B6" w14:textId="77777777" w:rsidR="00190023" w:rsidRDefault="00190023" w:rsidP="00190023">
      <w:pPr>
        <w:pStyle w:val="ItemHead"/>
      </w:pPr>
      <w:r>
        <w:t xml:space="preserve">5  After </w:t>
      </w:r>
      <w:r w:rsidR="003F00BA">
        <w:t>clause 7</w:t>
      </w:r>
      <w:r>
        <w:t xml:space="preserve">.6 of </w:t>
      </w:r>
      <w:r w:rsidR="003F00BA">
        <w:t>Schedule 1</w:t>
      </w:r>
    </w:p>
    <w:p w14:paraId="706658AE" w14:textId="77777777" w:rsidR="00190023" w:rsidRDefault="00190023" w:rsidP="00190023">
      <w:pPr>
        <w:pStyle w:val="Item"/>
      </w:pPr>
      <w:r>
        <w:t>Insert:</w:t>
      </w:r>
    </w:p>
    <w:p w14:paraId="21650100" w14:textId="77777777" w:rsidR="00190023" w:rsidRDefault="00190023" w:rsidP="00190023">
      <w:pPr>
        <w:pStyle w:val="ActHead5"/>
      </w:pPr>
      <w:bookmarkStart w:id="9" w:name="_Toc118800090"/>
      <w:r w:rsidRPr="00E1569E">
        <w:rPr>
          <w:rStyle w:val="CharSectno"/>
        </w:rPr>
        <w:t>7.7</w:t>
      </w:r>
      <w:r>
        <w:t xml:space="preserve">  Minimisation of risks associated with nanomaterials</w:t>
      </w:r>
      <w:bookmarkEnd w:id="9"/>
    </w:p>
    <w:p w14:paraId="3AE42528" w14:textId="77777777" w:rsidR="00190023" w:rsidRDefault="00190023" w:rsidP="00190023">
      <w:pPr>
        <w:pStyle w:val="subsection"/>
      </w:pPr>
      <w:r>
        <w:tab/>
        <w:t>(1)</w:t>
      </w:r>
      <w:r>
        <w:tab/>
      </w:r>
      <w:r w:rsidRPr="001C2064">
        <w:t>A medical device must be designed and produced in a way tha</w:t>
      </w:r>
      <w:r>
        <w:t>t ensures that any risks associated with the size and the properties of particles which are, or can be, released into a patient’s or user’s body are minimised.</w:t>
      </w:r>
    </w:p>
    <w:p w14:paraId="5D72464C" w14:textId="77777777" w:rsidR="00190023" w:rsidRDefault="00190023" w:rsidP="00190023">
      <w:pPr>
        <w:pStyle w:val="subsection"/>
      </w:pPr>
      <w:r>
        <w:tab/>
        <w:t>(2)</w:t>
      </w:r>
      <w:r>
        <w:tab/>
        <w:t>In minimising risks, particular attention must be given to the use of nanomaterials.</w:t>
      </w:r>
    </w:p>
    <w:p w14:paraId="03FFB87D" w14:textId="77777777" w:rsidR="00190023" w:rsidRDefault="00190023" w:rsidP="00190023">
      <w:pPr>
        <w:pStyle w:val="subsection"/>
      </w:pPr>
      <w:r>
        <w:tab/>
        <w:t>(3)</w:t>
      </w:r>
      <w:r>
        <w:tab/>
      </w:r>
      <w:r w:rsidR="003F00BA">
        <w:t>Subclause (</w:t>
      </w:r>
      <w:r>
        <w:t>1) does not apply to particles that come into contact with intact skin only.</w:t>
      </w:r>
    </w:p>
    <w:p w14:paraId="045555F3" w14:textId="77777777" w:rsidR="00190023" w:rsidRDefault="00190023" w:rsidP="00190023">
      <w:pPr>
        <w:pStyle w:val="ItemHead"/>
      </w:pPr>
      <w:r>
        <w:t xml:space="preserve">6  After </w:t>
      </w:r>
      <w:r w:rsidR="003F00BA">
        <w:t>paragraph 1</w:t>
      </w:r>
      <w:r>
        <w:t xml:space="preserve">3A.1(1)(b) of </w:t>
      </w:r>
      <w:r w:rsidR="003F00BA">
        <w:t>Schedule 1</w:t>
      </w:r>
    </w:p>
    <w:p w14:paraId="58CF0A24" w14:textId="77777777" w:rsidR="00190023" w:rsidRDefault="00190023" w:rsidP="00190023">
      <w:pPr>
        <w:pStyle w:val="Item"/>
      </w:pPr>
      <w:r>
        <w:t>Insert:</w:t>
      </w:r>
    </w:p>
    <w:p w14:paraId="19C4F021" w14:textId="77777777" w:rsidR="00190023" w:rsidRPr="00092ACE" w:rsidRDefault="00190023" w:rsidP="00190023">
      <w:pPr>
        <w:pStyle w:val="paragraph"/>
      </w:pPr>
      <w:r>
        <w:tab/>
        <w:t>(</w:t>
      </w:r>
      <w:proofErr w:type="spellStart"/>
      <w:r>
        <w:t>ba</w:t>
      </w:r>
      <w:proofErr w:type="spellEnd"/>
      <w:r>
        <w:t>)</w:t>
      </w:r>
      <w:r>
        <w:tab/>
        <w:t xml:space="preserve">not </w:t>
      </w:r>
      <w:r w:rsidRPr="00092ACE">
        <w:t xml:space="preserve">intended by the manufacturer to be </w:t>
      </w:r>
      <w:r>
        <w:t>for export only; and</w:t>
      </w:r>
    </w:p>
    <w:p w14:paraId="333CEECA" w14:textId="77777777" w:rsidR="003A5133" w:rsidRDefault="00190023" w:rsidP="003A5133">
      <w:pPr>
        <w:pStyle w:val="ItemHead"/>
      </w:pPr>
      <w:r>
        <w:t>7</w:t>
      </w:r>
      <w:r w:rsidR="001A0D54">
        <w:t xml:space="preserve">  </w:t>
      </w:r>
      <w:r w:rsidR="003F00BA">
        <w:t>Schedule 4</w:t>
      </w:r>
      <w:r w:rsidR="001A0D54">
        <w:t xml:space="preserve"> (table </w:t>
      </w:r>
      <w:r w:rsidR="003F00BA">
        <w:t>item 1</w:t>
      </w:r>
      <w:r w:rsidR="001A0D54">
        <w:t>.1</w:t>
      </w:r>
      <w:r w:rsidR="00422B30">
        <w:t>, column headed “</w:t>
      </w:r>
      <w:r w:rsidR="00422B30" w:rsidRPr="00422B30">
        <w:t>Kinds of medical devices</w:t>
      </w:r>
      <w:r w:rsidR="00422B30">
        <w:t xml:space="preserve">”, </w:t>
      </w:r>
      <w:r w:rsidR="003F00BA">
        <w:t>paragraph (</w:t>
      </w:r>
      <w:r w:rsidR="00422B30">
        <w:t>c))</w:t>
      </w:r>
    </w:p>
    <w:p w14:paraId="43A19C31" w14:textId="77777777" w:rsidR="00422B30" w:rsidRPr="00422B30" w:rsidRDefault="00422B30" w:rsidP="00422B30">
      <w:pPr>
        <w:pStyle w:val="Item"/>
      </w:pPr>
      <w:r>
        <w:t>Repeal the paragraph, substitute:</w:t>
      </w:r>
    </w:p>
    <w:p w14:paraId="29F1D15A" w14:textId="77777777" w:rsidR="003A5133" w:rsidRDefault="003A5133" w:rsidP="00422B30">
      <w:pPr>
        <w:pStyle w:val="Tabletext"/>
      </w:pPr>
    </w:p>
    <w:tbl>
      <w:tblPr>
        <w:tblW w:w="4173" w:type="pct"/>
        <w:tblBorders>
          <w:top w:val="single" w:sz="4" w:space="0" w:color="auto"/>
          <w:bottom w:val="single" w:sz="2" w:space="0" w:color="auto"/>
          <w:insideH w:val="single" w:sz="4" w:space="0" w:color="auto"/>
        </w:tblBorders>
        <w:tblLook w:val="0000" w:firstRow="0" w:lastRow="0" w:firstColumn="0" w:lastColumn="0" w:noHBand="0" w:noVBand="0"/>
      </w:tblPr>
      <w:tblGrid>
        <w:gridCol w:w="7118"/>
      </w:tblGrid>
      <w:tr w:rsidR="00422B30" w:rsidRPr="00486317" w14:paraId="496619EA" w14:textId="77777777" w:rsidTr="00422B30">
        <w:tc>
          <w:tcPr>
            <w:tcW w:w="5000" w:type="pct"/>
            <w:tcBorders>
              <w:top w:val="nil"/>
              <w:bottom w:val="nil"/>
            </w:tcBorders>
            <w:shd w:val="clear" w:color="auto" w:fill="auto"/>
          </w:tcPr>
          <w:p w14:paraId="3CF94376" w14:textId="77777777" w:rsidR="00422B30" w:rsidRDefault="00422B30" w:rsidP="00422B30">
            <w:pPr>
              <w:pStyle w:val="Tablea"/>
            </w:pPr>
            <w:r w:rsidRPr="00AE02A8">
              <w:t>(</w:t>
            </w:r>
            <w:r>
              <w:t>c</w:t>
            </w:r>
            <w:r w:rsidRPr="00AE02A8">
              <w:t xml:space="preserve">) </w:t>
            </w:r>
            <w:r w:rsidRPr="00422B30">
              <w:t xml:space="preserve">in the case of a Class 4 IVD medical device, Class III medical device, Class 3 IVD medical device, Class IIb medical device, Class 2 IVD medical device or Class </w:t>
            </w:r>
            <w:proofErr w:type="spellStart"/>
            <w:r w:rsidRPr="00422B30">
              <w:t>IIa</w:t>
            </w:r>
            <w:proofErr w:type="spellEnd"/>
            <w:r w:rsidRPr="00422B30">
              <w:t xml:space="preserve"> medical device:</w:t>
            </w:r>
          </w:p>
          <w:p w14:paraId="419DD092" w14:textId="77777777" w:rsidR="00422B30" w:rsidRDefault="00422B30" w:rsidP="00422B30">
            <w:pPr>
              <w:pStyle w:val="Tablei"/>
            </w:pPr>
            <w:r>
              <w:t>(</w:t>
            </w:r>
            <w:proofErr w:type="spellStart"/>
            <w:r>
              <w:t>i</w:t>
            </w:r>
            <w:proofErr w:type="spellEnd"/>
            <w:r>
              <w:t xml:space="preserve">) </w:t>
            </w:r>
            <w:r w:rsidRPr="00422B30">
              <w:t xml:space="preserve">the quantity imported in one importation is not more than the amount required to give 3 months </w:t>
            </w:r>
            <w:r w:rsidR="007F5A60">
              <w:t>use of</w:t>
            </w:r>
            <w:r w:rsidRPr="00422B30">
              <w:t xml:space="preserve"> the device according to</w:t>
            </w:r>
            <w:r>
              <w:t>:</w:t>
            </w:r>
          </w:p>
          <w:p w14:paraId="5E574E8C" w14:textId="77777777" w:rsidR="00422B30" w:rsidRDefault="00422B30" w:rsidP="00422B30">
            <w:pPr>
              <w:pStyle w:val="TableAA"/>
            </w:pPr>
            <w:r>
              <w:t xml:space="preserve">(A) </w:t>
            </w:r>
            <w:r w:rsidRPr="00422B30">
              <w:t>the treating medical practitioner’s directions</w:t>
            </w:r>
            <w:r>
              <w:t>; or</w:t>
            </w:r>
          </w:p>
          <w:p w14:paraId="566D4512" w14:textId="77777777" w:rsidR="00422B30" w:rsidRDefault="00422B30" w:rsidP="00422B30">
            <w:pPr>
              <w:pStyle w:val="TableAA"/>
            </w:pPr>
            <w:r>
              <w:t>(B) the manufacturer’s instructions for use of the device; or</w:t>
            </w:r>
          </w:p>
          <w:p w14:paraId="38FFB92D" w14:textId="77777777" w:rsidR="00422B30" w:rsidRPr="00422B30" w:rsidRDefault="00422B30" w:rsidP="00422B30">
            <w:pPr>
              <w:pStyle w:val="TableAA"/>
            </w:pPr>
            <w:r>
              <w:t xml:space="preserve">(C) directions, recommendations or advice </w:t>
            </w:r>
            <w:r w:rsidR="00FB4BF0">
              <w:t>of</w:t>
            </w:r>
            <w:r>
              <w:t xml:space="preserve"> </w:t>
            </w:r>
            <w:r w:rsidR="00BA7E4F">
              <w:t>a Commonwealth, State or Territory</w:t>
            </w:r>
            <w:r>
              <w:t xml:space="preserve"> authority</w:t>
            </w:r>
            <w:r w:rsidR="00BA7E4F" w:rsidRPr="00BA7E4F">
              <w:t xml:space="preserve"> </w:t>
            </w:r>
            <w:r w:rsidR="00FB4BF0" w:rsidRPr="00FB4BF0">
              <w:t xml:space="preserve">that has functions in relation to, or that is responsible for or deals with, </w:t>
            </w:r>
            <w:r w:rsidR="00FB4BF0">
              <w:t>health matters; and</w:t>
            </w:r>
          </w:p>
          <w:p w14:paraId="456FD3EE" w14:textId="77777777" w:rsidR="00FB4BF0" w:rsidRDefault="00422B30" w:rsidP="00422B30">
            <w:pPr>
              <w:pStyle w:val="Tablei"/>
            </w:pPr>
            <w:r>
              <w:t xml:space="preserve">(ii) </w:t>
            </w:r>
            <w:r w:rsidR="00FB4BF0" w:rsidRPr="00FB4BF0">
              <w:t xml:space="preserve">the total quantity imported in a 12 month period is not more than the </w:t>
            </w:r>
            <w:r w:rsidR="00FB4BF0" w:rsidRPr="00FB4BF0">
              <w:lastRenderedPageBreak/>
              <w:t xml:space="preserve">amount required to give 15 months </w:t>
            </w:r>
            <w:r w:rsidR="007F5A60">
              <w:t>use of</w:t>
            </w:r>
            <w:r w:rsidR="00FB4BF0" w:rsidRPr="00FB4BF0">
              <w:t xml:space="preserve"> the device according to</w:t>
            </w:r>
            <w:r w:rsidR="00FB4BF0">
              <w:t>:</w:t>
            </w:r>
          </w:p>
          <w:p w14:paraId="6E223078" w14:textId="77777777" w:rsidR="00FB4BF0" w:rsidRDefault="00FB4BF0" w:rsidP="00FB4BF0">
            <w:pPr>
              <w:pStyle w:val="TableAA"/>
            </w:pPr>
            <w:r>
              <w:t xml:space="preserve">(A) </w:t>
            </w:r>
            <w:r w:rsidRPr="00422B30">
              <w:t>the treating medical practitioner’s directions</w:t>
            </w:r>
            <w:r>
              <w:t>; or</w:t>
            </w:r>
          </w:p>
          <w:p w14:paraId="30AA51B9" w14:textId="77777777" w:rsidR="00FB4BF0" w:rsidRDefault="00FB4BF0" w:rsidP="00FB4BF0">
            <w:pPr>
              <w:pStyle w:val="TableAA"/>
            </w:pPr>
            <w:r>
              <w:t>(B) the manufacturer’s instructions for use of the device; or</w:t>
            </w:r>
          </w:p>
          <w:p w14:paraId="110DEFDD" w14:textId="77777777" w:rsidR="00FB4BF0" w:rsidRPr="00FB4BF0" w:rsidRDefault="00FB4BF0" w:rsidP="00FB4BF0">
            <w:pPr>
              <w:pStyle w:val="TableAA"/>
            </w:pPr>
            <w:r>
              <w:t>(C) directions, recommendations or advice of a Commonwealth, State or Territory authority</w:t>
            </w:r>
            <w:r w:rsidRPr="00BA7E4F">
              <w:t xml:space="preserve"> </w:t>
            </w:r>
            <w:r w:rsidRPr="00FB4BF0">
              <w:t xml:space="preserve">that has functions in relation to, or that is responsible for or deals with, </w:t>
            </w:r>
            <w:r>
              <w:t>health matters; and</w:t>
            </w:r>
          </w:p>
          <w:p w14:paraId="5EB7B9F7" w14:textId="77777777" w:rsidR="00422B30" w:rsidRPr="00486317" w:rsidRDefault="00422B30" w:rsidP="00422B30">
            <w:pPr>
              <w:pStyle w:val="TableAA"/>
              <w:rPr>
                <w:rFonts w:eastAsia="Calibri"/>
              </w:rPr>
            </w:pPr>
          </w:p>
        </w:tc>
      </w:tr>
    </w:tbl>
    <w:bookmarkEnd w:id="8"/>
    <w:p w14:paraId="6CFCF009" w14:textId="77777777" w:rsidR="001C2064" w:rsidRDefault="00190023" w:rsidP="001C2064">
      <w:pPr>
        <w:pStyle w:val="ItemHead"/>
      </w:pPr>
      <w:r>
        <w:lastRenderedPageBreak/>
        <w:t>8</w:t>
      </w:r>
      <w:r w:rsidR="001C2064">
        <w:t xml:space="preserve">  Dictionary</w:t>
      </w:r>
    </w:p>
    <w:p w14:paraId="3E9174CB" w14:textId="77777777" w:rsidR="001C2064" w:rsidRDefault="001C2064" w:rsidP="001C2064">
      <w:pPr>
        <w:pStyle w:val="Item"/>
      </w:pPr>
      <w:r>
        <w:t>Insert:</w:t>
      </w:r>
    </w:p>
    <w:p w14:paraId="6D3A5C65" w14:textId="77777777" w:rsidR="00D2626A" w:rsidRDefault="00D2626A" w:rsidP="008E6E81">
      <w:pPr>
        <w:pStyle w:val="Definition"/>
      </w:pPr>
      <w:r w:rsidRPr="00D228F2">
        <w:rPr>
          <w:b/>
          <w:i/>
          <w:szCs w:val="22"/>
        </w:rPr>
        <w:t>nanomaterial</w:t>
      </w:r>
      <w:r w:rsidRPr="00E1129D">
        <w:rPr>
          <w:szCs w:val="22"/>
        </w:rPr>
        <w:t xml:space="preserve"> </w:t>
      </w:r>
      <w:r w:rsidR="00AD14E7">
        <w:rPr>
          <w:szCs w:val="22"/>
        </w:rPr>
        <w:t xml:space="preserve">has the meaning given by Article 2(18) of </w:t>
      </w:r>
      <w:r w:rsidR="003F00BA">
        <w:t>Regulation 2</w:t>
      </w:r>
      <w:r w:rsidR="00AD14E7" w:rsidRPr="003933A0">
        <w:t xml:space="preserve">017/745 </w:t>
      </w:r>
      <w:r w:rsidR="00AD14E7">
        <w:t xml:space="preserve">(as in force from time to time) </w:t>
      </w:r>
      <w:r w:rsidR="00AD14E7" w:rsidRPr="003933A0">
        <w:t>of the European Parliament and the Council of the European Union</w:t>
      </w:r>
      <w:r w:rsidR="00DB7301">
        <w:t>.</w:t>
      </w:r>
    </w:p>
    <w:p w14:paraId="72F787EC" w14:textId="77777777" w:rsidR="003A5133" w:rsidRDefault="007A251A" w:rsidP="003A5133">
      <w:pPr>
        <w:pStyle w:val="ActHead6"/>
        <w:pageBreakBefore/>
      </w:pPr>
      <w:bookmarkStart w:id="10" w:name="_Toc118800091"/>
      <w:r w:rsidRPr="00E1569E">
        <w:rPr>
          <w:rStyle w:val="CharAmSchNo"/>
        </w:rPr>
        <w:lastRenderedPageBreak/>
        <w:t>Schedule 2</w:t>
      </w:r>
      <w:r w:rsidR="003A5133">
        <w:t>—</w:t>
      </w:r>
      <w:r w:rsidR="003A5133" w:rsidRPr="00E1569E">
        <w:rPr>
          <w:rStyle w:val="CharAmSchText"/>
        </w:rPr>
        <w:t xml:space="preserve">Amendments </w:t>
      </w:r>
      <w:r w:rsidR="008C59AD" w:rsidRPr="00E1569E">
        <w:rPr>
          <w:rStyle w:val="CharAmSchText"/>
        </w:rPr>
        <w:t>relating to m</w:t>
      </w:r>
      <w:r w:rsidR="003A5133" w:rsidRPr="00E1569E">
        <w:rPr>
          <w:rStyle w:val="CharAmSchText"/>
        </w:rPr>
        <w:t>edicines</w:t>
      </w:r>
      <w:r w:rsidR="004B6A31" w:rsidRPr="00E1569E">
        <w:rPr>
          <w:rStyle w:val="CharAmSchText"/>
        </w:rPr>
        <w:t xml:space="preserve"> and fees</w:t>
      </w:r>
      <w:bookmarkEnd w:id="10"/>
    </w:p>
    <w:p w14:paraId="1D26650B" w14:textId="77777777" w:rsidR="0047703B" w:rsidRPr="00E1569E" w:rsidRDefault="0047703B" w:rsidP="0047703B">
      <w:pPr>
        <w:pStyle w:val="Header"/>
      </w:pPr>
      <w:r w:rsidRPr="00E1569E">
        <w:rPr>
          <w:rStyle w:val="CharAmPartNo"/>
        </w:rPr>
        <w:t xml:space="preserve"> </w:t>
      </w:r>
      <w:r w:rsidRPr="00E1569E">
        <w:rPr>
          <w:rStyle w:val="CharAmPartText"/>
        </w:rPr>
        <w:t xml:space="preserve"> </w:t>
      </w:r>
    </w:p>
    <w:p w14:paraId="64FF17A8" w14:textId="77777777" w:rsidR="0047703B" w:rsidRDefault="0047703B" w:rsidP="0047703B">
      <w:pPr>
        <w:pStyle w:val="ActHead9"/>
      </w:pPr>
      <w:bookmarkStart w:id="11" w:name="_Toc118800092"/>
      <w:r w:rsidRPr="0047703B">
        <w:t>Therapeutic Goods Regulations 1990</w:t>
      </w:r>
      <w:bookmarkEnd w:id="11"/>
    </w:p>
    <w:p w14:paraId="293B7EDF" w14:textId="77777777" w:rsidR="00190023" w:rsidRDefault="00190023" w:rsidP="00190023">
      <w:pPr>
        <w:pStyle w:val="ItemHead"/>
      </w:pPr>
      <w:bookmarkStart w:id="12" w:name="_Hlk118971286"/>
      <w:r>
        <w:t xml:space="preserve">1  </w:t>
      </w:r>
      <w:r w:rsidR="003F00BA">
        <w:t>Regulation 2</w:t>
      </w:r>
      <w:r>
        <w:t xml:space="preserve"> (definition of </w:t>
      </w:r>
      <w:r w:rsidRPr="00BD6EC5">
        <w:rPr>
          <w:i/>
        </w:rPr>
        <w:t>IN1 application</w:t>
      </w:r>
      <w:r>
        <w:rPr>
          <w:b w:val="0"/>
          <w:i/>
        </w:rPr>
        <w:t>)</w:t>
      </w:r>
    </w:p>
    <w:p w14:paraId="6A7EE7A2" w14:textId="77777777" w:rsidR="00190023" w:rsidRDefault="00190023" w:rsidP="00190023">
      <w:pPr>
        <w:pStyle w:val="Item"/>
      </w:pPr>
      <w:r>
        <w:t>Repeal the definition, substitute:</w:t>
      </w:r>
    </w:p>
    <w:p w14:paraId="21891BA7" w14:textId="77777777" w:rsidR="00190023" w:rsidRDefault="00190023" w:rsidP="00190023">
      <w:pPr>
        <w:pStyle w:val="Definition"/>
      </w:pPr>
      <w:r w:rsidRPr="00E245E3">
        <w:rPr>
          <w:b/>
          <w:i/>
        </w:rPr>
        <w:t>IN1 application</w:t>
      </w:r>
      <w:r w:rsidRPr="00E245E3">
        <w:rPr>
          <w:i/>
        </w:rPr>
        <w:t xml:space="preserve"> </w:t>
      </w:r>
      <w:r w:rsidRPr="00E245E3">
        <w:t>means an application made under subsection 26BD(1) of the Act for a recommendation to vary a section 26BB determination, if the variation is of a kind that requires</w:t>
      </w:r>
      <w:r>
        <w:t>:</w:t>
      </w:r>
    </w:p>
    <w:p w14:paraId="23F69B6E" w14:textId="77777777" w:rsidR="00190023" w:rsidRDefault="00190023" w:rsidP="00190023">
      <w:pPr>
        <w:pStyle w:val="paragraph"/>
      </w:pPr>
      <w:r>
        <w:tab/>
        <w:t>(a)</w:t>
      </w:r>
      <w:r>
        <w:tab/>
      </w:r>
      <w:r w:rsidRPr="00E245E3">
        <w:t>an evaluation of the safety and quality of an ingredient based on evaluation reports from a competent regulatory authority of a foreign country or foreign jurisdiction determined under regulation 16GJ</w:t>
      </w:r>
      <w:r>
        <w:t>; or</w:t>
      </w:r>
    </w:p>
    <w:p w14:paraId="46B5828F" w14:textId="77777777" w:rsidR="00190023" w:rsidRDefault="00190023" w:rsidP="00190023">
      <w:pPr>
        <w:pStyle w:val="paragraph"/>
      </w:pPr>
      <w:r>
        <w:tab/>
        <w:t>(b)</w:t>
      </w:r>
      <w:r>
        <w:tab/>
      </w:r>
      <w:r w:rsidRPr="00E245E3">
        <w:t>an evaluation of</w:t>
      </w:r>
      <w:r>
        <w:t>:</w:t>
      </w:r>
    </w:p>
    <w:p w14:paraId="3C5E793F" w14:textId="77777777" w:rsidR="00190023" w:rsidRDefault="00190023" w:rsidP="00190023">
      <w:pPr>
        <w:pStyle w:val="paragraphsub"/>
      </w:pPr>
      <w:r>
        <w:tab/>
        <w:t>(</w:t>
      </w:r>
      <w:proofErr w:type="spellStart"/>
      <w:r>
        <w:t>i</w:t>
      </w:r>
      <w:proofErr w:type="spellEnd"/>
      <w:r>
        <w:t>)</w:t>
      </w:r>
      <w:r>
        <w:tab/>
      </w:r>
      <w:r w:rsidRPr="00E245E3">
        <w:t>the safety of an ingredient based on evaluation reports from a competent regulatory authority of a foreign country or foreign jurisdiction determined under regulation 16GJ</w:t>
      </w:r>
      <w:r>
        <w:t>; and</w:t>
      </w:r>
    </w:p>
    <w:p w14:paraId="0F5E42CD" w14:textId="77777777" w:rsidR="00190023" w:rsidRPr="00BD6EC5" w:rsidRDefault="00190023" w:rsidP="00190023">
      <w:pPr>
        <w:pStyle w:val="paragraphsub"/>
      </w:pPr>
      <w:r>
        <w:tab/>
        <w:t>(ii)</w:t>
      </w:r>
      <w:r>
        <w:tab/>
        <w:t>the quality of the ingredient based on a monograph contained in a default standard.</w:t>
      </w:r>
    </w:p>
    <w:p w14:paraId="2E356EF1" w14:textId="77777777" w:rsidR="00190023" w:rsidRDefault="00190023" w:rsidP="00190023">
      <w:pPr>
        <w:pStyle w:val="ItemHead"/>
      </w:pPr>
      <w:bookmarkStart w:id="13" w:name="_Hlk118471747"/>
      <w:bookmarkEnd w:id="6"/>
      <w:bookmarkEnd w:id="12"/>
      <w:r>
        <w:t xml:space="preserve">2  At the end of </w:t>
      </w:r>
      <w:r w:rsidR="003F00BA">
        <w:t>regulation 7</w:t>
      </w:r>
    </w:p>
    <w:p w14:paraId="52EDDD6E" w14:textId="77777777" w:rsidR="00190023" w:rsidRDefault="00190023" w:rsidP="00190023">
      <w:pPr>
        <w:pStyle w:val="Item"/>
      </w:pPr>
      <w:r>
        <w:t>Add:</w:t>
      </w:r>
    </w:p>
    <w:p w14:paraId="0A54A28D" w14:textId="77777777" w:rsidR="00190023" w:rsidRDefault="00190023" w:rsidP="00190023">
      <w:pPr>
        <w:pStyle w:val="paragraph"/>
      </w:pPr>
      <w:r>
        <w:tab/>
        <w:t>; (j)</w:t>
      </w:r>
      <w:r>
        <w:tab/>
        <w:t>therapeutic goods that:</w:t>
      </w:r>
    </w:p>
    <w:p w14:paraId="6BECA9AD" w14:textId="77777777" w:rsidR="00190023" w:rsidRDefault="00190023" w:rsidP="00190023">
      <w:pPr>
        <w:pStyle w:val="paragraphsub"/>
      </w:pPr>
      <w:r>
        <w:tab/>
        <w:t>(</w:t>
      </w:r>
      <w:proofErr w:type="spellStart"/>
      <w:r>
        <w:t>i</w:t>
      </w:r>
      <w:proofErr w:type="spellEnd"/>
      <w:r>
        <w:t>)</w:t>
      </w:r>
      <w:r>
        <w:tab/>
        <w:t xml:space="preserve">are, or contain, a substance that is included in </w:t>
      </w:r>
      <w:r w:rsidR="003F00BA">
        <w:t>Schedule 3</w:t>
      </w:r>
      <w:r>
        <w:t>, 4 or 8 to the current Poisons Standard and is not included in Appendix H to the current Poisons Standard; and</w:t>
      </w:r>
    </w:p>
    <w:p w14:paraId="7136435D" w14:textId="77777777" w:rsidR="00190023" w:rsidRDefault="00190023" w:rsidP="00190023">
      <w:pPr>
        <w:pStyle w:val="paragraphsub"/>
      </w:pPr>
      <w:r>
        <w:tab/>
        <w:t>(ii)</w:t>
      </w:r>
      <w:r>
        <w:tab/>
        <w:t>are extemporaneously compounded for a particular person for therapeutic application to that person.</w:t>
      </w:r>
    </w:p>
    <w:p w14:paraId="49C327D1" w14:textId="77777777" w:rsidR="00190023" w:rsidRDefault="00190023" w:rsidP="00190023">
      <w:pPr>
        <w:pStyle w:val="ItemHead"/>
      </w:pPr>
      <w:r>
        <w:t xml:space="preserve">3  </w:t>
      </w:r>
      <w:proofErr w:type="spellStart"/>
      <w:r w:rsidR="003F00BA">
        <w:t>Subregulation</w:t>
      </w:r>
      <w:proofErr w:type="spellEnd"/>
      <w:r w:rsidR="003F00BA">
        <w:t> 1</w:t>
      </w:r>
      <w:r>
        <w:t xml:space="preserve">2B(1B) (table </w:t>
      </w:r>
      <w:r w:rsidR="003F00BA">
        <w:t>item 4</w:t>
      </w:r>
      <w:r>
        <w:t>)</w:t>
      </w:r>
    </w:p>
    <w:p w14:paraId="5EDB5F74" w14:textId="77777777" w:rsidR="00190023" w:rsidRDefault="00190023" w:rsidP="00190023">
      <w:pPr>
        <w:pStyle w:val="Item"/>
      </w:pPr>
      <w:r>
        <w:t>Repeal the item, substitute:</w:t>
      </w:r>
    </w:p>
    <w:p w14:paraId="20E9DFE0" w14:textId="77777777" w:rsidR="00190023" w:rsidRDefault="00190023" w:rsidP="00190023">
      <w:pPr>
        <w:pStyle w:val="Tabletext"/>
      </w:pPr>
    </w:p>
    <w:tbl>
      <w:tblPr>
        <w:tblW w:w="5000" w:type="pct"/>
        <w:tblLayout w:type="fixed"/>
        <w:tblLook w:val="0000" w:firstRow="0" w:lastRow="0" w:firstColumn="0" w:lastColumn="0" w:noHBand="0" w:noVBand="0"/>
      </w:tblPr>
      <w:tblGrid>
        <w:gridCol w:w="1101"/>
        <w:gridCol w:w="2125"/>
        <w:gridCol w:w="1283"/>
        <w:gridCol w:w="1552"/>
        <w:gridCol w:w="2468"/>
      </w:tblGrid>
      <w:tr w:rsidR="00190023" w:rsidRPr="00E245E3" w14:paraId="1AD4E24F" w14:textId="77777777" w:rsidTr="00A9194B">
        <w:trPr>
          <w:trHeight w:val="20"/>
        </w:trPr>
        <w:tc>
          <w:tcPr>
            <w:tcW w:w="645" w:type="pct"/>
          </w:tcPr>
          <w:p w14:paraId="473E5C15" w14:textId="77777777" w:rsidR="00190023" w:rsidRPr="00E245E3" w:rsidRDefault="00190023" w:rsidP="00A9194B">
            <w:pPr>
              <w:pStyle w:val="Tabletext"/>
            </w:pPr>
            <w:r w:rsidRPr="00E245E3">
              <w:t>4</w:t>
            </w:r>
          </w:p>
        </w:tc>
        <w:tc>
          <w:tcPr>
            <w:tcW w:w="1246" w:type="pct"/>
            <w:shd w:val="clear" w:color="auto" w:fill="auto"/>
          </w:tcPr>
          <w:p w14:paraId="3E5F64F3" w14:textId="77777777" w:rsidR="00190023" w:rsidRPr="00E245E3" w:rsidRDefault="00190023" w:rsidP="00A9194B">
            <w:pPr>
              <w:pStyle w:val="Tabletext"/>
            </w:pPr>
            <w:r>
              <w:t>amiloride</w:t>
            </w:r>
          </w:p>
        </w:tc>
        <w:tc>
          <w:tcPr>
            <w:tcW w:w="752" w:type="pct"/>
            <w:shd w:val="clear" w:color="auto" w:fill="auto"/>
          </w:tcPr>
          <w:p w14:paraId="6CB09784" w14:textId="77777777" w:rsidR="00190023" w:rsidRPr="00E245E3" w:rsidRDefault="00190023" w:rsidP="00A9194B">
            <w:pPr>
              <w:pStyle w:val="Tabletext"/>
            </w:pPr>
            <w:r w:rsidRPr="00E245E3">
              <w:t>tablet</w:t>
            </w:r>
          </w:p>
        </w:tc>
        <w:tc>
          <w:tcPr>
            <w:tcW w:w="910" w:type="pct"/>
            <w:shd w:val="clear" w:color="auto" w:fill="auto"/>
          </w:tcPr>
          <w:p w14:paraId="4DB1899B" w14:textId="77777777" w:rsidR="00190023" w:rsidRPr="00E245E3" w:rsidRDefault="00190023" w:rsidP="00A9194B">
            <w:pPr>
              <w:pStyle w:val="Tabletext"/>
            </w:pPr>
            <w:r w:rsidRPr="00E245E3">
              <w:t>oral</w:t>
            </w:r>
          </w:p>
        </w:tc>
        <w:tc>
          <w:tcPr>
            <w:tcW w:w="1447" w:type="pct"/>
            <w:shd w:val="clear" w:color="auto" w:fill="auto"/>
          </w:tcPr>
          <w:p w14:paraId="2EF8D374" w14:textId="77777777" w:rsidR="00190023" w:rsidRPr="00E245E3" w:rsidRDefault="00190023" w:rsidP="00A9194B">
            <w:pPr>
              <w:pStyle w:val="Tabletext"/>
            </w:pPr>
            <w:r>
              <w:t>treatment of hypokalaemia</w:t>
            </w:r>
          </w:p>
        </w:tc>
      </w:tr>
    </w:tbl>
    <w:p w14:paraId="73FAAA04" w14:textId="77777777" w:rsidR="00190023" w:rsidRDefault="00190023" w:rsidP="00190023">
      <w:pPr>
        <w:pStyle w:val="ItemHead"/>
      </w:pPr>
      <w:r>
        <w:t xml:space="preserve">4  </w:t>
      </w:r>
      <w:proofErr w:type="spellStart"/>
      <w:r w:rsidR="003F00BA">
        <w:t>Subregulation</w:t>
      </w:r>
      <w:proofErr w:type="spellEnd"/>
      <w:r w:rsidR="003F00BA">
        <w:t> 1</w:t>
      </w:r>
      <w:r>
        <w:t xml:space="preserve">2B(1B) (cell at table </w:t>
      </w:r>
      <w:r w:rsidR="003F00BA">
        <w:t>item 4</w:t>
      </w:r>
      <w:r>
        <w:t>A, column 5)</w:t>
      </w:r>
    </w:p>
    <w:p w14:paraId="725959EE" w14:textId="77777777" w:rsidR="00190023" w:rsidRDefault="00190023" w:rsidP="00190023">
      <w:pPr>
        <w:pStyle w:val="Item"/>
      </w:pPr>
      <w:r>
        <w:t>Repeal the cell, substitute:</w:t>
      </w:r>
    </w:p>
    <w:p w14:paraId="68DBF0AD" w14:textId="77777777" w:rsidR="00190023" w:rsidRDefault="00190023" w:rsidP="00190023">
      <w:pPr>
        <w:pStyle w:val="Tabletext"/>
      </w:pPr>
    </w:p>
    <w:tbl>
      <w:tblPr>
        <w:tblW w:w="1447"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468"/>
      </w:tblGrid>
      <w:tr w:rsidR="00190023" w:rsidRPr="00E245E3" w14:paraId="4DFBCB42" w14:textId="77777777" w:rsidTr="00A9194B">
        <w:trPr>
          <w:trHeight w:val="20"/>
        </w:trPr>
        <w:tc>
          <w:tcPr>
            <w:tcW w:w="5000" w:type="pct"/>
            <w:tcBorders>
              <w:top w:val="nil"/>
              <w:bottom w:val="nil"/>
            </w:tcBorders>
            <w:shd w:val="clear" w:color="auto" w:fill="auto"/>
          </w:tcPr>
          <w:p w14:paraId="58AD085E" w14:textId="77777777" w:rsidR="00190023" w:rsidRDefault="00190023" w:rsidP="00A9194B">
            <w:pPr>
              <w:pStyle w:val="Tablea"/>
            </w:pPr>
            <w:r>
              <w:t xml:space="preserve">(a) </w:t>
            </w:r>
            <w:r w:rsidRPr="00E245E3">
              <w:t>to increase blood pressure in adults with vasodilatory shock who remain hypotensive despite fluids and catecholamines</w:t>
            </w:r>
            <w:r>
              <w:t>; or</w:t>
            </w:r>
          </w:p>
          <w:p w14:paraId="0126F118" w14:textId="77777777" w:rsidR="00190023" w:rsidRPr="000465F8" w:rsidRDefault="00190023" w:rsidP="00A9194B">
            <w:pPr>
              <w:pStyle w:val="Tablea"/>
            </w:pPr>
            <w:r>
              <w:t>(b) treatment of uterine fibroids</w:t>
            </w:r>
          </w:p>
        </w:tc>
      </w:tr>
    </w:tbl>
    <w:p w14:paraId="4FB17CE4" w14:textId="77777777" w:rsidR="00190023" w:rsidRDefault="00190023" w:rsidP="00190023">
      <w:pPr>
        <w:pStyle w:val="ItemHead"/>
      </w:pPr>
      <w:r>
        <w:t xml:space="preserve">5  </w:t>
      </w:r>
      <w:proofErr w:type="spellStart"/>
      <w:r w:rsidR="003F00BA">
        <w:t>Subregulation</w:t>
      </w:r>
      <w:proofErr w:type="spellEnd"/>
      <w:r w:rsidR="003F00BA">
        <w:t> 1</w:t>
      </w:r>
      <w:r>
        <w:t xml:space="preserve">2B(1B) (cell at table </w:t>
      </w:r>
      <w:r w:rsidR="003F00BA">
        <w:t>item 3</w:t>
      </w:r>
      <w:r>
        <w:t>6, column 5)</w:t>
      </w:r>
    </w:p>
    <w:p w14:paraId="67111AEE" w14:textId="77777777" w:rsidR="00190023" w:rsidRDefault="00190023" w:rsidP="00190023">
      <w:pPr>
        <w:pStyle w:val="Item"/>
      </w:pPr>
      <w:r>
        <w:t>Repeal the cell, substitute:</w:t>
      </w:r>
    </w:p>
    <w:p w14:paraId="16431014" w14:textId="77777777" w:rsidR="00190023" w:rsidRDefault="00190023" w:rsidP="00190023">
      <w:pPr>
        <w:pStyle w:val="Tabletext"/>
      </w:pPr>
    </w:p>
    <w:tbl>
      <w:tblPr>
        <w:tblW w:w="1447" w:type="pct"/>
        <w:tblLayout w:type="fixed"/>
        <w:tblLook w:val="0000" w:firstRow="0" w:lastRow="0" w:firstColumn="0" w:lastColumn="0" w:noHBand="0" w:noVBand="0"/>
      </w:tblPr>
      <w:tblGrid>
        <w:gridCol w:w="2468"/>
      </w:tblGrid>
      <w:tr w:rsidR="00190023" w:rsidRPr="00E245E3" w14:paraId="21EAF8DC" w14:textId="77777777" w:rsidTr="00A9194B">
        <w:trPr>
          <w:trHeight w:val="20"/>
        </w:trPr>
        <w:tc>
          <w:tcPr>
            <w:tcW w:w="5000" w:type="pct"/>
            <w:shd w:val="clear" w:color="auto" w:fill="auto"/>
          </w:tcPr>
          <w:p w14:paraId="25CC8D29" w14:textId="77777777" w:rsidR="00190023" w:rsidRDefault="00190023" w:rsidP="00A9194B">
            <w:pPr>
              <w:pStyle w:val="Tablea"/>
            </w:pPr>
            <w:r>
              <w:t xml:space="preserve">(a) </w:t>
            </w:r>
            <w:r w:rsidRPr="00E245E3">
              <w:t>prostate cancer imaging study</w:t>
            </w:r>
          </w:p>
          <w:p w14:paraId="335012B8" w14:textId="77777777" w:rsidR="00190023" w:rsidRPr="000465F8" w:rsidRDefault="00190023" w:rsidP="00A9194B">
            <w:pPr>
              <w:pStyle w:val="Tablea"/>
            </w:pPr>
            <w:r>
              <w:t>(b) PET CT gallium</w:t>
            </w:r>
            <w:r w:rsidR="003F00BA">
              <w:noBreakHyphen/>
            </w:r>
            <w:r>
              <w:t>68 PSMA whole body uptake study</w:t>
            </w:r>
          </w:p>
        </w:tc>
      </w:tr>
    </w:tbl>
    <w:p w14:paraId="4E59C57F" w14:textId="77777777" w:rsidR="00190023" w:rsidRDefault="00190023" w:rsidP="00190023">
      <w:pPr>
        <w:pStyle w:val="ItemHead"/>
      </w:pPr>
      <w:r>
        <w:t xml:space="preserve">6  </w:t>
      </w:r>
      <w:proofErr w:type="spellStart"/>
      <w:r w:rsidR="003F00BA">
        <w:t>Subregulation</w:t>
      </w:r>
      <w:proofErr w:type="spellEnd"/>
      <w:r w:rsidR="003F00BA">
        <w:t> 1</w:t>
      </w:r>
      <w:r>
        <w:t xml:space="preserve">2B(1B) (after table </w:t>
      </w:r>
      <w:r w:rsidR="003F00BA">
        <w:t>item 3</w:t>
      </w:r>
      <w:r>
        <w:t>6)</w:t>
      </w:r>
    </w:p>
    <w:p w14:paraId="64FA6E1A" w14:textId="77777777" w:rsidR="00190023" w:rsidRDefault="00190023" w:rsidP="00190023">
      <w:pPr>
        <w:pStyle w:val="Item"/>
      </w:pPr>
      <w:r>
        <w:t>Insert:</w:t>
      </w:r>
    </w:p>
    <w:p w14:paraId="765EDAE5" w14:textId="77777777" w:rsidR="00190023" w:rsidRDefault="00190023" w:rsidP="00190023">
      <w:pPr>
        <w:pStyle w:val="Tabletext"/>
      </w:pPr>
    </w:p>
    <w:tbl>
      <w:tblPr>
        <w:tblW w:w="5000" w:type="pct"/>
        <w:tblLayout w:type="fixed"/>
        <w:tblLook w:val="0000" w:firstRow="0" w:lastRow="0" w:firstColumn="0" w:lastColumn="0" w:noHBand="0" w:noVBand="0"/>
      </w:tblPr>
      <w:tblGrid>
        <w:gridCol w:w="1101"/>
        <w:gridCol w:w="2125"/>
        <w:gridCol w:w="1283"/>
        <w:gridCol w:w="1552"/>
        <w:gridCol w:w="2468"/>
      </w:tblGrid>
      <w:tr w:rsidR="00190023" w:rsidRPr="00E245E3" w14:paraId="63FEB9C8" w14:textId="77777777" w:rsidTr="00A9194B">
        <w:trPr>
          <w:trHeight w:val="20"/>
        </w:trPr>
        <w:tc>
          <w:tcPr>
            <w:tcW w:w="645" w:type="pct"/>
          </w:tcPr>
          <w:p w14:paraId="30008245" w14:textId="77777777" w:rsidR="00190023" w:rsidRPr="00E245E3" w:rsidRDefault="00190023" w:rsidP="00A9194B">
            <w:pPr>
              <w:pStyle w:val="Tabletext"/>
            </w:pPr>
            <w:r>
              <w:t>36A</w:t>
            </w:r>
          </w:p>
        </w:tc>
        <w:tc>
          <w:tcPr>
            <w:tcW w:w="1246" w:type="pct"/>
            <w:shd w:val="clear" w:color="auto" w:fill="auto"/>
          </w:tcPr>
          <w:p w14:paraId="1E926D4E" w14:textId="77777777" w:rsidR="00190023" w:rsidRPr="00E245E3" w:rsidRDefault="00190023" w:rsidP="00A9194B">
            <w:pPr>
              <w:pStyle w:val="Tabletext"/>
            </w:pPr>
            <w:r>
              <w:t>ganciclovir</w:t>
            </w:r>
          </w:p>
        </w:tc>
        <w:tc>
          <w:tcPr>
            <w:tcW w:w="752" w:type="pct"/>
            <w:shd w:val="clear" w:color="auto" w:fill="auto"/>
          </w:tcPr>
          <w:p w14:paraId="727813D0" w14:textId="77777777" w:rsidR="00190023" w:rsidRPr="00E245E3" w:rsidRDefault="00190023" w:rsidP="00A9194B">
            <w:pPr>
              <w:pStyle w:val="Tabletext"/>
            </w:pPr>
            <w:r>
              <w:t>gel</w:t>
            </w:r>
          </w:p>
        </w:tc>
        <w:tc>
          <w:tcPr>
            <w:tcW w:w="910" w:type="pct"/>
            <w:shd w:val="clear" w:color="auto" w:fill="auto"/>
          </w:tcPr>
          <w:p w14:paraId="039D0189" w14:textId="77777777" w:rsidR="00190023" w:rsidRPr="00E245E3" w:rsidRDefault="00190023" w:rsidP="00A9194B">
            <w:pPr>
              <w:pStyle w:val="Tabletext"/>
            </w:pPr>
            <w:r>
              <w:t>ophthalmic</w:t>
            </w:r>
          </w:p>
        </w:tc>
        <w:tc>
          <w:tcPr>
            <w:tcW w:w="1447" w:type="pct"/>
            <w:shd w:val="clear" w:color="auto" w:fill="auto"/>
          </w:tcPr>
          <w:p w14:paraId="395098B2" w14:textId="77777777" w:rsidR="00190023" w:rsidRPr="00E245E3" w:rsidRDefault="00190023" w:rsidP="00A9194B">
            <w:pPr>
              <w:pStyle w:val="Tabletext"/>
            </w:pPr>
            <w:r>
              <w:t>treatment of cytomegalovirus</w:t>
            </w:r>
          </w:p>
        </w:tc>
      </w:tr>
    </w:tbl>
    <w:p w14:paraId="3E2A14AF" w14:textId="77777777" w:rsidR="00190023" w:rsidRDefault="00190023" w:rsidP="00190023">
      <w:pPr>
        <w:pStyle w:val="ItemHead"/>
      </w:pPr>
      <w:r>
        <w:t xml:space="preserve">7  </w:t>
      </w:r>
      <w:proofErr w:type="spellStart"/>
      <w:r w:rsidR="003F00BA">
        <w:t>Subregulation</w:t>
      </w:r>
      <w:proofErr w:type="spellEnd"/>
      <w:r w:rsidR="003F00BA">
        <w:t> 1</w:t>
      </w:r>
      <w:r>
        <w:t xml:space="preserve">2B(1B) (after table </w:t>
      </w:r>
      <w:r w:rsidR="003F00BA">
        <w:t>item 5</w:t>
      </w:r>
      <w:r>
        <w:t>1)</w:t>
      </w:r>
    </w:p>
    <w:p w14:paraId="6F684E0B" w14:textId="77777777" w:rsidR="00190023" w:rsidRDefault="00190023" w:rsidP="00190023">
      <w:pPr>
        <w:pStyle w:val="Item"/>
      </w:pPr>
      <w:r>
        <w:t>Insert:</w:t>
      </w:r>
    </w:p>
    <w:p w14:paraId="0F86FF59" w14:textId="77777777" w:rsidR="00190023" w:rsidRDefault="00190023" w:rsidP="00190023">
      <w:pPr>
        <w:pStyle w:val="Tabletext"/>
      </w:pPr>
    </w:p>
    <w:tbl>
      <w:tblPr>
        <w:tblW w:w="5000" w:type="pct"/>
        <w:tblLayout w:type="fixed"/>
        <w:tblLook w:val="0000" w:firstRow="0" w:lastRow="0" w:firstColumn="0" w:lastColumn="0" w:noHBand="0" w:noVBand="0"/>
      </w:tblPr>
      <w:tblGrid>
        <w:gridCol w:w="1101"/>
        <w:gridCol w:w="2125"/>
        <w:gridCol w:w="1283"/>
        <w:gridCol w:w="1552"/>
        <w:gridCol w:w="2468"/>
      </w:tblGrid>
      <w:tr w:rsidR="00190023" w:rsidRPr="00E245E3" w14:paraId="6F7E4C82" w14:textId="77777777" w:rsidTr="00A9194B">
        <w:trPr>
          <w:trHeight w:val="20"/>
        </w:trPr>
        <w:tc>
          <w:tcPr>
            <w:tcW w:w="645" w:type="pct"/>
          </w:tcPr>
          <w:p w14:paraId="48FEBCD8" w14:textId="77777777" w:rsidR="00190023" w:rsidRPr="00E245E3" w:rsidRDefault="00190023" w:rsidP="00A9194B">
            <w:pPr>
              <w:pStyle w:val="Tabletext"/>
            </w:pPr>
            <w:r>
              <w:t>51A</w:t>
            </w:r>
          </w:p>
        </w:tc>
        <w:tc>
          <w:tcPr>
            <w:tcW w:w="1246" w:type="pct"/>
            <w:shd w:val="clear" w:color="auto" w:fill="auto"/>
          </w:tcPr>
          <w:p w14:paraId="6F9F7731" w14:textId="77777777" w:rsidR="00190023" w:rsidRPr="00E245E3" w:rsidRDefault="00190023" w:rsidP="00A9194B">
            <w:pPr>
              <w:pStyle w:val="Tabletext"/>
            </w:pPr>
            <w:r>
              <w:t>metolazone</w:t>
            </w:r>
          </w:p>
        </w:tc>
        <w:tc>
          <w:tcPr>
            <w:tcW w:w="752" w:type="pct"/>
            <w:shd w:val="clear" w:color="auto" w:fill="auto"/>
          </w:tcPr>
          <w:p w14:paraId="53AC9301" w14:textId="77777777" w:rsidR="00190023" w:rsidRPr="00E245E3" w:rsidRDefault="00190023" w:rsidP="00A9194B">
            <w:pPr>
              <w:pStyle w:val="Tabletext"/>
            </w:pPr>
            <w:r>
              <w:t>tablet</w:t>
            </w:r>
          </w:p>
        </w:tc>
        <w:tc>
          <w:tcPr>
            <w:tcW w:w="910" w:type="pct"/>
            <w:shd w:val="clear" w:color="auto" w:fill="auto"/>
          </w:tcPr>
          <w:p w14:paraId="1E905F1D" w14:textId="77777777" w:rsidR="00190023" w:rsidRPr="00E245E3" w:rsidRDefault="00190023" w:rsidP="00A9194B">
            <w:pPr>
              <w:pStyle w:val="Tabletext"/>
            </w:pPr>
            <w:r>
              <w:t>oral</w:t>
            </w:r>
          </w:p>
        </w:tc>
        <w:tc>
          <w:tcPr>
            <w:tcW w:w="1447" w:type="pct"/>
            <w:shd w:val="clear" w:color="auto" w:fill="auto"/>
          </w:tcPr>
          <w:p w14:paraId="239D9588" w14:textId="77777777" w:rsidR="00190023" w:rsidRPr="00E245E3" w:rsidRDefault="00190023" w:rsidP="00A9194B">
            <w:pPr>
              <w:pStyle w:val="Tabletext"/>
            </w:pPr>
            <w:r>
              <w:t>treatment of fluid overload</w:t>
            </w:r>
          </w:p>
        </w:tc>
      </w:tr>
    </w:tbl>
    <w:p w14:paraId="5B4A09B7" w14:textId="77777777" w:rsidR="00190023" w:rsidRPr="00D676F0" w:rsidRDefault="00190023" w:rsidP="00190023">
      <w:pPr>
        <w:pStyle w:val="Tabletext"/>
      </w:pPr>
    </w:p>
    <w:p w14:paraId="4263A04D" w14:textId="77777777" w:rsidR="00190023" w:rsidRDefault="00190023" w:rsidP="00190023">
      <w:pPr>
        <w:pStyle w:val="itemhead0"/>
        <w:shd w:val="clear" w:color="auto" w:fill="FFFFFF"/>
        <w:spacing w:before="220" w:beforeAutospacing="0" w:after="0" w:afterAutospacing="0"/>
        <w:ind w:left="709" w:hanging="709"/>
        <w:rPr>
          <w:rFonts w:ascii="Arial" w:hAnsi="Arial" w:cs="Arial"/>
          <w:b/>
          <w:bCs/>
          <w:color w:val="000000"/>
        </w:rPr>
      </w:pPr>
      <w:r>
        <w:rPr>
          <w:rFonts w:ascii="Arial" w:hAnsi="Arial" w:cs="Arial"/>
          <w:b/>
          <w:bCs/>
          <w:color w:val="000000"/>
        </w:rPr>
        <w:t>8  In the appropriate position in Part 9</w:t>
      </w:r>
    </w:p>
    <w:p w14:paraId="03097641" w14:textId="77777777" w:rsidR="00190023" w:rsidRDefault="00190023" w:rsidP="00190023">
      <w:pPr>
        <w:pStyle w:val="item0"/>
        <w:shd w:val="clear" w:color="auto" w:fill="FFFFFF"/>
        <w:spacing w:before="80" w:beforeAutospacing="0" w:after="0" w:afterAutospacing="0"/>
        <w:ind w:left="709"/>
        <w:rPr>
          <w:color w:val="000000"/>
          <w:sz w:val="22"/>
          <w:szCs w:val="22"/>
        </w:rPr>
      </w:pPr>
      <w:r>
        <w:rPr>
          <w:color w:val="000000"/>
          <w:sz w:val="22"/>
          <w:szCs w:val="22"/>
        </w:rPr>
        <w:t>Insert:</w:t>
      </w:r>
    </w:p>
    <w:p w14:paraId="1D0A4BA5" w14:textId="77777777" w:rsidR="00190023" w:rsidRDefault="00190023" w:rsidP="00190023">
      <w:pPr>
        <w:pStyle w:val="ActHead3"/>
      </w:pPr>
      <w:bookmarkStart w:id="14" w:name="_Toc109910076"/>
      <w:r w:rsidRPr="00E1569E">
        <w:rPr>
          <w:rStyle w:val="CharDivNo"/>
        </w:rPr>
        <w:t>Division 20</w:t>
      </w:r>
      <w:r w:rsidRPr="00C50D38">
        <w:t>—</w:t>
      </w:r>
      <w:r w:rsidRPr="00E1569E">
        <w:rPr>
          <w:rStyle w:val="CharDivText"/>
        </w:rPr>
        <w:t xml:space="preserve">Application provisions relating to the </w:t>
      </w:r>
      <w:bookmarkEnd w:id="14"/>
      <w:r w:rsidRPr="00E1569E">
        <w:rPr>
          <w:rStyle w:val="CharDivText"/>
        </w:rPr>
        <w:t>Therapeutic Goods Legislation Amendment (2022 Measures No. 3) Regulations 2022</w:t>
      </w:r>
    </w:p>
    <w:p w14:paraId="2F04BCFB" w14:textId="77777777" w:rsidR="00190023" w:rsidRDefault="00190023" w:rsidP="00190023">
      <w:pPr>
        <w:pStyle w:val="ActHead5"/>
      </w:pPr>
      <w:bookmarkStart w:id="15" w:name="_Toc109910077"/>
      <w:bookmarkStart w:id="16" w:name="_Hlk119315721"/>
      <w:r w:rsidRPr="00E1569E">
        <w:rPr>
          <w:rStyle w:val="CharSectno"/>
        </w:rPr>
        <w:t>88</w:t>
      </w:r>
      <w:r>
        <w:t xml:space="preserve">  Exempt goods</w:t>
      </w:r>
    </w:p>
    <w:p w14:paraId="63D2B0F7" w14:textId="77777777" w:rsidR="00190023" w:rsidRPr="004D39B4" w:rsidRDefault="00190023" w:rsidP="00190023">
      <w:pPr>
        <w:pStyle w:val="subsection"/>
      </w:pPr>
      <w:r>
        <w:tab/>
      </w:r>
      <w:r>
        <w:tab/>
      </w:r>
      <w:r w:rsidRPr="00010519">
        <w:t xml:space="preserve">The amendment of </w:t>
      </w:r>
      <w:r w:rsidR="003F00BA">
        <w:t>item 1</w:t>
      </w:r>
      <w:r w:rsidR="00585B85">
        <w:t xml:space="preserve"> of the table in </w:t>
      </w:r>
      <w:r w:rsidR="003F00BA">
        <w:t>Schedule 5</w:t>
      </w:r>
      <w:r w:rsidRPr="00010519">
        <w:t xml:space="preserve"> made by Schedule </w:t>
      </w:r>
      <w:r>
        <w:t>2</w:t>
      </w:r>
      <w:r w:rsidRPr="00010519">
        <w:t xml:space="preserve"> to the </w:t>
      </w:r>
      <w:r w:rsidRPr="00A8542F">
        <w:rPr>
          <w:i/>
        </w:rPr>
        <w:t>Therapeutic Goods Legislation Amendment (2022 Measures No. 3) Regulations 2022</w:t>
      </w:r>
      <w:r w:rsidRPr="00FF3BF2">
        <w:rPr>
          <w:i/>
        </w:rPr>
        <w:t> </w:t>
      </w:r>
      <w:r w:rsidRPr="00010519">
        <w:t>appl</w:t>
      </w:r>
      <w:r>
        <w:t xml:space="preserve">ies </w:t>
      </w:r>
      <w:r w:rsidRPr="00010519">
        <w:t xml:space="preserve">in relation to </w:t>
      </w:r>
      <w:r>
        <w:t xml:space="preserve">therapeutic goods that are imported </w:t>
      </w:r>
      <w:r w:rsidRPr="00010519">
        <w:t xml:space="preserve">on or after the commencement of </w:t>
      </w:r>
      <w:r>
        <w:t>this regulation</w:t>
      </w:r>
      <w:r w:rsidRPr="00010519">
        <w:t>.</w:t>
      </w:r>
    </w:p>
    <w:p w14:paraId="24DBCE05" w14:textId="77777777" w:rsidR="00190023" w:rsidRPr="00010519" w:rsidRDefault="00190023" w:rsidP="00A60458">
      <w:pPr>
        <w:pStyle w:val="ActHead5"/>
        <w:rPr>
          <w:bCs/>
          <w:color w:val="000000"/>
          <w:szCs w:val="24"/>
        </w:rPr>
      </w:pPr>
      <w:r w:rsidRPr="00E1569E">
        <w:rPr>
          <w:rStyle w:val="CharSectno"/>
        </w:rPr>
        <w:t>89</w:t>
      </w:r>
      <w:r>
        <w:rPr>
          <w:bCs/>
          <w:color w:val="000000"/>
          <w:szCs w:val="24"/>
        </w:rPr>
        <w:t xml:space="preserve"> </w:t>
      </w:r>
      <w:r w:rsidRPr="00010519">
        <w:rPr>
          <w:bCs/>
          <w:color w:val="000000"/>
          <w:szCs w:val="24"/>
        </w:rPr>
        <w:t xml:space="preserve"> </w:t>
      </w:r>
      <w:bookmarkEnd w:id="15"/>
      <w:r w:rsidR="00A60458">
        <w:t>Fee for requests to vary entries in Register</w:t>
      </w:r>
    </w:p>
    <w:p w14:paraId="1F7B6AF0" w14:textId="77777777" w:rsidR="00190023" w:rsidRPr="00010519" w:rsidRDefault="00190023" w:rsidP="00190023">
      <w:pPr>
        <w:pStyle w:val="subsection"/>
      </w:pPr>
      <w:r>
        <w:tab/>
      </w:r>
      <w:r w:rsidRPr="00010519">
        <w:t>(1)</w:t>
      </w:r>
      <w:r>
        <w:tab/>
      </w:r>
      <w:r w:rsidRPr="00010519">
        <w:t xml:space="preserve">The amendment of </w:t>
      </w:r>
      <w:r w:rsidR="003F00BA">
        <w:t>item 2</w:t>
      </w:r>
      <w:r w:rsidR="00793E34">
        <w:t xml:space="preserve">A of the table in </w:t>
      </w:r>
      <w:r w:rsidR="003F00BA">
        <w:t>clause 3</w:t>
      </w:r>
      <w:r>
        <w:t xml:space="preserve"> of </w:t>
      </w:r>
      <w:r w:rsidR="003F00BA">
        <w:t>Schedule 9</w:t>
      </w:r>
      <w:r w:rsidRPr="00010519">
        <w:t xml:space="preserve"> made by Schedule 2 to the </w:t>
      </w:r>
      <w:r w:rsidRPr="00A8542F">
        <w:rPr>
          <w:i/>
        </w:rPr>
        <w:t>Therapeutic Goods Legislation Amendment (2022 Measures No. 3) Regulations 2022</w:t>
      </w:r>
      <w:r w:rsidRPr="00FF3BF2">
        <w:rPr>
          <w:i/>
        </w:rPr>
        <w:t> </w:t>
      </w:r>
      <w:r w:rsidRPr="00010519">
        <w:t>appl</w:t>
      </w:r>
      <w:r>
        <w:t>ies</w:t>
      </w:r>
      <w:r w:rsidRPr="00010519">
        <w:t xml:space="preserve"> in relation to </w:t>
      </w:r>
      <w:r>
        <w:t>a request</w:t>
      </w:r>
      <w:r w:rsidRPr="00010519">
        <w:t xml:space="preserve"> that is made on or after the commencement of </w:t>
      </w:r>
      <w:r>
        <w:t>this regulation</w:t>
      </w:r>
      <w:r w:rsidRPr="00010519">
        <w:t>.</w:t>
      </w:r>
    </w:p>
    <w:bookmarkEnd w:id="16"/>
    <w:p w14:paraId="5CC239D9" w14:textId="77777777" w:rsidR="00190023" w:rsidRPr="00010519" w:rsidRDefault="00190023" w:rsidP="00190023">
      <w:pPr>
        <w:pStyle w:val="subsection"/>
      </w:pPr>
      <w:r>
        <w:tab/>
      </w:r>
      <w:bookmarkStart w:id="17" w:name="_Hlk119315308"/>
      <w:r w:rsidRPr="00010519">
        <w:t>(2)</w:t>
      </w:r>
      <w:r>
        <w:tab/>
      </w:r>
      <w:r w:rsidRPr="00010519">
        <w:t>If:</w:t>
      </w:r>
    </w:p>
    <w:p w14:paraId="223230AC" w14:textId="77777777" w:rsidR="00190023" w:rsidRDefault="00190023" w:rsidP="00190023">
      <w:pPr>
        <w:pStyle w:val="paragraph"/>
      </w:pPr>
      <w:r>
        <w:tab/>
      </w:r>
      <w:r w:rsidRPr="00010519">
        <w:t>(a)</w:t>
      </w:r>
      <w:r>
        <w:tab/>
      </w:r>
      <w:r w:rsidRPr="00010519">
        <w:t xml:space="preserve">on or after 1 January 2022 and before the commencement of this regulation, a person </w:t>
      </w:r>
      <w:r>
        <w:t xml:space="preserve">made a request of a kind covered by </w:t>
      </w:r>
      <w:r w:rsidR="003F00BA">
        <w:t>paragraph (</w:t>
      </w:r>
      <w:r>
        <w:t xml:space="preserve">c) of </w:t>
      </w:r>
      <w:r w:rsidR="003F00BA">
        <w:t>item 2</w:t>
      </w:r>
      <w:r>
        <w:t xml:space="preserve">A of the table in </w:t>
      </w:r>
      <w:r w:rsidR="003F00BA">
        <w:t>clause 3</w:t>
      </w:r>
      <w:r>
        <w:t xml:space="preserve"> of </w:t>
      </w:r>
      <w:r w:rsidR="003F00BA">
        <w:t>Schedule 9</w:t>
      </w:r>
      <w:r w:rsidR="00793E34">
        <w:t xml:space="preserve"> (as that item was in force before that commencement)</w:t>
      </w:r>
      <w:r>
        <w:t>; and</w:t>
      </w:r>
    </w:p>
    <w:p w14:paraId="7A81ED1B" w14:textId="77777777" w:rsidR="00190023" w:rsidRDefault="00190023" w:rsidP="00190023">
      <w:pPr>
        <w:pStyle w:val="paragraph"/>
      </w:pPr>
      <w:r>
        <w:tab/>
      </w:r>
      <w:r w:rsidRPr="00010519">
        <w:t>(</w:t>
      </w:r>
      <w:r>
        <w:t>b</w:t>
      </w:r>
      <w:r w:rsidRPr="00010519">
        <w:t>)</w:t>
      </w:r>
      <w:r>
        <w:tab/>
        <w:t xml:space="preserve">on </w:t>
      </w:r>
      <w:r w:rsidRPr="00010519">
        <w:t xml:space="preserve">or after 1 January 2022 and before the commencement of this regulation, the person paid the fee applicable in relation to the </w:t>
      </w:r>
      <w:r>
        <w:t>request</w:t>
      </w:r>
      <w:r w:rsidRPr="00010519">
        <w:t xml:space="preserve"> under </w:t>
      </w:r>
      <w:r w:rsidR="003F00BA">
        <w:t>paragraph (</w:t>
      </w:r>
      <w:r>
        <w:t>c) of that item</w:t>
      </w:r>
      <w:r w:rsidR="00793E34">
        <w:t xml:space="preserve"> (as that item was in force before that commencement)</w:t>
      </w:r>
      <w:r w:rsidRPr="00010519">
        <w:t>;</w:t>
      </w:r>
      <w:r w:rsidR="00793E34">
        <w:t xml:space="preserve"> and</w:t>
      </w:r>
    </w:p>
    <w:p w14:paraId="65720E9B" w14:textId="77777777" w:rsidR="000A67ED" w:rsidRPr="00A76DCC" w:rsidRDefault="000A67ED" w:rsidP="00190023">
      <w:pPr>
        <w:pStyle w:val="paragraph"/>
      </w:pPr>
      <w:r>
        <w:tab/>
        <w:t>(c)</w:t>
      </w:r>
      <w:r>
        <w:tab/>
      </w:r>
      <w:r w:rsidR="009E0EA3">
        <w:rPr>
          <w:lang w:eastAsia="en-US"/>
        </w:rPr>
        <w:t>had the request been made on the day on which this regulation commences</w:t>
      </w:r>
      <w:r w:rsidR="009E0EA3">
        <w:t xml:space="preserve">, the request would have been covered by </w:t>
      </w:r>
      <w:r w:rsidR="003F00BA">
        <w:t>paragraph (</w:t>
      </w:r>
      <w:r w:rsidR="009E0EA3">
        <w:t>d) of that it</w:t>
      </w:r>
      <w:r w:rsidR="009E0EA3" w:rsidRPr="00A76DCC">
        <w:t>em as in force on that commencement;</w:t>
      </w:r>
    </w:p>
    <w:p w14:paraId="63A73C6E" w14:textId="77777777" w:rsidR="00190023" w:rsidRPr="00597C2F" w:rsidRDefault="00190023" w:rsidP="00190023">
      <w:pPr>
        <w:pStyle w:val="subsection2"/>
      </w:pPr>
      <w:r w:rsidRPr="00010519">
        <w:t xml:space="preserve">the Secretary must, on behalf of the Commonwealth, refund to the person the difference between the fee paid and the fee that would have been applicable in relation to the </w:t>
      </w:r>
      <w:r>
        <w:t xml:space="preserve">request under </w:t>
      </w:r>
      <w:r w:rsidR="003F00BA">
        <w:t>paragraph (</w:t>
      </w:r>
      <w:r>
        <w:t>d) of that item if t</w:t>
      </w:r>
      <w:r w:rsidRPr="00010519">
        <w:t xml:space="preserve">he </w:t>
      </w:r>
      <w:r>
        <w:t>request</w:t>
      </w:r>
      <w:r w:rsidRPr="00010519">
        <w:t xml:space="preserve"> had been made on the day on which this regulation commences</w:t>
      </w:r>
      <w:r>
        <w:t>.</w:t>
      </w:r>
      <w:bookmarkEnd w:id="17"/>
    </w:p>
    <w:p w14:paraId="21C625EC" w14:textId="77777777" w:rsidR="00E36CCE" w:rsidRDefault="00190023" w:rsidP="00E36CCE">
      <w:pPr>
        <w:pStyle w:val="ItemHead"/>
      </w:pPr>
      <w:r>
        <w:t>9</w:t>
      </w:r>
      <w:r w:rsidR="00FB4BF0">
        <w:t xml:space="preserve">  </w:t>
      </w:r>
      <w:r w:rsidR="003F00BA">
        <w:t>Schedule 5</w:t>
      </w:r>
      <w:r w:rsidR="00FB4BF0">
        <w:t xml:space="preserve"> (table </w:t>
      </w:r>
      <w:r w:rsidR="003F00BA">
        <w:t>item 1</w:t>
      </w:r>
      <w:r w:rsidR="00FB4BF0">
        <w:t xml:space="preserve">, column 2, </w:t>
      </w:r>
      <w:r w:rsidR="003F00BA">
        <w:t>paragraph (</w:t>
      </w:r>
      <w:r w:rsidR="00FB4BF0">
        <w:t>b))</w:t>
      </w:r>
    </w:p>
    <w:p w14:paraId="49A9A008" w14:textId="77777777" w:rsidR="00FB4BF0" w:rsidRDefault="00FB4BF0" w:rsidP="00FB4BF0">
      <w:pPr>
        <w:pStyle w:val="Item"/>
      </w:pPr>
      <w:r>
        <w:t>Repeal the paragraph.</w:t>
      </w:r>
      <w:bookmarkEnd w:id="13"/>
    </w:p>
    <w:p w14:paraId="0B6D2FD2" w14:textId="77777777" w:rsidR="00AE0207" w:rsidRDefault="00C07FCA" w:rsidP="00AE0207">
      <w:pPr>
        <w:pStyle w:val="ItemHead"/>
      </w:pPr>
      <w:r>
        <w:t>10</w:t>
      </w:r>
      <w:r w:rsidR="00AE0207">
        <w:t xml:space="preserve">  </w:t>
      </w:r>
      <w:r w:rsidR="003F00BA">
        <w:t>Schedule 5</w:t>
      </w:r>
      <w:r w:rsidR="00AE0207">
        <w:t xml:space="preserve"> (after table </w:t>
      </w:r>
      <w:r w:rsidR="003F00BA">
        <w:t>item 6</w:t>
      </w:r>
      <w:r w:rsidR="00AE0207">
        <w:t>)</w:t>
      </w:r>
    </w:p>
    <w:p w14:paraId="76D047C1" w14:textId="77777777" w:rsidR="00AE0207" w:rsidRDefault="00AE0207" w:rsidP="00AE0207">
      <w:pPr>
        <w:pStyle w:val="Item"/>
      </w:pPr>
      <w:r>
        <w:t>Insert:</w:t>
      </w:r>
    </w:p>
    <w:p w14:paraId="2F5DA75B" w14:textId="77777777" w:rsidR="00AE0207" w:rsidRPr="00AE0207" w:rsidRDefault="00AE0207" w:rsidP="00AE0207">
      <w:pPr>
        <w:pStyle w:val="Tabletext"/>
      </w:pPr>
    </w:p>
    <w:tbl>
      <w:tblPr>
        <w:tblW w:w="5000" w:type="pct"/>
        <w:tblLook w:val="0000" w:firstRow="0" w:lastRow="0" w:firstColumn="0" w:lastColumn="0" w:noHBand="0" w:noVBand="0"/>
      </w:tblPr>
      <w:tblGrid>
        <w:gridCol w:w="1146"/>
        <w:gridCol w:w="7383"/>
      </w:tblGrid>
      <w:tr w:rsidR="00AE0207" w:rsidRPr="00E245E3" w:rsidDel="00BD3E81" w14:paraId="34CC9990" w14:textId="77777777" w:rsidTr="008C59AD">
        <w:trPr>
          <w:cantSplit/>
        </w:trPr>
        <w:tc>
          <w:tcPr>
            <w:tcW w:w="672" w:type="pct"/>
            <w:shd w:val="clear" w:color="auto" w:fill="auto"/>
          </w:tcPr>
          <w:p w14:paraId="36EA2BCB" w14:textId="77777777" w:rsidR="00AE0207" w:rsidRPr="00E245E3" w:rsidDel="00BD3E81" w:rsidRDefault="00AE0207" w:rsidP="008C59AD">
            <w:pPr>
              <w:pStyle w:val="Tabletext"/>
            </w:pPr>
            <w:r w:rsidRPr="00E245E3">
              <w:rPr>
                <w:lang w:eastAsia="en-US"/>
              </w:rPr>
              <w:t>6</w:t>
            </w:r>
            <w:r>
              <w:rPr>
                <w:lang w:eastAsia="en-US"/>
              </w:rPr>
              <w:t>A</w:t>
            </w:r>
          </w:p>
        </w:tc>
        <w:tc>
          <w:tcPr>
            <w:tcW w:w="4328" w:type="pct"/>
            <w:shd w:val="clear" w:color="auto" w:fill="auto"/>
          </w:tcPr>
          <w:p w14:paraId="509EED80" w14:textId="77777777" w:rsidR="00531598" w:rsidRDefault="00AE0207" w:rsidP="008C59AD">
            <w:pPr>
              <w:pStyle w:val="Tabletext"/>
              <w:rPr>
                <w:lang w:eastAsia="en-US"/>
              </w:rPr>
            </w:pPr>
            <w:r w:rsidRPr="00E245E3">
              <w:rPr>
                <w:lang w:eastAsia="en-US"/>
              </w:rPr>
              <w:t>medicines</w:t>
            </w:r>
            <w:r w:rsidR="002003FA">
              <w:rPr>
                <w:lang w:eastAsia="en-US"/>
              </w:rPr>
              <w:t xml:space="preserve"> (</w:t>
            </w:r>
            <w:r w:rsidR="002003FA">
              <w:t>other than medicines that are used for gene therapy</w:t>
            </w:r>
            <w:r w:rsidR="00A8542F">
              <w:t xml:space="preserve"> or that are </w:t>
            </w:r>
            <w:r w:rsidR="00A8542F" w:rsidRPr="00A8542F">
              <w:t>medicinal cannabis products</w:t>
            </w:r>
            <w:r w:rsidR="002003FA">
              <w:t>)</w:t>
            </w:r>
            <w:r w:rsidR="009025FF">
              <w:t xml:space="preserve"> that</w:t>
            </w:r>
            <w:r w:rsidR="008C59AD">
              <w:t xml:space="preserve"> </w:t>
            </w:r>
            <w:r w:rsidR="008C59AD" w:rsidRPr="00E245E3">
              <w:rPr>
                <w:lang w:eastAsia="en-US"/>
              </w:rPr>
              <w:t>are</w:t>
            </w:r>
            <w:r w:rsidR="00531598">
              <w:rPr>
                <w:lang w:eastAsia="en-US"/>
              </w:rPr>
              <w:t>:</w:t>
            </w:r>
          </w:p>
          <w:p w14:paraId="7C0A30C5" w14:textId="77777777" w:rsidR="00531598" w:rsidRDefault="00531598" w:rsidP="00531598">
            <w:pPr>
              <w:pStyle w:val="Tablea"/>
              <w:rPr>
                <w:lang w:eastAsia="en-US"/>
              </w:rPr>
            </w:pPr>
            <w:r>
              <w:t xml:space="preserve">(a) </w:t>
            </w:r>
            <w:r w:rsidR="00361D24" w:rsidRPr="00E245E3">
              <w:rPr>
                <w:lang w:eastAsia="en-US"/>
              </w:rPr>
              <w:t>compounded</w:t>
            </w:r>
            <w:r w:rsidR="00361D24">
              <w:rPr>
                <w:lang w:eastAsia="en-US"/>
              </w:rPr>
              <w:t xml:space="preserve"> in a hospital </w:t>
            </w:r>
            <w:r w:rsidR="00361D24">
              <w:t>by</w:t>
            </w:r>
            <w:r>
              <w:rPr>
                <w:lang w:eastAsia="en-US"/>
              </w:rPr>
              <w:t>:</w:t>
            </w:r>
          </w:p>
          <w:p w14:paraId="2DFDFDA3" w14:textId="77777777" w:rsidR="00531598" w:rsidRDefault="00531598" w:rsidP="00531598">
            <w:pPr>
              <w:pStyle w:val="Tablei"/>
            </w:pPr>
            <w:r>
              <w:t>(</w:t>
            </w:r>
            <w:proofErr w:type="spellStart"/>
            <w:r>
              <w:t>i</w:t>
            </w:r>
            <w:proofErr w:type="spellEnd"/>
            <w:r>
              <w:t xml:space="preserve">) </w:t>
            </w:r>
            <w:r w:rsidR="00361D24">
              <w:t xml:space="preserve">in the case of a private hospital—a hospital pharmacist who is engaged in the </w:t>
            </w:r>
            <w:r w:rsidR="0070289D">
              <w:t>manufacture</w:t>
            </w:r>
            <w:r w:rsidR="00361D24">
              <w:t xml:space="preserve"> of therapeutic goods (other than biologicals) on the premises of the private hospital; or</w:t>
            </w:r>
          </w:p>
          <w:p w14:paraId="03F82AAA" w14:textId="77777777" w:rsidR="00531598" w:rsidRDefault="00531598" w:rsidP="00531598">
            <w:pPr>
              <w:pStyle w:val="Tablei"/>
            </w:pPr>
            <w:r>
              <w:t xml:space="preserve">(ii) </w:t>
            </w:r>
            <w:r w:rsidR="00361D24">
              <w:t>in the case of a public hospital—</w:t>
            </w:r>
            <w:r>
              <w:t xml:space="preserve">a </w:t>
            </w:r>
            <w:r w:rsidR="0054729F">
              <w:t>pharmacist</w:t>
            </w:r>
            <w:r>
              <w:t xml:space="preserve"> </w:t>
            </w:r>
            <w:r w:rsidR="002003FA">
              <w:t xml:space="preserve">who is </w:t>
            </w:r>
            <w:r w:rsidR="00361D24">
              <w:t xml:space="preserve">employed by the public hospital and is </w:t>
            </w:r>
            <w:r>
              <w:t>engaged in the manufacture of therapeutic goods (other than biologicals)</w:t>
            </w:r>
            <w:r w:rsidR="002003FA">
              <w:t>; and</w:t>
            </w:r>
          </w:p>
          <w:p w14:paraId="62896411" w14:textId="77777777" w:rsidR="00531598" w:rsidRDefault="00531598" w:rsidP="00361D24">
            <w:pPr>
              <w:pStyle w:val="Tablea"/>
            </w:pPr>
            <w:r>
              <w:t>(</w:t>
            </w:r>
            <w:r w:rsidR="00361D24">
              <w:t>b</w:t>
            </w:r>
            <w:r>
              <w:t xml:space="preserve">) </w:t>
            </w:r>
            <w:r w:rsidR="00361D24" w:rsidRPr="00E245E3">
              <w:rPr>
                <w:lang w:eastAsia="en-US"/>
              </w:rPr>
              <w:t>compounded</w:t>
            </w:r>
            <w:r w:rsidR="00361D24">
              <w:rPr>
                <w:lang w:eastAsia="en-US"/>
              </w:rPr>
              <w:t xml:space="preserve"> </w:t>
            </w:r>
            <w:r>
              <w:t xml:space="preserve">in anticipation of being needed for therapeutic application to patients of the hospital; </w:t>
            </w:r>
            <w:r w:rsidR="002003FA">
              <w:t>and</w:t>
            </w:r>
          </w:p>
          <w:p w14:paraId="4BD0D5BD" w14:textId="77777777" w:rsidR="002003FA" w:rsidRDefault="002003FA" w:rsidP="002003FA">
            <w:pPr>
              <w:pStyle w:val="Tablea"/>
            </w:pPr>
            <w:r>
              <w:t>(</w:t>
            </w:r>
            <w:r w:rsidR="00361D24">
              <w:t>c</w:t>
            </w:r>
            <w:r>
              <w:t xml:space="preserve">) considered by the hospital’s </w:t>
            </w:r>
            <w:r w:rsidR="001209F5">
              <w:t>d</w:t>
            </w:r>
            <w:r>
              <w:t xml:space="preserve">rug and </w:t>
            </w:r>
            <w:r w:rsidR="001209F5">
              <w:t>t</w:t>
            </w:r>
            <w:r>
              <w:t xml:space="preserve">herapeutic </w:t>
            </w:r>
            <w:r w:rsidR="001209F5">
              <w:t>c</w:t>
            </w:r>
            <w:r>
              <w:t xml:space="preserve">ommittee (however called) to be appropriate for compounding in anticipation of being needed </w:t>
            </w:r>
            <w:r w:rsidR="00890210">
              <w:t>to treat a patient at the hospital</w:t>
            </w:r>
          </w:p>
          <w:p w14:paraId="25A48D47" w14:textId="77777777" w:rsidR="00AE0207" w:rsidRPr="00E245E3" w:rsidDel="00BD3E81" w:rsidRDefault="00AE0207" w:rsidP="008C59AD">
            <w:pPr>
              <w:pStyle w:val="Tabletext"/>
            </w:pPr>
          </w:p>
        </w:tc>
      </w:tr>
    </w:tbl>
    <w:p w14:paraId="282BE8B4" w14:textId="77777777" w:rsidR="00C07FCA" w:rsidRDefault="00C07FCA" w:rsidP="00C07FCA">
      <w:pPr>
        <w:pStyle w:val="ItemHead"/>
      </w:pPr>
      <w:r>
        <w:t>11</w:t>
      </w:r>
      <w:r w:rsidRPr="00E367C1">
        <w:t xml:space="preserve">  </w:t>
      </w:r>
      <w:r w:rsidR="003F00BA">
        <w:t>Clause 3</w:t>
      </w:r>
      <w:r w:rsidRPr="00AE02A8">
        <w:t xml:space="preserve"> of </w:t>
      </w:r>
      <w:r w:rsidR="003F00BA">
        <w:t>Schedule 9</w:t>
      </w:r>
      <w:r w:rsidRPr="00AE02A8">
        <w:t xml:space="preserve"> (table </w:t>
      </w:r>
      <w:r w:rsidR="003F00BA">
        <w:t>item 2</w:t>
      </w:r>
      <w:r w:rsidRPr="00AE02A8">
        <w:t>A)</w:t>
      </w:r>
    </w:p>
    <w:p w14:paraId="378B0E7E" w14:textId="77777777" w:rsidR="00C07FCA" w:rsidRDefault="00C07FCA" w:rsidP="00C07FCA">
      <w:pPr>
        <w:pStyle w:val="Item"/>
      </w:pPr>
      <w:r>
        <w:t>Omit:</w:t>
      </w:r>
    </w:p>
    <w:tbl>
      <w:tblPr>
        <w:tblW w:w="4378" w:type="pct"/>
        <w:tblBorders>
          <w:top w:val="single" w:sz="4" w:space="0" w:color="auto"/>
          <w:bottom w:val="single" w:sz="2" w:space="0" w:color="auto"/>
          <w:insideH w:val="single" w:sz="4" w:space="0" w:color="auto"/>
        </w:tblBorders>
        <w:tblLook w:val="0000" w:firstRow="0" w:lastRow="0" w:firstColumn="0" w:lastColumn="0" w:noHBand="0" w:noVBand="0"/>
      </w:tblPr>
      <w:tblGrid>
        <w:gridCol w:w="5353"/>
        <w:gridCol w:w="2115"/>
      </w:tblGrid>
      <w:tr w:rsidR="00C07FCA" w:rsidRPr="00AE02A8" w14:paraId="1E1E995C" w14:textId="77777777" w:rsidTr="00A9194B">
        <w:tc>
          <w:tcPr>
            <w:tcW w:w="3584" w:type="pct"/>
            <w:tcBorders>
              <w:top w:val="nil"/>
              <w:bottom w:val="nil"/>
            </w:tcBorders>
            <w:shd w:val="clear" w:color="auto" w:fill="auto"/>
          </w:tcPr>
          <w:p w14:paraId="6CB7CE17" w14:textId="77777777" w:rsidR="00C07FCA" w:rsidRPr="00AE02A8" w:rsidRDefault="00C07FCA" w:rsidP="00A9194B">
            <w:pPr>
              <w:pStyle w:val="Tablea"/>
              <w:ind w:right="-52"/>
              <w:rPr>
                <w:rFonts w:eastAsia="Calibri"/>
                <w:lang w:eastAsia="en-US"/>
              </w:rPr>
            </w:pPr>
            <w:r w:rsidRPr="00AE02A8">
              <w:t>(</w:t>
            </w:r>
            <w:r>
              <w:t>c</w:t>
            </w:r>
            <w:r w:rsidRPr="00AE02A8">
              <w:t xml:space="preserve">) a </w:t>
            </w:r>
            <w:r>
              <w:t>medical device</w:t>
            </w:r>
          </w:p>
        </w:tc>
        <w:tc>
          <w:tcPr>
            <w:tcW w:w="1416" w:type="pct"/>
            <w:tcBorders>
              <w:top w:val="nil"/>
              <w:bottom w:val="nil"/>
            </w:tcBorders>
            <w:shd w:val="clear" w:color="auto" w:fill="auto"/>
          </w:tcPr>
          <w:p w14:paraId="626A2BC9" w14:textId="77777777" w:rsidR="00C07FCA" w:rsidRPr="00AE02A8" w:rsidRDefault="00C07FCA" w:rsidP="00A9194B">
            <w:pPr>
              <w:pStyle w:val="Tabletext"/>
              <w:rPr>
                <w:rFonts w:eastAsia="Calibri"/>
                <w:lang w:eastAsia="en-US"/>
              </w:rPr>
            </w:pPr>
            <w:r w:rsidRPr="00AE02A8">
              <w:t>4</w:t>
            </w:r>
            <w:r>
              <w:t>82</w:t>
            </w:r>
          </w:p>
        </w:tc>
      </w:tr>
    </w:tbl>
    <w:p w14:paraId="16EE2203" w14:textId="77777777" w:rsidR="00C07FCA" w:rsidRDefault="00C07FCA" w:rsidP="00C07FCA">
      <w:pPr>
        <w:pStyle w:val="Item"/>
      </w:pPr>
      <w:r>
        <w:t>substitute:</w:t>
      </w:r>
    </w:p>
    <w:tbl>
      <w:tblPr>
        <w:tblW w:w="4378" w:type="pct"/>
        <w:tblBorders>
          <w:top w:val="single" w:sz="4" w:space="0" w:color="auto"/>
          <w:bottom w:val="single" w:sz="2" w:space="0" w:color="auto"/>
          <w:insideH w:val="single" w:sz="4" w:space="0" w:color="auto"/>
        </w:tblBorders>
        <w:tblLook w:val="0000" w:firstRow="0" w:lastRow="0" w:firstColumn="0" w:lastColumn="0" w:noHBand="0" w:noVBand="0"/>
      </w:tblPr>
      <w:tblGrid>
        <w:gridCol w:w="5353"/>
        <w:gridCol w:w="2115"/>
      </w:tblGrid>
      <w:tr w:rsidR="00C07FCA" w:rsidRPr="00AE02A8" w14:paraId="1478A0B1" w14:textId="77777777" w:rsidTr="00A9194B">
        <w:tc>
          <w:tcPr>
            <w:tcW w:w="3584" w:type="pct"/>
            <w:tcBorders>
              <w:top w:val="nil"/>
              <w:bottom w:val="nil"/>
            </w:tcBorders>
            <w:shd w:val="clear" w:color="auto" w:fill="auto"/>
          </w:tcPr>
          <w:p w14:paraId="489B7A6C" w14:textId="77777777" w:rsidR="00C07FCA" w:rsidRPr="00AE02A8" w:rsidRDefault="00C07FCA" w:rsidP="00A9194B">
            <w:pPr>
              <w:pStyle w:val="Tablea"/>
              <w:ind w:right="-52"/>
            </w:pPr>
            <w:bookmarkStart w:id="18" w:name="_Hlk119308662"/>
            <w:r w:rsidRPr="00AE02A8">
              <w:t>(</w:t>
            </w:r>
            <w:r>
              <w:t>c</w:t>
            </w:r>
            <w:r w:rsidRPr="00AE02A8">
              <w:t xml:space="preserve">) a </w:t>
            </w:r>
            <w:r>
              <w:t xml:space="preserve">medical device, other than a medical device covered by </w:t>
            </w:r>
            <w:r w:rsidR="003F00BA">
              <w:t>paragraph (</w:t>
            </w:r>
            <w:r>
              <w:t>d)</w:t>
            </w:r>
          </w:p>
        </w:tc>
        <w:tc>
          <w:tcPr>
            <w:tcW w:w="1416" w:type="pct"/>
            <w:tcBorders>
              <w:top w:val="nil"/>
              <w:bottom w:val="nil"/>
            </w:tcBorders>
            <w:shd w:val="clear" w:color="auto" w:fill="auto"/>
          </w:tcPr>
          <w:p w14:paraId="0FB456F5" w14:textId="77777777" w:rsidR="00C07FCA" w:rsidRDefault="00C07FCA" w:rsidP="00A9194B">
            <w:pPr>
              <w:pStyle w:val="Tabletext"/>
            </w:pPr>
            <w:r>
              <w:t>482</w:t>
            </w:r>
          </w:p>
        </w:tc>
      </w:tr>
      <w:tr w:rsidR="00C07FCA" w:rsidRPr="00AE02A8" w14:paraId="3C968BDD" w14:textId="77777777" w:rsidTr="00A9194B">
        <w:tc>
          <w:tcPr>
            <w:tcW w:w="3584" w:type="pct"/>
            <w:tcBorders>
              <w:top w:val="nil"/>
              <w:bottom w:val="nil"/>
            </w:tcBorders>
            <w:shd w:val="clear" w:color="auto" w:fill="auto"/>
          </w:tcPr>
          <w:p w14:paraId="72B955CD" w14:textId="77777777" w:rsidR="00C07FCA" w:rsidRDefault="00C07FCA" w:rsidP="00A9194B">
            <w:pPr>
              <w:pStyle w:val="Tablea"/>
              <w:ind w:right="-52"/>
            </w:pPr>
            <w:bookmarkStart w:id="19" w:name="_Hlk119058322"/>
            <w:r w:rsidRPr="00AE02A8">
              <w:t>(</w:t>
            </w:r>
            <w:r>
              <w:t>d</w:t>
            </w:r>
            <w:r w:rsidRPr="00AE02A8">
              <w:t xml:space="preserve">) a </w:t>
            </w:r>
            <w:r>
              <w:t>medical device, if the following are satisfied:</w:t>
            </w:r>
          </w:p>
          <w:p w14:paraId="4B1D9FD2" w14:textId="77777777" w:rsidR="00C07FCA" w:rsidRDefault="00C07FCA" w:rsidP="00A9194B">
            <w:pPr>
              <w:pStyle w:val="Tablei"/>
            </w:pPr>
            <w:r>
              <w:rPr>
                <w:rFonts w:eastAsia="Calibri"/>
              </w:rPr>
              <w:t>(</w:t>
            </w:r>
            <w:proofErr w:type="spellStart"/>
            <w:r>
              <w:rPr>
                <w:rFonts w:eastAsia="Calibri"/>
              </w:rPr>
              <w:t>i</w:t>
            </w:r>
            <w:proofErr w:type="spellEnd"/>
            <w:r>
              <w:rPr>
                <w:rFonts w:eastAsia="Calibri"/>
              </w:rPr>
              <w:t xml:space="preserve">) </w:t>
            </w:r>
            <w:r>
              <w:t xml:space="preserve">the reason for the variation is that the kind of medical device is </w:t>
            </w:r>
            <w:r w:rsidRPr="005C5F35">
              <w:rPr>
                <w:b/>
                <w:i/>
              </w:rPr>
              <w:t>affected by the EU transition</w:t>
            </w:r>
            <w:r>
              <w:t xml:space="preserve"> (within the meaning of </w:t>
            </w:r>
            <w:proofErr w:type="spellStart"/>
            <w:r>
              <w:t>sub</w:t>
            </w:r>
            <w:r w:rsidR="003F00BA">
              <w:t>regulation</w:t>
            </w:r>
            <w:proofErr w:type="spellEnd"/>
            <w:r w:rsidR="003F00BA">
              <w:t> 9</w:t>
            </w:r>
            <w:r>
              <w:t xml:space="preserve">.1AA(3) of the </w:t>
            </w:r>
            <w:r w:rsidRPr="00D407EA">
              <w:rPr>
                <w:i/>
              </w:rPr>
              <w:t xml:space="preserve">Therapeutic Goods (Medical Devices) </w:t>
            </w:r>
            <w:r>
              <w:rPr>
                <w:i/>
              </w:rPr>
              <w:t>Regulations 2</w:t>
            </w:r>
            <w:r w:rsidRPr="00D407EA">
              <w:rPr>
                <w:i/>
              </w:rPr>
              <w:t>002</w:t>
            </w:r>
            <w:r>
              <w:t>);</w:t>
            </w:r>
          </w:p>
          <w:p w14:paraId="4A8908FD" w14:textId="77777777" w:rsidR="00C07FCA" w:rsidRDefault="00C07FCA" w:rsidP="00A9194B">
            <w:pPr>
              <w:pStyle w:val="Tablei"/>
            </w:pPr>
            <w:r>
              <w:t>(ii) the variation only relates to an update to the manufacturer’s evidence for the medical device recorded in the entry in the Register for that kind of medical device;</w:t>
            </w:r>
          </w:p>
          <w:p w14:paraId="062AB99D" w14:textId="77777777" w:rsidR="00C07FCA" w:rsidRDefault="00C07FCA" w:rsidP="00A9194B">
            <w:pPr>
              <w:pStyle w:val="Tablei"/>
            </w:pPr>
            <w:r>
              <w:t>(iii) the request is to vary one or more entries in the Register and the manufacturer’s evidence to which the update relates is the same for each of the entries</w:t>
            </w:r>
          </w:p>
          <w:p w14:paraId="301F7E7F" w14:textId="77777777" w:rsidR="00C07FCA" w:rsidRPr="00486317" w:rsidRDefault="00C07FCA" w:rsidP="00A9194B">
            <w:pPr>
              <w:pStyle w:val="TableAA"/>
              <w:rPr>
                <w:rFonts w:eastAsia="Calibri"/>
              </w:rPr>
            </w:pPr>
          </w:p>
        </w:tc>
        <w:tc>
          <w:tcPr>
            <w:tcW w:w="1416" w:type="pct"/>
            <w:tcBorders>
              <w:top w:val="nil"/>
              <w:bottom w:val="nil"/>
            </w:tcBorders>
            <w:shd w:val="clear" w:color="auto" w:fill="auto"/>
          </w:tcPr>
          <w:p w14:paraId="4344AC66" w14:textId="77777777" w:rsidR="00C07FCA" w:rsidRPr="00AE02A8" w:rsidRDefault="00C07FCA" w:rsidP="00A9194B">
            <w:pPr>
              <w:pStyle w:val="Tabletext"/>
              <w:rPr>
                <w:rFonts w:eastAsia="Calibri"/>
                <w:lang w:eastAsia="en-US"/>
              </w:rPr>
            </w:pPr>
            <w:r>
              <w:t>190 per 10 entries (or part thereof)</w:t>
            </w:r>
          </w:p>
        </w:tc>
      </w:tr>
    </w:tbl>
    <w:bookmarkEnd w:id="18"/>
    <w:bookmarkEnd w:id="19"/>
    <w:p w14:paraId="768069B6" w14:textId="77777777" w:rsidR="00C07FCA" w:rsidRDefault="00C07FCA" w:rsidP="00C07FCA">
      <w:pPr>
        <w:pStyle w:val="ItemHead"/>
      </w:pPr>
      <w:r>
        <w:t xml:space="preserve">12  </w:t>
      </w:r>
      <w:r w:rsidR="003F00BA">
        <w:t>Clause 3</w:t>
      </w:r>
      <w:r>
        <w:t xml:space="preserve"> of </w:t>
      </w:r>
      <w:r w:rsidR="003F00BA">
        <w:t>Schedule 9</w:t>
      </w:r>
      <w:r>
        <w:t xml:space="preserve"> (table </w:t>
      </w:r>
      <w:r w:rsidR="003F00BA">
        <w:t>item 9</w:t>
      </w:r>
      <w:r>
        <w:t>)</w:t>
      </w:r>
    </w:p>
    <w:p w14:paraId="37644F72" w14:textId="77777777" w:rsidR="00C07FCA" w:rsidRDefault="00C07FCA" w:rsidP="00C07FCA">
      <w:pPr>
        <w:pStyle w:val="Item"/>
      </w:pPr>
      <w:r>
        <w:t>Omit “</w:t>
      </w:r>
      <w:r w:rsidRPr="008C59AD">
        <w:t>, 41(1)(f)</w:t>
      </w:r>
      <w:r>
        <w:t>”.</w:t>
      </w:r>
    </w:p>
    <w:sectPr w:rsidR="00C07FCA" w:rsidSect="006C2178">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5B89C" w14:textId="77777777" w:rsidR="003F00BA" w:rsidRDefault="003F00BA" w:rsidP="0048364F">
      <w:pPr>
        <w:spacing w:line="240" w:lineRule="auto"/>
      </w:pPr>
      <w:r>
        <w:separator/>
      </w:r>
    </w:p>
  </w:endnote>
  <w:endnote w:type="continuationSeparator" w:id="0">
    <w:p w14:paraId="634E63E9" w14:textId="77777777" w:rsidR="003F00BA" w:rsidRDefault="003F00B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8415" w14:textId="77777777" w:rsidR="003F00BA" w:rsidRPr="006C2178" w:rsidRDefault="006C2178" w:rsidP="006C2178">
    <w:pPr>
      <w:pStyle w:val="Footer"/>
      <w:tabs>
        <w:tab w:val="clear" w:pos="4153"/>
        <w:tab w:val="clear" w:pos="8306"/>
        <w:tab w:val="center" w:pos="4150"/>
        <w:tab w:val="right" w:pos="8307"/>
      </w:tabs>
      <w:spacing w:before="120"/>
      <w:rPr>
        <w:i/>
        <w:sz w:val="18"/>
      </w:rPr>
    </w:pPr>
    <w:r w:rsidRPr="006C2178">
      <w:rPr>
        <w:i/>
        <w:sz w:val="18"/>
      </w:rPr>
      <w:t>OPC66006 -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6B3D3" w14:textId="77777777" w:rsidR="003F00BA" w:rsidRDefault="003F00BA" w:rsidP="00E97334"/>
  <w:p w14:paraId="2E7D60C6" w14:textId="77777777" w:rsidR="003F00BA" w:rsidRPr="006C2178" w:rsidRDefault="006C2178" w:rsidP="006C2178">
    <w:pPr>
      <w:rPr>
        <w:rFonts w:cs="Times New Roman"/>
        <w:i/>
        <w:sz w:val="18"/>
      </w:rPr>
    </w:pPr>
    <w:r w:rsidRPr="006C2178">
      <w:rPr>
        <w:rFonts w:cs="Times New Roman"/>
        <w:i/>
        <w:sz w:val="18"/>
      </w:rPr>
      <w:t>OPC66006 -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C296C" w14:textId="77777777" w:rsidR="003F00BA" w:rsidRPr="006C2178" w:rsidRDefault="006C2178" w:rsidP="006C2178">
    <w:pPr>
      <w:pStyle w:val="Footer"/>
      <w:tabs>
        <w:tab w:val="clear" w:pos="4153"/>
        <w:tab w:val="clear" w:pos="8306"/>
        <w:tab w:val="center" w:pos="4150"/>
        <w:tab w:val="right" w:pos="8307"/>
      </w:tabs>
      <w:spacing w:before="120"/>
      <w:rPr>
        <w:i/>
        <w:sz w:val="18"/>
      </w:rPr>
    </w:pPr>
    <w:r w:rsidRPr="006C2178">
      <w:rPr>
        <w:i/>
        <w:sz w:val="18"/>
      </w:rPr>
      <w:t>OPC66006 -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53D95" w14:textId="77777777" w:rsidR="003F00BA" w:rsidRPr="00E33C1C" w:rsidRDefault="003F00BA"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F00BA" w14:paraId="35772A68" w14:textId="77777777" w:rsidTr="00E1569E">
      <w:tc>
        <w:tcPr>
          <w:tcW w:w="709" w:type="dxa"/>
          <w:tcBorders>
            <w:top w:val="nil"/>
            <w:left w:val="nil"/>
            <w:bottom w:val="nil"/>
            <w:right w:val="nil"/>
          </w:tcBorders>
        </w:tcPr>
        <w:p w14:paraId="28785B64" w14:textId="77777777" w:rsidR="003F00BA" w:rsidRDefault="003F00BA" w:rsidP="006B27B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C56D223" w14:textId="77A9B23A" w:rsidR="003F00BA" w:rsidRDefault="003F00BA" w:rsidP="006B27B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C49B6">
            <w:rPr>
              <w:i/>
              <w:sz w:val="18"/>
            </w:rPr>
            <w:t>Therapeutic Goods Legislation Amendment (2022 Measures No. 3) Regulations 2022</w:t>
          </w:r>
          <w:r w:rsidRPr="007A1328">
            <w:rPr>
              <w:i/>
              <w:sz w:val="18"/>
            </w:rPr>
            <w:fldChar w:fldCharType="end"/>
          </w:r>
        </w:p>
      </w:tc>
      <w:tc>
        <w:tcPr>
          <w:tcW w:w="1384" w:type="dxa"/>
          <w:tcBorders>
            <w:top w:val="nil"/>
            <w:left w:val="nil"/>
            <w:bottom w:val="nil"/>
            <w:right w:val="nil"/>
          </w:tcBorders>
        </w:tcPr>
        <w:p w14:paraId="19C85525" w14:textId="77777777" w:rsidR="003F00BA" w:rsidRDefault="003F00BA" w:rsidP="006B27BB">
          <w:pPr>
            <w:spacing w:line="0" w:lineRule="atLeast"/>
            <w:jc w:val="right"/>
            <w:rPr>
              <w:sz w:val="18"/>
            </w:rPr>
          </w:pPr>
        </w:p>
      </w:tc>
    </w:tr>
  </w:tbl>
  <w:p w14:paraId="37A2B9F0" w14:textId="77777777" w:rsidR="003F00BA" w:rsidRPr="006C2178" w:rsidRDefault="006C2178" w:rsidP="006C2178">
    <w:pPr>
      <w:rPr>
        <w:rFonts w:cs="Times New Roman"/>
        <w:i/>
        <w:sz w:val="18"/>
      </w:rPr>
    </w:pPr>
    <w:r w:rsidRPr="006C2178">
      <w:rPr>
        <w:rFonts w:cs="Times New Roman"/>
        <w:i/>
        <w:sz w:val="18"/>
      </w:rPr>
      <w:t>OPC66006 -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D4F95" w14:textId="77777777" w:rsidR="003F00BA" w:rsidRPr="00E33C1C" w:rsidRDefault="003F00BA"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3F00BA" w14:paraId="24A1E1EB" w14:textId="77777777" w:rsidTr="00E1569E">
      <w:tc>
        <w:tcPr>
          <w:tcW w:w="1383" w:type="dxa"/>
          <w:tcBorders>
            <w:top w:val="nil"/>
            <w:left w:val="nil"/>
            <w:bottom w:val="nil"/>
            <w:right w:val="nil"/>
          </w:tcBorders>
        </w:tcPr>
        <w:p w14:paraId="4F42B236" w14:textId="77777777" w:rsidR="003F00BA" w:rsidRDefault="003F00BA" w:rsidP="006B27BB">
          <w:pPr>
            <w:spacing w:line="0" w:lineRule="atLeast"/>
            <w:rPr>
              <w:sz w:val="18"/>
            </w:rPr>
          </w:pPr>
        </w:p>
      </w:tc>
      <w:tc>
        <w:tcPr>
          <w:tcW w:w="6379" w:type="dxa"/>
          <w:tcBorders>
            <w:top w:val="nil"/>
            <w:left w:val="nil"/>
            <w:bottom w:val="nil"/>
            <w:right w:val="nil"/>
          </w:tcBorders>
        </w:tcPr>
        <w:p w14:paraId="4CBBAC77" w14:textId="330DF363" w:rsidR="003F00BA" w:rsidRDefault="003F00BA" w:rsidP="006B27B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C49B6">
            <w:rPr>
              <w:i/>
              <w:sz w:val="18"/>
            </w:rPr>
            <w:t>Therapeutic Goods Legislation Amendment (2022 Measures No. 3) Regulations 2022</w:t>
          </w:r>
          <w:r w:rsidRPr="007A1328">
            <w:rPr>
              <w:i/>
              <w:sz w:val="18"/>
            </w:rPr>
            <w:fldChar w:fldCharType="end"/>
          </w:r>
        </w:p>
      </w:tc>
      <w:tc>
        <w:tcPr>
          <w:tcW w:w="710" w:type="dxa"/>
          <w:tcBorders>
            <w:top w:val="nil"/>
            <w:left w:val="nil"/>
            <w:bottom w:val="nil"/>
            <w:right w:val="nil"/>
          </w:tcBorders>
        </w:tcPr>
        <w:p w14:paraId="56D42BD1" w14:textId="77777777" w:rsidR="003F00BA" w:rsidRDefault="003F00BA" w:rsidP="006B27B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164CAE9" w14:textId="77777777" w:rsidR="003F00BA" w:rsidRPr="006C2178" w:rsidRDefault="006C2178" w:rsidP="006C2178">
    <w:pPr>
      <w:rPr>
        <w:rFonts w:cs="Times New Roman"/>
        <w:i/>
        <w:sz w:val="18"/>
      </w:rPr>
    </w:pPr>
    <w:r w:rsidRPr="006C2178">
      <w:rPr>
        <w:rFonts w:cs="Times New Roman"/>
        <w:i/>
        <w:sz w:val="18"/>
      </w:rPr>
      <w:t>OPC66006 -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1916A" w14:textId="77777777" w:rsidR="003F00BA" w:rsidRPr="00E33C1C" w:rsidRDefault="003F00B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F00BA" w14:paraId="21AEC7C7" w14:textId="77777777" w:rsidTr="00E1569E">
      <w:tc>
        <w:tcPr>
          <w:tcW w:w="709" w:type="dxa"/>
          <w:tcBorders>
            <w:top w:val="nil"/>
            <w:left w:val="nil"/>
            <w:bottom w:val="nil"/>
            <w:right w:val="nil"/>
          </w:tcBorders>
        </w:tcPr>
        <w:p w14:paraId="4E945F88" w14:textId="77777777" w:rsidR="003F00BA" w:rsidRDefault="003F00BA" w:rsidP="006B27B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D21BDF2" w14:textId="419F2C82" w:rsidR="003F00BA" w:rsidRDefault="003F00BA" w:rsidP="006B27B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C49B6">
            <w:rPr>
              <w:i/>
              <w:sz w:val="18"/>
            </w:rPr>
            <w:t>Therapeutic Goods Legislation Amendment (2022 Measures No. 3) Regulations 2022</w:t>
          </w:r>
          <w:r w:rsidRPr="007A1328">
            <w:rPr>
              <w:i/>
              <w:sz w:val="18"/>
            </w:rPr>
            <w:fldChar w:fldCharType="end"/>
          </w:r>
        </w:p>
      </w:tc>
      <w:tc>
        <w:tcPr>
          <w:tcW w:w="1384" w:type="dxa"/>
          <w:tcBorders>
            <w:top w:val="nil"/>
            <w:left w:val="nil"/>
            <w:bottom w:val="nil"/>
            <w:right w:val="nil"/>
          </w:tcBorders>
        </w:tcPr>
        <w:p w14:paraId="0280C914" w14:textId="77777777" w:rsidR="003F00BA" w:rsidRDefault="003F00BA" w:rsidP="006B27BB">
          <w:pPr>
            <w:spacing w:line="0" w:lineRule="atLeast"/>
            <w:jc w:val="right"/>
            <w:rPr>
              <w:sz w:val="18"/>
            </w:rPr>
          </w:pPr>
        </w:p>
      </w:tc>
    </w:tr>
  </w:tbl>
  <w:p w14:paraId="4932EA06" w14:textId="77777777" w:rsidR="003F00BA" w:rsidRPr="006C2178" w:rsidRDefault="006C2178" w:rsidP="006C2178">
    <w:pPr>
      <w:rPr>
        <w:rFonts w:cs="Times New Roman"/>
        <w:i/>
        <w:sz w:val="18"/>
      </w:rPr>
    </w:pPr>
    <w:r w:rsidRPr="006C2178">
      <w:rPr>
        <w:rFonts w:cs="Times New Roman"/>
        <w:i/>
        <w:sz w:val="18"/>
      </w:rPr>
      <w:t>OPC66006 -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C601" w14:textId="77777777" w:rsidR="003F00BA" w:rsidRPr="00E33C1C" w:rsidRDefault="003F00B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F00BA" w14:paraId="66B5ABF6" w14:textId="77777777" w:rsidTr="006B27BB">
      <w:tc>
        <w:tcPr>
          <w:tcW w:w="1384" w:type="dxa"/>
          <w:tcBorders>
            <w:top w:val="nil"/>
            <w:left w:val="nil"/>
            <w:bottom w:val="nil"/>
            <w:right w:val="nil"/>
          </w:tcBorders>
        </w:tcPr>
        <w:p w14:paraId="5B8AC836" w14:textId="77777777" w:rsidR="003F00BA" w:rsidRDefault="003F00BA" w:rsidP="006B27BB">
          <w:pPr>
            <w:spacing w:line="0" w:lineRule="atLeast"/>
            <w:rPr>
              <w:sz w:val="18"/>
            </w:rPr>
          </w:pPr>
        </w:p>
      </w:tc>
      <w:tc>
        <w:tcPr>
          <w:tcW w:w="6379" w:type="dxa"/>
          <w:tcBorders>
            <w:top w:val="nil"/>
            <w:left w:val="nil"/>
            <w:bottom w:val="nil"/>
            <w:right w:val="nil"/>
          </w:tcBorders>
        </w:tcPr>
        <w:p w14:paraId="762FB421" w14:textId="1E4F5CF5" w:rsidR="003F00BA" w:rsidRDefault="003F00BA" w:rsidP="006B27B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C49B6">
            <w:rPr>
              <w:i/>
              <w:sz w:val="18"/>
            </w:rPr>
            <w:t>Therapeutic Goods Legislation Amendment (2022 Measures No. 3) Regulations 2022</w:t>
          </w:r>
          <w:r w:rsidRPr="007A1328">
            <w:rPr>
              <w:i/>
              <w:sz w:val="18"/>
            </w:rPr>
            <w:fldChar w:fldCharType="end"/>
          </w:r>
        </w:p>
      </w:tc>
      <w:tc>
        <w:tcPr>
          <w:tcW w:w="709" w:type="dxa"/>
          <w:tcBorders>
            <w:top w:val="nil"/>
            <w:left w:val="nil"/>
            <w:bottom w:val="nil"/>
            <w:right w:val="nil"/>
          </w:tcBorders>
        </w:tcPr>
        <w:p w14:paraId="1F1E4123" w14:textId="77777777" w:rsidR="003F00BA" w:rsidRDefault="003F00BA" w:rsidP="006B27B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292EACF" w14:textId="77777777" w:rsidR="003F00BA" w:rsidRPr="006C2178" w:rsidRDefault="006C2178" w:rsidP="006C2178">
    <w:pPr>
      <w:rPr>
        <w:rFonts w:cs="Times New Roman"/>
        <w:i/>
        <w:sz w:val="18"/>
      </w:rPr>
    </w:pPr>
    <w:r w:rsidRPr="006C2178">
      <w:rPr>
        <w:rFonts w:cs="Times New Roman"/>
        <w:i/>
        <w:sz w:val="18"/>
      </w:rPr>
      <w:t>OPC66006 -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BDD85" w14:textId="77777777" w:rsidR="003F00BA" w:rsidRPr="00E33C1C" w:rsidRDefault="003F00BA"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F00BA" w14:paraId="66F8E587" w14:textId="77777777" w:rsidTr="007A6863">
      <w:tc>
        <w:tcPr>
          <w:tcW w:w="1384" w:type="dxa"/>
          <w:tcBorders>
            <w:top w:val="nil"/>
            <w:left w:val="nil"/>
            <w:bottom w:val="nil"/>
            <w:right w:val="nil"/>
          </w:tcBorders>
        </w:tcPr>
        <w:p w14:paraId="477DEF36" w14:textId="77777777" w:rsidR="003F00BA" w:rsidRDefault="003F00BA" w:rsidP="006B27BB">
          <w:pPr>
            <w:spacing w:line="0" w:lineRule="atLeast"/>
            <w:rPr>
              <w:sz w:val="18"/>
            </w:rPr>
          </w:pPr>
        </w:p>
      </w:tc>
      <w:tc>
        <w:tcPr>
          <w:tcW w:w="6379" w:type="dxa"/>
          <w:tcBorders>
            <w:top w:val="nil"/>
            <w:left w:val="nil"/>
            <w:bottom w:val="nil"/>
            <w:right w:val="nil"/>
          </w:tcBorders>
        </w:tcPr>
        <w:p w14:paraId="454ED7CA" w14:textId="59323C8B" w:rsidR="003F00BA" w:rsidRDefault="003F00BA" w:rsidP="006B27B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C49B6">
            <w:rPr>
              <w:i/>
              <w:sz w:val="18"/>
            </w:rPr>
            <w:t>Therapeutic Goods Legislation Amendment (2022 Measures No. 3) Regulations 2022</w:t>
          </w:r>
          <w:r w:rsidRPr="007A1328">
            <w:rPr>
              <w:i/>
              <w:sz w:val="18"/>
            </w:rPr>
            <w:fldChar w:fldCharType="end"/>
          </w:r>
        </w:p>
      </w:tc>
      <w:tc>
        <w:tcPr>
          <w:tcW w:w="709" w:type="dxa"/>
          <w:tcBorders>
            <w:top w:val="nil"/>
            <w:left w:val="nil"/>
            <w:bottom w:val="nil"/>
            <w:right w:val="nil"/>
          </w:tcBorders>
        </w:tcPr>
        <w:p w14:paraId="7CB92CCE" w14:textId="77777777" w:rsidR="003F00BA" w:rsidRDefault="003F00BA" w:rsidP="006B27B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758A4E45" w14:textId="77777777" w:rsidR="003F00BA" w:rsidRPr="006C2178" w:rsidRDefault="006C2178" w:rsidP="006C2178">
    <w:pPr>
      <w:rPr>
        <w:rFonts w:cs="Times New Roman"/>
        <w:i/>
        <w:sz w:val="18"/>
      </w:rPr>
    </w:pPr>
    <w:r w:rsidRPr="006C2178">
      <w:rPr>
        <w:rFonts w:cs="Times New Roman"/>
        <w:i/>
        <w:sz w:val="18"/>
      </w:rPr>
      <w:t>OPC66006 -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3F684" w14:textId="77777777" w:rsidR="003F00BA" w:rsidRDefault="003F00BA" w:rsidP="0048364F">
      <w:pPr>
        <w:spacing w:line="240" w:lineRule="auto"/>
      </w:pPr>
      <w:r>
        <w:separator/>
      </w:r>
    </w:p>
  </w:footnote>
  <w:footnote w:type="continuationSeparator" w:id="0">
    <w:p w14:paraId="6905F0F8" w14:textId="77777777" w:rsidR="003F00BA" w:rsidRDefault="003F00B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257E7" w14:textId="77777777" w:rsidR="003F00BA" w:rsidRPr="005F1388" w:rsidRDefault="003F00BA"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285F2" w14:textId="77777777" w:rsidR="003F00BA" w:rsidRPr="005F1388" w:rsidRDefault="003F00BA"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A15A1" w14:textId="77777777" w:rsidR="003F00BA" w:rsidRPr="005F1388" w:rsidRDefault="003F00B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4CFF4" w14:textId="77777777" w:rsidR="003F00BA" w:rsidRPr="00ED79B6" w:rsidRDefault="003F00BA"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4A264" w14:textId="77777777" w:rsidR="003F00BA" w:rsidRPr="00ED79B6" w:rsidRDefault="003F00BA"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8203C" w14:textId="77777777" w:rsidR="003F00BA" w:rsidRPr="00ED79B6" w:rsidRDefault="003F00B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03254" w14:textId="09B7C8B6" w:rsidR="003F00BA" w:rsidRPr="00A961C4" w:rsidRDefault="003F00BA" w:rsidP="0048364F">
    <w:pPr>
      <w:rPr>
        <w:b/>
        <w:sz w:val="20"/>
      </w:rPr>
    </w:pPr>
    <w:r>
      <w:rPr>
        <w:b/>
        <w:sz w:val="20"/>
      </w:rPr>
      <w:fldChar w:fldCharType="begin"/>
    </w:r>
    <w:r>
      <w:rPr>
        <w:b/>
        <w:sz w:val="20"/>
      </w:rPr>
      <w:instrText xml:space="preserve"> STYLEREF CharAmSchNo </w:instrText>
    </w:r>
    <w:r w:rsidR="009C49B6">
      <w:rPr>
        <w:b/>
        <w:sz w:val="20"/>
      </w:rPr>
      <w:fldChar w:fldCharType="separate"/>
    </w:r>
    <w:r w:rsidR="009C49B6">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C49B6">
      <w:rPr>
        <w:sz w:val="20"/>
      </w:rPr>
      <w:fldChar w:fldCharType="separate"/>
    </w:r>
    <w:r w:rsidR="009C49B6">
      <w:rPr>
        <w:noProof/>
        <w:sz w:val="20"/>
      </w:rPr>
      <w:t>Amendments relating to medicines and fees</w:t>
    </w:r>
    <w:r>
      <w:rPr>
        <w:sz w:val="20"/>
      </w:rPr>
      <w:fldChar w:fldCharType="end"/>
    </w:r>
  </w:p>
  <w:p w14:paraId="52D7A585" w14:textId="3B482A22" w:rsidR="003F00BA" w:rsidRPr="00A961C4" w:rsidRDefault="003F00B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5F5B376" w14:textId="77777777" w:rsidR="003F00BA" w:rsidRPr="00A961C4" w:rsidRDefault="003F00BA"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60597" w14:textId="166327DE" w:rsidR="003F00BA" w:rsidRPr="00A961C4" w:rsidRDefault="003F00BA" w:rsidP="0048364F">
    <w:pPr>
      <w:jc w:val="right"/>
      <w:rPr>
        <w:sz w:val="20"/>
      </w:rPr>
    </w:pPr>
    <w:r w:rsidRPr="00A961C4">
      <w:rPr>
        <w:sz w:val="20"/>
      </w:rPr>
      <w:fldChar w:fldCharType="begin"/>
    </w:r>
    <w:r w:rsidRPr="00A961C4">
      <w:rPr>
        <w:sz w:val="20"/>
      </w:rPr>
      <w:instrText xml:space="preserve"> STYLEREF CharAmSchText </w:instrText>
    </w:r>
    <w:r w:rsidR="009C49B6">
      <w:rPr>
        <w:sz w:val="20"/>
      </w:rPr>
      <w:fldChar w:fldCharType="separate"/>
    </w:r>
    <w:r w:rsidR="009C49B6">
      <w:rPr>
        <w:noProof/>
        <w:sz w:val="20"/>
      </w:rPr>
      <w:t>Amendments relating to medicines and fees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C49B6">
      <w:rPr>
        <w:b/>
        <w:sz w:val="20"/>
      </w:rPr>
      <w:fldChar w:fldCharType="separate"/>
    </w:r>
    <w:r w:rsidR="009C49B6">
      <w:rPr>
        <w:b/>
        <w:noProof/>
        <w:sz w:val="20"/>
      </w:rPr>
      <w:t>Schedule 2</w:t>
    </w:r>
    <w:r>
      <w:rPr>
        <w:b/>
        <w:sz w:val="20"/>
      </w:rPr>
      <w:fldChar w:fldCharType="end"/>
    </w:r>
  </w:p>
  <w:p w14:paraId="5DF149F8" w14:textId="3597E0FA" w:rsidR="003F00BA" w:rsidRPr="00A961C4" w:rsidRDefault="003F00B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CAFA050" w14:textId="77777777" w:rsidR="003F00BA" w:rsidRPr="00A961C4" w:rsidRDefault="003F00BA"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29D6B" w14:textId="77777777" w:rsidR="003F00BA" w:rsidRPr="00A961C4" w:rsidRDefault="003F00B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A5133"/>
    <w:rsid w:val="00000263"/>
    <w:rsid w:val="00010519"/>
    <w:rsid w:val="000113BC"/>
    <w:rsid w:val="000136AF"/>
    <w:rsid w:val="00023BF2"/>
    <w:rsid w:val="00036E24"/>
    <w:rsid w:val="0004044E"/>
    <w:rsid w:val="000465F8"/>
    <w:rsid w:val="00046F47"/>
    <w:rsid w:val="00050A63"/>
    <w:rsid w:val="0005120E"/>
    <w:rsid w:val="00054577"/>
    <w:rsid w:val="000564B5"/>
    <w:rsid w:val="000614BF"/>
    <w:rsid w:val="0007169C"/>
    <w:rsid w:val="00077593"/>
    <w:rsid w:val="0008162F"/>
    <w:rsid w:val="00083F48"/>
    <w:rsid w:val="000861D5"/>
    <w:rsid w:val="00092ACE"/>
    <w:rsid w:val="000A2E11"/>
    <w:rsid w:val="000A67ED"/>
    <w:rsid w:val="000A7DF9"/>
    <w:rsid w:val="000B3754"/>
    <w:rsid w:val="000C5316"/>
    <w:rsid w:val="000D05EF"/>
    <w:rsid w:val="000D408F"/>
    <w:rsid w:val="000D5485"/>
    <w:rsid w:val="000E6EEF"/>
    <w:rsid w:val="000F0D8D"/>
    <w:rsid w:val="000F15EA"/>
    <w:rsid w:val="000F21C1"/>
    <w:rsid w:val="000F2245"/>
    <w:rsid w:val="000F6D1D"/>
    <w:rsid w:val="00105D72"/>
    <w:rsid w:val="0010745C"/>
    <w:rsid w:val="00117277"/>
    <w:rsid w:val="001209F5"/>
    <w:rsid w:val="001238EB"/>
    <w:rsid w:val="00144E3C"/>
    <w:rsid w:val="00155873"/>
    <w:rsid w:val="00160BD7"/>
    <w:rsid w:val="001643C9"/>
    <w:rsid w:val="00165568"/>
    <w:rsid w:val="00166082"/>
    <w:rsid w:val="00166C2F"/>
    <w:rsid w:val="001716C9"/>
    <w:rsid w:val="00184261"/>
    <w:rsid w:val="00190023"/>
    <w:rsid w:val="00190BA1"/>
    <w:rsid w:val="00190DF5"/>
    <w:rsid w:val="00193461"/>
    <w:rsid w:val="001939E1"/>
    <w:rsid w:val="00195382"/>
    <w:rsid w:val="00196059"/>
    <w:rsid w:val="00196817"/>
    <w:rsid w:val="001A0D54"/>
    <w:rsid w:val="001A287F"/>
    <w:rsid w:val="001A3B9F"/>
    <w:rsid w:val="001A65C0"/>
    <w:rsid w:val="001B1C06"/>
    <w:rsid w:val="001B6456"/>
    <w:rsid w:val="001B7A5D"/>
    <w:rsid w:val="001C2064"/>
    <w:rsid w:val="001C4EE1"/>
    <w:rsid w:val="001C69C4"/>
    <w:rsid w:val="001E0A8D"/>
    <w:rsid w:val="001E3590"/>
    <w:rsid w:val="001E7407"/>
    <w:rsid w:val="002003FA"/>
    <w:rsid w:val="00201D27"/>
    <w:rsid w:val="0020300C"/>
    <w:rsid w:val="00220A0C"/>
    <w:rsid w:val="00223E4A"/>
    <w:rsid w:val="0022603B"/>
    <w:rsid w:val="002302EA"/>
    <w:rsid w:val="00240749"/>
    <w:rsid w:val="00241C1D"/>
    <w:rsid w:val="002468D7"/>
    <w:rsid w:val="002556F6"/>
    <w:rsid w:val="00263886"/>
    <w:rsid w:val="00273CE6"/>
    <w:rsid w:val="00285CDD"/>
    <w:rsid w:val="00291167"/>
    <w:rsid w:val="00296812"/>
    <w:rsid w:val="00297ECB"/>
    <w:rsid w:val="002B1413"/>
    <w:rsid w:val="002C152A"/>
    <w:rsid w:val="002C1770"/>
    <w:rsid w:val="002C55F8"/>
    <w:rsid w:val="002D043A"/>
    <w:rsid w:val="002E0869"/>
    <w:rsid w:val="0031713F"/>
    <w:rsid w:val="00321913"/>
    <w:rsid w:val="00324EE6"/>
    <w:rsid w:val="003316DC"/>
    <w:rsid w:val="0033278C"/>
    <w:rsid w:val="00332E0D"/>
    <w:rsid w:val="003415D3"/>
    <w:rsid w:val="00346335"/>
    <w:rsid w:val="003476CC"/>
    <w:rsid w:val="00352B0F"/>
    <w:rsid w:val="003561B0"/>
    <w:rsid w:val="00361D24"/>
    <w:rsid w:val="00367960"/>
    <w:rsid w:val="003933A0"/>
    <w:rsid w:val="00396AA1"/>
    <w:rsid w:val="003A15AC"/>
    <w:rsid w:val="003A5133"/>
    <w:rsid w:val="003A56EB"/>
    <w:rsid w:val="003A6C14"/>
    <w:rsid w:val="003B0627"/>
    <w:rsid w:val="003C5F2B"/>
    <w:rsid w:val="003D0BFE"/>
    <w:rsid w:val="003D1D85"/>
    <w:rsid w:val="003D5700"/>
    <w:rsid w:val="003E4337"/>
    <w:rsid w:val="003F00BA"/>
    <w:rsid w:val="003F0F5A"/>
    <w:rsid w:val="003F7FEE"/>
    <w:rsid w:val="00400A30"/>
    <w:rsid w:val="004022CA"/>
    <w:rsid w:val="00406890"/>
    <w:rsid w:val="00407CB7"/>
    <w:rsid w:val="004116CD"/>
    <w:rsid w:val="00414ADE"/>
    <w:rsid w:val="00417C98"/>
    <w:rsid w:val="00422B30"/>
    <w:rsid w:val="00424CA9"/>
    <w:rsid w:val="004257BB"/>
    <w:rsid w:val="004261D9"/>
    <w:rsid w:val="00434BF8"/>
    <w:rsid w:val="0044291A"/>
    <w:rsid w:val="00460499"/>
    <w:rsid w:val="00467E47"/>
    <w:rsid w:val="00474835"/>
    <w:rsid w:val="0047703B"/>
    <w:rsid w:val="004819C7"/>
    <w:rsid w:val="0048364F"/>
    <w:rsid w:val="004847BE"/>
    <w:rsid w:val="00486317"/>
    <w:rsid w:val="00490296"/>
    <w:rsid w:val="00490F2E"/>
    <w:rsid w:val="00492768"/>
    <w:rsid w:val="00496DB3"/>
    <w:rsid w:val="00496F97"/>
    <w:rsid w:val="004A53EA"/>
    <w:rsid w:val="004B6A31"/>
    <w:rsid w:val="004D39B4"/>
    <w:rsid w:val="004E24DB"/>
    <w:rsid w:val="004E28E0"/>
    <w:rsid w:val="004F1FAC"/>
    <w:rsid w:val="004F676E"/>
    <w:rsid w:val="00516B8D"/>
    <w:rsid w:val="0052686F"/>
    <w:rsid w:val="0052756C"/>
    <w:rsid w:val="00530230"/>
    <w:rsid w:val="00530CC9"/>
    <w:rsid w:val="00531598"/>
    <w:rsid w:val="00537FBC"/>
    <w:rsid w:val="00541D73"/>
    <w:rsid w:val="00543469"/>
    <w:rsid w:val="005452CC"/>
    <w:rsid w:val="00546FA3"/>
    <w:rsid w:val="0054729F"/>
    <w:rsid w:val="0055376F"/>
    <w:rsid w:val="00554243"/>
    <w:rsid w:val="00557C7A"/>
    <w:rsid w:val="00561FAA"/>
    <w:rsid w:val="00562A58"/>
    <w:rsid w:val="00581211"/>
    <w:rsid w:val="005843FA"/>
    <w:rsid w:val="00584811"/>
    <w:rsid w:val="00585B85"/>
    <w:rsid w:val="00593AA6"/>
    <w:rsid w:val="00594161"/>
    <w:rsid w:val="00594512"/>
    <w:rsid w:val="00594749"/>
    <w:rsid w:val="00597C2F"/>
    <w:rsid w:val="005A215C"/>
    <w:rsid w:val="005A482B"/>
    <w:rsid w:val="005B4067"/>
    <w:rsid w:val="005C36E0"/>
    <w:rsid w:val="005C3F41"/>
    <w:rsid w:val="005C5F35"/>
    <w:rsid w:val="005D168D"/>
    <w:rsid w:val="005D5EA1"/>
    <w:rsid w:val="005E61D3"/>
    <w:rsid w:val="005F4840"/>
    <w:rsid w:val="005F7738"/>
    <w:rsid w:val="00600219"/>
    <w:rsid w:val="006119C7"/>
    <w:rsid w:val="00613EAD"/>
    <w:rsid w:val="006158AC"/>
    <w:rsid w:val="00640402"/>
    <w:rsid w:val="00640F78"/>
    <w:rsid w:val="00646E7B"/>
    <w:rsid w:val="00652C25"/>
    <w:rsid w:val="00655D6A"/>
    <w:rsid w:val="00656DE9"/>
    <w:rsid w:val="00677CC2"/>
    <w:rsid w:val="00685F42"/>
    <w:rsid w:val="006866A1"/>
    <w:rsid w:val="0069207B"/>
    <w:rsid w:val="006A4309"/>
    <w:rsid w:val="006A46D8"/>
    <w:rsid w:val="006B0E55"/>
    <w:rsid w:val="006B27BB"/>
    <w:rsid w:val="006B7006"/>
    <w:rsid w:val="006C2178"/>
    <w:rsid w:val="006C7F8C"/>
    <w:rsid w:val="006D7AB9"/>
    <w:rsid w:val="006E586C"/>
    <w:rsid w:val="00700B2C"/>
    <w:rsid w:val="0070289D"/>
    <w:rsid w:val="00713084"/>
    <w:rsid w:val="00720FC2"/>
    <w:rsid w:val="00731E00"/>
    <w:rsid w:val="00732E9D"/>
    <w:rsid w:val="0073491A"/>
    <w:rsid w:val="007440B7"/>
    <w:rsid w:val="00747993"/>
    <w:rsid w:val="007634AD"/>
    <w:rsid w:val="007715C9"/>
    <w:rsid w:val="00774EDD"/>
    <w:rsid w:val="007757EC"/>
    <w:rsid w:val="00777712"/>
    <w:rsid w:val="00793E34"/>
    <w:rsid w:val="007A115D"/>
    <w:rsid w:val="007A251A"/>
    <w:rsid w:val="007A35E6"/>
    <w:rsid w:val="007A38DF"/>
    <w:rsid w:val="007A5608"/>
    <w:rsid w:val="007A6863"/>
    <w:rsid w:val="007D45C1"/>
    <w:rsid w:val="007E0193"/>
    <w:rsid w:val="007E4838"/>
    <w:rsid w:val="007E7D4A"/>
    <w:rsid w:val="007F48ED"/>
    <w:rsid w:val="007F5A60"/>
    <w:rsid w:val="007F7947"/>
    <w:rsid w:val="00812F45"/>
    <w:rsid w:val="00823B55"/>
    <w:rsid w:val="008329C4"/>
    <w:rsid w:val="00833DE7"/>
    <w:rsid w:val="00834717"/>
    <w:rsid w:val="00836604"/>
    <w:rsid w:val="0084172C"/>
    <w:rsid w:val="00856A31"/>
    <w:rsid w:val="00862508"/>
    <w:rsid w:val="00867CEA"/>
    <w:rsid w:val="008754D0"/>
    <w:rsid w:val="00877D48"/>
    <w:rsid w:val="008816F0"/>
    <w:rsid w:val="0088345B"/>
    <w:rsid w:val="00890210"/>
    <w:rsid w:val="008A16A5"/>
    <w:rsid w:val="008B5D42"/>
    <w:rsid w:val="008C2B5D"/>
    <w:rsid w:val="008C59AD"/>
    <w:rsid w:val="008C6584"/>
    <w:rsid w:val="008D0EE0"/>
    <w:rsid w:val="008D5B99"/>
    <w:rsid w:val="008D7A27"/>
    <w:rsid w:val="008E4702"/>
    <w:rsid w:val="008E69AA"/>
    <w:rsid w:val="008E6E81"/>
    <w:rsid w:val="008F4F1C"/>
    <w:rsid w:val="009025FF"/>
    <w:rsid w:val="00916ACF"/>
    <w:rsid w:val="009223C9"/>
    <w:rsid w:val="00922764"/>
    <w:rsid w:val="00932377"/>
    <w:rsid w:val="009408EA"/>
    <w:rsid w:val="00943102"/>
    <w:rsid w:val="0094523D"/>
    <w:rsid w:val="00946F81"/>
    <w:rsid w:val="009559E6"/>
    <w:rsid w:val="00976A63"/>
    <w:rsid w:val="00983419"/>
    <w:rsid w:val="00994821"/>
    <w:rsid w:val="009A1FFC"/>
    <w:rsid w:val="009C3431"/>
    <w:rsid w:val="009C49B6"/>
    <w:rsid w:val="009C5989"/>
    <w:rsid w:val="009D08DA"/>
    <w:rsid w:val="009D478D"/>
    <w:rsid w:val="009D6D6B"/>
    <w:rsid w:val="009E0EA3"/>
    <w:rsid w:val="009E1705"/>
    <w:rsid w:val="00A06860"/>
    <w:rsid w:val="00A136F5"/>
    <w:rsid w:val="00A231E2"/>
    <w:rsid w:val="00A2550D"/>
    <w:rsid w:val="00A4169B"/>
    <w:rsid w:val="00A445F2"/>
    <w:rsid w:val="00A50D55"/>
    <w:rsid w:val="00A5165B"/>
    <w:rsid w:val="00A521F2"/>
    <w:rsid w:val="00A52FDA"/>
    <w:rsid w:val="00A60458"/>
    <w:rsid w:val="00A64912"/>
    <w:rsid w:val="00A70A74"/>
    <w:rsid w:val="00A76DCC"/>
    <w:rsid w:val="00A8542F"/>
    <w:rsid w:val="00A90EA8"/>
    <w:rsid w:val="00A9194B"/>
    <w:rsid w:val="00AA0343"/>
    <w:rsid w:val="00AA2A5C"/>
    <w:rsid w:val="00AB5805"/>
    <w:rsid w:val="00AB78E9"/>
    <w:rsid w:val="00AD14E7"/>
    <w:rsid w:val="00AD3467"/>
    <w:rsid w:val="00AD4137"/>
    <w:rsid w:val="00AD5641"/>
    <w:rsid w:val="00AD7252"/>
    <w:rsid w:val="00AE0207"/>
    <w:rsid w:val="00AE0F9B"/>
    <w:rsid w:val="00AF22C0"/>
    <w:rsid w:val="00AF55FF"/>
    <w:rsid w:val="00AF5EC9"/>
    <w:rsid w:val="00B032D8"/>
    <w:rsid w:val="00B124DF"/>
    <w:rsid w:val="00B21475"/>
    <w:rsid w:val="00B3145F"/>
    <w:rsid w:val="00B33B3C"/>
    <w:rsid w:val="00B40D74"/>
    <w:rsid w:val="00B52663"/>
    <w:rsid w:val="00B56DCB"/>
    <w:rsid w:val="00B770D2"/>
    <w:rsid w:val="00B87050"/>
    <w:rsid w:val="00B94F68"/>
    <w:rsid w:val="00BA1691"/>
    <w:rsid w:val="00BA47A3"/>
    <w:rsid w:val="00BA5026"/>
    <w:rsid w:val="00BA5F51"/>
    <w:rsid w:val="00BA7E4F"/>
    <w:rsid w:val="00BB0DB0"/>
    <w:rsid w:val="00BB6E79"/>
    <w:rsid w:val="00BD6EC5"/>
    <w:rsid w:val="00BE3B31"/>
    <w:rsid w:val="00BE719A"/>
    <w:rsid w:val="00BE720A"/>
    <w:rsid w:val="00BF3F67"/>
    <w:rsid w:val="00BF6650"/>
    <w:rsid w:val="00C067E5"/>
    <w:rsid w:val="00C07FCA"/>
    <w:rsid w:val="00C1252B"/>
    <w:rsid w:val="00C164CA"/>
    <w:rsid w:val="00C1655F"/>
    <w:rsid w:val="00C33237"/>
    <w:rsid w:val="00C42BF8"/>
    <w:rsid w:val="00C44483"/>
    <w:rsid w:val="00C460AE"/>
    <w:rsid w:val="00C50043"/>
    <w:rsid w:val="00C50A0F"/>
    <w:rsid w:val="00C60B31"/>
    <w:rsid w:val="00C7573B"/>
    <w:rsid w:val="00C76CF3"/>
    <w:rsid w:val="00CA5284"/>
    <w:rsid w:val="00CA7844"/>
    <w:rsid w:val="00CB58EF"/>
    <w:rsid w:val="00CE20CC"/>
    <w:rsid w:val="00CE7D64"/>
    <w:rsid w:val="00CF0BB2"/>
    <w:rsid w:val="00D0091F"/>
    <w:rsid w:val="00D13441"/>
    <w:rsid w:val="00D13B9B"/>
    <w:rsid w:val="00D20665"/>
    <w:rsid w:val="00D228F2"/>
    <w:rsid w:val="00D243A3"/>
    <w:rsid w:val="00D2626A"/>
    <w:rsid w:val="00D3200B"/>
    <w:rsid w:val="00D33440"/>
    <w:rsid w:val="00D407EA"/>
    <w:rsid w:val="00D50210"/>
    <w:rsid w:val="00D52EFE"/>
    <w:rsid w:val="00D56A0D"/>
    <w:rsid w:val="00D5767F"/>
    <w:rsid w:val="00D63EF6"/>
    <w:rsid w:val="00D66518"/>
    <w:rsid w:val="00D676F0"/>
    <w:rsid w:val="00D70DFB"/>
    <w:rsid w:val="00D71EEA"/>
    <w:rsid w:val="00D735CD"/>
    <w:rsid w:val="00D766DF"/>
    <w:rsid w:val="00D81F3C"/>
    <w:rsid w:val="00D95891"/>
    <w:rsid w:val="00DB5CB4"/>
    <w:rsid w:val="00DB7301"/>
    <w:rsid w:val="00DC4058"/>
    <w:rsid w:val="00DC6EFD"/>
    <w:rsid w:val="00DD09EC"/>
    <w:rsid w:val="00DD722F"/>
    <w:rsid w:val="00DE149E"/>
    <w:rsid w:val="00E05704"/>
    <w:rsid w:val="00E1129D"/>
    <w:rsid w:val="00E12F1A"/>
    <w:rsid w:val="00E15561"/>
    <w:rsid w:val="00E1569E"/>
    <w:rsid w:val="00E21CFB"/>
    <w:rsid w:val="00E22935"/>
    <w:rsid w:val="00E36CCE"/>
    <w:rsid w:val="00E54292"/>
    <w:rsid w:val="00E55609"/>
    <w:rsid w:val="00E60191"/>
    <w:rsid w:val="00E6516B"/>
    <w:rsid w:val="00E74DC7"/>
    <w:rsid w:val="00E82EB6"/>
    <w:rsid w:val="00E87699"/>
    <w:rsid w:val="00E92E27"/>
    <w:rsid w:val="00E9586B"/>
    <w:rsid w:val="00E97334"/>
    <w:rsid w:val="00EA0D36"/>
    <w:rsid w:val="00EA425E"/>
    <w:rsid w:val="00ED3A3F"/>
    <w:rsid w:val="00ED4928"/>
    <w:rsid w:val="00EE2227"/>
    <w:rsid w:val="00EE3749"/>
    <w:rsid w:val="00EE6190"/>
    <w:rsid w:val="00EF2E3A"/>
    <w:rsid w:val="00EF6402"/>
    <w:rsid w:val="00F025DF"/>
    <w:rsid w:val="00F047E2"/>
    <w:rsid w:val="00F04D57"/>
    <w:rsid w:val="00F078DC"/>
    <w:rsid w:val="00F13E86"/>
    <w:rsid w:val="00F20D65"/>
    <w:rsid w:val="00F32FCB"/>
    <w:rsid w:val="00F41007"/>
    <w:rsid w:val="00F6709F"/>
    <w:rsid w:val="00F677A9"/>
    <w:rsid w:val="00F723BD"/>
    <w:rsid w:val="00F732EA"/>
    <w:rsid w:val="00F7651F"/>
    <w:rsid w:val="00F84CF5"/>
    <w:rsid w:val="00F8612E"/>
    <w:rsid w:val="00F9650A"/>
    <w:rsid w:val="00FA2D05"/>
    <w:rsid w:val="00FA420B"/>
    <w:rsid w:val="00FB0B98"/>
    <w:rsid w:val="00FB4BF0"/>
    <w:rsid w:val="00FB6D71"/>
    <w:rsid w:val="00FE0781"/>
    <w:rsid w:val="00FF39DE"/>
    <w:rsid w:val="00FF3B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697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F00BA"/>
    <w:pPr>
      <w:spacing w:line="260" w:lineRule="atLeast"/>
    </w:pPr>
    <w:rPr>
      <w:sz w:val="22"/>
    </w:rPr>
  </w:style>
  <w:style w:type="paragraph" w:styleId="Heading1">
    <w:name w:val="heading 1"/>
    <w:basedOn w:val="Normal"/>
    <w:next w:val="Normal"/>
    <w:link w:val="Heading1Char"/>
    <w:uiPriority w:val="9"/>
    <w:qFormat/>
    <w:rsid w:val="003F00B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00B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F00B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F00B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F00B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F00B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F00B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F00B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F00B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F00BA"/>
  </w:style>
  <w:style w:type="paragraph" w:customStyle="1" w:styleId="OPCParaBase">
    <w:name w:val="OPCParaBase"/>
    <w:qFormat/>
    <w:rsid w:val="003F00BA"/>
    <w:pPr>
      <w:spacing w:line="260" w:lineRule="atLeast"/>
    </w:pPr>
    <w:rPr>
      <w:rFonts w:eastAsia="Times New Roman" w:cs="Times New Roman"/>
      <w:sz w:val="22"/>
      <w:lang w:eastAsia="en-AU"/>
    </w:rPr>
  </w:style>
  <w:style w:type="paragraph" w:customStyle="1" w:styleId="ShortT">
    <w:name w:val="ShortT"/>
    <w:basedOn w:val="OPCParaBase"/>
    <w:next w:val="Normal"/>
    <w:qFormat/>
    <w:rsid w:val="003F00BA"/>
    <w:pPr>
      <w:spacing w:line="240" w:lineRule="auto"/>
    </w:pPr>
    <w:rPr>
      <w:b/>
      <w:sz w:val="40"/>
    </w:rPr>
  </w:style>
  <w:style w:type="paragraph" w:customStyle="1" w:styleId="ActHead1">
    <w:name w:val="ActHead 1"/>
    <w:aliases w:val="c"/>
    <w:basedOn w:val="OPCParaBase"/>
    <w:next w:val="Normal"/>
    <w:qFormat/>
    <w:rsid w:val="003F00B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F00B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F00B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F00B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F00B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F00B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F00B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F00B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F00B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F00BA"/>
  </w:style>
  <w:style w:type="paragraph" w:customStyle="1" w:styleId="Blocks">
    <w:name w:val="Blocks"/>
    <w:aliases w:val="bb"/>
    <w:basedOn w:val="OPCParaBase"/>
    <w:qFormat/>
    <w:rsid w:val="003F00BA"/>
    <w:pPr>
      <w:spacing w:line="240" w:lineRule="auto"/>
    </w:pPr>
    <w:rPr>
      <w:sz w:val="24"/>
    </w:rPr>
  </w:style>
  <w:style w:type="paragraph" w:customStyle="1" w:styleId="BoxText">
    <w:name w:val="BoxText"/>
    <w:aliases w:val="bt"/>
    <w:basedOn w:val="OPCParaBase"/>
    <w:qFormat/>
    <w:rsid w:val="003F00B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F00BA"/>
    <w:rPr>
      <w:b/>
    </w:rPr>
  </w:style>
  <w:style w:type="paragraph" w:customStyle="1" w:styleId="BoxHeadItalic">
    <w:name w:val="BoxHeadItalic"/>
    <w:aliases w:val="bhi"/>
    <w:basedOn w:val="BoxText"/>
    <w:next w:val="BoxStep"/>
    <w:qFormat/>
    <w:rsid w:val="003F00BA"/>
    <w:rPr>
      <w:i/>
    </w:rPr>
  </w:style>
  <w:style w:type="paragraph" w:customStyle="1" w:styleId="BoxList">
    <w:name w:val="BoxList"/>
    <w:aliases w:val="bl"/>
    <w:basedOn w:val="BoxText"/>
    <w:qFormat/>
    <w:rsid w:val="003F00BA"/>
    <w:pPr>
      <w:ind w:left="1559" w:hanging="425"/>
    </w:pPr>
  </w:style>
  <w:style w:type="paragraph" w:customStyle="1" w:styleId="BoxNote">
    <w:name w:val="BoxNote"/>
    <w:aliases w:val="bn"/>
    <w:basedOn w:val="BoxText"/>
    <w:qFormat/>
    <w:rsid w:val="003F00BA"/>
    <w:pPr>
      <w:tabs>
        <w:tab w:val="left" w:pos="1985"/>
      </w:tabs>
      <w:spacing w:before="122" w:line="198" w:lineRule="exact"/>
      <w:ind w:left="2948" w:hanging="1814"/>
    </w:pPr>
    <w:rPr>
      <w:sz w:val="18"/>
    </w:rPr>
  </w:style>
  <w:style w:type="paragraph" w:customStyle="1" w:styleId="BoxPara">
    <w:name w:val="BoxPara"/>
    <w:aliases w:val="bp"/>
    <w:basedOn w:val="BoxText"/>
    <w:qFormat/>
    <w:rsid w:val="003F00BA"/>
    <w:pPr>
      <w:tabs>
        <w:tab w:val="right" w:pos="2268"/>
      </w:tabs>
      <w:ind w:left="2552" w:hanging="1418"/>
    </w:pPr>
  </w:style>
  <w:style w:type="paragraph" w:customStyle="1" w:styleId="BoxStep">
    <w:name w:val="BoxStep"/>
    <w:aliases w:val="bs"/>
    <w:basedOn w:val="BoxText"/>
    <w:qFormat/>
    <w:rsid w:val="003F00BA"/>
    <w:pPr>
      <w:ind w:left="1985" w:hanging="851"/>
    </w:pPr>
  </w:style>
  <w:style w:type="character" w:customStyle="1" w:styleId="CharAmPartNo">
    <w:name w:val="CharAmPartNo"/>
    <w:basedOn w:val="OPCCharBase"/>
    <w:qFormat/>
    <w:rsid w:val="003F00BA"/>
  </w:style>
  <w:style w:type="character" w:customStyle="1" w:styleId="CharAmPartText">
    <w:name w:val="CharAmPartText"/>
    <w:basedOn w:val="OPCCharBase"/>
    <w:qFormat/>
    <w:rsid w:val="003F00BA"/>
  </w:style>
  <w:style w:type="character" w:customStyle="1" w:styleId="CharAmSchNo">
    <w:name w:val="CharAmSchNo"/>
    <w:basedOn w:val="OPCCharBase"/>
    <w:qFormat/>
    <w:rsid w:val="003F00BA"/>
  </w:style>
  <w:style w:type="character" w:customStyle="1" w:styleId="CharAmSchText">
    <w:name w:val="CharAmSchText"/>
    <w:basedOn w:val="OPCCharBase"/>
    <w:qFormat/>
    <w:rsid w:val="003F00BA"/>
  </w:style>
  <w:style w:type="character" w:customStyle="1" w:styleId="CharBoldItalic">
    <w:name w:val="CharBoldItalic"/>
    <w:basedOn w:val="OPCCharBase"/>
    <w:uiPriority w:val="1"/>
    <w:qFormat/>
    <w:rsid w:val="003F00BA"/>
    <w:rPr>
      <w:b/>
      <w:i/>
    </w:rPr>
  </w:style>
  <w:style w:type="character" w:customStyle="1" w:styleId="CharChapNo">
    <w:name w:val="CharChapNo"/>
    <w:basedOn w:val="OPCCharBase"/>
    <w:uiPriority w:val="1"/>
    <w:qFormat/>
    <w:rsid w:val="003F00BA"/>
  </w:style>
  <w:style w:type="character" w:customStyle="1" w:styleId="CharChapText">
    <w:name w:val="CharChapText"/>
    <w:basedOn w:val="OPCCharBase"/>
    <w:uiPriority w:val="1"/>
    <w:qFormat/>
    <w:rsid w:val="003F00BA"/>
  </w:style>
  <w:style w:type="character" w:customStyle="1" w:styleId="CharDivNo">
    <w:name w:val="CharDivNo"/>
    <w:basedOn w:val="OPCCharBase"/>
    <w:uiPriority w:val="1"/>
    <w:qFormat/>
    <w:rsid w:val="003F00BA"/>
  </w:style>
  <w:style w:type="character" w:customStyle="1" w:styleId="CharDivText">
    <w:name w:val="CharDivText"/>
    <w:basedOn w:val="OPCCharBase"/>
    <w:uiPriority w:val="1"/>
    <w:qFormat/>
    <w:rsid w:val="003F00BA"/>
  </w:style>
  <w:style w:type="character" w:customStyle="1" w:styleId="CharItalic">
    <w:name w:val="CharItalic"/>
    <w:basedOn w:val="OPCCharBase"/>
    <w:uiPriority w:val="1"/>
    <w:qFormat/>
    <w:rsid w:val="003F00BA"/>
    <w:rPr>
      <w:i/>
    </w:rPr>
  </w:style>
  <w:style w:type="character" w:customStyle="1" w:styleId="CharPartNo">
    <w:name w:val="CharPartNo"/>
    <w:basedOn w:val="OPCCharBase"/>
    <w:uiPriority w:val="1"/>
    <w:qFormat/>
    <w:rsid w:val="003F00BA"/>
  </w:style>
  <w:style w:type="character" w:customStyle="1" w:styleId="CharPartText">
    <w:name w:val="CharPartText"/>
    <w:basedOn w:val="OPCCharBase"/>
    <w:uiPriority w:val="1"/>
    <w:qFormat/>
    <w:rsid w:val="003F00BA"/>
  </w:style>
  <w:style w:type="character" w:customStyle="1" w:styleId="CharSectno">
    <w:name w:val="CharSectno"/>
    <w:basedOn w:val="OPCCharBase"/>
    <w:qFormat/>
    <w:rsid w:val="003F00BA"/>
  </w:style>
  <w:style w:type="character" w:customStyle="1" w:styleId="CharSubdNo">
    <w:name w:val="CharSubdNo"/>
    <w:basedOn w:val="OPCCharBase"/>
    <w:uiPriority w:val="1"/>
    <w:qFormat/>
    <w:rsid w:val="003F00BA"/>
  </w:style>
  <w:style w:type="character" w:customStyle="1" w:styleId="CharSubdText">
    <w:name w:val="CharSubdText"/>
    <w:basedOn w:val="OPCCharBase"/>
    <w:uiPriority w:val="1"/>
    <w:qFormat/>
    <w:rsid w:val="003F00BA"/>
  </w:style>
  <w:style w:type="paragraph" w:customStyle="1" w:styleId="CTA--">
    <w:name w:val="CTA --"/>
    <w:basedOn w:val="OPCParaBase"/>
    <w:next w:val="Normal"/>
    <w:rsid w:val="003F00BA"/>
    <w:pPr>
      <w:spacing w:before="60" w:line="240" w:lineRule="atLeast"/>
      <w:ind w:left="142" w:hanging="142"/>
    </w:pPr>
    <w:rPr>
      <w:sz w:val="20"/>
    </w:rPr>
  </w:style>
  <w:style w:type="paragraph" w:customStyle="1" w:styleId="CTA-">
    <w:name w:val="CTA -"/>
    <w:basedOn w:val="OPCParaBase"/>
    <w:rsid w:val="003F00BA"/>
    <w:pPr>
      <w:spacing w:before="60" w:line="240" w:lineRule="atLeast"/>
      <w:ind w:left="85" w:hanging="85"/>
    </w:pPr>
    <w:rPr>
      <w:sz w:val="20"/>
    </w:rPr>
  </w:style>
  <w:style w:type="paragraph" w:customStyle="1" w:styleId="CTA---">
    <w:name w:val="CTA ---"/>
    <w:basedOn w:val="OPCParaBase"/>
    <w:next w:val="Normal"/>
    <w:rsid w:val="003F00BA"/>
    <w:pPr>
      <w:spacing w:before="60" w:line="240" w:lineRule="atLeast"/>
      <w:ind w:left="198" w:hanging="198"/>
    </w:pPr>
    <w:rPr>
      <w:sz w:val="20"/>
    </w:rPr>
  </w:style>
  <w:style w:type="paragraph" w:customStyle="1" w:styleId="CTA----">
    <w:name w:val="CTA ----"/>
    <w:basedOn w:val="OPCParaBase"/>
    <w:next w:val="Normal"/>
    <w:rsid w:val="003F00BA"/>
    <w:pPr>
      <w:spacing w:before="60" w:line="240" w:lineRule="atLeast"/>
      <w:ind w:left="255" w:hanging="255"/>
    </w:pPr>
    <w:rPr>
      <w:sz w:val="20"/>
    </w:rPr>
  </w:style>
  <w:style w:type="paragraph" w:customStyle="1" w:styleId="CTA1a">
    <w:name w:val="CTA 1(a)"/>
    <w:basedOn w:val="OPCParaBase"/>
    <w:rsid w:val="003F00BA"/>
    <w:pPr>
      <w:tabs>
        <w:tab w:val="right" w:pos="414"/>
      </w:tabs>
      <w:spacing w:before="40" w:line="240" w:lineRule="atLeast"/>
      <w:ind w:left="675" w:hanging="675"/>
    </w:pPr>
    <w:rPr>
      <w:sz w:val="20"/>
    </w:rPr>
  </w:style>
  <w:style w:type="paragraph" w:customStyle="1" w:styleId="CTA1ai">
    <w:name w:val="CTA 1(a)(i)"/>
    <w:basedOn w:val="OPCParaBase"/>
    <w:rsid w:val="003F00BA"/>
    <w:pPr>
      <w:tabs>
        <w:tab w:val="right" w:pos="1004"/>
      </w:tabs>
      <w:spacing w:before="40" w:line="240" w:lineRule="atLeast"/>
      <w:ind w:left="1253" w:hanging="1253"/>
    </w:pPr>
    <w:rPr>
      <w:sz w:val="20"/>
    </w:rPr>
  </w:style>
  <w:style w:type="paragraph" w:customStyle="1" w:styleId="CTA2a">
    <w:name w:val="CTA 2(a)"/>
    <w:basedOn w:val="OPCParaBase"/>
    <w:rsid w:val="003F00BA"/>
    <w:pPr>
      <w:tabs>
        <w:tab w:val="right" w:pos="482"/>
      </w:tabs>
      <w:spacing w:before="40" w:line="240" w:lineRule="atLeast"/>
      <w:ind w:left="748" w:hanging="748"/>
    </w:pPr>
    <w:rPr>
      <w:sz w:val="20"/>
    </w:rPr>
  </w:style>
  <w:style w:type="paragraph" w:customStyle="1" w:styleId="CTA2ai">
    <w:name w:val="CTA 2(a)(i)"/>
    <w:basedOn w:val="OPCParaBase"/>
    <w:rsid w:val="003F00BA"/>
    <w:pPr>
      <w:tabs>
        <w:tab w:val="right" w:pos="1089"/>
      </w:tabs>
      <w:spacing w:before="40" w:line="240" w:lineRule="atLeast"/>
      <w:ind w:left="1327" w:hanging="1327"/>
    </w:pPr>
    <w:rPr>
      <w:sz w:val="20"/>
    </w:rPr>
  </w:style>
  <w:style w:type="paragraph" w:customStyle="1" w:styleId="CTA3a">
    <w:name w:val="CTA 3(a)"/>
    <w:basedOn w:val="OPCParaBase"/>
    <w:rsid w:val="003F00BA"/>
    <w:pPr>
      <w:tabs>
        <w:tab w:val="right" w:pos="556"/>
      </w:tabs>
      <w:spacing w:before="40" w:line="240" w:lineRule="atLeast"/>
      <w:ind w:left="805" w:hanging="805"/>
    </w:pPr>
    <w:rPr>
      <w:sz w:val="20"/>
    </w:rPr>
  </w:style>
  <w:style w:type="paragraph" w:customStyle="1" w:styleId="CTA3ai">
    <w:name w:val="CTA 3(a)(i)"/>
    <w:basedOn w:val="OPCParaBase"/>
    <w:rsid w:val="003F00BA"/>
    <w:pPr>
      <w:tabs>
        <w:tab w:val="right" w:pos="1140"/>
      </w:tabs>
      <w:spacing w:before="40" w:line="240" w:lineRule="atLeast"/>
      <w:ind w:left="1361" w:hanging="1361"/>
    </w:pPr>
    <w:rPr>
      <w:sz w:val="20"/>
    </w:rPr>
  </w:style>
  <w:style w:type="paragraph" w:customStyle="1" w:styleId="CTA4a">
    <w:name w:val="CTA 4(a)"/>
    <w:basedOn w:val="OPCParaBase"/>
    <w:rsid w:val="003F00BA"/>
    <w:pPr>
      <w:tabs>
        <w:tab w:val="right" w:pos="624"/>
      </w:tabs>
      <w:spacing w:before="40" w:line="240" w:lineRule="atLeast"/>
      <w:ind w:left="873" w:hanging="873"/>
    </w:pPr>
    <w:rPr>
      <w:sz w:val="20"/>
    </w:rPr>
  </w:style>
  <w:style w:type="paragraph" w:customStyle="1" w:styleId="CTA4ai">
    <w:name w:val="CTA 4(a)(i)"/>
    <w:basedOn w:val="OPCParaBase"/>
    <w:rsid w:val="003F00BA"/>
    <w:pPr>
      <w:tabs>
        <w:tab w:val="right" w:pos="1213"/>
      </w:tabs>
      <w:spacing w:before="40" w:line="240" w:lineRule="atLeast"/>
      <w:ind w:left="1452" w:hanging="1452"/>
    </w:pPr>
    <w:rPr>
      <w:sz w:val="20"/>
    </w:rPr>
  </w:style>
  <w:style w:type="paragraph" w:customStyle="1" w:styleId="CTACAPS">
    <w:name w:val="CTA CAPS"/>
    <w:basedOn w:val="OPCParaBase"/>
    <w:rsid w:val="003F00BA"/>
    <w:pPr>
      <w:spacing w:before="60" w:line="240" w:lineRule="atLeast"/>
    </w:pPr>
    <w:rPr>
      <w:sz w:val="20"/>
    </w:rPr>
  </w:style>
  <w:style w:type="paragraph" w:customStyle="1" w:styleId="CTAright">
    <w:name w:val="CTA right"/>
    <w:basedOn w:val="OPCParaBase"/>
    <w:rsid w:val="003F00BA"/>
    <w:pPr>
      <w:spacing w:before="60" w:line="240" w:lineRule="auto"/>
      <w:jc w:val="right"/>
    </w:pPr>
    <w:rPr>
      <w:sz w:val="20"/>
    </w:rPr>
  </w:style>
  <w:style w:type="paragraph" w:customStyle="1" w:styleId="subsection">
    <w:name w:val="subsection"/>
    <w:aliases w:val="ss,Subsection"/>
    <w:basedOn w:val="OPCParaBase"/>
    <w:link w:val="subsectionChar"/>
    <w:rsid w:val="003F00BA"/>
    <w:pPr>
      <w:tabs>
        <w:tab w:val="right" w:pos="1021"/>
      </w:tabs>
      <w:spacing w:before="180" w:line="240" w:lineRule="auto"/>
      <w:ind w:left="1134" w:hanging="1134"/>
    </w:pPr>
  </w:style>
  <w:style w:type="paragraph" w:customStyle="1" w:styleId="Definition">
    <w:name w:val="Definition"/>
    <w:aliases w:val="dd"/>
    <w:basedOn w:val="OPCParaBase"/>
    <w:rsid w:val="003F00BA"/>
    <w:pPr>
      <w:spacing w:before="180" w:line="240" w:lineRule="auto"/>
      <w:ind w:left="1134"/>
    </w:pPr>
  </w:style>
  <w:style w:type="paragraph" w:customStyle="1" w:styleId="ETAsubitem">
    <w:name w:val="ETA(subitem)"/>
    <w:basedOn w:val="OPCParaBase"/>
    <w:rsid w:val="003F00BA"/>
    <w:pPr>
      <w:tabs>
        <w:tab w:val="right" w:pos="340"/>
      </w:tabs>
      <w:spacing w:before="60" w:line="240" w:lineRule="auto"/>
      <w:ind w:left="454" w:hanging="454"/>
    </w:pPr>
    <w:rPr>
      <w:sz w:val="20"/>
    </w:rPr>
  </w:style>
  <w:style w:type="paragraph" w:customStyle="1" w:styleId="ETApara">
    <w:name w:val="ETA(para)"/>
    <w:basedOn w:val="OPCParaBase"/>
    <w:rsid w:val="003F00BA"/>
    <w:pPr>
      <w:tabs>
        <w:tab w:val="right" w:pos="754"/>
      </w:tabs>
      <w:spacing w:before="60" w:line="240" w:lineRule="auto"/>
      <w:ind w:left="828" w:hanging="828"/>
    </w:pPr>
    <w:rPr>
      <w:sz w:val="20"/>
    </w:rPr>
  </w:style>
  <w:style w:type="paragraph" w:customStyle="1" w:styleId="ETAsubpara">
    <w:name w:val="ETA(subpara)"/>
    <w:basedOn w:val="OPCParaBase"/>
    <w:rsid w:val="003F00BA"/>
    <w:pPr>
      <w:tabs>
        <w:tab w:val="right" w:pos="1083"/>
      </w:tabs>
      <w:spacing w:before="60" w:line="240" w:lineRule="auto"/>
      <w:ind w:left="1191" w:hanging="1191"/>
    </w:pPr>
    <w:rPr>
      <w:sz w:val="20"/>
    </w:rPr>
  </w:style>
  <w:style w:type="paragraph" w:customStyle="1" w:styleId="ETAsub-subpara">
    <w:name w:val="ETA(sub-subpara)"/>
    <w:basedOn w:val="OPCParaBase"/>
    <w:rsid w:val="003F00BA"/>
    <w:pPr>
      <w:tabs>
        <w:tab w:val="right" w:pos="1412"/>
      </w:tabs>
      <w:spacing w:before="60" w:line="240" w:lineRule="auto"/>
      <w:ind w:left="1525" w:hanging="1525"/>
    </w:pPr>
    <w:rPr>
      <w:sz w:val="20"/>
    </w:rPr>
  </w:style>
  <w:style w:type="paragraph" w:customStyle="1" w:styleId="Formula">
    <w:name w:val="Formula"/>
    <w:basedOn w:val="OPCParaBase"/>
    <w:rsid w:val="003F00BA"/>
    <w:pPr>
      <w:spacing w:line="240" w:lineRule="auto"/>
      <w:ind w:left="1134"/>
    </w:pPr>
    <w:rPr>
      <w:sz w:val="20"/>
    </w:rPr>
  </w:style>
  <w:style w:type="paragraph" w:styleId="Header">
    <w:name w:val="header"/>
    <w:basedOn w:val="OPCParaBase"/>
    <w:link w:val="HeaderChar"/>
    <w:unhideWhenUsed/>
    <w:rsid w:val="003F00B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F00BA"/>
    <w:rPr>
      <w:rFonts w:eastAsia="Times New Roman" w:cs="Times New Roman"/>
      <w:sz w:val="16"/>
      <w:lang w:eastAsia="en-AU"/>
    </w:rPr>
  </w:style>
  <w:style w:type="paragraph" w:customStyle="1" w:styleId="House">
    <w:name w:val="House"/>
    <w:basedOn w:val="OPCParaBase"/>
    <w:rsid w:val="003F00BA"/>
    <w:pPr>
      <w:spacing w:line="240" w:lineRule="auto"/>
    </w:pPr>
    <w:rPr>
      <w:sz w:val="28"/>
    </w:rPr>
  </w:style>
  <w:style w:type="paragraph" w:customStyle="1" w:styleId="Item">
    <w:name w:val="Item"/>
    <w:aliases w:val="i"/>
    <w:basedOn w:val="OPCParaBase"/>
    <w:next w:val="ItemHead"/>
    <w:link w:val="ItemChar"/>
    <w:rsid w:val="003F00BA"/>
    <w:pPr>
      <w:keepLines/>
      <w:spacing w:before="80" w:line="240" w:lineRule="auto"/>
      <w:ind w:left="709"/>
    </w:pPr>
  </w:style>
  <w:style w:type="paragraph" w:customStyle="1" w:styleId="ItemHead">
    <w:name w:val="ItemHead"/>
    <w:aliases w:val="ih"/>
    <w:basedOn w:val="OPCParaBase"/>
    <w:next w:val="Item"/>
    <w:link w:val="ItemHeadChar"/>
    <w:rsid w:val="003F00B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F00BA"/>
    <w:pPr>
      <w:spacing w:line="240" w:lineRule="auto"/>
    </w:pPr>
    <w:rPr>
      <w:b/>
      <w:sz w:val="32"/>
    </w:rPr>
  </w:style>
  <w:style w:type="paragraph" w:customStyle="1" w:styleId="notedraft">
    <w:name w:val="note(draft)"/>
    <w:aliases w:val="nd"/>
    <w:basedOn w:val="OPCParaBase"/>
    <w:rsid w:val="003F00BA"/>
    <w:pPr>
      <w:spacing w:before="240" w:line="240" w:lineRule="auto"/>
      <w:ind w:left="284" w:hanging="284"/>
    </w:pPr>
    <w:rPr>
      <w:i/>
      <w:sz w:val="24"/>
    </w:rPr>
  </w:style>
  <w:style w:type="paragraph" w:customStyle="1" w:styleId="notemargin">
    <w:name w:val="note(margin)"/>
    <w:aliases w:val="nm"/>
    <w:basedOn w:val="OPCParaBase"/>
    <w:rsid w:val="003F00BA"/>
    <w:pPr>
      <w:tabs>
        <w:tab w:val="left" w:pos="709"/>
      </w:tabs>
      <w:spacing w:before="122" w:line="198" w:lineRule="exact"/>
      <w:ind w:left="709" w:hanging="709"/>
    </w:pPr>
    <w:rPr>
      <w:sz w:val="18"/>
    </w:rPr>
  </w:style>
  <w:style w:type="paragraph" w:customStyle="1" w:styleId="noteToPara">
    <w:name w:val="noteToPara"/>
    <w:aliases w:val="ntp"/>
    <w:basedOn w:val="OPCParaBase"/>
    <w:rsid w:val="003F00BA"/>
    <w:pPr>
      <w:spacing w:before="122" w:line="198" w:lineRule="exact"/>
      <w:ind w:left="2353" w:hanging="709"/>
    </w:pPr>
    <w:rPr>
      <w:sz w:val="18"/>
    </w:rPr>
  </w:style>
  <w:style w:type="paragraph" w:customStyle="1" w:styleId="noteParlAmend">
    <w:name w:val="note(ParlAmend)"/>
    <w:aliases w:val="npp"/>
    <w:basedOn w:val="OPCParaBase"/>
    <w:next w:val="ParlAmend"/>
    <w:rsid w:val="003F00BA"/>
    <w:pPr>
      <w:spacing w:line="240" w:lineRule="auto"/>
      <w:jc w:val="right"/>
    </w:pPr>
    <w:rPr>
      <w:rFonts w:ascii="Arial" w:hAnsi="Arial"/>
      <w:b/>
      <w:i/>
    </w:rPr>
  </w:style>
  <w:style w:type="paragraph" w:customStyle="1" w:styleId="Page1">
    <w:name w:val="Page1"/>
    <w:basedOn w:val="OPCParaBase"/>
    <w:rsid w:val="003F00BA"/>
    <w:pPr>
      <w:spacing w:before="5600" w:line="240" w:lineRule="auto"/>
    </w:pPr>
    <w:rPr>
      <w:b/>
      <w:sz w:val="32"/>
    </w:rPr>
  </w:style>
  <w:style w:type="paragraph" w:customStyle="1" w:styleId="PageBreak">
    <w:name w:val="PageBreak"/>
    <w:aliases w:val="pb"/>
    <w:basedOn w:val="OPCParaBase"/>
    <w:rsid w:val="003F00BA"/>
    <w:pPr>
      <w:spacing w:line="240" w:lineRule="auto"/>
    </w:pPr>
    <w:rPr>
      <w:sz w:val="20"/>
    </w:rPr>
  </w:style>
  <w:style w:type="paragraph" w:customStyle="1" w:styleId="paragraphsub">
    <w:name w:val="paragraph(sub)"/>
    <w:aliases w:val="aa"/>
    <w:basedOn w:val="OPCParaBase"/>
    <w:rsid w:val="003F00BA"/>
    <w:pPr>
      <w:tabs>
        <w:tab w:val="right" w:pos="1985"/>
      </w:tabs>
      <w:spacing w:before="40" w:line="240" w:lineRule="auto"/>
      <w:ind w:left="2098" w:hanging="2098"/>
    </w:pPr>
  </w:style>
  <w:style w:type="paragraph" w:customStyle="1" w:styleId="paragraphsub-sub">
    <w:name w:val="paragraph(sub-sub)"/>
    <w:aliases w:val="aaa"/>
    <w:basedOn w:val="OPCParaBase"/>
    <w:rsid w:val="003F00BA"/>
    <w:pPr>
      <w:tabs>
        <w:tab w:val="right" w:pos="2722"/>
      </w:tabs>
      <w:spacing w:before="40" w:line="240" w:lineRule="auto"/>
      <w:ind w:left="2835" w:hanging="2835"/>
    </w:pPr>
  </w:style>
  <w:style w:type="paragraph" w:customStyle="1" w:styleId="paragraph">
    <w:name w:val="paragraph"/>
    <w:aliases w:val="a"/>
    <w:basedOn w:val="OPCParaBase"/>
    <w:rsid w:val="003F00BA"/>
    <w:pPr>
      <w:tabs>
        <w:tab w:val="right" w:pos="1531"/>
      </w:tabs>
      <w:spacing w:before="40" w:line="240" w:lineRule="auto"/>
      <w:ind w:left="1644" w:hanging="1644"/>
    </w:pPr>
  </w:style>
  <w:style w:type="paragraph" w:customStyle="1" w:styleId="ParlAmend">
    <w:name w:val="ParlAmend"/>
    <w:aliases w:val="pp"/>
    <w:basedOn w:val="OPCParaBase"/>
    <w:rsid w:val="003F00BA"/>
    <w:pPr>
      <w:spacing w:before="240" w:line="240" w:lineRule="atLeast"/>
      <w:ind w:hanging="567"/>
    </w:pPr>
    <w:rPr>
      <w:sz w:val="24"/>
    </w:rPr>
  </w:style>
  <w:style w:type="paragraph" w:customStyle="1" w:styleId="Penalty">
    <w:name w:val="Penalty"/>
    <w:basedOn w:val="OPCParaBase"/>
    <w:rsid w:val="003F00BA"/>
    <w:pPr>
      <w:tabs>
        <w:tab w:val="left" w:pos="2977"/>
      </w:tabs>
      <w:spacing w:before="180" w:line="240" w:lineRule="auto"/>
      <w:ind w:left="1985" w:hanging="851"/>
    </w:pPr>
  </w:style>
  <w:style w:type="paragraph" w:customStyle="1" w:styleId="Portfolio">
    <w:name w:val="Portfolio"/>
    <w:basedOn w:val="OPCParaBase"/>
    <w:rsid w:val="003F00BA"/>
    <w:pPr>
      <w:spacing w:line="240" w:lineRule="auto"/>
    </w:pPr>
    <w:rPr>
      <w:i/>
      <w:sz w:val="20"/>
    </w:rPr>
  </w:style>
  <w:style w:type="paragraph" w:customStyle="1" w:styleId="Preamble">
    <w:name w:val="Preamble"/>
    <w:basedOn w:val="OPCParaBase"/>
    <w:next w:val="Normal"/>
    <w:rsid w:val="003F00B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F00BA"/>
    <w:pPr>
      <w:spacing w:line="240" w:lineRule="auto"/>
    </w:pPr>
    <w:rPr>
      <w:i/>
      <w:sz w:val="20"/>
    </w:rPr>
  </w:style>
  <w:style w:type="paragraph" w:customStyle="1" w:styleId="Session">
    <w:name w:val="Session"/>
    <w:basedOn w:val="OPCParaBase"/>
    <w:rsid w:val="003F00BA"/>
    <w:pPr>
      <w:spacing w:line="240" w:lineRule="auto"/>
    </w:pPr>
    <w:rPr>
      <w:sz w:val="28"/>
    </w:rPr>
  </w:style>
  <w:style w:type="paragraph" w:customStyle="1" w:styleId="Sponsor">
    <w:name w:val="Sponsor"/>
    <w:basedOn w:val="OPCParaBase"/>
    <w:rsid w:val="003F00BA"/>
    <w:pPr>
      <w:spacing w:line="240" w:lineRule="auto"/>
    </w:pPr>
    <w:rPr>
      <w:i/>
    </w:rPr>
  </w:style>
  <w:style w:type="paragraph" w:customStyle="1" w:styleId="Subitem">
    <w:name w:val="Subitem"/>
    <w:aliases w:val="iss"/>
    <w:basedOn w:val="OPCParaBase"/>
    <w:rsid w:val="003F00BA"/>
    <w:pPr>
      <w:spacing w:before="180" w:line="240" w:lineRule="auto"/>
      <w:ind w:left="709" w:hanging="709"/>
    </w:pPr>
  </w:style>
  <w:style w:type="paragraph" w:customStyle="1" w:styleId="SubitemHead">
    <w:name w:val="SubitemHead"/>
    <w:aliases w:val="issh"/>
    <w:basedOn w:val="OPCParaBase"/>
    <w:rsid w:val="003F00B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F00BA"/>
    <w:pPr>
      <w:spacing w:before="40" w:line="240" w:lineRule="auto"/>
      <w:ind w:left="1134"/>
    </w:pPr>
  </w:style>
  <w:style w:type="paragraph" w:customStyle="1" w:styleId="SubsectionHead">
    <w:name w:val="SubsectionHead"/>
    <w:aliases w:val="ssh"/>
    <w:basedOn w:val="OPCParaBase"/>
    <w:next w:val="subsection"/>
    <w:rsid w:val="003F00BA"/>
    <w:pPr>
      <w:keepNext/>
      <w:keepLines/>
      <w:spacing w:before="240" w:line="240" w:lineRule="auto"/>
      <w:ind w:left="1134"/>
    </w:pPr>
    <w:rPr>
      <w:i/>
    </w:rPr>
  </w:style>
  <w:style w:type="paragraph" w:customStyle="1" w:styleId="Tablea">
    <w:name w:val="Table(a)"/>
    <w:aliases w:val="ta"/>
    <w:basedOn w:val="OPCParaBase"/>
    <w:rsid w:val="003F00BA"/>
    <w:pPr>
      <w:spacing w:before="60" w:line="240" w:lineRule="auto"/>
      <w:ind w:left="284" w:hanging="284"/>
    </w:pPr>
    <w:rPr>
      <w:sz w:val="20"/>
    </w:rPr>
  </w:style>
  <w:style w:type="paragraph" w:customStyle="1" w:styleId="TableAA">
    <w:name w:val="Table(AA)"/>
    <w:aliases w:val="taaa"/>
    <w:basedOn w:val="OPCParaBase"/>
    <w:rsid w:val="003F00B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F00B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F00BA"/>
    <w:pPr>
      <w:spacing w:before="60" w:line="240" w:lineRule="atLeast"/>
    </w:pPr>
    <w:rPr>
      <w:sz w:val="20"/>
    </w:rPr>
  </w:style>
  <w:style w:type="paragraph" w:customStyle="1" w:styleId="TLPBoxTextnote">
    <w:name w:val="TLPBoxText(note"/>
    <w:aliases w:val="right)"/>
    <w:basedOn w:val="OPCParaBase"/>
    <w:rsid w:val="003F00B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F00B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F00BA"/>
    <w:pPr>
      <w:spacing w:before="122" w:line="198" w:lineRule="exact"/>
      <w:ind w:left="1985" w:hanging="851"/>
      <w:jc w:val="right"/>
    </w:pPr>
    <w:rPr>
      <w:sz w:val="18"/>
    </w:rPr>
  </w:style>
  <w:style w:type="paragraph" w:customStyle="1" w:styleId="TLPTableBullet">
    <w:name w:val="TLPTableBullet"/>
    <w:aliases w:val="ttb"/>
    <w:basedOn w:val="OPCParaBase"/>
    <w:rsid w:val="003F00BA"/>
    <w:pPr>
      <w:spacing w:line="240" w:lineRule="exact"/>
      <w:ind w:left="284" w:hanging="284"/>
    </w:pPr>
    <w:rPr>
      <w:sz w:val="20"/>
    </w:rPr>
  </w:style>
  <w:style w:type="paragraph" w:styleId="TOC1">
    <w:name w:val="toc 1"/>
    <w:basedOn w:val="Normal"/>
    <w:next w:val="Normal"/>
    <w:uiPriority w:val="39"/>
    <w:unhideWhenUsed/>
    <w:rsid w:val="003F00B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F00B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F00B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F00B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F00B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F00B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F00B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F00B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F00B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F00BA"/>
    <w:pPr>
      <w:keepLines/>
      <w:spacing w:before="240" w:after="120" w:line="240" w:lineRule="auto"/>
      <w:ind w:left="794"/>
    </w:pPr>
    <w:rPr>
      <w:b/>
      <w:kern w:val="28"/>
      <w:sz w:val="20"/>
    </w:rPr>
  </w:style>
  <w:style w:type="paragraph" w:customStyle="1" w:styleId="TofSectsHeading">
    <w:name w:val="TofSects(Heading)"/>
    <w:basedOn w:val="OPCParaBase"/>
    <w:rsid w:val="003F00BA"/>
    <w:pPr>
      <w:spacing w:before="240" w:after="120" w:line="240" w:lineRule="auto"/>
    </w:pPr>
    <w:rPr>
      <w:b/>
      <w:sz w:val="24"/>
    </w:rPr>
  </w:style>
  <w:style w:type="paragraph" w:customStyle="1" w:styleId="TofSectsSection">
    <w:name w:val="TofSects(Section)"/>
    <w:basedOn w:val="OPCParaBase"/>
    <w:rsid w:val="003F00BA"/>
    <w:pPr>
      <w:keepLines/>
      <w:spacing w:before="40" w:line="240" w:lineRule="auto"/>
      <w:ind w:left="1588" w:hanging="794"/>
    </w:pPr>
    <w:rPr>
      <w:kern w:val="28"/>
      <w:sz w:val="18"/>
    </w:rPr>
  </w:style>
  <w:style w:type="paragraph" w:customStyle="1" w:styleId="TofSectsSubdiv">
    <w:name w:val="TofSects(Subdiv)"/>
    <w:basedOn w:val="OPCParaBase"/>
    <w:rsid w:val="003F00BA"/>
    <w:pPr>
      <w:keepLines/>
      <w:spacing w:before="80" w:line="240" w:lineRule="auto"/>
      <w:ind w:left="1588" w:hanging="794"/>
    </w:pPr>
    <w:rPr>
      <w:kern w:val="28"/>
    </w:rPr>
  </w:style>
  <w:style w:type="paragraph" w:customStyle="1" w:styleId="WRStyle">
    <w:name w:val="WR Style"/>
    <w:aliases w:val="WR"/>
    <w:basedOn w:val="OPCParaBase"/>
    <w:rsid w:val="003F00BA"/>
    <w:pPr>
      <w:spacing w:before="240" w:line="240" w:lineRule="auto"/>
      <w:ind w:left="284" w:hanging="284"/>
    </w:pPr>
    <w:rPr>
      <w:b/>
      <w:i/>
      <w:kern w:val="28"/>
      <w:sz w:val="24"/>
    </w:rPr>
  </w:style>
  <w:style w:type="paragraph" w:customStyle="1" w:styleId="notepara">
    <w:name w:val="note(para)"/>
    <w:aliases w:val="na"/>
    <w:basedOn w:val="OPCParaBase"/>
    <w:rsid w:val="003F00BA"/>
    <w:pPr>
      <w:spacing w:before="40" w:line="198" w:lineRule="exact"/>
      <w:ind w:left="2354" w:hanging="369"/>
    </w:pPr>
    <w:rPr>
      <w:sz w:val="18"/>
    </w:rPr>
  </w:style>
  <w:style w:type="paragraph" w:styleId="Footer">
    <w:name w:val="footer"/>
    <w:link w:val="FooterChar"/>
    <w:rsid w:val="003F00B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F00BA"/>
    <w:rPr>
      <w:rFonts w:eastAsia="Times New Roman" w:cs="Times New Roman"/>
      <w:sz w:val="22"/>
      <w:szCs w:val="24"/>
      <w:lang w:eastAsia="en-AU"/>
    </w:rPr>
  </w:style>
  <w:style w:type="character" w:styleId="LineNumber">
    <w:name w:val="line number"/>
    <w:basedOn w:val="OPCCharBase"/>
    <w:uiPriority w:val="99"/>
    <w:unhideWhenUsed/>
    <w:rsid w:val="003F00BA"/>
    <w:rPr>
      <w:sz w:val="16"/>
    </w:rPr>
  </w:style>
  <w:style w:type="table" w:customStyle="1" w:styleId="CFlag">
    <w:name w:val="CFlag"/>
    <w:basedOn w:val="TableNormal"/>
    <w:uiPriority w:val="99"/>
    <w:rsid w:val="003F00BA"/>
    <w:rPr>
      <w:rFonts w:eastAsia="Times New Roman" w:cs="Times New Roman"/>
      <w:lang w:eastAsia="en-AU"/>
    </w:rPr>
    <w:tblPr/>
  </w:style>
  <w:style w:type="paragraph" w:styleId="BalloonText">
    <w:name w:val="Balloon Text"/>
    <w:basedOn w:val="Normal"/>
    <w:link w:val="BalloonTextChar"/>
    <w:uiPriority w:val="99"/>
    <w:unhideWhenUsed/>
    <w:rsid w:val="003F00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F00BA"/>
    <w:rPr>
      <w:rFonts w:ascii="Tahoma" w:hAnsi="Tahoma" w:cs="Tahoma"/>
      <w:sz w:val="16"/>
      <w:szCs w:val="16"/>
    </w:rPr>
  </w:style>
  <w:style w:type="table" w:styleId="TableGrid">
    <w:name w:val="Table Grid"/>
    <w:basedOn w:val="TableNormal"/>
    <w:uiPriority w:val="59"/>
    <w:rsid w:val="003F0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F00BA"/>
    <w:rPr>
      <w:b/>
      <w:sz w:val="28"/>
      <w:szCs w:val="32"/>
    </w:rPr>
  </w:style>
  <w:style w:type="paragraph" w:customStyle="1" w:styleId="LegislationMadeUnder">
    <w:name w:val="LegislationMadeUnder"/>
    <w:basedOn w:val="OPCParaBase"/>
    <w:next w:val="Normal"/>
    <w:rsid w:val="003F00BA"/>
    <w:rPr>
      <w:i/>
      <w:sz w:val="32"/>
      <w:szCs w:val="32"/>
    </w:rPr>
  </w:style>
  <w:style w:type="paragraph" w:customStyle="1" w:styleId="SignCoverPageEnd">
    <w:name w:val="SignCoverPageEnd"/>
    <w:basedOn w:val="OPCParaBase"/>
    <w:next w:val="Normal"/>
    <w:rsid w:val="003F00B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F00BA"/>
    <w:pPr>
      <w:pBdr>
        <w:top w:val="single" w:sz="4" w:space="1" w:color="auto"/>
      </w:pBdr>
      <w:spacing w:before="360"/>
      <w:ind w:right="397"/>
      <w:jc w:val="both"/>
    </w:pPr>
  </w:style>
  <w:style w:type="paragraph" w:customStyle="1" w:styleId="NotesHeading1">
    <w:name w:val="NotesHeading 1"/>
    <w:basedOn w:val="OPCParaBase"/>
    <w:next w:val="Normal"/>
    <w:rsid w:val="003F00BA"/>
    <w:rPr>
      <w:b/>
      <w:sz w:val="28"/>
      <w:szCs w:val="28"/>
    </w:rPr>
  </w:style>
  <w:style w:type="paragraph" w:customStyle="1" w:styleId="NotesHeading2">
    <w:name w:val="NotesHeading 2"/>
    <w:basedOn w:val="OPCParaBase"/>
    <w:next w:val="Normal"/>
    <w:rsid w:val="003F00BA"/>
    <w:rPr>
      <w:b/>
      <w:sz w:val="28"/>
      <w:szCs w:val="28"/>
    </w:rPr>
  </w:style>
  <w:style w:type="paragraph" w:customStyle="1" w:styleId="ENotesText">
    <w:name w:val="ENotesText"/>
    <w:aliases w:val="Ent"/>
    <w:basedOn w:val="OPCParaBase"/>
    <w:next w:val="Normal"/>
    <w:rsid w:val="003F00BA"/>
    <w:pPr>
      <w:spacing w:before="120"/>
    </w:pPr>
  </w:style>
  <w:style w:type="paragraph" w:customStyle="1" w:styleId="CompiledActNo">
    <w:name w:val="CompiledActNo"/>
    <w:basedOn w:val="OPCParaBase"/>
    <w:next w:val="Normal"/>
    <w:rsid w:val="003F00BA"/>
    <w:rPr>
      <w:b/>
      <w:sz w:val="24"/>
      <w:szCs w:val="24"/>
    </w:rPr>
  </w:style>
  <w:style w:type="paragraph" w:customStyle="1" w:styleId="CompiledMadeUnder">
    <w:name w:val="CompiledMadeUnder"/>
    <w:basedOn w:val="OPCParaBase"/>
    <w:next w:val="Normal"/>
    <w:rsid w:val="003F00BA"/>
    <w:rPr>
      <w:i/>
      <w:sz w:val="24"/>
      <w:szCs w:val="24"/>
    </w:rPr>
  </w:style>
  <w:style w:type="paragraph" w:customStyle="1" w:styleId="Paragraphsub-sub-sub">
    <w:name w:val="Paragraph(sub-sub-sub)"/>
    <w:aliases w:val="aaaa"/>
    <w:basedOn w:val="OPCParaBase"/>
    <w:rsid w:val="003F00B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F00B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F00B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F00B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F00B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F00BA"/>
    <w:pPr>
      <w:spacing w:before="60" w:line="240" w:lineRule="auto"/>
    </w:pPr>
    <w:rPr>
      <w:rFonts w:cs="Arial"/>
      <w:sz w:val="20"/>
      <w:szCs w:val="22"/>
    </w:rPr>
  </w:style>
  <w:style w:type="paragraph" w:customStyle="1" w:styleId="NoteToSubpara">
    <w:name w:val="NoteToSubpara"/>
    <w:aliases w:val="nts"/>
    <w:basedOn w:val="OPCParaBase"/>
    <w:rsid w:val="003F00BA"/>
    <w:pPr>
      <w:spacing w:before="40" w:line="198" w:lineRule="exact"/>
      <w:ind w:left="2835" w:hanging="709"/>
    </w:pPr>
    <w:rPr>
      <w:sz w:val="18"/>
    </w:rPr>
  </w:style>
  <w:style w:type="paragraph" w:customStyle="1" w:styleId="ENoteTableHeading">
    <w:name w:val="ENoteTableHeading"/>
    <w:aliases w:val="enth"/>
    <w:basedOn w:val="OPCParaBase"/>
    <w:rsid w:val="003F00BA"/>
    <w:pPr>
      <w:keepNext/>
      <w:spacing w:before="60" w:line="240" w:lineRule="atLeast"/>
    </w:pPr>
    <w:rPr>
      <w:rFonts w:ascii="Arial" w:hAnsi="Arial"/>
      <w:b/>
      <w:sz w:val="16"/>
    </w:rPr>
  </w:style>
  <w:style w:type="paragraph" w:customStyle="1" w:styleId="ENoteTTi">
    <w:name w:val="ENoteTTi"/>
    <w:aliases w:val="entti"/>
    <w:basedOn w:val="OPCParaBase"/>
    <w:rsid w:val="003F00BA"/>
    <w:pPr>
      <w:keepNext/>
      <w:spacing w:before="60" w:line="240" w:lineRule="atLeast"/>
      <w:ind w:left="170"/>
    </w:pPr>
    <w:rPr>
      <w:sz w:val="16"/>
    </w:rPr>
  </w:style>
  <w:style w:type="paragraph" w:customStyle="1" w:styleId="ENotesHeading1">
    <w:name w:val="ENotesHeading 1"/>
    <w:aliases w:val="Enh1"/>
    <w:basedOn w:val="OPCParaBase"/>
    <w:next w:val="Normal"/>
    <w:rsid w:val="003F00BA"/>
    <w:pPr>
      <w:spacing w:before="120"/>
      <w:outlineLvl w:val="1"/>
    </w:pPr>
    <w:rPr>
      <w:b/>
      <w:sz w:val="28"/>
      <w:szCs w:val="28"/>
    </w:rPr>
  </w:style>
  <w:style w:type="paragraph" w:customStyle="1" w:styleId="ENotesHeading2">
    <w:name w:val="ENotesHeading 2"/>
    <w:aliases w:val="Enh2"/>
    <w:basedOn w:val="OPCParaBase"/>
    <w:next w:val="Normal"/>
    <w:rsid w:val="003F00BA"/>
    <w:pPr>
      <w:spacing w:before="120" w:after="120"/>
      <w:outlineLvl w:val="2"/>
    </w:pPr>
    <w:rPr>
      <w:b/>
      <w:sz w:val="24"/>
      <w:szCs w:val="28"/>
    </w:rPr>
  </w:style>
  <w:style w:type="paragraph" w:customStyle="1" w:styleId="ENoteTTIndentHeading">
    <w:name w:val="ENoteTTIndentHeading"/>
    <w:aliases w:val="enTTHi"/>
    <w:basedOn w:val="OPCParaBase"/>
    <w:rsid w:val="003F00B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F00BA"/>
    <w:pPr>
      <w:spacing w:before="60" w:line="240" w:lineRule="atLeast"/>
    </w:pPr>
    <w:rPr>
      <w:sz w:val="16"/>
    </w:rPr>
  </w:style>
  <w:style w:type="paragraph" w:customStyle="1" w:styleId="MadeunderText">
    <w:name w:val="MadeunderText"/>
    <w:basedOn w:val="OPCParaBase"/>
    <w:next w:val="Normal"/>
    <w:rsid w:val="003F00BA"/>
    <w:pPr>
      <w:spacing w:before="240"/>
    </w:pPr>
    <w:rPr>
      <w:sz w:val="24"/>
      <w:szCs w:val="24"/>
    </w:rPr>
  </w:style>
  <w:style w:type="paragraph" w:customStyle="1" w:styleId="ENotesHeading3">
    <w:name w:val="ENotesHeading 3"/>
    <w:aliases w:val="Enh3"/>
    <w:basedOn w:val="OPCParaBase"/>
    <w:next w:val="Normal"/>
    <w:rsid w:val="003F00BA"/>
    <w:pPr>
      <w:keepNext/>
      <w:spacing w:before="120" w:line="240" w:lineRule="auto"/>
      <w:outlineLvl w:val="4"/>
    </w:pPr>
    <w:rPr>
      <w:b/>
      <w:szCs w:val="24"/>
    </w:rPr>
  </w:style>
  <w:style w:type="character" w:customStyle="1" w:styleId="CharSubPartTextCASA">
    <w:name w:val="CharSubPartText(CASA)"/>
    <w:basedOn w:val="OPCCharBase"/>
    <w:uiPriority w:val="1"/>
    <w:rsid w:val="003F00BA"/>
  </w:style>
  <w:style w:type="character" w:customStyle="1" w:styleId="CharSubPartNoCASA">
    <w:name w:val="CharSubPartNo(CASA)"/>
    <w:basedOn w:val="OPCCharBase"/>
    <w:uiPriority w:val="1"/>
    <w:rsid w:val="003F00BA"/>
  </w:style>
  <w:style w:type="paragraph" w:customStyle="1" w:styleId="ENoteTTIndentHeadingSub">
    <w:name w:val="ENoteTTIndentHeadingSub"/>
    <w:aliases w:val="enTTHis"/>
    <w:basedOn w:val="OPCParaBase"/>
    <w:rsid w:val="003F00BA"/>
    <w:pPr>
      <w:keepNext/>
      <w:spacing w:before="60" w:line="240" w:lineRule="atLeast"/>
      <w:ind w:left="340"/>
    </w:pPr>
    <w:rPr>
      <w:b/>
      <w:sz w:val="16"/>
    </w:rPr>
  </w:style>
  <w:style w:type="paragraph" w:customStyle="1" w:styleId="ENoteTTiSub">
    <w:name w:val="ENoteTTiSub"/>
    <w:aliases w:val="enttis"/>
    <w:basedOn w:val="OPCParaBase"/>
    <w:rsid w:val="003F00BA"/>
    <w:pPr>
      <w:keepNext/>
      <w:spacing w:before="60" w:line="240" w:lineRule="atLeast"/>
      <w:ind w:left="340"/>
    </w:pPr>
    <w:rPr>
      <w:sz w:val="16"/>
    </w:rPr>
  </w:style>
  <w:style w:type="paragraph" w:customStyle="1" w:styleId="SubDivisionMigration">
    <w:name w:val="SubDivisionMigration"/>
    <w:aliases w:val="sdm"/>
    <w:basedOn w:val="OPCParaBase"/>
    <w:rsid w:val="003F00B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F00B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F00BA"/>
    <w:pPr>
      <w:spacing w:before="122" w:line="240" w:lineRule="auto"/>
      <w:ind w:left="1985" w:hanging="851"/>
    </w:pPr>
    <w:rPr>
      <w:sz w:val="18"/>
    </w:rPr>
  </w:style>
  <w:style w:type="paragraph" w:customStyle="1" w:styleId="FreeForm">
    <w:name w:val="FreeForm"/>
    <w:rsid w:val="003F00BA"/>
    <w:rPr>
      <w:rFonts w:ascii="Arial" w:hAnsi="Arial"/>
      <w:sz w:val="22"/>
    </w:rPr>
  </w:style>
  <w:style w:type="paragraph" w:customStyle="1" w:styleId="SOText">
    <w:name w:val="SO Text"/>
    <w:aliases w:val="sot"/>
    <w:link w:val="SOTextChar"/>
    <w:rsid w:val="003F00B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F00BA"/>
    <w:rPr>
      <w:sz w:val="22"/>
    </w:rPr>
  </w:style>
  <w:style w:type="paragraph" w:customStyle="1" w:styleId="SOTextNote">
    <w:name w:val="SO TextNote"/>
    <w:aliases w:val="sont"/>
    <w:basedOn w:val="SOText"/>
    <w:qFormat/>
    <w:rsid w:val="003F00BA"/>
    <w:pPr>
      <w:spacing w:before="122" w:line="198" w:lineRule="exact"/>
      <w:ind w:left="1843" w:hanging="709"/>
    </w:pPr>
    <w:rPr>
      <w:sz w:val="18"/>
    </w:rPr>
  </w:style>
  <w:style w:type="paragraph" w:customStyle="1" w:styleId="SOPara">
    <w:name w:val="SO Para"/>
    <w:aliases w:val="soa"/>
    <w:basedOn w:val="SOText"/>
    <w:link w:val="SOParaChar"/>
    <w:qFormat/>
    <w:rsid w:val="003F00BA"/>
    <w:pPr>
      <w:tabs>
        <w:tab w:val="right" w:pos="1786"/>
      </w:tabs>
      <w:spacing w:before="40"/>
      <w:ind w:left="2070" w:hanging="936"/>
    </w:pPr>
  </w:style>
  <w:style w:type="character" w:customStyle="1" w:styleId="SOParaChar">
    <w:name w:val="SO Para Char"/>
    <w:aliases w:val="soa Char"/>
    <w:basedOn w:val="DefaultParagraphFont"/>
    <w:link w:val="SOPara"/>
    <w:rsid w:val="003F00BA"/>
    <w:rPr>
      <w:sz w:val="22"/>
    </w:rPr>
  </w:style>
  <w:style w:type="paragraph" w:customStyle="1" w:styleId="FileName">
    <w:name w:val="FileName"/>
    <w:basedOn w:val="Normal"/>
    <w:rsid w:val="003F00BA"/>
  </w:style>
  <w:style w:type="paragraph" w:customStyle="1" w:styleId="TableHeading">
    <w:name w:val="TableHeading"/>
    <w:aliases w:val="th"/>
    <w:basedOn w:val="OPCParaBase"/>
    <w:next w:val="Tabletext"/>
    <w:rsid w:val="003F00BA"/>
    <w:pPr>
      <w:keepNext/>
      <w:spacing w:before="60" w:line="240" w:lineRule="atLeast"/>
    </w:pPr>
    <w:rPr>
      <w:b/>
      <w:sz w:val="20"/>
    </w:rPr>
  </w:style>
  <w:style w:type="paragraph" w:customStyle="1" w:styleId="SOHeadBold">
    <w:name w:val="SO HeadBold"/>
    <w:aliases w:val="sohb"/>
    <w:basedOn w:val="SOText"/>
    <w:next w:val="SOText"/>
    <w:link w:val="SOHeadBoldChar"/>
    <w:qFormat/>
    <w:rsid w:val="003F00BA"/>
    <w:rPr>
      <w:b/>
    </w:rPr>
  </w:style>
  <w:style w:type="character" w:customStyle="1" w:styleId="SOHeadBoldChar">
    <w:name w:val="SO HeadBold Char"/>
    <w:aliases w:val="sohb Char"/>
    <w:basedOn w:val="DefaultParagraphFont"/>
    <w:link w:val="SOHeadBold"/>
    <w:rsid w:val="003F00BA"/>
    <w:rPr>
      <w:b/>
      <w:sz w:val="22"/>
    </w:rPr>
  </w:style>
  <w:style w:type="paragraph" w:customStyle="1" w:styleId="SOHeadItalic">
    <w:name w:val="SO HeadItalic"/>
    <w:aliases w:val="sohi"/>
    <w:basedOn w:val="SOText"/>
    <w:next w:val="SOText"/>
    <w:link w:val="SOHeadItalicChar"/>
    <w:qFormat/>
    <w:rsid w:val="003F00BA"/>
    <w:rPr>
      <w:i/>
    </w:rPr>
  </w:style>
  <w:style w:type="character" w:customStyle="1" w:styleId="SOHeadItalicChar">
    <w:name w:val="SO HeadItalic Char"/>
    <w:aliases w:val="sohi Char"/>
    <w:basedOn w:val="DefaultParagraphFont"/>
    <w:link w:val="SOHeadItalic"/>
    <w:rsid w:val="003F00BA"/>
    <w:rPr>
      <w:i/>
      <w:sz w:val="22"/>
    </w:rPr>
  </w:style>
  <w:style w:type="paragraph" w:customStyle="1" w:styleId="SOBullet">
    <w:name w:val="SO Bullet"/>
    <w:aliases w:val="sotb"/>
    <w:basedOn w:val="SOText"/>
    <w:link w:val="SOBulletChar"/>
    <w:qFormat/>
    <w:rsid w:val="003F00BA"/>
    <w:pPr>
      <w:ind w:left="1559" w:hanging="425"/>
    </w:pPr>
  </w:style>
  <w:style w:type="character" w:customStyle="1" w:styleId="SOBulletChar">
    <w:name w:val="SO Bullet Char"/>
    <w:aliases w:val="sotb Char"/>
    <w:basedOn w:val="DefaultParagraphFont"/>
    <w:link w:val="SOBullet"/>
    <w:rsid w:val="003F00BA"/>
    <w:rPr>
      <w:sz w:val="22"/>
    </w:rPr>
  </w:style>
  <w:style w:type="paragraph" w:customStyle="1" w:styleId="SOBulletNote">
    <w:name w:val="SO BulletNote"/>
    <w:aliases w:val="sonb"/>
    <w:basedOn w:val="SOTextNote"/>
    <w:link w:val="SOBulletNoteChar"/>
    <w:qFormat/>
    <w:rsid w:val="003F00BA"/>
    <w:pPr>
      <w:tabs>
        <w:tab w:val="left" w:pos="1560"/>
      </w:tabs>
      <w:ind w:left="2268" w:hanging="1134"/>
    </w:pPr>
  </w:style>
  <w:style w:type="character" w:customStyle="1" w:styleId="SOBulletNoteChar">
    <w:name w:val="SO BulletNote Char"/>
    <w:aliases w:val="sonb Char"/>
    <w:basedOn w:val="DefaultParagraphFont"/>
    <w:link w:val="SOBulletNote"/>
    <w:rsid w:val="003F00BA"/>
    <w:rPr>
      <w:sz w:val="18"/>
    </w:rPr>
  </w:style>
  <w:style w:type="paragraph" w:customStyle="1" w:styleId="SOText2">
    <w:name w:val="SO Text2"/>
    <w:aliases w:val="sot2"/>
    <w:basedOn w:val="Normal"/>
    <w:next w:val="SOText"/>
    <w:link w:val="SOText2Char"/>
    <w:rsid w:val="003F00B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F00BA"/>
    <w:rPr>
      <w:sz w:val="22"/>
    </w:rPr>
  </w:style>
  <w:style w:type="paragraph" w:customStyle="1" w:styleId="SubPartCASA">
    <w:name w:val="SubPart(CASA)"/>
    <w:aliases w:val="csp"/>
    <w:basedOn w:val="OPCParaBase"/>
    <w:next w:val="ActHead3"/>
    <w:rsid w:val="003F00B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F00BA"/>
    <w:rPr>
      <w:rFonts w:eastAsia="Times New Roman" w:cs="Times New Roman"/>
      <w:sz w:val="22"/>
      <w:lang w:eastAsia="en-AU"/>
    </w:rPr>
  </w:style>
  <w:style w:type="character" w:customStyle="1" w:styleId="notetextChar">
    <w:name w:val="note(text) Char"/>
    <w:aliases w:val="n Char"/>
    <w:basedOn w:val="DefaultParagraphFont"/>
    <w:link w:val="notetext"/>
    <w:rsid w:val="003F00BA"/>
    <w:rPr>
      <w:rFonts w:eastAsia="Times New Roman" w:cs="Times New Roman"/>
      <w:sz w:val="18"/>
      <w:lang w:eastAsia="en-AU"/>
    </w:rPr>
  </w:style>
  <w:style w:type="character" w:customStyle="1" w:styleId="Heading1Char">
    <w:name w:val="Heading 1 Char"/>
    <w:basedOn w:val="DefaultParagraphFont"/>
    <w:link w:val="Heading1"/>
    <w:uiPriority w:val="9"/>
    <w:rsid w:val="003F00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F00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F00B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F00B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F00B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F00B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F00B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F00B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F00BA"/>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3F00BA"/>
  </w:style>
  <w:style w:type="character" w:customStyle="1" w:styleId="charlegsubtitle1">
    <w:name w:val="charlegsubtitle1"/>
    <w:basedOn w:val="DefaultParagraphFont"/>
    <w:rsid w:val="003F00BA"/>
    <w:rPr>
      <w:rFonts w:ascii="Arial" w:hAnsi="Arial" w:cs="Arial" w:hint="default"/>
      <w:b/>
      <w:bCs/>
      <w:sz w:val="28"/>
      <w:szCs w:val="28"/>
    </w:rPr>
  </w:style>
  <w:style w:type="paragraph" w:styleId="Index1">
    <w:name w:val="index 1"/>
    <w:basedOn w:val="Normal"/>
    <w:next w:val="Normal"/>
    <w:autoRedefine/>
    <w:rsid w:val="003F00BA"/>
    <w:pPr>
      <w:ind w:left="240" w:hanging="240"/>
    </w:pPr>
  </w:style>
  <w:style w:type="paragraph" w:styleId="Index2">
    <w:name w:val="index 2"/>
    <w:basedOn w:val="Normal"/>
    <w:next w:val="Normal"/>
    <w:autoRedefine/>
    <w:rsid w:val="003F00BA"/>
    <w:pPr>
      <w:ind w:left="480" w:hanging="240"/>
    </w:pPr>
  </w:style>
  <w:style w:type="paragraph" w:styleId="Index3">
    <w:name w:val="index 3"/>
    <w:basedOn w:val="Normal"/>
    <w:next w:val="Normal"/>
    <w:autoRedefine/>
    <w:rsid w:val="003F00BA"/>
    <w:pPr>
      <w:ind w:left="720" w:hanging="240"/>
    </w:pPr>
  </w:style>
  <w:style w:type="paragraph" w:styleId="Index4">
    <w:name w:val="index 4"/>
    <w:basedOn w:val="Normal"/>
    <w:next w:val="Normal"/>
    <w:autoRedefine/>
    <w:rsid w:val="003F00BA"/>
    <w:pPr>
      <w:ind w:left="960" w:hanging="240"/>
    </w:pPr>
  </w:style>
  <w:style w:type="paragraph" w:styleId="Index5">
    <w:name w:val="index 5"/>
    <w:basedOn w:val="Normal"/>
    <w:next w:val="Normal"/>
    <w:autoRedefine/>
    <w:rsid w:val="003F00BA"/>
    <w:pPr>
      <w:ind w:left="1200" w:hanging="240"/>
    </w:pPr>
  </w:style>
  <w:style w:type="paragraph" w:styleId="Index6">
    <w:name w:val="index 6"/>
    <w:basedOn w:val="Normal"/>
    <w:next w:val="Normal"/>
    <w:autoRedefine/>
    <w:rsid w:val="003F00BA"/>
    <w:pPr>
      <w:ind w:left="1440" w:hanging="240"/>
    </w:pPr>
  </w:style>
  <w:style w:type="paragraph" w:styleId="Index7">
    <w:name w:val="index 7"/>
    <w:basedOn w:val="Normal"/>
    <w:next w:val="Normal"/>
    <w:autoRedefine/>
    <w:rsid w:val="003F00BA"/>
    <w:pPr>
      <w:ind w:left="1680" w:hanging="240"/>
    </w:pPr>
  </w:style>
  <w:style w:type="paragraph" w:styleId="Index8">
    <w:name w:val="index 8"/>
    <w:basedOn w:val="Normal"/>
    <w:next w:val="Normal"/>
    <w:autoRedefine/>
    <w:rsid w:val="003F00BA"/>
    <w:pPr>
      <w:ind w:left="1920" w:hanging="240"/>
    </w:pPr>
  </w:style>
  <w:style w:type="paragraph" w:styleId="Index9">
    <w:name w:val="index 9"/>
    <w:basedOn w:val="Normal"/>
    <w:next w:val="Normal"/>
    <w:autoRedefine/>
    <w:rsid w:val="003F00BA"/>
    <w:pPr>
      <w:ind w:left="2160" w:hanging="240"/>
    </w:pPr>
  </w:style>
  <w:style w:type="paragraph" w:styleId="NormalIndent">
    <w:name w:val="Normal Indent"/>
    <w:basedOn w:val="Normal"/>
    <w:rsid w:val="003F00BA"/>
    <w:pPr>
      <w:ind w:left="720"/>
    </w:pPr>
  </w:style>
  <w:style w:type="paragraph" w:styleId="FootnoteText">
    <w:name w:val="footnote text"/>
    <w:basedOn w:val="Normal"/>
    <w:link w:val="FootnoteTextChar"/>
    <w:rsid w:val="003F00BA"/>
    <w:rPr>
      <w:sz w:val="20"/>
    </w:rPr>
  </w:style>
  <w:style w:type="character" w:customStyle="1" w:styleId="FootnoteTextChar">
    <w:name w:val="Footnote Text Char"/>
    <w:basedOn w:val="DefaultParagraphFont"/>
    <w:link w:val="FootnoteText"/>
    <w:rsid w:val="003F00BA"/>
  </w:style>
  <w:style w:type="paragraph" w:styleId="CommentText">
    <w:name w:val="annotation text"/>
    <w:basedOn w:val="Normal"/>
    <w:link w:val="CommentTextChar"/>
    <w:rsid w:val="003F00BA"/>
    <w:rPr>
      <w:sz w:val="20"/>
    </w:rPr>
  </w:style>
  <w:style w:type="character" w:customStyle="1" w:styleId="CommentTextChar">
    <w:name w:val="Comment Text Char"/>
    <w:basedOn w:val="DefaultParagraphFont"/>
    <w:link w:val="CommentText"/>
    <w:rsid w:val="003F00BA"/>
  </w:style>
  <w:style w:type="paragraph" w:styleId="IndexHeading">
    <w:name w:val="index heading"/>
    <w:basedOn w:val="Normal"/>
    <w:next w:val="Index1"/>
    <w:rsid w:val="003F00BA"/>
    <w:rPr>
      <w:rFonts w:ascii="Arial" w:hAnsi="Arial" w:cs="Arial"/>
      <w:b/>
      <w:bCs/>
    </w:rPr>
  </w:style>
  <w:style w:type="paragraph" w:styleId="Caption">
    <w:name w:val="caption"/>
    <w:basedOn w:val="Normal"/>
    <w:next w:val="Normal"/>
    <w:qFormat/>
    <w:rsid w:val="003F00BA"/>
    <w:pPr>
      <w:spacing w:before="120" w:after="120"/>
    </w:pPr>
    <w:rPr>
      <w:b/>
      <w:bCs/>
      <w:sz w:val="20"/>
    </w:rPr>
  </w:style>
  <w:style w:type="paragraph" w:styleId="TableofFigures">
    <w:name w:val="table of figures"/>
    <w:basedOn w:val="Normal"/>
    <w:next w:val="Normal"/>
    <w:rsid w:val="003F00BA"/>
    <w:pPr>
      <w:ind w:left="480" w:hanging="480"/>
    </w:pPr>
  </w:style>
  <w:style w:type="paragraph" w:styleId="EnvelopeAddress">
    <w:name w:val="envelope address"/>
    <w:basedOn w:val="Normal"/>
    <w:rsid w:val="003F00B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F00BA"/>
    <w:rPr>
      <w:rFonts w:ascii="Arial" w:hAnsi="Arial" w:cs="Arial"/>
      <w:sz w:val="20"/>
    </w:rPr>
  </w:style>
  <w:style w:type="character" w:styleId="FootnoteReference">
    <w:name w:val="footnote reference"/>
    <w:basedOn w:val="DefaultParagraphFont"/>
    <w:rsid w:val="003F00BA"/>
    <w:rPr>
      <w:rFonts w:ascii="Times New Roman" w:hAnsi="Times New Roman"/>
      <w:sz w:val="20"/>
      <w:vertAlign w:val="superscript"/>
    </w:rPr>
  </w:style>
  <w:style w:type="character" w:styleId="CommentReference">
    <w:name w:val="annotation reference"/>
    <w:basedOn w:val="DefaultParagraphFont"/>
    <w:rsid w:val="003F00BA"/>
    <w:rPr>
      <w:sz w:val="16"/>
      <w:szCs w:val="16"/>
    </w:rPr>
  </w:style>
  <w:style w:type="character" w:styleId="PageNumber">
    <w:name w:val="page number"/>
    <w:basedOn w:val="DefaultParagraphFont"/>
    <w:rsid w:val="003F00BA"/>
  </w:style>
  <w:style w:type="character" w:styleId="EndnoteReference">
    <w:name w:val="endnote reference"/>
    <w:basedOn w:val="DefaultParagraphFont"/>
    <w:rsid w:val="003F00BA"/>
    <w:rPr>
      <w:vertAlign w:val="superscript"/>
    </w:rPr>
  </w:style>
  <w:style w:type="paragraph" w:styleId="EndnoteText">
    <w:name w:val="endnote text"/>
    <w:basedOn w:val="Normal"/>
    <w:link w:val="EndnoteTextChar"/>
    <w:rsid w:val="003F00BA"/>
    <w:rPr>
      <w:sz w:val="20"/>
    </w:rPr>
  </w:style>
  <w:style w:type="character" w:customStyle="1" w:styleId="EndnoteTextChar">
    <w:name w:val="Endnote Text Char"/>
    <w:basedOn w:val="DefaultParagraphFont"/>
    <w:link w:val="EndnoteText"/>
    <w:rsid w:val="003F00BA"/>
  </w:style>
  <w:style w:type="paragraph" w:styleId="TableofAuthorities">
    <w:name w:val="table of authorities"/>
    <w:basedOn w:val="Normal"/>
    <w:next w:val="Normal"/>
    <w:rsid w:val="003F00BA"/>
    <w:pPr>
      <w:ind w:left="240" w:hanging="240"/>
    </w:pPr>
  </w:style>
  <w:style w:type="paragraph" w:styleId="MacroText">
    <w:name w:val="macro"/>
    <w:link w:val="MacroTextChar"/>
    <w:rsid w:val="003F00B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F00BA"/>
    <w:rPr>
      <w:rFonts w:ascii="Courier New" w:eastAsia="Times New Roman" w:hAnsi="Courier New" w:cs="Courier New"/>
      <w:lang w:eastAsia="en-AU"/>
    </w:rPr>
  </w:style>
  <w:style w:type="paragraph" w:styleId="TOAHeading">
    <w:name w:val="toa heading"/>
    <w:basedOn w:val="Normal"/>
    <w:next w:val="Normal"/>
    <w:rsid w:val="003F00BA"/>
    <w:pPr>
      <w:spacing w:before="120"/>
    </w:pPr>
    <w:rPr>
      <w:rFonts w:ascii="Arial" w:hAnsi="Arial" w:cs="Arial"/>
      <w:b/>
      <w:bCs/>
    </w:rPr>
  </w:style>
  <w:style w:type="paragraph" w:styleId="List">
    <w:name w:val="List"/>
    <w:basedOn w:val="Normal"/>
    <w:rsid w:val="003F00BA"/>
    <w:pPr>
      <w:ind w:left="283" w:hanging="283"/>
    </w:pPr>
  </w:style>
  <w:style w:type="paragraph" w:styleId="ListBullet">
    <w:name w:val="List Bullet"/>
    <w:basedOn w:val="Normal"/>
    <w:autoRedefine/>
    <w:rsid w:val="003F00BA"/>
    <w:pPr>
      <w:tabs>
        <w:tab w:val="num" w:pos="360"/>
      </w:tabs>
      <w:ind w:left="360" w:hanging="360"/>
    </w:pPr>
  </w:style>
  <w:style w:type="paragraph" w:styleId="ListNumber">
    <w:name w:val="List Number"/>
    <w:basedOn w:val="Normal"/>
    <w:rsid w:val="003F00BA"/>
    <w:pPr>
      <w:tabs>
        <w:tab w:val="num" w:pos="360"/>
      </w:tabs>
      <w:ind w:left="360" w:hanging="360"/>
    </w:pPr>
  </w:style>
  <w:style w:type="paragraph" w:styleId="List2">
    <w:name w:val="List 2"/>
    <w:basedOn w:val="Normal"/>
    <w:rsid w:val="003F00BA"/>
    <w:pPr>
      <w:ind w:left="566" w:hanging="283"/>
    </w:pPr>
  </w:style>
  <w:style w:type="paragraph" w:styleId="List3">
    <w:name w:val="List 3"/>
    <w:basedOn w:val="Normal"/>
    <w:rsid w:val="003F00BA"/>
    <w:pPr>
      <w:ind w:left="849" w:hanging="283"/>
    </w:pPr>
  </w:style>
  <w:style w:type="paragraph" w:styleId="List4">
    <w:name w:val="List 4"/>
    <w:basedOn w:val="Normal"/>
    <w:rsid w:val="003F00BA"/>
    <w:pPr>
      <w:ind w:left="1132" w:hanging="283"/>
    </w:pPr>
  </w:style>
  <w:style w:type="paragraph" w:styleId="List5">
    <w:name w:val="List 5"/>
    <w:basedOn w:val="Normal"/>
    <w:rsid w:val="003F00BA"/>
    <w:pPr>
      <w:ind w:left="1415" w:hanging="283"/>
    </w:pPr>
  </w:style>
  <w:style w:type="paragraph" w:styleId="ListBullet2">
    <w:name w:val="List Bullet 2"/>
    <w:basedOn w:val="Normal"/>
    <w:autoRedefine/>
    <w:rsid w:val="003F00BA"/>
    <w:pPr>
      <w:tabs>
        <w:tab w:val="num" w:pos="360"/>
      </w:tabs>
    </w:pPr>
  </w:style>
  <w:style w:type="paragraph" w:styleId="ListBullet3">
    <w:name w:val="List Bullet 3"/>
    <w:basedOn w:val="Normal"/>
    <w:autoRedefine/>
    <w:rsid w:val="003F00BA"/>
    <w:pPr>
      <w:tabs>
        <w:tab w:val="num" w:pos="926"/>
      </w:tabs>
      <w:ind w:left="926" w:hanging="360"/>
    </w:pPr>
  </w:style>
  <w:style w:type="paragraph" w:styleId="ListBullet4">
    <w:name w:val="List Bullet 4"/>
    <w:basedOn w:val="Normal"/>
    <w:autoRedefine/>
    <w:rsid w:val="003F00BA"/>
    <w:pPr>
      <w:tabs>
        <w:tab w:val="num" w:pos="1209"/>
      </w:tabs>
      <w:ind w:left="1209" w:hanging="360"/>
    </w:pPr>
  </w:style>
  <w:style w:type="paragraph" w:styleId="ListBullet5">
    <w:name w:val="List Bullet 5"/>
    <w:basedOn w:val="Normal"/>
    <w:autoRedefine/>
    <w:rsid w:val="003F00BA"/>
    <w:pPr>
      <w:tabs>
        <w:tab w:val="num" w:pos="1492"/>
      </w:tabs>
      <w:ind w:left="1492" w:hanging="360"/>
    </w:pPr>
  </w:style>
  <w:style w:type="paragraph" w:styleId="ListNumber2">
    <w:name w:val="List Number 2"/>
    <w:basedOn w:val="Normal"/>
    <w:rsid w:val="003F00BA"/>
    <w:pPr>
      <w:tabs>
        <w:tab w:val="num" w:pos="643"/>
      </w:tabs>
      <w:ind w:left="643" w:hanging="360"/>
    </w:pPr>
  </w:style>
  <w:style w:type="paragraph" w:styleId="ListNumber3">
    <w:name w:val="List Number 3"/>
    <w:basedOn w:val="Normal"/>
    <w:rsid w:val="003F00BA"/>
    <w:pPr>
      <w:tabs>
        <w:tab w:val="num" w:pos="926"/>
      </w:tabs>
      <w:ind w:left="926" w:hanging="360"/>
    </w:pPr>
  </w:style>
  <w:style w:type="paragraph" w:styleId="ListNumber4">
    <w:name w:val="List Number 4"/>
    <w:basedOn w:val="Normal"/>
    <w:rsid w:val="003F00BA"/>
    <w:pPr>
      <w:tabs>
        <w:tab w:val="num" w:pos="1209"/>
      </w:tabs>
      <w:ind w:left="1209" w:hanging="360"/>
    </w:pPr>
  </w:style>
  <w:style w:type="paragraph" w:styleId="ListNumber5">
    <w:name w:val="List Number 5"/>
    <w:basedOn w:val="Normal"/>
    <w:rsid w:val="003F00BA"/>
    <w:pPr>
      <w:tabs>
        <w:tab w:val="num" w:pos="1492"/>
      </w:tabs>
      <w:ind w:left="1492" w:hanging="360"/>
    </w:pPr>
  </w:style>
  <w:style w:type="paragraph" w:styleId="Title">
    <w:name w:val="Title"/>
    <w:basedOn w:val="Normal"/>
    <w:link w:val="TitleChar"/>
    <w:qFormat/>
    <w:rsid w:val="003F00BA"/>
    <w:pPr>
      <w:spacing w:before="240" w:after="60"/>
    </w:pPr>
    <w:rPr>
      <w:rFonts w:ascii="Arial" w:hAnsi="Arial" w:cs="Arial"/>
      <w:b/>
      <w:bCs/>
      <w:sz w:val="40"/>
      <w:szCs w:val="40"/>
    </w:rPr>
  </w:style>
  <w:style w:type="character" w:customStyle="1" w:styleId="TitleChar">
    <w:name w:val="Title Char"/>
    <w:basedOn w:val="DefaultParagraphFont"/>
    <w:link w:val="Title"/>
    <w:rsid w:val="003F00BA"/>
    <w:rPr>
      <w:rFonts w:ascii="Arial" w:hAnsi="Arial" w:cs="Arial"/>
      <w:b/>
      <w:bCs/>
      <w:sz w:val="40"/>
      <w:szCs w:val="40"/>
    </w:rPr>
  </w:style>
  <w:style w:type="paragraph" w:styleId="Closing">
    <w:name w:val="Closing"/>
    <w:basedOn w:val="Normal"/>
    <w:link w:val="ClosingChar"/>
    <w:rsid w:val="003F00BA"/>
    <w:pPr>
      <w:ind w:left="4252"/>
    </w:pPr>
  </w:style>
  <w:style w:type="character" w:customStyle="1" w:styleId="ClosingChar">
    <w:name w:val="Closing Char"/>
    <w:basedOn w:val="DefaultParagraphFont"/>
    <w:link w:val="Closing"/>
    <w:rsid w:val="003F00BA"/>
    <w:rPr>
      <w:sz w:val="22"/>
    </w:rPr>
  </w:style>
  <w:style w:type="paragraph" w:styleId="Signature">
    <w:name w:val="Signature"/>
    <w:basedOn w:val="Normal"/>
    <w:link w:val="SignatureChar"/>
    <w:rsid w:val="003F00BA"/>
    <w:pPr>
      <w:ind w:left="4252"/>
    </w:pPr>
  </w:style>
  <w:style w:type="character" w:customStyle="1" w:styleId="SignatureChar">
    <w:name w:val="Signature Char"/>
    <w:basedOn w:val="DefaultParagraphFont"/>
    <w:link w:val="Signature"/>
    <w:rsid w:val="003F00BA"/>
    <w:rPr>
      <w:sz w:val="22"/>
    </w:rPr>
  </w:style>
  <w:style w:type="paragraph" w:styleId="BodyText">
    <w:name w:val="Body Text"/>
    <w:basedOn w:val="Normal"/>
    <w:link w:val="BodyTextChar"/>
    <w:rsid w:val="003F00BA"/>
    <w:pPr>
      <w:spacing w:after="120"/>
    </w:pPr>
  </w:style>
  <w:style w:type="character" w:customStyle="1" w:styleId="BodyTextChar">
    <w:name w:val="Body Text Char"/>
    <w:basedOn w:val="DefaultParagraphFont"/>
    <w:link w:val="BodyText"/>
    <w:rsid w:val="003F00BA"/>
    <w:rPr>
      <w:sz w:val="22"/>
    </w:rPr>
  </w:style>
  <w:style w:type="paragraph" w:styleId="BodyTextIndent">
    <w:name w:val="Body Text Indent"/>
    <w:basedOn w:val="Normal"/>
    <w:link w:val="BodyTextIndentChar"/>
    <w:rsid w:val="003F00BA"/>
    <w:pPr>
      <w:spacing w:after="120"/>
      <w:ind w:left="283"/>
    </w:pPr>
  </w:style>
  <w:style w:type="character" w:customStyle="1" w:styleId="BodyTextIndentChar">
    <w:name w:val="Body Text Indent Char"/>
    <w:basedOn w:val="DefaultParagraphFont"/>
    <w:link w:val="BodyTextIndent"/>
    <w:rsid w:val="003F00BA"/>
    <w:rPr>
      <w:sz w:val="22"/>
    </w:rPr>
  </w:style>
  <w:style w:type="paragraph" w:styleId="ListContinue">
    <w:name w:val="List Continue"/>
    <w:basedOn w:val="Normal"/>
    <w:rsid w:val="003F00BA"/>
    <w:pPr>
      <w:spacing w:after="120"/>
      <w:ind w:left="283"/>
    </w:pPr>
  </w:style>
  <w:style w:type="paragraph" w:styleId="ListContinue2">
    <w:name w:val="List Continue 2"/>
    <w:basedOn w:val="Normal"/>
    <w:rsid w:val="003F00BA"/>
    <w:pPr>
      <w:spacing w:after="120"/>
      <w:ind w:left="566"/>
    </w:pPr>
  </w:style>
  <w:style w:type="paragraph" w:styleId="ListContinue3">
    <w:name w:val="List Continue 3"/>
    <w:basedOn w:val="Normal"/>
    <w:rsid w:val="003F00BA"/>
    <w:pPr>
      <w:spacing w:after="120"/>
      <w:ind w:left="849"/>
    </w:pPr>
  </w:style>
  <w:style w:type="paragraph" w:styleId="ListContinue4">
    <w:name w:val="List Continue 4"/>
    <w:basedOn w:val="Normal"/>
    <w:rsid w:val="003F00BA"/>
    <w:pPr>
      <w:spacing w:after="120"/>
      <w:ind w:left="1132"/>
    </w:pPr>
  </w:style>
  <w:style w:type="paragraph" w:styleId="ListContinue5">
    <w:name w:val="List Continue 5"/>
    <w:basedOn w:val="Normal"/>
    <w:rsid w:val="003F00BA"/>
    <w:pPr>
      <w:spacing w:after="120"/>
      <w:ind w:left="1415"/>
    </w:pPr>
  </w:style>
  <w:style w:type="paragraph" w:styleId="MessageHeader">
    <w:name w:val="Message Header"/>
    <w:basedOn w:val="Normal"/>
    <w:link w:val="MessageHeaderChar"/>
    <w:rsid w:val="003F00B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F00BA"/>
    <w:rPr>
      <w:rFonts w:ascii="Arial" w:hAnsi="Arial" w:cs="Arial"/>
      <w:sz w:val="22"/>
      <w:shd w:val="pct20" w:color="auto" w:fill="auto"/>
    </w:rPr>
  </w:style>
  <w:style w:type="paragraph" w:styleId="Subtitle">
    <w:name w:val="Subtitle"/>
    <w:basedOn w:val="Normal"/>
    <w:link w:val="SubtitleChar"/>
    <w:qFormat/>
    <w:rsid w:val="003F00BA"/>
    <w:pPr>
      <w:spacing w:after="60"/>
      <w:jc w:val="center"/>
      <w:outlineLvl w:val="1"/>
    </w:pPr>
    <w:rPr>
      <w:rFonts w:ascii="Arial" w:hAnsi="Arial" w:cs="Arial"/>
    </w:rPr>
  </w:style>
  <w:style w:type="character" w:customStyle="1" w:styleId="SubtitleChar">
    <w:name w:val="Subtitle Char"/>
    <w:basedOn w:val="DefaultParagraphFont"/>
    <w:link w:val="Subtitle"/>
    <w:rsid w:val="003F00BA"/>
    <w:rPr>
      <w:rFonts w:ascii="Arial" w:hAnsi="Arial" w:cs="Arial"/>
      <w:sz w:val="22"/>
    </w:rPr>
  </w:style>
  <w:style w:type="paragraph" w:styleId="Salutation">
    <w:name w:val="Salutation"/>
    <w:basedOn w:val="Normal"/>
    <w:next w:val="Normal"/>
    <w:link w:val="SalutationChar"/>
    <w:rsid w:val="003F00BA"/>
  </w:style>
  <w:style w:type="character" w:customStyle="1" w:styleId="SalutationChar">
    <w:name w:val="Salutation Char"/>
    <w:basedOn w:val="DefaultParagraphFont"/>
    <w:link w:val="Salutation"/>
    <w:rsid w:val="003F00BA"/>
    <w:rPr>
      <w:sz w:val="22"/>
    </w:rPr>
  </w:style>
  <w:style w:type="paragraph" w:styleId="Date">
    <w:name w:val="Date"/>
    <w:basedOn w:val="Normal"/>
    <w:next w:val="Normal"/>
    <w:link w:val="DateChar"/>
    <w:rsid w:val="003F00BA"/>
  </w:style>
  <w:style w:type="character" w:customStyle="1" w:styleId="DateChar">
    <w:name w:val="Date Char"/>
    <w:basedOn w:val="DefaultParagraphFont"/>
    <w:link w:val="Date"/>
    <w:rsid w:val="003F00BA"/>
    <w:rPr>
      <w:sz w:val="22"/>
    </w:rPr>
  </w:style>
  <w:style w:type="paragraph" w:styleId="BodyTextFirstIndent">
    <w:name w:val="Body Text First Indent"/>
    <w:basedOn w:val="BodyText"/>
    <w:link w:val="BodyTextFirstIndentChar"/>
    <w:rsid w:val="003F00BA"/>
    <w:pPr>
      <w:ind w:firstLine="210"/>
    </w:pPr>
  </w:style>
  <w:style w:type="character" w:customStyle="1" w:styleId="BodyTextFirstIndentChar">
    <w:name w:val="Body Text First Indent Char"/>
    <w:basedOn w:val="BodyTextChar"/>
    <w:link w:val="BodyTextFirstIndent"/>
    <w:rsid w:val="003F00BA"/>
    <w:rPr>
      <w:sz w:val="22"/>
    </w:rPr>
  </w:style>
  <w:style w:type="paragraph" w:styleId="BodyTextFirstIndent2">
    <w:name w:val="Body Text First Indent 2"/>
    <w:basedOn w:val="BodyTextIndent"/>
    <w:link w:val="BodyTextFirstIndent2Char"/>
    <w:rsid w:val="003F00BA"/>
    <w:pPr>
      <w:ind w:firstLine="210"/>
    </w:pPr>
  </w:style>
  <w:style w:type="character" w:customStyle="1" w:styleId="BodyTextFirstIndent2Char">
    <w:name w:val="Body Text First Indent 2 Char"/>
    <w:basedOn w:val="BodyTextIndentChar"/>
    <w:link w:val="BodyTextFirstIndent2"/>
    <w:rsid w:val="003F00BA"/>
    <w:rPr>
      <w:sz w:val="22"/>
    </w:rPr>
  </w:style>
  <w:style w:type="paragraph" w:styleId="BodyText2">
    <w:name w:val="Body Text 2"/>
    <w:basedOn w:val="Normal"/>
    <w:link w:val="BodyText2Char"/>
    <w:rsid w:val="003F00BA"/>
    <w:pPr>
      <w:spacing w:after="120" w:line="480" w:lineRule="auto"/>
    </w:pPr>
  </w:style>
  <w:style w:type="character" w:customStyle="1" w:styleId="BodyText2Char">
    <w:name w:val="Body Text 2 Char"/>
    <w:basedOn w:val="DefaultParagraphFont"/>
    <w:link w:val="BodyText2"/>
    <w:rsid w:val="003F00BA"/>
    <w:rPr>
      <w:sz w:val="22"/>
    </w:rPr>
  </w:style>
  <w:style w:type="paragraph" w:styleId="BodyText3">
    <w:name w:val="Body Text 3"/>
    <w:basedOn w:val="Normal"/>
    <w:link w:val="BodyText3Char"/>
    <w:rsid w:val="003F00BA"/>
    <w:pPr>
      <w:spacing w:after="120"/>
    </w:pPr>
    <w:rPr>
      <w:sz w:val="16"/>
      <w:szCs w:val="16"/>
    </w:rPr>
  </w:style>
  <w:style w:type="character" w:customStyle="1" w:styleId="BodyText3Char">
    <w:name w:val="Body Text 3 Char"/>
    <w:basedOn w:val="DefaultParagraphFont"/>
    <w:link w:val="BodyText3"/>
    <w:rsid w:val="003F00BA"/>
    <w:rPr>
      <w:sz w:val="16"/>
      <w:szCs w:val="16"/>
    </w:rPr>
  </w:style>
  <w:style w:type="paragraph" w:styleId="BodyTextIndent2">
    <w:name w:val="Body Text Indent 2"/>
    <w:basedOn w:val="Normal"/>
    <w:link w:val="BodyTextIndent2Char"/>
    <w:rsid w:val="003F00BA"/>
    <w:pPr>
      <w:spacing w:after="120" w:line="480" w:lineRule="auto"/>
      <w:ind w:left="283"/>
    </w:pPr>
  </w:style>
  <w:style w:type="character" w:customStyle="1" w:styleId="BodyTextIndent2Char">
    <w:name w:val="Body Text Indent 2 Char"/>
    <w:basedOn w:val="DefaultParagraphFont"/>
    <w:link w:val="BodyTextIndent2"/>
    <w:rsid w:val="003F00BA"/>
    <w:rPr>
      <w:sz w:val="22"/>
    </w:rPr>
  </w:style>
  <w:style w:type="paragraph" w:styleId="BodyTextIndent3">
    <w:name w:val="Body Text Indent 3"/>
    <w:basedOn w:val="Normal"/>
    <w:link w:val="BodyTextIndent3Char"/>
    <w:rsid w:val="003F00BA"/>
    <w:pPr>
      <w:spacing w:after="120"/>
      <w:ind w:left="283"/>
    </w:pPr>
    <w:rPr>
      <w:sz w:val="16"/>
      <w:szCs w:val="16"/>
    </w:rPr>
  </w:style>
  <w:style w:type="character" w:customStyle="1" w:styleId="BodyTextIndent3Char">
    <w:name w:val="Body Text Indent 3 Char"/>
    <w:basedOn w:val="DefaultParagraphFont"/>
    <w:link w:val="BodyTextIndent3"/>
    <w:rsid w:val="003F00BA"/>
    <w:rPr>
      <w:sz w:val="16"/>
      <w:szCs w:val="16"/>
    </w:rPr>
  </w:style>
  <w:style w:type="paragraph" w:styleId="BlockText">
    <w:name w:val="Block Text"/>
    <w:basedOn w:val="Normal"/>
    <w:rsid w:val="003F00BA"/>
    <w:pPr>
      <w:spacing w:after="120"/>
      <w:ind w:left="1440" w:right="1440"/>
    </w:pPr>
  </w:style>
  <w:style w:type="character" w:styleId="Hyperlink">
    <w:name w:val="Hyperlink"/>
    <w:basedOn w:val="DefaultParagraphFont"/>
    <w:rsid w:val="003F00BA"/>
    <w:rPr>
      <w:color w:val="0000FF"/>
      <w:u w:val="single"/>
    </w:rPr>
  </w:style>
  <w:style w:type="character" w:styleId="FollowedHyperlink">
    <w:name w:val="FollowedHyperlink"/>
    <w:basedOn w:val="DefaultParagraphFont"/>
    <w:rsid w:val="003F00BA"/>
    <w:rPr>
      <w:color w:val="800080"/>
      <w:u w:val="single"/>
    </w:rPr>
  </w:style>
  <w:style w:type="character" w:styleId="Strong">
    <w:name w:val="Strong"/>
    <w:basedOn w:val="DefaultParagraphFont"/>
    <w:qFormat/>
    <w:rsid w:val="003F00BA"/>
    <w:rPr>
      <w:b/>
      <w:bCs/>
    </w:rPr>
  </w:style>
  <w:style w:type="character" w:styleId="Emphasis">
    <w:name w:val="Emphasis"/>
    <w:basedOn w:val="DefaultParagraphFont"/>
    <w:qFormat/>
    <w:rsid w:val="003F00BA"/>
    <w:rPr>
      <w:i/>
      <w:iCs/>
    </w:rPr>
  </w:style>
  <w:style w:type="paragraph" w:styleId="DocumentMap">
    <w:name w:val="Document Map"/>
    <w:basedOn w:val="Normal"/>
    <w:link w:val="DocumentMapChar"/>
    <w:rsid w:val="003F00BA"/>
    <w:pPr>
      <w:shd w:val="clear" w:color="auto" w:fill="000080"/>
    </w:pPr>
    <w:rPr>
      <w:rFonts w:ascii="Tahoma" w:hAnsi="Tahoma" w:cs="Tahoma"/>
    </w:rPr>
  </w:style>
  <w:style w:type="character" w:customStyle="1" w:styleId="DocumentMapChar">
    <w:name w:val="Document Map Char"/>
    <w:basedOn w:val="DefaultParagraphFont"/>
    <w:link w:val="DocumentMap"/>
    <w:rsid w:val="003F00BA"/>
    <w:rPr>
      <w:rFonts w:ascii="Tahoma" w:hAnsi="Tahoma" w:cs="Tahoma"/>
      <w:sz w:val="22"/>
      <w:shd w:val="clear" w:color="auto" w:fill="000080"/>
    </w:rPr>
  </w:style>
  <w:style w:type="paragraph" w:styleId="PlainText">
    <w:name w:val="Plain Text"/>
    <w:basedOn w:val="Normal"/>
    <w:link w:val="PlainTextChar"/>
    <w:rsid w:val="003F00BA"/>
    <w:rPr>
      <w:rFonts w:ascii="Courier New" w:hAnsi="Courier New" w:cs="Courier New"/>
      <w:sz w:val="20"/>
    </w:rPr>
  </w:style>
  <w:style w:type="character" w:customStyle="1" w:styleId="PlainTextChar">
    <w:name w:val="Plain Text Char"/>
    <w:basedOn w:val="DefaultParagraphFont"/>
    <w:link w:val="PlainText"/>
    <w:rsid w:val="003F00BA"/>
    <w:rPr>
      <w:rFonts w:ascii="Courier New" w:hAnsi="Courier New" w:cs="Courier New"/>
    </w:rPr>
  </w:style>
  <w:style w:type="paragraph" w:styleId="E-mailSignature">
    <w:name w:val="E-mail Signature"/>
    <w:basedOn w:val="Normal"/>
    <w:link w:val="E-mailSignatureChar"/>
    <w:rsid w:val="003F00BA"/>
  </w:style>
  <w:style w:type="character" w:customStyle="1" w:styleId="E-mailSignatureChar">
    <w:name w:val="E-mail Signature Char"/>
    <w:basedOn w:val="DefaultParagraphFont"/>
    <w:link w:val="E-mailSignature"/>
    <w:rsid w:val="003F00BA"/>
    <w:rPr>
      <w:sz w:val="22"/>
    </w:rPr>
  </w:style>
  <w:style w:type="paragraph" w:styleId="NormalWeb">
    <w:name w:val="Normal (Web)"/>
    <w:basedOn w:val="Normal"/>
    <w:rsid w:val="003F00BA"/>
  </w:style>
  <w:style w:type="character" w:styleId="HTMLAcronym">
    <w:name w:val="HTML Acronym"/>
    <w:basedOn w:val="DefaultParagraphFont"/>
    <w:rsid w:val="003F00BA"/>
  </w:style>
  <w:style w:type="paragraph" w:styleId="HTMLAddress">
    <w:name w:val="HTML Address"/>
    <w:basedOn w:val="Normal"/>
    <w:link w:val="HTMLAddressChar"/>
    <w:rsid w:val="003F00BA"/>
    <w:rPr>
      <w:i/>
      <w:iCs/>
    </w:rPr>
  </w:style>
  <w:style w:type="character" w:customStyle="1" w:styleId="HTMLAddressChar">
    <w:name w:val="HTML Address Char"/>
    <w:basedOn w:val="DefaultParagraphFont"/>
    <w:link w:val="HTMLAddress"/>
    <w:rsid w:val="003F00BA"/>
    <w:rPr>
      <w:i/>
      <w:iCs/>
      <w:sz w:val="22"/>
    </w:rPr>
  </w:style>
  <w:style w:type="character" w:styleId="HTMLCite">
    <w:name w:val="HTML Cite"/>
    <w:basedOn w:val="DefaultParagraphFont"/>
    <w:rsid w:val="003F00BA"/>
    <w:rPr>
      <w:i/>
      <w:iCs/>
    </w:rPr>
  </w:style>
  <w:style w:type="character" w:styleId="HTMLCode">
    <w:name w:val="HTML Code"/>
    <w:basedOn w:val="DefaultParagraphFont"/>
    <w:rsid w:val="003F00BA"/>
    <w:rPr>
      <w:rFonts w:ascii="Courier New" w:hAnsi="Courier New" w:cs="Courier New"/>
      <w:sz w:val="20"/>
      <w:szCs w:val="20"/>
    </w:rPr>
  </w:style>
  <w:style w:type="character" w:styleId="HTMLDefinition">
    <w:name w:val="HTML Definition"/>
    <w:basedOn w:val="DefaultParagraphFont"/>
    <w:rsid w:val="003F00BA"/>
    <w:rPr>
      <w:i/>
      <w:iCs/>
    </w:rPr>
  </w:style>
  <w:style w:type="character" w:styleId="HTMLKeyboard">
    <w:name w:val="HTML Keyboard"/>
    <w:basedOn w:val="DefaultParagraphFont"/>
    <w:rsid w:val="003F00BA"/>
    <w:rPr>
      <w:rFonts w:ascii="Courier New" w:hAnsi="Courier New" w:cs="Courier New"/>
      <w:sz w:val="20"/>
      <w:szCs w:val="20"/>
    </w:rPr>
  </w:style>
  <w:style w:type="paragraph" w:styleId="HTMLPreformatted">
    <w:name w:val="HTML Preformatted"/>
    <w:basedOn w:val="Normal"/>
    <w:link w:val="HTMLPreformattedChar"/>
    <w:rsid w:val="003F00BA"/>
    <w:rPr>
      <w:rFonts w:ascii="Courier New" w:hAnsi="Courier New" w:cs="Courier New"/>
      <w:sz w:val="20"/>
    </w:rPr>
  </w:style>
  <w:style w:type="character" w:customStyle="1" w:styleId="HTMLPreformattedChar">
    <w:name w:val="HTML Preformatted Char"/>
    <w:basedOn w:val="DefaultParagraphFont"/>
    <w:link w:val="HTMLPreformatted"/>
    <w:rsid w:val="003F00BA"/>
    <w:rPr>
      <w:rFonts w:ascii="Courier New" w:hAnsi="Courier New" w:cs="Courier New"/>
    </w:rPr>
  </w:style>
  <w:style w:type="character" w:styleId="HTMLSample">
    <w:name w:val="HTML Sample"/>
    <w:basedOn w:val="DefaultParagraphFont"/>
    <w:rsid w:val="003F00BA"/>
    <w:rPr>
      <w:rFonts w:ascii="Courier New" w:hAnsi="Courier New" w:cs="Courier New"/>
    </w:rPr>
  </w:style>
  <w:style w:type="character" w:styleId="HTMLTypewriter">
    <w:name w:val="HTML Typewriter"/>
    <w:basedOn w:val="DefaultParagraphFont"/>
    <w:rsid w:val="003F00BA"/>
    <w:rPr>
      <w:rFonts w:ascii="Courier New" w:hAnsi="Courier New" w:cs="Courier New"/>
      <w:sz w:val="20"/>
      <w:szCs w:val="20"/>
    </w:rPr>
  </w:style>
  <w:style w:type="character" w:styleId="HTMLVariable">
    <w:name w:val="HTML Variable"/>
    <w:basedOn w:val="DefaultParagraphFont"/>
    <w:rsid w:val="003F00BA"/>
    <w:rPr>
      <w:i/>
      <w:iCs/>
    </w:rPr>
  </w:style>
  <w:style w:type="paragraph" w:styleId="CommentSubject">
    <w:name w:val="annotation subject"/>
    <w:basedOn w:val="CommentText"/>
    <w:next w:val="CommentText"/>
    <w:link w:val="CommentSubjectChar"/>
    <w:rsid w:val="003F00BA"/>
    <w:rPr>
      <w:b/>
      <w:bCs/>
    </w:rPr>
  </w:style>
  <w:style w:type="character" w:customStyle="1" w:styleId="CommentSubjectChar">
    <w:name w:val="Comment Subject Char"/>
    <w:basedOn w:val="CommentTextChar"/>
    <w:link w:val="CommentSubject"/>
    <w:rsid w:val="003F00BA"/>
    <w:rPr>
      <w:b/>
      <w:bCs/>
    </w:rPr>
  </w:style>
  <w:style w:type="numbering" w:styleId="1ai">
    <w:name w:val="Outline List 1"/>
    <w:basedOn w:val="NoList"/>
    <w:rsid w:val="003F00BA"/>
    <w:pPr>
      <w:numPr>
        <w:numId w:val="14"/>
      </w:numPr>
    </w:pPr>
  </w:style>
  <w:style w:type="numbering" w:styleId="111111">
    <w:name w:val="Outline List 2"/>
    <w:basedOn w:val="NoList"/>
    <w:rsid w:val="003F00BA"/>
    <w:pPr>
      <w:numPr>
        <w:numId w:val="15"/>
      </w:numPr>
    </w:pPr>
  </w:style>
  <w:style w:type="numbering" w:styleId="ArticleSection">
    <w:name w:val="Outline List 3"/>
    <w:basedOn w:val="NoList"/>
    <w:rsid w:val="003F00BA"/>
    <w:pPr>
      <w:numPr>
        <w:numId w:val="17"/>
      </w:numPr>
    </w:pPr>
  </w:style>
  <w:style w:type="table" w:styleId="TableSimple1">
    <w:name w:val="Table Simple 1"/>
    <w:basedOn w:val="TableNormal"/>
    <w:rsid w:val="003F00B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F00B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F00B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F00B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F00B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F00B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F00B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F00B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F00B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F00B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F00B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F00B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F00B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F00B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F00B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F00B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F00B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F00B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F00B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F00B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F00B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F00B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F00B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F00B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F00B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F00B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F00B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F00B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F00B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F00B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F00B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F00B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F00B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F00B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F00B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F00B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F00B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F00B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F00B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F00B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F00B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F00B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F00B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F00BA"/>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E36CCE"/>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E36CCE"/>
    <w:rPr>
      <w:rFonts w:eastAsia="Times New Roman" w:cs="Times New Roman"/>
      <w:sz w:val="22"/>
      <w:lang w:eastAsia="en-AU"/>
    </w:rPr>
  </w:style>
  <w:style w:type="paragraph" w:customStyle="1" w:styleId="Default">
    <w:name w:val="Default"/>
    <w:rsid w:val="00486317"/>
    <w:pPr>
      <w:autoSpaceDE w:val="0"/>
      <w:autoSpaceDN w:val="0"/>
      <w:adjustRightInd w:val="0"/>
    </w:pPr>
    <w:rPr>
      <w:rFonts w:ascii="Book Antiqua" w:hAnsi="Book Antiqua" w:cs="Book Antiqua"/>
      <w:color w:val="000000"/>
      <w:sz w:val="24"/>
      <w:szCs w:val="24"/>
    </w:rPr>
  </w:style>
  <w:style w:type="paragraph" w:customStyle="1" w:styleId="acthead50">
    <w:name w:val="acthead5"/>
    <w:basedOn w:val="Normal"/>
    <w:rsid w:val="00010519"/>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010519"/>
  </w:style>
  <w:style w:type="paragraph" w:customStyle="1" w:styleId="paragraphsub0">
    <w:name w:val="paragraphsub"/>
    <w:basedOn w:val="Normal"/>
    <w:rsid w:val="00010519"/>
    <w:pPr>
      <w:spacing w:before="100" w:beforeAutospacing="1" w:after="100" w:afterAutospacing="1" w:line="240" w:lineRule="auto"/>
    </w:pPr>
    <w:rPr>
      <w:rFonts w:eastAsia="Times New Roman" w:cs="Times New Roman"/>
      <w:sz w:val="24"/>
      <w:szCs w:val="24"/>
      <w:lang w:eastAsia="en-AU"/>
    </w:rPr>
  </w:style>
  <w:style w:type="paragraph" w:customStyle="1" w:styleId="itemhead0">
    <w:name w:val="itemhead"/>
    <w:basedOn w:val="Normal"/>
    <w:rsid w:val="00AD4137"/>
    <w:pPr>
      <w:spacing w:before="100" w:beforeAutospacing="1" w:after="100" w:afterAutospacing="1" w:line="240" w:lineRule="auto"/>
    </w:pPr>
    <w:rPr>
      <w:rFonts w:eastAsia="Times New Roman" w:cs="Times New Roman"/>
      <w:sz w:val="24"/>
      <w:szCs w:val="24"/>
      <w:lang w:eastAsia="en-AU"/>
    </w:rPr>
  </w:style>
  <w:style w:type="paragraph" w:customStyle="1" w:styleId="item0">
    <w:name w:val="item"/>
    <w:basedOn w:val="Normal"/>
    <w:rsid w:val="00AD4137"/>
    <w:pPr>
      <w:spacing w:before="100" w:beforeAutospacing="1" w:after="100" w:afterAutospacing="1" w:line="240" w:lineRule="auto"/>
    </w:pPr>
    <w:rPr>
      <w:rFonts w:eastAsia="Times New Roman" w:cs="Times New Roman"/>
      <w:sz w:val="24"/>
      <w:szCs w:val="24"/>
      <w:lang w:eastAsia="en-AU"/>
    </w:rPr>
  </w:style>
  <w:style w:type="paragraph" w:customStyle="1" w:styleId="acthead30">
    <w:name w:val="acthead3"/>
    <w:basedOn w:val="Normal"/>
    <w:rsid w:val="00AD4137"/>
    <w:pPr>
      <w:spacing w:before="100" w:beforeAutospacing="1" w:after="100" w:afterAutospacing="1" w:line="240" w:lineRule="auto"/>
    </w:pPr>
    <w:rPr>
      <w:rFonts w:eastAsia="Times New Roman" w:cs="Times New Roman"/>
      <w:sz w:val="24"/>
      <w:szCs w:val="24"/>
      <w:lang w:eastAsia="en-AU"/>
    </w:rPr>
  </w:style>
  <w:style w:type="character" w:customStyle="1" w:styleId="chardivno0">
    <w:name w:val="chardivno"/>
    <w:basedOn w:val="DefaultParagraphFont"/>
    <w:rsid w:val="00AD4137"/>
  </w:style>
  <w:style w:type="character" w:customStyle="1" w:styleId="chardivtext0">
    <w:name w:val="chardivtext"/>
    <w:basedOn w:val="DefaultParagraphFont"/>
    <w:rsid w:val="00AD4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524851">
      <w:bodyDiv w:val="1"/>
      <w:marLeft w:val="0"/>
      <w:marRight w:val="0"/>
      <w:marTop w:val="0"/>
      <w:marBottom w:val="0"/>
      <w:divBdr>
        <w:top w:val="none" w:sz="0" w:space="0" w:color="auto"/>
        <w:left w:val="none" w:sz="0" w:space="0" w:color="auto"/>
        <w:bottom w:val="none" w:sz="0" w:space="0" w:color="auto"/>
        <w:right w:val="none" w:sz="0" w:space="0" w:color="auto"/>
      </w:divBdr>
    </w:div>
    <w:div w:id="636380697">
      <w:bodyDiv w:val="1"/>
      <w:marLeft w:val="0"/>
      <w:marRight w:val="0"/>
      <w:marTop w:val="0"/>
      <w:marBottom w:val="0"/>
      <w:divBdr>
        <w:top w:val="none" w:sz="0" w:space="0" w:color="auto"/>
        <w:left w:val="none" w:sz="0" w:space="0" w:color="auto"/>
        <w:bottom w:val="none" w:sz="0" w:space="0" w:color="auto"/>
        <w:right w:val="none" w:sz="0" w:space="0" w:color="auto"/>
      </w:divBdr>
    </w:div>
    <w:div w:id="21152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12</Pages>
  <Words>1924</Words>
  <Characters>10972</Characters>
  <Application>Microsoft Office Word</Application>
  <DocSecurity>0</DocSecurity>
  <PresentationFormat/>
  <Lines>91</Lines>
  <Paragraphs>25</Paragraphs>
  <ScaleCrop>false</ScaleCrop>
  <HeadingPairs>
    <vt:vector size="2" baseType="variant">
      <vt:variant>
        <vt:lpstr>Title</vt:lpstr>
      </vt:variant>
      <vt:variant>
        <vt:i4>1</vt:i4>
      </vt:variant>
    </vt:vector>
  </HeadingPairs>
  <TitlesOfParts>
    <vt:vector size="1" baseType="lpstr">
      <vt:lpstr>Therapeutic Goods Legislation Amendment (2022 Measures No. 3) Regulations 2022</vt:lpstr>
    </vt:vector>
  </TitlesOfParts>
  <Manager/>
  <Company/>
  <LinksUpToDate>false</LinksUpToDate>
  <CharactersWithSpaces>12871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2022-12-15T05:57:00Z</dcterms:created>
  <dcterms:modified xsi:type="dcterms:W3CDTF">2022-12-19T02:30:00Z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Therapeutic Goods Legislation Amendment (2022 Measures No. 3) Regulations 2022</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2022</vt:lpwstr>
  </property>
  <property fmtid="{D5CDD505-2E9C-101B-9397-08002B2CF9AE}" pid="10" name="ID">
    <vt:lpwstr>OPC66006</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ies>
</file>