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F4AE" w14:textId="77777777" w:rsidR="0048364F" w:rsidRPr="005A19A9" w:rsidRDefault="00193461" w:rsidP="0020300C">
      <w:pPr>
        <w:rPr>
          <w:sz w:val="28"/>
        </w:rPr>
      </w:pPr>
      <w:r w:rsidRPr="005A19A9">
        <w:rPr>
          <w:noProof/>
          <w:lang w:eastAsia="en-AU"/>
        </w:rPr>
        <w:drawing>
          <wp:inline distT="0" distB="0" distL="0" distR="0" wp14:anchorId="38862D12" wp14:editId="0E7BCB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7EC5" w14:textId="77777777" w:rsidR="0048364F" w:rsidRPr="005A19A9" w:rsidRDefault="0048364F" w:rsidP="0048364F">
      <w:pPr>
        <w:rPr>
          <w:sz w:val="19"/>
        </w:rPr>
      </w:pPr>
    </w:p>
    <w:p w14:paraId="3A1310F3" w14:textId="77777777" w:rsidR="0048364F" w:rsidRPr="005A19A9" w:rsidRDefault="00672D75" w:rsidP="0048364F">
      <w:pPr>
        <w:pStyle w:val="ShortT"/>
      </w:pPr>
      <w:r w:rsidRPr="005A19A9">
        <w:t xml:space="preserve">Ozone Protection and Synthetic Greenhouse Gas Management Amendment (2022 Measures No. 1) </w:t>
      </w:r>
      <w:r w:rsidR="005A19A9" w:rsidRPr="005A19A9">
        <w:t>Regulations 2</w:t>
      </w:r>
      <w:r w:rsidRPr="005A19A9">
        <w:t>022</w:t>
      </w:r>
    </w:p>
    <w:p w14:paraId="087E1BC3" w14:textId="77777777" w:rsidR="004A45CD" w:rsidRPr="005A19A9" w:rsidRDefault="004A45CD" w:rsidP="000B0D2E">
      <w:pPr>
        <w:pStyle w:val="SignCoverPageStart"/>
        <w:spacing w:before="240"/>
        <w:rPr>
          <w:szCs w:val="22"/>
        </w:rPr>
      </w:pPr>
      <w:r w:rsidRPr="005A19A9">
        <w:rPr>
          <w:szCs w:val="22"/>
        </w:rPr>
        <w:t>I, General the Honourable David Hurley AC DSC (</w:t>
      </w:r>
      <w:proofErr w:type="spellStart"/>
      <w:r w:rsidRPr="005A19A9">
        <w:rPr>
          <w:szCs w:val="22"/>
        </w:rPr>
        <w:t>Retd</w:t>
      </w:r>
      <w:proofErr w:type="spellEnd"/>
      <w:r w:rsidRPr="005A19A9">
        <w:rPr>
          <w:szCs w:val="22"/>
        </w:rPr>
        <w:t>), Governor</w:t>
      </w:r>
      <w:r w:rsidR="005A19A9">
        <w:rPr>
          <w:szCs w:val="22"/>
        </w:rPr>
        <w:noBreakHyphen/>
      </w:r>
      <w:r w:rsidRPr="005A19A9">
        <w:rPr>
          <w:szCs w:val="22"/>
        </w:rPr>
        <w:t xml:space="preserve">General of the Commonwealth of Australia, acting with the advice of the Federal Executive Council, make the following </w:t>
      </w:r>
      <w:r w:rsidR="005A2D90">
        <w:rPr>
          <w:szCs w:val="22"/>
        </w:rPr>
        <w:t>regulations.</w:t>
      </w:r>
    </w:p>
    <w:p w14:paraId="68FBC760" w14:textId="586480E2" w:rsidR="004A45CD" w:rsidRPr="005A19A9" w:rsidRDefault="004A45CD" w:rsidP="000B0D2E">
      <w:pPr>
        <w:keepNext/>
        <w:spacing w:before="720" w:line="240" w:lineRule="atLeast"/>
        <w:ind w:right="397"/>
        <w:jc w:val="both"/>
        <w:rPr>
          <w:szCs w:val="22"/>
        </w:rPr>
      </w:pPr>
      <w:r w:rsidRPr="005A19A9">
        <w:rPr>
          <w:szCs w:val="22"/>
        </w:rPr>
        <w:t xml:space="preserve">Dated </w:t>
      </w:r>
      <w:r w:rsidRPr="005A19A9">
        <w:rPr>
          <w:szCs w:val="22"/>
        </w:rPr>
        <w:tab/>
      </w:r>
      <w:r w:rsidRPr="005A19A9">
        <w:rPr>
          <w:szCs w:val="22"/>
        </w:rPr>
        <w:tab/>
      </w:r>
      <w:r w:rsidR="00265225">
        <w:rPr>
          <w:szCs w:val="22"/>
        </w:rPr>
        <w:t>15 December</w:t>
      </w:r>
      <w:r w:rsidRPr="005A19A9">
        <w:rPr>
          <w:szCs w:val="22"/>
        </w:rPr>
        <w:tab/>
      </w:r>
      <w:r w:rsidRPr="005A19A9">
        <w:rPr>
          <w:szCs w:val="22"/>
        </w:rPr>
        <w:fldChar w:fldCharType="begin"/>
      </w:r>
      <w:r w:rsidRPr="005A19A9">
        <w:rPr>
          <w:szCs w:val="22"/>
        </w:rPr>
        <w:instrText xml:space="preserve"> DOCPROPERTY  DateMade </w:instrText>
      </w:r>
      <w:r w:rsidRPr="005A19A9">
        <w:rPr>
          <w:szCs w:val="22"/>
        </w:rPr>
        <w:fldChar w:fldCharType="separate"/>
      </w:r>
      <w:r w:rsidR="00682D12">
        <w:rPr>
          <w:szCs w:val="22"/>
        </w:rPr>
        <w:t>2022</w:t>
      </w:r>
      <w:r w:rsidRPr="005A19A9">
        <w:rPr>
          <w:szCs w:val="22"/>
        </w:rPr>
        <w:fldChar w:fldCharType="end"/>
      </w:r>
    </w:p>
    <w:p w14:paraId="1E1CAF47" w14:textId="77777777" w:rsidR="004A45CD" w:rsidRPr="005A19A9" w:rsidRDefault="004A45CD" w:rsidP="000B0D2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19A9">
        <w:rPr>
          <w:szCs w:val="22"/>
        </w:rPr>
        <w:t>David Hurley</w:t>
      </w:r>
    </w:p>
    <w:p w14:paraId="4D7D04DE" w14:textId="77777777" w:rsidR="004A45CD" w:rsidRPr="005A19A9" w:rsidRDefault="004A45CD" w:rsidP="000B0D2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19A9">
        <w:rPr>
          <w:szCs w:val="22"/>
        </w:rPr>
        <w:t>Governor</w:t>
      </w:r>
      <w:r w:rsidR="005A19A9">
        <w:rPr>
          <w:szCs w:val="22"/>
        </w:rPr>
        <w:noBreakHyphen/>
      </w:r>
      <w:r w:rsidRPr="005A19A9">
        <w:rPr>
          <w:szCs w:val="22"/>
        </w:rPr>
        <w:t>General</w:t>
      </w:r>
    </w:p>
    <w:p w14:paraId="50309CD4" w14:textId="77777777" w:rsidR="004A45CD" w:rsidRPr="005A19A9" w:rsidRDefault="004A45CD" w:rsidP="000B0D2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19A9">
        <w:rPr>
          <w:szCs w:val="22"/>
        </w:rPr>
        <w:t>By His Excellency’s Command</w:t>
      </w:r>
    </w:p>
    <w:p w14:paraId="73FD453B" w14:textId="77777777" w:rsidR="004A45CD" w:rsidRPr="005A19A9" w:rsidRDefault="004A45CD" w:rsidP="000B0D2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19A9">
        <w:rPr>
          <w:szCs w:val="22"/>
        </w:rPr>
        <w:t>Tanya Plibersek</w:t>
      </w:r>
    </w:p>
    <w:p w14:paraId="5655EEEE" w14:textId="77777777" w:rsidR="004A45CD" w:rsidRPr="005A19A9" w:rsidRDefault="004A45CD" w:rsidP="000B0D2E">
      <w:pPr>
        <w:pStyle w:val="SignCoverPageEnd"/>
        <w:rPr>
          <w:szCs w:val="22"/>
        </w:rPr>
      </w:pPr>
      <w:r w:rsidRPr="005A19A9">
        <w:rPr>
          <w:szCs w:val="22"/>
        </w:rPr>
        <w:t>Minister for the Environment and Water</w:t>
      </w:r>
    </w:p>
    <w:p w14:paraId="39BBFC19" w14:textId="77777777" w:rsidR="004A45CD" w:rsidRPr="005A19A9" w:rsidRDefault="004A45CD" w:rsidP="000B0D2E"/>
    <w:p w14:paraId="7BC32A8A" w14:textId="77777777" w:rsidR="004A45CD" w:rsidRPr="005A19A9" w:rsidRDefault="004A45CD" w:rsidP="000B0D2E"/>
    <w:p w14:paraId="0943D9B6" w14:textId="77777777" w:rsidR="004A45CD" w:rsidRPr="005A19A9" w:rsidRDefault="004A45CD" w:rsidP="000B0D2E"/>
    <w:p w14:paraId="0B03CC0D" w14:textId="77777777" w:rsidR="0080027E" w:rsidRPr="00C01202" w:rsidRDefault="0080027E" w:rsidP="0080027E">
      <w:pPr>
        <w:pStyle w:val="Header"/>
        <w:tabs>
          <w:tab w:val="clear" w:pos="4150"/>
          <w:tab w:val="clear" w:pos="8307"/>
        </w:tabs>
      </w:pPr>
      <w:r w:rsidRPr="00C01202">
        <w:rPr>
          <w:rStyle w:val="CharAmSchNo"/>
        </w:rPr>
        <w:t xml:space="preserve"> </w:t>
      </w:r>
      <w:r w:rsidRPr="00C01202">
        <w:rPr>
          <w:rStyle w:val="CharAmSchText"/>
        </w:rPr>
        <w:t xml:space="preserve"> </w:t>
      </w:r>
    </w:p>
    <w:p w14:paraId="2BB7B34A" w14:textId="77777777" w:rsidR="0080027E" w:rsidRPr="00C01202" w:rsidRDefault="0080027E" w:rsidP="0080027E">
      <w:pPr>
        <w:pStyle w:val="Header"/>
        <w:tabs>
          <w:tab w:val="clear" w:pos="4150"/>
          <w:tab w:val="clear" w:pos="8307"/>
        </w:tabs>
      </w:pPr>
      <w:r w:rsidRPr="00C01202">
        <w:rPr>
          <w:rStyle w:val="CharAmPartNo"/>
        </w:rPr>
        <w:t xml:space="preserve"> </w:t>
      </w:r>
      <w:r w:rsidRPr="00C01202">
        <w:rPr>
          <w:rStyle w:val="CharAmPartText"/>
        </w:rPr>
        <w:t xml:space="preserve"> </w:t>
      </w:r>
    </w:p>
    <w:p w14:paraId="4165E9EF" w14:textId="77777777" w:rsidR="0080027E" w:rsidRPr="005A19A9" w:rsidRDefault="0080027E" w:rsidP="0080027E">
      <w:pPr>
        <w:sectPr w:rsidR="0080027E" w:rsidRPr="005A19A9" w:rsidSect="002038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CC5DAC" w14:textId="77777777" w:rsidR="00220A0C" w:rsidRPr="005A19A9" w:rsidRDefault="0048364F" w:rsidP="0048364F">
      <w:pPr>
        <w:outlineLvl w:val="0"/>
        <w:rPr>
          <w:sz w:val="36"/>
        </w:rPr>
      </w:pPr>
      <w:r w:rsidRPr="005A19A9">
        <w:rPr>
          <w:sz w:val="36"/>
        </w:rPr>
        <w:lastRenderedPageBreak/>
        <w:t>Contents</w:t>
      </w:r>
    </w:p>
    <w:p w14:paraId="2432863F" w14:textId="11B11CAE" w:rsidR="003C7F5E" w:rsidRPr="005A19A9" w:rsidRDefault="003C7F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fldChar w:fldCharType="begin"/>
      </w:r>
      <w:r w:rsidRPr="005A19A9">
        <w:instrText xml:space="preserve"> TOC \o "1-9" </w:instrText>
      </w:r>
      <w:r w:rsidRPr="005A19A9">
        <w:fldChar w:fldCharType="separate"/>
      </w:r>
      <w:r w:rsidRPr="005A19A9">
        <w:rPr>
          <w:noProof/>
        </w:rPr>
        <w:t>1</w:t>
      </w:r>
      <w:r w:rsidRPr="005A19A9">
        <w:rPr>
          <w:noProof/>
        </w:rPr>
        <w:tab/>
        <w:t>Name</w:t>
      </w:r>
      <w:r w:rsidRPr="005A19A9">
        <w:rPr>
          <w:noProof/>
        </w:rPr>
        <w:tab/>
      </w:r>
      <w:r w:rsidRPr="005A19A9">
        <w:rPr>
          <w:noProof/>
        </w:rPr>
        <w:fldChar w:fldCharType="begin"/>
      </w:r>
      <w:r w:rsidRPr="005A19A9">
        <w:rPr>
          <w:noProof/>
        </w:rPr>
        <w:instrText xml:space="preserve"> PAGEREF _Toc118454383 \h </w:instrText>
      </w:r>
      <w:r w:rsidRPr="005A19A9">
        <w:rPr>
          <w:noProof/>
        </w:rPr>
      </w:r>
      <w:r w:rsidRPr="005A19A9">
        <w:rPr>
          <w:noProof/>
        </w:rPr>
        <w:fldChar w:fldCharType="separate"/>
      </w:r>
      <w:r w:rsidR="00682D12">
        <w:rPr>
          <w:noProof/>
        </w:rPr>
        <w:t>1</w:t>
      </w:r>
      <w:r w:rsidRPr="005A19A9">
        <w:rPr>
          <w:noProof/>
        </w:rPr>
        <w:fldChar w:fldCharType="end"/>
      </w:r>
    </w:p>
    <w:p w14:paraId="4154F4FB" w14:textId="42454827" w:rsidR="003C7F5E" w:rsidRPr="005A19A9" w:rsidRDefault="003C7F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rPr>
          <w:noProof/>
        </w:rPr>
        <w:t>2</w:t>
      </w:r>
      <w:r w:rsidRPr="005A19A9">
        <w:rPr>
          <w:noProof/>
        </w:rPr>
        <w:tab/>
        <w:t>Commencement</w:t>
      </w:r>
      <w:r w:rsidRPr="005A19A9">
        <w:rPr>
          <w:noProof/>
        </w:rPr>
        <w:tab/>
      </w:r>
      <w:r w:rsidRPr="005A19A9">
        <w:rPr>
          <w:noProof/>
        </w:rPr>
        <w:fldChar w:fldCharType="begin"/>
      </w:r>
      <w:r w:rsidRPr="005A19A9">
        <w:rPr>
          <w:noProof/>
        </w:rPr>
        <w:instrText xml:space="preserve"> PAGEREF _Toc118454384 \h </w:instrText>
      </w:r>
      <w:r w:rsidRPr="005A19A9">
        <w:rPr>
          <w:noProof/>
        </w:rPr>
      </w:r>
      <w:r w:rsidRPr="005A19A9">
        <w:rPr>
          <w:noProof/>
        </w:rPr>
        <w:fldChar w:fldCharType="separate"/>
      </w:r>
      <w:r w:rsidR="00682D12">
        <w:rPr>
          <w:noProof/>
        </w:rPr>
        <w:t>1</w:t>
      </w:r>
      <w:r w:rsidRPr="005A19A9">
        <w:rPr>
          <w:noProof/>
        </w:rPr>
        <w:fldChar w:fldCharType="end"/>
      </w:r>
    </w:p>
    <w:p w14:paraId="73470FB5" w14:textId="202A155F" w:rsidR="003C7F5E" w:rsidRPr="005A19A9" w:rsidRDefault="003C7F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rPr>
          <w:noProof/>
        </w:rPr>
        <w:t>3</w:t>
      </w:r>
      <w:r w:rsidRPr="005A19A9">
        <w:rPr>
          <w:noProof/>
        </w:rPr>
        <w:tab/>
        <w:t>Authority</w:t>
      </w:r>
      <w:r w:rsidRPr="005A19A9">
        <w:rPr>
          <w:noProof/>
        </w:rPr>
        <w:tab/>
      </w:r>
      <w:r w:rsidRPr="005A19A9">
        <w:rPr>
          <w:noProof/>
        </w:rPr>
        <w:fldChar w:fldCharType="begin"/>
      </w:r>
      <w:r w:rsidRPr="005A19A9">
        <w:rPr>
          <w:noProof/>
        </w:rPr>
        <w:instrText xml:space="preserve"> PAGEREF _Toc118454385 \h </w:instrText>
      </w:r>
      <w:r w:rsidRPr="005A19A9">
        <w:rPr>
          <w:noProof/>
        </w:rPr>
      </w:r>
      <w:r w:rsidRPr="005A19A9">
        <w:rPr>
          <w:noProof/>
        </w:rPr>
        <w:fldChar w:fldCharType="separate"/>
      </w:r>
      <w:r w:rsidR="00682D12">
        <w:rPr>
          <w:noProof/>
        </w:rPr>
        <w:t>1</w:t>
      </w:r>
      <w:r w:rsidRPr="005A19A9">
        <w:rPr>
          <w:noProof/>
        </w:rPr>
        <w:fldChar w:fldCharType="end"/>
      </w:r>
    </w:p>
    <w:p w14:paraId="08327A62" w14:textId="741A67E3" w:rsidR="003C7F5E" w:rsidRPr="005A19A9" w:rsidRDefault="003C7F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rPr>
          <w:noProof/>
        </w:rPr>
        <w:t>4</w:t>
      </w:r>
      <w:r w:rsidRPr="005A19A9">
        <w:rPr>
          <w:noProof/>
        </w:rPr>
        <w:tab/>
        <w:t>Schedules</w:t>
      </w:r>
      <w:r w:rsidRPr="005A19A9">
        <w:rPr>
          <w:noProof/>
        </w:rPr>
        <w:tab/>
      </w:r>
      <w:r w:rsidRPr="005A19A9">
        <w:rPr>
          <w:noProof/>
        </w:rPr>
        <w:fldChar w:fldCharType="begin"/>
      </w:r>
      <w:r w:rsidRPr="005A19A9">
        <w:rPr>
          <w:noProof/>
        </w:rPr>
        <w:instrText xml:space="preserve"> PAGEREF _Toc118454386 \h </w:instrText>
      </w:r>
      <w:r w:rsidRPr="005A19A9">
        <w:rPr>
          <w:noProof/>
        </w:rPr>
      </w:r>
      <w:r w:rsidRPr="005A19A9">
        <w:rPr>
          <w:noProof/>
        </w:rPr>
        <w:fldChar w:fldCharType="separate"/>
      </w:r>
      <w:r w:rsidR="00682D12">
        <w:rPr>
          <w:noProof/>
        </w:rPr>
        <w:t>1</w:t>
      </w:r>
      <w:r w:rsidRPr="005A19A9">
        <w:rPr>
          <w:noProof/>
        </w:rPr>
        <w:fldChar w:fldCharType="end"/>
      </w:r>
    </w:p>
    <w:p w14:paraId="138DBD2C" w14:textId="71CD3094" w:rsidR="003C7F5E" w:rsidRPr="005A19A9" w:rsidRDefault="005A19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19A9">
        <w:rPr>
          <w:noProof/>
        </w:rPr>
        <w:t>Schedule 1</w:t>
      </w:r>
      <w:r w:rsidR="003C7F5E" w:rsidRPr="005A19A9">
        <w:rPr>
          <w:noProof/>
        </w:rPr>
        <w:t>—Amendments</w:t>
      </w:r>
      <w:r w:rsidR="003C7F5E" w:rsidRPr="005A19A9">
        <w:rPr>
          <w:b w:val="0"/>
          <w:noProof/>
          <w:sz w:val="18"/>
        </w:rPr>
        <w:tab/>
      </w:r>
      <w:r w:rsidR="003C7F5E" w:rsidRPr="005A19A9">
        <w:rPr>
          <w:b w:val="0"/>
          <w:noProof/>
          <w:sz w:val="18"/>
        </w:rPr>
        <w:fldChar w:fldCharType="begin"/>
      </w:r>
      <w:r w:rsidR="003C7F5E" w:rsidRPr="005A19A9">
        <w:rPr>
          <w:b w:val="0"/>
          <w:noProof/>
          <w:sz w:val="18"/>
        </w:rPr>
        <w:instrText xml:space="preserve"> PAGEREF _Toc118454387 \h </w:instrText>
      </w:r>
      <w:r w:rsidR="003C7F5E" w:rsidRPr="005A19A9">
        <w:rPr>
          <w:b w:val="0"/>
          <w:noProof/>
          <w:sz w:val="18"/>
        </w:rPr>
      </w:r>
      <w:r w:rsidR="003C7F5E" w:rsidRPr="005A19A9">
        <w:rPr>
          <w:b w:val="0"/>
          <w:noProof/>
          <w:sz w:val="18"/>
        </w:rPr>
        <w:fldChar w:fldCharType="separate"/>
      </w:r>
      <w:r w:rsidR="00682D12">
        <w:rPr>
          <w:b w:val="0"/>
          <w:noProof/>
          <w:sz w:val="18"/>
        </w:rPr>
        <w:t>2</w:t>
      </w:r>
      <w:r w:rsidR="003C7F5E" w:rsidRPr="005A19A9">
        <w:rPr>
          <w:b w:val="0"/>
          <w:noProof/>
          <w:sz w:val="18"/>
        </w:rPr>
        <w:fldChar w:fldCharType="end"/>
      </w:r>
    </w:p>
    <w:p w14:paraId="3F9F03F8" w14:textId="5332874B" w:rsidR="003C7F5E" w:rsidRPr="005A19A9" w:rsidRDefault="003C7F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rPr>
          <w:noProof/>
        </w:rPr>
        <w:t>Part 1—Amendments to reserve HFC quotas</w:t>
      </w:r>
      <w:r w:rsidRPr="005A19A9">
        <w:rPr>
          <w:noProof/>
          <w:sz w:val="18"/>
        </w:rPr>
        <w:tab/>
      </w:r>
      <w:r w:rsidRPr="005A19A9">
        <w:rPr>
          <w:noProof/>
          <w:sz w:val="18"/>
        </w:rPr>
        <w:fldChar w:fldCharType="begin"/>
      </w:r>
      <w:r w:rsidRPr="005A19A9">
        <w:rPr>
          <w:noProof/>
          <w:sz w:val="18"/>
        </w:rPr>
        <w:instrText xml:space="preserve"> PAGEREF _Toc118454388 \h </w:instrText>
      </w:r>
      <w:r w:rsidRPr="005A19A9">
        <w:rPr>
          <w:noProof/>
          <w:sz w:val="18"/>
        </w:rPr>
      </w:r>
      <w:r w:rsidRPr="005A19A9">
        <w:rPr>
          <w:noProof/>
          <w:sz w:val="18"/>
        </w:rPr>
        <w:fldChar w:fldCharType="separate"/>
      </w:r>
      <w:r w:rsidR="00682D12">
        <w:rPr>
          <w:noProof/>
          <w:sz w:val="18"/>
        </w:rPr>
        <w:t>2</w:t>
      </w:r>
      <w:r w:rsidRPr="005A19A9">
        <w:rPr>
          <w:noProof/>
          <w:sz w:val="18"/>
        </w:rPr>
        <w:fldChar w:fldCharType="end"/>
      </w:r>
    </w:p>
    <w:p w14:paraId="526829C5" w14:textId="636B6B4E" w:rsidR="003C7F5E" w:rsidRPr="005A19A9" w:rsidRDefault="003C7F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19A9">
        <w:rPr>
          <w:noProof/>
        </w:rPr>
        <w:t>Ozone Protection and Synthetic Greenhouse Gas Management Regulations 1995</w:t>
      </w:r>
      <w:r w:rsidRPr="005A19A9">
        <w:rPr>
          <w:i w:val="0"/>
          <w:noProof/>
          <w:sz w:val="18"/>
        </w:rPr>
        <w:tab/>
      </w:r>
      <w:r w:rsidRPr="005A19A9">
        <w:rPr>
          <w:i w:val="0"/>
          <w:noProof/>
          <w:sz w:val="18"/>
        </w:rPr>
        <w:fldChar w:fldCharType="begin"/>
      </w:r>
      <w:r w:rsidRPr="005A19A9">
        <w:rPr>
          <w:i w:val="0"/>
          <w:noProof/>
          <w:sz w:val="18"/>
        </w:rPr>
        <w:instrText xml:space="preserve"> PAGEREF _Toc118454389 \h </w:instrText>
      </w:r>
      <w:r w:rsidRPr="005A19A9">
        <w:rPr>
          <w:i w:val="0"/>
          <w:noProof/>
          <w:sz w:val="18"/>
        </w:rPr>
      </w:r>
      <w:r w:rsidRPr="005A19A9">
        <w:rPr>
          <w:i w:val="0"/>
          <w:noProof/>
          <w:sz w:val="18"/>
        </w:rPr>
        <w:fldChar w:fldCharType="separate"/>
      </w:r>
      <w:r w:rsidR="00682D12">
        <w:rPr>
          <w:i w:val="0"/>
          <w:noProof/>
          <w:sz w:val="18"/>
        </w:rPr>
        <w:t>2</w:t>
      </w:r>
      <w:r w:rsidRPr="005A19A9">
        <w:rPr>
          <w:i w:val="0"/>
          <w:noProof/>
          <w:sz w:val="18"/>
        </w:rPr>
        <w:fldChar w:fldCharType="end"/>
      </w:r>
    </w:p>
    <w:p w14:paraId="01173AE5" w14:textId="4AA18B94" w:rsidR="003C7F5E" w:rsidRPr="005A19A9" w:rsidRDefault="005A19A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rPr>
          <w:noProof/>
        </w:rPr>
        <w:t>Part 2</w:t>
      </w:r>
      <w:r w:rsidR="003C7F5E" w:rsidRPr="005A19A9">
        <w:rPr>
          <w:noProof/>
        </w:rPr>
        <w:t>—Amendments relating to special circumstances exemptions</w:t>
      </w:r>
      <w:r w:rsidR="003C7F5E" w:rsidRPr="005A19A9">
        <w:rPr>
          <w:noProof/>
          <w:sz w:val="18"/>
        </w:rPr>
        <w:tab/>
      </w:r>
      <w:r w:rsidR="003C7F5E" w:rsidRPr="005A19A9">
        <w:rPr>
          <w:noProof/>
          <w:sz w:val="18"/>
        </w:rPr>
        <w:fldChar w:fldCharType="begin"/>
      </w:r>
      <w:r w:rsidR="003C7F5E" w:rsidRPr="005A19A9">
        <w:rPr>
          <w:noProof/>
          <w:sz w:val="18"/>
        </w:rPr>
        <w:instrText xml:space="preserve"> PAGEREF _Toc118454391 \h </w:instrText>
      </w:r>
      <w:r w:rsidR="003C7F5E" w:rsidRPr="005A19A9">
        <w:rPr>
          <w:noProof/>
          <w:sz w:val="18"/>
        </w:rPr>
      </w:r>
      <w:r w:rsidR="003C7F5E" w:rsidRPr="005A19A9">
        <w:rPr>
          <w:noProof/>
          <w:sz w:val="18"/>
        </w:rPr>
        <w:fldChar w:fldCharType="separate"/>
      </w:r>
      <w:r w:rsidR="00682D12">
        <w:rPr>
          <w:noProof/>
          <w:sz w:val="18"/>
        </w:rPr>
        <w:t>5</w:t>
      </w:r>
      <w:r w:rsidR="003C7F5E" w:rsidRPr="005A19A9">
        <w:rPr>
          <w:noProof/>
          <w:sz w:val="18"/>
        </w:rPr>
        <w:fldChar w:fldCharType="end"/>
      </w:r>
    </w:p>
    <w:p w14:paraId="733B0BE0" w14:textId="3C345048" w:rsidR="003C7F5E" w:rsidRPr="005A19A9" w:rsidRDefault="003C7F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19A9">
        <w:rPr>
          <w:noProof/>
        </w:rPr>
        <w:t>Ozone Protection and Synthetic Greenhouse Gas Management Regulations 1995</w:t>
      </w:r>
      <w:r w:rsidRPr="005A19A9">
        <w:rPr>
          <w:i w:val="0"/>
          <w:noProof/>
          <w:sz w:val="18"/>
        </w:rPr>
        <w:tab/>
      </w:r>
      <w:r w:rsidRPr="005A19A9">
        <w:rPr>
          <w:i w:val="0"/>
          <w:noProof/>
          <w:sz w:val="18"/>
        </w:rPr>
        <w:fldChar w:fldCharType="begin"/>
      </w:r>
      <w:r w:rsidRPr="005A19A9">
        <w:rPr>
          <w:i w:val="0"/>
          <w:noProof/>
          <w:sz w:val="18"/>
        </w:rPr>
        <w:instrText xml:space="preserve"> PAGEREF _Toc118454392 \h </w:instrText>
      </w:r>
      <w:r w:rsidRPr="005A19A9">
        <w:rPr>
          <w:i w:val="0"/>
          <w:noProof/>
          <w:sz w:val="18"/>
        </w:rPr>
      </w:r>
      <w:r w:rsidRPr="005A19A9">
        <w:rPr>
          <w:i w:val="0"/>
          <w:noProof/>
          <w:sz w:val="18"/>
        </w:rPr>
        <w:fldChar w:fldCharType="separate"/>
      </w:r>
      <w:r w:rsidR="00682D12">
        <w:rPr>
          <w:i w:val="0"/>
          <w:noProof/>
          <w:sz w:val="18"/>
        </w:rPr>
        <w:t>5</w:t>
      </w:r>
      <w:r w:rsidRPr="005A19A9">
        <w:rPr>
          <w:i w:val="0"/>
          <w:noProof/>
          <w:sz w:val="18"/>
        </w:rPr>
        <w:fldChar w:fldCharType="end"/>
      </w:r>
    </w:p>
    <w:p w14:paraId="3B43826B" w14:textId="08B973D7" w:rsidR="003C7F5E" w:rsidRPr="005A19A9" w:rsidRDefault="003C7F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19A9">
        <w:rPr>
          <w:noProof/>
        </w:rPr>
        <w:t>Part 3—Application and transitional provisions</w:t>
      </w:r>
      <w:r w:rsidRPr="005A19A9">
        <w:rPr>
          <w:noProof/>
          <w:sz w:val="18"/>
        </w:rPr>
        <w:tab/>
      </w:r>
      <w:r w:rsidRPr="005A19A9">
        <w:rPr>
          <w:noProof/>
          <w:sz w:val="18"/>
        </w:rPr>
        <w:fldChar w:fldCharType="begin"/>
      </w:r>
      <w:r w:rsidRPr="005A19A9">
        <w:rPr>
          <w:noProof/>
          <w:sz w:val="18"/>
        </w:rPr>
        <w:instrText xml:space="preserve"> PAGEREF _Toc118454404 \h </w:instrText>
      </w:r>
      <w:r w:rsidRPr="005A19A9">
        <w:rPr>
          <w:noProof/>
          <w:sz w:val="18"/>
        </w:rPr>
      </w:r>
      <w:r w:rsidRPr="005A19A9">
        <w:rPr>
          <w:noProof/>
          <w:sz w:val="18"/>
        </w:rPr>
        <w:fldChar w:fldCharType="separate"/>
      </w:r>
      <w:r w:rsidR="00682D12">
        <w:rPr>
          <w:noProof/>
          <w:sz w:val="18"/>
        </w:rPr>
        <w:t>16</w:t>
      </w:r>
      <w:r w:rsidRPr="005A19A9">
        <w:rPr>
          <w:noProof/>
          <w:sz w:val="18"/>
        </w:rPr>
        <w:fldChar w:fldCharType="end"/>
      </w:r>
    </w:p>
    <w:p w14:paraId="27EF136C" w14:textId="3466007C" w:rsidR="003C7F5E" w:rsidRPr="005A19A9" w:rsidRDefault="003C7F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19A9">
        <w:rPr>
          <w:noProof/>
          <w:shd w:val="clear" w:color="auto" w:fill="FFFFFF"/>
        </w:rPr>
        <w:t>Ozone Protection and Synthetic Greenhouse Gas Management Regulations 1995</w:t>
      </w:r>
      <w:r w:rsidRPr="005A19A9">
        <w:rPr>
          <w:i w:val="0"/>
          <w:noProof/>
          <w:sz w:val="18"/>
        </w:rPr>
        <w:tab/>
      </w:r>
      <w:r w:rsidRPr="005A19A9">
        <w:rPr>
          <w:i w:val="0"/>
          <w:noProof/>
          <w:sz w:val="18"/>
        </w:rPr>
        <w:fldChar w:fldCharType="begin"/>
      </w:r>
      <w:r w:rsidRPr="005A19A9">
        <w:rPr>
          <w:i w:val="0"/>
          <w:noProof/>
          <w:sz w:val="18"/>
        </w:rPr>
        <w:instrText xml:space="preserve"> PAGEREF _Toc118454405 \h </w:instrText>
      </w:r>
      <w:r w:rsidRPr="005A19A9">
        <w:rPr>
          <w:i w:val="0"/>
          <w:noProof/>
          <w:sz w:val="18"/>
        </w:rPr>
      </w:r>
      <w:r w:rsidRPr="005A19A9">
        <w:rPr>
          <w:i w:val="0"/>
          <w:noProof/>
          <w:sz w:val="18"/>
        </w:rPr>
        <w:fldChar w:fldCharType="separate"/>
      </w:r>
      <w:r w:rsidR="00682D12">
        <w:rPr>
          <w:i w:val="0"/>
          <w:noProof/>
          <w:sz w:val="18"/>
        </w:rPr>
        <w:t>16</w:t>
      </w:r>
      <w:r w:rsidRPr="005A19A9">
        <w:rPr>
          <w:i w:val="0"/>
          <w:noProof/>
          <w:sz w:val="18"/>
        </w:rPr>
        <w:fldChar w:fldCharType="end"/>
      </w:r>
    </w:p>
    <w:p w14:paraId="19C8D3D4" w14:textId="77777777" w:rsidR="0048364F" w:rsidRPr="005A19A9" w:rsidRDefault="003C7F5E" w:rsidP="0048364F">
      <w:r w:rsidRPr="005A19A9">
        <w:fldChar w:fldCharType="end"/>
      </w:r>
    </w:p>
    <w:p w14:paraId="48732B54" w14:textId="77777777" w:rsidR="0080027E" w:rsidRPr="005A19A9" w:rsidRDefault="0080027E" w:rsidP="0080027E">
      <w:pPr>
        <w:sectPr w:rsidR="0080027E" w:rsidRPr="005A19A9" w:rsidSect="0020384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522204" w14:textId="77777777" w:rsidR="0048364F" w:rsidRPr="005A19A9" w:rsidRDefault="0048364F" w:rsidP="0048364F">
      <w:pPr>
        <w:pStyle w:val="ActHead5"/>
      </w:pPr>
      <w:bookmarkStart w:id="0" w:name="_Toc118454383"/>
      <w:r w:rsidRPr="00C01202">
        <w:rPr>
          <w:rStyle w:val="CharSectno"/>
        </w:rPr>
        <w:lastRenderedPageBreak/>
        <w:t>1</w:t>
      </w:r>
      <w:r w:rsidRPr="005A19A9">
        <w:t xml:space="preserve">  </w:t>
      </w:r>
      <w:r w:rsidR="004F676E" w:rsidRPr="005A19A9">
        <w:t>Name</w:t>
      </w:r>
      <w:bookmarkEnd w:id="0"/>
    </w:p>
    <w:p w14:paraId="3AEFA787" w14:textId="77777777" w:rsidR="0048364F" w:rsidRPr="005A19A9" w:rsidRDefault="0048364F" w:rsidP="0048364F">
      <w:pPr>
        <w:pStyle w:val="subsection"/>
      </w:pPr>
      <w:r w:rsidRPr="005A19A9">
        <w:tab/>
      </w:r>
      <w:r w:rsidRPr="005A19A9">
        <w:tab/>
      </w:r>
      <w:r w:rsidR="00672D75" w:rsidRPr="005A19A9">
        <w:t>This instrument is</w:t>
      </w:r>
      <w:r w:rsidRPr="005A19A9">
        <w:t xml:space="preserve"> the </w:t>
      </w:r>
      <w:r w:rsidR="00494980">
        <w:rPr>
          <w:i/>
          <w:noProof/>
        </w:rPr>
        <w:t>Ozone Protection and Synthetic Greenhouse Gas Management Amendment (2022 Measures No. 1) Regulations 2022</w:t>
      </w:r>
      <w:r w:rsidRPr="005A19A9">
        <w:t>.</w:t>
      </w:r>
    </w:p>
    <w:p w14:paraId="16FAC91A" w14:textId="77777777" w:rsidR="004F676E" w:rsidRPr="005A19A9" w:rsidRDefault="0048364F" w:rsidP="005452CC">
      <w:pPr>
        <w:pStyle w:val="ActHead5"/>
      </w:pPr>
      <w:bookmarkStart w:id="1" w:name="_Toc118454384"/>
      <w:r w:rsidRPr="00C01202">
        <w:rPr>
          <w:rStyle w:val="CharSectno"/>
        </w:rPr>
        <w:t>2</w:t>
      </w:r>
      <w:r w:rsidRPr="005A19A9">
        <w:t xml:space="preserve">  Commencement</w:t>
      </w:r>
      <w:bookmarkEnd w:id="1"/>
    </w:p>
    <w:p w14:paraId="2E01A2DE" w14:textId="77777777" w:rsidR="005452CC" w:rsidRPr="005A19A9" w:rsidRDefault="005452CC" w:rsidP="00BE74F2">
      <w:pPr>
        <w:pStyle w:val="subsection"/>
      </w:pPr>
      <w:r w:rsidRPr="005A19A9">
        <w:tab/>
        <w:t>(1)</w:t>
      </w:r>
      <w:r w:rsidRPr="005A19A9">
        <w:tab/>
        <w:t xml:space="preserve">Each provision of </w:t>
      </w:r>
      <w:r w:rsidR="00672D75" w:rsidRPr="005A19A9">
        <w:t>this instrument</w:t>
      </w:r>
      <w:r w:rsidRPr="005A19A9">
        <w:t xml:space="preserve"> specified in column 1 of the table commences, or is taken to have commenced, in accordance with column 2 of the table. Any other statement in column 2 has effect according to its terms.</w:t>
      </w:r>
    </w:p>
    <w:p w14:paraId="0FD1EFE0" w14:textId="77777777" w:rsidR="005452CC" w:rsidRPr="005A19A9" w:rsidRDefault="005452CC" w:rsidP="00BE74F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452CC" w:rsidRPr="005A19A9" w14:paraId="12C65E98" w14:textId="77777777" w:rsidTr="002F3EB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EC13F5" w14:textId="77777777" w:rsidR="005452CC" w:rsidRPr="005A19A9" w:rsidRDefault="005452CC" w:rsidP="00BE74F2">
            <w:pPr>
              <w:pStyle w:val="TableHeading"/>
            </w:pPr>
            <w:r w:rsidRPr="005A19A9">
              <w:t>Commencement information</w:t>
            </w:r>
          </w:p>
        </w:tc>
      </w:tr>
      <w:tr w:rsidR="005452CC" w:rsidRPr="005A19A9" w14:paraId="3BD88AB1" w14:textId="77777777" w:rsidTr="002F3EB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27B6B9" w14:textId="77777777" w:rsidR="005452CC" w:rsidRPr="005A19A9" w:rsidRDefault="005452CC" w:rsidP="00BE74F2">
            <w:pPr>
              <w:pStyle w:val="TableHeading"/>
            </w:pPr>
            <w:r w:rsidRPr="005A19A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99B851" w14:textId="77777777" w:rsidR="005452CC" w:rsidRPr="005A19A9" w:rsidRDefault="005452CC" w:rsidP="00BE74F2">
            <w:pPr>
              <w:pStyle w:val="TableHeading"/>
            </w:pPr>
            <w:r w:rsidRPr="005A19A9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40BE7C" w14:textId="77777777" w:rsidR="005452CC" w:rsidRPr="005A19A9" w:rsidRDefault="005452CC" w:rsidP="00BE74F2">
            <w:pPr>
              <w:pStyle w:val="TableHeading"/>
            </w:pPr>
            <w:r w:rsidRPr="005A19A9">
              <w:t>Column 3</w:t>
            </w:r>
          </w:p>
        </w:tc>
      </w:tr>
      <w:tr w:rsidR="005452CC" w:rsidRPr="005A19A9" w14:paraId="71C7E166" w14:textId="77777777" w:rsidTr="002F3EB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4D7480" w14:textId="77777777" w:rsidR="005452CC" w:rsidRPr="005A19A9" w:rsidRDefault="005452CC" w:rsidP="00BE74F2">
            <w:pPr>
              <w:pStyle w:val="TableHeading"/>
            </w:pPr>
            <w:r w:rsidRPr="005A19A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7B484A" w14:textId="77777777" w:rsidR="005452CC" w:rsidRPr="005A19A9" w:rsidRDefault="005452CC" w:rsidP="00BE74F2">
            <w:pPr>
              <w:pStyle w:val="TableHeading"/>
            </w:pPr>
            <w:r w:rsidRPr="005A19A9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91070A" w14:textId="77777777" w:rsidR="005452CC" w:rsidRPr="005A19A9" w:rsidRDefault="005452CC" w:rsidP="00BE74F2">
            <w:pPr>
              <w:pStyle w:val="TableHeading"/>
            </w:pPr>
            <w:r w:rsidRPr="005A19A9">
              <w:t>Date/Details</w:t>
            </w:r>
          </w:p>
        </w:tc>
      </w:tr>
      <w:tr w:rsidR="005452CC" w:rsidRPr="005A19A9" w14:paraId="7396703E" w14:textId="77777777" w:rsidTr="002F3EB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1EECEF" w14:textId="77777777" w:rsidR="005452CC" w:rsidRPr="005A19A9" w:rsidRDefault="005452CC" w:rsidP="00AD7252">
            <w:pPr>
              <w:pStyle w:val="Tabletext"/>
            </w:pPr>
            <w:r w:rsidRPr="005A19A9">
              <w:t xml:space="preserve">1.  </w:t>
            </w:r>
            <w:r w:rsidR="00AD7252" w:rsidRPr="005A19A9">
              <w:t xml:space="preserve">The whole of </w:t>
            </w:r>
            <w:r w:rsidR="00672D75" w:rsidRPr="005A19A9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744F6F" w14:textId="77777777" w:rsidR="005452CC" w:rsidRPr="005A19A9" w:rsidRDefault="005452CC" w:rsidP="005452CC">
            <w:pPr>
              <w:pStyle w:val="Tabletext"/>
            </w:pPr>
            <w:r w:rsidRPr="005A19A9">
              <w:t xml:space="preserve">The day after </w:t>
            </w:r>
            <w:r w:rsidR="00672D75" w:rsidRPr="005A19A9">
              <w:t>this instrument is</w:t>
            </w:r>
            <w:r w:rsidRPr="005A19A9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184186" w14:textId="3C1F7D70" w:rsidR="005452CC" w:rsidRPr="005A19A9" w:rsidRDefault="003456FC">
            <w:pPr>
              <w:pStyle w:val="Tabletext"/>
            </w:pPr>
            <w:r>
              <w:t>20 December 2022</w:t>
            </w:r>
            <w:bookmarkStart w:id="2" w:name="_GoBack"/>
            <w:bookmarkEnd w:id="2"/>
          </w:p>
        </w:tc>
      </w:tr>
    </w:tbl>
    <w:p w14:paraId="6D5CEE0F" w14:textId="77777777" w:rsidR="005452CC" w:rsidRPr="005A19A9" w:rsidRDefault="005452CC" w:rsidP="00BE74F2">
      <w:pPr>
        <w:pStyle w:val="notetext"/>
      </w:pPr>
      <w:r w:rsidRPr="005A19A9">
        <w:rPr>
          <w:snapToGrid w:val="0"/>
          <w:lang w:eastAsia="en-US"/>
        </w:rPr>
        <w:t>Note:</w:t>
      </w:r>
      <w:r w:rsidRPr="005A19A9">
        <w:rPr>
          <w:snapToGrid w:val="0"/>
          <w:lang w:eastAsia="en-US"/>
        </w:rPr>
        <w:tab/>
        <w:t xml:space="preserve">This table relates only to the provisions of </w:t>
      </w:r>
      <w:r w:rsidR="00672D75" w:rsidRPr="005A19A9">
        <w:rPr>
          <w:snapToGrid w:val="0"/>
          <w:lang w:eastAsia="en-US"/>
        </w:rPr>
        <w:t>this instrument</w:t>
      </w:r>
      <w:r w:rsidRPr="005A19A9">
        <w:t xml:space="preserve"> </w:t>
      </w:r>
      <w:r w:rsidRPr="005A19A9">
        <w:rPr>
          <w:snapToGrid w:val="0"/>
          <w:lang w:eastAsia="en-US"/>
        </w:rPr>
        <w:t xml:space="preserve">as originally made. It will not be amended to deal with any later amendments of </w:t>
      </w:r>
      <w:r w:rsidR="00672D75" w:rsidRPr="005A19A9">
        <w:rPr>
          <w:snapToGrid w:val="0"/>
          <w:lang w:eastAsia="en-US"/>
        </w:rPr>
        <w:t>this instrument</w:t>
      </w:r>
      <w:r w:rsidRPr="005A19A9">
        <w:rPr>
          <w:snapToGrid w:val="0"/>
          <w:lang w:eastAsia="en-US"/>
        </w:rPr>
        <w:t>.</w:t>
      </w:r>
    </w:p>
    <w:p w14:paraId="2125B940" w14:textId="77777777" w:rsidR="005452CC" w:rsidRPr="005A19A9" w:rsidRDefault="005452CC" w:rsidP="004F676E">
      <w:pPr>
        <w:pStyle w:val="subsection"/>
      </w:pPr>
      <w:r w:rsidRPr="005A19A9">
        <w:tab/>
        <w:t>(2)</w:t>
      </w:r>
      <w:r w:rsidRPr="005A19A9">
        <w:tab/>
        <w:t xml:space="preserve">Any information in column 3 of the table is not part of </w:t>
      </w:r>
      <w:r w:rsidR="00672D75" w:rsidRPr="005A19A9">
        <w:t>this instrument</w:t>
      </w:r>
      <w:r w:rsidRPr="005A19A9">
        <w:t xml:space="preserve">. Information may be inserted in this column, or information in it may be edited, in any published version of </w:t>
      </w:r>
      <w:r w:rsidR="00672D75" w:rsidRPr="005A19A9">
        <w:t>this instrument</w:t>
      </w:r>
      <w:r w:rsidRPr="005A19A9">
        <w:t>.</w:t>
      </w:r>
    </w:p>
    <w:p w14:paraId="3F409335" w14:textId="77777777" w:rsidR="00BF6650" w:rsidRPr="005A19A9" w:rsidRDefault="00BF6650" w:rsidP="00BF6650">
      <w:pPr>
        <w:pStyle w:val="ActHead5"/>
      </w:pPr>
      <w:bookmarkStart w:id="3" w:name="_Toc118454385"/>
      <w:r w:rsidRPr="00C01202">
        <w:rPr>
          <w:rStyle w:val="CharSectno"/>
        </w:rPr>
        <w:t>3</w:t>
      </w:r>
      <w:r w:rsidRPr="005A19A9">
        <w:t xml:space="preserve">  Authority</w:t>
      </w:r>
      <w:bookmarkEnd w:id="3"/>
    </w:p>
    <w:p w14:paraId="2B5C329E" w14:textId="77777777" w:rsidR="00BF6650" w:rsidRPr="005A19A9" w:rsidRDefault="00BF6650" w:rsidP="00BF6650">
      <w:pPr>
        <w:pStyle w:val="subsection"/>
      </w:pPr>
      <w:r w:rsidRPr="005A19A9">
        <w:tab/>
      </w:r>
      <w:r w:rsidRPr="005A19A9">
        <w:tab/>
      </w:r>
      <w:r w:rsidR="00672D75" w:rsidRPr="005A19A9">
        <w:t>This instrument is</w:t>
      </w:r>
      <w:r w:rsidRPr="005A19A9">
        <w:t xml:space="preserve"> made under the </w:t>
      </w:r>
      <w:r w:rsidR="00672D75" w:rsidRPr="005A19A9">
        <w:rPr>
          <w:i/>
          <w:iCs/>
          <w:color w:val="000000"/>
          <w:szCs w:val="22"/>
          <w:shd w:val="clear" w:color="auto" w:fill="FFFFFF"/>
        </w:rPr>
        <w:t>Ozone Protection and Synthetic Greenhouse Gas Management Act 1989</w:t>
      </w:r>
      <w:r w:rsidR="00546FA3" w:rsidRPr="005A19A9">
        <w:t>.</w:t>
      </w:r>
    </w:p>
    <w:p w14:paraId="0B0EB37D" w14:textId="77777777" w:rsidR="00557C7A" w:rsidRPr="005A19A9" w:rsidRDefault="00BF6650" w:rsidP="00557C7A">
      <w:pPr>
        <w:pStyle w:val="ActHead5"/>
      </w:pPr>
      <w:bookmarkStart w:id="4" w:name="_Toc118454386"/>
      <w:r w:rsidRPr="00C01202">
        <w:rPr>
          <w:rStyle w:val="CharSectno"/>
        </w:rPr>
        <w:t>4</w:t>
      </w:r>
      <w:r w:rsidR="00557C7A" w:rsidRPr="005A19A9">
        <w:t xml:space="preserve">  </w:t>
      </w:r>
      <w:r w:rsidR="00083F48" w:rsidRPr="005A19A9">
        <w:t>Schedules</w:t>
      </w:r>
      <w:bookmarkEnd w:id="4"/>
    </w:p>
    <w:p w14:paraId="4E087EF4" w14:textId="77777777" w:rsidR="00557C7A" w:rsidRPr="005A19A9" w:rsidRDefault="00557C7A" w:rsidP="00557C7A">
      <w:pPr>
        <w:pStyle w:val="subsection"/>
      </w:pPr>
      <w:r w:rsidRPr="005A19A9">
        <w:tab/>
      </w:r>
      <w:r w:rsidRPr="005A19A9">
        <w:tab/>
      </w:r>
      <w:r w:rsidR="00083F48" w:rsidRPr="005A19A9">
        <w:t xml:space="preserve">Each </w:t>
      </w:r>
      <w:r w:rsidR="00160BD7" w:rsidRPr="005A19A9">
        <w:t>instrument</w:t>
      </w:r>
      <w:r w:rsidR="00083F48" w:rsidRPr="005A19A9">
        <w:t xml:space="preserve"> that is specified in a Schedule to </w:t>
      </w:r>
      <w:r w:rsidR="00672D75" w:rsidRPr="005A19A9">
        <w:t>this instrument</w:t>
      </w:r>
      <w:r w:rsidR="00083F48" w:rsidRPr="005A19A9">
        <w:t xml:space="preserve"> is amended or repealed as set out in the applicable items in the Schedule concerned, and any other item in a Schedule to </w:t>
      </w:r>
      <w:r w:rsidR="00672D75" w:rsidRPr="005A19A9">
        <w:t>this instrument</w:t>
      </w:r>
      <w:r w:rsidR="00083F48" w:rsidRPr="005A19A9">
        <w:t xml:space="preserve"> has effect according to its terms.</w:t>
      </w:r>
    </w:p>
    <w:p w14:paraId="36FB277D" w14:textId="77777777" w:rsidR="0048364F" w:rsidRPr="005A19A9" w:rsidRDefault="005A19A9" w:rsidP="009C5989">
      <w:pPr>
        <w:pStyle w:val="ActHead6"/>
        <w:pageBreakBefore/>
      </w:pPr>
      <w:bookmarkStart w:id="5" w:name="_Toc118454387"/>
      <w:r w:rsidRPr="00C01202">
        <w:rPr>
          <w:rStyle w:val="CharAmSchNo"/>
        </w:rPr>
        <w:lastRenderedPageBreak/>
        <w:t>Schedule 1</w:t>
      </w:r>
      <w:r w:rsidR="0048364F" w:rsidRPr="005A19A9">
        <w:t>—</w:t>
      </w:r>
      <w:r w:rsidR="00460499" w:rsidRPr="00C01202">
        <w:rPr>
          <w:rStyle w:val="CharAmSchText"/>
        </w:rPr>
        <w:t>Amendments</w:t>
      </w:r>
      <w:bookmarkEnd w:id="5"/>
    </w:p>
    <w:p w14:paraId="5C26BFE0" w14:textId="77777777" w:rsidR="001C5F53" w:rsidRPr="005A19A9" w:rsidRDefault="003B4A84" w:rsidP="001C5F53">
      <w:pPr>
        <w:pStyle w:val="ActHead7"/>
      </w:pPr>
      <w:bookmarkStart w:id="6" w:name="_Toc118454388"/>
      <w:r w:rsidRPr="00C01202">
        <w:rPr>
          <w:rStyle w:val="CharAmPartNo"/>
        </w:rPr>
        <w:t>Part 1</w:t>
      </w:r>
      <w:r w:rsidR="001C5F53" w:rsidRPr="005A19A9">
        <w:t>—</w:t>
      </w:r>
      <w:r w:rsidR="001C5F53" w:rsidRPr="00C01202">
        <w:rPr>
          <w:rStyle w:val="CharAmPartText"/>
        </w:rPr>
        <w:t xml:space="preserve">Amendments to reserve </w:t>
      </w:r>
      <w:proofErr w:type="spellStart"/>
      <w:r w:rsidR="001C5F53" w:rsidRPr="00C01202">
        <w:rPr>
          <w:rStyle w:val="CharAmPartText"/>
        </w:rPr>
        <w:t>HFC</w:t>
      </w:r>
      <w:proofErr w:type="spellEnd"/>
      <w:r w:rsidR="001C5F53" w:rsidRPr="00C01202">
        <w:rPr>
          <w:rStyle w:val="CharAmPartText"/>
        </w:rPr>
        <w:t xml:space="preserve"> quotas</w:t>
      </w:r>
      <w:bookmarkEnd w:id="6"/>
    </w:p>
    <w:p w14:paraId="559BC991" w14:textId="77777777" w:rsidR="0084172C" w:rsidRPr="005A19A9" w:rsidRDefault="00672D75" w:rsidP="00320ECB">
      <w:pPr>
        <w:pStyle w:val="ActHead9"/>
      </w:pPr>
      <w:bookmarkStart w:id="7" w:name="_Toc118454389"/>
      <w:r w:rsidRPr="005A19A9">
        <w:t xml:space="preserve">Ozone Protection and Synthetic Greenhouse Gas Management </w:t>
      </w:r>
      <w:r w:rsidR="00231DF4" w:rsidRPr="005A19A9">
        <w:t>Regulations 1</w:t>
      </w:r>
      <w:r w:rsidRPr="005A19A9">
        <w:t>995</w:t>
      </w:r>
      <w:bookmarkEnd w:id="7"/>
    </w:p>
    <w:p w14:paraId="5490ADAB" w14:textId="77777777" w:rsidR="00737FFE" w:rsidRPr="005A19A9" w:rsidRDefault="001E419E" w:rsidP="00672D75">
      <w:pPr>
        <w:pStyle w:val="ItemHead"/>
      </w:pPr>
      <w:r w:rsidRPr="005A19A9">
        <w:t>1</w:t>
      </w:r>
      <w:r w:rsidR="00737FFE" w:rsidRPr="005A19A9">
        <w:t xml:space="preserve">  </w:t>
      </w:r>
      <w:r w:rsidR="009A3BF7" w:rsidRPr="005A19A9">
        <w:t>Regulation 4</w:t>
      </w:r>
      <w:r w:rsidR="00737FFE" w:rsidRPr="005A19A9">
        <w:t>0</w:t>
      </w:r>
    </w:p>
    <w:p w14:paraId="4D636BD6" w14:textId="77777777" w:rsidR="00737FFE" w:rsidRPr="005A19A9" w:rsidRDefault="00803065" w:rsidP="00737FFE">
      <w:pPr>
        <w:pStyle w:val="Item"/>
      </w:pPr>
      <w:r w:rsidRPr="005A19A9">
        <w:t>Omit:</w:t>
      </w:r>
    </w:p>
    <w:p w14:paraId="7A2CCE1A" w14:textId="77777777" w:rsidR="00803065" w:rsidRPr="005A19A9" w:rsidRDefault="00803065" w:rsidP="00803065">
      <w:pPr>
        <w:pStyle w:val="SOText"/>
      </w:pPr>
      <w:r w:rsidRPr="005A19A9">
        <w:t xml:space="preserve">Reserve </w:t>
      </w:r>
      <w:proofErr w:type="spellStart"/>
      <w:r w:rsidRPr="005A19A9">
        <w:t>HFC</w:t>
      </w:r>
      <w:proofErr w:type="spellEnd"/>
      <w:r w:rsidRPr="005A19A9">
        <w:t xml:space="preserve"> quotas may be allocated for 2022. A person may apply for a reserve </w:t>
      </w:r>
      <w:proofErr w:type="spellStart"/>
      <w:r w:rsidRPr="005A19A9">
        <w:t>HFC</w:t>
      </w:r>
      <w:proofErr w:type="spellEnd"/>
      <w:r w:rsidRPr="005A19A9">
        <w:t xml:space="preserve"> quota for 2022 if the person:</w:t>
      </w:r>
    </w:p>
    <w:p w14:paraId="23EBA1B9" w14:textId="77777777" w:rsidR="00803065" w:rsidRPr="005A19A9" w:rsidRDefault="00803065" w:rsidP="00803065">
      <w:pPr>
        <w:pStyle w:val="SOPara"/>
      </w:pPr>
      <w:r w:rsidRPr="005A19A9">
        <w:tab/>
        <w:t>(a)</w:t>
      </w:r>
      <w:r w:rsidRPr="005A19A9">
        <w:tab/>
        <w:t xml:space="preserve">holds </w:t>
      </w:r>
      <w:proofErr w:type="spellStart"/>
      <w:r w:rsidRPr="005A19A9">
        <w:t>SGG</w:t>
      </w:r>
      <w:proofErr w:type="spellEnd"/>
      <w:r w:rsidRPr="005A19A9">
        <w:t xml:space="preserve"> licences for 2021 and 2022; and</w:t>
      </w:r>
    </w:p>
    <w:p w14:paraId="21A80DCD" w14:textId="77777777" w:rsidR="00803065" w:rsidRPr="005A19A9" w:rsidRDefault="00803065" w:rsidP="00803065">
      <w:pPr>
        <w:pStyle w:val="SOPara"/>
      </w:pPr>
      <w:r w:rsidRPr="005A19A9">
        <w:tab/>
        <w:t>(b)</w:t>
      </w:r>
      <w:r w:rsidRPr="005A19A9">
        <w:tab/>
        <w:t xml:space="preserve">has been allocated an </w:t>
      </w:r>
      <w:proofErr w:type="spellStart"/>
      <w:r w:rsidRPr="005A19A9">
        <w:t>HFC</w:t>
      </w:r>
      <w:proofErr w:type="spellEnd"/>
      <w:r w:rsidRPr="005A19A9">
        <w:t xml:space="preserve"> quota for 2021.</w:t>
      </w:r>
    </w:p>
    <w:p w14:paraId="472631E9" w14:textId="77777777" w:rsidR="00803065" w:rsidRPr="005A19A9" w:rsidRDefault="00803065" w:rsidP="00803065">
      <w:pPr>
        <w:pStyle w:val="SOText"/>
      </w:pPr>
      <w:r w:rsidRPr="005A19A9">
        <w:t xml:space="preserve">The Minister may allocate a person a reserve </w:t>
      </w:r>
      <w:proofErr w:type="spellStart"/>
      <w:r w:rsidRPr="005A19A9">
        <w:t>HFC</w:t>
      </w:r>
      <w:proofErr w:type="spellEnd"/>
      <w:r w:rsidRPr="005A19A9">
        <w:t xml:space="preserve"> quota for 2022 if:</w:t>
      </w:r>
    </w:p>
    <w:p w14:paraId="1F559994" w14:textId="77777777" w:rsidR="00803065" w:rsidRPr="005A19A9" w:rsidRDefault="00803065" w:rsidP="00803065">
      <w:pPr>
        <w:pStyle w:val="SOPara"/>
      </w:pPr>
      <w:r w:rsidRPr="005A19A9">
        <w:tab/>
        <w:t>(a)</w:t>
      </w:r>
      <w:r w:rsidRPr="005A19A9">
        <w:tab/>
        <w:t>the person applies for the quota; and</w:t>
      </w:r>
    </w:p>
    <w:p w14:paraId="31F185C1" w14:textId="77777777" w:rsidR="00803065" w:rsidRPr="005A19A9" w:rsidRDefault="00803065" w:rsidP="00803065">
      <w:pPr>
        <w:pStyle w:val="SOPara"/>
      </w:pPr>
      <w:r w:rsidRPr="005A19A9">
        <w:tab/>
        <w:t>(b)</w:t>
      </w:r>
      <w:r w:rsidRPr="005A19A9">
        <w:tab/>
        <w:t xml:space="preserve">the person ordered one or more consignments of </w:t>
      </w:r>
      <w:proofErr w:type="spellStart"/>
      <w:r w:rsidRPr="005A19A9">
        <w:t>HFCs</w:t>
      </w:r>
      <w:proofErr w:type="spellEnd"/>
      <w:r w:rsidRPr="005A19A9">
        <w:t xml:space="preserve"> before </w:t>
      </w:r>
      <w:r w:rsidR="009A3BF7" w:rsidRPr="005A19A9">
        <w:t>1 October</w:t>
      </w:r>
      <w:r w:rsidRPr="005A19A9">
        <w:t xml:space="preserve"> 2021; and</w:t>
      </w:r>
    </w:p>
    <w:p w14:paraId="19A4FF6D" w14:textId="77777777" w:rsidR="00803065" w:rsidRPr="005A19A9" w:rsidRDefault="00803065" w:rsidP="00803065">
      <w:pPr>
        <w:pStyle w:val="SOPara"/>
      </w:pPr>
      <w:r w:rsidRPr="005A19A9">
        <w:tab/>
        <w:t>(c)</w:t>
      </w:r>
      <w:r w:rsidRPr="005A19A9">
        <w:tab/>
        <w:t>at the time the order was placed, it was reasonable to expect that the consignments would be imported in 2021; and</w:t>
      </w:r>
    </w:p>
    <w:p w14:paraId="69E7C8EB" w14:textId="77777777" w:rsidR="00803065" w:rsidRPr="005A19A9" w:rsidRDefault="00803065" w:rsidP="00803065">
      <w:pPr>
        <w:pStyle w:val="SOPara"/>
      </w:pPr>
      <w:r w:rsidRPr="005A19A9">
        <w:tab/>
        <w:t>(d)</w:t>
      </w:r>
      <w:r w:rsidRPr="005A19A9">
        <w:tab/>
        <w:t>the delivery of the consignments was delayed, or is likely to be delayed, until 2022 for reasons beyond the person’s control; and</w:t>
      </w:r>
    </w:p>
    <w:p w14:paraId="7C13D4C8" w14:textId="77777777" w:rsidR="00803065" w:rsidRPr="005A19A9" w:rsidRDefault="00803065" w:rsidP="00803065">
      <w:pPr>
        <w:pStyle w:val="SOPara"/>
      </w:pPr>
      <w:r w:rsidRPr="005A19A9">
        <w:tab/>
        <w:t>(e)</w:t>
      </w:r>
      <w:r w:rsidRPr="005A19A9">
        <w:tab/>
        <w:t xml:space="preserve">the sum of the quantity of </w:t>
      </w:r>
      <w:proofErr w:type="spellStart"/>
      <w:r w:rsidRPr="005A19A9">
        <w:t>HFCs</w:t>
      </w:r>
      <w:proofErr w:type="spellEnd"/>
      <w:r w:rsidRPr="005A19A9">
        <w:t xml:space="preserve"> involved in the person’s regulated </w:t>
      </w:r>
      <w:proofErr w:type="spellStart"/>
      <w:r w:rsidRPr="005A19A9">
        <w:t>HFC</w:t>
      </w:r>
      <w:proofErr w:type="spellEnd"/>
      <w:r w:rsidRPr="005A19A9">
        <w:t xml:space="preserve"> activities for 2021 and the quantity of </w:t>
      </w:r>
      <w:proofErr w:type="spellStart"/>
      <w:r w:rsidRPr="005A19A9">
        <w:t>HFCs</w:t>
      </w:r>
      <w:proofErr w:type="spellEnd"/>
      <w:r w:rsidRPr="005A19A9">
        <w:t xml:space="preserve"> in the consignments will not be more than the person’s </w:t>
      </w:r>
      <w:proofErr w:type="spellStart"/>
      <w:r w:rsidRPr="005A19A9">
        <w:t>HFC</w:t>
      </w:r>
      <w:proofErr w:type="spellEnd"/>
      <w:r w:rsidRPr="005A19A9">
        <w:t xml:space="preserve"> quota for 2021.</w:t>
      </w:r>
    </w:p>
    <w:p w14:paraId="1FD6EEB3" w14:textId="77777777" w:rsidR="00803065" w:rsidRPr="005A19A9" w:rsidRDefault="00E955F5" w:rsidP="00803065">
      <w:pPr>
        <w:pStyle w:val="Item"/>
      </w:pPr>
      <w:r w:rsidRPr="005A19A9">
        <w:t>s</w:t>
      </w:r>
      <w:r w:rsidR="00803065" w:rsidRPr="005A19A9">
        <w:t>ubstitute:</w:t>
      </w:r>
    </w:p>
    <w:p w14:paraId="13900E30" w14:textId="77777777" w:rsidR="00803065" w:rsidRPr="005A19A9" w:rsidRDefault="00803065" w:rsidP="00803065">
      <w:pPr>
        <w:pStyle w:val="SOText"/>
      </w:pPr>
      <w:bookmarkStart w:id="8" w:name="_Hlk117178875"/>
      <w:r w:rsidRPr="005A19A9">
        <w:t xml:space="preserve">Reserve </w:t>
      </w:r>
      <w:proofErr w:type="spellStart"/>
      <w:r w:rsidRPr="005A19A9">
        <w:t>HFC</w:t>
      </w:r>
      <w:proofErr w:type="spellEnd"/>
      <w:r w:rsidRPr="005A19A9">
        <w:t xml:space="preserve"> quotas may be allocated for a calendar year. A person may apply for a reserve </w:t>
      </w:r>
      <w:proofErr w:type="spellStart"/>
      <w:r w:rsidRPr="005A19A9">
        <w:t>HFC</w:t>
      </w:r>
      <w:proofErr w:type="spellEnd"/>
      <w:r w:rsidRPr="005A19A9">
        <w:t xml:space="preserve"> quota for the calendar year if the person:</w:t>
      </w:r>
    </w:p>
    <w:p w14:paraId="187D1404" w14:textId="77777777" w:rsidR="00803065" w:rsidRPr="005A19A9" w:rsidRDefault="00803065" w:rsidP="00803065">
      <w:pPr>
        <w:pStyle w:val="SOPara"/>
      </w:pPr>
      <w:r w:rsidRPr="005A19A9">
        <w:tab/>
        <w:t>(a)</w:t>
      </w:r>
      <w:r w:rsidRPr="005A19A9">
        <w:tab/>
        <w:t xml:space="preserve">holds </w:t>
      </w:r>
      <w:proofErr w:type="spellStart"/>
      <w:r w:rsidRPr="005A19A9">
        <w:t>SGG</w:t>
      </w:r>
      <w:proofErr w:type="spellEnd"/>
      <w:r w:rsidRPr="005A19A9">
        <w:t xml:space="preserve"> licences that cover the </w:t>
      </w:r>
      <w:r w:rsidR="00076745" w:rsidRPr="005A19A9">
        <w:t xml:space="preserve">calendar year and </w:t>
      </w:r>
      <w:r w:rsidR="00522534" w:rsidRPr="005A19A9">
        <w:t xml:space="preserve">the </w:t>
      </w:r>
      <w:r w:rsidRPr="005A19A9">
        <w:t>previous calendar year; and</w:t>
      </w:r>
    </w:p>
    <w:p w14:paraId="1175A95C" w14:textId="77777777" w:rsidR="00803065" w:rsidRPr="005A19A9" w:rsidRDefault="00803065" w:rsidP="00803065">
      <w:pPr>
        <w:pStyle w:val="SOPara"/>
      </w:pPr>
      <w:r w:rsidRPr="005A19A9">
        <w:tab/>
        <w:t>(b)</w:t>
      </w:r>
      <w:r w:rsidRPr="005A19A9">
        <w:tab/>
        <w:t xml:space="preserve">has been allocated an </w:t>
      </w:r>
      <w:proofErr w:type="spellStart"/>
      <w:r w:rsidRPr="005A19A9">
        <w:t>HFC</w:t>
      </w:r>
      <w:proofErr w:type="spellEnd"/>
      <w:r w:rsidRPr="005A19A9">
        <w:t xml:space="preserve"> quota for th</w:t>
      </w:r>
      <w:r w:rsidR="00522534" w:rsidRPr="005A19A9">
        <w:t>at</w:t>
      </w:r>
      <w:r w:rsidR="00E955F5" w:rsidRPr="005A19A9">
        <w:t xml:space="preserve"> </w:t>
      </w:r>
      <w:r w:rsidRPr="005A19A9">
        <w:t>previous calendar year.</w:t>
      </w:r>
    </w:p>
    <w:p w14:paraId="69EEE1F8" w14:textId="77777777" w:rsidR="00803065" w:rsidRPr="005A19A9" w:rsidRDefault="00803065" w:rsidP="00803065">
      <w:pPr>
        <w:pStyle w:val="SOText"/>
      </w:pPr>
      <w:r w:rsidRPr="005A19A9">
        <w:t xml:space="preserve">The Minister may allocate a person a reserve </w:t>
      </w:r>
      <w:proofErr w:type="spellStart"/>
      <w:r w:rsidRPr="005A19A9">
        <w:t>HFC</w:t>
      </w:r>
      <w:proofErr w:type="spellEnd"/>
      <w:r w:rsidRPr="005A19A9">
        <w:t xml:space="preserve"> quota for the calendar year if:</w:t>
      </w:r>
    </w:p>
    <w:p w14:paraId="0C5FE61A" w14:textId="77777777" w:rsidR="00803065" w:rsidRPr="005A19A9" w:rsidRDefault="00803065" w:rsidP="00803065">
      <w:pPr>
        <w:pStyle w:val="SOPara"/>
      </w:pPr>
      <w:r w:rsidRPr="005A19A9">
        <w:tab/>
        <w:t>(a)</w:t>
      </w:r>
      <w:r w:rsidRPr="005A19A9">
        <w:tab/>
        <w:t>the person applies for the quota; and</w:t>
      </w:r>
    </w:p>
    <w:p w14:paraId="560B2259" w14:textId="77777777" w:rsidR="00803065" w:rsidRPr="005A19A9" w:rsidRDefault="00803065" w:rsidP="00803065">
      <w:pPr>
        <w:pStyle w:val="SOPara"/>
      </w:pPr>
      <w:r w:rsidRPr="005A19A9">
        <w:tab/>
        <w:t>(b)</w:t>
      </w:r>
      <w:r w:rsidRPr="005A19A9">
        <w:tab/>
        <w:t xml:space="preserve">the person ordered one or more consignments of </w:t>
      </w:r>
      <w:proofErr w:type="spellStart"/>
      <w:r w:rsidRPr="005A19A9">
        <w:t>HFCs</w:t>
      </w:r>
      <w:proofErr w:type="spellEnd"/>
      <w:r w:rsidRPr="005A19A9">
        <w:t xml:space="preserve"> before </w:t>
      </w:r>
      <w:r w:rsidR="009A3BF7" w:rsidRPr="005A19A9">
        <w:t>1 October</w:t>
      </w:r>
      <w:r w:rsidRPr="005A19A9">
        <w:t xml:space="preserve"> of the previous calendar year; and</w:t>
      </w:r>
    </w:p>
    <w:p w14:paraId="0431A54D" w14:textId="77777777" w:rsidR="00803065" w:rsidRPr="005A19A9" w:rsidRDefault="00803065" w:rsidP="00803065">
      <w:pPr>
        <w:pStyle w:val="SOPara"/>
      </w:pPr>
      <w:r w:rsidRPr="005A19A9">
        <w:tab/>
        <w:t>(c)</w:t>
      </w:r>
      <w:r w:rsidRPr="005A19A9">
        <w:tab/>
        <w:t>at the time the order was placed, it was reasonable to expect that the consignments would be imported in th</w:t>
      </w:r>
      <w:r w:rsidR="00322B48" w:rsidRPr="005A19A9">
        <w:t>at</w:t>
      </w:r>
      <w:r w:rsidR="00E955F5" w:rsidRPr="005A19A9">
        <w:t xml:space="preserve"> previous</w:t>
      </w:r>
      <w:r w:rsidRPr="005A19A9">
        <w:t xml:space="preserve"> calendar year; and</w:t>
      </w:r>
    </w:p>
    <w:p w14:paraId="7F9F1CD6" w14:textId="77777777" w:rsidR="00803065" w:rsidRPr="005A19A9" w:rsidRDefault="00803065" w:rsidP="00803065">
      <w:pPr>
        <w:pStyle w:val="SOPara"/>
      </w:pPr>
      <w:r w:rsidRPr="005A19A9">
        <w:tab/>
        <w:t>(d)</w:t>
      </w:r>
      <w:r w:rsidRPr="005A19A9">
        <w:tab/>
        <w:t>the delivery of the consignments was delayed, or is likely to be delayed, for reasons beyond the person’s control; and</w:t>
      </w:r>
    </w:p>
    <w:p w14:paraId="162241D8" w14:textId="77777777" w:rsidR="00803065" w:rsidRPr="005A19A9" w:rsidRDefault="00803065" w:rsidP="00803065">
      <w:pPr>
        <w:pStyle w:val="SOPara"/>
      </w:pPr>
      <w:r w:rsidRPr="005A19A9">
        <w:tab/>
        <w:t>(e)</w:t>
      </w:r>
      <w:r w:rsidRPr="005A19A9">
        <w:tab/>
        <w:t xml:space="preserve">the sum of the quantity of </w:t>
      </w:r>
      <w:proofErr w:type="spellStart"/>
      <w:r w:rsidRPr="005A19A9">
        <w:t>HFCs</w:t>
      </w:r>
      <w:proofErr w:type="spellEnd"/>
      <w:r w:rsidRPr="005A19A9">
        <w:t xml:space="preserve"> involved in the person’s regulated </w:t>
      </w:r>
      <w:proofErr w:type="spellStart"/>
      <w:r w:rsidRPr="005A19A9">
        <w:t>HFC</w:t>
      </w:r>
      <w:proofErr w:type="spellEnd"/>
      <w:r w:rsidRPr="005A19A9">
        <w:t xml:space="preserve"> activities for</w:t>
      </w:r>
      <w:r w:rsidR="00E955F5" w:rsidRPr="005A19A9">
        <w:t xml:space="preserve"> th</w:t>
      </w:r>
      <w:r w:rsidR="00057F54" w:rsidRPr="005A19A9">
        <w:t>at</w:t>
      </w:r>
      <w:r w:rsidR="00E955F5" w:rsidRPr="005A19A9">
        <w:t xml:space="preserve"> previous calendar year</w:t>
      </w:r>
      <w:r w:rsidRPr="005A19A9">
        <w:t xml:space="preserve"> and the quantity of </w:t>
      </w:r>
      <w:proofErr w:type="spellStart"/>
      <w:r w:rsidRPr="005A19A9">
        <w:t>HFCs</w:t>
      </w:r>
      <w:proofErr w:type="spellEnd"/>
      <w:r w:rsidRPr="005A19A9">
        <w:t xml:space="preserve"> in the consignments will not be more than the person’s </w:t>
      </w:r>
      <w:proofErr w:type="spellStart"/>
      <w:r w:rsidRPr="005A19A9">
        <w:t>HFC</w:t>
      </w:r>
      <w:proofErr w:type="spellEnd"/>
      <w:r w:rsidRPr="005A19A9">
        <w:t xml:space="preserve"> quota for</w:t>
      </w:r>
      <w:r w:rsidR="00E955F5" w:rsidRPr="005A19A9">
        <w:t xml:space="preserve"> th</w:t>
      </w:r>
      <w:r w:rsidR="008F6246" w:rsidRPr="005A19A9">
        <w:t>at</w:t>
      </w:r>
      <w:r w:rsidRPr="005A19A9">
        <w:t xml:space="preserve"> </w:t>
      </w:r>
      <w:r w:rsidR="00E955F5" w:rsidRPr="005A19A9">
        <w:t>previous calendar year</w:t>
      </w:r>
      <w:r w:rsidRPr="005A19A9">
        <w:t>.</w:t>
      </w:r>
    </w:p>
    <w:bookmarkEnd w:id="8"/>
    <w:p w14:paraId="3B44B7F0" w14:textId="77777777" w:rsidR="00E955F5" w:rsidRPr="005A19A9" w:rsidRDefault="001E419E" w:rsidP="00672D75">
      <w:pPr>
        <w:pStyle w:val="ItemHead"/>
      </w:pPr>
      <w:r w:rsidRPr="005A19A9">
        <w:lastRenderedPageBreak/>
        <w:t>2</w:t>
      </w:r>
      <w:r w:rsidR="00E955F5" w:rsidRPr="005A19A9">
        <w:t xml:space="preserve">  </w:t>
      </w:r>
      <w:proofErr w:type="spellStart"/>
      <w:r w:rsidR="009A3BF7" w:rsidRPr="005A19A9">
        <w:t>Subregulation</w:t>
      </w:r>
      <w:proofErr w:type="spellEnd"/>
      <w:r w:rsidR="009A3BF7" w:rsidRPr="005A19A9">
        <w:t> 5</w:t>
      </w:r>
      <w:r w:rsidR="00E955F5" w:rsidRPr="005A19A9">
        <w:t>0(5)</w:t>
      </w:r>
    </w:p>
    <w:p w14:paraId="56513C11" w14:textId="77777777" w:rsidR="00E955F5" w:rsidRPr="005A19A9" w:rsidRDefault="00E955F5" w:rsidP="00E955F5">
      <w:pPr>
        <w:pStyle w:val="Item"/>
      </w:pPr>
      <w:r w:rsidRPr="005A19A9">
        <w:t xml:space="preserve">Repeal the </w:t>
      </w:r>
      <w:proofErr w:type="spellStart"/>
      <w:r w:rsidR="00DB3703" w:rsidRPr="005A19A9">
        <w:t>subregulation</w:t>
      </w:r>
      <w:proofErr w:type="spellEnd"/>
      <w:r w:rsidR="00044CF5" w:rsidRPr="005A19A9">
        <w:t xml:space="preserve"> (including the note)</w:t>
      </w:r>
      <w:r w:rsidRPr="005A19A9">
        <w:t>, substitute:</w:t>
      </w:r>
    </w:p>
    <w:p w14:paraId="057A35C4" w14:textId="77777777" w:rsidR="00E955F5" w:rsidRPr="005A19A9" w:rsidRDefault="00E955F5" w:rsidP="00E955F5">
      <w:pPr>
        <w:pStyle w:val="SubsectionHead"/>
      </w:pPr>
      <w:bookmarkStart w:id="9" w:name="_Hlk117177848"/>
      <w:r w:rsidRPr="005A19A9">
        <w:t xml:space="preserve">Annual amount of licensed activities—effect of allocation of reserve </w:t>
      </w:r>
      <w:proofErr w:type="spellStart"/>
      <w:r w:rsidRPr="005A19A9">
        <w:t>HFC</w:t>
      </w:r>
      <w:proofErr w:type="spellEnd"/>
      <w:r w:rsidRPr="005A19A9">
        <w:t xml:space="preserve"> </w:t>
      </w:r>
      <w:r w:rsidR="00044CF5" w:rsidRPr="005A19A9">
        <w:t>quota</w:t>
      </w:r>
    </w:p>
    <w:p w14:paraId="3C6D4EA9" w14:textId="77777777" w:rsidR="00E955F5" w:rsidRPr="005A19A9" w:rsidRDefault="00E955F5" w:rsidP="00E955F5">
      <w:pPr>
        <w:pStyle w:val="subsection"/>
      </w:pPr>
      <w:r w:rsidRPr="005A19A9">
        <w:tab/>
        <w:t>(5)</w:t>
      </w:r>
      <w:r w:rsidRPr="005A19A9">
        <w:tab/>
        <w:t xml:space="preserve">For the purposes of </w:t>
      </w:r>
      <w:r w:rsidR="003B4A84" w:rsidRPr="005A19A9">
        <w:t>paragraph (</w:t>
      </w:r>
      <w:r w:rsidRPr="005A19A9">
        <w:t>4)(b), if:</w:t>
      </w:r>
    </w:p>
    <w:p w14:paraId="486F748C" w14:textId="77777777" w:rsidR="00E955F5" w:rsidRPr="005A19A9" w:rsidRDefault="00E955F5" w:rsidP="00E955F5">
      <w:pPr>
        <w:pStyle w:val="paragraph"/>
      </w:pPr>
      <w:r w:rsidRPr="005A19A9">
        <w:tab/>
        <w:t>(a)</w:t>
      </w:r>
      <w:r w:rsidRPr="005A19A9">
        <w:tab/>
        <w:t xml:space="preserve">the person is allocated reserved </w:t>
      </w:r>
      <w:proofErr w:type="spellStart"/>
      <w:r w:rsidRPr="005A19A9">
        <w:t>HFC</w:t>
      </w:r>
      <w:proofErr w:type="spellEnd"/>
      <w:r w:rsidRPr="005A19A9">
        <w:t xml:space="preserve"> quota for a calendar year </w:t>
      </w:r>
      <w:r w:rsidR="00B61B03" w:rsidRPr="005A19A9">
        <w:t xml:space="preserve">(the </w:t>
      </w:r>
      <w:r w:rsidR="00B61B03" w:rsidRPr="005A19A9">
        <w:rPr>
          <w:b/>
          <w:i/>
        </w:rPr>
        <w:t>current year</w:t>
      </w:r>
      <w:r w:rsidR="00B61B03" w:rsidRPr="005A19A9">
        <w:t xml:space="preserve">) </w:t>
      </w:r>
      <w:r w:rsidRPr="005A19A9">
        <w:t xml:space="preserve">in respect of a consignment of </w:t>
      </w:r>
      <w:proofErr w:type="spellStart"/>
      <w:r w:rsidRPr="005A19A9">
        <w:t>HFCs</w:t>
      </w:r>
      <w:proofErr w:type="spellEnd"/>
      <w:r w:rsidRPr="005A19A9">
        <w:t xml:space="preserve"> ordered before </w:t>
      </w:r>
      <w:r w:rsidR="009A3BF7" w:rsidRPr="005A19A9">
        <w:t>1 October</w:t>
      </w:r>
      <w:r w:rsidRPr="005A19A9">
        <w:t xml:space="preserve"> of the previous calendar year (see </w:t>
      </w:r>
      <w:r w:rsidR="00231DF4" w:rsidRPr="005A19A9">
        <w:t>paragraph 6</w:t>
      </w:r>
      <w:r w:rsidRPr="005A19A9">
        <w:t>2(1)(b)); and</w:t>
      </w:r>
    </w:p>
    <w:p w14:paraId="76D6FFD0" w14:textId="77777777" w:rsidR="00E955F5" w:rsidRPr="005A19A9" w:rsidRDefault="00E955F5" w:rsidP="00E955F5">
      <w:pPr>
        <w:pStyle w:val="paragraph"/>
      </w:pPr>
      <w:r w:rsidRPr="005A19A9">
        <w:tab/>
        <w:t>(b)</w:t>
      </w:r>
      <w:r w:rsidRPr="005A19A9">
        <w:tab/>
      </w:r>
      <w:r w:rsidR="00B61B03" w:rsidRPr="005A19A9">
        <w:t>the consignment is imported in the current year;</w:t>
      </w:r>
    </w:p>
    <w:p w14:paraId="3120D06A" w14:textId="77777777" w:rsidR="00B61B03" w:rsidRPr="005A19A9" w:rsidRDefault="00B61B03" w:rsidP="00B61B03">
      <w:pPr>
        <w:pStyle w:val="subsection2"/>
      </w:pPr>
      <w:r w:rsidRPr="005A19A9">
        <w:t>then the consignment is taken to have been imported in the previous calendar year rather than the current year.</w:t>
      </w:r>
    </w:p>
    <w:bookmarkEnd w:id="9"/>
    <w:p w14:paraId="52E8441B" w14:textId="77777777" w:rsidR="00672D75" w:rsidRPr="005A19A9" w:rsidRDefault="001E419E" w:rsidP="00672D75">
      <w:pPr>
        <w:pStyle w:val="ItemHead"/>
      </w:pPr>
      <w:r w:rsidRPr="005A19A9">
        <w:t>3</w:t>
      </w:r>
      <w:r w:rsidR="00BE74F2" w:rsidRPr="005A19A9">
        <w:t xml:space="preserve">  </w:t>
      </w:r>
      <w:r w:rsidR="003B4A84" w:rsidRPr="005A19A9">
        <w:t>Paragraph 6</w:t>
      </w:r>
      <w:r w:rsidR="00BE74F2" w:rsidRPr="005A19A9">
        <w:t>0(1)(a)</w:t>
      </w:r>
    </w:p>
    <w:p w14:paraId="3389923B" w14:textId="77777777" w:rsidR="00BE74F2" w:rsidRPr="005A19A9" w:rsidRDefault="00BE74F2" w:rsidP="00BE74F2">
      <w:pPr>
        <w:pStyle w:val="Item"/>
      </w:pPr>
      <w:r w:rsidRPr="005A19A9">
        <w:t>Omit “the 2022”, substitute “</w:t>
      </w:r>
      <w:bookmarkStart w:id="10" w:name="_Hlk117177849"/>
      <w:r w:rsidRPr="005A19A9">
        <w:t>a</w:t>
      </w:r>
      <w:bookmarkEnd w:id="10"/>
      <w:r w:rsidRPr="005A19A9">
        <w:t>”.</w:t>
      </w:r>
    </w:p>
    <w:p w14:paraId="3FBBB3C8" w14:textId="77777777" w:rsidR="00BE74F2" w:rsidRPr="005A19A9" w:rsidRDefault="001E419E" w:rsidP="00BE74F2">
      <w:pPr>
        <w:pStyle w:val="ItemHead"/>
      </w:pPr>
      <w:r w:rsidRPr="005A19A9">
        <w:t>4</w:t>
      </w:r>
      <w:r w:rsidR="00BE74F2" w:rsidRPr="005A19A9">
        <w:t xml:space="preserve">  </w:t>
      </w:r>
      <w:r w:rsidR="009A3BF7" w:rsidRPr="005A19A9">
        <w:t>Paragraph</w:t>
      </w:r>
      <w:r w:rsidR="00C66B7A" w:rsidRPr="005A19A9">
        <w:t>s</w:t>
      </w:r>
      <w:r w:rsidR="009A3BF7" w:rsidRPr="005A19A9">
        <w:t> 6</w:t>
      </w:r>
      <w:r w:rsidR="00BE74F2" w:rsidRPr="005A19A9">
        <w:t>0(1)</w:t>
      </w:r>
      <w:r w:rsidR="00C66B7A" w:rsidRPr="005A19A9">
        <w:t xml:space="preserve">(b) and </w:t>
      </w:r>
      <w:r w:rsidR="00BE74F2" w:rsidRPr="005A19A9">
        <w:t>(d)</w:t>
      </w:r>
    </w:p>
    <w:p w14:paraId="1EECCB09" w14:textId="77777777" w:rsidR="00BE74F2" w:rsidRPr="005A19A9" w:rsidRDefault="00BE74F2" w:rsidP="00BE74F2">
      <w:pPr>
        <w:pStyle w:val="Item"/>
      </w:pPr>
      <w:r w:rsidRPr="005A19A9">
        <w:t>Before “year”, insert “</w:t>
      </w:r>
      <w:bookmarkStart w:id="11" w:name="_Hlk117177850"/>
      <w:r w:rsidRPr="005A19A9">
        <w:t>calendar</w:t>
      </w:r>
      <w:bookmarkEnd w:id="11"/>
      <w:r w:rsidRPr="005A19A9">
        <w:t>”.</w:t>
      </w:r>
    </w:p>
    <w:p w14:paraId="7D35E7C4" w14:textId="77777777" w:rsidR="00BE74F2" w:rsidRPr="005A19A9" w:rsidRDefault="001E419E" w:rsidP="00BE74F2">
      <w:pPr>
        <w:pStyle w:val="ItemHead"/>
      </w:pPr>
      <w:r w:rsidRPr="005A19A9">
        <w:t>5</w:t>
      </w:r>
      <w:r w:rsidR="00BE74F2" w:rsidRPr="005A19A9">
        <w:t xml:space="preserve">  </w:t>
      </w:r>
      <w:proofErr w:type="spellStart"/>
      <w:r w:rsidR="00231DF4" w:rsidRPr="005A19A9">
        <w:t>Subregulation</w:t>
      </w:r>
      <w:proofErr w:type="spellEnd"/>
      <w:r w:rsidR="00231DF4" w:rsidRPr="005A19A9">
        <w:t> 6</w:t>
      </w:r>
      <w:r w:rsidR="00BE74F2" w:rsidRPr="005A19A9">
        <w:t>1(1)</w:t>
      </w:r>
    </w:p>
    <w:p w14:paraId="18093FB2" w14:textId="77777777" w:rsidR="00BE74F2" w:rsidRPr="005A19A9" w:rsidRDefault="00BE74F2" w:rsidP="00BE74F2">
      <w:pPr>
        <w:pStyle w:val="Item"/>
      </w:pPr>
      <w:r w:rsidRPr="005A19A9">
        <w:t>Omit “the 2022”, substitute “</w:t>
      </w:r>
      <w:bookmarkStart w:id="12" w:name="_Hlk117177851"/>
      <w:r w:rsidRPr="005A19A9">
        <w:t>a</w:t>
      </w:r>
      <w:bookmarkEnd w:id="12"/>
      <w:r w:rsidRPr="005A19A9">
        <w:t>”.</w:t>
      </w:r>
    </w:p>
    <w:p w14:paraId="35DD3BF3" w14:textId="77777777" w:rsidR="00BE74F2" w:rsidRPr="005A19A9" w:rsidRDefault="001E419E" w:rsidP="00BE74F2">
      <w:pPr>
        <w:pStyle w:val="ItemHead"/>
      </w:pPr>
      <w:r w:rsidRPr="005A19A9">
        <w:t>6</w:t>
      </w:r>
      <w:r w:rsidR="00BE74F2" w:rsidRPr="005A19A9">
        <w:t xml:space="preserve">  </w:t>
      </w:r>
      <w:r w:rsidR="003B4A84" w:rsidRPr="005A19A9">
        <w:t>Paragraph 6</w:t>
      </w:r>
      <w:r w:rsidR="00BE74F2" w:rsidRPr="005A19A9">
        <w:t>1(1)(a)</w:t>
      </w:r>
    </w:p>
    <w:p w14:paraId="03519A2B" w14:textId="77777777" w:rsidR="00BE74F2" w:rsidRPr="005A19A9" w:rsidRDefault="00BE74F2" w:rsidP="00BE74F2">
      <w:pPr>
        <w:pStyle w:val="Item"/>
      </w:pPr>
      <w:r w:rsidRPr="005A19A9">
        <w:t>Omit “2021 and 2022 calendar years”, substitute “</w:t>
      </w:r>
      <w:bookmarkStart w:id="13" w:name="_Hlk117177852"/>
      <w:r w:rsidR="0032106A" w:rsidRPr="005A19A9">
        <w:t xml:space="preserve">calendar year and the </w:t>
      </w:r>
      <w:r w:rsidRPr="005A19A9">
        <w:t>previous calendar year</w:t>
      </w:r>
      <w:bookmarkEnd w:id="13"/>
      <w:r w:rsidRPr="005A19A9">
        <w:t>”</w:t>
      </w:r>
      <w:r w:rsidR="003D7C9C" w:rsidRPr="005A19A9">
        <w:t>.</w:t>
      </w:r>
    </w:p>
    <w:p w14:paraId="6C9422A2" w14:textId="77777777" w:rsidR="003D7C9C" w:rsidRPr="005A19A9" w:rsidRDefault="001E419E" w:rsidP="003D7C9C">
      <w:pPr>
        <w:pStyle w:val="ItemHead"/>
      </w:pPr>
      <w:r w:rsidRPr="005A19A9">
        <w:t>7</w:t>
      </w:r>
      <w:r w:rsidR="003D7C9C" w:rsidRPr="005A19A9">
        <w:t xml:space="preserve">  </w:t>
      </w:r>
      <w:r w:rsidR="003B4A84" w:rsidRPr="005A19A9">
        <w:t>Paragraph 6</w:t>
      </w:r>
      <w:r w:rsidR="003D7C9C" w:rsidRPr="005A19A9">
        <w:t>1(1)(b)</w:t>
      </w:r>
    </w:p>
    <w:p w14:paraId="0A0197D8" w14:textId="77777777" w:rsidR="003D7C9C" w:rsidRPr="005A19A9" w:rsidRDefault="003D7C9C" w:rsidP="003D7C9C">
      <w:pPr>
        <w:pStyle w:val="Item"/>
      </w:pPr>
      <w:r w:rsidRPr="005A19A9">
        <w:t>Omit “2021”, substitute “</w:t>
      </w:r>
      <w:bookmarkStart w:id="14" w:name="_Hlk117177853"/>
      <w:r w:rsidRPr="005A19A9">
        <w:t>previous</w:t>
      </w:r>
      <w:bookmarkEnd w:id="14"/>
      <w:r w:rsidRPr="005A19A9">
        <w:t>”.</w:t>
      </w:r>
    </w:p>
    <w:p w14:paraId="7A2AEEBD" w14:textId="77777777" w:rsidR="003D7C9C" w:rsidRPr="005A19A9" w:rsidRDefault="001E419E" w:rsidP="003D7C9C">
      <w:pPr>
        <w:pStyle w:val="ItemHead"/>
      </w:pPr>
      <w:r w:rsidRPr="005A19A9">
        <w:t>8</w:t>
      </w:r>
      <w:r w:rsidR="003D7C9C" w:rsidRPr="005A19A9">
        <w:t xml:space="preserve">  </w:t>
      </w:r>
      <w:r w:rsidR="00231DF4" w:rsidRPr="005A19A9">
        <w:t>Sub</w:t>
      </w:r>
      <w:r w:rsidR="004F253D" w:rsidRPr="005A19A9">
        <w:t>paragraph</w:t>
      </w:r>
      <w:r w:rsidR="00231DF4" w:rsidRPr="005A19A9">
        <w:t> 6</w:t>
      </w:r>
      <w:r w:rsidR="003D7C9C" w:rsidRPr="005A19A9">
        <w:t>1(2)(b)(</w:t>
      </w:r>
      <w:proofErr w:type="spellStart"/>
      <w:r w:rsidR="003D7C9C" w:rsidRPr="005A19A9">
        <w:t>i</w:t>
      </w:r>
      <w:proofErr w:type="spellEnd"/>
      <w:r w:rsidR="003D7C9C" w:rsidRPr="005A19A9">
        <w:t>)</w:t>
      </w:r>
    </w:p>
    <w:p w14:paraId="5C15CE7B" w14:textId="77777777" w:rsidR="003D7C9C" w:rsidRPr="005A19A9" w:rsidRDefault="003D7C9C" w:rsidP="003D7C9C">
      <w:pPr>
        <w:pStyle w:val="Item"/>
      </w:pPr>
      <w:r w:rsidRPr="005A19A9">
        <w:t>Omit “2022 calendar year—</w:t>
      </w:r>
      <w:r w:rsidR="009A3BF7" w:rsidRPr="005A19A9">
        <w:t>1 December</w:t>
      </w:r>
      <w:r w:rsidRPr="005A19A9">
        <w:t xml:space="preserve"> 2021”, substitute “</w:t>
      </w:r>
      <w:bookmarkStart w:id="15" w:name="_Hlk117507424"/>
      <w:r w:rsidRPr="005A19A9">
        <w:t>calendar year—</w:t>
      </w:r>
      <w:r w:rsidR="009A3BF7" w:rsidRPr="005A19A9">
        <w:t>1 December</w:t>
      </w:r>
      <w:r w:rsidRPr="005A19A9">
        <w:t xml:space="preserve"> of the previous calendar year</w:t>
      </w:r>
      <w:bookmarkEnd w:id="15"/>
      <w:r w:rsidRPr="005A19A9">
        <w:t>”.</w:t>
      </w:r>
    </w:p>
    <w:p w14:paraId="4B9F2E68" w14:textId="77777777" w:rsidR="003D7C9C" w:rsidRPr="005A19A9" w:rsidRDefault="001E419E" w:rsidP="003D7C9C">
      <w:pPr>
        <w:pStyle w:val="ItemHead"/>
      </w:pPr>
      <w:r w:rsidRPr="005A19A9">
        <w:t>9</w:t>
      </w:r>
      <w:r w:rsidR="003D7C9C" w:rsidRPr="005A19A9">
        <w:t xml:space="preserve">  </w:t>
      </w:r>
      <w:r w:rsidR="009A3BF7" w:rsidRPr="005A19A9">
        <w:t>Sub</w:t>
      </w:r>
      <w:r w:rsidR="00231DF4" w:rsidRPr="005A19A9">
        <w:t>paragraph 6</w:t>
      </w:r>
      <w:r w:rsidR="003D7C9C" w:rsidRPr="005A19A9">
        <w:t>1(2)(b)(ii)</w:t>
      </w:r>
    </w:p>
    <w:p w14:paraId="34C430EF" w14:textId="77777777" w:rsidR="003D7C9C" w:rsidRPr="005A19A9" w:rsidRDefault="003D7C9C" w:rsidP="003D7C9C">
      <w:pPr>
        <w:pStyle w:val="Item"/>
      </w:pPr>
      <w:r w:rsidRPr="005A19A9">
        <w:t>Omit “2022”, substitute “</w:t>
      </w:r>
      <w:bookmarkStart w:id="16" w:name="_Hlk117177854"/>
      <w:r w:rsidRPr="005A19A9">
        <w:t>of the calendar year</w:t>
      </w:r>
      <w:bookmarkEnd w:id="16"/>
      <w:r w:rsidRPr="005A19A9">
        <w:t>”.</w:t>
      </w:r>
    </w:p>
    <w:p w14:paraId="659622E7" w14:textId="77777777" w:rsidR="003D7C9C" w:rsidRPr="005A19A9" w:rsidRDefault="001E419E" w:rsidP="003D7C9C">
      <w:pPr>
        <w:pStyle w:val="ItemHead"/>
      </w:pPr>
      <w:r w:rsidRPr="005A19A9">
        <w:t>10</w:t>
      </w:r>
      <w:r w:rsidR="003D7C9C" w:rsidRPr="005A19A9">
        <w:t xml:space="preserve">  </w:t>
      </w:r>
      <w:proofErr w:type="spellStart"/>
      <w:r w:rsidR="00231DF4" w:rsidRPr="005A19A9">
        <w:t>Subregulation</w:t>
      </w:r>
      <w:proofErr w:type="spellEnd"/>
      <w:r w:rsidR="00231DF4" w:rsidRPr="005A19A9">
        <w:t> 6</w:t>
      </w:r>
      <w:r w:rsidR="003D7C9C" w:rsidRPr="005A19A9">
        <w:t>2(1)</w:t>
      </w:r>
    </w:p>
    <w:p w14:paraId="4BC5EF34" w14:textId="77777777" w:rsidR="003D7C9C" w:rsidRPr="005A19A9" w:rsidRDefault="003D7C9C" w:rsidP="003D7C9C">
      <w:pPr>
        <w:pStyle w:val="Item"/>
      </w:pPr>
      <w:r w:rsidRPr="005A19A9">
        <w:t>Omit “the 2022”</w:t>
      </w:r>
      <w:r w:rsidR="00802221" w:rsidRPr="005A19A9">
        <w:t xml:space="preserve"> (first occurring)</w:t>
      </w:r>
      <w:r w:rsidRPr="005A19A9">
        <w:t>, substitute “</w:t>
      </w:r>
      <w:bookmarkStart w:id="17" w:name="_Hlk117506919"/>
      <w:r w:rsidRPr="005A19A9">
        <w:t>a</w:t>
      </w:r>
      <w:bookmarkEnd w:id="17"/>
      <w:r w:rsidRPr="005A19A9">
        <w:t>”.</w:t>
      </w:r>
    </w:p>
    <w:p w14:paraId="03767E54" w14:textId="77777777" w:rsidR="00784C71" w:rsidRPr="005A19A9" w:rsidRDefault="001E419E" w:rsidP="00784C71">
      <w:pPr>
        <w:pStyle w:val="ItemHead"/>
      </w:pPr>
      <w:r w:rsidRPr="005A19A9">
        <w:t>11</w:t>
      </w:r>
      <w:r w:rsidR="00AD1CFA" w:rsidRPr="005A19A9">
        <w:t xml:space="preserve">  </w:t>
      </w:r>
      <w:r w:rsidR="003B4A84" w:rsidRPr="005A19A9">
        <w:t>Paragraph 6</w:t>
      </w:r>
      <w:r w:rsidR="00784C71" w:rsidRPr="005A19A9">
        <w:t>2(1)(a)</w:t>
      </w:r>
    </w:p>
    <w:p w14:paraId="73D90739" w14:textId="77777777" w:rsidR="00784C71" w:rsidRPr="005A19A9" w:rsidRDefault="0032106A" w:rsidP="00784C71">
      <w:pPr>
        <w:pStyle w:val="Item"/>
      </w:pPr>
      <w:r w:rsidRPr="005A19A9">
        <w:t xml:space="preserve">Omit </w:t>
      </w:r>
      <w:r w:rsidR="00784C71" w:rsidRPr="005A19A9">
        <w:t>“</w:t>
      </w:r>
      <w:r w:rsidRPr="005A19A9">
        <w:t xml:space="preserve">that </w:t>
      </w:r>
      <w:r w:rsidR="00784C71" w:rsidRPr="005A19A9">
        <w:t>year”, insert “</w:t>
      </w:r>
      <w:bookmarkStart w:id="18" w:name="_Hlk117177855"/>
      <w:r w:rsidRPr="005A19A9">
        <w:t xml:space="preserve">the </w:t>
      </w:r>
      <w:r w:rsidR="00784C71" w:rsidRPr="005A19A9">
        <w:t>calendar</w:t>
      </w:r>
      <w:bookmarkEnd w:id="18"/>
      <w:r w:rsidRPr="005A19A9">
        <w:t xml:space="preserve"> year</w:t>
      </w:r>
      <w:r w:rsidR="00784C71" w:rsidRPr="005A19A9">
        <w:t>”.</w:t>
      </w:r>
    </w:p>
    <w:p w14:paraId="67F70413" w14:textId="77777777" w:rsidR="003D7C9C" w:rsidRPr="005A19A9" w:rsidRDefault="001E419E" w:rsidP="003D7C9C">
      <w:pPr>
        <w:pStyle w:val="ItemHead"/>
      </w:pPr>
      <w:r w:rsidRPr="005A19A9">
        <w:t>12</w:t>
      </w:r>
      <w:r w:rsidR="003D7C9C" w:rsidRPr="005A19A9">
        <w:t xml:space="preserve">  </w:t>
      </w:r>
      <w:r w:rsidR="009A3BF7" w:rsidRPr="005A19A9">
        <w:t>Sub</w:t>
      </w:r>
      <w:r w:rsidR="00231DF4" w:rsidRPr="005A19A9">
        <w:t>paragraph 6</w:t>
      </w:r>
      <w:r w:rsidR="00C04B34" w:rsidRPr="005A19A9">
        <w:t>2(1)(b)(</w:t>
      </w:r>
      <w:proofErr w:type="spellStart"/>
      <w:r w:rsidR="00C04B34" w:rsidRPr="005A19A9">
        <w:t>i</w:t>
      </w:r>
      <w:proofErr w:type="spellEnd"/>
      <w:r w:rsidR="00C04B34" w:rsidRPr="005A19A9">
        <w:t>)</w:t>
      </w:r>
    </w:p>
    <w:p w14:paraId="0A643C2D" w14:textId="77777777" w:rsidR="00C04B34" w:rsidRPr="005A19A9" w:rsidRDefault="00C04B34" w:rsidP="00C04B34">
      <w:pPr>
        <w:pStyle w:val="Item"/>
      </w:pPr>
      <w:r w:rsidRPr="005A19A9">
        <w:t>Omit “2021”, substitute “</w:t>
      </w:r>
      <w:bookmarkStart w:id="19" w:name="_Hlk117177856"/>
      <w:r w:rsidRPr="005A19A9">
        <w:t>of the previous calendar year</w:t>
      </w:r>
      <w:bookmarkEnd w:id="19"/>
      <w:r w:rsidRPr="005A19A9">
        <w:t>”.</w:t>
      </w:r>
    </w:p>
    <w:p w14:paraId="426533B5" w14:textId="77777777" w:rsidR="00C04B34" w:rsidRPr="005A19A9" w:rsidRDefault="001E419E" w:rsidP="00C04B34">
      <w:pPr>
        <w:pStyle w:val="ItemHead"/>
      </w:pPr>
      <w:r w:rsidRPr="005A19A9">
        <w:t>13</w:t>
      </w:r>
      <w:r w:rsidR="00C04B34" w:rsidRPr="005A19A9">
        <w:t xml:space="preserve">  </w:t>
      </w:r>
      <w:r w:rsidR="009A3BF7" w:rsidRPr="005A19A9">
        <w:t>Sub</w:t>
      </w:r>
      <w:r w:rsidR="00231DF4" w:rsidRPr="005A19A9">
        <w:t>paragraph 6</w:t>
      </w:r>
      <w:r w:rsidR="00C04B34" w:rsidRPr="005A19A9">
        <w:t>2(1)(b)(ii)</w:t>
      </w:r>
    </w:p>
    <w:p w14:paraId="3F7D8AC9" w14:textId="77777777" w:rsidR="00C04B34" w:rsidRPr="005A19A9" w:rsidRDefault="00C04B34" w:rsidP="00C04B34">
      <w:pPr>
        <w:pStyle w:val="Item"/>
      </w:pPr>
      <w:r w:rsidRPr="005A19A9">
        <w:t>Omit “2021”, substitute “</w:t>
      </w:r>
      <w:bookmarkStart w:id="20" w:name="_Hlk117177857"/>
      <w:r w:rsidRPr="005A19A9">
        <w:t>previous</w:t>
      </w:r>
      <w:bookmarkEnd w:id="20"/>
      <w:r w:rsidRPr="005A19A9">
        <w:t>”.</w:t>
      </w:r>
    </w:p>
    <w:p w14:paraId="4E42074D" w14:textId="77777777" w:rsidR="00C04B34" w:rsidRPr="005A19A9" w:rsidRDefault="001E419E" w:rsidP="00C04B34">
      <w:pPr>
        <w:pStyle w:val="ItemHead"/>
      </w:pPr>
      <w:r w:rsidRPr="005A19A9">
        <w:lastRenderedPageBreak/>
        <w:t>14</w:t>
      </w:r>
      <w:r w:rsidR="00C04B34" w:rsidRPr="005A19A9">
        <w:t xml:space="preserve">  </w:t>
      </w:r>
      <w:r w:rsidR="009A3BF7" w:rsidRPr="005A19A9">
        <w:t>Sub</w:t>
      </w:r>
      <w:r w:rsidR="00231DF4" w:rsidRPr="005A19A9">
        <w:t>paragraph 6</w:t>
      </w:r>
      <w:r w:rsidR="00C04B34" w:rsidRPr="005A19A9">
        <w:t>2(1)(b)(iii)</w:t>
      </w:r>
    </w:p>
    <w:p w14:paraId="561EFD59" w14:textId="77777777" w:rsidR="00C04B34" w:rsidRPr="005A19A9" w:rsidRDefault="00C04B34" w:rsidP="00C04B34">
      <w:pPr>
        <w:pStyle w:val="Item"/>
      </w:pPr>
      <w:r w:rsidRPr="005A19A9">
        <w:t>Omit “2022”.</w:t>
      </w:r>
    </w:p>
    <w:p w14:paraId="7DEA1A24" w14:textId="77777777" w:rsidR="00C04B34" w:rsidRPr="005A19A9" w:rsidRDefault="001E419E" w:rsidP="00C04B34">
      <w:pPr>
        <w:pStyle w:val="ItemHead"/>
      </w:pPr>
      <w:r w:rsidRPr="005A19A9">
        <w:t>15</w:t>
      </w:r>
      <w:r w:rsidR="00C04B34" w:rsidRPr="005A19A9">
        <w:t xml:space="preserve">  </w:t>
      </w:r>
      <w:r w:rsidR="003B4A84" w:rsidRPr="005A19A9">
        <w:t>Paragraph 6</w:t>
      </w:r>
      <w:r w:rsidR="00C04B34" w:rsidRPr="005A19A9">
        <w:t>2(1)(c)</w:t>
      </w:r>
    </w:p>
    <w:p w14:paraId="18F9DCFA" w14:textId="77777777" w:rsidR="00C04B34" w:rsidRPr="005A19A9" w:rsidRDefault="00C04B34" w:rsidP="00C04B34">
      <w:pPr>
        <w:pStyle w:val="Item"/>
      </w:pPr>
      <w:r w:rsidRPr="005A19A9">
        <w:t>Omit “2021” (wherever occurring), substitute “</w:t>
      </w:r>
      <w:bookmarkStart w:id="21" w:name="_Hlk117177858"/>
      <w:r w:rsidRPr="005A19A9">
        <w:t>previous</w:t>
      </w:r>
      <w:bookmarkEnd w:id="21"/>
      <w:r w:rsidRPr="005A19A9">
        <w:t>”.</w:t>
      </w:r>
    </w:p>
    <w:p w14:paraId="449F2D13" w14:textId="77777777" w:rsidR="00C04B34" w:rsidRPr="005A19A9" w:rsidRDefault="001E419E" w:rsidP="00C04B34">
      <w:pPr>
        <w:pStyle w:val="ItemHead"/>
      </w:pPr>
      <w:r w:rsidRPr="005A19A9">
        <w:t>16</w:t>
      </w:r>
      <w:r w:rsidR="00C04B34" w:rsidRPr="005A19A9">
        <w:t xml:space="preserve">  </w:t>
      </w:r>
      <w:proofErr w:type="spellStart"/>
      <w:r w:rsidR="00231DF4" w:rsidRPr="005A19A9">
        <w:t>Subregulation</w:t>
      </w:r>
      <w:proofErr w:type="spellEnd"/>
      <w:r w:rsidR="00231DF4" w:rsidRPr="005A19A9">
        <w:t> 6</w:t>
      </w:r>
      <w:r w:rsidR="00C04B34" w:rsidRPr="005A19A9">
        <w:t>2(2)</w:t>
      </w:r>
    </w:p>
    <w:p w14:paraId="29910BF8" w14:textId="77777777" w:rsidR="00C04B34" w:rsidRPr="005A19A9" w:rsidRDefault="00C04B34" w:rsidP="00C04B34">
      <w:pPr>
        <w:pStyle w:val="Item"/>
      </w:pPr>
      <w:r w:rsidRPr="005A19A9">
        <w:t>Omit “2022”.</w:t>
      </w:r>
    </w:p>
    <w:p w14:paraId="3C84E94F" w14:textId="77777777" w:rsidR="00C04B34" w:rsidRPr="005A19A9" w:rsidRDefault="001E419E" w:rsidP="00C04B34">
      <w:pPr>
        <w:pStyle w:val="ItemHead"/>
      </w:pPr>
      <w:r w:rsidRPr="005A19A9">
        <w:t>17</w:t>
      </w:r>
      <w:r w:rsidR="00C04B34" w:rsidRPr="005A19A9">
        <w:t xml:space="preserve">  </w:t>
      </w:r>
      <w:r w:rsidR="003B4A84" w:rsidRPr="005A19A9">
        <w:t>Paragraph 6</w:t>
      </w:r>
      <w:r w:rsidR="00C04B34" w:rsidRPr="005A19A9">
        <w:t>2(4)(b)</w:t>
      </w:r>
    </w:p>
    <w:p w14:paraId="51F748BA" w14:textId="77777777" w:rsidR="00C04B34" w:rsidRPr="005A19A9" w:rsidRDefault="00C04B34" w:rsidP="00C04B34">
      <w:pPr>
        <w:pStyle w:val="Item"/>
      </w:pPr>
      <w:r w:rsidRPr="005A19A9">
        <w:t>Repeal the paragraph, substitute:</w:t>
      </w:r>
    </w:p>
    <w:p w14:paraId="16ADD6EC" w14:textId="77777777" w:rsidR="00C04B34" w:rsidRPr="005A19A9" w:rsidRDefault="00C04B34" w:rsidP="00C04B34">
      <w:pPr>
        <w:pStyle w:val="paragraph"/>
      </w:pPr>
      <w:bookmarkStart w:id="22" w:name="_Hlk117177859"/>
      <w:r w:rsidRPr="005A19A9">
        <w:tab/>
        <w:t>(b)</w:t>
      </w:r>
      <w:r w:rsidRPr="005A19A9">
        <w:tab/>
        <w:t xml:space="preserve">specify the calendar year for which the </w:t>
      </w:r>
      <w:r w:rsidR="00044CF5" w:rsidRPr="005A19A9">
        <w:t>quota</w:t>
      </w:r>
      <w:r w:rsidRPr="005A19A9">
        <w:t xml:space="preserve"> is allocated.</w:t>
      </w:r>
    </w:p>
    <w:bookmarkEnd w:id="22"/>
    <w:p w14:paraId="261ADCED" w14:textId="77777777" w:rsidR="00C04B34" w:rsidRPr="005A19A9" w:rsidRDefault="001E419E" w:rsidP="00C04B34">
      <w:pPr>
        <w:pStyle w:val="ItemHead"/>
      </w:pPr>
      <w:r w:rsidRPr="005A19A9">
        <w:t>18</w:t>
      </w:r>
      <w:r w:rsidR="00C04B34" w:rsidRPr="005A19A9">
        <w:t xml:space="preserve">  </w:t>
      </w:r>
      <w:proofErr w:type="spellStart"/>
      <w:r w:rsidR="00231DF4" w:rsidRPr="005A19A9">
        <w:t>Subregulation</w:t>
      </w:r>
      <w:proofErr w:type="spellEnd"/>
      <w:r w:rsidR="00231DF4" w:rsidRPr="005A19A9">
        <w:t> 6</w:t>
      </w:r>
      <w:r w:rsidR="00C04B34" w:rsidRPr="005A19A9">
        <w:t>3(1)</w:t>
      </w:r>
    </w:p>
    <w:p w14:paraId="6F9A249F" w14:textId="77777777" w:rsidR="00C04B34" w:rsidRPr="005A19A9" w:rsidRDefault="00542C75" w:rsidP="00C04B34">
      <w:pPr>
        <w:pStyle w:val="Item"/>
      </w:pPr>
      <w:r w:rsidRPr="005A19A9">
        <w:t>Omit “the 2022”, substitute “</w:t>
      </w:r>
      <w:bookmarkStart w:id="23" w:name="_Hlk117177860"/>
      <w:r w:rsidRPr="005A19A9">
        <w:t>a</w:t>
      </w:r>
      <w:bookmarkEnd w:id="23"/>
      <w:r w:rsidRPr="005A19A9">
        <w:t>”.</w:t>
      </w:r>
    </w:p>
    <w:p w14:paraId="077BCE44" w14:textId="77777777" w:rsidR="00542C75" w:rsidRPr="005A19A9" w:rsidRDefault="001E419E" w:rsidP="00542C75">
      <w:pPr>
        <w:pStyle w:val="ItemHead"/>
      </w:pPr>
      <w:r w:rsidRPr="005A19A9">
        <w:t>19</w:t>
      </w:r>
      <w:r w:rsidR="00542C75" w:rsidRPr="005A19A9">
        <w:t xml:space="preserve">  </w:t>
      </w:r>
      <w:proofErr w:type="spellStart"/>
      <w:r w:rsidR="00231DF4" w:rsidRPr="005A19A9">
        <w:t>Subregulation</w:t>
      </w:r>
      <w:proofErr w:type="spellEnd"/>
      <w:r w:rsidR="00231DF4" w:rsidRPr="005A19A9">
        <w:t> 6</w:t>
      </w:r>
      <w:r w:rsidR="00542C75" w:rsidRPr="005A19A9">
        <w:t>3(2)</w:t>
      </w:r>
    </w:p>
    <w:p w14:paraId="33A4CCC3" w14:textId="77777777" w:rsidR="00542C75" w:rsidRPr="005A19A9" w:rsidRDefault="00542C75" w:rsidP="00542C75">
      <w:pPr>
        <w:pStyle w:val="Item"/>
      </w:pPr>
      <w:r w:rsidRPr="005A19A9">
        <w:t>Omit “2022”.</w:t>
      </w:r>
    </w:p>
    <w:p w14:paraId="5450284F" w14:textId="77777777" w:rsidR="00542C75" w:rsidRPr="005A19A9" w:rsidRDefault="001E419E" w:rsidP="00542C75">
      <w:pPr>
        <w:pStyle w:val="ItemHead"/>
      </w:pPr>
      <w:r w:rsidRPr="005A19A9">
        <w:t>20</w:t>
      </w:r>
      <w:r w:rsidR="00542C75" w:rsidRPr="005A19A9">
        <w:t xml:space="preserve">  </w:t>
      </w:r>
      <w:proofErr w:type="spellStart"/>
      <w:r w:rsidR="00231DF4" w:rsidRPr="005A19A9">
        <w:t>Subregulation</w:t>
      </w:r>
      <w:proofErr w:type="spellEnd"/>
      <w:r w:rsidR="00231DF4" w:rsidRPr="005A19A9">
        <w:t> 6</w:t>
      </w:r>
      <w:r w:rsidR="00542C75" w:rsidRPr="005A19A9">
        <w:t>3(3)</w:t>
      </w:r>
    </w:p>
    <w:p w14:paraId="222745E1" w14:textId="77777777" w:rsidR="00542C75" w:rsidRPr="005A19A9" w:rsidRDefault="00542C75" w:rsidP="00542C75">
      <w:pPr>
        <w:pStyle w:val="Item"/>
      </w:pPr>
      <w:r w:rsidRPr="005A19A9">
        <w:t>Omit “</w:t>
      </w:r>
      <w:r w:rsidR="001568CC" w:rsidRPr="005A19A9">
        <w:t xml:space="preserve">the </w:t>
      </w:r>
      <w:r w:rsidRPr="005A19A9">
        <w:t>2022”</w:t>
      </w:r>
      <w:r w:rsidR="001568CC" w:rsidRPr="005A19A9">
        <w:t>, substitute “</w:t>
      </w:r>
      <w:bookmarkStart w:id="24" w:name="_Hlk117177861"/>
      <w:r w:rsidR="001568CC" w:rsidRPr="005A19A9">
        <w:t>a</w:t>
      </w:r>
      <w:bookmarkEnd w:id="24"/>
      <w:r w:rsidR="001568CC" w:rsidRPr="005A19A9">
        <w:t>”.</w:t>
      </w:r>
    </w:p>
    <w:p w14:paraId="57B080C9" w14:textId="77777777" w:rsidR="00542C75" w:rsidRPr="005A19A9" w:rsidRDefault="001E419E" w:rsidP="00542C75">
      <w:pPr>
        <w:pStyle w:val="ItemHead"/>
      </w:pPr>
      <w:r w:rsidRPr="005A19A9">
        <w:t>21</w:t>
      </w:r>
      <w:r w:rsidR="00542C75" w:rsidRPr="005A19A9">
        <w:t xml:space="preserve">  </w:t>
      </w:r>
      <w:r w:rsidR="003B4A84" w:rsidRPr="005A19A9">
        <w:t>Paragraph 6</w:t>
      </w:r>
      <w:r w:rsidR="00542C75" w:rsidRPr="005A19A9">
        <w:t>3(3)(a)</w:t>
      </w:r>
    </w:p>
    <w:p w14:paraId="294973C4" w14:textId="77777777" w:rsidR="00542C75" w:rsidRPr="005A19A9" w:rsidRDefault="00542C75" w:rsidP="00542C75">
      <w:pPr>
        <w:pStyle w:val="Item"/>
      </w:pPr>
      <w:r w:rsidRPr="005A19A9">
        <w:t>Omit “2021”, substitute “</w:t>
      </w:r>
      <w:bookmarkStart w:id="25" w:name="_Hlk117177862"/>
      <w:r w:rsidRPr="005A19A9">
        <w:t>previous</w:t>
      </w:r>
      <w:bookmarkEnd w:id="25"/>
      <w:r w:rsidRPr="005A19A9">
        <w:t>”.</w:t>
      </w:r>
    </w:p>
    <w:p w14:paraId="01EAEA64" w14:textId="77777777" w:rsidR="00542C75" w:rsidRPr="005A19A9" w:rsidRDefault="001E419E" w:rsidP="00542C75">
      <w:pPr>
        <w:pStyle w:val="ItemHead"/>
      </w:pPr>
      <w:r w:rsidRPr="005A19A9">
        <w:t>22</w:t>
      </w:r>
      <w:r w:rsidR="00542C75" w:rsidRPr="005A19A9">
        <w:t xml:space="preserve">  </w:t>
      </w:r>
      <w:r w:rsidR="003B4A84" w:rsidRPr="005A19A9">
        <w:t>Paragraph 6</w:t>
      </w:r>
      <w:r w:rsidR="00542C75" w:rsidRPr="005A19A9">
        <w:t>3(3)(b)</w:t>
      </w:r>
    </w:p>
    <w:p w14:paraId="2C2EBD0B" w14:textId="77777777" w:rsidR="00542C75" w:rsidRPr="005A19A9" w:rsidRDefault="00542C75" w:rsidP="00542C75">
      <w:pPr>
        <w:pStyle w:val="Item"/>
      </w:pPr>
      <w:r w:rsidRPr="005A19A9">
        <w:t>Omit “2021” (first occurring), substitute “</w:t>
      </w:r>
      <w:bookmarkStart w:id="26" w:name="_Hlk117177863"/>
      <w:r w:rsidRPr="005A19A9">
        <w:t>previous</w:t>
      </w:r>
      <w:bookmarkEnd w:id="26"/>
      <w:r w:rsidRPr="005A19A9">
        <w:t>”.</w:t>
      </w:r>
    </w:p>
    <w:p w14:paraId="18172A1D" w14:textId="77777777" w:rsidR="00542C75" w:rsidRPr="005A19A9" w:rsidRDefault="001E419E" w:rsidP="00542C75">
      <w:pPr>
        <w:pStyle w:val="ItemHead"/>
      </w:pPr>
      <w:r w:rsidRPr="005A19A9">
        <w:t>23</w:t>
      </w:r>
      <w:r w:rsidR="00542C75" w:rsidRPr="005A19A9">
        <w:t xml:space="preserve">  </w:t>
      </w:r>
      <w:r w:rsidR="003B4A84" w:rsidRPr="005A19A9">
        <w:t>Paragraph 6</w:t>
      </w:r>
      <w:r w:rsidR="00542C75" w:rsidRPr="005A19A9">
        <w:t>3(3)(b)</w:t>
      </w:r>
    </w:p>
    <w:p w14:paraId="4BB76038" w14:textId="77777777" w:rsidR="00542C75" w:rsidRPr="005A19A9" w:rsidRDefault="00542C75" w:rsidP="00542C75">
      <w:pPr>
        <w:pStyle w:val="Item"/>
      </w:pPr>
      <w:r w:rsidRPr="005A19A9">
        <w:t>Omit “</w:t>
      </w:r>
      <w:r w:rsidR="001568CC" w:rsidRPr="005A19A9">
        <w:t xml:space="preserve">the </w:t>
      </w:r>
      <w:r w:rsidRPr="005A19A9">
        <w:t xml:space="preserve">2021” (second occurring), substitute “that </w:t>
      </w:r>
      <w:r w:rsidR="001568CC" w:rsidRPr="005A19A9">
        <w:t>previous</w:t>
      </w:r>
      <w:r w:rsidRPr="005A19A9">
        <w:t>”.</w:t>
      </w:r>
    </w:p>
    <w:p w14:paraId="54F31B56" w14:textId="77777777" w:rsidR="00542C75" w:rsidRPr="005A19A9" w:rsidRDefault="001E419E" w:rsidP="00542C75">
      <w:pPr>
        <w:pStyle w:val="ItemHead"/>
      </w:pPr>
      <w:r w:rsidRPr="005A19A9">
        <w:t>24</w:t>
      </w:r>
      <w:r w:rsidR="00542C75" w:rsidRPr="005A19A9">
        <w:t xml:space="preserve">  </w:t>
      </w:r>
      <w:r w:rsidR="009A3BF7" w:rsidRPr="005A19A9">
        <w:t>Regulation 6</w:t>
      </w:r>
      <w:r w:rsidR="00542C75" w:rsidRPr="005A19A9">
        <w:t>4</w:t>
      </w:r>
    </w:p>
    <w:p w14:paraId="0D6C87AA" w14:textId="77777777" w:rsidR="00542C75" w:rsidRPr="005A19A9" w:rsidRDefault="00542C75" w:rsidP="00542C75">
      <w:pPr>
        <w:pStyle w:val="Item"/>
      </w:pPr>
      <w:r w:rsidRPr="005A19A9">
        <w:t>Repeal the regulation, substitute:</w:t>
      </w:r>
    </w:p>
    <w:p w14:paraId="179D3AEF" w14:textId="77777777" w:rsidR="00542C75" w:rsidRPr="005A19A9" w:rsidRDefault="00542C75" w:rsidP="00542C75">
      <w:pPr>
        <w:pStyle w:val="ActHead5"/>
      </w:pPr>
      <w:bookmarkStart w:id="27" w:name="_Toc118454390"/>
      <w:bookmarkStart w:id="28" w:name="_Hlk117177864"/>
      <w:r w:rsidRPr="00C01202">
        <w:rPr>
          <w:rStyle w:val="CharSectno"/>
        </w:rPr>
        <w:t>64</w:t>
      </w:r>
      <w:r w:rsidRPr="005A19A9">
        <w:t xml:space="preserve">  Reserve </w:t>
      </w:r>
      <w:proofErr w:type="spellStart"/>
      <w:r w:rsidRPr="005A19A9">
        <w:t>HFC</w:t>
      </w:r>
      <w:proofErr w:type="spellEnd"/>
      <w:r w:rsidRPr="005A19A9">
        <w:t xml:space="preserve"> quota limit</w:t>
      </w:r>
      <w:bookmarkEnd w:id="27"/>
    </w:p>
    <w:p w14:paraId="05EAA2D1" w14:textId="77777777" w:rsidR="000B0D2E" w:rsidRPr="005A19A9" w:rsidRDefault="00542C75" w:rsidP="00542C75">
      <w:pPr>
        <w:pStyle w:val="subsection"/>
      </w:pPr>
      <w:r w:rsidRPr="005A19A9">
        <w:tab/>
      </w:r>
      <w:r w:rsidR="00A53A33" w:rsidRPr="005A19A9">
        <w:t>(1)</w:t>
      </w:r>
      <w:r w:rsidRPr="005A19A9">
        <w:tab/>
        <w:t xml:space="preserve">For the purposes of </w:t>
      </w:r>
      <w:r w:rsidR="009A3BF7" w:rsidRPr="005A19A9">
        <w:t>paragraph 3</w:t>
      </w:r>
      <w:r w:rsidRPr="005A19A9">
        <w:t xml:space="preserve">6G(3)(b) of the Act, the </w:t>
      </w:r>
      <w:r w:rsidRPr="005A19A9">
        <w:rPr>
          <w:b/>
          <w:i/>
        </w:rPr>
        <w:t xml:space="preserve">reserve </w:t>
      </w:r>
      <w:proofErr w:type="spellStart"/>
      <w:r w:rsidRPr="005A19A9">
        <w:rPr>
          <w:b/>
          <w:i/>
        </w:rPr>
        <w:t>HFC</w:t>
      </w:r>
      <w:proofErr w:type="spellEnd"/>
      <w:r w:rsidRPr="005A19A9">
        <w:rPr>
          <w:b/>
          <w:i/>
        </w:rPr>
        <w:t xml:space="preserve"> </w:t>
      </w:r>
      <w:r w:rsidR="00044CF5" w:rsidRPr="005A19A9">
        <w:rPr>
          <w:b/>
          <w:i/>
        </w:rPr>
        <w:t>quota</w:t>
      </w:r>
      <w:r w:rsidRPr="005A19A9">
        <w:rPr>
          <w:b/>
          <w:i/>
        </w:rPr>
        <w:t xml:space="preserve"> limit</w:t>
      </w:r>
      <w:r w:rsidRPr="005A19A9">
        <w:t xml:space="preserve"> for a calendar year is</w:t>
      </w:r>
      <w:r w:rsidR="001B144B" w:rsidRPr="005A19A9">
        <w:t xml:space="preserve"> the </w:t>
      </w:r>
      <w:r w:rsidR="00471AE3" w:rsidRPr="005A19A9">
        <w:t xml:space="preserve">amount </w:t>
      </w:r>
      <w:r w:rsidR="001B144B" w:rsidRPr="005A19A9">
        <w:t>worked out by reducing</w:t>
      </w:r>
      <w:r w:rsidR="000263F7" w:rsidRPr="005A19A9">
        <w:t xml:space="preserve"> </w:t>
      </w:r>
      <w:r w:rsidR="008C6BC3" w:rsidRPr="005A19A9">
        <w:t>Australia’s</w:t>
      </w:r>
      <w:r w:rsidR="001B144B" w:rsidRPr="005A19A9">
        <w:t xml:space="preserve"> </w:t>
      </w:r>
      <w:proofErr w:type="spellStart"/>
      <w:r w:rsidR="001B144B" w:rsidRPr="005A19A9">
        <w:t>HFC</w:t>
      </w:r>
      <w:proofErr w:type="spellEnd"/>
      <w:r w:rsidR="001B144B" w:rsidRPr="005A19A9">
        <w:t xml:space="preserve"> consumption limit for the calendar year</w:t>
      </w:r>
      <w:r w:rsidR="000263F7" w:rsidRPr="005A19A9">
        <w:t xml:space="preserve"> by</w:t>
      </w:r>
      <w:r w:rsidR="001B144B" w:rsidRPr="005A19A9">
        <w:t xml:space="preserve"> the </w:t>
      </w:r>
      <w:proofErr w:type="spellStart"/>
      <w:r w:rsidR="00C35B88" w:rsidRPr="005A19A9">
        <w:t>HFC</w:t>
      </w:r>
      <w:proofErr w:type="spellEnd"/>
      <w:r w:rsidR="00C35B88" w:rsidRPr="005A19A9">
        <w:t xml:space="preserve"> industry limit</w:t>
      </w:r>
      <w:r w:rsidR="001B144B" w:rsidRPr="005A19A9">
        <w:t xml:space="preserve"> </w:t>
      </w:r>
      <w:r w:rsidR="000263F7" w:rsidRPr="005A19A9">
        <w:t xml:space="preserve">specified in </w:t>
      </w:r>
      <w:r w:rsidR="00231DF4" w:rsidRPr="005A19A9">
        <w:t>regulation 4</w:t>
      </w:r>
      <w:r w:rsidR="000263F7" w:rsidRPr="005A19A9">
        <w:t>2 for th</w:t>
      </w:r>
      <w:r w:rsidR="00784C71" w:rsidRPr="005A19A9">
        <w:t>at</w:t>
      </w:r>
      <w:r w:rsidR="000263F7" w:rsidRPr="005A19A9">
        <w:t xml:space="preserve"> calendar year</w:t>
      </w:r>
      <w:r w:rsidR="000B0D2E" w:rsidRPr="005A19A9">
        <w:t>.</w:t>
      </w:r>
    </w:p>
    <w:p w14:paraId="1574E40D" w14:textId="77777777" w:rsidR="000B0D2E" w:rsidRPr="005A19A9" w:rsidRDefault="000263F7" w:rsidP="00542C75">
      <w:pPr>
        <w:pStyle w:val="subsection"/>
      </w:pPr>
      <w:r w:rsidRPr="005A19A9">
        <w:tab/>
        <w:t>(2)</w:t>
      </w:r>
      <w:r w:rsidRPr="005A19A9">
        <w:tab/>
        <w:t xml:space="preserve">For the purposes of </w:t>
      </w:r>
      <w:proofErr w:type="spellStart"/>
      <w:r w:rsidRPr="005A19A9">
        <w:t>subregulation</w:t>
      </w:r>
      <w:proofErr w:type="spellEnd"/>
      <w:r w:rsidRPr="005A19A9">
        <w:t xml:space="preserve"> (1), </w:t>
      </w:r>
      <w:r w:rsidR="008C6BC3" w:rsidRPr="005A19A9">
        <w:rPr>
          <w:b/>
          <w:i/>
        </w:rPr>
        <w:t xml:space="preserve">Australia’s </w:t>
      </w:r>
      <w:proofErr w:type="spellStart"/>
      <w:r w:rsidRPr="005A19A9">
        <w:rPr>
          <w:b/>
          <w:i/>
        </w:rPr>
        <w:t>HFC</w:t>
      </w:r>
      <w:proofErr w:type="spellEnd"/>
      <w:r w:rsidRPr="005A19A9">
        <w:rPr>
          <w:b/>
          <w:i/>
        </w:rPr>
        <w:t xml:space="preserve"> consumption limit </w:t>
      </w:r>
      <w:r w:rsidRPr="005A19A9">
        <w:t xml:space="preserve">for a calendar year is </w:t>
      </w:r>
      <w:r w:rsidR="000B0D2E" w:rsidRPr="005A19A9">
        <w:t xml:space="preserve">the amount worked out for Australia for the calendar year using the method set out in </w:t>
      </w:r>
      <w:r w:rsidR="00074351" w:rsidRPr="005A19A9">
        <w:t>A</w:t>
      </w:r>
      <w:r w:rsidR="009F6E25" w:rsidRPr="005A19A9">
        <w:t>rticle 2J(1) of the Montreal Protocol</w:t>
      </w:r>
      <w:r w:rsidR="000B0D2E" w:rsidRPr="005A19A9">
        <w:t>, as</w:t>
      </w:r>
      <w:r w:rsidR="00555BAB" w:rsidRPr="005A19A9">
        <w:t xml:space="preserve"> that method is in </w:t>
      </w:r>
      <w:r w:rsidR="0051215C" w:rsidRPr="005A19A9">
        <w:t xml:space="preserve">force </w:t>
      </w:r>
      <w:r w:rsidR="00074351" w:rsidRPr="005A19A9">
        <w:t xml:space="preserve">when this </w:t>
      </w:r>
      <w:proofErr w:type="spellStart"/>
      <w:r w:rsidR="00074351" w:rsidRPr="005A19A9">
        <w:t>subregulation</w:t>
      </w:r>
      <w:proofErr w:type="spellEnd"/>
      <w:r w:rsidR="00074351" w:rsidRPr="005A19A9">
        <w:t xml:space="preserve"> commenced</w:t>
      </w:r>
      <w:r w:rsidR="000B0D2E" w:rsidRPr="005A19A9">
        <w:t>.</w:t>
      </w:r>
    </w:p>
    <w:p w14:paraId="405D7C12" w14:textId="77777777" w:rsidR="001C5F53" w:rsidRPr="005A19A9" w:rsidRDefault="005A19A9" w:rsidP="001C5F53">
      <w:pPr>
        <w:pStyle w:val="ActHead7"/>
        <w:pageBreakBefore/>
      </w:pPr>
      <w:bookmarkStart w:id="29" w:name="_Toc118454391"/>
      <w:bookmarkEnd w:id="28"/>
      <w:r w:rsidRPr="00C01202">
        <w:rPr>
          <w:rStyle w:val="CharAmPartNo"/>
        </w:rPr>
        <w:lastRenderedPageBreak/>
        <w:t>Part 2</w:t>
      </w:r>
      <w:r w:rsidR="001C5F53" w:rsidRPr="005A19A9">
        <w:t>—</w:t>
      </w:r>
      <w:r w:rsidR="00231DF4" w:rsidRPr="00C01202">
        <w:rPr>
          <w:rStyle w:val="CharAmPartText"/>
        </w:rPr>
        <w:t>Amendments relating to special circumstances exemptions</w:t>
      </w:r>
      <w:bookmarkEnd w:id="29"/>
    </w:p>
    <w:p w14:paraId="5D6DA4F7" w14:textId="77777777" w:rsidR="00BF10AF" w:rsidRPr="005A19A9" w:rsidRDefault="00BF10AF" w:rsidP="00BF10AF">
      <w:pPr>
        <w:pStyle w:val="ActHead9"/>
      </w:pPr>
      <w:bookmarkStart w:id="30" w:name="_Toc118454392"/>
      <w:r w:rsidRPr="005A19A9">
        <w:t>Ozone Protection and Synthetic Greenhouse Gas Management Regulations 1995</w:t>
      </w:r>
      <w:bookmarkEnd w:id="30"/>
    </w:p>
    <w:p w14:paraId="525E7D2F" w14:textId="77777777" w:rsidR="005613FF" w:rsidRPr="005A19A9" w:rsidRDefault="001E419E" w:rsidP="00BF10AF">
      <w:pPr>
        <w:pStyle w:val="ItemHead"/>
      </w:pPr>
      <w:r w:rsidRPr="005A19A9">
        <w:t>25</w:t>
      </w:r>
      <w:r w:rsidR="005613FF" w:rsidRPr="005A19A9">
        <w:t xml:space="preserve">  </w:t>
      </w:r>
      <w:r w:rsidR="005A19A9" w:rsidRPr="005A19A9">
        <w:t>Regulation 1</w:t>
      </w:r>
      <w:r w:rsidR="005613FF" w:rsidRPr="005A19A9">
        <w:t xml:space="preserve">10 (at the end of the definition of </w:t>
      </w:r>
      <w:proofErr w:type="spellStart"/>
      <w:r w:rsidR="005613FF" w:rsidRPr="005A19A9">
        <w:rPr>
          <w:i/>
        </w:rPr>
        <w:t>RAC</w:t>
      </w:r>
      <w:proofErr w:type="spellEnd"/>
      <w:r w:rsidR="005613FF" w:rsidRPr="005A19A9">
        <w:rPr>
          <w:i/>
        </w:rPr>
        <w:t xml:space="preserve"> industry permit</w:t>
      </w:r>
      <w:r w:rsidR="005613FF" w:rsidRPr="005A19A9">
        <w:t>)</w:t>
      </w:r>
    </w:p>
    <w:p w14:paraId="0DF54BAB" w14:textId="77777777" w:rsidR="005613FF" w:rsidRPr="005A19A9" w:rsidRDefault="005613FF" w:rsidP="005613FF">
      <w:pPr>
        <w:pStyle w:val="Item"/>
      </w:pPr>
      <w:r w:rsidRPr="005A19A9">
        <w:t>Add:</w:t>
      </w:r>
    </w:p>
    <w:p w14:paraId="16649F90" w14:textId="77777777" w:rsidR="005613FF" w:rsidRPr="005A19A9" w:rsidRDefault="005613FF" w:rsidP="005613FF">
      <w:pPr>
        <w:pStyle w:val="paragraph"/>
      </w:pPr>
      <w:r w:rsidRPr="005A19A9">
        <w:tab/>
      </w:r>
      <w:bookmarkStart w:id="31" w:name="_Hlk119598372"/>
      <w:r w:rsidRPr="005A19A9">
        <w:t>; (f)</w:t>
      </w:r>
      <w:r w:rsidRPr="005A19A9">
        <w:tab/>
        <w:t>a special circumstances exemption.</w:t>
      </w:r>
    </w:p>
    <w:bookmarkEnd w:id="31"/>
    <w:p w14:paraId="2D4A12E2" w14:textId="77777777" w:rsidR="00BF10AF" w:rsidRPr="005A19A9" w:rsidRDefault="001E419E" w:rsidP="00BF10AF">
      <w:pPr>
        <w:pStyle w:val="ItemHead"/>
      </w:pPr>
      <w:r w:rsidRPr="005A19A9">
        <w:t>26</w:t>
      </w:r>
      <w:r w:rsidR="00BF10AF" w:rsidRPr="005A19A9">
        <w:t xml:space="preserve">  </w:t>
      </w:r>
      <w:r w:rsidR="005A19A9" w:rsidRPr="005A19A9">
        <w:t>Regulation 1</w:t>
      </w:r>
      <w:r w:rsidR="00BF10AF" w:rsidRPr="005A19A9">
        <w:t>10</w:t>
      </w:r>
    </w:p>
    <w:p w14:paraId="0DC32B17" w14:textId="77777777" w:rsidR="00BF10AF" w:rsidRPr="005A19A9" w:rsidRDefault="00BF10AF" w:rsidP="00BF10AF">
      <w:pPr>
        <w:pStyle w:val="Item"/>
      </w:pPr>
      <w:r w:rsidRPr="005A19A9">
        <w:t>Insert:</w:t>
      </w:r>
    </w:p>
    <w:p w14:paraId="1358D3AC" w14:textId="77777777" w:rsidR="00BF10AF" w:rsidRPr="005A19A9" w:rsidRDefault="00BF10AF" w:rsidP="00BF10AF">
      <w:pPr>
        <w:pStyle w:val="Definition"/>
      </w:pPr>
      <w:bookmarkStart w:id="32" w:name="_Hlk117177868"/>
      <w:r w:rsidRPr="005A19A9">
        <w:rPr>
          <w:b/>
          <w:i/>
        </w:rPr>
        <w:t>special circumstances exemption</w:t>
      </w:r>
      <w:r w:rsidRPr="005A19A9">
        <w:t xml:space="preserve"> has the meaning given by </w:t>
      </w:r>
      <w:r w:rsidR="005A19A9" w:rsidRPr="005A19A9">
        <w:t>regulation 1</w:t>
      </w:r>
      <w:r w:rsidRPr="005A19A9">
        <w:t>51.</w:t>
      </w:r>
    </w:p>
    <w:bookmarkEnd w:id="32"/>
    <w:p w14:paraId="51BD1772" w14:textId="77777777" w:rsidR="00BF10AF" w:rsidRPr="005A19A9" w:rsidRDefault="001E419E" w:rsidP="00BF10AF">
      <w:pPr>
        <w:pStyle w:val="ItemHead"/>
      </w:pPr>
      <w:r w:rsidRPr="005A19A9">
        <w:t>27</w:t>
      </w:r>
      <w:r w:rsidR="00BF10AF" w:rsidRPr="005A19A9">
        <w:t xml:space="preserve">  </w:t>
      </w:r>
      <w:r w:rsidR="0077529B" w:rsidRPr="005A19A9">
        <w:t xml:space="preserve">After </w:t>
      </w:r>
      <w:r w:rsidR="005A19A9" w:rsidRPr="005A19A9">
        <w:t>paragraph 1</w:t>
      </w:r>
      <w:r w:rsidR="0077529B" w:rsidRPr="005A19A9">
        <w:t>11(1)(b)</w:t>
      </w:r>
    </w:p>
    <w:p w14:paraId="5E393F76" w14:textId="77777777" w:rsidR="0077529B" w:rsidRPr="005A19A9" w:rsidRDefault="0077529B" w:rsidP="0077529B">
      <w:pPr>
        <w:pStyle w:val="Item"/>
      </w:pPr>
      <w:r w:rsidRPr="005A19A9">
        <w:t>Insert:</w:t>
      </w:r>
    </w:p>
    <w:p w14:paraId="554483E8" w14:textId="77777777" w:rsidR="0077529B" w:rsidRPr="005A19A9" w:rsidRDefault="0077529B" w:rsidP="0077529B">
      <w:pPr>
        <w:pStyle w:val="paragraph"/>
      </w:pPr>
      <w:bookmarkStart w:id="33" w:name="_Hlk119079018"/>
      <w:r w:rsidRPr="005A19A9">
        <w:tab/>
        <w:t>(c)</w:t>
      </w:r>
      <w:r w:rsidRPr="005A19A9">
        <w:tab/>
        <w:t>both:</w:t>
      </w:r>
    </w:p>
    <w:p w14:paraId="408546A7" w14:textId="77777777" w:rsidR="0077529B" w:rsidRPr="005A19A9" w:rsidRDefault="0077529B" w:rsidP="0077529B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holder of a special circumstances exemption; and</w:t>
      </w:r>
    </w:p>
    <w:p w14:paraId="53F459AC" w14:textId="77777777" w:rsidR="0077529B" w:rsidRPr="005A19A9" w:rsidRDefault="0077529B" w:rsidP="0077529B">
      <w:pPr>
        <w:pStyle w:val="paragraphsub"/>
      </w:pPr>
      <w:r w:rsidRPr="005A19A9">
        <w:tab/>
        <w:t>(ii)</w:t>
      </w:r>
      <w:r w:rsidRPr="005A19A9">
        <w:tab/>
        <w:t>entitled under th</w:t>
      </w:r>
      <w:r w:rsidR="00E07B15" w:rsidRPr="005A19A9">
        <w:t>e</w:t>
      </w:r>
      <w:r w:rsidRPr="005A19A9">
        <w:t xml:space="preserve"> exemption to carry out the work; or</w:t>
      </w:r>
    </w:p>
    <w:p w14:paraId="6020EFA1" w14:textId="77777777" w:rsidR="0077529B" w:rsidRPr="005A19A9" w:rsidRDefault="0077529B" w:rsidP="0077529B">
      <w:pPr>
        <w:pStyle w:val="paragraph"/>
      </w:pPr>
      <w:r w:rsidRPr="005A19A9">
        <w:tab/>
        <w:t>(ca)</w:t>
      </w:r>
      <w:r w:rsidRPr="005A19A9">
        <w:tab/>
        <w:t>both:</w:t>
      </w:r>
    </w:p>
    <w:p w14:paraId="6A95CCA7" w14:textId="77777777" w:rsidR="0077529B" w:rsidRPr="005A19A9" w:rsidRDefault="0077529B" w:rsidP="0077529B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an employee or contractor of the holder of a special circumstances exemption that entitles the holder of the exemption to carry out the work; and</w:t>
      </w:r>
    </w:p>
    <w:p w14:paraId="0FD9025B" w14:textId="77777777" w:rsidR="0077529B" w:rsidRPr="005A19A9" w:rsidRDefault="0077529B" w:rsidP="0077529B">
      <w:pPr>
        <w:pStyle w:val="paragraphsub"/>
      </w:pPr>
      <w:r w:rsidRPr="005A19A9">
        <w:tab/>
        <w:t>(ii)</w:t>
      </w:r>
      <w:r w:rsidRPr="005A19A9">
        <w:tab/>
        <w:t xml:space="preserve">a person that holds the relevant qualifications or </w:t>
      </w:r>
      <w:r w:rsidR="00DC5902" w:rsidRPr="005A19A9">
        <w:t xml:space="preserve">has the relevant </w:t>
      </w:r>
      <w:r w:rsidRPr="005A19A9">
        <w:t>experience specified in the exemption; or</w:t>
      </w:r>
    </w:p>
    <w:bookmarkEnd w:id="33"/>
    <w:p w14:paraId="133C0ED0" w14:textId="77777777" w:rsidR="00FD61B2" w:rsidRPr="005A19A9" w:rsidRDefault="001E419E" w:rsidP="00BF10AF">
      <w:pPr>
        <w:pStyle w:val="ItemHead"/>
      </w:pPr>
      <w:r w:rsidRPr="005A19A9">
        <w:t>28</w:t>
      </w:r>
      <w:r w:rsidR="00BF10AF" w:rsidRPr="005A19A9">
        <w:t xml:space="preserve">  </w:t>
      </w:r>
      <w:r w:rsidR="0077529B" w:rsidRPr="005A19A9">
        <w:t xml:space="preserve">After </w:t>
      </w:r>
      <w:r w:rsidR="005A19A9" w:rsidRPr="005A19A9">
        <w:t>paragraph 1</w:t>
      </w:r>
      <w:r w:rsidR="0077529B" w:rsidRPr="005A19A9">
        <w:t>12(2)(c)</w:t>
      </w:r>
    </w:p>
    <w:p w14:paraId="02110C6C" w14:textId="77777777" w:rsidR="0077529B" w:rsidRPr="005A19A9" w:rsidRDefault="0077529B" w:rsidP="0077529B">
      <w:pPr>
        <w:pStyle w:val="Item"/>
      </w:pPr>
      <w:r w:rsidRPr="005A19A9">
        <w:t>Insert:</w:t>
      </w:r>
    </w:p>
    <w:p w14:paraId="631629F4" w14:textId="77777777" w:rsidR="00FB4374" w:rsidRPr="005A19A9" w:rsidRDefault="0077529B" w:rsidP="0077529B">
      <w:pPr>
        <w:pStyle w:val="paragraph"/>
      </w:pPr>
      <w:bookmarkStart w:id="34" w:name="_Hlk119079019"/>
      <w:r w:rsidRPr="005A19A9">
        <w:tab/>
        <w:t>; or (d)</w:t>
      </w:r>
      <w:r w:rsidRPr="005A19A9">
        <w:tab/>
      </w:r>
      <w:r w:rsidR="00FB4374" w:rsidRPr="005A19A9">
        <w:t>both:</w:t>
      </w:r>
    </w:p>
    <w:p w14:paraId="6454619D" w14:textId="77777777" w:rsidR="00FB4374" w:rsidRPr="005A19A9" w:rsidRDefault="00FB4374" w:rsidP="00FB4374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</w:r>
      <w:r w:rsidR="0077529B" w:rsidRPr="005A19A9">
        <w:t>the holder of a special circumstances exemption</w:t>
      </w:r>
      <w:r w:rsidRPr="005A19A9">
        <w:t>; and</w:t>
      </w:r>
    </w:p>
    <w:p w14:paraId="1431AB11" w14:textId="77777777" w:rsidR="0077529B" w:rsidRPr="005A19A9" w:rsidRDefault="00FB4374" w:rsidP="00FB4374">
      <w:pPr>
        <w:pStyle w:val="paragraphsub"/>
      </w:pPr>
      <w:r w:rsidRPr="005A19A9">
        <w:tab/>
        <w:t>(ii)</w:t>
      </w:r>
      <w:r w:rsidRPr="005A19A9">
        <w:tab/>
        <w:t xml:space="preserve">entitled under the exemption </w:t>
      </w:r>
      <w:r w:rsidR="0077529B" w:rsidRPr="005A19A9">
        <w:t>to acquire, possess or dispose of bulk refrigerant; or</w:t>
      </w:r>
    </w:p>
    <w:p w14:paraId="507C5549" w14:textId="77777777" w:rsidR="0077529B" w:rsidRPr="005A19A9" w:rsidRDefault="0077529B" w:rsidP="0077529B">
      <w:pPr>
        <w:pStyle w:val="paragraph"/>
      </w:pPr>
      <w:r w:rsidRPr="005A19A9">
        <w:tab/>
        <w:t>(e)</w:t>
      </w:r>
      <w:r w:rsidRPr="005A19A9">
        <w:tab/>
        <w:t>both:</w:t>
      </w:r>
    </w:p>
    <w:p w14:paraId="4CE0AE81" w14:textId="77777777" w:rsidR="0077529B" w:rsidRPr="005A19A9" w:rsidRDefault="0077529B" w:rsidP="0077529B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an employee or contractor of the holder of a special circumstances exemption that entitles the holder of the exemption to acquire, possess or dispose of bulk refrigerant; and</w:t>
      </w:r>
    </w:p>
    <w:p w14:paraId="629374A9" w14:textId="77777777" w:rsidR="0077529B" w:rsidRPr="005A19A9" w:rsidRDefault="0077529B" w:rsidP="0077529B">
      <w:pPr>
        <w:pStyle w:val="paragraphsub"/>
      </w:pPr>
      <w:r w:rsidRPr="005A19A9">
        <w:tab/>
        <w:t>(ii)</w:t>
      </w:r>
      <w:r w:rsidRPr="005A19A9">
        <w:tab/>
        <w:t>a person that holds the relevant qualifications or</w:t>
      </w:r>
      <w:r w:rsidR="00DC5902" w:rsidRPr="005A19A9">
        <w:t xml:space="preserve"> has the relevant e</w:t>
      </w:r>
      <w:r w:rsidRPr="005A19A9">
        <w:t>xperience specified in the exemption.</w:t>
      </w:r>
    </w:p>
    <w:p w14:paraId="4DEF6384" w14:textId="77777777" w:rsidR="005613FF" w:rsidRPr="005A19A9" w:rsidRDefault="001E419E" w:rsidP="005613FF">
      <w:pPr>
        <w:pStyle w:val="ItemHead"/>
      </w:pPr>
      <w:bookmarkStart w:id="35" w:name="_Hlk117177869"/>
      <w:bookmarkEnd w:id="34"/>
      <w:r w:rsidRPr="005A19A9">
        <w:t>29</w:t>
      </w:r>
      <w:r w:rsidR="005613FF" w:rsidRPr="005A19A9">
        <w:t xml:space="preserve">  After </w:t>
      </w:r>
      <w:r w:rsidR="005A19A9" w:rsidRPr="005A19A9">
        <w:t>paragraph 1</w:t>
      </w:r>
      <w:r w:rsidR="005613FF" w:rsidRPr="005A19A9">
        <w:t>12(3)(b)</w:t>
      </w:r>
    </w:p>
    <w:p w14:paraId="73C99CE9" w14:textId="77777777" w:rsidR="005613FF" w:rsidRPr="005A19A9" w:rsidRDefault="005613FF" w:rsidP="005613FF">
      <w:pPr>
        <w:pStyle w:val="Item"/>
      </w:pPr>
      <w:r w:rsidRPr="005A19A9">
        <w:t>Insert:</w:t>
      </w:r>
    </w:p>
    <w:p w14:paraId="18958E4F" w14:textId="77777777" w:rsidR="005613FF" w:rsidRPr="005A19A9" w:rsidRDefault="005613FF" w:rsidP="005613FF">
      <w:pPr>
        <w:pStyle w:val="paragraph"/>
      </w:pPr>
      <w:bookmarkStart w:id="36" w:name="_Hlk118454692"/>
      <w:r w:rsidRPr="005A19A9">
        <w:tab/>
        <w:t>; or (c)</w:t>
      </w:r>
      <w:r w:rsidRPr="005A19A9">
        <w:tab/>
        <w:t>the holder of a special circumstances exemption</w:t>
      </w:r>
      <w:r w:rsidR="00AE6BE7" w:rsidRPr="005A19A9">
        <w:t xml:space="preserve"> </w:t>
      </w:r>
      <w:r w:rsidR="00D51A10" w:rsidRPr="005A19A9">
        <w:t xml:space="preserve">that entitles the holder to </w:t>
      </w:r>
      <w:r w:rsidR="00AE6BE7" w:rsidRPr="005A19A9">
        <w:t>acquire, possess or dispose of bulk refrigerant.</w:t>
      </w:r>
    </w:p>
    <w:bookmarkEnd w:id="35"/>
    <w:bookmarkEnd w:id="36"/>
    <w:p w14:paraId="3C812353" w14:textId="77777777" w:rsidR="00BF10AF" w:rsidRPr="005A19A9" w:rsidRDefault="001E419E" w:rsidP="00BF10AF">
      <w:pPr>
        <w:pStyle w:val="ItemHead"/>
      </w:pPr>
      <w:r w:rsidRPr="005A19A9">
        <w:t>30</w:t>
      </w:r>
      <w:r w:rsidR="00BF10AF" w:rsidRPr="005A19A9">
        <w:t xml:space="preserve">  </w:t>
      </w:r>
      <w:r w:rsidR="00E22FBD" w:rsidRPr="005A19A9">
        <w:t xml:space="preserve">After </w:t>
      </w:r>
      <w:r w:rsidR="005A19A9" w:rsidRPr="005A19A9">
        <w:t>paragraph 1</w:t>
      </w:r>
      <w:r w:rsidR="00BF10AF" w:rsidRPr="005A19A9">
        <w:t>13(1)</w:t>
      </w:r>
      <w:r w:rsidR="00E22FBD" w:rsidRPr="005A19A9">
        <w:t>(c)</w:t>
      </w:r>
    </w:p>
    <w:p w14:paraId="4134EA97" w14:textId="77777777" w:rsidR="00BF10AF" w:rsidRPr="005A19A9" w:rsidRDefault="00E22FBD" w:rsidP="00BF10AF">
      <w:pPr>
        <w:pStyle w:val="Item"/>
      </w:pPr>
      <w:r w:rsidRPr="005A19A9">
        <w:t>Insert</w:t>
      </w:r>
      <w:r w:rsidR="00BF10AF" w:rsidRPr="005A19A9">
        <w:t>:</w:t>
      </w:r>
    </w:p>
    <w:p w14:paraId="2618689E" w14:textId="77777777" w:rsidR="00BF10AF" w:rsidRPr="005A19A9" w:rsidRDefault="00BF10AF" w:rsidP="00BF10AF">
      <w:pPr>
        <w:pStyle w:val="paragraph"/>
      </w:pPr>
      <w:bookmarkStart w:id="37" w:name="_Hlk118454693"/>
      <w:bookmarkStart w:id="38" w:name="_Hlk117177870"/>
      <w:r w:rsidRPr="005A19A9">
        <w:lastRenderedPageBreak/>
        <w:tab/>
        <w:t>; or (d)</w:t>
      </w:r>
      <w:r w:rsidRPr="005A19A9">
        <w:tab/>
        <w:t>both:</w:t>
      </w:r>
    </w:p>
    <w:p w14:paraId="11722D00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holder of a special circumstances exemption; and</w:t>
      </w:r>
    </w:p>
    <w:p w14:paraId="643503EF" w14:textId="77777777" w:rsidR="00BF10AF" w:rsidRPr="005A19A9" w:rsidRDefault="00BF10AF" w:rsidP="00BF10AF">
      <w:pPr>
        <w:pStyle w:val="paragraphsub"/>
      </w:pPr>
      <w:r w:rsidRPr="005A19A9">
        <w:tab/>
        <w:t>(ii)</w:t>
      </w:r>
      <w:r w:rsidRPr="005A19A9">
        <w:tab/>
        <w:t>entitled under the exemption to possess halon; or</w:t>
      </w:r>
    </w:p>
    <w:p w14:paraId="60E4C4BC" w14:textId="77777777" w:rsidR="00BF10AF" w:rsidRPr="005A19A9" w:rsidRDefault="00BF10AF" w:rsidP="00BF10AF">
      <w:pPr>
        <w:pStyle w:val="paragraph"/>
      </w:pPr>
      <w:r w:rsidRPr="005A19A9">
        <w:tab/>
        <w:t xml:space="preserve"> (e)</w:t>
      </w:r>
      <w:r w:rsidRPr="005A19A9">
        <w:tab/>
        <w:t>both:</w:t>
      </w:r>
    </w:p>
    <w:p w14:paraId="435C4321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an employee or contract</w:t>
      </w:r>
      <w:r w:rsidR="00E22FBD" w:rsidRPr="005A19A9">
        <w:t>or</w:t>
      </w:r>
      <w:r w:rsidRPr="005A19A9">
        <w:t xml:space="preserve"> of the holder of a special circumstances exemption</w:t>
      </w:r>
      <w:r w:rsidR="00FB4374" w:rsidRPr="005A19A9">
        <w:t xml:space="preserve"> that entitles the holder of the exemption to possess halon</w:t>
      </w:r>
      <w:r w:rsidRPr="005A19A9">
        <w:t>; and</w:t>
      </w:r>
    </w:p>
    <w:p w14:paraId="458812DE" w14:textId="77777777" w:rsidR="00BF10AF" w:rsidRPr="005A19A9" w:rsidRDefault="00BF10AF" w:rsidP="00BF10AF">
      <w:pPr>
        <w:pStyle w:val="paragraphsub"/>
      </w:pPr>
      <w:r w:rsidRPr="005A19A9">
        <w:tab/>
        <w:t>(ii)</w:t>
      </w:r>
      <w:r w:rsidRPr="005A19A9">
        <w:tab/>
      </w:r>
      <w:r w:rsidR="00FB4374" w:rsidRPr="005A19A9">
        <w:t xml:space="preserve">a person that holds the relevant qualifications or </w:t>
      </w:r>
      <w:r w:rsidR="00DC5902" w:rsidRPr="005A19A9">
        <w:t xml:space="preserve">has the relevant </w:t>
      </w:r>
      <w:r w:rsidR="00FB4374" w:rsidRPr="005A19A9">
        <w:t>experience specified in the exemption</w:t>
      </w:r>
      <w:r w:rsidRPr="005A19A9">
        <w:t>.</w:t>
      </w:r>
    </w:p>
    <w:bookmarkEnd w:id="37"/>
    <w:p w14:paraId="1048AC3D" w14:textId="77777777" w:rsidR="00182EF8" w:rsidRPr="005A19A9" w:rsidRDefault="001E419E" w:rsidP="00D05449">
      <w:pPr>
        <w:pStyle w:val="ItemHead"/>
      </w:pPr>
      <w:r w:rsidRPr="005A19A9">
        <w:t>31</w:t>
      </w:r>
      <w:r w:rsidR="00C07242" w:rsidRPr="005A19A9">
        <w:t xml:space="preserve">  </w:t>
      </w:r>
      <w:r w:rsidR="005A19A9" w:rsidRPr="005A19A9">
        <w:t>Paragraph 1</w:t>
      </w:r>
      <w:r w:rsidR="00C07242" w:rsidRPr="005A19A9">
        <w:t>13(2)(b)</w:t>
      </w:r>
    </w:p>
    <w:p w14:paraId="4F044E9D" w14:textId="77777777" w:rsidR="00C07242" w:rsidRPr="005A19A9" w:rsidRDefault="00C07242" w:rsidP="00C07242">
      <w:pPr>
        <w:pStyle w:val="Item"/>
      </w:pPr>
      <w:r w:rsidRPr="005A19A9">
        <w:t>Omit “gave it to the operator of a refrigerant destruction facility”, substitute:</w:t>
      </w:r>
    </w:p>
    <w:p w14:paraId="7348CE8C" w14:textId="77777777" w:rsidR="00C07242" w:rsidRPr="005A19A9" w:rsidRDefault="00C07242" w:rsidP="00C07242">
      <w:pPr>
        <w:pStyle w:val="subsection2"/>
      </w:pPr>
      <w:r w:rsidRPr="005A19A9">
        <w:t>gave it to:</w:t>
      </w:r>
    </w:p>
    <w:p w14:paraId="4B28D82E" w14:textId="77777777" w:rsidR="00C07242" w:rsidRPr="005A19A9" w:rsidRDefault="00C07242" w:rsidP="00C07242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operator of a refrigerant destruction facility; or</w:t>
      </w:r>
    </w:p>
    <w:p w14:paraId="78FA3858" w14:textId="77777777" w:rsidR="00C07242" w:rsidRPr="005A19A9" w:rsidRDefault="00C07242" w:rsidP="00C07242">
      <w:pPr>
        <w:pStyle w:val="paragraphsub"/>
      </w:pPr>
      <w:r w:rsidRPr="005A19A9">
        <w:tab/>
      </w:r>
      <w:bookmarkStart w:id="39" w:name="_Hlk119598853"/>
      <w:r w:rsidRPr="005A19A9">
        <w:t>(ii)</w:t>
      </w:r>
      <w:r w:rsidRPr="005A19A9">
        <w:tab/>
        <w:t>the holder of a special circumstances exemption that entitles the holder to possess halon.</w:t>
      </w:r>
      <w:bookmarkEnd w:id="39"/>
    </w:p>
    <w:p w14:paraId="32508DCB" w14:textId="77777777" w:rsidR="00D05449" w:rsidRPr="005A19A9" w:rsidRDefault="001E419E" w:rsidP="00D05449">
      <w:pPr>
        <w:pStyle w:val="ItemHead"/>
      </w:pPr>
      <w:r w:rsidRPr="005A19A9">
        <w:t>32</w:t>
      </w:r>
      <w:r w:rsidR="00D05449" w:rsidRPr="005A19A9">
        <w:t xml:space="preserve">  After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="00D05449" w:rsidRPr="005A19A9">
        <w:t>13</w:t>
      </w:r>
      <w:r w:rsidR="005B0554" w:rsidRPr="005A19A9">
        <w:t>A</w:t>
      </w:r>
      <w:r w:rsidR="00D05449" w:rsidRPr="005A19A9">
        <w:t>(1A)</w:t>
      </w:r>
    </w:p>
    <w:p w14:paraId="575C681B" w14:textId="77777777" w:rsidR="00D05449" w:rsidRPr="005A19A9" w:rsidRDefault="00D05449" w:rsidP="00D05449">
      <w:pPr>
        <w:pStyle w:val="Item"/>
      </w:pPr>
      <w:r w:rsidRPr="005A19A9">
        <w:t>Insert:</w:t>
      </w:r>
    </w:p>
    <w:p w14:paraId="0F12B8F7" w14:textId="77777777" w:rsidR="00D05449" w:rsidRPr="005A19A9" w:rsidRDefault="00D05449" w:rsidP="00D05449">
      <w:pPr>
        <w:pStyle w:val="subsection"/>
      </w:pPr>
      <w:bookmarkStart w:id="40" w:name="_Hlk118454694"/>
      <w:r w:rsidRPr="005A19A9">
        <w:tab/>
        <w:t>(1B)</w:t>
      </w:r>
      <w:r w:rsidRPr="005A19A9">
        <w:tab/>
      </w:r>
      <w:proofErr w:type="spellStart"/>
      <w:r w:rsidRPr="005A19A9">
        <w:t>Subregulation</w:t>
      </w:r>
      <w:proofErr w:type="spellEnd"/>
      <w:r w:rsidRPr="005A19A9">
        <w:t xml:space="preserve"> (1) does not apply to a person if:</w:t>
      </w:r>
    </w:p>
    <w:p w14:paraId="5C4E9772" w14:textId="77777777" w:rsidR="004E47C8" w:rsidRPr="005A19A9" w:rsidRDefault="00D05449" w:rsidP="00D05449">
      <w:pPr>
        <w:pStyle w:val="paragraph"/>
      </w:pPr>
      <w:r w:rsidRPr="005A19A9">
        <w:tab/>
        <w:t>(a)</w:t>
      </w:r>
      <w:r w:rsidRPr="005A19A9">
        <w:tab/>
      </w:r>
      <w:r w:rsidR="004E47C8" w:rsidRPr="005A19A9">
        <w:t>at the time of making the representation, the person is an employee or contractor of the holder of a special circumstances exemption; and</w:t>
      </w:r>
    </w:p>
    <w:p w14:paraId="4E14E7B3" w14:textId="77777777" w:rsidR="005B0554" w:rsidRPr="005A19A9" w:rsidRDefault="004E47C8" w:rsidP="00D05449">
      <w:pPr>
        <w:pStyle w:val="paragraph"/>
      </w:pPr>
      <w:r w:rsidRPr="005A19A9">
        <w:tab/>
        <w:t>(b)</w:t>
      </w:r>
      <w:r w:rsidRPr="005A19A9">
        <w:tab/>
        <w:t xml:space="preserve">the </w:t>
      </w:r>
      <w:r w:rsidR="00E7696E" w:rsidRPr="005A19A9">
        <w:t xml:space="preserve">representation </w:t>
      </w:r>
      <w:r w:rsidR="005B0554" w:rsidRPr="005A19A9">
        <w:t xml:space="preserve">made by the person </w:t>
      </w:r>
      <w:r w:rsidR="00E7696E" w:rsidRPr="005A19A9">
        <w:t>is</w:t>
      </w:r>
      <w:r w:rsidR="005B0554" w:rsidRPr="005A19A9">
        <w:t xml:space="preserve"> for an activity covered by the exemption</w:t>
      </w:r>
      <w:r w:rsidR="00102F87" w:rsidRPr="005A19A9">
        <w:t>.</w:t>
      </w:r>
    </w:p>
    <w:p w14:paraId="13099E77" w14:textId="77777777" w:rsidR="00D05449" w:rsidRPr="005A19A9" w:rsidRDefault="00102F87" w:rsidP="00D05449">
      <w:pPr>
        <w:pStyle w:val="notetext"/>
      </w:pPr>
      <w:r w:rsidRPr="005A19A9">
        <w:t>N</w:t>
      </w:r>
      <w:r w:rsidR="00D05449" w:rsidRPr="005A19A9">
        <w:t>ote:</w:t>
      </w:r>
      <w:r w:rsidR="00D05449" w:rsidRPr="005A19A9">
        <w:tab/>
        <w:t xml:space="preserve">A defendant bears an evidential burden in relation to the matters in </w:t>
      </w:r>
      <w:proofErr w:type="spellStart"/>
      <w:r w:rsidR="00D05449" w:rsidRPr="005A19A9">
        <w:t>subregulation</w:t>
      </w:r>
      <w:proofErr w:type="spellEnd"/>
      <w:r w:rsidR="00D05449" w:rsidRPr="005A19A9">
        <w:t xml:space="preserve"> (1B)—see </w:t>
      </w:r>
      <w:r w:rsidR="005A19A9" w:rsidRPr="005A19A9">
        <w:t>subsection 1</w:t>
      </w:r>
      <w:r w:rsidR="00D05449" w:rsidRPr="005A19A9">
        <w:t xml:space="preserve">3.3(3) of the </w:t>
      </w:r>
      <w:r w:rsidR="00D05449" w:rsidRPr="005A19A9">
        <w:rPr>
          <w:i/>
        </w:rPr>
        <w:t>Criminal Code</w:t>
      </w:r>
      <w:r w:rsidR="00D05449" w:rsidRPr="005A19A9">
        <w:t>.</w:t>
      </w:r>
    </w:p>
    <w:bookmarkEnd w:id="38"/>
    <w:bookmarkEnd w:id="40"/>
    <w:p w14:paraId="7310E5F0" w14:textId="77777777" w:rsidR="00BF10AF" w:rsidRPr="005A19A9" w:rsidRDefault="001E419E" w:rsidP="00BF10AF">
      <w:pPr>
        <w:pStyle w:val="ItemHead"/>
      </w:pPr>
      <w:r w:rsidRPr="005A19A9">
        <w:t>33</w:t>
      </w:r>
      <w:r w:rsidR="00BF10AF" w:rsidRPr="005A19A9">
        <w:t xml:space="preserve">  </w:t>
      </w:r>
      <w:r w:rsidR="005A19A9" w:rsidRPr="005A19A9">
        <w:t>Regulation 1</w:t>
      </w:r>
      <w:r w:rsidR="00BF10AF" w:rsidRPr="005A19A9">
        <w:t>20 (heading)</w:t>
      </w:r>
    </w:p>
    <w:p w14:paraId="6A52168E" w14:textId="77777777" w:rsidR="00BF10AF" w:rsidRPr="005A19A9" w:rsidRDefault="00BF10AF" w:rsidP="00BF10AF">
      <w:pPr>
        <w:pStyle w:val="Item"/>
      </w:pPr>
      <w:r w:rsidRPr="005A19A9">
        <w:t>Omit “</w:t>
      </w:r>
      <w:r w:rsidRPr="005A19A9">
        <w:rPr>
          <w:b/>
        </w:rPr>
        <w:t>Relevant authority’s</w:t>
      </w:r>
      <w:r w:rsidRPr="005A19A9">
        <w:t>”, substitute “</w:t>
      </w:r>
      <w:bookmarkStart w:id="41" w:name="_Hlk117177872"/>
      <w:r w:rsidRPr="005A19A9">
        <w:rPr>
          <w:b/>
        </w:rPr>
        <w:t>Minister’s</w:t>
      </w:r>
      <w:bookmarkEnd w:id="41"/>
      <w:r w:rsidRPr="005A19A9">
        <w:t>”.</w:t>
      </w:r>
    </w:p>
    <w:p w14:paraId="6A3834DA" w14:textId="77777777" w:rsidR="00C07242" w:rsidRPr="005A19A9" w:rsidRDefault="001E419E" w:rsidP="00C07242">
      <w:pPr>
        <w:pStyle w:val="ItemHead"/>
      </w:pPr>
      <w:r w:rsidRPr="005A19A9">
        <w:t>34</w:t>
      </w:r>
      <w:r w:rsidR="00C07242" w:rsidRPr="005A19A9">
        <w:t xml:space="preserve">  </w:t>
      </w:r>
      <w:r w:rsidR="005A19A9" w:rsidRPr="005A19A9">
        <w:t>Paragraph 1</w:t>
      </w:r>
      <w:r w:rsidR="00C07242" w:rsidRPr="005A19A9">
        <w:t>21(1)(c)</w:t>
      </w:r>
    </w:p>
    <w:p w14:paraId="09508549" w14:textId="77777777" w:rsidR="00C07242" w:rsidRPr="005A19A9" w:rsidRDefault="00C07242" w:rsidP="00C07242">
      <w:pPr>
        <w:pStyle w:val="Item"/>
      </w:pPr>
      <w:r w:rsidRPr="005A19A9">
        <w:t>After “fee”, insert “</w:t>
      </w:r>
      <w:bookmarkStart w:id="42" w:name="_Hlk119598279"/>
      <w:r w:rsidRPr="005A19A9">
        <w:t>(if any)</w:t>
      </w:r>
      <w:bookmarkEnd w:id="42"/>
      <w:r w:rsidRPr="005A19A9">
        <w:t>”.</w:t>
      </w:r>
    </w:p>
    <w:p w14:paraId="7115FF2F" w14:textId="77777777" w:rsidR="009D2D28" w:rsidRPr="005A19A9" w:rsidRDefault="001E419E" w:rsidP="00BF10AF">
      <w:pPr>
        <w:pStyle w:val="ItemHead"/>
      </w:pPr>
      <w:r w:rsidRPr="005A19A9">
        <w:t>35</w:t>
      </w:r>
      <w:r w:rsidR="0019736B" w:rsidRPr="005A19A9">
        <w:t xml:space="preserve">  </w:t>
      </w:r>
      <w:r w:rsidR="005A19A9" w:rsidRPr="005A19A9">
        <w:t>Paragraph 1</w:t>
      </w:r>
      <w:r w:rsidR="0019736B" w:rsidRPr="005A19A9">
        <w:t>21(1)(c) (note)</w:t>
      </w:r>
    </w:p>
    <w:p w14:paraId="73EB9AB8" w14:textId="77777777" w:rsidR="0019736B" w:rsidRPr="005A19A9" w:rsidRDefault="0019736B" w:rsidP="0019736B">
      <w:pPr>
        <w:pStyle w:val="Item"/>
      </w:pPr>
      <w:r w:rsidRPr="005A19A9">
        <w:t>Repeal the note.</w:t>
      </w:r>
    </w:p>
    <w:p w14:paraId="309B6D5F" w14:textId="77777777" w:rsidR="00350BDD" w:rsidRPr="005A19A9" w:rsidRDefault="001E419E" w:rsidP="00BF10AF">
      <w:pPr>
        <w:pStyle w:val="ItemHead"/>
      </w:pPr>
      <w:r w:rsidRPr="005A19A9">
        <w:t>36</w:t>
      </w:r>
      <w:r w:rsidR="00BF10AF" w:rsidRPr="005A19A9">
        <w:t xml:space="preserve">  </w:t>
      </w:r>
      <w:r w:rsidR="005A19A9" w:rsidRPr="005A19A9">
        <w:t>Paragraph 1</w:t>
      </w:r>
      <w:r w:rsidR="00350BDD" w:rsidRPr="005A19A9">
        <w:t>21(1)(d)</w:t>
      </w:r>
    </w:p>
    <w:p w14:paraId="55BF97F9" w14:textId="77777777" w:rsidR="00350BDD" w:rsidRPr="005A19A9" w:rsidRDefault="00350BDD" w:rsidP="00350BDD">
      <w:pPr>
        <w:pStyle w:val="Item"/>
      </w:pPr>
      <w:r w:rsidRPr="005A19A9">
        <w:t>Repeal the paragraph, substitute:</w:t>
      </w:r>
    </w:p>
    <w:p w14:paraId="323609B8" w14:textId="77777777" w:rsidR="00350BDD" w:rsidRPr="005A19A9" w:rsidRDefault="00350BDD" w:rsidP="00112D20">
      <w:pPr>
        <w:pStyle w:val="paragraph"/>
      </w:pPr>
      <w:bookmarkStart w:id="43" w:name="_Hlk118454695"/>
      <w:r w:rsidRPr="005A19A9">
        <w:tab/>
        <w:t>(d)</w:t>
      </w:r>
      <w:r w:rsidRPr="005A19A9">
        <w:tab/>
        <w:t xml:space="preserve">be accompanied by </w:t>
      </w:r>
      <w:r w:rsidR="00112D20" w:rsidRPr="005A19A9">
        <w:t xml:space="preserve">any </w:t>
      </w:r>
      <w:r w:rsidR="00EE676A" w:rsidRPr="005A19A9">
        <w:t xml:space="preserve">information or documents </w:t>
      </w:r>
      <w:r w:rsidRPr="005A19A9">
        <w:t>required by the form.</w:t>
      </w:r>
    </w:p>
    <w:p w14:paraId="5E1F9EA6" w14:textId="77777777" w:rsidR="0019736B" w:rsidRPr="005A19A9" w:rsidRDefault="0019736B" w:rsidP="0019736B">
      <w:pPr>
        <w:pStyle w:val="notetext"/>
      </w:pPr>
      <w:r w:rsidRPr="005A19A9">
        <w:t>Note 1:</w:t>
      </w:r>
      <w:r w:rsidRPr="005A19A9">
        <w:tab/>
        <w:t xml:space="preserve">Application fees for </w:t>
      </w:r>
      <w:r w:rsidR="005A19A9" w:rsidRPr="005A19A9">
        <w:t>Part 6</w:t>
      </w:r>
      <w:r w:rsidRPr="005A19A9">
        <w:t xml:space="preserve">A are set out in </w:t>
      </w:r>
      <w:r w:rsidR="005A19A9" w:rsidRPr="005A19A9">
        <w:t>Division 6</w:t>
      </w:r>
      <w:r w:rsidRPr="005A19A9">
        <w:t>A.4A.</w:t>
      </w:r>
    </w:p>
    <w:p w14:paraId="7E163917" w14:textId="77777777" w:rsidR="0019736B" w:rsidRPr="005A19A9" w:rsidRDefault="0019736B" w:rsidP="0019736B">
      <w:pPr>
        <w:pStyle w:val="notetext"/>
      </w:pPr>
      <w:r w:rsidRPr="005A19A9">
        <w:t>Note 2:</w:t>
      </w:r>
      <w:r w:rsidRPr="005A19A9">
        <w:tab/>
        <w:t>The Minister may approve different forms for different</w:t>
      </w:r>
      <w:r w:rsidR="00532B1D" w:rsidRPr="005A19A9">
        <w:t xml:space="preserve"> </w:t>
      </w:r>
      <w:proofErr w:type="spellStart"/>
      <w:r w:rsidR="00532B1D" w:rsidRPr="005A19A9">
        <w:t>RAC</w:t>
      </w:r>
      <w:proofErr w:type="spellEnd"/>
      <w:r w:rsidR="00532B1D" w:rsidRPr="005A19A9">
        <w:t xml:space="preserve"> Industry</w:t>
      </w:r>
      <w:r w:rsidRPr="005A19A9">
        <w:t xml:space="preserve"> permits</w:t>
      </w:r>
      <w:r w:rsidR="00532B1D" w:rsidRPr="005A19A9">
        <w:t>.</w:t>
      </w:r>
    </w:p>
    <w:bookmarkEnd w:id="43"/>
    <w:p w14:paraId="3599320C" w14:textId="77777777" w:rsidR="00112D20" w:rsidRPr="005A19A9" w:rsidRDefault="001E419E" w:rsidP="00112D20">
      <w:pPr>
        <w:pStyle w:val="ItemHead"/>
      </w:pPr>
      <w:r w:rsidRPr="005A19A9">
        <w:t>37</w:t>
      </w:r>
      <w:r w:rsidR="00112D20" w:rsidRPr="005A19A9">
        <w:t xml:space="preserve"> 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="00112D20" w:rsidRPr="005A19A9">
        <w:t>21(1A)</w:t>
      </w:r>
    </w:p>
    <w:p w14:paraId="5121D897" w14:textId="77777777" w:rsidR="00112D20" w:rsidRPr="005A19A9" w:rsidRDefault="00112D20" w:rsidP="00112D20">
      <w:pPr>
        <w:pStyle w:val="Item"/>
      </w:pPr>
      <w:r w:rsidRPr="005A19A9">
        <w:t xml:space="preserve">Repeal the </w:t>
      </w:r>
      <w:proofErr w:type="spellStart"/>
      <w:r w:rsidRPr="005A19A9">
        <w:t>subregulation</w:t>
      </w:r>
      <w:proofErr w:type="spellEnd"/>
      <w:r w:rsidRPr="005A19A9">
        <w:t>.</w:t>
      </w:r>
    </w:p>
    <w:p w14:paraId="1A7EF7B8" w14:textId="77777777" w:rsidR="00496357" w:rsidRPr="005A19A9" w:rsidRDefault="001E419E" w:rsidP="00496357">
      <w:pPr>
        <w:pStyle w:val="ItemHead"/>
      </w:pPr>
      <w:r w:rsidRPr="005A19A9">
        <w:t>38</w:t>
      </w:r>
      <w:r w:rsidR="00496357" w:rsidRPr="005A19A9">
        <w:t xml:space="preserve"> 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="00496357" w:rsidRPr="005A19A9">
        <w:t>21(1B)</w:t>
      </w:r>
    </w:p>
    <w:p w14:paraId="13F1FFAD" w14:textId="77777777" w:rsidR="00496357" w:rsidRPr="005A19A9" w:rsidRDefault="00496357" w:rsidP="00496357">
      <w:pPr>
        <w:pStyle w:val="Item"/>
      </w:pPr>
      <w:r w:rsidRPr="005A19A9">
        <w:t>Omit “However, if”, substitute “</w:t>
      </w:r>
      <w:bookmarkStart w:id="44" w:name="_Hlk119598282"/>
      <w:r w:rsidRPr="005A19A9">
        <w:t>If</w:t>
      </w:r>
      <w:bookmarkEnd w:id="44"/>
      <w:r w:rsidRPr="005A19A9">
        <w:t>”.</w:t>
      </w:r>
    </w:p>
    <w:p w14:paraId="45EA3B4E" w14:textId="77777777" w:rsidR="00112D20" w:rsidRPr="005A19A9" w:rsidRDefault="001E419E" w:rsidP="00112D20">
      <w:pPr>
        <w:pStyle w:val="ItemHead"/>
      </w:pPr>
      <w:r w:rsidRPr="005A19A9">
        <w:lastRenderedPageBreak/>
        <w:t>39</w:t>
      </w:r>
      <w:r w:rsidR="00112D20" w:rsidRPr="005A19A9">
        <w:t xml:space="preserve"> 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="00112D20" w:rsidRPr="005A19A9">
        <w:t>21(1B)</w:t>
      </w:r>
    </w:p>
    <w:p w14:paraId="45F206A9" w14:textId="77777777" w:rsidR="00112D20" w:rsidRPr="005A19A9" w:rsidRDefault="00112D20" w:rsidP="00112D20">
      <w:pPr>
        <w:pStyle w:val="Item"/>
      </w:pPr>
      <w:r w:rsidRPr="005A19A9">
        <w:t xml:space="preserve">Omit “details or evidence required by a paragraph of </w:t>
      </w:r>
      <w:proofErr w:type="spellStart"/>
      <w:r w:rsidRPr="005A19A9">
        <w:t>subregulation</w:t>
      </w:r>
      <w:proofErr w:type="spellEnd"/>
      <w:r w:rsidRPr="005A19A9">
        <w:t xml:space="preserve"> (1A)”, substitute “</w:t>
      </w:r>
      <w:bookmarkStart w:id="45" w:name="_Hlk118454696"/>
      <w:r w:rsidR="00363AC1" w:rsidRPr="005A19A9">
        <w:t>information</w:t>
      </w:r>
      <w:r w:rsidR="00EE676A" w:rsidRPr="005A19A9">
        <w:t xml:space="preserve"> or documents</w:t>
      </w:r>
      <w:r w:rsidR="00363AC1" w:rsidRPr="005A19A9">
        <w:t xml:space="preserve"> required to accompany the form</w:t>
      </w:r>
      <w:bookmarkEnd w:id="45"/>
      <w:r w:rsidRPr="005A19A9">
        <w:t>”.</w:t>
      </w:r>
    </w:p>
    <w:p w14:paraId="70F66DBD" w14:textId="77777777" w:rsidR="00EB4B7C" w:rsidRPr="005A19A9" w:rsidRDefault="001E419E" w:rsidP="00EB4B7C">
      <w:pPr>
        <w:pStyle w:val="ItemHead"/>
      </w:pPr>
      <w:r w:rsidRPr="005A19A9">
        <w:t>40</w:t>
      </w:r>
      <w:r w:rsidR="00EB4B7C" w:rsidRPr="005A19A9">
        <w:t xml:space="preserve">  Paragraphs 121(1B)(d) and (e)</w:t>
      </w:r>
    </w:p>
    <w:p w14:paraId="38DCDE87" w14:textId="77777777" w:rsidR="00EB4B7C" w:rsidRPr="005A19A9" w:rsidRDefault="00EB4B7C" w:rsidP="00EB4B7C">
      <w:pPr>
        <w:pStyle w:val="Item"/>
      </w:pPr>
      <w:r w:rsidRPr="005A19A9">
        <w:t>Omit “matter mentioned in the paragraph”, substitute “information or documents”.</w:t>
      </w:r>
    </w:p>
    <w:p w14:paraId="0C51A60E" w14:textId="77777777" w:rsidR="00BF10AF" w:rsidRPr="005A19A9" w:rsidRDefault="001E419E" w:rsidP="00E574D7">
      <w:pPr>
        <w:pStyle w:val="ItemHead"/>
      </w:pPr>
      <w:r w:rsidRPr="005A19A9">
        <w:t>41</w:t>
      </w:r>
      <w:r w:rsidR="00BF10AF" w:rsidRPr="005A19A9">
        <w:t xml:space="preserve">  After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="00BF10AF" w:rsidRPr="005A19A9">
        <w:t>21(</w:t>
      </w:r>
      <w:r w:rsidR="00CF7071" w:rsidRPr="005A19A9">
        <w:t>1C</w:t>
      </w:r>
      <w:r w:rsidR="00BF10AF" w:rsidRPr="005A19A9">
        <w:t>)</w:t>
      </w:r>
    </w:p>
    <w:p w14:paraId="335C25BA" w14:textId="77777777" w:rsidR="00BF10AF" w:rsidRPr="005A19A9" w:rsidRDefault="00BF10AF" w:rsidP="00BF10AF">
      <w:pPr>
        <w:pStyle w:val="Item"/>
      </w:pPr>
      <w:r w:rsidRPr="005A19A9">
        <w:t>Insert:</w:t>
      </w:r>
    </w:p>
    <w:p w14:paraId="712024B6" w14:textId="77777777" w:rsidR="00E22C94" w:rsidRPr="005A19A9" w:rsidRDefault="00E22C94" w:rsidP="00BF10AF">
      <w:pPr>
        <w:pStyle w:val="subsection"/>
      </w:pPr>
      <w:bookmarkStart w:id="46" w:name="_Hlk117177879"/>
      <w:r w:rsidRPr="005A19A9">
        <w:tab/>
        <w:t>(1D)</w:t>
      </w:r>
      <w:r w:rsidRPr="005A19A9">
        <w:tab/>
        <w:t>The relevant authority may, in writing, ask the applicant to give the</w:t>
      </w:r>
      <w:r w:rsidR="00CE265D" w:rsidRPr="005A19A9">
        <w:t xml:space="preserve"> </w:t>
      </w:r>
      <w:r w:rsidRPr="005A19A9">
        <w:t>authority additional information or documents relevant to the application.</w:t>
      </w:r>
    </w:p>
    <w:bookmarkEnd w:id="46"/>
    <w:p w14:paraId="792D59A4" w14:textId="77777777" w:rsidR="00BF10AF" w:rsidRPr="005A19A9" w:rsidRDefault="001E419E" w:rsidP="00E22C94">
      <w:pPr>
        <w:pStyle w:val="ItemHead"/>
      </w:pPr>
      <w:r w:rsidRPr="005A19A9">
        <w:t>42</w:t>
      </w:r>
      <w:r w:rsidR="00BF10AF" w:rsidRPr="005A19A9">
        <w:t xml:space="preserve">  </w:t>
      </w:r>
      <w:r w:rsidR="005A19A9" w:rsidRPr="005A19A9">
        <w:t>Paragraph 1</w:t>
      </w:r>
      <w:r w:rsidR="00BF10AF" w:rsidRPr="005A19A9">
        <w:t>21(2)(a)</w:t>
      </w:r>
    </w:p>
    <w:p w14:paraId="5BD4EEC6" w14:textId="77777777" w:rsidR="00BF10AF" w:rsidRPr="005A19A9" w:rsidRDefault="00BF10AF" w:rsidP="00BF10AF">
      <w:pPr>
        <w:pStyle w:val="Item"/>
      </w:pPr>
      <w:r w:rsidRPr="005A19A9">
        <w:t>Repeal the paragraph, substitute:</w:t>
      </w:r>
    </w:p>
    <w:p w14:paraId="12D9080F" w14:textId="77777777" w:rsidR="00BF10AF" w:rsidRPr="005A19A9" w:rsidRDefault="00BF10AF" w:rsidP="00BF10AF">
      <w:pPr>
        <w:pStyle w:val="paragraph"/>
      </w:pPr>
      <w:bookmarkStart w:id="47" w:name="_Hlk119598283"/>
      <w:bookmarkStart w:id="48" w:name="_Hlk117177880"/>
      <w:r w:rsidRPr="005A19A9">
        <w:tab/>
        <w:t>(a)</w:t>
      </w:r>
      <w:r w:rsidRPr="005A19A9">
        <w:tab/>
        <w:t xml:space="preserve">provided all of the information and documents required under </w:t>
      </w:r>
      <w:proofErr w:type="spellStart"/>
      <w:r w:rsidRPr="005A19A9">
        <w:t>subregulation</w:t>
      </w:r>
      <w:proofErr w:type="spellEnd"/>
      <w:r w:rsidRPr="005A19A9">
        <w:t xml:space="preserve"> (1); or</w:t>
      </w:r>
    </w:p>
    <w:bookmarkEnd w:id="47"/>
    <w:p w14:paraId="2B16F108" w14:textId="77777777" w:rsidR="005B17F3" w:rsidRPr="005A19A9" w:rsidRDefault="001E419E" w:rsidP="005B17F3">
      <w:pPr>
        <w:pStyle w:val="ItemHead"/>
      </w:pPr>
      <w:r w:rsidRPr="005A19A9">
        <w:t>43</w:t>
      </w:r>
      <w:r w:rsidR="005B17F3" w:rsidRPr="005A19A9">
        <w:t xml:space="preserve"> </w:t>
      </w:r>
      <w:r w:rsidR="00DF4B9B" w:rsidRPr="005A19A9">
        <w:t xml:space="preserve"> </w:t>
      </w:r>
      <w:r w:rsidR="005A19A9" w:rsidRPr="005A19A9">
        <w:t>Paragraph 1</w:t>
      </w:r>
      <w:r w:rsidR="005B17F3" w:rsidRPr="005A19A9">
        <w:t>21(2)(b)</w:t>
      </w:r>
    </w:p>
    <w:p w14:paraId="2A29819F" w14:textId="77777777" w:rsidR="005B17F3" w:rsidRPr="005A19A9" w:rsidRDefault="005B17F3" w:rsidP="005B17F3">
      <w:pPr>
        <w:pStyle w:val="Item"/>
      </w:pPr>
      <w:r w:rsidRPr="005A19A9">
        <w:t>Omit “</w:t>
      </w:r>
      <w:r w:rsidR="00DF4B9B" w:rsidRPr="005A19A9">
        <w:t>or the Minister”.</w:t>
      </w:r>
    </w:p>
    <w:bookmarkEnd w:id="48"/>
    <w:p w14:paraId="155E6FB4" w14:textId="77777777" w:rsidR="00BF10AF" w:rsidRPr="005A19A9" w:rsidRDefault="001E419E" w:rsidP="00BF10AF">
      <w:pPr>
        <w:pStyle w:val="ItemHead"/>
      </w:pPr>
      <w:r w:rsidRPr="005A19A9">
        <w:t>44</w:t>
      </w:r>
      <w:r w:rsidR="00BF10AF" w:rsidRPr="005A19A9">
        <w:t xml:space="preserve">  </w:t>
      </w:r>
      <w:r w:rsidR="005A19A9" w:rsidRPr="005A19A9">
        <w:t>Paragraph 1</w:t>
      </w:r>
      <w:r w:rsidR="00BF10AF" w:rsidRPr="005A19A9">
        <w:t>21(2)(c)</w:t>
      </w:r>
    </w:p>
    <w:p w14:paraId="62F0160B" w14:textId="77777777" w:rsidR="00BF10AF" w:rsidRPr="005A19A9" w:rsidRDefault="00BF10AF" w:rsidP="00BF10AF">
      <w:pPr>
        <w:pStyle w:val="Item"/>
      </w:pPr>
      <w:r w:rsidRPr="005A19A9">
        <w:t>Omit “information”, substitute “</w:t>
      </w:r>
      <w:bookmarkStart w:id="49" w:name="_Hlk117177881"/>
      <w:r w:rsidRPr="005A19A9">
        <w:t>information, documents</w:t>
      </w:r>
      <w:bookmarkEnd w:id="49"/>
      <w:r w:rsidRPr="005A19A9">
        <w:t>”.</w:t>
      </w:r>
    </w:p>
    <w:p w14:paraId="2F8A930B" w14:textId="77777777" w:rsidR="00BF10AF" w:rsidRPr="005A19A9" w:rsidRDefault="001E419E" w:rsidP="00BF10AF">
      <w:pPr>
        <w:pStyle w:val="ItemHead"/>
      </w:pPr>
      <w:r w:rsidRPr="005A19A9">
        <w:t>45</w:t>
      </w:r>
      <w:r w:rsidR="00BF10AF" w:rsidRPr="005A19A9">
        <w:t xml:space="preserve">  </w:t>
      </w:r>
      <w:r w:rsidR="005A19A9" w:rsidRPr="005A19A9">
        <w:t>Paragraph 1</w:t>
      </w:r>
      <w:r w:rsidR="00BF10AF" w:rsidRPr="005A19A9">
        <w:t>21(2)(d)</w:t>
      </w:r>
    </w:p>
    <w:p w14:paraId="7237C7D0" w14:textId="77777777" w:rsidR="00BF10AF" w:rsidRPr="005A19A9" w:rsidRDefault="00BF10AF" w:rsidP="00BF10AF">
      <w:pPr>
        <w:pStyle w:val="Item"/>
      </w:pPr>
      <w:r w:rsidRPr="005A19A9">
        <w:t>After “information”, insert “</w:t>
      </w:r>
      <w:bookmarkStart w:id="50" w:name="_Hlk117177882"/>
      <w:r w:rsidR="00CF7071" w:rsidRPr="005A19A9">
        <w:t xml:space="preserve">or </w:t>
      </w:r>
      <w:r w:rsidRPr="005A19A9">
        <w:t>documents</w:t>
      </w:r>
      <w:bookmarkEnd w:id="50"/>
      <w:r w:rsidRPr="005A19A9">
        <w:t>”.</w:t>
      </w:r>
    </w:p>
    <w:p w14:paraId="60F966F4" w14:textId="77777777" w:rsidR="00BF10AF" w:rsidRPr="005A19A9" w:rsidRDefault="001E419E" w:rsidP="00BF10AF">
      <w:pPr>
        <w:pStyle w:val="ItemHead"/>
      </w:pPr>
      <w:r w:rsidRPr="005A19A9">
        <w:t>46</w:t>
      </w:r>
      <w:r w:rsidR="00BF10AF" w:rsidRPr="005A19A9">
        <w:t xml:space="preserve">  </w:t>
      </w:r>
      <w:r w:rsidR="005A19A9" w:rsidRPr="005A19A9">
        <w:t>Paragraph 1</w:t>
      </w:r>
      <w:r w:rsidR="00BF10AF" w:rsidRPr="005A19A9">
        <w:t>21(3)(b)</w:t>
      </w:r>
    </w:p>
    <w:p w14:paraId="5AEF8A29" w14:textId="77777777" w:rsidR="00BF10AF" w:rsidRPr="005A19A9" w:rsidRDefault="00BF10AF" w:rsidP="00BF10AF">
      <w:pPr>
        <w:pStyle w:val="Item"/>
      </w:pPr>
      <w:r w:rsidRPr="005A19A9">
        <w:t>After “information” (wherever occurring), insert “</w:t>
      </w:r>
      <w:bookmarkStart w:id="51" w:name="_Hlk117177883"/>
      <w:r w:rsidRPr="005A19A9">
        <w:t>, documents</w:t>
      </w:r>
      <w:bookmarkEnd w:id="51"/>
      <w:r w:rsidRPr="005A19A9">
        <w:t>”.</w:t>
      </w:r>
    </w:p>
    <w:p w14:paraId="329439D6" w14:textId="77777777" w:rsidR="00BF10AF" w:rsidRPr="005A19A9" w:rsidRDefault="001E419E" w:rsidP="00BF10AF">
      <w:pPr>
        <w:pStyle w:val="ItemHead"/>
      </w:pPr>
      <w:r w:rsidRPr="005A19A9">
        <w:t>47</w:t>
      </w:r>
      <w:r w:rsidR="00BF10AF" w:rsidRPr="005A19A9">
        <w:t xml:space="preserve">  At the end of </w:t>
      </w:r>
      <w:r w:rsidR="005A19A9" w:rsidRPr="005A19A9">
        <w:t>regulation 1</w:t>
      </w:r>
      <w:r w:rsidR="00BF10AF" w:rsidRPr="005A19A9">
        <w:t>21</w:t>
      </w:r>
    </w:p>
    <w:p w14:paraId="7B7B92A4" w14:textId="77777777" w:rsidR="00BF10AF" w:rsidRPr="005A19A9" w:rsidRDefault="00BF10AF" w:rsidP="00BF10AF">
      <w:pPr>
        <w:pStyle w:val="Item"/>
      </w:pPr>
      <w:r w:rsidRPr="005A19A9">
        <w:t>Add:</w:t>
      </w:r>
    </w:p>
    <w:p w14:paraId="4EB59DDB" w14:textId="77777777" w:rsidR="00BF10AF" w:rsidRPr="005A19A9" w:rsidRDefault="00BF10AF" w:rsidP="00BF10AF">
      <w:pPr>
        <w:pStyle w:val="subsection"/>
      </w:pPr>
      <w:bookmarkStart w:id="52" w:name="_Hlk117177884"/>
      <w:r w:rsidRPr="005A19A9">
        <w:tab/>
        <w:t>(4)</w:t>
      </w:r>
      <w:r w:rsidRPr="005A19A9">
        <w:tab/>
        <w:t>An applicant may withdraw an application at any time before the relevant authority decides the application.</w:t>
      </w:r>
    </w:p>
    <w:p w14:paraId="2875B333" w14:textId="77777777" w:rsidR="00BF10AF" w:rsidRPr="005A19A9" w:rsidRDefault="00BF10AF" w:rsidP="00BF10AF">
      <w:pPr>
        <w:pStyle w:val="subsection"/>
      </w:pPr>
      <w:r w:rsidRPr="005A19A9">
        <w:tab/>
        <w:t>(5)</w:t>
      </w:r>
      <w:r w:rsidRPr="005A19A9">
        <w:tab/>
        <w:t>An applicant is taken to have withdrawn an application if:</w:t>
      </w:r>
    </w:p>
    <w:p w14:paraId="466880CC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>the relevant authority asks the applicant for information, documents or consent; and</w:t>
      </w:r>
    </w:p>
    <w:p w14:paraId="3221E0B6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 xml:space="preserve">the applicant does not provide the information, documents or consent within </w:t>
      </w:r>
      <w:r w:rsidR="00E44320" w:rsidRPr="005A19A9">
        <w:t>120</w:t>
      </w:r>
      <w:r w:rsidRPr="005A19A9">
        <w:t xml:space="preserve"> days of the authority’s request.</w:t>
      </w:r>
    </w:p>
    <w:p w14:paraId="58B66E59" w14:textId="77777777" w:rsidR="00BF10AF" w:rsidRPr="005A19A9" w:rsidRDefault="00BF10AF" w:rsidP="00BF10AF">
      <w:pPr>
        <w:pStyle w:val="subsection"/>
      </w:pPr>
      <w:r w:rsidRPr="005A19A9">
        <w:tab/>
        <w:t>(6)</w:t>
      </w:r>
      <w:r w:rsidRPr="005A19A9">
        <w:tab/>
        <w:t xml:space="preserve">Subject to </w:t>
      </w:r>
      <w:r w:rsidR="005A19A9" w:rsidRPr="005A19A9">
        <w:t>regulation 1</w:t>
      </w:r>
      <w:r w:rsidRPr="005A19A9">
        <w:t>21B, the fee for an application is not refundable if the applicant withdraws</w:t>
      </w:r>
      <w:r w:rsidR="001D0A3A" w:rsidRPr="005A19A9">
        <w:t>, or is take</w:t>
      </w:r>
      <w:r w:rsidR="005D4826">
        <w:t>n</w:t>
      </w:r>
      <w:r w:rsidR="001D0A3A" w:rsidRPr="005A19A9">
        <w:t xml:space="preserve"> to have withdrawn,</w:t>
      </w:r>
      <w:r w:rsidRPr="005A19A9">
        <w:t xml:space="preserve"> the application.</w:t>
      </w:r>
    </w:p>
    <w:bookmarkEnd w:id="52"/>
    <w:p w14:paraId="69B42A11" w14:textId="77777777" w:rsidR="00BF10AF" w:rsidRPr="005A19A9" w:rsidRDefault="001E419E" w:rsidP="00BF10AF">
      <w:pPr>
        <w:pStyle w:val="ItemHead"/>
      </w:pPr>
      <w:r w:rsidRPr="005A19A9">
        <w:t>48</w:t>
      </w:r>
      <w:r w:rsidR="00BF10AF" w:rsidRPr="005A19A9">
        <w:t xml:space="preserve">  </w:t>
      </w:r>
      <w:proofErr w:type="spellStart"/>
      <w:r w:rsidR="003B4A84" w:rsidRPr="005A19A9">
        <w:t>Subregulations</w:t>
      </w:r>
      <w:proofErr w:type="spellEnd"/>
      <w:r w:rsidR="003B4A84" w:rsidRPr="005A19A9">
        <w:t> 1</w:t>
      </w:r>
      <w:r w:rsidR="00BF10AF" w:rsidRPr="005A19A9">
        <w:t>21A(4) to (6)</w:t>
      </w:r>
    </w:p>
    <w:p w14:paraId="3FBEB0EE" w14:textId="77777777" w:rsidR="00BF10AF" w:rsidRPr="005A19A9" w:rsidRDefault="00BF10AF" w:rsidP="00BF10AF">
      <w:pPr>
        <w:pStyle w:val="Item"/>
      </w:pPr>
      <w:r w:rsidRPr="005A19A9">
        <w:t xml:space="preserve">Repeal the </w:t>
      </w:r>
      <w:proofErr w:type="spellStart"/>
      <w:r w:rsidRPr="005A19A9">
        <w:t>subregulations</w:t>
      </w:r>
      <w:proofErr w:type="spellEnd"/>
      <w:r w:rsidRPr="005A19A9">
        <w:t>.</w:t>
      </w:r>
    </w:p>
    <w:p w14:paraId="119683BD" w14:textId="77777777" w:rsidR="00C528C1" w:rsidRPr="005A19A9" w:rsidRDefault="001E419E" w:rsidP="00C528C1">
      <w:pPr>
        <w:pStyle w:val="ItemHead"/>
      </w:pPr>
      <w:r w:rsidRPr="005A19A9">
        <w:t>49</w:t>
      </w:r>
      <w:r w:rsidR="00C528C1" w:rsidRPr="005A19A9">
        <w:t xml:space="preserve"> 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="00DC6996" w:rsidRPr="005A19A9">
        <w:t>21B(1)</w:t>
      </w:r>
    </w:p>
    <w:p w14:paraId="5648A501" w14:textId="77777777" w:rsidR="00DC6996" w:rsidRPr="005A19A9" w:rsidRDefault="00DC6996" w:rsidP="00DC6996">
      <w:pPr>
        <w:pStyle w:val="Item"/>
      </w:pPr>
      <w:r w:rsidRPr="005A19A9">
        <w:t>After “permit”, insert “</w:t>
      </w:r>
      <w:bookmarkStart w:id="53" w:name="_Hlk119079023"/>
      <w:r w:rsidR="00B93D36" w:rsidRPr="005A19A9">
        <w:t>o</w:t>
      </w:r>
      <w:r w:rsidRPr="005A19A9">
        <w:t xml:space="preserve">ther than </w:t>
      </w:r>
      <w:r w:rsidR="00B93D36" w:rsidRPr="005A19A9">
        <w:t xml:space="preserve">for </w:t>
      </w:r>
      <w:r w:rsidRPr="005A19A9">
        <w:t>a special circumstances exemption</w:t>
      </w:r>
      <w:bookmarkEnd w:id="53"/>
      <w:r w:rsidRPr="005A19A9">
        <w:t>”.</w:t>
      </w:r>
    </w:p>
    <w:p w14:paraId="3BEEEBCF" w14:textId="77777777" w:rsidR="00BF10AF" w:rsidRPr="005A19A9" w:rsidRDefault="001E419E" w:rsidP="00BF10AF">
      <w:pPr>
        <w:pStyle w:val="ItemHead"/>
      </w:pPr>
      <w:r w:rsidRPr="005A19A9">
        <w:lastRenderedPageBreak/>
        <w:t>50</w:t>
      </w:r>
      <w:r w:rsidR="00BF10AF" w:rsidRPr="005A19A9">
        <w:t xml:space="preserve">  </w:t>
      </w:r>
      <w:r w:rsidR="005A19A9" w:rsidRPr="005A19A9">
        <w:t>Regulation 1</w:t>
      </w:r>
      <w:r w:rsidR="00BF10AF" w:rsidRPr="005A19A9">
        <w:t>22A (heading)</w:t>
      </w:r>
    </w:p>
    <w:p w14:paraId="57D932DF" w14:textId="77777777" w:rsidR="00BF10AF" w:rsidRPr="005A19A9" w:rsidRDefault="00BF10AF" w:rsidP="00BF10AF">
      <w:pPr>
        <w:pStyle w:val="Item"/>
      </w:pPr>
      <w:r w:rsidRPr="005A19A9">
        <w:t>Before “</w:t>
      </w:r>
      <w:r w:rsidRPr="005A19A9">
        <w:rPr>
          <w:b/>
        </w:rPr>
        <w:t>permit</w:t>
      </w:r>
      <w:r w:rsidRPr="005A19A9">
        <w:t>”, insert “</w:t>
      </w:r>
      <w:bookmarkStart w:id="54" w:name="_Hlk117177890"/>
      <w:proofErr w:type="spellStart"/>
      <w:r w:rsidR="00DA370A" w:rsidRPr="005A19A9">
        <w:rPr>
          <w:b/>
        </w:rPr>
        <w:t>RAC</w:t>
      </w:r>
      <w:proofErr w:type="spellEnd"/>
      <w:r w:rsidR="00DA370A" w:rsidRPr="005A19A9">
        <w:rPr>
          <w:b/>
        </w:rPr>
        <w:t xml:space="preserve"> industry</w:t>
      </w:r>
      <w:bookmarkEnd w:id="54"/>
      <w:r w:rsidRPr="005A19A9">
        <w:t>”.</w:t>
      </w:r>
    </w:p>
    <w:p w14:paraId="42818A93" w14:textId="77777777" w:rsidR="00BF10AF" w:rsidRPr="005A19A9" w:rsidRDefault="001E419E" w:rsidP="00BF10AF">
      <w:pPr>
        <w:pStyle w:val="ItemHead"/>
      </w:pPr>
      <w:r w:rsidRPr="005A19A9">
        <w:t>51</w:t>
      </w:r>
      <w:r w:rsidR="00BF10AF" w:rsidRPr="005A19A9">
        <w:t xml:space="preserve">  </w:t>
      </w:r>
      <w:r w:rsidR="005A19A9" w:rsidRPr="005A19A9">
        <w:t>Regulation 1</w:t>
      </w:r>
      <w:r w:rsidR="00BF10AF" w:rsidRPr="005A19A9">
        <w:t>23 (heading)</w:t>
      </w:r>
    </w:p>
    <w:p w14:paraId="7EAE0303" w14:textId="77777777" w:rsidR="00BF10AF" w:rsidRPr="005A19A9" w:rsidRDefault="00BF10AF" w:rsidP="00BF10AF">
      <w:pPr>
        <w:pStyle w:val="Item"/>
      </w:pPr>
      <w:r w:rsidRPr="005A19A9">
        <w:t>Repeal the heading, substitute:</w:t>
      </w:r>
    </w:p>
    <w:p w14:paraId="74B69395" w14:textId="77777777" w:rsidR="00BF10AF" w:rsidRPr="005A19A9" w:rsidRDefault="00BF10AF" w:rsidP="00BF10AF">
      <w:pPr>
        <w:pStyle w:val="ActHead5"/>
      </w:pPr>
      <w:bookmarkStart w:id="55" w:name="_Toc118454393"/>
      <w:bookmarkStart w:id="56" w:name="_Hlk117177892"/>
      <w:r w:rsidRPr="00C01202">
        <w:rPr>
          <w:rStyle w:val="CharSectno"/>
        </w:rPr>
        <w:t>123</w:t>
      </w:r>
      <w:r w:rsidRPr="005A19A9">
        <w:t xml:space="preserve">  Minister may cancel or suspend </w:t>
      </w:r>
      <w:proofErr w:type="spellStart"/>
      <w:r w:rsidR="00DA370A" w:rsidRPr="005A19A9">
        <w:t>RAC</w:t>
      </w:r>
      <w:proofErr w:type="spellEnd"/>
      <w:r w:rsidR="00DA370A" w:rsidRPr="005A19A9">
        <w:t xml:space="preserve"> industry </w:t>
      </w:r>
      <w:r w:rsidRPr="005A19A9">
        <w:t>permits</w:t>
      </w:r>
      <w:bookmarkEnd w:id="55"/>
    </w:p>
    <w:bookmarkEnd w:id="56"/>
    <w:p w14:paraId="1B48A0F6" w14:textId="77777777" w:rsidR="00BF10AF" w:rsidRPr="005A19A9" w:rsidRDefault="001E419E" w:rsidP="00BF10AF">
      <w:pPr>
        <w:pStyle w:val="ItemHead"/>
      </w:pPr>
      <w:r w:rsidRPr="005A19A9">
        <w:t>52</w:t>
      </w:r>
      <w:r w:rsidR="00BF10AF" w:rsidRPr="005A19A9">
        <w:t xml:space="preserve">  Paragraphs 124(1)(a) and (b)</w:t>
      </w:r>
    </w:p>
    <w:p w14:paraId="4C53AB26" w14:textId="77777777" w:rsidR="00BF10AF" w:rsidRPr="005A19A9" w:rsidRDefault="00BF10AF" w:rsidP="00BF10AF">
      <w:pPr>
        <w:pStyle w:val="Item"/>
      </w:pPr>
      <w:r w:rsidRPr="005A19A9">
        <w:t>Repeal the paragraphs, substitute:</w:t>
      </w:r>
    </w:p>
    <w:p w14:paraId="40D9A9F8" w14:textId="77777777" w:rsidR="00BF10AF" w:rsidRPr="005A19A9" w:rsidRDefault="00BF10AF" w:rsidP="00BF10AF">
      <w:pPr>
        <w:pStyle w:val="paragraph"/>
      </w:pPr>
      <w:bookmarkStart w:id="57" w:name="_Hlk117507607"/>
      <w:r w:rsidRPr="005A19A9">
        <w:tab/>
      </w:r>
      <w:bookmarkStart w:id="58" w:name="_Hlk117178417"/>
      <w:r w:rsidRPr="005A19A9">
        <w:t>(a)</w:t>
      </w:r>
      <w:r w:rsidRPr="005A19A9">
        <w:tab/>
        <w:t>to a relevant authority for reconsideration of any of the following decisions of the authority:</w:t>
      </w:r>
    </w:p>
    <w:p w14:paraId="795A6EC6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 refusal of an application for a</w:t>
      </w:r>
      <w:r w:rsidR="00DA370A" w:rsidRPr="005A19A9">
        <w:t xml:space="preserve">n </w:t>
      </w:r>
      <w:proofErr w:type="spellStart"/>
      <w:r w:rsidR="00DA370A" w:rsidRPr="005A19A9">
        <w:t>RAC</w:t>
      </w:r>
      <w:proofErr w:type="spellEnd"/>
      <w:r w:rsidR="00DA370A" w:rsidRPr="005A19A9">
        <w:t xml:space="preserve"> </w:t>
      </w:r>
      <w:r w:rsidR="00532B1D" w:rsidRPr="005A19A9">
        <w:t>i</w:t>
      </w:r>
      <w:r w:rsidR="00DA370A" w:rsidRPr="005A19A9">
        <w:t>ndustry</w:t>
      </w:r>
      <w:r w:rsidRPr="005A19A9">
        <w:t xml:space="preserve"> permit;</w:t>
      </w:r>
    </w:p>
    <w:p w14:paraId="1D58A069" w14:textId="77777777" w:rsidR="00BF10AF" w:rsidRPr="005A19A9" w:rsidRDefault="00BF10AF" w:rsidP="00BF10AF">
      <w:pPr>
        <w:pStyle w:val="paragraphsub"/>
      </w:pPr>
      <w:r w:rsidRPr="005A19A9">
        <w:tab/>
        <w:t>(ii)</w:t>
      </w:r>
      <w:r w:rsidRPr="005A19A9">
        <w:tab/>
        <w:t>a decision about the period for which a</w:t>
      </w:r>
      <w:r w:rsidR="00DA370A" w:rsidRPr="005A19A9">
        <w:t xml:space="preserve">n </w:t>
      </w:r>
      <w:proofErr w:type="spellStart"/>
      <w:r w:rsidR="00DA370A" w:rsidRPr="005A19A9">
        <w:t>RAC</w:t>
      </w:r>
      <w:proofErr w:type="spellEnd"/>
      <w:r w:rsidR="00DA370A" w:rsidRPr="005A19A9">
        <w:t xml:space="preserve"> </w:t>
      </w:r>
      <w:r w:rsidR="00532B1D" w:rsidRPr="005A19A9">
        <w:t>i</w:t>
      </w:r>
      <w:r w:rsidR="00DA370A" w:rsidRPr="005A19A9">
        <w:t>ndustry</w:t>
      </w:r>
      <w:r w:rsidRPr="005A19A9">
        <w:t xml:space="preserve"> permit is in force;</w:t>
      </w:r>
    </w:p>
    <w:p w14:paraId="6C0EA6FF" w14:textId="77777777" w:rsidR="00BF10AF" w:rsidRPr="005A19A9" w:rsidRDefault="00BF10AF" w:rsidP="00BF10AF">
      <w:pPr>
        <w:pStyle w:val="paragraphsub"/>
      </w:pPr>
      <w:r w:rsidRPr="005A19A9">
        <w:tab/>
        <w:t>(iii)</w:t>
      </w:r>
      <w:r w:rsidRPr="005A19A9">
        <w:tab/>
        <w:t>a decision imposing</w:t>
      </w:r>
      <w:r w:rsidR="00DA370A" w:rsidRPr="005A19A9">
        <w:t xml:space="preserve"> or varying a condition on an </w:t>
      </w:r>
      <w:proofErr w:type="spellStart"/>
      <w:r w:rsidR="00DA370A" w:rsidRPr="005A19A9">
        <w:t>RAC</w:t>
      </w:r>
      <w:proofErr w:type="spellEnd"/>
      <w:r w:rsidR="00DA370A" w:rsidRPr="005A19A9">
        <w:t xml:space="preserve"> </w:t>
      </w:r>
      <w:r w:rsidR="00532B1D" w:rsidRPr="005A19A9">
        <w:t>i</w:t>
      </w:r>
      <w:r w:rsidR="00DA370A" w:rsidRPr="005A19A9">
        <w:t>ndustry permit</w:t>
      </w:r>
      <w:r w:rsidRPr="005A19A9">
        <w:t>;</w:t>
      </w:r>
    </w:p>
    <w:p w14:paraId="09297016" w14:textId="77777777" w:rsidR="00DA370A" w:rsidRPr="005A19A9" w:rsidRDefault="00DA370A" w:rsidP="00BF10AF">
      <w:pPr>
        <w:pStyle w:val="paragraphsub"/>
      </w:pPr>
      <w:r w:rsidRPr="005A19A9">
        <w:tab/>
        <w:t>(iv)</w:t>
      </w:r>
      <w:r w:rsidRPr="005A19A9">
        <w:tab/>
        <w:t xml:space="preserve">a decision not to vary </w:t>
      </w:r>
      <w:r w:rsidR="00532B1D" w:rsidRPr="005A19A9">
        <w:t>a special circumstances exemption;</w:t>
      </w:r>
    </w:p>
    <w:p w14:paraId="15BDC1C1" w14:textId="77777777" w:rsidR="00BF10AF" w:rsidRPr="005A19A9" w:rsidRDefault="00BF10AF" w:rsidP="00BF10AF">
      <w:pPr>
        <w:pStyle w:val="paragraphsub"/>
      </w:pPr>
      <w:r w:rsidRPr="005A19A9">
        <w:tab/>
        <w:t>(</w:t>
      </w:r>
      <w:r w:rsidR="00532B1D" w:rsidRPr="005A19A9">
        <w:t>v</w:t>
      </w:r>
      <w:r w:rsidRPr="005A19A9">
        <w:t>)</w:t>
      </w:r>
      <w:r w:rsidRPr="005A19A9">
        <w:tab/>
        <w:t>a refusal to refund the whole or part of a fee paid by a person for a</w:t>
      </w:r>
      <w:r w:rsidR="00532B1D" w:rsidRPr="005A19A9">
        <w:t xml:space="preserve">n </w:t>
      </w:r>
      <w:proofErr w:type="spellStart"/>
      <w:r w:rsidR="00532B1D" w:rsidRPr="005A19A9">
        <w:t>RAC</w:t>
      </w:r>
      <w:proofErr w:type="spellEnd"/>
      <w:r w:rsidR="00532B1D" w:rsidRPr="005A19A9">
        <w:t xml:space="preserve"> industry permit</w:t>
      </w:r>
      <w:r w:rsidRPr="005A19A9">
        <w:t>; or</w:t>
      </w:r>
    </w:p>
    <w:p w14:paraId="2BBEC0B6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>to the Minister for reconsideration of a decision of the Minister:</w:t>
      </w:r>
    </w:p>
    <w:p w14:paraId="4FF3D76A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to suspend or cancel a</w:t>
      </w:r>
      <w:r w:rsidR="00532B1D" w:rsidRPr="005A19A9">
        <w:t xml:space="preserve">n </w:t>
      </w:r>
      <w:proofErr w:type="spellStart"/>
      <w:r w:rsidR="00532B1D" w:rsidRPr="005A19A9">
        <w:t>RAC</w:t>
      </w:r>
      <w:proofErr w:type="spellEnd"/>
      <w:r w:rsidR="00532B1D" w:rsidRPr="005A19A9">
        <w:t xml:space="preserve"> industry permit</w:t>
      </w:r>
      <w:r w:rsidRPr="005A19A9">
        <w:t>; or</w:t>
      </w:r>
    </w:p>
    <w:p w14:paraId="589BDA6B" w14:textId="77777777" w:rsidR="00BF10AF" w:rsidRPr="005A19A9" w:rsidRDefault="00BF10AF" w:rsidP="00BF10AF">
      <w:pPr>
        <w:pStyle w:val="paragraphsub"/>
      </w:pPr>
      <w:r w:rsidRPr="005A19A9">
        <w:tab/>
        <w:t>(ii)</w:t>
      </w:r>
      <w:r w:rsidRPr="005A19A9">
        <w:tab/>
        <w:t xml:space="preserve">that a thing that contributes to the grounds for a suspension of a </w:t>
      </w:r>
      <w:proofErr w:type="spellStart"/>
      <w:r w:rsidR="00532B1D" w:rsidRPr="005A19A9">
        <w:t>RAC</w:t>
      </w:r>
      <w:proofErr w:type="spellEnd"/>
      <w:r w:rsidR="00532B1D" w:rsidRPr="005A19A9">
        <w:t xml:space="preserve"> industry permit</w:t>
      </w:r>
      <w:r w:rsidRPr="005A19A9">
        <w:t xml:space="preserve"> is not remedied.</w:t>
      </w:r>
    </w:p>
    <w:bookmarkEnd w:id="58"/>
    <w:bookmarkEnd w:id="57"/>
    <w:p w14:paraId="6E171DB3" w14:textId="77777777" w:rsidR="00BF10AF" w:rsidRPr="005A19A9" w:rsidRDefault="001E419E" w:rsidP="00BF10AF">
      <w:pPr>
        <w:pStyle w:val="ItemHead"/>
      </w:pPr>
      <w:r w:rsidRPr="005A19A9">
        <w:t>53</w:t>
      </w:r>
      <w:r w:rsidR="00BF10AF" w:rsidRPr="005A19A9">
        <w:t xml:space="preserve">  </w:t>
      </w:r>
      <w:r w:rsidR="005A19A9" w:rsidRPr="005A19A9">
        <w:t>Regulation 1</w:t>
      </w:r>
      <w:r w:rsidR="00BF10AF" w:rsidRPr="005A19A9">
        <w:t>50 (note</w:t>
      </w:r>
      <w:r w:rsidR="00A844D5" w:rsidRPr="005A19A9">
        <w:t xml:space="preserve"> at the end</w:t>
      </w:r>
      <w:r w:rsidR="00BF10AF" w:rsidRPr="005A19A9">
        <w:t>)</w:t>
      </w:r>
    </w:p>
    <w:p w14:paraId="07DB4C46" w14:textId="77777777" w:rsidR="00BF10AF" w:rsidRPr="005A19A9" w:rsidRDefault="009769EB" w:rsidP="00BF10AF">
      <w:pPr>
        <w:pStyle w:val="Item"/>
      </w:pPr>
      <w:r w:rsidRPr="005A19A9">
        <w:t>Repeal the note.</w:t>
      </w:r>
    </w:p>
    <w:p w14:paraId="0309D0CE" w14:textId="77777777" w:rsidR="00BF10AF" w:rsidRPr="005A19A9" w:rsidRDefault="001E419E" w:rsidP="00BF10AF">
      <w:pPr>
        <w:pStyle w:val="ItemHead"/>
      </w:pPr>
      <w:r w:rsidRPr="005A19A9">
        <w:t>54</w:t>
      </w:r>
      <w:r w:rsidR="00BF10AF" w:rsidRPr="005A19A9">
        <w:t xml:space="preserve">  At the end of </w:t>
      </w:r>
      <w:r w:rsidR="005A19A9" w:rsidRPr="005A19A9">
        <w:t>Division 6</w:t>
      </w:r>
      <w:r w:rsidR="00BF10AF" w:rsidRPr="005A19A9">
        <w:t>A.2</w:t>
      </w:r>
    </w:p>
    <w:p w14:paraId="2A9C2B3B" w14:textId="77777777" w:rsidR="00BF10AF" w:rsidRPr="005A19A9" w:rsidRDefault="00BF10AF" w:rsidP="00BF10AF">
      <w:pPr>
        <w:pStyle w:val="Item"/>
      </w:pPr>
      <w:r w:rsidRPr="005A19A9">
        <w:t>Add:</w:t>
      </w:r>
    </w:p>
    <w:p w14:paraId="44333959" w14:textId="77777777" w:rsidR="00BF10AF" w:rsidRPr="005A19A9" w:rsidRDefault="005A19A9" w:rsidP="00BF10AF">
      <w:pPr>
        <w:pStyle w:val="ActHead4"/>
      </w:pPr>
      <w:bookmarkStart w:id="59" w:name="_Toc118454394"/>
      <w:bookmarkStart w:id="60" w:name="_Hlk117177895"/>
      <w:r w:rsidRPr="00C01202">
        <w:rPr>
          <w:rStyle w:val="CharSubdNo"/>
        </w:rPr>
        <w:t>Subdivision 6</w:t>
      </w:r>
      <w:r w:rsidR="00BF10AF" w:rsidRPr="00C01202">
        <w:rPr>
          <w:rStyle w:val="CharSubdNo"/>
        </w:rPr>
        <w:t>A.2.5</w:t>
      </w:r>
      <w:r w:rsidR="00BF10AF" w:rsidRPr="005A19A9">
        <w:t>—</w:t>
      </w:r>
      <w:r w:rsidR="00BF10AF" w:rsidRPr="00C01202">
        <w:rPr>
          <w:rStyle w:val="CharSubdText"/>
        </w:rPr>
        <w:t>Special circumstances exemptions</w:t>
      </w:r>
      <w:bookmarkEnd w:id="59"/>
    </w:p>
    <w:p w14:paraId="7C2BDDAD" w14:textId="77777777" w:rsidR="00BF10AF" w:rsidRPr="005A19A9" w:rsidRDefault="00BF10AF" w:rsidP="00BF10AF">
      <w:pPr>
        <w:pStyle w:val="ActHead5"/>
      </w:pPr>
      <w:bookmarkStart w:id="61" w:name="_Toc118454395"/>
      <w:r w:rsidRPr="00C01202">
        <w:rPr>
          <w:rStyle w:val="CharSectno"/>
        </w:rPr>
        <w:t>151</w:t>
      </w:r>
      <w:r w:rsidR="00320ECB" w:rsidRPr="005A19A9">
        <w:t xml:space="preserve"> </w:t>
      </w:r>
      <w:r w:rsidRPr="005A19A9">
        <w:t xml:space="preserve"> Application for special circumstances exemption</w:t>
      </w:r>
      <w:bookmarkEnd w:id="61"/>
    </w:p>
    <w:p w14:paraId="39E42797" w14:textId="77777777" w:rsidR="00BF10AF" w:rsidRPr="005A19A9" w:rsidRDefault="00BF10AF" w:rsidP="00BF10AF">
      <w:pPr>
        <w:pStyle w:val="subsection"/>
      </w:pPr>
      <w:r w:rsidRPr="005A19A9">
        <w:tab/>
        <w:t>(1)</w:t>
      </w:r>
      <w:r w:rsidRPr="005A19A9">
        <w:tab/>
        <w:t>A relevant authority may, on application, grant a</w:t>
      </w:r>
      <w:r w:rsidR="00B5604C" w:rsidRPr="005A19A9">
        <w:t xml:space="preserve"> written</w:t>
      </w:r>
      <w:r w:rsidRPr="005A19A9">
        <w:t xml:space="preserve"> exemption (a </w:t>
      </w:r>
      <w:r w:rsidRPr="005A19A9">
        <w:rPr>
          <w:b/>
          <w:i/>
        </w:rPr>
        <w:t>special circumstance</w:t>
      </w:r>
      <w:r w:rsidR="00320ECB" w:rsidRPr="005A19A9">
        <w:rPr>
          <w:b/>
          <w:i/>
        </w:rPr>
        <w:t>s</w:t>
      </w:r>
      <w:r w:rsidRPr="005A19A9">
        <w:rPr>
          <w:b/>
          <w:i/>
        </w:rPr>
        <w:t xml:space="preserve"> exemption</w:t>
      </w:r>
      <w:r w:rsidRPr="005A19A9">
        <w:t>), entitling the person to the privileges of the holder of</w:t>
      </w:r>
      <w:r w:rsidR="00E44320" w:rsidRPr="005A19A9">
        <w:t xml:space="preserve"> one or more of the following</w:t>
      </w:r>
      <w:r w:rsidRPr="005A19A9">
        <w:t>:</w:t>
      </w:r>
    </w:p>
    <w:p w14:paraId="00CF9B82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>a refrigerant handling licence;</w:t>
      </w:r>
    </w:p>
    <w:p w14:paraId="378D80ED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>a refrigerant trading authorisation;</w:t>
      </w:r>
    </w:p>
    <w:p w14:paraId="4A97CE81" w14:textId="77777777" w:rsidR="00BF10AF" w:rsidRPr="005A19A9" w:rsidRDefault="00BF10AF" w:rsidP="00BF10AF">
      <w:pPr>
        <w:pStyle w:val="paragraph"/>
      </w:pPr>
      <w:r w:rsidRPr="005A19A9">
        <w:tab/>
        <w:t>(c)</w:t>
      </w:r>
      <w:r w:rsidRPr="005A19A9">
        <w:tab/>
        <w:t>a</w:t>
      </w:r>
      <w:r w:rsidR="00D24C23" w:rsidRPr="005A19A9">
        <w:t>n</w:t>
      </w:r>
      <w:r w:rsidRPr="005A19A9">
        <w:t xml:space="preserve"> </w:t>
      </w:r>
      <w:proofErr w:type="spellStart"/>
      <w:r w:rsidRPr="005A19A9">
        <w:t>RAC</w:t>
      </w:r>
      <w:proofErr w:type="spellEnd"/>
      <w:r w:rsidRPr="005A19A9">
        <w:t xml:space="preserve"> equipment manufacturing authorisation;</w:t>
      </w:r>
    </w:p>
    <w:p w14:paraId="3CD9F7F7" w14:textId="77777777" w:rsidR="00BF10AF" w:rsidRPr="005A19A9" w:rsidRDefault="00BF10AF" w:rsidP="00BF10AF">
      <w:pPr>
        <w:pStyle w:val="paragraph"/>
      </w:pPr>
      <w:r w:rsidRPr="005A19A9">
        <w:tab/>
        <w:t>(d)</w:t>
      </w:r>
      <w:r w:rsidRPr="005A19A9">
        <w:tab/>
        <w:t>a halon special permit;</w:t>
      </w:r>
    </w:p>
    <w:p w14:paraId="110A950D" w14:textId="77777777" w:rsidR="00BF10AF" w:rsidRPr="005A19A9" w:rsidRDefault="00BF10AF" w:rsidP="00BF10AF">
      <w:pPr>
        <w:pStyle w:val="subsection2"/>
      </w:pPr>
      <w:r w:rsidRPr="005A19A9">
        <w:t>as specified in the exemption.</w:t>
      </w:r>
    </w:p>
    <w:p w14:paraId="5E04D0CA" w14:textId="77777777" w:rsidR="00BF10AF" w:rsidRPr="005A19A9" w:rsidRDefault="00BF10AF" w:rsidP="00BF10AF">
      <w:pPr>
        <w:pStyle w:val="notetext"/>
      </w:pPr>
      <w:r w:rsidRPr="005A19A9">
        <w:t>Note:</w:t>
      </w:r>
      <w:r w:rsidRPr="005A19A9">
        <w:tab/>
      </w:r>
      <w:r w:rsidR="005A19A9" w:rsidRPr="005A19A9">
        <w:t>Regulation 1</w:t>
      </w:r>
      <w:r w:rsidRPr="005A19A9">
        <w:t>21 also applies to an application.</w:t>
      </w:r>
    </w:p>
    <w:p w14:paraId="79CAB0A4" w14:textId="77777777" w:rsidR="00BF10AF" w:rsidRPr="005A19A9" w:rsidRDefault="00BF10AF" w:rsidP="00BF10AF">
      <w:pPr>
        <w:pStyle w:val="subsection"/>
      </w:pPr>
      <w:r w:rsidRPr="005A19A9">
        <w:tab/>
        <w:t>(2)</w:t>
      </w:r>
      <w:r w:rsidRPr="005A19A9">
        <w:tab/>
        <w:t>The authority may grant the exemption only if the authority is satisfied</w:t>
      </w:r>
      <w:r w:rsidR="00320ECB" w:rsidRPr="005A19A9">
        <w:t xml:space="preserve"> that</w:t>
      </w:r>
      <w:r w:rsidRPr="005A19A9">
        <w:t>:</w:t>
      </w:r>
    </w:p>
    <w:p w14:paraId="6FE78CEB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>either:</w:t>
      </w:r>
    </w:p>
    <w:p w14:paraId="211611A1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special circumstances exist that justify the grant of the exemption; or</w:t>
      </w:r>
    </w:p>
    <w:p w14:paraId="66AF0382" w14:textId="77777777" w:rsidR="00BF10AF" w:rsidRPr="005A19A9" w:rsidRDefault="00BF10AF" w:rsidP="00BF10AF">
      <w:pPr>
        <w:pStyle w:val="paragraphsub"/>
      </w:pPr>
      <w:r w:rsidRPr="005A19A9">
        <w:lastRenderedPageBreak/>
        <w:tab/>
        <w:t>(ii)</w:t>
      </w:r>
      <w:r w:rsidRPr="005A19A9">
        <w:tab/>
        <w:t>the activities proposed to be covered by the exemption are to be undertaken by the Australian Defence Force</w:t>
      </w:r>
      <w:r w:rsidR="00C528C1" w:rsidRPr="005A19A9">
        <w:t xml:space="preserve"> or a military of a foreign country acting in cooperation with the Australia</w:t>
      </w:r>
      <w:r w:rsidR="00E44320" w:rsidRPr="005A19A9">
        <w:t>n</w:t>
      </w:r>
      <w:r w:rsidR="00C528C1" w:rsidRPr="005A19A9">
        <w:t xml:space="preserve"> Defence Force</w:t>
      </w:r>
      <w:r w:rsidRPr="005A19A9">
        <w:t>; and</w:t>
      </w:r>
    </w:p>
    <w:p w14:paraId="63269101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>it is inappropriate or impracticable for the applicant to obtain the required licence</w:t>
      </w:r>
      <w:r w:rsidR="00AE5F20" w:rsidRPr="005A19A9">
        <w:t>s</w:t>
      </w:r>
      <w:r w:rsidRPr="005A19A9">
        <w:t>, authorisation</w:t>
      </w:r>
      <w:r w:rsidR="00AE5F20" w:rsidRPr="005A19A9">
        <w:t>s</w:t>
      </w:r>
      <w:r w:rsidRPr="005A19A9">
        <w:t xml:space="preserve"> or permit</w:t>
      </w:r>
      <w:r w:rsidR="00AE5F20" w:rsidRPr="005A19A9">
        <w:t>s</w:t>
      </w:r>
      <w:r w:rsidRPr="005A19A9">
        <w:t xml:space="preserve"> related to the activities to which the application relates; and</w:t>
      </w:r>
    </w:p>
    <w:p w14:paraId="5995BA17" w14:textId="77777777" w:rsidR="00BF10AF" w:rsidRPr="005A19A9" w:rsidRDefault="00BF10AF" w:rsidP="00BF10AF">
      <w:pPr>
        <w:pStyle w:val="paragraph"/>
      </w:pPr>
      <w:r w:rsidRPr="005A19A9">
        <w:tab/>
        <w:t>(c)</w:t>
      </w:r>
      <w:r w:rsidRPr="005A19A9">
        <w:tab/>
        <w:t>if the application relates to an exemption from holding a refrigerant trading authorisation or</w:t>
      </w:r>
      <w:r w:rsidR="00D24C23" w:rsidRPr="005A19A9">
        <w:t xml:space="preserve"> an</w:t>
      </w:r>
      <w:r w:rsidRPr="005A19A9">
        <w:t xml:space="preserve"> </w:t>
      </w:r>
      <w:proofErr w:type="spellStart"/>
      <w:r w:rsidRPr="005A19A9">
        <w:t>RAC</w:t>
      </w:r>
      <w:proofErr w:type="spellEnd"/>
      <w:r w:rsidRPr="005A19A9">
        <w:t xml:space="preserve"> equipment manufacturing authorisation—the applicant has business premises that are equipped and operating so as to be able to handle, and prevent avoidable emissions of, a refrigerant; and</w:t>
      </w:r>
    </w:p>
    <w:p w14:paraId="6010DF51" w14:textId="77777777" w:rsidR="00BF10AF" w:rsidRPr="005A19A9" w:rsidRDefault="00BF10AF" w:rsidP="00BF10AF">
      <w:pPr>
        <w:pStyle w:val="paragraph"/>
      </w:pPr>
      <w:r w:rsidRPr="005A19A9">
        <w:tab/>
        <w:t>(d)</w:t>
      </w:r>
      <w:r w:rsidRPr="005A19A9">
        <w:tab/>
        <w:t>if the applicant is an individual—the individual has suitable qualifications or experience to competently carry out the activities to be covered by the exemption; and</w:t>
      </w:r>
    </w:p>
    <w:p w14:paraId="025413E6" w14:textId="77777777" w:rsidR="006246AC" w:rsidRPr="005A19A9" w:rsidRDefault="00BF10AF" w:rsidP="00BF10AF">
      <w:pPr>
        <w:pStyle w:val="paragraph"/>
      </w:pPr>
      <w:r w:rsidRPr="005A19A9">
        <w:tab/>
        <w:t>(e)</w:t>
      </w:r>
      <w:r w:rsidRPr="005A19A9">
        <w:tab/>
        <w:t>if the applicant is a person other than an individual—</w:t>
      </w:r>
      <w:r w:rsidR="00BD5002" w:rsidRPr="005A19A9">
        <w:t>the person has</w:t>
      </w:r>
      <w:r w:rsidR="006246AC" w:rsidRPr="005A19A9">
        <w:t>:</w:t>
      </w:r>
    </w:p>
    <w:p w14:paraId="6E8C207D" w14:textId="77777777" w:rsidR="00BD5002" w:rsidRPr="005A19A9" w:rsidRDefault="006246AC" w:rsidP="006246AC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</w:r>
      <w:r w:rsidR="00BD5002" w:rsidRPr="005A19A9">
        <w:t>suitably qualified or experienced employees or contractors to competently carry out the activities to be covered by the exemption; and</w:t>
      </w:r>
    </w:p>
    <w:p w14:paraId="10C755A0" w14:textId="77777777" w:rsidR="00BF10AF" w:rsidRPr="005A19A9" w:rsidRDefault="00BD5002" w:rsidP="006246AC">
      <w:pPr>
        <w:pStyle w:val="paragraphsub"/>
      </w:pPr>
      <w:r w:rsidRPr="005A19A9">
        <w:tab/>
        <w:t>(ii)</w:t>
      </w:r>
      <w:r w:rsidRPr="005A19A9">
        <w:tab/>
        <w:t xml:space="preserve">suitable equipment </w:t>
      </w:r>
      <w:r w:rsidR="00BF10AF" w:rsidRPr="005A19A9">
        <w:t>to carry out the activities to be covered by the exemption.</w:t>
      </w:r>
    </w:p>
    <w:p w14:paraId="4A2C890E" w14:textId="77777777" w:rsidR="00BF10AF" w:rsidRPr="005A19A9" w:rsidRDefault="00BF10AF" w:rsidP="00BF10AF">
      <w:pPr>
        <w:pStyle w:val="subsection"/>
      </w:pPr>
      <w:r w:rsidRPr="005A19A9">
        <w:tab/>
        <w:t>(3)</w:t>
      </w:r>
      <w:r w:rsidRPr="005A19A9">
        <w:tab/>
        <w:t xml:space="preserve">If the authority decides to grant </w:t>
      </w:r>
      <w:r w:rsidR="003F3313" w:rsidRPr="005A19A9">
        <w:t>the</w:t>
      </w:r>
      <w:r w:rsidRPr="005A19A9">
        <w:t xml:space="preserve"> exemption, the exemption must:</w:t>
      </w:r>
    </w:p>
    <w:p w14:paraId="2992C530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>be in writing; and</w:t>
      </w:r>
    </w:p>
    <w:p w14:paraId="7EA399E0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>specify the following:</w:t>
      </w:r>
    </w:p>
    <w:p w14:paraId="6553259A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activities that are covered by the exemption;</w:t>
      </w:r>
    </w:p>
    <w:p w14:paraId="41D66F45" w14:textId="77777777" w:rsidR="00BF10AF" w:rsidRPr="005A19A9" w:rsidRDefault="00BF10AF" w:rsidP="00BF10AF">
      <w:pPr>
        <w:pStyle w:val="paragraphsub"/>
      </w:pPr>
      <w:r w:rsidRPr="005A19A9">
        <w:tab/>
        <w:t>(ii)</w:t>
      </w:r>
      <w:r w:rsidRPr="005A19A9">
        <w:tab/>
        <w:t>the licence</w:t>
      </w:r>
      <w:r w:rsidR="00780C60" w:rsidRPr="005A19A9">
        <w:t>s</w:t>
      </w:r>
      <w:r w:rsidRPr="005A19A9">
        <w:t>, authorisation</w:t>
      </w:r>
      <w:r w:rsidR="00780C60" w:rsidRPr="005A19A9">
        <w:t>s</w:t>
      </w:r>
      <w:r w:rsidRPr="005A19A9">
        <w:t xml:space="preserve"> or permit</w:t>
      </w:r>
      <w:r w:rsidR="00780C60" w:rsidRPr="005A19A9">
        <w:t>s</w:t>
      </w:r>
      <w:r w:rsidRPr="005A19A9">
        <w:t xml:space="preserve"> in relation to which the exemption is being granted;</w:t>
      </w:r>
    </w:p>
    <w:p w14:paraId="5A777A3D" w14:textId="77777777" w:rsidR="00BF10AF" w:rsidRPr="005A19A9" w:rsidRDefault="00BF10AF" w:rsidP="00BF10AF">
      <w:pPr>
        <w:pStyle w:val="paragraphsub"/>
      </w:pPr>
      <w:r w:rsidRPr="005A19A9">
        <w:tab/>
        <w:t>(iii)</w:t>
      </w:r>
      <w:r w:rsidRPr="005A19A9">
        <w:tab/>
        <w:t>the period for which the exemption is in force;</w:t>
      </w:r>
    </w:p>
    <w:p w14:paraId="34995DA3" w14:textId="77777777" w:rsidR="00BF10AF" w:rsidRPr="005A19A9" w:rsidRDefault="00BF10AF" w:rsidP="00BF10AF">
      <w:pPr>
        <w:pStyle w:val="paragraphsub"/>
      </w:pPr>
      <w:r w:rsidRPr="005A19A9">
        <w:tab/>
        <w:t>(iv)</w:t>
      </w:r>
      <w:r w:rsidRPr="005A19A9">
        <w:tab/>
        <w:t xml:space="preserve">if any conditions are imposed on the exemption under </w:t>
      </w:r>
      <w:r w:rsidR="005A19A9" w:rsidRPr="005A19A9">
        <w:t>regulation 1</w:t>
      </w:r>
      <w:r w:rsidRPr="005A19A9">
        <w:t>5</w:t>
      </w:r>
      <w:r w:rsidR="002060AE" w:rsidRPr="005A19A9">
        <w:t>2</w:t>
      </w:r>
      <w:r w:rsidRPr="005A19A9">
        <w:t>—the conditions;</w:t>
      </w:r>
    </w:p>
    <w:p w14:paraId="7AAA0A22" w14:textId="77777777" w:rsidR="00BF10AF" w:rsidRPr="005A19A9" w:rsidRDefault="00BF10AF" w:rsidP="00BF10AF">
      <w:pPr>
        <w:pStyle w:val="paragraphsub"/>
      </w:pPr>
      <w:r w:rsidRPr="005A19A9">
        <w:tab/>
        <w:t>(v)</w:t>
      </w:r>
      <w:r w:rsidRPr="005A19A9">
        <w:tab/>
        <w:t>if the exemption is granted to a person other than an individual—the relevant qualifications or experience that an employee or contractor of the person must have to carry out the activities covered by the exemption.</w:t>
      </w:r>
    </w:p>
    <w:p w14:paraId="6853A4F9" w14:textId="77777777" w:rsidR="00BF10AF" w:rsidRPr="005A19A9" w:rsidRDefault="00BF10AF" w:rsidP="00BF10AF">
      <w:pPr>
        <w:pStyle w:val="notetext"/>
      </w:pPr>
      <w:r w:rsidRPr="005A19A9">
        <w:t>Note:</w:t>
      </w:r>
      <w:r w:rsidRPr="005A19A9">
        <w:tab/>
      </w:r>
      <w:r w:rsidR="005A19A9" w:rsidRPr="005A19A9">
        <w:t>Regulation 1</w:t>
      </w:r>
      <w:r w:rsidRPr="005A19A9">
        <w:t>22A deals with the maximum period that a special circumstances exemption can be in force.</w:t>
      </w:r>
    </w:p>
    <w:p w14:paraId="6BECD094" w14:textId="77777777" w:rsidR="00BF10AF" w:rsidRPr="005A19A9" w:rsidRDefault="00BF10AF" w:rsidP="00BF10AF">
      <w:pPr>
        <w:pStyle w:val="subsection"/>
      </w:pPr>
      <w:r w:rsidRPr="005A19A9">
        <w:tab/>
        <w:t>(4)</w:t>
      </w:r>
      <w:r w:rsidRPr="005A19A9">
        <w:tab/>
        <w:t>If the</w:t>
      </w:r>
      <w:r w:rsidR="004F14F8" w:rsidRPr="005A19A9">
        <w:t xml:space="preserve"> authority</w:t>
      </w:r>
      <w:r w:rsidRPr="005A19A9">
        <w:t xml:space="preserve"> decides to grant the exemption, it must, as soon as practicable, give the applicant a copy of the</w:t>
      </w:r>
      <w:r w:rsidR="00320ECB" w:rsidRPr="005A19A9">
        <w:t xml:space="preserve"> </w:t>
      </w:r>
      <w:r w:rsidRPr="005A19A9">
        <w:t>exemption.</w:t>
      </w:r>
    </w:p>
    <w:p w14:paraId="770A9BB9" w14:textId="77777777" w:rsidR="00BF10AF" w:rsidRPr="005A19A9" w:rsidRDefault="00BF10AF" w:rsidP="00BF10AF">
      <w:pPr>
        <w:pStyle w:val="ActHead5"/>
      </w:pPr>
      <w:bookmarkStart w:id="62" w:name="_Toc118454396"/>
      <w:r w:rsidRPr="00C01202">
        <w:rPr>
          <w:rStyle w:val="CharSectno"/>
        </w:rPr>
        <w:t>152</w:t>
      </w:r>
      <w:r w:rsidRPr="005A19A9">
        <w:t xml:space="preserve">  Conditions on special circumstances exemption</w:t>
      </w:r>
      <w:bookmarkEnd w:id="62"/>
    </w:p>
    <w:p w14:paraId="6D050004" w14:textId="77777777" w:rsidR="00BF10AF" w:rsidRPr="005A19A9" w:rsidRDefault="00BF10AF" w:rsidP="00BF10AF">
      <w:pPr>
        <w:pStyle w:val="subsection"/>
      </w:pPr>
      <w:r w:rsidRPr="005A19A9">
        <w:tab/>
        <w:t>(1)</w:t>
      </w:r>
      <w:r w:rsidRPr="005A19A9">
        <w:tab/>
        <w:t xml:space="preserve">The relevant authority may impose any conditions it considers </w:t>
      </w:r>
      <w:r w:rsidR="00A32AD8" w:rsidRPr="005A19A9">
        <w:t xml:space="preserve">reasonably </w:t>
      </w:r>
      <w:r w:rsidRPr="005A19A9">
        <w:t xml:space="preserve">necessary to manage the risks posed by the activities covered by </w:t>
      </w:r>
      <w:r w:rsidR="00617555" w:rsidRPr="005A19A9">
        <w:t>a</w:t>
      </w:r>
      <w:r w:rsidRPr="005A19A9">
        <w:t xml:space="preserve"> special circumstances exemption.</w:t>
      </w:r>
    </w:p>
    <w:p w14:paraId="73DE845F" w14:textId="77777777" w:rsidR="00BF10AF" w:rsidRPr="005A19A9" w:rsidRDefault="00BF10AF" w:rsidP="00BF10AF">
      <w:pPr>
        <w:pStyle w:val="subsection"/>
      </w:pPr>
      <w:r w:rsidRPr="005A19A9">
        <w:tab/>
        <w:t>(2)</w:t>
      </w:r>
      <w:r w:rsidRPr="005A19A9">
        <w:tab/>
        <w:t xml:space="preserve">If a special </w:t>
      </w:r>
      <w:r w:rsidR="00320ECB" w:rsidRPr="005A19A9">
        <w:t xml:space="preserve">circumstances </w:t>
      </w:r>
      <w:r w:rsidRPr="005A19A9">
        <w:t>exemption is granted to a person other than an individual, the exemption must include the condition that only a person with relevant qualifications or experience specified in the exemption is to carry out the activities to which the exemption applies.</w:t>
      </w:r>
    </w:p>
    <w:p w14:paraId="3A893882" w14:textId="77777777" w:rsidR="00BF10AF" w:rsidRPr="005A19A9" w:rsidRDefault="00BF10AF" w:rsidP="00BF10AF">
      <w:pPr>
        <w:pStyle w:val="ActHead5"/>
      </w:pPr>
      <w:bookmarkStart w:id="63" w:name="_Toc118454397"/>
      <w:r w:rsidRPr="00C01202">
        <w:rPr>
          <w:rStyle w:val="CharSectno"/>
        </w:rPr>
        <w:lastRenderedPageBreak/>
        <w:t>153</w:t>
      </w:r>
      <w:r w:rsidRPr="005A19A9">
        <w:t xml:space="preserve">  Application by holder to vary special circumstances exemption</w:t>
      </w:r>
      <w:bookmarkEnd w:id="63"/>
    </w:p>
    <w:p w14:paraId="3D49A0C7" w14:textId="77777777" w:rsidR="00BF10AF" w:rsidRPr="005A19A9" w:rsidRDefault="00BF10AF" w:rsidP="00BF10AF">
      <w:pPr>
        <w:pStyle w:val="subsection"/>
      </w:pPr>
      <w:r w:rsidRPr="005A19A9">
        <w:tab/>
        <w:t>(1)</w:t>
      </w:r>
      <w:r w:rsidRPr="005A19A9">
        <w:tab/>
        <w:t xml:space="preserve">A special circumstances exemption holder may apply to a relevant authority </w:t>
      </w:r>
      <w:r w:rsidR="009769EB" w:rsidRPr="005A19A9">
        <w:t>to vary the exemption</w:t>
      </w:r>
      <w:r w:rsidRPr="005A19A9">
        <w:t>.</w:t>
      </w:r>
    </w:p>
    <w:p w14:paraId="4CA9CC0E" w14:textId="77777777" w:rsidR="00BF10AF" w:rsidRPr="005A19A9" w:rsidRDefault="00BF10AF" w:rsidP="00BF10AF">
      <w:pPr>
        <w:pStyle w:val="subsection"/>
      </w:pPr>
      <w:r w:rsidRPr="005A19A9">
        <w:tab/>
        <w:t>(2)</w:t>
      </w:r>
      <w:r w:rsidRPr="005A19A9">
        <w:tab/>
        <w:t>The application for the variation must:</w:t>
      </w:r>
    </w:p>
    <w:p w14:paraId="29062628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>be made in the approved form; and</w:t>
      </w:r>
    </w:p>
    <w:p w14:paraId="6BF283AD" w14:textId="77777777" w:rsidR="00D1661B" w:rsidRPr="005A19A9" w:rsidRDefault="00BF10AF" w:rsidP="00BF10AF">
      <w:pPr>
        <w:pStyle w:val="paragraph"/>
      </w:pPr>
      <w:r w:rsidRPr="005A19A9">
        <w:tab/>
        <w:t>(b)</w:t>
      </w:r>
      <w:r w:rsidRPr="005A19A9">
        <w:tab/>
      </w:r>
      <w:r w:rsidR="00D1661B" w:rsidRPr="005A19A9">
        <w:t xml:space="preserve">be accompanied by any </w:t>
      </w:r>
      <w:r w:rsidR="001B2CFE" w:rsidRPr="005A19A9">
        <w:t xml:space="preserve">information or documents </w:t>
      </w:r>
      <w:r w:rsidR="00D1661B" w:rsidRPr="005A19A9">
        <w:t>required by the form; and</w:t>
      </w:r>
    </w:p>
    <w:p w14:paraId="51B27810" w14:textId="77777777" w:rsidR="00BF10AF" w:rsidRPr="005A19A9" w:rsidRDefault="00D1661B" w:rsidP="00BF10AF">
      <w:pPr>
        <w:pStyle w:val="paragraph"/>
      </w:pPr>
      <w:r w:rsidRPr="005A19A9">
        <w:tab/>
      </w:r>
      <w:r w:rsidR="00BF10AF" w:rsidRPr="005A19A9">
        <w:t>(</w:t>
      </w:r>
      <w:r w:rsidRPr="005A19A9">
        <w:t>c</w:t>
      </w:r>
      <w:r w:rsidR="00BF10AF" w:rsidRPr="005A19A9">
        <w:t>)</w:t>
      </w:r>
      <w:r w:rsidR="00BF10AF" w:rsidRPr="005A19A9">
        <w:tab/>
        <w:t>b</w:t>
      </w:r>
      <w:r w:rsidR="00313BA3" w:rsidRPr="005A19A9">
        <w:t>e</w:t>
      </w:r>
      <w:r w:rsidR="00BF10AF" w:rsidRPr="005A19A9">
        <w:t xml:space="preserve"> accompanied by the prescribed fee (if any).</w:t>
      </w:r>
    </w:p>
    <w:p w14:paraId="46B4CD29" w14:textId="77777777" w:rsidR="002060AE" w:rsidRPr="005A19A9" w:rsidRDefault="002060AE" w:rsidP="002060AE">
      <w:pPr>
        <w:pStyle w:val="notetext"/>
      </w:pPr>
      <w:r w:rsidRPr="005A19A9">
        <w:t>Note:</w:t>
      </w:r>
      <w:r w:rsidRPr="005A19A9">
        <w:tab/>
        <w:t xml:space="preserve">Application fees for </w:t>
      </w:r>
      <w:r w:rsidR="005A19A9" w:rsidRPr="005A19A9">
        <w:t>Part 6</w:t>
      </w:r>
      <w:r w:rsidRPr="005A19A9">
        <w:t xml:space="preserve">A are set out in </w:t>
      </w:r>
      <w:r w:rsidR="005A19A9" w:rsidRPr="005A19A9">
        <w:t>Division 6</w:t>
      </w:r>
      <w:r w:rsidRPr="005A19A9">
        <w:t>A.4A.</w:t>
      </w:r>
    </w:p>
    <w:p w14:paraId="212F8573" w14:textId="77777777" w:rsidR="00BF10AF" w:rsidRPr="005A19A9" w:rsidRDefault="00BF10AF" w:rsidP="00BF10AF">
      <w:pPr>
        <w:pStyle w:val="subsection"/>
      </w:pPr>
      <w:r w:rsidRPr="005A19A9">
        <w:tab/>
        <w:t>(3)</w:t>
      </w:r>
      <w:r w:rsidRPr="005A19A9">
        <w:tab/>
        <w:t xml:space="preserve">The authority may, in writing, ask the applicant to give the authority </w:t>
      </w:r>
      <w:r w:rsidR="00E22C94" w:rsidRPr="005A19A9">
        <w:t>additional</w:t>
      </w:r>
      <w:r w:rsidRPr="005A19A9">
        <w:t xml:space="preserve"> information or documents relevant to the application.</w:t>
      </w:r>
    </w:p>
    <w:p w14:paraId="371F414E" w14:textId="77777777" w:rsidR="00BF10AF" w:rsidRPr="005A19A9" w:rsidRDefault="00BF10AF" w:rsidP="00BF10AF">
      <w:pPr>
        <w:pStyle w:val="subsection"/>
      </w:pPr>
      <w:r w:rsidRPr="005A19A9">
        <w:tab/>
        <w:t>(4)</w:t>
      </w:r>
      <w:r w:rsidRPr="005A19A9">
        <w:tab/>
        <w:t>An applicant is taken to have withdrawn the application if:</w:t>
      </w:r>
    </w:p>
    <w:p w14:paraId="45190D79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 xml:space="preserve">the authority asks the applicant for information or documents in accordance with </w:t>
      </w:r>
      <w:proofErr w:type="spellStart"/>
      <w:r w:rsidRPr="005A19A9">
        <w:t>subregulation</w:t>
      </w:r>
      <w:proofErr w:type="spellEnd"/>
      <w:r w:rsidRPr="005A19A9">
        <w:t xml:space="preserve"> (3); and</w:t>
      </w:r>
    </w:p>
    <w:p w14:paraId="6D26C760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>the applicant does not provide the information or documents within</w:t>
      </w:r>
      <w:r w:rsidR="0047053F" w:rsidRPr="005A19A9">
        <w:t xml:space="preserve"> 60</w:t>
      </w:r>
      <w:r w:rsidRPr="005A19A9">
        <w:t xml:space="preserve"> days of the authority’s request.</w:t>
      </w:r>
    </w:p>
    <w:p w14:paraId="03BBA7B6" w14:textId="77777777" w:rsidR="00BF10AF" w:rsidRPr="005A19A9" w:rsidRDefault="00BF10AF" w:rsidP="00BF10AF">
      <w:pPr>
        <w:pStyle w:val="subsection"/>
      </w:pPr>
      <w:r w:rsidRPr="005A19A9">
        <w:tab/>
        <w:t>(5)</w:t>
      </w:r>
      <w:r w:rsidRPr="005A19A9">
        <w:tab/>
        <w:t>If the authority decides to grant the application, it must, as soon as practicable, give the applicant a copy of the varied special circumstances exemption.</w:t>
      </w:r>
    </w:p>
    <w:p w14:paraId="511DB214" w14:textId="77777777" w:rsidR="00BF10AF" w:rsidRPr="005A19A9" w:rsidRDefault="00BF10AF" w:rsidP="00BF10AF">
      <w:pPr>
        <w:pStyle w:val="ActHead5"/>
      </w:pPr>
      <w:bookmarkStart w:id="64" w:name="_Toc118454398"/>
      <w:r w:rsidRPr="00C01202">
        <w:rPr>
          <w:rStyle w:val="CharSectno"/>
        </w:rPr>
        <w:t>154</w:t>
      </w:r>
      <w:r w:rsidRPr="005A19A9">
        <w:t xml:space="preserve">  Relevant authority may impose addition</w:t>
      </w:r>
      <w:r w:rsidR="00532B1D" w:rsidRPr="005A19A9">
        <w:t>al</w:t>
      </w:r>
      <w:r w:rsidRPr="005A19A9">
        <w:t xml:space="preserve"> conditions or vary</w:t>
      </w:r>
      <w:r w:rsidR="00320ECB" w:rsidRPr="005A19A9">
        <w:t xml:space="preserve"> or remove</w:t>
      </w:r>
      <w:r w:rsidRPr="005A19A9">
        <w:t xml:space="preserve"> existing conditions</w:t>
      </w:r>
      <w:bookmarkEnd w:id="64"/>
    </w:p>
    <w:p w14:paraId="7B45959C" w14:textId="77777777" w:rsidR="00BF10AF" w:rsidRPr="005A19A9" w:rsidRDefault="00BF10AF" w:rsidP="00BF10AF">
      <w:pPr>
        <w:pStyle w:val="SubsectionHead"/>
      </w:pPr>
      <w:r w:rsidRPr="005A19A9">
        <w:t>Imposition of additional conditions</w:t>
      </w:r>
    </w:p>
    <w:p w14:paraId="3789748A" w14:textId="77777777" w:rsidR="00BF10AF" w:rsidRPr="005A19A9" w:rsidRDefault="00BF10AF" w:rsidP="00BF10AF">
      <w:pPr>
        <w:pStyle w:val="subsection"/>
      </w:pPr>
      <w:r w:rsidRPr="005A19A9">
        <w:tab/>
        <w:t>(1)</w:t>
      </w:r>
      <w:r w:rsidRPr="005A19A9">
        <w:tab/>
        <w:t>A relevant authority may, at any time, impose additional conditions to which a special circumstance</w:t>
      </w:r>
      <w:r w:rsidR="00320ECB" w:rsidRPr="005A19A9">
        <w:t>s</w:t>
      </w:r>
      <w:r w:rsidRPr="005A19A9">
        <w:t xml:space="preserve"> exemption is subject if the authority considers the conditions to be </w:t>
      </w:r>
      <w:r w:rsidR="00A32AD8" w:rsidRPr="005A19A9">
        <w:t xml:space="preserve">reasonably </w:t>
      </w:r>
      <w:r w:rsidRPr="005A19A9">
        <w:t>necessary</w:t>
      </w:r>
      <w:r w:rsidR="00532B1D" w:rsidRPr="005A19A9">
        <w:t xml:space="preserve"> </w:t>
      </w:r>
      <w:r w:rsidRPr="005A19A9">
        <w:t>to manage the risks posed by the activities covered by the exemption.</w:t>
      </w:r>
    </w:p>
    <w:p w14:paraId="2F489725" w14:textId="77777777" w:rsidR="00BF10AF" w:rsidRPr="005A19A9" w:rsidRDefault="00BF10AF" w:rsidP="00BF10AF">
      <w:pPr>
        <w:pStyle w:val="subsection"/>
      </w:pPr>
      <w:r w:rsidRPr="005A19A9">
        <w:tab/>
        <w:t>(2)</w:t>
      </w:r>
      <w:r w:rsidRPr="005A19A9">
        <w:tab/>
        <w:t xml:space="preserve">If the </w:t>
      </w:r>
      <w:r w:rsidR="00DF4B9B" w:rsidRPr="005A19A9">
        <w:t>a</w:t>
      </w:r>
      <w:r w:rsidRPr="005A19A9">
        <w:t xml:space="preserve">uthority imposes conditions under </w:t>
      </w:r>
      <w:proofErr w:type="spellStart"/>
      <w:r w:rsidRPr="005A19A9">
        <w:t>sub</w:t>
      </w:r>
      <w:r w:rsidR="00320ECB" w:rsidRPr="005A19A9">
        <w:t>regulation</w:t>
      </w:r>
      <w:proofErr w:type="spellEnd"/>
      <w:r w:rsidRPr="005A19A9">
        <w:t xml:space="preserve"> (1):</w:t>
      </w:r>
    </w:p>
    <w:p w14:paraId="0EDB2516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  <w:t>the authority must, by written notice to the holder of the exemption, notify the holder of the conditions; and</w:t>
      </w:r>
    </w:p>
    <w:p w14:paraId="082A6AC7" w14:textId="77777777" w:rsidR="00BF10AF" w:rsidRPr="005A19A9" w:rsidRDefault="00BF10AF" w:rsidP="00BF10AF">
      <w:pPr>
        <w:pStyle w:val="paragraph"/>
      </w:pPr>
      <w:r w:rsidRPr="005A19A9">
        <w:tab/>
        <w:t>(b)</w:t>
      </w:r>
      <w:r w:rsidRPr="005A19A9">
        <w:tab/>
        <w:t>the condition</w:t>
      </w:r>
      <w:r w:rsidR="00295AA0" w:rsidRPr="005A19A9">
        <w:t xml:space="preserve">s </w:t>
      </w:r>
      <w:r w:rsidRPr="005A19A9">
        <w:t>take effec</w:t>
      </w:r>
      <w:r w:rsidR="00295AA0" w:rsidRPr="005A19A9">
        <w:t>t</w:t>
      </w:r>
      <w:r w:rsidRPr="005A19A9">
        <w:t>:</w:t>
      </w:r>
    </w:p>
    <w:p w14:paraId="5E4F0718" w14:textId="77777777" w:rsidR="00BF10AF" w:rsidRPr="005A19A9" w:rsidRDefault="00BF10AF" w:rsidP="00BF10AF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</w:r>
      <w:r w:rsidR="00295AA0" w:rsidRPr="005A19A9">
        <w:t xml:space="preserve">at the </w:t>
      </w:r>
      <w:r w:rsidRPr="005A19A9">
        <w:t xml:space="preserve">end of </w:t>
      </w:r>
      <w:r w:rsidR="007B361E" w:rsidRPr="005A19A9">
        <w:t>60</w:t>
      </w:r>
      <w:r w:rsidRPr="005A19A9">
        <w:t xml:space="preserve"> days after the giving of the notice; or</w:t>
      </w:r>
    </w:p>
    <w:p w14:paraId="18D00368" w14:textId="77777777" w:rsidR="00BF10AF" w:rsidRPr="005A19A9" w:rsidRDefault="00BF10AF" w:rsidP="00BF10AF">
      <w:pPr>
        <w:pStyle w:val="paragraphsub"/>
      </w:pPr>
      <w:r w:rsidRPr="005A19A9">
        <w:tab/>
        <w:t>(ii)</w:t>
      </w:r>
      <w:r w:rsidRPr="005A19A9">
        <w:tab/>
        <w:t>if the authority considers that it is necessary for the conditions to take effect earlier—</w:t>
      </w:r>
      <w:r w:rsidR="006924C8" w:rsidRPr="005A19A9">
        <w:t xml:space="preserve">at </w:t>
      </w:r>
      <w:r w:rsidRPr="005A19A9">
        <w:t>the end of a shorter period specified in the notice.</w:t>
      </w:r>
    </w:p>
    <w:p w14:paraId="7F1F5E88" w14:textId="77777777" w:rsidR="00BF10AF" w:rsidRPr="005A19A9" w:rsidRDefault="00BF10AF" w:rsidP="00BF10AF">
      <w:pPr>
        <w:pStyle w:val="SubsectionHead"/>
      </w:pPr>
      <w:r w:rsidRPr="005A19A9">
        <w:t>Varying or removing conditions</w:t>
      </w:r>
    </w:p>
    <w:p w14:paraId="717A789F" w14:textId="77777777" w:rsidR="00BF10AF" w:rsidRPr="005A19A9" w:rsidRDefault="00BF10AF" w:rsidP="00BF10AF">
      <w:pPr>
        <w:pStyle w:val="subsection"/>
      </w:pPr>
      <w:r w:rsidRPr="005A19A9">
        <w:tab/>
        <w:t>(3)</w:t>
      </w:r>
      <w:r w:rsidRPr="005A19A9">
        <w:tab/>
        <w:t xml:space="preserve">A relevant authority may, by written notice to the holder of </w:t>
      </w:r>
      <w:r w:rsidR="00182EF8" w:rsidRPr="005A19A9">
        <w:t>a</w:t>
      </w:r>
      <w:r w:rsidRPr="005A19A9">
        <w:t xml:space="preserve"> special circumstances exemption, vary or remove conditions imposed under </w:t>
      </w:r>
      <w:proofErr w:type="spellStart"/>
      <w:r w:rsidR="005A19A9" w:rsidRPr="005A19A9">
        <w:t>subregulation</w:t>
      </w:r>
      <w:proofErr w:type="spellEnd"/>
      <w:r w:rsidR="005A19A9" w:rsidRPr="005A19A9">
        <w:t> 1</w:t>
      </w:r>
      <w:r w:rsidRPr="005A19A9">
        <w:t>5</w:t>
      </w:r>
      <w:r w:rsidR="002060AE" w:rsidRPr="005A19A9">
        <w:t>2(</w:t>
      </w:r>
      <w:r w:rsidRPr="005A19A9">
        <w:t xml:space="preserve">1) or </w:t>
      </w:r>
      <w:proofErr w:type="spellStart"/>
      <w:r w:rsidRPr="005A19A9">
        <w:t>sub</w:t>
      </w:r>
      <w:r w:rsidR="00320ECB" w:rsidRPr="005A19A9">
        <w:t>regulation</w:t>
      </w:r>
      <w:proofErr w:type="spellEnd"/>
      <w:r w:rsidR="00320ECB" w:rsidRPr="005A19A9">
        <w:t xml:space="preserve"> </w:t>
      </w:r>
      <w:r w:rsidRPr="005A19A9">
        <w:t>(1) of this regulation in relation to the</w:t>
      </w:r>
      <w:r w:rsidR="007464EC" w:rsidRPr="005A19A9">
        <w:t xml:space="preserve"> </w:t>
      </w:r>
      <w:r w:rsidRPr="005A19A9">
        <w:t>exemption.</w:t>
      </w:r>
    </w:p>
    <w:p w14:paraId="0272574A" w14:textId="77777777" w:rsidR="00BF10AF" w:rsidRPr="005A19A9" w:rsidRDefault="00BF10AF" w:rsidP="00BF10AF">
      <w:pPr>
        <w:pStyle w:val="subsection"/>
      </w:pPr>
      <w:r w:rsidRPr="005A19A9">
        <w:tab/>
        <w:t>(4)</w:t>
      </w:r>
      <w:r w:rsidRPr="005A19A9">
        <w:tab/>
        <w:t xml:space="preserve">A variation under </w:t>
      </w:r>
      <w:proofErr w:type="spellStart"/>
      <w:r w:rsidRPr="005A19A9">
        <w:t>subregulation</w:t>
      </w:r>
      <w:proofErr w:type="spellEnd"/>
      <w:r w:rsidRPr="005A19A9">
        <w:t xml:space="preserve"> (3) </w:t>
      </w:r>
      <w:r w:rsidR="00295AA0" w:rsidRPr="005A19A9">
        <w:t>takes effect</w:t>
      </w:r>
      <w:r w:rsidRPr="005A19A9">
        <w:t>:</w:t>
      </w:r>
    </w:p>
    <w:p w14:paraId="778B582B" w14:textId="77777777" w:rsidR="00BF10AF" w:rsidRPr="005A19A9" w:rsidRDefault="00BF10AF" w:rsidP="00BF10AF">
      <w:pPr>
        <w:pStyle w:val="paragraph"/>
      </w:pPr>
      <w:r w:rsidRPr="005A19A9">
        <w:tab/>
        <w:t>(a)</w:t>
      </w:r>
      <w:r w:rsidRPr="005A19A9">
        <w:tab/>
      </w:r>
      <w:r w:rsidR="00295AA0" w:rsidRPr="005A19A9">
        <w:t xml:space="preserve">at </w:t>
      </w:r>
      <w:r w:rsidRPr="005A19A9">
        <w:t xml:space="preserve">the end of </w:t>
      </w:r>
      <w:r w:rsidR="001D0A3A" w:rsidRPr="005A19A9">
        <w:t>60</w:t>
      </w:r>
      <w:r w:rsidRPr="005A19A9">
        <w:t xml:space="preserve"> days after the giving of the notice under that </w:t>
      </w:r>
      <w:proofErr w:type="spellStart"/>
      <w:r w:rsidRPr="005A19A9">
        <w:t>subregulation</w:t>
      </w:r>
      <w:proofErr w:type="spellEnd"/>
      <w:r w:rsidR="00320ECB" w:rsidRPr="005A19A9">
        <w:t>;</w:t>
      </w:r>
      <w:r w:rsidRPr="005A19A9">
        <w:t xml:space="preserve"> or</w:t>
      </w:r>
    </w:p>
    <w:p w14:paraId="37C262DC" w14:textId="77777777" w:rsidR="00BF10AF" w:rsidRPr="005A19A9" w:rsidRDefault="00BF10AF" w:rsidP="00BF10AF">
      <w:pPr>
        <w:pStyle w:val="paragraph"/>
      </w:pPr>
      <w:r w:rsidRPr="005A19A9">
        <w:lastRenderedPageBreak/>
        <w:tab/>
        <w:t>(b)</w:t>
      </w:r>
      <w:r w:rsidRPr="005A19A9">
        <w:tab/>
        <w:t>if the authority considers that it is necessary for the variation to take effect earlier—</w:t>
      </w:r>
      <w:r w:rsidR="00F95A88" w:rsidRPr="005A19A9">
        <w:t xml:space="preserve">at </w:t>
      </w:r>
      <w:r w:rsidRPr="005A19A9">
        <w:t xml:space="preserve">the end of a shorter period specified in the notice given under that </w:t>
      </w:r>
      <w:proofErr w:type="spellStart"/>
      <w:r w:rsidRPr="005A19A9">
        <w:t>subregulation</w:t>
      </w:r>
      <w:proofErr w:type="spellEnd"/>
      <w:r w:rsidRPr="005A19A9">
        <w:t>.</w:t>
      </w:r>
    </w:p>
    <w:p w14:paraId="3757586E" w14:textId="77777777" w:rsidR="00BF10AF" w:rsidRPr="005A19A9" w:rsidRDefault="00BF10AF" w:rsidP="00BF10AF">
      <w:pPr>
        <w:pStyle w:val="ActHead5"/>
      </w:pPr>
      <w:bookmarkStart w:id="65" w:name="_Toc118454399"/>
      <w:r w:rsidRPr="00C01202">
        <w:rPr>
          <w:rStyle w:val="CharSectno"/>
        </w:rPr>
        <w:t>155</w:t>
      </w:r>
      <w:r w:rsidRPr="005A19A9">
        <w:t xml:space="preserve">  Contravening conditions of special </w:t>
      </w:r>
      <w:r w:rsidR="00320ECB" w:rsidRPr="005A19A9">
        <w:t xml:space="preserve">circumstances </w:t>
      </w:r>
      <w:r w:rsidRPr="005A19A9">
        <w:t>exemption</w:t>
      </w:r>
      <w:bookmarkEnd w:id="65"/>
    </w:p>
    <w:p w14:paraId="2CE84AE1" w14:textId="77777777" w:rsidR="00D1661B" w:rsidRPr="005A19A9" w:rsidRDefault="00200E55" w:rsidP="00200E55">
      <w:pPr>
        <w:pStyle w:val="subsection"/>
      </w:pPr>
      <w:r w:rsidRPr="005A19A9">
        <w:tab/>
        <w:t>(1)</w:t>
      </w:r>
      <w:r w:rsidRPr="005A19A9">
        <w:tab/>
        <w:t xml:space="preserve"> </w:t>
      </w:r>
      <w:r w:rsidR="00D1661B" w:rsidRPr="005A19A9">
        <w:t xml:space="preserve">A </w:t>
      </w:r>
      <w:r w:rsidRPr="005A19A9">
        <w:t xml:space="preserve">person </w:t>
      </w:r>
      <w:r w:rsidR="0060231E" w:rsidRPr="005A19A9">
        <w:t xml:space="preserve">commits an offence </w:t>
      </w:r>
      <w:r w:rsidRPr="005A19A9">
        <w:t>if:</w:t>
      </w:r>
    </w:p>
    <w:p w14:paraId="668D6830" w14:textId="77777777" w:rsidR="00200E55" w:rsidRPr="005A19A9" w:rsidRDefault="00200E55" w:rsidP="00200E55">
      <w:pPr>
        <w:pStyle w:val="paragraph"/>
      </w:pPr>
      <w:r w:rsidRPr="005A19A9">
        <w:tab/>
        <w:t>(a)</w:t>
      </w:r>
      <w:r w:rsidRPr="005A19A9">
        <w:tab/>
        <w:t xml:space="preserve">the person is the holder of a special circumstances exemption granted under </w:t>
      </w:r>
      <w:r w:rsidR="005A19A9" w:rsidRPr="005A19A9">
        <w:t>regulation 1</w:t>
      </w:r>
      <w:r w:rsidRPr="005A19A9">
        <w:t>51; and</w:t>
      </w:r>
    </w:p>
    <w:p w14:paraId="59E2DA18" w14:textId="77777777" w:rsidR="000F1B56" w:rsidRPr="005A19A9" w:rsidRDefault="00200E55" w:rsidP="000F1B56">
      <w:pPr>
        <w:pStyle w:val="paragraph"/>
      </w:pPr>
      <w:r w:rsidRPr="005A19A9">
        <w:tab/>
        <w:t>(b)</w:t>
      </w:r>
      <w:r w:rsidRPr="005A19A9">
        <w:tab/>
      </w:r>
      <w:r w:rsidR="000F1B56" w:rsidRPr="005A19A9">
        <w:t>the exemption is subject to a condition to be complied with by the person; and</w:t>
      </w:r>
    </w:p>
    <w:p w14:paraId="6ED5B0B2" w14:textId="77777777" w:rsidR="000F1B56" w:rsidRPr="005A19A9" w:rsidRDefault="000F1B56" w:rsidP="000F1B56">
      <w:pPr>
        <w:pStyle w:val="paragraph"/>
      </w:pPr>
      <w:r w:rsidRPr="005A19A9">
        <w:tab/>
        <w:t>(</w:t>
      </w:r>
      <w:r w:rsidR="00182EF8" w:rsidRPr="005A19A9">
        <w:t>c</w:t>
      </w:r>
      <w:r w:rsidRPr="005A19A9">
        <w:t>)</w:t>
      </w:r>
      <w:r w:rsidRPr="005A19A9">
        <w:tab/>
        <w:t>the person does an act or omits to perform an act; and</w:t>
      </w:r>
    </w:p>
    <w:p w14:paraId="16E87EAC" w14:textId="77777777" w:rsidR="000F1B56" w:rsidRPr="005A19A9" w:rsidRDefault="000F1B56" w:rsidP="000F1B56">
      <w:pPr>
        <w:pStyle w:val="paragraph"/>
      </w:pPr>
      <w:r w:rsidRPr="005A19A9">
        <w:tab/>
        <w:t>(</w:t>
      </w:r>
      <w:r w:rsidR="00182EF8" w:rsidRPr="005A19A9">
        <w:t>d</w:t>
      </w:r>
      <w:r w:rsidRPr="005A19A9">
        <w:t>)</w:t>
      </w:r>
      <w:r w:rsidRPr="005A19A9">
        <w:tab/>
        <w:t xml:space="preserve">the act or omission contravenes </w:t>
      </w:r>
      <w:r w:rsidR="00182EF8" w:rsidRPr="005A19A9">
        <w:t xml:space="preserve">the </w:t>
      </w:r>
      <w:r w:rsidRPr="005A19A9">
        <w:t>condition.</w:t>
      </w:r>
    </w:p>
    <w:p w14:paraId="70505670" w14:textId="77777777" w:rsidR="00B93D36" w:rsidRPr="005A19A9" w:rsidRDefault="00200E55" w:rsidP="00200E55">
      <w:pPr>
        <w:pStyle w:val="Penalty"/>
      </w:pPr>
      <w:r w:rsidRPr="005A19A9">
        <w:t>Penalty:</w:t>
      </w:r>
      <w:r w:rsidRPr="005A19A9">
        <w:tab/>
        <w:t>10 penalty units.</w:t>
      </w:r>
    </w:p>
    <w:p w14:paraId="5510EB3E" w14:textId="77777777" w:rsidR="00C75A78" w:rsidRPr="005A19A9" w:rsidRDefault="00C75A78" w:rsidP="00C75A78">
      <w:pPr>
        <w:pStyle w:val="subsection"/>
      </w:pPr>
      <w:r w:rsidRPr="005A19A9">
        <w:tab/>
        <w:t>(2)</w:t>
      </w:r>
      <w:r w:rsidRPr="005A19A9">
        <w:tab/>
        <w:t xml:space="preserve">An offence under </w:t>
      </w:r>
      <w:proofErr w:type="spellStart"/>
      <w:r w:rsidRPr="005A19A9">
        <w:t>subregulation</w:t>
      </w:r>
      <w:proofErr w:type="spellEnd"/>
      <w:r w:rsidRPr="005A19A9">
        <w:t xml:space="preserve"> (1) is an offence of strict liability.</w:t>
      </w:r>
    </w:p>
    <w:p w14:paraId="051D7A60" w14:textId="77777777" w:rsidR="009769EB" w:rsidRPr="005A19A9" w:rsidRDefault="009769EB" w:rsidP="009769EB">
      <w:pPr>
        <w:pStyle w:val="notetext"/>
      </w:pPr>
      <w:r w:rsidRPr="005A19A9">
        <w:t>Note:</w:t>
      </w:r>
      <w:r w:rsidRPr="005A19A9">
        <w:tab/>
        <w:t>Regulation numbers 156 to 199 (inclusive) are reserved for future use.</w:t>
      </w:r>
    </w:p>
    <w:bookmarkEnd w:id="60"/>
    <w:p w14:paraId="56EC67FA" w14:textId="77777777" w:rsidR="00BF10AF" w:rsidRPr="005A19A9" w:rsidRDefault="001E419E" w:rsidP="00BF10AF">
      <w:pPr>
        <w:pStyle w:val="ItemHead"/>
      </w:pPr>
      <w:r w:rsidRPr="005A19A9">
        <w:t>55</w:t>
      </w:r>
      <w:r w:rsidR="00BF10AF" w:rsidRPr="005A19A9">
        <w:t xml:space="preserve">  </w:t>
      </w:r>
      <w:r w:rsidR="003B4A84" w:rsidRPr="005A19A9">
        <w:t>Regulation 3</w:t>
      </w:r>
      <w:r w:rsidR="00BF10AF" w:rsidRPr="005A19A9">
        <w:t xml:space="preserve">01 (definition of </w:t>
      </w:r>
      <w:r w:rsidR="00BF10AF" w:rsidRPr="005A19A9">
        <w:rPr>
          <w:i/>
        </w:rPr>
        <w:t>Fire Board</w:t>
      </w:r>
      <w:r w:rsidR="00BF10AF" w:rsidRPr="005A19A9">
        <w:t>)</w:t>
      </w:r>
    </w:p>
    <w:p w14:paraId="465DB704" w14:textId="77777777" w:rsidR="00BF10AF" w:rsidRPr="005A19A9" w:rsidRDefault="00BF10AF" w:rsidP="00BF10AF">
      <w:pPr>
        <w:pStyle w:val="Item"/>
      </w:pPr>
      <w:r w:rsidRPr="005A19A9">
        <w:t>Omit “311(1)(a)”, substitute “</w:t>
      </w:r>
      <w:bookmarkStart w:id="66" w:name="_Hlk117177896"/>
      <w:r w:rsidRPr="005A19A9">
        <w:t>307A(1)(a)</w:t>
      </w:r>
      <w:bookmarkEnd w:id="66"/>
      <w:r w:rsidRPr="005A19A9">
        <w:t>”.</w:t>
      </w:r>
    </w:p>
    <w:p w14:paraId="1442DC16" w14:textId="77777777" w:rsidR="00B36691" w:rsidRPr="005A19A9" w:rsidRDefault="001E419E" w:rsidP="00632DC6">
      <w:pPr>
        <w:pStyle w:val="ItemHead"/>
      </w:pPr>
      <w:r w:rsidRPr="005A19A9">
        <w:t>56</w:t>
      </w:r>
      <w:r w:rsidR="00B36691" w:rsidRPr="005A19A9">
        <w:t xml:space="preserve">  </w:t>
      </w:r>
      <w:proofErr w:type="spellStart"/>
      <w:r w:rsidR="005A19A9" w:rsidRPr="005A19A9">
        <w:t>Subregulation</w:t>
      </w:r>
      <w:proofErr w:type="spellEnd"/>
      <w:r w:rsidR="005A19A9" w:rsidRPr="005A19A9">
        <w:t> 3</w:t>
      </w:r>
      <w:r w:rsidR="00B36691" w:rsidRPr="005A19A9">
        <w:t>02(1)</w:t>
      </w:r>
    </w:p>
    <w:p w14:paraId="64020458" w14:textId="77777777" w:rsidR="00BC02F0" w:rsidRPr="005A19A9" w:rsidRDefault="00BC02F0" w:rsidP="00BC02F0">
      <w:pPr>
        <w:pStyle w:val="Item"/>
      </w:pPr>
      <w:r w:rsidRPr="005A19A9">
        <w:t xml:space="preserve">Repeal the </w:t>
      </w:r>
      <w:proofErr w:type="spellStart"/>
      <w:r w:rsidRPr="005A19A9">
        <w:t>subregulation</w:t>
      </w:r>
      <w:proofErr w:type="spellEnd"/>
      <w:r w:rsidRPr="005A19A9">
        <w:t>, substitute:</w:t>
      </w:r>
    </w:p>
    <w:p w14:paraId="3C6D8154" w14:textId="77777777" w:rsidR="00182EF8" w:rsidRPr="005A19A9" w:rsidRDefault="00BC02F0" w:rsidP="00BC02F0">
      <w:pPr>
        <w:pStyle w:val="subsection"/>
      </w:pPr>
      <w:bookmarkStart w:id="67" w:name="_Hlk118454698"/>
      <w:r w:rsidRPr="005A19A9">
        <w:tab/>
        <w:t>(1)</w:t>
      </w:r>
      <w:r w:rsidRPr="005A19A9">
        <w:tab/>
        <w:t xml:space="preserve">A person </w:t>
      </w:r>
      <w:r w:rsidR="00182EF8" w:rsidRPr="005A19A9">
        <w:t xml:space="preserve">commits an offence if the person handles an extinguishing agent that is, or has been, for use in fire protection </w:t>
      </w:r>
      <w:r w:rsidR="00CE265D" w:rsidRPr="005A19A9">
        <w:t>equipment and the person is not:</w:t>
      </w:r>
    </w:p>
    <w:p w14:paraId="500759CB" w14:textId="77777777" w:rsidR="00BC02F0" w:rsidRPr="005A19A9" w:rsidRDefault="00BC02F0" w:rsidP="00BC02F0">
      <w:pPr>
        <w:pStyle w:val="paragraph"/>
      </w:pPr>
      <w:r w:rsidRPr="005A19A9">
        <w:tab/>
        <w:t>(a)</w:t>
      </w:r>
      <w:r w:rsidRPr="005A19A9">
        <w:tab/>
        <w:t>the holder of an extinguishing agent handling licence; or</w:t>
      </w:r>
    </w:p>
    <w:p w14:paraId="450C9843" w14:textId="77777777" w:rsidR="00BC02F0" w:rsidRPr="005A19A9" w:rsidRDefault="00BC02F0" w:rsidP="00BC02F0">
      <w:pPr>
        <w:pStyle w:val="paragraph"/>
      </w:pPr>
      <w:r w:rsidRPr="005A19A9">
        <w:tab/>
        <w:t>(b)</w:t>
      </w:r>
      <w:r w:rsidRPr="005A19A9">
        <w:tab/>
        <w:t>both:</w:t>
      </w:r>
    </w:p>
    <w:p w14:paraId="0F3A222D" w14:textId="77777777" w:rsidR="00BC02F0" w:rsidRPr="005A19A9" w:rsidRDefault="00BC02F0" w:rsidP="00BC02F0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holder of a special circumstances exemption; and</w:t>
      </w:r>
    </w:p>
    <w:p w14:paraId="443DD809" w14:textId="77777777" w:rsidR="00BC02F0" w:rsidRPr="005A19A9" w:rsidRDefault="00BC02F0" w:rsidP="00BC02F0">
      <w:pPr>
        <w:pStyle w:val="paragraphsub"/>
      </w:pPr>
      <w:r w:rsidRPr="005A19A9">
        <w:tab/>
        <w:t>(ii)</w:t>
      </w:r>
      <w:r w:rsidRPr="005A19A9">
        <w:tab/>
        <w:t xml:space="preserve">entitled under the exemption to handle </w:t>
      </w:r>
      <w:r w:rsidR="00FB4374" w:rsidRPr="005A19A9">
        <w:t xml:space="preserve">the </w:t>
      </w:r>
      <w:r w:rsidRPr="005A19A9">
        <w:t>extinguishing agent; or</w:t>
      </w:r>
    </w:p>
    <w:p w14:paraId="1395BA3F" w14:textId="77777777" w:rsidR="00B36691" w:rsidRPr="005A19A9" w:rsidRDefault="00BC02F0" w:rsidP="00B36691">
      <w:pPr>
        <w:pStyle w:val="paragraph"/>
      </w:pPr>
      <w:r w:rsidRPr="005A19A9">
        <w:tab/>
      </w:r>
      <w:r w:rsidR="00B36691" w:rsidRPr="005A19A9">
        <w:t>(c)</w:t>
      </w:r>
      <w:r w:rsidR="00B36691" w:rsidRPr="005A19A9">
        <w:tab/>
        <w:t>both:</w:t>
      </w:r>
    </w:p>
    <w:p w14:paraId="7216C8B8" w14:textId="77777777" w:rsidR="00FB4374" w:rsidRPr="005A19A9" w:rsidRDefault="00B36691" w:rsidP="00B36691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an employee or contractor of the holder of a special circumstances exemption</w:t>
      </w:r>
      <w:r w:rsidR="00FB4374" w:rsidRPr="005A19A9">
        <w:t xml:space="preserve"> that entitles the holder of the exemption to handle the extinguishing agent; and</w:t>
      </w:r>
    </w:p>
    <w:p w14:paraId="6F1F1FC5" w14:textId="77777777" w:rsidR="00FB4374" w:rsidRPr="005A19A9" w:rsidRDefault="00FB4374" w:rsidP="00FB4374">
      <w:pPr>
        <w:pStyle w:val="paragraphsub"/>
      </w:pPr>
      <w:r w:rsidRPr="005A19A9">
        <w:tab/>
        <w:t>(ii)</w:t>
      </w:r>
      <w:r w:rsidRPr="005A19A9">
        <w:tab/>
        <w:t xml:space="preserve">a person that holds the relevant qualifications or </w:t>
      </w:r>
      <w:r w:rsidR="00DC5902" w:rsidRPr="005A19A9">
        <w:t xml:space="preserve">has the relevant </w:t>
      </w:r>
      <w:r w:rsidRPr="005A19A9">
        <w:t>experience specified in the exemption.</w:t>
      </w:r>
    </w:p>
    <w:p w14:paraId="1812BC2F" w14:textId="77777777" w:rsidR="00BC02F0" w:rsidRPr="005A19A9" w:rsidRDefault="00BC02F0" w:rsidP="00BC02F0">
      <w:pPr>
        <w:pStyle w:val="Penalty"/>
      </w:pPr>
      <w:r w:rsidRPr="005A19A9">
        <w:t>Penalty:</w:t>
      </w:r>
      <w:r w:rsidRPr="005A19A9">
        <w:tab/>
        <w:t>10 penalty units.</w:t>
      </w:r>
    </w:p>
    <w:bookmarkEnd w:id="67"/>
    <w:p w14:paraId="21CA150B" w14:textId="77777777" w:rsidR="00BC02F0" w:rsidRPr="005A19A9" w:rsidRDefault="001E419E" w:rsidP="00632DC6">
      <w:pPr>
        <w:pStyle w:val="ItemHead"/>
      </w:pPr>
      <w:r w:rsidRPr="005A19A9">
        <w:t>57</w:t>
      </w:r>
      <w:r w:rsidR="00BC02F0" w:rsidRPr="005A19A9">
        <w:t xml:space="preserve">  </w:t>
      </w:r>
      <w:r w:rsidR="005A19A9" w:rsidRPr="005A19A9">
        <w:t>Paragraph 3</w:t>
      </w:r>
      <w:r w:rsidR="00BC02F0" w:rsidRPr="005A19A9">
        <w:t>03(2)(c)</w:t>
      </w:r>
    </w:p>
    <w:p w14:paraId="609602CA" w14:textId="77777777" w:rsidR="00BC02F0" w:rsidRPr="005A19A9" w:rsidRDefault="00BC02F0" w:rsidP="00BC02F0">
      <w:pPr>
        <w:pStyle w:val="Item"/>
      </w:pPr>
      <w:r w:rsidRPr="005A19A9">
        <w:t>Repeal the paragraph, substitute:</w:t>
      </w:r>
    </w:p>
    <w:p w14:paraId="75F5D745" w14:textId="77777777" w:rsidR="00BC02F0" w:rsidRPr="005A19A9" w:rsidRDefault="00BC02F0" w:rsidP="00BC02F0">
      <w:pPr>
        <w:pStyle w:val="paragraph"/>
      </w:pPr>
      <w:bookmarkStart w:id="68" w:name="_Hlk119598289"/>
      <w:bookmarkStart w:id="69" w:name="_Hlk118454699"/>
      <w:r w:rsidRPr="005A19A9">
        <w:tab/>
        <w:t>(c)</w:t>
      </w:r>
      <w:r w:rsidRPr="005A19A9">
        <w:tab/>
        <w:t>both:</w:t>
      </w:r>
    </w:p>
    <w:p w14:paraId="735074BD" w14:textId="77777777" w:rsidR="00BC02F0" w:rsidRPr="005A19A9" w:rsidRDefault="00BC02F0" w:rsidP="00BC02F0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holder of a special circumstances exemption; and</w:t>
      </w:r>
    </w:p>
    <w:p w14:paraId="709B6E78" w14:textId="77777777" w:rsidR="00BC02F0" w:rsidRPr="005A19A9" w:rsidRDefault="00BC02F0" w:rsidP="00BC02F0">
      <w:pPr>
        <w:pStyle w:val="paragraphsub"/>
      </w:pPr>
      <w:r w:rsidRPr="005A19A9">
        <w:tab/>
        <w:t>(ii)</w:t>
      </w:r>
      <w:r w:rsidRPr="005A19A9">
        <w:tab/>
        <w:t>entitled under the exemption to acquire, possess or dispose of bulk extinguishing agent; or</w:t>
      </w:r>
    </w:p>
    <w:p w14:paraId="15E9DC85" w14:textId="77777777" w:rsidR="00BC02F0" w:rsidRPr="005A19A9" w:rsidRDefault="00BC02F0" w:rsidP="00BC02F0">
      <w:pPr>
        <w:pStyle w:val="paragraph"/>
      </w:pPr>
      <w:r w:rsidRPr="005A19A9">
        <w:tab/>
        <w:t>(ca)</w:t>
      </w:r>
      <w:r w:rsidRPr="005A19A9">
        <w:tab/>
        <w:t>both:</w:t>
      </w:r>
    </w:p>
    <w:p w14:paraId="47BD9596" w14:textId="77777777" w:rsidR="00BC02F0" w:rsidRPr="005A19A9" w:rsidRDefault="00BC02F0" w:rsidP="00BC02F0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an employee or contractor of the holder of a special circumstances exemption</w:t>
      </w:r>
      <w:r w:rsidR="00DC5902" w:rsidRPr="005A19A9">
        <w:t xml:space="preserve"> that entitles the holder of the exemption to acquire, possess or dispose of bulk extinguishing agent</w:t>
      </w:r>
      <w:r w:rsidRPr="005A19A9">
        <w:t>; and</w:t>
      </w:r>
    </w:p>
    <w:p w14:paraId="4F2068F8" w14:textId="77777777" w:rsidR="00BC02F0" w:rsidRPr="005A19A9" w:rsidRDefault="00BC02F0" w:rsidP="00BC02F0">
      <w:pPr>
        <w:pStyle w:val="paragraphsub"/>
      </w:pPr>
      <w:r w:rsidRPr="005A19A9">
        <w:lastRenderedPageBreak/>
        <w:tab/>
        <w:t>(ii)</w:t>
      </w:r>
      <w:r w:rsidRPr="005A19A9">
        <w:tab/>
      </w:r>
      <w:r w:rsidR="00DC5902" w:rsidRPr="005A19A9">
        <w:t>a person that holds the relevant qualifications or has the relevant experience specified in the exemption</w:t>
      </w:r>
      <w:r w:rsidRPr="005A19A9">
        <w:t>; or</w:t>
      </w:r>
    </w:p>
    <w:bookmarkEnd w:id="68"/>
    <w:p w14:paraId="2967C4E4" w14:textId="77777777" w:rsidR="00CE265D" w:rsidRPr="005A19A9" w:rsidRDefault="001E419E" w:rsidP="00653C49">
      <w:pPr>
        <w:pStyle w:val="ItemHead"/>
      </w:pPr>
      <w:r w:rsidRPr="005A19A9">
        <w:t>58</w:t>
      </w:r>
      <w:r w:rsidR="00653C49" w:rsidRPr="005A19A9">
        <w:t xml:space="preserve">  At the end of </w:t>
      </w:r>
      <w:proofErr w:type="spellStart"/>
      <w:r w:rsidR="005A19A9" w:rsidRPr="005A19A9">
        <w:t>subregulation</w:t>
      </w:r>
      <w:proofErr w:type="spellEnd"/>
      <w:r w:rsidR="005A19A9" w:rsidRPr="005A19A9">
        <w:t> 3</w:t>
      </w:r>
      <w:r w:rsidR="00653C49" w:rsidRPr="005A19A9">
        <w:t>03(3)</w:t>
      </w:r>
    </w:p>
    <w:p w14:paraId="0CF92DA8" w14:textId="77777777" w:rsidR="00653C49" w:rsidRPr="005A19A9" w:rsidRDefault="00653C49" w:rsidP="00653C49">
      <w:pPr>
        <w:pStyle w:val="Item"/>
      </w:pPr>
      <w:r w:rsidRPr="005A19A9">
        <w:t>Add:</w:t>
      </w:r>
    </w:p>
    <w:p w14:paraId="4E593CCE" w14:textId="77777777" w:rsidR="00CE265D" w:rsidRPr="005A19A9" w:rsidRDefault="00653C49" w:rsidP="00653C49">
      <w:pPr>
        <w:pStyle w:val="paragraph"/>
      </w:pPr>
      <w:bookmarkStart w:id="70" w:name="_Hlk119598290"/>
      <w:r w:rsidRPr="005A19A9">
        <w:tab/>
        <w:t>; or (d)</w:t>
      </w:r>
      <w:r w:rsidRPr="005A19A9">
        <w:tab/>
        <w:t>the holder of a special circumstances exemption that entitles the holder to acquire, possess or dispose of bulk extinguishing agent.</w:t>
      </w:r>
    </w:p>
    <w:bookmarkEnd w:id="69"/>
    <w:bookmarkEnd w:id="70"/>
    <w:p w14:paraId="507E7C35" w14:textId="77777777" w:rsidR="00BC02F0" w:rsidRPr="005A19A9" w:rsidRDefault="001E419E" w:rsidP="00632DC6">
      <w:pPr>
        <w:pStyle w:val="ItemHead"/>
      </w:pPr>
      <w:r w:rsidRPr="005A19A9">
        <w:t>59</w:t>
      </w:r>
      <w:r w:rsidR="00BC02F0" w:rsidRPr="005A19A9">
        <w:t xml:space="preserve">  </w:t>
      </w:r>
      <w:r w:rsidR="005A19A9" w:rsidRPr="005A19A9">
        <w:t>Paragraph 3</w:t>
      </w:r>
      <w:r w:rsidR="00BC02F0" w:rsidRPr="005A19A9">
        <w:t>0</w:t>
      </w:r>
      <w:r w:rsidR="005F3D7C" w:rsidRPr="005A19A9">
        <w:t>4(1)(c)</w:t>
      </w:r>
    </w:p>
    <w:p w14:paraId="1F6FE123" w14:textId="77777777" w:rsidR="005F3D7C" w:rsidRPr="005A19A9" w:rsidRDefault="005F3D7C" w:rsidP="005F3D7C">
      <w:pPr>
        <w:pStyle w:val="Item"/>
      </w:pPr>
      <w:r w:rsidRPr="005A19A9">
        <w:t>Repeal the paragraph, substitute:</w:t>
      </w:r>
    </w:p>
    <w:p w14:paraId="221CB410" w14:textId="77777777" w:rsidR="005F3D7C" w:rsidRPr="005A19A9" w:rsidRDefault="005F3D7C" w:rsidP="005F3D7C">
      <w:pPr>
        <w:pStyle w:val="paragraph"/>
      </w:pPr>
      <w:bookmarkStart w:id="71" w:name="_Hlk119598291"/>
      <w:bookmarkStart w:id="72" w:name="_Hlk118454700"/>
      <w:r w:rsidRPr="005A19A9">
        <w:tab/>
        <w:t>(c)</w:t>
      </w:r>
      <w:r w:rsidRPr="005A19A9">
        <w:tab/>
      </w:r>
      <w:r w:rsidR="001A6861" w:rsidRPr="005A19A9">
        <w:t>the person is</w:t>
      </w:r>
      <w:r w:rsidRPr="005A19A9">
        <w:t>:</w:t>
      </w:r>
    </w:p>
    <w:p w14:paraId="42349411" w14:textId="77777777" w:rsidR="005F3D7C" w:rsidRPr="005A19A9" w:rsidRDefault="005F3D7C" w:rsidP="005F3D7C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holder of a special circumstances exemption; and</w:t>
      </w:r>
    </w:p>
    <w:p w14:paraId="76212A3D" w14:textId="77777777" w:rsidR="005F3D7C" w:rsidRPr="005A19A9" w:rsidRDefault="005F3D7C" w:rsidP="005F3D7C">
      <w:pPr>
        <w:pStyle w:val="paragraphsub"/>
      </w:pPr>
      <w:r w:rsidRPr="005A19A9">
        <w:tab/>
        <w:t>(ii)</w:t>
      </w:r>
      <w:r w:rsidRPr="005A19A9">
        <w:tab/>
        <w:t>entitled under the exemption to possess halon; or</w:t>
      </w:r>
    </w:p>
    <w:p w14:paraId="715E4CBC" w14:textId="77777777" w:rsidR="005F3D7C" w:rsidRPr="005A19A9" w:rsidRDefault="005F3D7C" w:rsidP="005F3D7C">
      <w:pPr>
        <w:pStyle w:val="paragraph"/>
      </w:pPr>
      <w:r w:rsidRPr="005A19A9">
        <w:tab/>
        <w:t>(ca)</w:t>
      </w:r>
      <w:r w:rsidRPr="005A19A9">
        <w:tab/>
      </w:r>
      <w:r w:rsidR="001A6861" w:rsidRPr="005A19A9">
        <w:t>the person is</w:t>
      </w:r>
      <w:r w:rsidRPr="005A19A9">
        <w:t>:</w:t>
      </w:r>
    </w:p>
    <w:p w14:paraId="49B2BBC3" w14:textId="77777777" w:rsidR="005F3D7C" w:rsidRPr="005A19A9" w:rsidRDefault="005F3D7C" w:rsidP="005F3D7C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an employee or contractor of the holder of a special circumstances exemption</w:t>
      </w:r>
      <w:r w:rsidR="00DC5902" w:rsidRPr="005A19A9">
        <w:t xml:space="preserve"> that entitles the holder of the exemption to possess halon</w:t>
      </w:r>
      <w:r w:rsidRPr="005A19A9">
        <w:t>; and</w:t>
      </w:r>
    </w:p>
    <w:p w14:paraId="68D9FE3B" w14:textId="77777777" w:rsidR="005F3D7C" w:rsidRPr="005A19A9" w:rsidRDefault="005F3D7C" w:rsidP="005F3D7C">
      <w:pPr>
        <w:pStyle w:val="paragraphsub"/>
      </w:pPr>
      <w:r w:rsidRPr="005A19A9">
        <w:tab/>
        <w:t>(ii)</w:t>
      </w:r>
      <w:r w:rsidRPr="005A19A9">
        <w:tab/>
      </w:r>
      <w:r w:rsidR="00DC5902" w:rsidRPr="005A19A9">
        <w:t>a person that holds the relevant qualifications or has the relevant experience specified in the exemption</w:t>
      </w:r>
      <w:r w:rsidRPr="005A19A9">
        <w:t>; or</w:t>
      </w:r>
    </w:p>
    <w:bookmarkEnd w:id="71"/>
    <w:p w14:paraId="0DFB07D6" w14:textId="77777777" w:rsidR="00653C49" w:rsidRPr="005A19A9" w:rsidRDefault="001E419E" w:rsidP="00653C49">
      <w:pPr>
        <w:pStyle w:val="ItemHead"/>
      </w:pPr>
      <w:r w:rsidRPr="005A19A9">
        <w:t>60</w:t>
      </w:r>
      <w:r w:rsidR="00653C49" w:rsidRPr="005A19A9">
        <w:t xml:space="preserve">  At the end of </w:t>
      </w:r>
      <w:proofErr w:type="spellStart"/>
      <w:r w:rsidR="005A19A9" w:rsidRPr="005A19A9">
        <w:t>subregulation</w:t>
      </w:r>
      <w:proofErr w:type="spellEnd"/>
      <w:r w:rsidR="005A19A9" w:rsidRPr="005A19A9">
        <w:t> 3</w:t>
      </w:r>
      <w:r w:rsidR="00653C49" w:rsidRPr="005A19A9">
        <w:t>04(2)</w:t>
      </w:r>
    </w:p>
    <w:p w14:paraId="72684D85" w14:textId="77777777" w:rsidR="00212D0A" w:rsidRPr="005A19A9" w:rsidRDefault="00212D0A" w:rsidP="00212D0A">
      <w:pPr>
        <w:pStyle w:val="Item"/>
      </w:pPr>
      <w:r w:rsidRPr="005A19A9">
        <w:t>Add:</w:t>
      </w:r>
    </w:p>
    <w:p w14:paraId="2672CAAC" w14:textId="77777777" w:rsidR="00212D0A" w:rsidRPr="005A19A9" w:rsidRDefault="00212D0A" w:rsidP="00212D0A">
      <w:pPr>
        <w:pStyle w:val="paragraphsub"/>
      </w:pPr>
      <w:bookmarkStart w:id="73" w:name="_Hlk119598292"/>
      <w:r w:rsidRPr="005A19A9">
        <w:tab/>
        <w:t>; or (iv)</w:t>
      </w:r>
      <w:r w:rsidRPr="005A19A9">
        <w:tab/>
        <w:t>the holder of a special circumstances exemption that entitles the holder to possess halon.</w:t>
      </w:r>
    </w:p>
    <w:bookmarkEnd w:id="72"/>
    <w:bookmarkEnd w:id="73"/>
    <w:p w14:paraId="1CD5FCEE" w14:textId="77777777" w:rsidR="004B1FDE" w:rsidRPr="005A19A9" w:rsidRDefault="001E419E" w:rsidP="004B1FDE">
      <w:pPr>
        <w:pStyle w:val="ItemHead"/>
      </w:pPr>
      <w:r w:rsidRPr="005A19A9">
        <w:t>61</w:t>
      </w:r>
      <w:r w:rsidR="004B1FDE" w:rsidRPr="005A19A9">
        <w:t xml:space="preserve">  After </w:t>
      </w:r>
      <w:proofErr w:type="spellStart"/>
      <w:r w:rsidR="005A19A9" w:rsidRPr="005A19A9">
        <w:t>subregulation</w:t>
      </w:r>
      <w:proofErr w:type="spellEnd"/>
      <w:r w:rsidR="005A19A9" w:rsidRPr="005A19A9">
        <w:t> 3</w:t>
      </w:r>
      <w:r w:rsidR="004B1FDE" w:rsidRPr="005A19A9">
        <w:t>04A(2)</w:t>
      </w:r>
    </w:p>
    <w:p w14:paraId="58550522" w14:textId="77777777" w:rsidR="004B1FDE" w:rsidRPr="005A19A9" w:rsidRDefault="004B1FDE" w:rsidP="004B1FDE">
      <w:pPr>
        <w:pStyle w:val="Item"/>
      </w:pPr>
      <w:r w:rsidRPr="005A19A9">
        <w:t>Insert:</w:t>
      </w:r>
    </w:p>
    <w:p w14:paraId="50B2DEEA" w14:textId="77777777" w:rsidR="004B1FDE" w:rsidRPr="005A19A9" w:rsidRDefault="004B1FDE" w:rsidP="004B1FDE">
      <w:pPr>
        <w:pStyle w:val="subsection"/>
      </w:pPr>
      <w:bookmarkStart w:id="74" w:name="_Hlk118454701"/>
      <w:r w:rsidRPr="005A19A9">
        <w:tab/>
        <w:t>(2A)</w:t>
      </w:r>
      <w:r w:rsidRPr="005A19A9">
        <w:tab/>
      </w:r>
      <w:proofErr w:type="spellStart"/>
      <w:r w:rsidRPr="005A19A9">
        <w:t>Subregulation</w:t>
      </w:r>
      <w:proofErr w:type="spellEnd"/>
      <w:r w:rsidRPr="005A19A9">
        <w:t xml:space="preserve"> (1) does not apply to a person if:</w:t>
      </w:r>
    </w:p>
    <w:p w14:paraId="791E909E" w14:textId="77777777" w:rsidR="004B1FDE" w:rsidRPr="005A19A9" w:rsidRDefault="004B1FDE" w:rsidP="004B1FDE">
      <w:pPr>
        <w:pStyle w:val="paragraph"/>
      </w:pPr>
      <w:r w:rsidRPr="005A19A9">
        <w:tab/>
        <w:t>(a)</w:t>
      </w:r>
      <w:r w:rsidRPr="005A19A9">
        <w:tab/>
        <w:t>at the time of making the representation, the person is an employee or contractor of the holder of a special circumstances exemption; and</w:t>
      </w:r>
    </w:p>
    <w:p w14:paraId="249F06E5" w14:textId="77777777" w:rsidR="004B1FDE" w:rsidRPr="005A19A9" w:rsidRDefault="004B1FDE" w:rsidP="004B1FDE">
      <w:pPr>
        <w:pStyle w:val="paragraph"/>
      </w:pPr>
      <w:r w:rsidRPr="005A19A9">
        <w:tab/>
        <w:t>(b)</w:t>
      </w:r>
      <w:r w:rsidRPr="005A19A9">
        <w:tab/>
        <w:t>the representation made by the person is for an activity covered by the exemption.</w:t>
      </w:r>
    </w:p>
    <w:p w14:paraId="03D83EA9" w14:textId="77777777" w:rsidR="004B1FDE" w:rsidRPr="005A19A9" w:rsidRDefault="004B1FDE" w:rsidP="004B1FDE">
      <w:pPr>
        <w:pStyle w:val="notetext"/>
      </w:pPr>
      <w:r w:rsidRPr="005A19A9">
        <w:t>Note:</w:t>
      </w:r>
      <w:r w:rsidRPr="005A19A9">
        <w:tab/>
        <w:t xml:space="preserve">A defendant bears an evidential burden in relation to the matters in </w:t>
      </w:r>
      <w:proofErr w:type="spellStart"/>
      <w:r w:rsidRPr="005A19A9">
        <w:t>subregulation</w:t>
      </w:r>
      <w:proofErr w:type="spellEnd"/>
      <w:r w:rsidRPr="005A19A9">
        <w:t xml:space="preserve"> (1B)—see </w:t>
      </w:r>
      <w:r w:rsidR="005A19A9" w:rsidRPr="005A19A9">
        <w:t>subsection 1</w:t>
      </w:r>
      <w:r w:rsidRPr="005A19A9">
        <w:t xml:space="preserve">3.3(3) of the </w:t>
      </w:r>
      <w:r w:rsidRPr="005A19A9">
        <w:rPr>
          <w:i/>
        </w:rPr>
        <w:t>Criminal Code</w:t>
      </w:r>
      <w:r w:rsidRPr="005A19A9">
        <w:t>.</w:t>
      </w:r>
    </w:p>
    <w:bookmarkEnd w:id="74"/>
    <w:p w14:paraId="19E8871A" w14:textId="77777777" w:rsidR="00632DC6" w:rsidRPr="005A19A9" w:rsidRDefault="001E419E" w:rsidP="00632DC6">
      <w:pPr>
        <w:pStyle w:val="ItemHead"/>
      </w:pPr>
      <w:r w:rsidRPr="005A19A9">
        <w:t>62</w:t>
      </w:r>
      <w:r w:rsidR="00632DC6" w:rsidRPr="005A19A9">
        <w:t xml:space="preserve">  </w:t>
      </w:r>
      <w:r w:rsidR="003B4A84" w:rsidRPr="005A19A9">
        <w:t>Subparagraph 3</w:t>
      </w:r>
      <w:r w:rsidR="00632DC6" w:rsidRPr="005A19A9">
        <w:t>16(1)(a)(iii)</w:t>
      </w:r>
    </w:p>
    <w:p w14:paraId="0893C2A5" w14:textId="77777777" w:rsidR="00632DC6" w:rsidRPr="005A19A9" w:rsidRDefault="00632DC6" w:rsidP="00632DC6">
      <w:pPr>
        <w:pStyle w:val="Item"/>
      </w:pPr>
      <w:r w:rsidRPr="005A19A9">
        <w:t>After “imposing”, insert “</w:t>
      </w:r>
      <w:bookmarkStart w:id="75" w:name="_Hlk117506936"/>
      <w:r w:rsidRPr="005A19A9">
        <w:t>or varying</w:t>
      </w:r>
      <w:bookmarkEnd w:id="75"/>
      <w:r w:rsidRPr="005A19A9">
        <w:t>”.</w:t>
      </w:r>
    </w:p>
    <w:p w14:paraId="279EF162" w14:textId="77777777" w:rsidR="00CE6138" w:rsidRPr="005A19A9" w:rsidRDefault="001E419E" w:rsidP="00CE6138">
      <w:pPr>
        <w:pStyle w:val="ItemHead"/>
      </w:pPr>
      <w:r w:rsidRPr="005A19A9">
        <w:t>63</w:t>
      </w:r>
      <w:r w:rsidR="00CE6138" w:rsidRPr="005A19A9">
        <w:t xml:space="preserve">  After </w:t>
      </w:r>
      <w:r w:rsidR="005A19A9" w:rsidRPr="005A19A9">
        <w:t>subparagraph 3</w:t>
      </w:r>
      <w:r w:rsidR="00CE6138" w:rsidRPr="005A19A9">
        <w:t>16(1)(a)(iii)</w:t>
      </w:r>
    </w:p>
    <w:p w14:paraId="179F1458" w14:textId="77777777" w:rsidR="00CE6138" w:rsidRPr="005A19A9" w:rsidRDefault="00CE6138" w:rsidP="00CE6138">
      <w:pPr>
        <w:pStyle w:val="Item"/>
      </w:pPr>
      <w:r w:rsidRPr="005A19A9">
        <w:t>Insert:</w:t>
      </w:r>
    </w:p>
    <w:p w14:paraId="4CDC4258" w14:textId="77777777" w:rsidR="00CE6138" w:rsidRPr="005A19A9" w:rsidRDefault="00CE6138" w:rsidP="00CE6138">
      <w:pPr>
        <w:pStyle w:val="paragraphsub"/>
      </w:pPr>
      <w:bookmarkStart w:id="76" w:name="_Hlk118454705"/>
      <w:r w:rsidRPr="005A19A9">
        <w:tab/>
        <w:t>(</w:t>
      </w:r>
      <w:proofErr w:type="spellStart"/>
      <w:r w:rsidRPr="005A19A9">
        <w:t>iiia</w:t>
      </w:r>
      <w:proofErr w:type="spellEnd"/>
      <w:r w:rsidRPr="005A19A9">
        <w:t>)</w:t>
      </w:r>
      <w:r w:rsidRPr="005A19A9">
        <w:tab/>
        <w:t>a decision not to vary a special circumstances exemption;</w:t>
      </w:r>
    </w:p>
    <w:bookmarkEnd w:id="76"/>
    <w:p w14:paraId="38EA03A9" w14:textId="77777777" w:rsidR="00313BA3" w:rsidRPr="005A19A9" w:rsidRDefault="001E419E" w:rsidP="00313BA3">
      <w:pPr>
        <w:pStyle w:val="ItemHead"/>
      </w:pPr>
      <w:r w:rsidRPr="005A19A9">
        <w:t>64</w:t>
      </w:r>
      <w:r w:rsidR="007464EC" w:rsidRPr="005A19A9">
        <w:t xml:space="preserve">  </w:t>
      </w:r>
      <w:proofErr w:type="spellStart"/>
      <w:r w:rsidR="005A19A9" w:rsidRPr="005A19A9">
        <w:t>Subregulation</w:t>
      </w:r>
      <w:proofErr w:type="spellEnd"/>
      <w:r w:rsidR="005A19A9" w:rsidRPr="005A19A9">
        <w:t> 3</w:t>
      </w:r>
      <w:r w:rsidR="007464EC" w:rsidRPr="005A19A9">
        <w:t>42(1)</w:t>
      </w:r>
    </w:p>
    <w:p w14:paraId="049B2E22" w14:textId="77777777" w:rsidR="007464EC" w:rsidRPr="005A19A9" w:rsidRDefault="007464EC" w:rsidP="007464EC">
      <w:pPr>
        <w:pStyle w:val="Item"/>
      </w:pPr>
      <w:r w:rsidRPr="005A19A9">
        <w:t>After “holder of”, insert “</w:t>
      </w:r>
      <w:bookmarkStart w:id="77" w:name="_Hlk119598296"/>
      <w:r w:rsidRPr="005A19A9">
        <w:t>one or more of the following</w:t>
      </w:r>
      <w:bookmarkEnd w:id="77"/>
      <w:r w:rsidRPr="005A19A9">
        <w:t>”.</w:t>
      </w:r>
    </w:p>
    <w:p w14:paraId="5045899F" w14:textId="77777777" w:rsidR="007464EC" w:rsidRPr="005A19A9" w:rsidRDefault="001E419E" w:rsidP="007464EC">
      <w:pPr>
        <w:pStyle w:val="ItemHead"/>
      </w:pPr>
      <w:r w:rsidRPr="005A19A9">
        <w:t>65</w:t>
      </w:r>
      <w:r w:rsidR="007464EC" w:rsidRPr="005A19A9">
        <w:t xml:space="preserve">  Paragraphs 342(1)(a) and (b)</w:t>
      </w:r>
    </w:p>
    <w:p w14:paraId="16BD663E" w14:textId="77777777" w:rsidR="007464EC" w:rsidRPr="005A19A9" w:rsidRDefault="007464EC" w:rsidP="007464EC">
      <w:pPr>
        <w:pStyle w:val="Item"/>
      </w:pPr>
      <w:r w:rsidRPr="005A19A9">
        <w:t>Omit “or”.</w:t>
      </w:r>
    </w:p>
    <w:p w14:paraId="7B0804F4" w14:textId="77777777" w:rsidR="00F56601" w:rsidRPr="005A19A9" w:rsidRDefault="001E419E" w:rsidP="00F56601">
      <w:pPr>
        <w:pStyle w:val="ItemHead"/>
      </w:pPr>
      <w:r w:rsidRPr="005A19A9">
        <w:lastRenderedPageBreak/>
        <w:t>66</w:t>
      </w:r>
      <w:r w:rsidR="00F56601" w:rsidRPr="005A19A9">
        <w:t xml:space="preserve">  </w:t>
      </w:r>
      <w:proofErr w:type="spellStart"/>
      <w:r w:rsidR="003B4A84" w:rsidRPr="005A19A9">
        <w:t>Subregulations</w:t>
      </w:r>
      <w:proofErr w:type="spellEnd"/>
      <w:r w:rsidR="003B4A84" w:rsidRPr="005A19A9">
        <w:t> 3</w:t>
      </w:r>
      <w:r w:rsidR="00F56601" w:rsidRPr="005A19A9">
        <w:t>42(</w:t>
      </w:r>
      <w:r w:rsidR="003F3313" w:rsidRPr="005A19A9">
        <w:t>3</w:t>
      </w:r>
      <w:r w:rsidR="00F56601" w:rsidRPr="005A19A9">
        <w:t>) to (6)</w:t>
      </w:r>
    </w:p>
    <w:p w14:paraId="7DB2F9D3" w14:textId="77777777" w:rsidR="00F56601" w:rsidRPr="005A19A9" w:rsidRDefault="00F56601" w:rsidP="00F56601">
      <w:pPr>
        <w:pStyle w:val="Item"/>
      </w:pPr>
      <w:r w:rsidRPr="005A19A9">
        <w:t xml:space="preserve">Repeal the </w:t>
      </w:r>
      <w:proofErr w:type="spellStart"/>
      <w:r w:rsidRPr="005A19A9">
        <w:t>subregulations</w:t>
      </w:r>
      <w:proofErr w:type="spellEnd"/>
      <w:r w:rsidRPr="005A19A9">
        <w:t>, substitute:</w:t>
      </w:r>
    </w:p>
    <w:p w14:paraId="56271727" w14:textId="77777777" w:rsidR="003F3313" w:rsidRPr="005A19A9" w:rsidRDefault="003F3313" w:rsidP="003F3313">
      <w:pPr>
        <w:pStyle w:val="subsection"/>
      </w:pPr>
      <w:bookmarkStart w:id="78" w:name="_Hlk119080130"/>
      <w:r w:rsidRPr="005A19A9">
        <w:tab/>
      </w:r>
      <w:bookmarkStart w:id="79" w:name="_Hlk117507684"/>
      <w:bookmarkStart w:id="80" w:name="_Hlk118455265"/>
      <w:r w:rsidRPr="005A19A9">
        <w:t>(3)</w:t>
      </w:r>
      <w:r w:rsidRPr="005A19A9">
        <w:tab/>
        <w:t>The authority may grant the exemption only if the authority is satisfied that:</w:t>
      </w:r>
    </w:p>
    <w:p w14:paraId="34B0049E" w14:textId="77777777" w:rsidR="003F3313" w:rsidRPr="005A19A9" w:rsidRDefault="003F3313" w:rsidP="003F3313">
      <w:pPr>
        <w:pStyle w:val="paragraph"/>
      </w:pPr>
      <w:r w:rsidRPr="005A19A9">
        <w:tab/>
        <w:t>(a)</w:t>
      </w:r>
      <w:r w:rsidRPr="005A19A9">
        <w:tab/>
        <w:t>either:</w:t>
      </w:r>
    </w:p>
    <w:p w14:paraId="5FADE5E2" w14:textId="77777777" w:rsidR="003F3313" w:rsidRPr="005A19A9" w:rsidRDefault="003F3313" w:rsidP="003F3313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special circumstances exist that justify the grant of the exemption; or</w:t>
      </w:r>
    </w:p>
    <w:p w14:paraId="2D58E9B1" w14:textId="77777777" w:rsidR="00C528C1" w:rsidRPr="005A19A9" w:rsidRDefault="00C528C1" w:rsidP="00C528C1">
      <w:pPr>
        <w:pStyle w:val="paragraphsub"/>
      </w:pPr>
      <w:r w:rsidRPr="005A19A9">
        <w:tab/>
        <w:t>(ii)</w:t>
      </w:r>
      <w:r w:rsidRPr="005A19A9">
        <w:tab/>
        <w:t>the activities proposed to be covered by the exemption are to be undertaken by the Australian Defence Force or a military of a foreign country acting in cooperation with the Australia</w:t>
      </w:r>
      <w:r w:rsidR="00E44320" w:rsidRPr="005A19A9">
        <w:t>n</w:t>
      </w:r>
      <w:r w:rsidRPr="005A19A9">
        <w:t xml:space="preserve"> Defence Force; and</w:t>
      </w:r>
    </w:p>
    <w:p w14:paraId="4709F5EE" w14:textId="77777777" w:rsidR="003F3313" w:rsidRPr="005A19A9" w:rsidRDefault="00C528C1" w:rsidP="00C528C1">
      <w:pPr>
        <w:pStyle w:val="paragraph"/>
      </w:pPr>
      <w:r w:rsidRPr="005A19A9">
        <w:tab/>
      </w:r>
      <w:r w:rsidR="003F3313" w:rsidRPr="005A19A9">
        <w:t>(b)</w:t>
      </w:r>
      <w:r w:rsidR="003F3313" w:rsidRPr="005A19A9">
        <w:tab/>
        <w:t>it is inappropriate or impracticable for the applicant to obtain the required licence</w:t>
      </w:r>
      <w:r w:rsidR="00AE5F20" w:rsidRPr="005A19A9">
        <w:t>s</w:t>
      </w:r>
      <w:r w:rsidR="003F3313" w:rsidRPr="005A19A9">
        <w:t>, authorisation</w:t>
      </w:r>
      <w:r w:rsidR="00AE5F20" w:rsidRPr="005A19A9">
        <w:t>s</w:t>
      </w:r>
      <w:r w:rsidR="003F3313" w:rsidRPr="005A19A9">
        <w:t xml:space="preserve"> or permit</w:t>
      </w:r>
      <w:r w:rsidR="00AE5F20" w:rsidRPr="005A19A9">
        <w:t>s</w:t>
      </w:r>
      <w:r w:rsidR="003F3313" w:rsidRPr="005A19A9">
        <w:t xml:space="preserve"> related to the activities to which the application relates; and</w:t>
      </w:r>
    </w:p>
    <w:p w14:paraId="642C8200" w14:textId="77777777" w:rsidR="003F3313" w:rsidRPr="005A19A9" w:rsidRDefault="003F3313" w:rsidP="003F3313">
      <w:pPr>
        <w:pStyle w:val="paragraph"/>
      </w:pPr>
      <w:r w:rsidRPr="005A19A9">
        <w:tab/>
        <w:t>(c)</w:t>
      </w:r>
      <w:r w:rsidRPr="005A19A9">
        <w:tab/>
        <w:t>if the applicant is an individual—the individual has suitable qualifications or experience to competently carry out the activities to be covered by the exemption; and</w:t>
      </w:r>
    </w:p>
    <w:p w14:paraId="1A843256" w14:textId="77777777" w:rsidR="00DC6996" w:rsidRPr="005A19A9" w:rsidRDefault="00DC6996" w:rsidP="00DC6996">
      <w:pPr>
        <w:pStyle w:val="paragraph"/>
      </w:pPr>
      <w:r w:rsidRPr="005A19A9">
        <w:tab/>
        <w:t>(d)</w:t>
      </w:r>
      <w:r w:rsidRPr="005A19A9">
        <w:tab/>
        <w:t>if the applicant is a person other than an individual—the person has:</w:t>
      </w:r>
    </w:p>
    <w:p w14:paraId="5C8BDC24" w14:textId="77777777" w:rsidR="00DC6996" w:rsidRPr="005A19A9" w:rsidRDefault="00DC6996" w:rsidP="00DC6996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suitably qualified or experienced employees or contractors to competently carry out the activities to be covered by the exemption; and</w:t>
      </w:r>
    </w:p>
    <w:p w14:paraId="7C89352E" w14:textId="77777777" w:rsidR="00DC6996" w:rsidRPr="005A19A9" w:rsidRDefault="00DC6996" w:rsidP="00DC6996">
      <w:pPr>
        <w:pStyle w:val="paragraphsub"/>
      </w:pPr>
      <w:r w:rsidRPr="005A19A9">
        <w:tab/>
        <w:t>(ii)</w:t>
      </w:r>
      <w:r w:rsidRPr="005A19A9">
        <w:tab/>
        <w:t>suitable equipment to carry out the activities to be covered by the exemption.</w:t>
      </w:r>
    </w:p>
    <w:p w14:paraId="36CA1954" w14:textId="77777777" w:rsidR="003F3313" w:rsidRPr="005A19A9" w:rsidRDefault="003F3313" w:rsidP="003F3313">
      <w:pPr>
        <w:pStyle w:val="subsection"/>
      </w:pPr>
      <w:r w:rsidRPr="005A19A9">
        <w:tab/>
        <w:t>(4)</w:t>
      </w:r>
      <w:r w:rsidRPr="005A19A9">
        <w:tab/>
        <w:t>If the authority decides to grant the exemption, the exemption must:</w:t>
      </w:r>
    </w:p>
    <w:p w14:paraId="023A697C" w14:textId="77777777" w:rsidR="003F3313" w:rsidRPr="005A19A9" w:rsidRDefault="003F3313" w:rsidP="003F3313">
      <w:pPr>
        <w:pStyle w:val="paragraph"/>
      </w:pPr>
      <w:r w:rsidRPr="005A19A9">
        <w:tab/>
        <w:t>(a)</w:t>
      </w:r>
      <w:r w:rsidRPr="005A19A9">
        <w:tab/>
        <w:t>be in writing; and</w:t>
      </w:r>
    </w:p>
    <w:p w14:paraId="15ED75D8" w14:textId="77777777" w:rsidR="003F3313" w:rsidRPr="005A19A9" w:rsidRDefault="003F3313" w:rsidP="003F3313">
      <w:pPr>
        <w:pStyle w:val="paragraph"/>
      </w:pPr>
      <w:r w:rsidRPr="005A19A9">
        <w:tab/>
        <w:t>(b)</w:t>
      </w:r>
      <w:r w:rsidRPr="005A19A9">
        <w:tab/>
        <w:t>specify the following:</w:t>
      </w:r>
    </w:p>
    <w:p w14:paraId="51CE90FF" w14:textId="77777777" w:rsidR="003F3313" w:rsidRPr="005A19A9" w:rsidRDefault="003F3313" w:rsidP="003F3313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  <w:t>the activities that are covered by the exemption;</w:t>
      </w:r>
    </w:p>
    <w:p w14:paraId="7C9D79F3" w14:textId="77777777" w:rsidR="003F3313" w:rsidRPr="005A19A9" w:rsidRDefault="003F3313" w:rsidP="003F3313">
      <w:pPr>
        <w:pStyle w:val="paragraphsub"/>
      </w:pPr>
      <w:r w:rsidRPr="005A19A9">
        <w:tab/>
        <w:t>(ii)</w:t>
      </w:r>
      <w:r w:rsidRPr="005A19A9">
        <w:tab/>
        <w:t>the licence</w:t>
      </w:r>
      <w:r w:rsidR="001E419E" w:rsidRPr="005A19A9">
        <w:t>s</w:t>
      </w:r>
      <w:r w:rsidRPr="005A19A9">
        <w:t>, authorisation</w:t>
      </w:r>
      <w:r w:rsidR="001E419E" w:rsidRPr="005A19A9">
        <w:t>s</w:t>
      </w:r>
      <w:r w:rsidRPr="005A19A9">
        <w:t xml:space="preserve"> or permit</w:t>
      </w:r>
      <w:r w:rsidR="001E419E" w:rsidRPr="005A19A9">
        <w:t>s</w:t>
      </w:r>
      <w:r w:rsidRPr="005A19A9">
        <w:t xml:space="preserve"> in relation to which the exemption is being granted;</w:t>
      </w:r>
    </w:p>
    <w:p w14:paraId="405C4E06" w14:textId="77777777" w:rsidR="003F3313" w:rsidRPr="005A19A9" w:rsidRDefault="003F3313" w:rsidP="003F3313">
      <w:pPr>
        <w:pStyle w:val="paragraphsub"/>
      </w:pPr>
      <w:r w:rsidRPr="005A19A9">
        <w:tab/>
        <w:t>(iii)</w:t>
      </w:r>
      <w:r w:rsidRPr="005A19A9">
        <w:tab/>
        <w:t>the period for which the exemption is in force;</w:t>
      </w:r>
    </w:p>
    <w:p w14:paraId="302A01A4" w14:textId="77777777" w:rsidR="003F3313" w:rsidRPr="005A19A9" w:rsidRDefault="003F3313" w:rsidP="003F3313">
      <w:pPr>
        <w:pStyle w:val="paragraphsub"/>
      </w:pPr>
      <w:r w:rsidRPr="005A19A9">
        <w:tab/>
        <w:t>(iv)</w:t>
      </w:r>
      <w:r w:rsidRPr="005A19A9">
        <w:tab/>
        <w:t xml:space="preserve">if any conditions are imposed on the exemption under </w:t>
      </w:r>
      <w:r w:rsidR="005A19A9" w:rsidRPr="005A19A9">
        <w:t>regulation 3</w:t>
      </w:r>
      <w:r w:rsidRPr="005A19A9">
        <w:t>42A—the conditions;</w:t>
      </w:r>
    </w:p>
    <w:p w14:paraId="568DB2AA" w14:textId="77777777" w:rsidR="003F3313" w:rsidRPr="005A19A9" w:rsidRDefault="003F3313" w:rsidP="003F3313">
      <w:pPr>
        <w:pStyle w:val="paragraphsub"/>
      </w:pPr>
      <w:r w:rsidRPr="005A19A9">
        <w:tab/>
        <w:t>(v)</w:t>
      </w:r>
      <w:r w:rsidRPr="005A19A9">
        <w:tab/>
        <w:t>if the exemption is granted to a person other than an individual—the relevant qualifications or experience that an employee or contractor of the person must have to carry out the activities covered by the exemption.</w:t>
      </w:r>
    </w:p>
    <w:p w14:paraId="150C058B" w14:textId="77777777" w:rsidR="003F3313" w:rsidRPr="005A19A9" w:rsidRDefault="003F3313" w:rsidP="003F3313">
      <w:pPr>
        <w:pStyle w:val="notetext"/>
      </w:pPr>
      <w:r w:rsidRPr="005A19A9">
        <w:t>Note:</w:t>
      </w:r>
      <w:r w:rsidRPr="005A19A9">
        <w:tab/>
      </w:r>
      <w:r w:rsidR="003B4A84" w:rsidRPr="005A19A9">
        <w:t>Regulation 3</w:t>
      </w:r>
      <w:r w:rsidRPr="005A19A9">
        <w:t>14A deals with the maximum period that a special circumstances exemption can be in force.</w:t>
      </w:r>
    </w:p>
    <w:p w14:paraId="093D5A8D" w14:textId="77777777" w:rsidR="003F3313" w:rsidRPr="005A19A9" w:rsidRDefault="003F3313" w:rsidP="003F3313">
      <w:pPr>
        <w:pStyle w:val="subsection"/>
      </w:pPr>
      <w:r w:rsidRPr="005A19A9">
        <w:tab/>
        <w:t>(5)</w:t>
      </w:r>
      <w:r w:rsidRPr="005A19A9">
        <w:tab/>
        <w:t>If the authority decides to grant the exemption, it must, as soon as practicable, give the applicant a copy of the exemption.</w:t>
      </w:r>
      <w:bookmarkEnd w:id="79"/>
    </w:p>
    <w:bookmarkEnd w:id="80"/>
    <w:bookmarkEnd w:id="78"/>
    <w:p w14:paraId="11C7776B" w14:textId="77777777" w:rsidR="003F3313" w:rsidRPr="005A19A9" w:rsidRDefault="001E419E" w:rsidP="003F3313">
      <w:pPr>
        <w:pStyle w:val="ItemHead"/>
      </w:pPr>
      <w:r w:rsidRPr="005A19A9">
        <w:t>67</w:t>
      </w:r>
      <w:r w:rsidR="003F3313" w:rsidRPr="005A19A9">
        <w:t xml:space="preserve">  At the end of </w:t>
      </w:r>
      <w:r w:rsidR="005A19A9" w:rsidRPr="005A19A9">
        <w:t>Subdivision 6</w:t>
      </w:r>
      <w:r w:rsidR="003F3313" w:rsidRPr="005A19A9">
        <w:t>A.4.6</w:t>
      </w:r>
    </w:p>
    <w:p w14:paraId="2C3CED15" w14:textId="77777777" w:rsidR="003F3313" w:rsidRPr="005A19A9" w:rsidRDefault="003F3313" w:rsidP="003F3313">
      <w:pPr>
        <w:pStyle w:val="Item"/>
      </w:pPr>
      <w:r w:rsidRPr="005A19A9">
        <w:t>Add:</w:t>
      </w:r>
    </w:p>
    <w:p w14:paraId="386014B9" w14:textId="77777777" w:rsidR="003F3313" w:rsidRPr="005A19A9" w:rsidRDefault="003F3313" w:rsidP="003F3313">
      <w:pPr>
        <w:pStyle w:val="ActHead5"/>
      </w:pPr>
      <w:bookmarkStart w:id="81" w:name="_Toc118454400"/>
      <w:bookmarkStart w:id="82" w:name="_Hlk117507749"/>
      <w:bookmarkStart w:id="83" w:name="_Hlk119598564"/>
      <w:bookmarkStart w:id="84" w:name="_Hlk118454866"/>
      <w:bookmarkStart w:id="85" w:name="_Hlk119079194"/>
      <w:r w:rsidRPr="00C01202">
        <w:rPr>
          <w:rStyle w:val="CharSectno"/>
        </w:rPr>
        <w:t>342A</w:t>
      </w:r>
      <w:r w:rsidRPr="005A19A9">
        <w:t xml:space="preserve">  Conditions on special circumstances exemption</w:t>
      </w:r>
      <w:bookmarkEnd w:id="81"/>
    </w:p>
    <w:p w14:paraId="5907CBBB" w14:textId="77777777" w:rsidR="003F3313" w:rsidRPr="005A19A9" w:rsidRDefault="003F3313" w:rsidP="003F3313">
      <w:pPr>
        <w:pStyle w:val="subsection"/>
      </w:pPr>
      <w:r w:rsidRPr="005A19A9">
        <w:tab/>
        <w:t>(1)</w:t>
      </w:r>
      <w:r w:rsidRPr="005A19A9">
        <w:tab/>
        <w:t xml:space="preserve">The relevant authority may impose any conditions it considers </w:t>
      </w:r>
      <w:r w:rsidR="00A32AD8" w:rsidRPr="005A19A9">
        <w:t xml:space="preserve">reasonably </w:t>
      </w:r>
      <w:r w:rsidRPr="005A19A9">
        <w:t xml:space="preserve">necessary to manage the risks posed by the activities covered by </w:t>
      </w:r>
      <w:r w:rsidR="00E37674" w:rsidRPr="005A19A9">
        <w:t xml:space="preserve">a special circumstances </w:t>
      </w:r>
      <w:r w:rsidRPr="005A19A9">
        <w:t>exemption.</w:t>
      </w:r>
    </w:p>
    <w:p w14:paraId="1B1FAC90" w14:textId="77777777" w:rsidR="003F3313" w:rsidRPr="005A19A9" w:rsidRDefault="003F3313" w:rsidP="003F3313">
      <w:pPr>
        <w:pStyle w:val="subsection"/>
      </w:pPr>
      <w:r w:rsidRPr="005A19A9">
        <w:lastRenderedPageBreak/>
        <w:tab/>
        <w:t>(2)</w:t>
      </w:r>
      <w:r w:rsidRPr="005A19A9">
        <w:tab/>
        <w:t>If a special circumstances exemption is granted to a person other than an individual, the exemption must include the condition that only a person with relevant qualifications or experience specified in the exemption is to carry out the activities to which the exemption applies.</w:t>
      </w:r>
    </w:p>
    <w:p w14:paraId="292BCBCF" w14:textId="77777777" w:rsidR="003F3313" w:rsidRPr="005A19A9" w:rsidRDefault="003F3313" w:rsidP="003F3313">
      <w:pPr>
        <w:pStyle w:val="ActHead5"/>
      </w:pPr>
      <w:bookmarkStart w:id="86" w:name="_Toc118454401"/>
      <w:r w:rsidRPr="00C01202">
        <w:rPr>
          <w:rStyle w:val="CharSectno"/>
        </w:rPr>
        <w:t>342B</w:t>
      </w:r>
      <w:r w:rsidR="009E3367" w:rsidRPr="005A19A9">
        <w:t xml:space="preserve"> </w:t>
      </w:r>
      <w:r w:rsidRPr="005A19A9">
        <w:t xml:space="preserve"> Application by holder to vary special circumstances exemption</w:t>
      </w:r>
      <w:bookmarkEnd w:id="86"/>
    </w:p>
    <w:p w14:paraId="10368038" w14:textId="77777777" w:rsidR="003F3313" w:rsidRPr="005A19A9" w:rsidRDefault="003F3313" w:rsidP="003F3313">
      <w:pPr>
        <w:pStyle w:val="subsection"/>
      </w:pPr>
      <w:r w:rsidRPr="005A19A9">
        <w:tab/>
        <w:t>(1)</w:t>
      </w:r>
      <w:r w:rsidRPr="005A19A9">
        <w:tab/>
        <w:t>A special circumstances exemption holder may apply to a relevant authority</w:t>
      </w:r>
      <w:r w:rsidR="009769EB" w:rsidRPr="005A19A9">
        <w:t xml:space="preserve"> to vary </w:t>
      </w:r>
      <w:r w:rsidRPr="005A19A9">
        <w:t>the exemption.</w:t>
      </w:r>
    </w:p>
    <w:p w14:paraId="15E1AAC7" w14:textId="77777777" w:rsidR="003F3313" w:rsidRPr="005A19A9" w:rsidRDefault="003F3313" w:rsidP="003F3313">
      <w:pPr>
        <w:pStyle w:val="subsection"/>
      </w:pPr>
      <w:r w:rsidRPr="005A19A9">
        <w:tab/>
        <w:t>(2)</w:t>
      </w:r>
      <w:r w:rsidRPr="005A19A9">
        <w:tab/>
        <w:t>The application for the variation must:</w:t>
      </w:r>
    </w:p>
    <w:p w14:paraId="0D61643F" w14:textId="77777777" w:rsidR="003F3313" w:rsidRPr="005A19A9" w:rsidRDefault="003F3313" w:rsidP="003F3313">
      <w:pPr>
        <w:pStyle w:val="paragraph"/>
      </w:pPr>
      <w:r w:rsidRPr="005A19A9">
        <w:tab/>
        <w:t>(a)</w:t>
      </w:r>
      <w:r w:rsidRPr="005A19A9">
        <w:tab/>
        <w:t>be made in the approved form; and</w:t>
      </w:r>
    </w:p>
    <w:p w14:paraId="6C4F7118" w14:textId="77777777" w:rsidR="00CE6138" w:rsidRPr="005A19A9" w:rsidRDefault="003F3313" w:rsidP="00CE6138">
      <w:pPr>
        <w:pStyle w:val="paragraph"/>
      </w:pPr>
      <w:r w:rsidRPr="005A19A9">
        <w:tab/>
        <w:t>(b)</w:t>
      </w:r>
      <w:r w:rsidRPr="005A19A9">
        <w:tab/>
      </w:r>
      <w:r w:rsidR="00CE6138" w:rsidRPr="005A19A9">
        <w:t>be accompanied by any</w:t>
      </w:r>
      <w:r w:rsidR="009C2E12" w:rsidRPr="005A19A9">
        <w:t xml:space="preserve"> information or documents </w:t>
      </w:r>
      <w:r w:rsidR="00CE6138" w:rsidRPr="005A19A9">
        <w:t>required by the form; and</w:t>
      </w:r>
    </w:p>
    <w:p w14:paraId="3EB28601" w14:textId="77777777" w:rsidR="003F3313" w:rsidRPr="005A19A9" w:rsidRDefault="003F3313" w:rsidP="00CE6138">
      <w:pPr>
        <w:pStyle w:val="paragraph"/>
      </w:pPr>
      <w:r w:rsidRPr="005A19A9">
        <w:tab/>
        <w:t>(</w:t>
      </w:r>
      <w:r w:rsidR="00CE6138" w:rsidRPr="005A19A9">
        <w:t>c</w:t>
      </w:r>
      <w:r w:rsidRPr="005A19A9">
        <w:t>)</w:t>
      </w:r>
      <w:r w:rsidRPr="005A19A9">
        <w:tab/>
        <w:t>b</w:t>
      </w:r>
      <w:r w:rsidR="00313BA3" w:rsidRPr="005A19A9">
        <w:t>e</w:t>
      </w:r>
      <w:r w:rsidRPr="005A19A9">
        <w:t xml:space="preserve"> accompanied by the prescribed fee (if any).</w:t>
      </w:r>
    </w:p>
    <w:p w14:paraId="61CB9792" w14:textId="77777777" w:rsidR="00CE6138" w:rsidRPr="005A19A9" w:rsidRDefault="001538A0" w:rsidP="001538A0">
      <w:pPr>
        <w:pStyle w:val="notetext"/>
      </w:pPr>
      <w:r w:rsidRPr="005A19A9">
        <w:t>Note:</w:t>
      </w:r>
      <w:r w:rsidRPr="005A19A9">
        <w:tab/>
        <w:t xml:space="preserve">Application fees for </w:t>
      </w:r>
      <w:r w:rsidR="005A19A9" w:rsidRPr="005A19A9">
        <w:t>Part 6</w:t>
      </w:r>
      <w:r w:rsidRPr="005A19A9">
        <w:t xml:space="preserve">A are set out in </w:t>
      </w:r>
      <w:r w:rsidR="005A19A9" w:rsidRPr="005A19A9">
        <w:t>Division 6</w:t>
      </w:r>
      <w:r w:rsidRPr="005A19A9">
        <w:t>A.4A.</w:t>
      </w:r>
    </w:p>
    <w:p w14:paraId="5A82B99E" w14:textId="77777777" w:rsidR="003F3313" w:rsidRPr="005A19A9" w:rsidRDefault="003F3313" w:rsidP="003F3313">
      <w:pPr>
        <w:pStyle w:val="subsection"/>
      </w:pPr>
      <w:r w:rsidRPr="005A19A9">
        <w:tab/>
        <w:t>(3)</w:t>
      </w:r>
      <w:r w:rsidRPr="005A19A9">
        <w:tab/>
        <w:t>The relevant authority may, in writing, ask the applicant to give the</w:t>
      </w:r>
      <w:r w:rsidR="00CE265D" w:rsidRPr="005A19A9">
        <w:t xml:space="preserve"> </w:t>
      </w:r>
      <w:r w:rsidRPr="005A19A9">
        <w:t xml:space="preserve">authority </w:t>
      </w:r>
      <w:r w:rsidR="00E22C94" w:rsidRPr="005A19A9">
        <w:t>additional</w:t>
      </w:r>
      <w:r w:rsidRPr="005A19A9">
        <w:t xml:space="preserve"> information or documents relevant to the application.</w:t>
      </w:r>
    </w:p>
    <w:p w14:paraId="6417CCB8" w14:textId="77777777" w:rsidR="003F3313" w:rsidRPr="005A19A9" w:rsidRDefault="003F3313" w:rsidP="003F3313">
      <w:pPr>
        <w:pStyle w:val="subsection"/>
      </w:pPr>
      <w:r w:rsidRPr="005A19A9">
        <w:tab/>
        <w:t>(4)</w:t>
      </w:r>
      <w:r w:rsidRPr="005A19A9">
        <w:tab/>
        <w:t>An applicant is taken to have withdrawn the application if:</w:t>
      </w:r>
    </w:p>
    <w:p w14:paraId="0015A562" w14:textId="77777777" w:rsidR="003F3313" w:rsidRPr="005A19A9" w:rsidRDefault="003F3313" w:rsidP="003F3313">
      <w:pPr>
        <w:pStyle w:val="paragraph"/>
      </w:pPr>
      <w:r w:rsidRPr="005A19A9">
        <w:tab/>
        <w:t>(a)</w:t>
      </w:r>
      <w:r w:rsidRPr="005A19A9">
        <w:tab/>
        <w:t xml:space="preserve">the relevant authority asks the applicant for information or documents in accordance with </w:t>
      </w:r>
      <w:proofErr w:type="spellStart"/>
      <w:r w:rsidRPr="005A19A9">
        <w:t>subregulation</w:t>
      </w:r>
      <w:proofErr w:type="spellEnd"/>
      <w:r w:rsidRPr="005A19A9">
        <w:t xml:space="preserve"> (3); and</w:t>
      </w:r>
    </w:p>
    <w:p w14:paraId="597661B7" w14:textId="77777777" w:rsidR="003F3313" w:rsidRPr="005A19A9" w:rsidRDefault="003F3313" w:rsidP="003F3313">
      <w:pPr>
        <w:pStyle w:val="paragraph"/>
      </w:pPr>
      <w:r w:rsidRPr="005A19A9">
        <w:tab/>
        <w:t>(b)</w:t>
      </w:r>
      <w:r w:rsidRPr="005A19A9">
        <w:tab/>
        <w:t>the applicant does not provide the information or documents within 60 days of the authority’s request.</w:t>
      </w:r>
    </w:p>
    <w:p w14:paraId="2D8F7D67" w14:textId="77777777" w:rsidR="003F3313" w:rsidRPr="005A19A9" w:rsidRDefault="003F3313" w:rsidP="003F3313">
      <w:pPr>
        <w:pStyle w:val="subsection"/>
      </w:pPr>
      <w:r w:rsidRPr="005A19A9">
        <w:tab/>
        <w:t>(5)</w:t>
      </w:r>
      <w:r w:rsidRPr="005A19A9">
        <w:tab/>
        <w:t>If the authority decides to grant the application, it must, as soon as practicable, give the applicant a copy of the varied special circumstances exemption.</w:t>
      </w:r>
    </w:p>
    <w:p w14:paraId="74CAAA50" w14:textId="77777777" w:rsidR="003F3313" w:rsidRPr="005A19A9" w:rsidRDefault="003F3313" w:rsidP="003F3313">
      <w:pPr>
        <w:pStyle w:val="ActHead5"/>
      </w:pPr>
      <w:bookmarkStart w:id="87" w:name="_Toc118454402"/>
      <w:r w:rsidRPr="00C01202">
        <w:rPr>
          <w:rStyle w:val="CharSectno"/>
        </w:rPr>
        <w:t>342C</w:t>
      </w:r>
      <w:r w:rsidRPr="005A19A9">
        <w:t xml:space="preserve">  Relevant authority may impose addition</w:t>
      </w:r>
      <w:r w:rsidR="006C6D2C" w:rsidRPr="005A19A9">
        <w:t>al</w:t>
      </w:r>
      <w:r w:rsidRPr="005A19A9">
        <w:t xml:space="preserve"> conditions or vary or remove existing conditions</w:t>
      </w:r>
      <w:bookmarkEnd w:id="87"/>
    </w:p>
    <w:p w14:paraId="1DF4AD5C" w14:textId="77777777" w:rsidR="003F3313" w:rsidRPr="005A19A9" w:rsidRDefault="003F3313" w:rsidP="003F3313">
      <w:pPr>
        <w:pStyle w:val="SubsectionHead"/>
      </w:pPr>
      <w:r w:rsidRPr="005A19A9">
        <w:t>Imposition of additional conditions</w:t>
      </w:r>
    </w:p>
    <w:p w14:paraId="4EAB6449" w14:textId="77777777" w:rsidR="003F3313" w:rsidRPr="005A19A9" w:rsidRDefault="003F3313" w:rsidP="003F3313">
      <w:pPr>
        <w:pStyle w:val="subsection"/>
      </w:pPr>
      <w:r w:rsidRPr="005A19A9">
        <w:tab/>
        <w:t>(1)</w:t>
      </w:r>
      <w:r w:rsidRPr="005A19A9">
        <w:tab/>
        <w:t xml:space="preserve">A relevant authority may, at any time, impose additional conditions to which a special circumstances exemption is subject if the authority considers the conditions to be </w:t>
      </w:r>
      <w:r w:rsidR="00A32AD8" w:rsidRPr="005A19A9">
        <w:t xml:space="preserve">reasonably </w:t>
      </w:r>
      <w:r w:rsidRPr="005A19A9">
        <w:t>necessary to manage the risks posed by the activities covered by the exemption.</w:t>
      </w:r>
    </w:p>
    <w:p w14:paraId="20331166" w14:textId="77777777" w:rsidR="003F3313" w:rsidRPr="005A19A9" w:rsidRDefault="003F3313" w:rsidP="003F3313">
      <w:pPr>
        <w:pStyle w:val="subsection"/>
      </w:pPr>
      <w:r w:rsidRPr="005A19A9">
        <w:tab/>
        <w:t>(2)</w:t>
      </w:r>
      <w:r w:rsidRPr="005A19A9">
        <w:tab/>
        <w:t>If the</w:t>
      </w:r>
      <w:r w:rsidR="00313BA3" w:rsidRPr="005A19A9">
        <w:t xml:space="preserve"> </w:t>
      </w:r>
      <w:r w:rsidRPr="005A19A9">
        <w:t xml:space="preserve">authority imposes conditions under </w:t>
      </w:r>
      <w:proofErr w:type="spellStart"/>
      <w:r w:rsidRPr="005A19A9">
        <w:t>subregulation</w:t>
      </w:r>
      <w:proofErr w:type="spellEnd"/>
      <w:r w:rsidRPr="005A19A9">
        <w:t xml:space="preserve"> (1):</w:t>
      </w:r>
    </w:p>
    <w:p w14:paraId="622F3777" w14:textId="77777777" w:rsidR="003F3313" w:rsidRPr="005A19A9" w:rsidRDefault="003F3313" w:rsidP="003F3313">
      <w:pPr>
        <w:pStyle w:val="paragraph"/>
      </w:pPr>
      <w:r w:rsidRPr="005A19A9">
        <w:tab/>
        <w:t>(a)</w:t>
      </w:r>
      <w:r w:rsidRPr="005A19A9">
        <w:tab/>
        <w:t>the authority must, by written notice to the holder of the exemption, notify the holder of the conditions; and</w:t>
      </w:r>
    </w:p>
    <w:p w14:paraId="486FC006" w14:textId="77777777" w:rsidR="003F3313" w:rsidRPr="005A19A9" w:rsidRDefault="003F3313" w:rsidP="003F3313">
      <w:pPr>
        <w:pStyle w:val="paragraph"/>
      </w:pPr>
      <w:r w:rsidRPr="005A19A9">
        <w:tab/>
        <w:t>(b)</w:t>
      </w:r>
      <w:r w:rsidRPr="005A19A9">
        <w:tab/>
        <w:t>the condition</w:t>
      </w:r>
      <w:r w:rsidR="00295AA0" w:rsidRPr="005A19A9">
        <w:t>s take effect</w:t>
      </w:r>
      <w:r w:rsidRPr="005A19A9">
        <w:t>:</w:t>
      </w:r>
    </w:p>
    <w:p w14:paraId="02268053" w14:textId="77777777" w:rsidR="003F3313" w:rsidRPr="005A19A9" w:rsidRDefault="003F3313" w:rsidP="003F3313">
      <w:pPr>
        <w:pStyle w:val="paragraphsub"/>
      </w:pPr>
      <w:r w:rsidRPr="005A19A9">
        <w:tab/>
        <w:t>(</w:t>
      </w:r>
      <w:proofErr w:type="spellStart"/>
      <w:r w:rsidRPr="005A19A9">
        <w:t>i</w:t>
      </w:r>
      <w:proofErr w:type="spellEnd"/>
      <w:r w:rsidRPr="005A19A9">
        <w:t>)</w:t>
      </w:r>
      <w:r w:rsidRPr="005A19A9">
        <w:tab/>
      </w:r>
      <w:r w:rsidR="00295AA0" w:rsidRPr="005A19A9">
        <w:t xml:space="preserve">at </w:t>
      </w:r>
      <w:r w:rsidRPr="005A19A9">
        <w:t xml:space="preserve">the end of </w:t>
      </w:r>
      <w:r w:rsidR="007B361E" w:rsidRPr="005A19A9">
        <w:t>60</w:t>
      </w:r>
      <w:r w:rsidRPr="005A19A9">
        <w:t xml:space="preserve"> days after the giving of the notice; or</w:t>
      </w:r>
    </w:p>
    <w:p w14:paraId="1A1590F9" w14:textId="77777777" w:rsidR="003F3313" w:rsidRPr="005A19A9" w:rsidRDefault="003F3313" w:rsidP="003F3313">
      <w:pPr>
        <w:pStyle w:val="paragraphsub"/>
      </w:pPr>
      <w:r w:rsidRPr="005A19A9">
        <w:tab/>
        <w:t>(ii)</w:t>
      </w:r>
      <w:r w:rsidRPr="005A19A9">
        <w:tab/>
        <w:t>if the authority considers that it is necessary for the conditions to take effect earlier—</w:t>
      </w:r>
      <w:r w:rsidR="006924C8" w:rsidRPr="005A19A9">
        <w:t xml:space="preserve">at </w:t>
      </w:r>
      <w:r w:rsidRPr="005A19A9">
        <w:t>the end of a shorter period specified in the notice.</w:t>
      </w:r>
    </w:p>
    <w:p w14:paraId="4867695D" w14:textId="77777777" w:rsidR="003F3313" w:rsidRPr="005A19A9" w:rsidRDefault="003F3313" w:rsidP="003F3313">
      <w:pPr>
        <w:pStyle w:val="SubsectionHead"/>
      </w:pPr>
      <w:r w:rsidRPr="005A19A9">
        <w:t>Varying or removing conditions</w:t>
      </w:r>
    </w:p>
    <w:p w14:paraId="4241FB83" w14:textId="77777777" w:rsidR="003F3313" w:rsidRPr="005A19A9" w:rsidRDefault="003F3313" w:rsidP="003F3313">
      <w:pPr>
        <w:pStyle w:val="subsection"/>
      </w:pPr>
      <w:r w:rsidRPr="005A19A9">
        <w:tab/>
        <w:t>(3)</w:t>
      </w:r>
      <w:r w:rsidRPr="005A19A9">
        <w:tab/>
        <w:t xml:space="preserve">A relevant authority may, by written notice to the holder of </w:t>
      </w:r>
      <w:r w:rsidR="00182EF8" w:rsidRPr="005A19A9">
        <w:t>a</w:t>
      </w:r>
      <w:r w:rsidRPr="005A19A9">
        <w:t xml:space="preserve"> special circumstances exemption, vary or remove conditions imposed under </w:t>
      </w:r>
      <w:proofErr w:type="spellStart"/>
      <w:r w:rsidR="005A19A9" w:rsidRPr="005A19A9">
        <w:t>subregulation</w:t>
      </w:r>
      <w:proofErr w:type="spellEnd"/>
      <w:r w:rsidR="005A19A9" w:rsidRPr="005A19A9">
        <w:t> 3</w:t>
      </w:r>
      <w:r w:rsidRPr="005A19A9">
        <w:t xml:space="preserve">42A(1) or </w:t>
      </w:r>
      <w:proofErr w:type="spellStart"/>
      <w:r w:rsidRPr="005A19A9">
        <w:t>subregulation</w:t>
      </w:r>
      <w:proofErr w:type="spellEnd"/>
      <w:r w:rsidRPr="005A19A9">
        <w:t xml:space="preserve"> (1) of this regulation in relation to the exemption.</w:t>
      </w:r>
    </w:p>
    <w:p w14:paraId="785AAB8D" w14:textId="77777777" w:rsidR="003F3313" w:rsidRPr="005A19A9" w:rsidRDefault="003F3313" w:rsidP="003F3313">
      <w:pPr>
        <w:pStyle w:val="subsection"/>
      </w:pPr>
      <w:r w:rsidRPr="005A19A9">
        <w:lastRenderedPageBreak/>
        <w:tab/>
        <w:t>(4)</w:t>
      </w:r>
      <w:r w:rsidRPr="005A19A9">
        <w:tab/>
        <w:t xml:space="preserve">A variation under </w:t>
      </w:r>
      <w:proofErr w:type="spellStart"/>
      <w:r w:rsidRPr="005A19A9">
        <w:t>subregulation</w:t>
      </w:r>
      <w:proofErr w:type="spellEnd"/>
      <w:r w:rsidRPr="005A19A9">
        <w:t xml:space="preserve"> (3) </w:t>
      </w:r>
      <w:r w:rsidR="00295AA0" w:rsidRPr="005A19A9">
        <w:t>takes e</w:t>
      </w:r>
      <w:r w:rsidRPr="005A19A9">
        <w:t>ffect:</w:t>
      </w:r>
    </w:p>
    <w:p w14:paraId="49742DB1" w14:textId="77777777" w:rsidR="003F3313" w:rsidRPr="005A19A9" w:rsidRDefault="003F3313" w:rsidP="003F3313">
      <w:pPr>
        <w:pStyle w:val="paragraph"/>
      </w:pPr>
      <w:r w:rsidRPr="005A19A9">
        <w:tab/>
        <w:t>(a)</w:t>
      </w:r>
      <w:r w:rsidRPr="005A19A9">
        <w:tab/>
      </w:r>
      <w:r w:rsidR="00182EF8" w:rsidRPr="005A19A9">
        <w:t xml:space="preserve">at the </w:t>
      </w:r>
      <w:r w:rsidRPr="005A19A9">
        <w:t xml:space="preserve">end of </w:t>
      </w:r>
      <w:r w:rsidR="001D0A3A" w:rsidRPr="005A19A9">
        <w:t>60</w:t>
      </w:r>
      <w:r w:rsidRPr="005A19A9">
        <w:t xml:space="preserve"> days after the giving of the notice under that </w:t>
      </w:r>
      <w:proofErr w:type="spellStart"/>
      <w:r w:rsidRPr="005A19A9">
        <w:t>subregulation</w:t>
      </w:r>
      <w:proofErr w:type="spellEnd"/>
      <w:r w:rsidRPr="005A19A9">
        <w:t>; or</w:t>
      </w:r>
    </w:p>
    <w:p w14:paraId="0909C7AE" w14:textId="77777777" w:rsidR="003F3313" w:rsidRPr="005A19A9" w:rsidRDefault="003F3313" w:rsidP="003F3313">
      <w:pPr>
        <w:pStyle w:val="paragraph"/>
      </w:pPr>
      <w:r w:rsidRPr="005A19A9">
        <w:tab/>
        <w:t>(b)</w:t>
      </w:r>
      <w:r w:rsidRPr="005A19A9">
        <w:tab/>
        <w:t>if the authority considers that it is necessary for the variation to take effect earlier—</w:t>
      </w:r>
      <w:r w:rsidR="00F95A88" w:rsidRPr="005A19A9">
        <w:t xml:space="preserve">at </w:t>
      </w:r>
      <w:r w:rsidRPr="005A19A9">
        <w:t xml:space="preserve">the end of a shorter period specified in the notice given under that </w:t>
      </w:r>
      <w:proofErr w:type="spellStart"/>
      <w:r w:rsidRPr="005A19A9">
        <w:t>subregulation</w:t>
      </w:r>
      <w:proofErr w:type="spellEnd"/>
      <w:r w:rsidRPr="005A19A9">
        <w:t>.</w:t>
      </w:r>
    </w:p>
    <w:p w14:paraId="573E12A9" w14:textId="77777777" w:rsidR="003F3313" w:rsidRPr="005A19A9" w:rsidRDefault="003F3313" w:rsidP="003F3313">
      <w:pPr>
        <w:pStyle w:val="ActHead5"/>
      </w:pPr>
      <w:bookmarkStart w:id="88" w:name="_Toc118454403"/>
      <w:r w:rsidRPr="00C01202">
        <w:rPr>
          <w:rStyle w:val="CharSectno"/>
        </w:rPr>
        <w:t>342D</w:t>
      </w:r>
      <w:r w:rsidRPr="005A19A9">
        <w:t xml:space="preserve">  Contravening conditions of special circumstances exemption</w:t>
      </w:r>
      <w:bookmarkEnd w:id="88"/>
    </w:p>
    <w:bookmarkEnd w:id="82"/>
    <w:p w14:paraId="035EBCEF" w14:textId="77777777" w:rsidR="001A6861" w:rsidRPr="005A19A9" w:rsidRDefault="001A6861" w:rsidP="001A6861">
      <w:pPr>
        <w:pStyle w:val="subsection"/>
      </w:pPr>
      <w:r w:rsidRPr="005A19A9">
        <w:tab/>
        <w:t>(1)</w:t>
      </w:r>
      <w:r w:rsidRPr="005A19A9">
        <w:tab/>
        <w:t xml:space="preserve"> A person commits an offence if:</w:t>
      </w:r>
    </w:p>
    <w:p w14:paraId="6482C0A3" w14:textId="77777777" w:rsidR="001A6861" w:rsidRPr="005A19A9" w:rsidRDefault="001A6861" w:rsidP="001A6861">
      <w:pPr>
        <w:pStyle w:val="paragraph"/>
      </w:pPr>
      <w:r w:rsidRPr="005A19A9">
        <w:tab/>
        <w:t>(a)</w:t>
      </w:r>
      <w:r w:rsidRPr="005A19A9">
        <w:tab/>
        <w:t xml:space="preserve">the person is the holder of a special circumstances exemption granted under </w:t>
      </w:r>
      <w:r w:rsidR="005A19A9" w:rsidRPr="005A19A9">
        <w:t>regulation 3</w:t>
      </w:r>
      <w:r w:rsidRPr="005A19A9">
        <w:t>42; and</w:t>
      </w:r>
    </w:p>
    <w:p w14:paraId="072526AD" w14:textId="77777777" w:rsidR="001A6861" w:rsidRPr="005A19A9" w:rsidRDefault="001A6861" w:rsidP="001A6861">
      <w:pPr>
        <w:pStyle w:val="paragraph"/>
      </w:pPr>
      <w:r w:rsidRPr="005A19A9">
        <w:tab/>
        <w:t>(b)</w:t>
      </w:r>
      <w:r w:rsidRPr="005A19A9">
        <w:tab/>
        <w:t>the exemption is subject to a condition to be complied with by the person; and</w:t>
      </w:r>
    </w:p>
    <w:p w14:paraId="37497F2F" w14:textId="77777777" w:rsidR="001A6861" w:rsidRPr="005A19A9" w:rsidRDefault="001A6861" w:rsidP="001A6861">
      <w:pPr>
        <w:pStyle w:val="paragraph"/>
      </w:pPr>
      <w:r w:rsidRPr="005A19A9">
        <w:tab/>
        <w:t>(</w:t>
      </w:r>
      <w:r w:rsidR="00313BA3" w:rsidRPr="005A19A9">
        <w:t>c</w:t>
      </w:r>
      <w:r w:rsidRPr="005A19A9">
        <w:t>)</w:t>
      </w:r>
      <w:r w:rsidRPr="005A19A9">
        <w:tab/>
        <w:t>the person does an act or omits to perform an act; and</w:t>
      </w:r>
    </w:p>
    <w:p w14:paraId="19A0FABB" w14:textId="77777777" w:rsidR="001A6861" w:rsidRPr="005A19A9" w:rsidRDefault="001A6861" w:rsidP="001A6861">
      <w:pPr>
        <w:pStyle w:val="paragraph"/>
      </w:pPr>
      <w:r w:rsidRPr="005A19A9">
        <w:tab/>
        <w:t>(</w:t>
      </w:r>
      <w:r w:rsidR="00313BA3" w:rsidRPr="005A19A9">
        <w:t>d</w:t>
      </w:r>
      <w:r w:rsidRPr="005A19A9">
        <w:t>)</w:t>
      </w:r>
      <w:r w:rsidRPr="005A19A9">
        <w:tab/>
        <w:t>the act or omission contravenes</w:t>
      </w:r>
      <w:r w:rsidR="00313BA3" w:rsidRPr="005A19A9">
        <w:t xml:space="preserve"> the </w:t>
      </w:r>
      <w:r w:rsidRPr="005A19A9">
        <w:t>condition.</w:t>
      </w:r>
    </w:p>
    <w:p w14:paraId="4FBF8471" w14:textId="77777777" w:rsidR="001A6861" w:rsidRPr="005A19A9" w:rsidRDefault="001A6861" w:rsidP="001A6861">
      <w:pPr>
        <w:pStyle w:val="Penalty"/>
      </w:pPr>
      <w:r w:rsidRPr="005A19A9">
        <w:t>Penalty:</w:t>
      </w:r>
      <w:r w:rsidRPr="005A19A9">
        <w:tab/>
        <w:t>10 penalty units.</w:t>
      </w:r>
    </w:p>
    <w:p w14:paraId="0148B8D9" w14:textId="77777777" w:rsidR="001A6861" w:rsidRPr="005A19A9" w:rsidRDefault="001A6861" w:rsidP="001A6861">
      <w:pPr>
        <w:pStyle w:val="subsection"/>
      </w:pPr>
      <w:r w:rsidRPr="005A19A9">
        <w:tab/>
        <w:t>(2)</w:t>
      </w:r>
      <w:r w:rsidRPr="005A19A9">
        <w:tab/>
        <w:t xml:space="preserve">An offence under </w:t>
      </w:r>
      <w:proofErr w:type="spellStart"/>
      <w:r w:rsidRPr="005A19A9">
        <w:t>subregulation</w:t>
      </w:r>
      <w:proofErr w:type="spellEnd"/>
      <w:r w:rsidRPr="005A19A9">
        <w:t xml:space="preserve"> (1) is an offence of strict liability</w:t>
      </w:r>
      <w:bookmarkEnd w:id="83"/>
      <w:r w:rsidRPr="005A19A9">
        <w:t>.</w:t>
      </w:r>
    </w:p>
    <w:p w14:paraId="5DE80F7B" w14:textId="77777777" w:rsidR="001C5F53" w:rsidRPr="005A19A9" w:rsidRDefault="00231DF4" w:rsidP="001C5F53">
      <w:pPr>
        <w:pStyle w:val="ActHead7"/>
        <w:pageBreakBefore/>
      </w:pPr>
      <w:bookmarkStart w:id="89" w:name="_Toc118454404"/>
      <w:bookmarkEnd w:id="84"/>
      <w:bookmarkEnd w:id="85"/>
      <w:r w:rsidRPr="00C01202">
        <w:rPr>
          <w:rStyle w:val="CharAmPartNo"/>
        </w:rPr>
        <w:lastRenderedPageBreak/>
        <w:t>Part 3</w:t>
      </w:r>
      <w:r w:rsidR="001C5F53" w:rsidRPr="005A19A9">
        <w:t>—</w:t>
      </w:r>
      <w:r w:rsidR="001C5F53" w:rsidRPr="00C01202">
        <w:rPr>
          <w:rStyle w:val="CharAmPartText"/>
        </w:rPr>
        <w:t>Application and transitional provisions</w:t>
      </w:r>
      <w:bookmarkEnd w:id="89"/>
    </w:p>
    <w:p w14:paraId="2AA6D9CC" w14:textId="77777777" w:rsidR="00231DF4" w:rsidRPr="005A19A9" w:rsidRDefault="00231DF4" w:rsidP="00231DF4">
      <w:pPr>
        <w:pStyle w:val="ActHead9"/>
      </w:pPr>
      <w:bookmarkStart w:id="90" w:name="_Toc118454405"/>
      <w:r w:rsidRPr="005A19A9">
        <w:rPr>
          <w:shd w:val="clear" w:color="auto" w:fill="FFFFFF"/>
        </w:rPr>
        <w:t>Ozone Protection and Synthetic Greenhouse Gas Management Regulations 1995</w:t>
      </w:r>
      <w:bookmarkEnd w:id="90"/>
    </w:p>
    <w:p w14:paraId="5DFE2C91" w14:textId="77777777" w:rsidR="001C5F53" w:rsidRPr="005A19A9" w:rsidRDefault="001E419E" w:rsidP="001C5F53">
      <w:pPr>
        <w:pStyle w:val="ItemHead"/>
      </w:pPr>
      <w:r w:rsidRPr="005A19A9">
        <w:t>68</w:t>
      </w:r>
      <w:r w:rsidR="001C5F53" w:rsidRPr="005A19A9">
        <w:t xml:space="preserve">  In the appropriate position in </w:t>
      </w:r>
      <w:r w:rsidR="003B4A84" w:rsidRPr="005A19A9">
        <w:t>Part 1</w:t>
      </w:r>
      <w:r w:rsidR="001C5F53" w:rsidRPr="005A19A9">
        <w:t>0</w:t>
      </w:r>
    </w:p>
    <w:p w14:paraId="7B009F1F" w14:textId="77777777" w:rsidR="001C5F53" w:rsidRPr="005A19A9" w:rsidRDefault="001C5F53" w:rsidP="001C5F53">
      <w:pPr>
        <w:pStyle w:val="Item"/>
      </w:pPr>
      <w:r w:rsidRPr="005A19A9">
        <w:t>Insert:</w:t>
      </w:r>
    </w:p>
    <w:p w14:paraId="61E57068" w14:textId="77777777" w:rsidR="001C5F53" w:rsidRPr="005A19A9" w:rsidRDefault="00231DF4" w:rsidP="001C5F53">
      <w:pPr>
        <w:pStyle w:val="ActHead3"/>
      </w:pPr>
      <w:bookmarkStart w:id="91" w:name="_Toc118454406"/>
      <w:bookmarkStart w:id="92" w:name="_Hlk119598656"/>
      <w:bookmarkStart w:id="93" w:name="_Hlk117507881"/>
      <w:bookmarkStart w:id="94" w:name="_Hlk119079269"/>
      <w:r w:rsidRPr="00C01202">
        <w:rPr>
          <w:rStyle w:val="CharDivNo"/>
        </w:rPr>
        <w:t>Division 8</w:t>
      </w:r>
      <w:r w:rsidR="001C5F53" w:rsidRPr="005A19A9">
        <w:t>—</w:t>
      </w:r>
      <w:r w:rsidR="001C5F53" w:rsidRPr="00C01202">
        <w:rPr>
          <w:rStyle w:val="CharDivText"/>
        </w:rPr>
        <w:t>Amendments made by the Ozone Protection and Synthetic Greenhous</w:t>
      </w:r>
      <w:r w:rsidRPr="00C01202">
        <w:rPr>
          <w:rStyle w:val="CharDivText"/>
        </w:rPr>
        <w:t>e</w:t>
      </w:r>
      <w:r w:rsidR="001C5F53" w:rsidRPr="00C01202">
        <w:rPr>
          <w:rStyle w:val="CharDivText"/>
        </w:rPr>
        <w:t xml:space="preserve"> Gas Management Amendment (2022 Measures No. 1) </w:t>
      </w:r>
      <w:r w:rsidR="005A19A9" w:rsidRPr="00C01202">
        <w:rPr>
          <w:rStyle w:val="CharDivText"/>
        </w:rPr>
        <w:t>Regulations 2</w:t>
      </w:r>
      <w:r w:rsidR="001C5F53" w:rsidRPr="00C01202">
        <w:rPr>
          <w:rStyle w:val="CharDivText"/>
        </w:rPr>
        <w:t>022</w:t>
      </w:r>
      <w:bookmarkEnd w:id="91"/>
    </w:p>
    <w:p w14:paraId="3A162145" w14:textId="77777777" w:rsidR="00977E85" w:rsidRPr="005A19A9" w:rsidRDefault="00686965" w:rsidP="00686965">
      <w:pPr>
        <w:pStyle w:val="ActHead5"/>
      </w:pPr>
      <w:bookmarkStart w:id="95" w:name="_Toc118454407"/>
      <w:r w:rsidRPr="00C01202">
        <w:rPr>
          <w:rStyle w:val="CharSectno"/>
        </w:rPr>
        <w:t>974</w:t>
      </w:r>
      <w:r w:rsidRPr="005A19A9">
        <w:t xml:space="preserve">  </w:t>
      </w:r>
      <w:r w:rsidR="00977E85" w:rsidRPr="005A19A9">
        <w:t xml:space="preserve">Definitions for </w:t>
      </w:r>
      <w:r w:rsidR="00AE73E5" w:rsidRPr="005A19A9">
        <w:t xml:space="preserve">this </w:t>
      </w:r>
      <w:r w:rsidR="00977E85" w:rsidRPr="005A19A9">
        <w:t>Division</w:t>
      </w:r>
    </w:p>
    <w:p w14:paraId="7E072596" w14:textId="77777777" w:rsidR="00977E85" w:rsidRPr="005A19A9" w:rsidRDefault="00977E85" w:rsidP="00977E85">
      <w:pPr>
        <w:pStyle w:val="subsection"/>
      </w:pPr>
      <w:r w:rsidRPr="005A19A9">
        <w:tab/>
      </w:r>
      <w:r w:rsidR="00313BA3" w:rsidRPr="005A19A9">
        <w:tab/>
      </w:r>
      <w:r w:rsidRPr="005A19A9">
        <w:t>In this Division:</w:t>
      </w:r>
    </w:p>
    <w:p w14:paraId="7339DD4E" w14:textId="77777777" w:rsidR="00977E85" w:rsidRPr="005A19A9" w:rsidRDefault="00977E85" w:rsidP="00977E85">
      <w:pPr>
        <w:pStyle w:val="Definition"/>
      </w:pPr>
      <w:r w:rsidRPr="005A19A9">
        <w:rPr>
          <w:b/>
          <w:i/>
        </w:rPr>
        <w:t>amending regulations</w:t>
      </w:r>
      <w:r w:rsidRPr="005A19A9">
        <w:t xml:space="preserve"> means the </w:t>
      </w:r>
      <w:r w:rsidRPr="005A19A9">
        <w:rPr>
          <w:i/>
        </w:rPr>
        <w:t>Ozone Protection and Synthetic Greenhouse Gas Management Amendment (2022 Measures No.</w:t>
      </w:r>
      <w:r w:rsidR="00AC41D4" w:rsidRPr="005A19A9">
        <w:rPr>
          <w:i/>
        </w:rPr>
        <w:t xml:space="preserve"> </w:t>
      </w:r>
      <w:r w:rsidRPr="005A19A9">
        <w:rPr>
          <w:i/>
        </w:rPr>
        <w:t xml:space="preserve">1) </w:t>
      </w:r>
      <w:r w:rsidR="005A19A9" w:rsidRPr="005A19A9">
        <w:rPr>
          <w:i/>
        </w:rPr>
        <w:t>Regulations 2</w:t>
      </w:r>
      <w:r w:rsidRPr="005A19A9">
        <w:rPr>
          <w:i/>
        </w:rPr>
        <w:t>022</w:t>
      </w:r>
      <w:r w:rsidRPr="005A19A9">
        <w:t>.</w:t>
      </w:r>
    </w:p>
    <w:p w14:paraId="0DEBF63F" w14:textId="77777777" w:rsidR="00977E85" w:rsidRPr="005A19A9" w:rsidRDefault="00313BA3" w:rsidP="00977E85">
      <w:pPr>
        <w:pStyle w:val="Definition"/>
      </w:pPr>
      <w:r w:rsidRPr="005A19A9">
        <w:rPr>
          <w:b/>
          <w:i/>
        </w:rPr>
        <w:t>commencement</w:t>
      </w:r>
      <w:r w:rsidR="00AA6F45" w:rsidRPr="005A19A9">
        <w:rPr>
          <w:b/>
          <w:i/>
        </w:rPr>
        <w:t xml:space="preserve"> time </w:t>
      </w:r>
      <w:r w:rsidR="00977E85" w:rsidRPr="005A19A9">
        <w:t>means the commence</w:t>
      </w:r>
      <w:r w:rsidR="00AA6F45" w:rsidRPr="005A19A9">
        <w:t>ment of this Division.</w:t>
      </w:r>
    </w:p>
    <w:p w14:paraId="30527A92" w14:textId="77777777" w:rsidR="00977E85" w:rsidRPr="005A19A9" w:rsidRDefault="00977E85" w:rsidP="00977E85">
      <w:pPr>
        <w:pStyle w:val="Definition"/>
      </w:pPr>
      <w:r w:rsidRPr="005A19A9">
        <w:rPr>
          <w:b/>
          <w:i/>
        </w:rPr>
        <w:t>old regulations</w:t>
      </w:r>
      <w:r w:rsidRPr="005A19A9">
        <w:t xml:space="preserve"> means these Regulations as in force immediately before the </w:t>
      </w:r>
      <w:r w:rsidR="00313BA3" w:rsidRPr="005A19A9">
        <w:t>commencement</w:t>
      </w:r>
      <w:r w:rsidR="00F8602C" w:rsidRPr="005A19A9">
        <w:t xml:space="preserve"> time</w:t>
      </w:r>
      <w:r w:rsidRPr="005A19A9">
        <w:t>.</w:t>
      </w:r>
    </w:p>
    <w:p w14:paraId="673508E8" w14:textId="77777777" w:rsidR="00686965" w:rsidRPr="005A19A9" w:rsidRDefault="00977E85" w:rsidP="00686965">
      <w:pPr>
        <w:pStyle w:val="ActHead5"/>
      </w:pPr>
      <w:r w:rsidRPr="00C01202">
        <w:rPr>
          <w:rStyle w:val="CharSectno"/>
        </w:rPr>
        <w:t>975</w:t>
      </w:r>
      <w:r w:rsidRPr="005A19A9">
        <w:t xml:space="preserve">  </w:t>
      </w:r>
      <w:r w:rsidR="00B47756" w:rsidRPr="005A19A9">
        <w:t xml:space="preserve">Reserve </w:t>
      </w:r>
      <w:proofErr w:type="spellStart"/>
      <w:r w:rsidR="00B47756" w:rsidRPr="005A19A9">
        <w:t>HFC</w:t>
      </w:r>
      <w:proofErr w:type="spellEnd"/>
      <w:r w:rsidR="00B47756" w:rsidRPr="005A19A9">
        <w:t xml:space="preserve"> quota amendments</w:t>
      </w:r>
      <w:bookmarkEnd w:id="95"/>
    </w:p>
    <w:p w14:paraId="78A38C43" w14:textId="77777777" w:rsidR="00231DF4" w:rsidRPr="005A19A9" w:rsidRDefault="00231DF4" w:rsidP="00231DF4">
      <w:pPr>
        <w:pStyle w:val="subsection"/>
      </w:pPr>
      <w:r w:rsidRPr="005A19A9">
        <w:tab/>
      </w:r>
      <w:r w:rsidR="00977E85" w:rsidRPr="005A19A9">
        <w:tab/>
      </w:r>
      <w:r w:rsidRPr="005A19A9">
        <w:t xml:space="preserve">The amendments made by </w:t>
      </w:r>
      <w:r w:rsidR="003B4A84" w:rsidRPr="005A19A9">
        <w:t>Part 1</w:t>
      </w:r>
      <w:r w:rsidRPr="005A19A9">
        <w:t xml:space="preserve"> of </w:t>
      </w:r>
      <w:r w:rsidR="005A19A9" w:rsidRPr="005A19A9">
        <w:t>Schedule 1</w:t>
      </w:r>
      <w:r w:rsidRPr="005A19A9">
        <w:t xml:space="preserve"> to the </w:t>
      </w:r>
      <w:r w:rsidR="00977E85" w:rsidRPr="005A19A9">
        <w:t>amending regulations</w:t>
      </w:r>
      <w:r w:rsidR="00ED30E6" w:rsidRPr="005A19A9">
        <w:rPr>
          <w:i/>
        </w:rPr>
        <w:t xml:space="preserve"> </w:t>
      </w:r>
      <w:r w:rsidRPr="005A19A9">
        <w:t xml:space="preserve">apply in relation to a calendar year commencing on or after </w:t>
      </w:r>
      <w:r w:rsidR="003B4A84" w:rsidRPr="005A19A9">
        <w:t>1 January</w:t>
      </w:r>
      <w:r w:rsidRPr="005A19A9">
        <w:t xml:space="preserve"> 2023.</w:t>
      </w:r>
    </w:p>
    <w:p w14:paraId="3548DA54" w14:textId="77777777" w:rsidR="00977E85" w:rsidRPr="005A19A9" w:rsidRDefault="00977E85" w:rsidP="00977E85">
      <w:pPr>
        <w:pStyle w:val="ActHead5"/>
      </w:pPr>
      <w:r w:rsidRPr="00C01202">
        <w:rPr>
          <w:rStyle w:val="CharSectno"/>
        </w:rPr>
        <w:t>976</w:t>
      </w:r>
      <w:r w:rsidRPr="005A19A9">
        <w:t xml:space="preserve">  </w:t>
      </w:r>
      <w:r w:rsidR="0091458C" w:rsidRPr="005A19A9">
        <w:t>Application</w:t>
      </w:r>
      <w:r w:rsidR="00EE3954" w:rsidRPr="005A19A9">
        <w:t>s</w:t>
      </w:r>
      <w:r w:rsidR="00AA6F45" w:rsidRPr="005A19A9">
        <w:t xml:space="preserve"> for an </w:t>
      </w:r>
      <w:proofErr w:type="spellStart"/>
      <w:r w:rsidR="00AA6F45" w:rsidRPr="005A19A9">
        <w:t>RAC</w:t>
      </w:r>
      <w:proofErr w:type="spellEnd"/>
      <w:r w:rsidR="00AA6F45" w:rsidRPr="005A19A9">
        <w:t xml:space="preserve"> </w:t>
      </w:r>
      <w:r w:rsidR="00F35841" w:rsidRPr="005A19A9">
        <w:t>I</w:t>
      </w:r>
      <w:r w:rsidR="00AA6F45" w:rsidRPr="005A19A9">
        <w:t>ndustry permit</w:t>
      </w:r>
    </w:p>
    <w:p w14:paraId="46ECA93F" w14:textId="77777777" w:rsidR="00EC2425" w:rsidRPr="005A19A9" w:rsidRDefault="00EC2425" w:rsidP="00EC2425">
      <w:pPr>
        <w:pStyle w:val="subsection"/>
      </w:pPr>
      <w:r w:rsidRPr="005A19A9">
        <w:tab/>
        <w:t>(1)</w:t>
      </w:r>
      <w:r w:rsidRPr="005A19A9">
        <w:tab/>
        <w:t>This section applies if:</w:t>
      </w:r>
    </w:p>
    <w:p w14:paraId="0025C2D6" w14:textId="77777777" w:rsidR="00EC2425" w:rsidRPr="005A19A9" w:rsidRDefault="00EC2425" w:rsidP="00EC2425">
      <w:pPr>
        <w:pStyle w:val="paragraph"/>
      </w:pPr>
      <w:r w:rsidRPr="005A19A9">
        <w:tab/>
        <w:t>(a)</w:t>
      </w:r>
      <w:r w:rsidRPr="005A19A9">
        <w:tab/>
      </w:r>
      <w:r w:rsidR="00AA6F45" w:rsidRPr="005A19A9">
        <w:t xml:space="preserve">before the </w:t>
      </w:r>
      <w:r w:rsidR="00313BA3" w:rsidRPr="005A19A9">
        <w:t>commencement</w:t>
      </w:r>
      <w:r w:rsidR="00AA6F45" w:rsidRPr="005A19A9">
        <w:t xml:space="preserve"> time, a person made an application </w:t>
      </w:r>
      <w:r w:rsidRPr="005A19A9">
        <w:t>for</w:t>
      </w:r>
      <w:r w:rsidR="00AA6F45" w:rsidRPr="005A19A9">
        <w:t xml:space="preserve"> an </w:t>
      </w:r>
      <w:proofErr w:type="spellStart"/>
      <w:r w:rsidR="00AA6F45" w:rsidRPr="005A19A9">
        <w:t>RAC</w:t>
      </w:r>
      <w:proofErr w:type="spellEnd"/>
      <w:r w:rsidR="00AA6F45" w:rsidRPr="005A19A9">
        <w:t xml:space="preserve"> industry permit under </w:t>
      </w:r>
      <w:r w:rsidR="005A19A9" w:rsidRPr="005A19A9">
        <w:t>Subdivision 6</w:t>
      </w:r>
      <w:r w:rsidR="00AA6F45" w:rsidRPr="005A19A9">
        <w:t>A.2.1A; and</w:t>
      </w:r>
    </w:p>
    <w:p w14:paraId="43B04344" w14:textId="77777777" w:rsidR="00AA6F45" w:rsidRPr="005A19A9" w:rsidRDefault="00AA6F45" w:rsidP="00EC2425">
      <w:pPr>
        <w:pStyle w:val="paragraph"/>
      </w:pPr>
      <w:r w:rsidRPr="005A19A9">
        <w:tab/>
        <w:t>(b)</w:t>
      </w:r>
      <w:r w:rsidRPr="005A19A9">
        <w:tab/>
        <w:t>immediately before that time, the relevant authority has not made a decision on the application.</w:t>
      </w:r>
    </w:p>
    <w:p w14:paraId="5C115208" w14:textId="77777777" w:rsidR="00AA6F45" w:rsidRPr="005A19A9" w:rsidRDefault="00AA6F45" w:rsidP="00AA6F45">
      <w:pPr>
        <w:pStyle w:val="subsection"/>
      </w:pPr>
      <w:r w:rsidRPr="005A19A9">
        <w:tab/>
        <w:t>(2)</w:t>
      </w:r>
      <w:r w:rsidRPr="005A19A9">
        <w:tab/>
      </w:r>
      <w:r w:rsidR="00F35841" w:rsidRPr="005A19A9">
        <w:t>Both of the following apply in relation to the application:</w:t>
      </w:r>
    </w:p>
    <w:p w14:paraId="1F84EC54" w14:textId="77777777" w:rsidR="00F35841" w:rsidRPr="005A19A9" w:rsidRDefault="00F35841" w:rsidP="00F35841">
      <w:pPr>
        <w:pStyle w:val="paragraph"/>
      </w:pPr>
      <w:r w:rsidRPr="005A19A9">
        <w:tab/>
        <w:t>(a)</w:t>
      </w:r>
      <w:r w:rsidRPr="005A19A9">
        <w:tab/>
        <w:t xml:space="preserve">the application is taken, immediately after the </w:t>
      </w:r>
      <w:r w:rsidR="00313BA3" w:rsidRPr="005A19A9">
        <w:t>commencement</w:t>
      </w:r>
      <w:r w:rsidRPr="005A19A9">
        <w:t xml:space="preserve"> time, to be an application made under </w:t>
      </w:r>
      <w:r w:rsidR="005A19A9" w:rsidRPr="005A19A9">
        <w:t>Subdivision 6</w:t>
      </w:r>
      <w:r w:rsidRPr="005A19A9">
        <w:t xml:space="preserve">A.2.1A as amended by </w:t>
      </w:r>
      <w:r w:rsidR="005A19A9" w:rsidRPr="005A19A9">
        <w:t>Part 2</w:t>
      </w:r>
      <w:r w:rsidRPr="005A19A9">
        <w:t xml:space="preserve"> of </w:t>
      </w:r>
      <w:r w:rsidR="005A19A9" w:rsidRPr="005A19A9">
        <w:t>Schedule 1</w:t>
      </w:r>
      <w:r w:rsidRPr="005A19A9">
        <w:t xml:space="preserve"> to the amending regulations;</w:t>
      </w:r>
    </w:p>
    <w:p w14:paraId="496B09D0" w14:textId="77777777" w:rsidR="00F35841" w:rsidRPr="005A19A9" w:rsidRDefault="00F35841" w:rsidP="00F35841">
      <w:pPr>
        <w:pStyle w:val="paragraph"/>
      </w:pPr>
      <w:r w:rsidRPr="005A19A9">
        <w:tab/>
        <w:t>(b)</w:t>
      </w:r>
      <w:r w:rsidRPr="005A19A9">
        <w:tab/>
        <w:t>after that time, the application may be dealt with, or may continue to be dealt with, under that Subdivision as so amended.</w:t>
      </w:r>
    </w:p>
    <w:p w14:paraId="2A644C5A" w14:textId="77777777" w:rsidR="00F35841" w:rsidRPr="005A19A9" w:rsidRDefault="00F35841" w:rsidP="00F35841">
      <w:pPr>
        <w:pStyle w:val="ActHead5"/>
      </w:pPr>
      <w:r w:rsidRPr="00C01202">
        <w:rPr>
          <w:rStyle w:val="CharSectno"/>
        </w:rPr>
        <w:t>977</w:t>
      </w:r>
      <w:r w:rsidRPr="005A19A9">
        <w:t xml:space="preserve">  Applications for a special circumstances exemption</w:t>
      </w:r>
    </w:p>
    <w:p w14:paraId="64D1DFBA" w14:textId="77777777" w:rsidR="00F35841" w:rsidRPr="005A19A9" w:rsidRDefault="00F35841" w:rsidP="00F35841">
      <w:pPr>
        <w:pStyle w:val="subsection"/>
      </w:pPr>
      <w:r w:rsidRPr="005A19A9">
        <w:tab/>
        <w:t>(1)</w:t>
      </w:r>
      <w:r w:rsidRPr="005A19A9">
        <w:tab/>
        <w:t>This section applies if:</w:t>
      </w:r>
    </w:p>
    <w:p w14:paraId="6280C3E6" w14:textId="77777777" w:rsidR="00F35841" w:rsidRPr="005A19A9" w:rsidRDefault="00F35841" w:rsidP="00F35841">
      <w:pPr>
        <w:pStyle w:val="paragraph"/>
      </w:pPr>
      <w:r w:rsidRPr="005A19A9">
        <w:tab/>
        <w:t>(a)</w:t>
      </w:r>
      <w:r w:rsidRPr="005A19A9">
        <w:tab/>
        <w:t>before the</w:t>
      </w:r>
      <w:r w:rsidR="00313BA3" w:rsidRPr="005A19A9">
        <w:t xml:space="preserve"> commencement</w:t>
      </w:r>
      <w:r w:rsidRPr="005A19A9">
        <w:t xml:space="preserve"> time, a person made an application for a special circumstances exemption under </w:t>
      </w:r>
      <w:r w:rsidR="005A19A9" w:rsidRPr="005A19A9">
        <w:t>Subdivision 6</w:t>
      </w:r>
      <w:r w:rsidRPr="005A19A9">
        <w:t>A.4.6; and</w:t>
      </w:r>
    </w:p>
    <w:p w14:paraId="00E84CE3" w14:textId="77777777" w:rsidR="00F35841" w:rsidRPr="005A19A9" w:rsidRDefault="00F35841" w:rsidP="00F35841">
      <w:pPr>
        <w:pStyle w:val="paragraph"/>
      </w:pPr>
      <w:r w:rsidRPr="005A19A9">
        <w:lastRenderedPageBreak/>
        <w:tab/>
        <w:t>(b)</w:t>
      </w:r>
      <w:r w:rsidRPr="005A19A9">
        <w:tab/>
        <w:t>immediately before that time, the relevant authority has not made a decision on the application.</w:t>
      </w:r>
    </w:p>
    <w:p w14:paraId="6ADA5D61" w14:textId="77777777" w:rsidR="00F35841" w:rsidRPr="005A19A9" w:rsidRDefault="00F35841" w:rsidP="00F35841">
      <w:pPr>
        <w:pStyle w:val="subsection"/>
      </w:pPr>
      <w:r w:rsidRPr="005A19A9">
        <w:tab/>
        <w:t>(2)</w:t>
      </w:r>
      <w:r w:rsidRPr="005A19A9">
        <w:tab/>
        <w:t>Both of the following apply in relation to the application:</w:t>
      </w:r>
    </w:p>
    <w:p w14:paraId="563D45ED" w14:textId="77777777" w:rsidR="00F35841" w:rsidRPr="005A19A9" w:rsidRDefault="00F35841" w:rsidP="00F35841">
      <w:pPr>
        <w:pStyle w:val="paragraph"/>
      </w:pPr>
      <w:r w:rsidRPr="005A19A9">
        <w:tab/>
        <w:t>(a)</w:t>
      </w:r>
      <w:r w:rsidRPr="005A19A9">
        <w:tab/>
        <w:t xml:space="preserve">the application is taken, immediately after the </w:t>
      </w:r>
      <w:r w:rsidR="00313BA3" w:rsidRPr="005A19A9">
        <w:t>commencement</w:t>
      </w:r>
      <w:r w:rsidRPr="005A19A9">
        <w:t xml:space="preserve"> time, to be an application made under </w:t>
      </w:r>
      <w:r w:rsidR="005A19A9" w:rsidRPr="005A19A9">
        <w:t>Subdivision 6</w:t>
      </w:r>
      <w:r w:rsidRPr="005A19A9">
        <w:t xml:space="preserve">A.4.6 as amended by </w:t>
      </w:r>
      <w:r w:rsidR="005A19A9" w:rsidRPr="005A19A9">
        <w:t>Part 2</w:t>
      </w:r>
      <w:r w:rsidRPr="005A19A9">
        <w:t xml:space="preserve"> of </w:t>
      </w:r>
      <w:r w:rsidR="005A19A9" w:rsidRPr="005A19A9">
        <w:t>Schedule 1</w:t>
      </w:r>
      <w:r w:rsidRPr="005A19A9">
        <w:t xml:space="preserve"> to the amending regulations;</w:t>
      </w:r>
    </w:p>
    <w:p w14:paraId="07B08BDD" w14:textId="77777777" w:rsidR="00F35841" w:rsidRPr="005A19A9" w:rsidRDefault="00F35841" w:rsidP="00F35841">
      <w:pPr>
        <w:pStyle w:val="paragraph"/>
      </w:pPr>
      <w:r w:rsidRPr="005A19A9">
        <w:tab/>
        <w:t>(b)</w:t>
      </w:r>
      <w:r w:rsidRPr="005A19A9">
        <w:tab/>
        <w:t>after that time, the application may be dealt with, or may continue to be dealt with, under that Subdivision as so amended.</w:t>
      </w:r>
    </w:p>
    <w:p w14:paraId="1AF24CF1" w14:textId="77777777" w:rsidR="0006542C" w:rsidRPr="005A19A9" w:rsidRDefault="0006542C" w:rsidP="0006542C">
      <w:pPr>
        <w:pStyle w:val="ActHead5"/>
      </w:pPr>
      <w:r w:rsidRPr="00C01202">
        <w:rPr>
          <w:rStyle w:val="CharSectno"/>
        </w:rPr>
        <w:t>97</w:t>
      </w:r>
      <w:r w:rsidR="00F35841" w:rsidRPr="00C01202">
        <w:rPr>
          <w:rStyle w:val="CharSectno"/>
        </w:rPr>
        <w:t>8</w:t>
      </w:r>
      <w:r w:rsidRPr="005A19A9">
        <w:t xml:space="preserve">  Existing special circumstances exemptions</w:t>
      </w:r>
    </w:p>
    <w:p w14:paraId="5C7E811B" w14:textId="77777777" w:rsidR="0080027E" w:rsidRPr="005A19A9" w:rsidRDefault="004B0FBF" w:rsidP="00EE3954">
      <w:pPr>
        <w:pStyle w:val="subsection"/>
        <w:sectPr w:rsidR="0080027E" w:rsidRPr="005A19A9" w:rsidSect="0020384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  <w:r w:rsidRPr="005A19A9">
        <w:tab/>
      </w:r>
      <w:r w:rsidRPr="005A19A9">
        <w:tab/>
      </w:r>
      <w:r w:rsidR="0006542C" w:rsidRPr="005A19A9">
        <w:t xml:space="preserve">Despite the </w:t>
      </w:r>
      <w:r w:rsidR="004D40AD" w:rsidRPr="005A19A9">
        <w:t xml:space="preserve">amendments made by </w:t>
      </w:r>
      <w:r w:rsidR="005A19A9" w:rsidRPr="005A19A9">
        <w:t>Part 2</w:t>
      </w:r>
      <w:r w:rsidR="004D40AD" w:rsidRPr="005A19A9">
        <w:t xml:space="preserve"> of the amending regulations, the old regulations continue to apply in relation to a special circumstances exemption granted under </w:t>
      </w:r>
      <w:r w:rsidR="005A19A9" w:rsidRPr="005A19A9">
        <w:t>regulation 3</w:t>
      </w:r>
      <w:r w:rsidR="004D40AD" w:rsidRPr="005A19A9">
        <w:t xml:space="preserve">42 before the </w:t>
      </w:r>
      <w:r w:rsidR="00313BA3" w:rsidRPr="005A19A9">
        <w:t>commencement</w:t>
      </w:r>
      <w:r w:rsidR="004D40AD" w:rsidRPr="005A19A9">
        <w:t xml:space="preserve"> </w:t>
      </w:r>
      <w:r w:rsidR="00EC2425" w:rsidRPr="005A19A9">
        <w:t xml:space="preserve">time </w:t>
      </w:r>
      <w:r w:rsidR="004D40AD" w:rsidRPr="005A19A9">
        <w:t>as if the amendments had not happened</w:t>
      </w:r>
      <w:bookmarkEnd w:id="92"/>
      <w:r w:rsidR="004D40AD" w:rsidRPr="005A19A9">
        <w:t>.</w:t>
      </w:r>
      <w:bookmarkEnd w:id="93"/>
    </w:p>
    <w:bookmarkEnd w:id="94"/>
    <w:p w14:paraId="7C2BD48D" w14:textId="77777777" w:rsidR="0080027E" w:rsidRPr="00E9167C" w:rsidRDefault="0080027E" w:rsidP="0080027E"/>
    <w:sectPr w:rsidR="0080027E" w:rsidRPr="00E9167C" w:rsidSect="0020384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5929" w14:textId="77777777" w:rsidR="00EB4B7C" w:rsidRDefault="00EB4B7C" w:rsidP="0048364F">
      <w:pPr>
        <w:spacing w:line="240" w:lineRule="auto"/>
      </w:pPr>
      <w:r>
        <w:separator/>
      </w:r>
    </w:p>
  </w:endnote>
  <w:endnote w:type="continuationSeparator" w:id="0">
    <w:p w14:paraId="54BB9E3E" w14:textId="77777777" w:rsidR="00EB4B7C" w:rsidRDefault="00EB4B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2FD5" w14:textId="77777777" w:rsidR="00EB4B7C" w:rsidRPr="00203840" w:rsidRDefault="00203840" w:rsidP="002038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840">
      <w:rPr>
        <w:i/>
        <w:sz w:val="18"/>
      </w:rPr>
      <w:t>OPC66112 -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190" w14:textId="77777777" w:rsidR="00EB4B7C" w:rsidRPr="00E33C1C" w:rsidRDefault="00EB4B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4B7C" w14:paraId="30B61F74" w14:textId="77777777" w:rsidTr="008002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8040E2" w14:textId="77777777" w:rsidR="00EB4B7C" w:rsidRDefault="00EB4B7C" w:rsidP="008002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461A90" w14:textId="0D656DF7" w:rsidR="00EB4B7C" w:rsidRDefault="00EB4B7C" w:rsidP="008002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75AE8D" w14:textId="77777777" w:rsidR="00EB4B7C" w:rsidRDefault="00EB4B7C" w:rsidP="008002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E182E0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B5CE" w14:textId="77777777" w:rsidR="00EB4B7C" w:rsidRPr="00E33C1C" w:rsidRDefault="00EB4B7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5"/>
      <w:gridCol w:w="6380"/>
      <w:gridCol w:w="708"/>
    </w:tblGrid>
    <w:tr w:rsidR="00EB4B7C" w14:paraId="312115C5" w14:textId="77777777" w:rsidTr="0049498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6BE6E83" w14:textId="77777777" w:rsidR="00EB4B7C" w:rsidRDefault="00EB4B7C" w:rsidP="00BE74F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2A266CA" w14:textId="17D402A2" w:rsidR="00EB4B7C" w:rsidRDefault="00EB4B7C" w:rsidP="00BE74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B4E2CFF" w14:textId="77777777" w:rsidR="00EB4B7C" w:rsidRDefault="00EB4B7C" w:rsidP="00BE74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4CE607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6031" w14:textId="77777777" w:rsidR="00EB4B7C" w:rsidRDefault="00EB4B7C" w:rsidP="00E97334"/>
  <w:p w14:paraId="37282B44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69CA" w14:textId="77777777" w:rsidR="00EB4B7C" w:rsidRPr="00203840" w:rsidRDefault="00203840" w:rsidP="002038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840">
      <w:rPr>
        <w:i/>
        <w:sz w:val="18"/>
      </w:rPr>
      <w:t>OPC66112 -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1B35" w14:textId="77777777" w:rsidR="00EB4B7C" w:rsidRPr="00E33C1C" w:rsidRDefault="00EB4B7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4B7C" w14:paraId="12B2F844" w14:textId="77777777" w:rsidTr="004949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826E90" w14:textId="77777777" w:rsidR="00EB4B7C" w:rsidRDefault="00EB4B7C" w:rsidP="008002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D84787" w14:textId="7BBEE47F" w:rsidR="00EB4B7C" w:rsidRDefault="00EB4B7C" w:rsidP="008002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3CEF3E" w14:textId="77777777" w:rsidR="00EB4B7C" w:rsidRDefault="00EB4B7C" w:rsidP="0080027E">
          <w:pPr>
            <w:spacing w:line="0" w:lineRule="atLeast"/>
            <w:jc w:val="right"/>
            <w:rPr>
              <w:sz w:val="18"/>
            </w:rPr>
          </w:pPr>
        </w:p>
      </w:tc>
    </w:tr>
  </w:tbl>
  <w:p w14:paraId="76EAFAE7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7AEC" w14:textId="77777777" w:rsidR="00EB4B7C" w:rsidRPr="00E33C1C" w:rsidRDefault="00EB4B7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4B7C" w14:paraId="3BD11D7B" w14:textId="77777777" w:rsidTr="004949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A3A4ED" w14:textId="77777777" w:rsidR="00EB4B7C" w:rsidRDefault="00EB4B7C" w:rsidP="008002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FACEDF" w14:textId="66FCEB90" w:rsidR="00EB4B7C" w:rsidRDefault="00EB4B7C" w:rsidP="008002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DF1262" w14:textId="77777777" w:rsidR="00EB4B7C" w:rsidRDefault="00EB4B7C" w:rsidP="008002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64D664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D4D3" w14:textId="77777777" w:rsidR="00EB4B7C" w:rsidRPr="00E33C1C" w:rsidRDefault="00EB4B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4B7C" w14:paraId="1D03DE3B" w14:textId="77777777" w:rsidTr="004949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B1A182" w14:textId="77777777" w:rsidR="00EB4B7C" w:rsidRDefault="00EB4B7C" w:rsidP="008002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DBF8F" w14:textId="7CFC5F60" w:rsidR="00EB4B7C" w:rsidRDefault="00EB4B7C" w:rsidP="008002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FAA7CB" w14:textId="77777777" w:rsidR="00EB4B7C" w:rsidRDefault="00EB4B7C" w:rsidP="0080027E">
          <w:pPr>
            <w:spacing w:line="0" w:lineRule="atLeast"/>
            <w:jc w:val="right"/>
            <w:rPr>
              <w:sz w:val="18"/>
            </w:rPr>
          </w:pPr>
        </w:p>
      </w:tc>
    </w:tr>
  </w:tbl>
  <w:p w14:paraId="38713BDA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5CDB" w14:textId="77777777" w:rsidR="00EB4B7C" w:rsidRPr="00E33C1C" w:rsidRDefault="00EB4B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4B7C" w14:paraId="70D2C591" w14:textId="77777777" w:rsidTr="008002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9F5D4" w14:textId="77777777" w:rsidR="00EB4B7C" w:rsidRDefault="00EB4B7C" w:rsidP="008002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C8AFA9" w14:textId="580475C6" w:rsidR="00EB4B7C" w:rsidRDefault="00EB4B7C" w:rsidP="008002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07EB17" w14:textId="77777777" w:rsidR="00EB4B7C" w:rsidRDefault="00EB4B7C" w:rsidP="008002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24150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C9C5" w14:textId="77777777" w:rsidR="00EB4B7C" w:rsidRDefault="00EB4B7C">
    <w:pPr>
      <w:pBdr>
        <w:top w:val="single" w:sz="6" w:space="1" w:color="auto"/>
      </w:pBdr>
      <w:rPr>
        <w:sz w:val="18"/>
      </w:rPr>
    </w:pPr>
  </w:p>
  <w:p w14:paraId="6E42453C" w14:textId="4E2E9F29" w:rsidR="00EB4B7C" w:rsidRDefault="00EB4B7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82D12">
      <w:rPr>
        <w:i/>
        <w:noProof/>
        <w:sz w:val="18"/>
      </w:rPr>
      <w:t>Ozone Protection and Synthetic Greenhouse Gas Management Amendment (2022 Measures No. 1)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82D12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F66F140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2C0E" w14:textId="77777777" w:rsidR="00EB4B7C" w:rsidRPr="00E33C1C" w:rsidRDefault="00EB4B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4B7C" w14:paraId="3A5EEB18" w14:textId="77777777" w:rsidTr="004949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49E209" w14:textId="77777777" w:rsidR="00EB4B7C" w:rsidRDefault="00EB4B7C" w:rsidP="008002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16204" w14:textId="0E7CF22F" w:rsidR="00EB4B7C" w:rsidRDefault="00EB4B7C" w:rsidP="008002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D12">
            <w:rPr>
              <w:i/>
              <w:sz w:val="18"/>
            </w:rPr>
            <w:t>Ozone Protection and Synthetic Greenhouse Gas Management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C9F8EA" w14:textId="77777777" w:rsidR="00EB4B7C" w:rsidRDefault="00EB4B7C" w:rsidP="0080027E">
          <w:pPr>
            <w:spacing w:line="0" w:lineRule="atLeast"/>
            <w:jc w:val="right"/>
            <w:rPr>
              <w:sz w:val="18"/>
            </w:rPr>
          </w:pPr>
        </w:p>
      </w:tc>
    </w:tr>
  </w:tbl>
  <w:p w14:paraId="666DD980" w14:textId="77777777" w:rsidR="00EB4B7C" w:rsidRPr="00203840" w:rsidRDefault="00203840" w:rsidP="00203840">
    <w:pPr>
      <w:rPr>
        <w:rFonts w:cs="Times New Roman"/>
        <w:i/>
        <w:sz w:val="18"/>
      </w:rPr>
    </w:pPr>
    <w:r w:rsidRPr="00203840">
      <w:rPr>
        <w:rFonts w:cs="Times New Roman"/>
        <w:i/>
        <w:sz w:val="18"/>
      </w:rPr>
      <w:t>OPC66112 -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FCD6" w14:textId="77777777" w:rsidR="00EB4B7C" w:rsidRDefault="00EB4B7C" w:rsidP="0048364F">
      <w:pPr>
        <w:spacing w:line="240" w:lineRule="auto"/>
      </w:pPr>
      <w:r>
        <w:separator/>
      </w:r>
    </w:p>
  </w:footnote>
  <w:footnote w:type="continuationSeparator" w:id="0">
    <w:p w14:paraId="584344A4" w14:textId="77777777" w:rsidR="00EB4B7C" w:rsidRDefault="00EB4B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08D1" w14:textId="77777777" w:rsidR="00EB4B7C" w:rsidRPr="005F1388" w:rsidRDefault="00EB4B7C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5DD19" w14:textId="3EB928E1" w:rsidR="00EB4B7C" w:rsidRPr="00A961C4" w:rsidRDefault="00EB4B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2D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82D12">
      <w:rPr>
        <w:noProof/>
        <w:sz w:val="20"/>
      </w:rPr>
      <w:t>Amendments</w:t>
    </w:r>
    <w:r>
      <w:rPr>
        <w:sz w:val="20"/>
      </w:rPr>
      <w:fldChar w:fldCharType="end"/>
    </w:r>
  </w:p>
  <w:p w14:paraId="731FD9C0" w14:textId="4BD9D1CB" w:rsidR="00EB4B7C" w:rsidRPr="00A961C4" w:rsidRDefault="00EB4B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82D12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82D12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27F19A81" w14:textId="77777777" w:rsidR="00EB4B7C" w:rsidRPr="00A961C4" w:rsidRDefault="00EB4B7C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BEFA" w14:textId="469D4016" w:rsidR="00EB4B7C" w:rsidRPr="00A961C4" w:rsidRDefault="00EB4B7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82D1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2D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8C6B0A" w14:textId="3C11B2A4" w:rsidR="00EB4B7C" w:rsidRPr="00A961C4" w:rsidRDefault="00EB4B7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682D12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682D12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05F33FE5" w14:textId="77777777" w:rsidR="00EB4B7C" w:rsidRPr="00A961C4" w:rsidRDefault="00EB4B7C" w:rsidP="007F48E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1143" w14:textId="77777777" w:rsidR="00EB4B7C" w:rsidRPr="00A961C4" w:rsidRDefault="00EB4B7C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2131" w14:textId="77777777" w:rsidR="00EB4B7C" w:rsidRPr="005F1388" w:rsidRDefault="00EB4B7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F13E" w14:textId="77777777" w:rsidR="00EB4B7C" w:rsidRPr="005F1388" w:rsidRDefault="00EB4B7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B615" w14:textId="77777777" w:rsidR="00EB4B7C" w:rsidRPr="00ED79B6" w:rsidRDefault="00EB4B7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3B6B" w14:textId="77777777" w:rsidR="00EB4B7C" w:rsidRPr="00ED79B6" w:rsidRDefault="00EB4B7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DFFA" w14:textId="77777777" w:rsidR="00EB4B7C" w:rsidRPr="00ED79B6" w:rsidRDefault="00EB4B7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F615" w14:textId="4373E83C" w:rsidR="00EB4B7C" w:rsidRPr="00A961C4" w:rsidRDefault="00EB4B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56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56FC">
      <w:rPr>
        <w:noProof/>
        <w:sz w:val="20"/>
      </w:rPr>
      <w:t>Amendments</w:t>
    </w:r>
    <w:r>
      <w:rPr>
        <w:sz w:val="20"/>
      </w:rPr>
      <w:fldChar w:fldCharType="end"/>
    </w:r>
  </w:p>
  <w:p w14:paraId="759B52FA" w14:textId="5CF086E3" w:rsidR="00EB4B7C" w:rsidRPr="00A961C4" w:rsidRDefault="00EB4B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456FC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456FC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62CB285F" w14:textId="77777777" w:rsidR="00EB4B7C" w:rsidRPr="00A961C4" w:rsidRDefault="00EB4B7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B24C" w14:textId="41B594F4" w:rsidR="00EB4B7C" w:rsidRPr="00A961C4" w:rsidRDefault="00EB4B7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E5DF1CB" w14:textId="4A57DD7A" w:rsidR="00EB4B7C" w:rsidRPr="00A961C4" w:rsidRDefault="00EB4B7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11A69A" w14:textId="77777777" w:rsidR="00EB4B7C" w:rsidRPr="00A961C4" w:rsidRDefault="00EB4B7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3AAB2" w14:textId="77777777" w:rsidR="00EB4B7C" w:rsidRDefault="00EB4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97219"/>
    <w:multiLevelType w:val="hybridMultilevel"/>
    <w:tmpl w:val="28828574"/>
    <w:lvl w:ilvl="0" w:tplc="CDCEE4B8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5"/>
    <w:rsid w:val="00000263"/>
    <w:rsid w:val="00001248"/>
    <w:rsid w:val="00003FF5"/>
    <w:rsid w:val="000113BC"/>
    <w:rsid w:val="000136AF"/>
    <w:rsid w:val="000263F7"/>
    <w:rsid w:val="0003611F"/>
    <w:rsid w:val="00036E24"/>
    <w:rsid w:val="0004044E"/>
    <w:rsid w:val="00042E2C"/>
    <w:rsid w:val="00044CF5"/>
    <w:rsid w:val="00046F47"/>
    <w:rsid w:val="0005120E"/>
    <w:rsid w:val="00054577"/>
    <w:rsid w:val="00057F54"/>
    <w:rsid w:val="000614BF"/>
    <w:rsid w:val="0006542C"/>
    <w:rsid w:val="000659E4"/>
    <w:rsid w:val="0007169C"/>
    <w:rsid w:val="00072DD3"/>
    <w:rsid w:val="000742DC"/>
    <w:rsid w:val="00074351"/>
    <w:rsid w:val="00076745"/>
    <w:rsid w:val="000769E6"/>
    <w:rsid w:val="00077593"/>
    <w:rsid w:val="000814CC"/>
    <w:rsid w:val="00083F48"/>
    <w:rsid w:val="000A48EB"/>
    <w:rsid w:val="000A6535"/>
    <w:rsid w:val="000A6EA8"/>
    <w:rsid w:val="000A7DF9"/>
    <w:rsid w:val="000B0D2E"/>
    <w:rsid w:val="000D05EF"/>
    <w:rsid w:val="000D0B14"/>
    <w:rsid w:val="000D5485"/>
    <w:rsid w:val="000F1ABD"/>
    <w:rsid w:val="000F1B56"/>
    <w:rsid w:val="000F21C1"/>
    <w:rsid w:val="000F4E0B"/>
    <w:rsid w:val="00102F87"/>
    <w:rsid w:val="00105D72"/>
    <w:rsid w:val="0010745C"/>
    <w:rsid w:val="001079E5"/>
    <w:rsid w:val="00110786"/>
    <w:rsid w:val="00112D20"/>
    <w:rsid w:val="001139D9"/>
    <w:rsid w:val="00117277"/>
    <w:rsid w:val="00137F7B"/>
    <w:rsid w:val="00141654"/>
    <w:rsid w:val="00150EE0"/>
    <w:rsid w:val="0015249B"/>
    <w:rsid w:val="001538A0"/>
    <w:rsid w:val="00153A6D"/>
    <w:rsid w:val="001541B7"/>
    <w:rsid w:val="00155873"/>
    <w:rsid w:val="001568CC"/>
    <w:rsid w:val="00156D75"/>
    <w:rsid w:val="00160BD7"/>
    <w:rsid w:val="001643C9"/>
    <w:rsid w:val="00165568"/>
    <w:rsid w:val="00166082"/>
    <w:rsid w:val="00166C2F"/>
    <w:rsid w:val="001716C9"/>
    <w:rsid w:val="001750E2"/>
    <w:rsid w:val="00177C31"/>
    <w:rsid w:val="00182EF8"/>
    <w:rsid w:val="00184261"/>
    <w:rsid w:val="00190BA1"/>
    <w:rsid w:val="00190DF5"/>
    <w:rsid w:val="00193461"/>
    <w:rsid w:val="001939E1"/>
    <w:rsid w:val="00195382"/>
    <w:rsid w:val="0019736B"/>
    <w:rsid w:val="001A07CC"/>
    <w:rsid w:val="001A3B9F"/>
    <w:rsid w:val="001A4AAF"/>
    <w:rsid w:val="001A65C0"/>
    <w:rsid w:val="001A6861"/>
    <w:rsid w:val="001B0D97"/>
    <w:rsid w:val="001B144B"/>
    <w:rsid w:val="001B2CFE"/>
    <w:rsid w:val="001B6456"/>
    <w:rsid w:val="001B7A5D"/>
    <w:rsid w:val="001C3E79"/>
    <w:rsid w:val="001C49E0"/>
    <w:rsid w:val="001C5F53"/>
    <w:rsid w:val="001C69C4"/>
    <w:rsid w:val="001D0A3A"/>
    <w:rsid w:val="001E0A8D"/>
    <w:rsid w:val="001E22D8"/>
    <w:rsid w:val="001E3590"/>
    <w:rsid w:val="001E419E"/>
    <w:rsid w:val="001E7407"/>
    <w:rsid w:val="001F4A32"/>
    <w:rsid w:val="001F6794"/>
    <w:rsid w:val="001F6E90"/>
    <w:rsid w:val="00200E55"/>
    <w:rsid w:val="00201D27"/>
    <w:rsid w:val="0020300C"/>
    <w:rsid w:val="00203840"/>
    <w:rsid w:val="002060AE"/>
    <w:rsid w:val="00206713"/>
    <w:rsid w:val="0020792B"/>
    <w:rsid w:val="00212CEC"/>
    <w:rsid w:val="00212D0A"/>
    <w:rsid w:val="0022045C"/>
    <w:rsid w:val="00220A0C"/>
    <w:rsid w:val="00223E4A"/>
    <w:rsid w:val="002302EA"/>
    <w:rsid w:val="002315E2"/>
    <w:rsid w:val="00231DF4"/>
    <w:rsid w:val="00240749"/>
    <w:rsid w:val="002468D7"/>
    <w:rsid w:val="0025594B"/>
    <w:rsid w:val="00261EE0"/>
    <w:rsid w:val="00263886"/>
    <w:rsid w:val="00265225"/>
    <w:rsid w:val="00285CDD"/>
    <w:rsid w:val="00290EE0"/>
    <w:rsid w:val="00291167"/>
    <w:rsid w:val="00294D33"/>
    <w:rsid w:val="00295AA0"/>
    <w:rsid w:val="00297ECB"/>
    <w:rsid w:val="002A027F"/>
    <w:rsid w:val="002A3132"/>
    <w:rsid w:val="002B3C43"/>
    <w:rsid w:val="002B7089"/>
    <w:rsid w:val="002C152A"/>
    <w:rsid w:val="002D043A"/>
    <w:rsid w:val="002D6BCE"/>
    <w:rsid w:val="002E276C"/>
    <w:rsid w:val="002F3EBF"/>
    <w:rsid w:val="00312881"/>
    <w:rsid w:val="00313BA3"/>
    <w:rsid w:val="0031713F"/>
    <w:rsid w:val="00320ECB"/>
    <w:rsid w:val="0032106A"/>
    <w:rsid w:val="00321913"/>
    <w:rsid w:val="00322B48"/>
    <w:rsid w:val="00324BAD"/>
    <w:rsid w:val="00324EE6"/>
    <w:rsid w:val="00326FBB"/>
    <w:rsid w:val="003316DC"/>
    <w:rsid w:val="00332004"/>
    <w:rsid w:val="00332E0D"/>
    <w:rsid w:val="003415D3"/>
    <w:rsid w:val="003456FC"/>
    <w:rsid w:val="00346335"/>
    <w:rsid w:val="00350BDD"/>
    <w:rsid w:val="00352B0F"/>
    <w:rsid w:val="003561B0"/>
    <w:rsid w:val="00363AC1"/>
    <w:rsid w:val="00363CDD"/>
    <w:rsid w:val="003670E4"/>
    <w:rsid w:val="00367960"/>
    <w:rsid w:val="0038615B"/>
    <w:rsid w:val="003A003F"/>
    <w:rsid w:val="003A0876"/>
    <w:rsid w:val="003A15AC"/>
    <w:rsid w:val="003A1C88"/>
    <w:rsid w:val="003A56EB"/>
    <w:rsid w:val="003B0627"/>
    <w:rsid w:val="003B1611"/>
    <w:rsid w:val="003B4A84"/>
    <w:rsid w:val="003C39B2"/>
    <w:rsid w:val="003C5F2B"/>
    <w:rsid w:val="003C7F5E"/>
    <w:rsid w:val="003D0BFE"/>
    <w:rsid w:val="003D5700"/>
    <w:rsid w:val="003D72F5"/>
    <w:rsid w:val="003D7C9C"/>
    <w:rsid w:val="003E0A48"/>
    <w:rsid w:val="003E70BC"/>
    <w:rsid w:val="003F01C9"/>
    <w:rsid w:val="003F0F5A"/>
    <w:rsid w:val="003F148E"/>
    <w:rsid w:val="003F3313"/>
    <w:rsid w:val="003F53AF"/>
    <w:rsid w:val="003F7765"/>
    <w:rsid w:val="00400A30"/>
    <w:rsid w:val="004022CA"/>
    <w:rsid w:val="004116CD"/>
    <w:rsid w:val="00412CFB"/>
    <w:rsid w:val="00414ADE"/>
    <w:rsid w:val="00424CA9"/>
    <w:rsid w:val="004257BB"/>
    <w:rsid w:val="004261D9"/>
    <w:rsid w:val="00442651"/>
    <w:rsid w:val="0044291A"/>
    <w:rsid w:val="00446CBE"/>
    <w:rsid w:val="00455A02"/>
    <w:rsid w:val="00460499"/>
    <w:rsid w:val="0046772A"/>
    <w:rsid w:val="0047053F"/>
    <w:rsid w:val="0047192B"/>
    <w:rsid w:val="00471AE3"/>
    <w:rsid w:val="00474835"/>
    <w:rsid w:val="004819C7"/>
    <w:rsid w:val="0048364F"/>
    <w:rsid w:val="00490F2E"/>
    <w:rsid w:val="004943A3"/>
    <w:rsid w:val="00494980"/>
    <w:rsid w:val="00496357"/>
    <w:rsid w:val="004969F7"/>
    <w:rsid w:val="00496DB3"/>
    <w:rsid w:val="00496F97"/>
    <w:rsid w:val="004976E5"/>
    <w:rsid w:val="004A45CD"/>
    <w:rsid w:val="004A53EA"/>
    <w:rsid w:val="004B0FBF"/>
    <w:rsid w:val="004B1FDE"/>
    <w:rsid w:val="004B71F8"/>
    <w:rsid w:val="004D2164"/>
    <w:rsid w:val="004D2621"/>
    <w:rsid w:val="004D2CED"/>
    <w:rsid w:val="004D40AD"/>
    <w:rsid w:val="004D66D9"/>
    <w:rsid w:val="004E2DC9"/>
    <w:rsid w:val="004E47C8"/>
    <w:rsid w:val="004F14F8"/>
    <w:rsid w:val="004F1FAC"/>
    <w:rsid w:val="004F253D"/>
    <w:rsid w:val="004F676E"/>
    <w:rsid w:val="0050417A"/>
    <w:rsid w:val="0051215C"/>
    <w:rsid w:val="00513618"/>
    <w:rsid w:val="00516B8D"/>
    <w:rsid w:val="00517452"/>
    <w:rsid w:val="00522534"/>
    <w:rsid w:val="00523BEE"/>
    <w:rsid w:val="0052686F"/>
    <w:rsid w:val="0052756C"/>
    <w:rsid w:val="00530230"/>
    <w:rsid w:val="00530CC9"/>
    <w:rsid w:val="00531A1B"/>
    <w:rsid w:val="00531CB8"/>
    <w:rsid w:val="00532B1D"/>
    <w:rsid w:val="00537FBC"/>
    <w:rsid w:val="00541D73"/>
    <w:rsid w:val="00542C75"/>
    <w:rsid w:val="00543469"/>
    <w:rsid w:val="005452CC"/>
    <w:rsid w:val="00546FA3"/>
    <w:rsid w:val="00547632"/>
    <w:rsid w:val="00554243"/>
    <w:rsid w:val="00555BAB"/>
    <w:rsid w:val="00557C7A"/>
    <w:rsid w:val="005613FF"/>
    <w:rsid w:val="00562A58"/>
    <w:rsid w:val="00564D73"/>
    <w:rsid w:val="0056625D"/>
    <w:rsid w:val="00574BC1"/>
    <w:rsid w:val="00581211"/>
    <w:rsid w:val="00584811"/>
    <w:rsid w:val="005919A2"/>
    <w:rsid w:val="00593AA6"/>
    <w:rsid w:val="00594161"/>
    <w:rsid w:val="00594512"/>
    <w:rsid w:val="00594749"/>
    <w:rsid w:val="00594EBD"/>
    <w:rsid w:val="005A19A9"/>
    <w:rsid w:val="005A2D90"/>
    <w:rsid w:val="005A482B"/>
    <w:rsid w:val="005A6DE6"/>
    <w:rsid w:val="005B0554"/>
    <w:rsid w:val="005B0896"/>
    <w:rsid w:val="005B17F3"/>
    <w:rsid w:val="005B4067"/>
    <w:rsid w:val="005C27E0"/>
    <w:rsid w:val="005C36E0"/>
    <w:rsid w:val="005C37A2"/>
    <w:rsid w:val="005C3F41"/>
    <w:rsid w:val="005C5219"/>
    <w:rsid w:val="005D168D"/>
    <w:rsid w:val="005D4826"/>
    <w:rsid w:val="005D5EA1"/>
    <w:rsid w:val="005E303C"/>
    <w:rsid w:val="005E61D3"/>
    <w:rsid w:val="005F3D7C"/>
    <w:rsid w:val="005F4840"/>
    <w:rsid w:val="005F7738"/>
    <w:rsid w:val="00600219"/>
    <w:rsid w:val="0060231E"/>
    <w:rsid w:val="00605D7B"/>
    <w:rsid w:val="00613EAD"/>
    <w:rsid w:val="006155FC"/>
    <w:rsid w:val="006158AC"/>
    <w:rsid w:val="00615CAF"/>
    <w:rsid w:val="00617555"/>
    <w:rsid w:val="00622FFE"/>
    <w:rsid w:val="006246AC"/>
    <w:rsid w:val="00627F31"/>
    <w:rsid w:val="00632DC6"/>
    <w:rsid w:val="00640402"/>
    <w:rsid w:val="00640F78"/>
    <w:rsid w:val="00643F30"/>
    <w:rsid w:val="00646E7B"/>
    <w:rsid w:val="00653C49"/>
    <w:rsid w:val="00655D6A"/>
    <w:rsid w:val="00656DE9"/>
    <w:rsid w:val="00666974"/>
    <w:rsid w:val="00672D75"/>
    <w:rsid w:val="006759A9"/>
    <w:rsid w:val="006772AD"/>
    <w:rsid w:val="00677CC2"/>
    <w:rsid w:val="00680C82"/>
    <w:rsid w:val="00682D12"/>
    <w:rsid w:val="00684C73"/>
    <w:rsid w:val="00685F42"/>
    <w:rsid w:val="006866A1"/>
    <w:rsid w:val="00686965"/>
    <w:rsid w:val="0069207B"/>
    <w:rsid w:val="006924C8"/>
    <w:rsid w:val="00692746"/>
    <w:rsid w:val="00697C75"/>
    <w:rsid w:val="006A2776"/>
    <w:rsid w:val="006A4309"/>
    <w:rsid w:val="006B0E55"/>
    <w:rsid w:val="006B7006"/>
    <w:rsid w:val="006B7174"/>
    <w:rsid w:val="006C356A"/>
    <w:rsid w:val="006C6D2C"/>
    <w:rsid w:val="006C7F8C"/>
    <w:rsid w:val="006D25C5"/>
    <w:rsid w:val="006D7AB9"/>
    <w:rsid w:val="006F30B7"/>
    <w:rsid w:val="006F6CED"/>
    <w:rsid w:val="006F7972"/>
    <w:rsid w:val="00700B2C"/>
    <w:rsid w:val="007015BD"/>
    <w:rsid w:val="00701797"/>
    <w:rsid w:val="0070236D"/>
    <w:rsid w:val="007058E8"/>
    <w:rsid w:val="00706E8A"/>
    <w:rsid w:val="00707E87"/>
    <w:rsid w:val="007100F2"/>
    <w:rsid w:val="00713084"/>
    <w:rsid w:val="00720FC2"/>
    <w:rsid w:val="00731E00"/>
    <w:rsid w:val="00732E9D"/>
    <w:rsid w:val="0073491A"/>
    <w:rsid w:val="00737FFE"/>
    <w:rsid w:val="00740A4E"/>
    <w:rsid w:val="007440B7"/>
    <w:rsid w:val="007464EC"/>
    <w:rsid w:val="00747993"/>
    <w:rsid w:val="007634AD"/>
    <w:rsid w:val="007715C9"/>
    <w:rsid w:val="00774EDD"/>
    <w:rsid w:val="0077529B"/>
    <w:rsid w:val="007757EC"/>
    <w:rsid w:val="007769FC"/>
    <w:rsid w:val="00780631"/>
    <w:rsid w:val="0078067F"/>
    <w:rsid w:val="00780C60"/>
    <w:rsid w:val="00782A56"/>
    <w:rsid w:val="00784C71"/>
    <w:rsid w:val="00792947"/>
    <w:rsid w:val="00797B11"/>
    <w:rsid w:val="007A036D"/>
    <w:rsid w:val="007A115D"/>
    <w:rsid w:val="007A35E6"/>
    <w:rsid w:val="007A6863"/>
    <w:rsid w:val="007B361E"/>
    <w:rsid w:val="007C3D44"/>
    <w:rsid w:val="007D45C1"/>
    <w:rsid w:val="007E000E"/>
    <w:rsid w:val="007E7D4A"/>
    <w:rsid w:val="007F48ED"/>
    <w:rsid w:val="007F7947"/>
    <w:rsid w:val="0080027E"/>
    <w:rsid w:val="00802221"/>
    <w:rsid w:val="008026AC"/>
    <w:rsid w:val="00803065"/>
    <w:rsid w:val="00810105"/>
    <w:rsid w:val="00812B46"/>
    <w:rsid w:val="00812F45"/>
    <w:rsid w:val="00823B55"/>
    <w:rsid w:val="0083786D"/>
    <w:rsid w:val="0084172C"/>
    <w:rsid w:val="00841D9F"/>
    <w:rsid w:val="0084277E"/>
    <w:rsid w:val="00844793"/>
    <w:rsid w:val="00856A31"/>
    <w:rsid w:val="00865863"/>
    <w:rsid w:val="00867FBC"/>
    <w:rsid w:val="00874C9B"/>
    <w:rsid w:val="0087502D"/>
    <w:rsid w:val="008754D0"/>
    <w:rsid w:val="00877C1A"/>
    <w:rsid w:val="00877D48"/>
    <w:rsid w:val="008816F0"/>
    <w:rsid w:val="0088345B"/>
    <w:rsid w:val="00895651"/>
    <w:rsid w:val="008A16A5"/>
    <w:rsid w:val="008B3334"/>
    <w:rsid w:val="008B5D42"/>
    <w:rsid w:val="008C2B5D"/>
    <w:rsid w:val="008C6BC3"/>
    <w:rsid w:val="008C7675"/>
    <w:rsid w:val="008D0EE0"/>
    <w:rsid w:val="008D0EEE"/>
    <w:rsid w:val="008D2858"/>
    <w:rsid w:val="008D5B99"/>
    <w:rsid w:val="008D7A27"/>
    <w:rsid w:val="008E4702"/>
    <w:rsid w:val="008E69AA"/>
    <w:rsid w:val="008E7DED"/>
    <w:rsid w:val="008F1160"/>
    <w:rsid w:val="008F4F1C"/>
    <w:rsid w:val="008F6246"/>
    <w:rsid w:val="008F7EFB"/>
    <w:rsid w:val="00903ADF"/>
    <w:rsid w:val="00905CC5"/>
    <w:rsid w:val="0091357D"/>
    <w:rsid w:val="0091458C"/>
    <w:rsid w:val="009177D9"/>
    <w:rsid w:val="00920778"/>
    <w:rsid w:val="00922764"/>
    <w:rsid w:val="00930BFE"/>
    <w:rsid w:val="00932377"/>
    <w:rsid w:val="009408EA"/>
    <w:rsid w:val="00943102"/>
    <w:rsid w:val="0094523D"/>
    <w:rsid w:val="009520A2"/>
    <w:rsid w:val="009559E6"/>
    <w:rsid w:val="00956541"/>
    <w:rsid w:val="00962CA3"/>
    <w:rsid w:val="00970C7F"/>
    <w:rsid w:val="009769EB"/>
    <w:rsid w:val="00976A63"/>
    <w:rsid w:val="00977E85"/>
    <w:rsid w:val="00983419"/>
    <w:rsid w:val="009869AB"/>
    <w:rsid w:val="00994821"/>
    <w:rsid w:val="009A3BF7"/>
    <w:rsid w:val="009A63A8"/>
    <w:rsid w:val="009B5B2E"/>
    <w:rsid w:val="009C2E12"/>
    <w:rsid w:val="009C33DE"/>
    <w:rsid w:val="009C3431"/>
    <w:rsid w:val="009C5989"/>
    <w:rsid w:val="009D08DA"/>
    <w:rsid w:val="009D2D28"/>
    <w:rsid w:val="009E3367"/>
    <w:rsid w:val="009E59B9"/>
    <w:rsid w:val="009F6E25"/>
    <w:rsid w:val="00A06860"/>
    <w:rsid w:val="00A136F5"/>
    <w:rsid w:val="00A13E14"/>
    <w:rsid w:val="00A2021A"/>
    <w:rsid w:val="00A22E70"/>
    <w:rsid w:val="00A231E2"/>
    <w:rsid w:val="00A2550D"/>
    <w:rsid w:val="00A267CF"/>
    <w:rsid w:val="00A32AD8"/>
    <w:rsid w:val="00A33F9E"/>
    <w:rsid w:val="00A4169B"/>
    <w:rsid w:val="00A445F2"/>
    <w:rsid w:val="00A50D55"/>
    <w:rsid w:val="00A5165B"/>
    <w:rsid w:val="00A52FDA"/>
    <w:rsid w:val="00A53A33"/>
    <w:rsid w:val="00A5579B"/>
    <w:rsid w:val="00A64912"/>
    <w:rsid w:val="00A64D76"/>
    <w:rsid w:val="00A67F4D"/>
    <w:rsid w:val="00A70A74"/>
    <w:rsid w:val="00A844D5"/>
    <w:rsid w:val="00A90EA8"/>
    <w:rsid w:val="00A930BB"/>
    <w:rsid w:val="00A93803"/>
    <w:rsid w:val="00AA0343"/>
    <w:rsid w:val="00AA2A5C"/>
    <w:rsid w:val="00AA4494"/>
    <w:rsid w:val="00AA6F45"/>
    <w:rsid w:val="00AB78E9"/>
    <w:rsid w:val="00AC322D"/>
    <w:rsid w:val="00AC3F3C"/>
    <w:rsid w:val="00AC41D4"/>
    <w:rsid w:val="00AD1CFA"/>
    <w:rsid w:val="00AD3467"/>
    <w:rsid w:val="00AD3ADB"/>
    <w:rsid w:val="00AD5641"/>
    <w:rsid w:val="00AD7252"/>
    <w:rsid w:val="00AE0F30"/>
    <w:rsid w:val="00AE0F9B"/>
    <w:rsid w:val="00AE14E5"/>
    <w:rsid w:val="00AE5F20"/>
    <w:rsid w:val="00AE6BE7"/>
    <w:rsid w:val="00AE73E5"/>
    <w:rsid w:val="00AF03F2"/>
    <w:rsid w:val="00AF55FF"/>
    <w:rsid w:val="00B032D8"/>
    <w:rsid w:val="00B0375F"/>
    <w:rsid w:val="00B1046D"/>
    <w:rsid w:val="00B12A94"/>
    <w:rsid w:val="00B137F2"/>
    <w:rsid w:val="00B16E44"/>
    <w:rsid w:val="00B20C57"/>
    <w:rsid w:val="00B306B4"/>
    <w:rsid w:val="00B33B3C"/>
    <w:rsid w:val="00B36691"/>
    <w:rsid w:val="00B40D74"/>
    <w:rsid w:val="00B41AF1"/>
    <w:rsid w:val="00B43F41"/>
    <w:rsid w:val="00B45010"/>
    <w:rsid w:val="00B45CFF"/>
    <w:rsid w:val="00B475A3"/>
    <w:rsid w:val="00B47756"/>
    <w:rsid w:val="00B52663"/>
    <w:rsid w:val="00B5604C"/>
    <w:rsid w:val="00B56DCB"/>
    <w:rsid w:val="00B61B03"/>
    <w:rsid w:val="00B756BC"/>
    <w:rsid w:val="00B770D2"/>
    <w:rsid w:val="00B80F45"/>
    <w:rsid w:val="00B819BD"/>
    <w:rsid w:val="00B91660"/>
    <w:rsid w:val="00B93D36"/>
    <w:rsid w:val="00B94DF9"/>
    <w:rsid w:val="00B94F68"/>
    <w:rsid w:val="00B95183"/>
    <w:rsid w:val="00BA47A3"/>
    <w:rsid w:val="00BA5026"/>
    <w:rsid w:val="00BB5737"/>
    <w:rsid w:val="00BB6E79"/>
    <w:rsid w:val="00BC02F0"/>
    <w:rsid w:val="00BC51BD"/>
    <w:rsid w:val="00BD371F"/>
    <w:rsid w:val="00BD5002"/>
    <w:rsid w:val="00BD54C9"/>
    <w:rsid w:val="00BE10F7"/>
    <w:rsid w:val="00BE3B31"/>
    <w:rsid w:val="00BE719A"/>
    <w:rsid w:val="00BE720A"/>
    <w:rsid w:val="00BE74F2"/>
    <w:rsid w:val="00BF10AF"/>
    <w:rsid w:val="00BF6650"/>
    <w:rsid w:val="00C00728"/>
    <w:rsid w:val="00C01202"/>
    <w:rsid w:val="00C04B34"/>
    <w:rsid w:val="00C067E5"/>
    <w:rsid w:val="00C07242"/>
    <w:rsid w:val="00C12AC6"/>
    <w:rsid w:val="00C14A55"/>
    <w:rsid w:val="00C164CA"/>
    <w:rsid w:val="00C35B88"/>
    <w:rsid w:val="00C42262"/>
    <w:rsid w:val="00C42BF8"/>
    <w:rsid w:val="00C460AE"/>
    <w:rsid w:val="00C50043"/>
    <w:rsid w:val="00C50A0F"/>
    <w:rsid w:val="00C528C1"/>
    <w:rsid w:val="00C658EF"/>
    <w:rsid w:val="00C66B7A"/>
    <w:rsid w:val="00C7573B"/>
    <w:rsid w:val="00C75A78"/>
    <w:rsid w:val="00C76CF3"/>
    <w:rsid w:val="00C83710"/>
    <w:rsid w:val="00C93AD0"/>
    <w:rsid w:val="00C97C4E"/>
    <w:rsid w:val="00CA3726"/>
    <w:rsid w:val="00CA7844"/>
    <w:rsid w:val="00CB4019"/>
    <w:rsid w:val="00CB58EF"/>
    <w:rsid w:val="00CB70EB"/>
    <w:rsid w:val="00CE265D"/>
    <w:rsid w:val="00CE3A6E"/>
    <w:rsid w:val="00CE6138"/>
    <w:rsid w:val="00CE7D64"/>
    <w:rsid w:val="00CF0BB2"/>
    <w:rsid w:val="00CF7071"/>
    <w:rsid w:val="00D038C1"/>
    <w:rsid w:val="00D05449"/>
    <w:rsid w:val="00D07814"/>
    <w:rsid w:val="00D1214F"/>
    <w:rsid w:val="00D13441"/>
    <w:rsid w:val="00D1661B"/>
    <w:rsid w:val="00D178A2"/>
    <w:rsid w:val="00D20665"/>
    <w:rsid w:val="00D21F57"/>
    <w:rsid w:val="00D2420F"/>
    <w:rsid w:val="00D243A3"/>
    <w:rsid w:val="00D24C23"/>
    <w:rsid w:val="00D25013"/>
    <w:rsid w:val="00D3200B"/>
    <w:rsid w:val="00D33440"/>
    <w:rsid w:val="00D36B29"/>
    <w:rsid w:val="00D36BEE"/>
    <w:rsid w:val="00D379BA"/>
    <w:rsid w:val="00D422BE"/>
    <w:rsid w:val="00D51A10"/>
    <w:rsid w:val="00D52EFE"/>
    <w:rsid w:val="00D56A0D"/>
    <w:rsid w:val="00D5767F"/>
    <w:rsid w:val="00D6366A"/>
    <w:rsid w:val="00D63EF6"/>
    <w:rsid w:val="00D66518"/>
    <w:rsid w:val="00D70DFB"/>
    <w:rsid w:val="00D71EEA"/>
    <w:rsid w:val="00D735CD"/>
    <w:rsid w:val="00D766DF"/>
    <w:rsid w:val="00D77876"/>
    <w:rsid w:val="00D81D72"/>
    <w:rsid w:val="00D832B0"/>
    <w:rsid w:val="00D87A2C"/>
    <w:rsid w:val="00D87E72"/>
    <w:rsid w:val="00D90028"/>
    <w:rsid w:val="00D905FC"/>
    <w:rsid w:val="00D909BE"/>
    <w:rsid w:val="00D95891"/>
    <w:rsid w:val="00D96CFE"/>
    <w:rsid w:val="00D97F65"/>
    <w:rsid w:val="00DA370A"/>
    <w:rsid w:val="00DB3703"/>
    <w:rsid w:val="00DB3EC7"/>
    <w:rsid w:val="00DB5CB4"/>
    <w:rsid w:val="00DC0CF4"/>
    <w:rsid w:val="00DC5902"/>
    <w:rsid w:val="00DC6996"/>
    <w:rsid w:val="00DE149E"/>
    <w:rsid w:val="00DF4B9B"/>
    <w:rsid w:val="00E05704"/>
    <w:rsid w:val="00E07B15"/>
    <w:rsid w:val="00E12F1A"/>
    <w:rsid w:val="00E15561"/>
    <w:rsid w:val="00E176D2"/>
    <w:rsid w:val="00E21910"/>
    <w:rsid w:val="00E21CFB"/>
    <w:rsid w:val="00E22935"/>
    <w:rsid w:val="00E22C94"/>
    <w:rsid w:val="00E22FBD"/>
    <w:rsid w:val="00E276B1"/>
    <w:rsid w:val="00E37674"/>
    <w:rsid w:val="00E44320"/>
    <w:rsid w:val="00E46444"/>
    <w:rsid w:val="00E52CC0"/>
    <w:rsid w:val="00E54292"/>
    <w:rsid w:val="00E555DF"/>
    <w:rsid w:val="00E574D7"/>
    <w:rsid w:val="00E60191"/>
    <w:rsid w:val="00E60A36"/>
    <w:rsid w:val="00E74DC7"/>
    <w:rsid w:val="00E7696E"/>
    <w:rsid w:val="00E77ABD"/>
    <w:rsid w:val="00E810B0"/>
    <w:rsid w:val="00E85BD2"/>
    <w:rsid w:val="00E87699"/>
    <w:rsid w:val="00E87DF0"/>
    <w:rsid w:val="00E9167C"/>
    <w:rsid w:val="00E92E27"/>
    <w:rsid w:val="00E9518A"/>
    <w:rsid w:val="00E955F5"/>
    <w:rsid w:val="00E9586B"/>
    <w:rsid w:val="00E97334"/>
    <w:rsid w:val="00EA0D36"/>
    <w:rsid w:val="00EB4B7C"/>
    <w:rsid w:val="00EC04EC"/>
    <w:rsid w:val="00EC2425"/>
    <w:rsid w:val="00EC3F1D"/>
    <w:rsid w:val="00EC6E83"/>
    <w:rsid w:val="00ED30E6"/>
    <w:rsid w:val="00ED4928"/>
    <w:rsid w:val="00EE3749"/>
    <w:rsid w:val="00EE3954"/>
    <w:rsid w:val="00EE6190"/>
    <w:rsid w:val="00EE676A"/>
    <w:rsid w:val="00EF21B7"/>
    <w:rsid w:val="00EF2E3A"/>
    <w:rsid w:val="00EF6402"/>
    <w:rsid w:val="00F025DF"/>
    <w:rsid w:val="00F047E2"/>
    <w:rsid w:val="00F04D57"/>
    <w:rsid w:val="00F078DC"/>
    <w:rsid w:val="00F13430"/>
    <w:rsid w:val="00F13E86"/>
    <w:rsid w:val="00F32FCB"/>
    <w:rsid w:val="00F35128"/>
    <w:rsid w:val="00F35841"/>
    <w:rsid w:val="00F47AA1"/>
    <w:rsid w:val="00F53CA4"/>
    <w:rsid w:val="00F53F16"/>
    <w:rsid w:val="00F56601"/>
    <w:rsid w:val="00F5744B"/>
    <w:rsid w:val="00F574B2"/>
    <w:rsid w:val="00F6709F"/>
    <w:rsid w:val="00F677A9"/>
    <w:rsid w:val="00F70098"/>
    <w:rsid w:val="00F723BD"/>
    <w:rsid w:val="00F732EA"/>
    <w:rsid w:val="00F81A10"/>
    <w:rsid w:val="00F84CF5"/>
    <w:rsid w:val="00F852E7"/>
    <w:rsid w:val="00F8602C"/>
    <w:rsid w:val="00F8612E"/>
    <w:rsid w:val="00F91EE9"/>
    <w:rsid w:val="00F93618"/>
    <w:rsid w:val="00F95A88"/>
    <w:rsid w:val="00F96E38"/>
    <w:rsid w:val="00FA420B"/>
    <w:rsid w:val="00FA70F1"/>
    <w:rsid w:val="00FB4374"/>
    <w:rsid w:val="00FC702B"/>
    <w:rsid w:val="00FC7523"/>
    <w:rsid w:val="00FD61B2"/>
    <w:rsid w:val="00FE0781"/>
    <w:rsid w:val="00FE290D"/>
    <w:rsid w:val="00FE6601"/>
    <w:rsid w:val="00FF2AA7"/>
    <w:rsid w:val="00FF39DE"/>
    <w:rsid w:val="00FF5B07"/>
    <w:rsid w:val="00FF5BAD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F212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9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9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9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19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19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19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19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19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19A9"/>
  </w:style>
  <w:style w:type="paragraph" w:customStyle="1" w:styleId="OPCParaBase">
    <w:name w:val="OPCParaBase"/>
    <w:qFormat/>
    <w:rsid w:val="005A1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1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1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1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1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1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1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1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1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1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1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19A9"/>
  </w:style>
  <w:style w:type="paragraph" w:customStyle="1" w:styleId="Blocks">
    <w:name w:val="Blocks"/>
    <w:aliases w:val="bb"/>
    <w:basedOn w:val="OPCParaBase"/>
    <w:qFormat/>
    <w:rsid w:val="005A1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1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1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19A9"/>
    <w:rPr>
      <w:i/>
    </w:rPr>
  </w:style>
  <w:style w:type="paragraph" w:customStyle="1" w:styleId="BoxList">
    <w:name w:val="BoxList"/>
    <w:aliases w:val="bl"/>
    <w:basedOn w:val="BoxText"/>
    <w:qFormat/>
    <w:rsid w:val="005A1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1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1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19A9"/>
    <w:pPr>
      <w:ind w:left="1985" w:hanging="851"/>
    </w:pPr>
  </w:style>
  <w:style w:type="character" w:customStyle="1" w:styleId="CharAmPartNo">
    <w:name w:val="CharAmPartNo"/>
    <w:basedOn w:val="OPCCharBase"/>
    <w:qFormat/>
    <w:rsid w:val="005A19A9"/>
  </w:style>
  <w:style w:type="character" w:customStyle="1" w:styleId="CharAmPartText">
    <w:name w:val="CharAmPartText"/>
    <w:basedOn w:val="OPCCharBase"/>
    <w:qFormat/>
    <w:rsid w:val="005A19A9"/>
  </w:style>
  <w:style w:type="character" w:customStyle="1" w:styleId="CharAmSchNo">
    <w:name w:val="CharAmSchNo"/>
    <w:basedOn w:val="OPCCharBase"/>
    <w:qFormat/>
    <w:rsid w:val="005A19A9"/>
  </w:style>
  <w:style w:type="character" w:customStyle="1" w:styleId="CharAmSchText">
    <w:name w:val="CharAmSchText"/>
    <w:basedOn w:val="OPCCharBase"/>
    <w:qFormat/>
    <w:rsid w:val="005A19A9"/>
  </w:style>
  <w:style w:type="character" w:customStyle="1" w:styleId="CharBoldItalic">
    <w:name w:val="CharBoldItalic"/>
    <w:basedOn w:val="OPCCharBase"/>
    <w:uiPriority w:val="1"/>
    <w:qFormat/>
    <w:rsid w:val="005A19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19A9"/>
  </w:style>
  <w:style w:type="character" w:customStyle="1" w:styleId="CharChapText">
    <w:name w:val="CharChapText"/>
    <w:basedOn w:val="OPCCharBase"/>
    <w:uiPriority w:val="1"/>
    <w:qFormat/>
    <w:rsid w:val="005A19A9"/>
  </w:style>
  <w:style w:type="character" w:customStyle="1" w:styleId="CharDivNo">
    <w:name w:val="CharDivNo"/>
    <w:basedOn w:val="OPCCharBase"/>
    <w:uiPriority w:val="1"/>
    <w:qFormat/>
    <w:rsid w:val="005A19A9"/>
  </w:style>
  <w:style w:type="character" w:customStyle="1" w:styleId="CharDivText">
    <w:name w:val="CharDivText"/>
    <w:basedOn w:val="OPCCharBase"/>
    <w:uiPriority w:val="1"/>
    <w:qFormat/>
    <w:rsid w:val="005A19A9"/>
  </w:style>
  <w:style w:type="character" w:customStyle="1" w:styleId="CharItalic">
    <w:name w:val="CharItalic"/>
    <w:basedOn w:val="OPCCharBase"/>
    <w:uiPriority w:val="1"/>
    <w:qFormat/>
    <w:rsid w:val="005A19A9"/>
    <w:rPr>
      <w:i/>
    </w:rPr>
  </w:style>
  <w:style w:type="character" w:customStyle="1" w:styleId="CharPartNo">
    <w:name w:val="CharPartNo"/>
    <w:basedOn w:val="OPCCharBase"/>
    <w:uiPriority w:val="1"/>
    <w:qFormat/>
    <w:rsid w:val="005A19A9"/>
  </w:style>
  <w:style w:type="character" w:customStyle="1" w:styleId="CharPartText">
    <w:name w:val="CharPartText"/>
    <w:basedOn w:val="OPCCharBase"/>
    <w:uiPriority w:val="1"/>
    <w:qFormat/>
    <w:rsid w:val="005A19A9"/>
  </w:style>
  <w:style w:type="character" w:customStyle="1" w:styleId="CharSectno">
    <w:name w:val="CharSectno"/>
    <w:basedOn w:val="OPCCharBase"/>
    <w:qFormat/>
    <w:rsid w:val="005A19A9"/>
  </w:style>
  <w:style w:type="character" w:customStyle="1" w:styleId="CharSubdNo">
    <w:name w:val="CharSubdNo"/>
    <w:basedOn w:val="OPCCharBase"/>
    <w:uiPriority w:val="1"/>
    <w:qFormat/>
    <w:rsid w:val="005A19A9"/>
  </w:style>
  <w:style w:type="character" w:customStyle="1" w:styleId="CharSubdText">
    <w:name w:val="CharSubdText"/>
    <w:basedOn w:val="OPCCharBase"/>
    <w:uiPriority w:val="1"/>
    <w:qFormat/>
    <w:rsid w:val="005A19A9"/>
  </w:style>
  <w:style w:type="paragraph" w:customStyle="1" w:styleId="CTA--">
    <w:name w:val="CTA --"/>
    <w:basedOn w:val="OPCParaBase"/>
    <w:next w:val="Normal"/>
    <w:rsid w:val="005A1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1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1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1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1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1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1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1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1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1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1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1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1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1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1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19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1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19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1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1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1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1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1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1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1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1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1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1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1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1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1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19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1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1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1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1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1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1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1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1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1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1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1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1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1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1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1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1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1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1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1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1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1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1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1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19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19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19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19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19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19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19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19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19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1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1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1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1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1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1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1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1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19A9"/>
    <w:rPr>
      <w:sz w:val="16"/>
    </w:rPr>
  </w:style>
  <w:style w:type="table" w:customStyle="1" w:styleId="CFlag">
    <w:name w:val="CFlag"/>
    <w:basedOn w:val="TableNormal"/>
    <w:uiPriority w:val="99"/>
    <w:rsid w:val="005A19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1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1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19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19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19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1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19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19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19A9"/>
    <w:pPr>
      <w:spacing w:before="120"/>
    </w:pPr>
  </w:style>
  <w:style w:type="paragraph" w:customStyle="1" w:styleId="CompiledActNo">
    <w:name w:val="CompiledActNo"/>
    <w:basedOn w:val="OPCParaBase"/>
    <w:next w:val="Normal"/>
    <w:rsid w:val="005A19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19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1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1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1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1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1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19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1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1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1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1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1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1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1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1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19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19A9"/>
  </w:style>
  <w:style w:type="character" w:customStyle="1" w:styleId="CharSubPartNoCASA">
    <w:name w:val="CharSubPartNo(CASA)"/>
    <w:basedOn w:val="OPCCharBase"/>
    <w:uiPriority w:val="1"/>
    <w:rsid w:val="005A19A9"/>
  </w:style>
  <w:style w:type="paragraph" w:customStyle="1" w:styleId="ENoteTTIndentHeadingSub">
    <w:name w:val="ENoteTTIndentHeadingSub"/>
    <w:aliases w:val="enTTHis"/>
    <w:basedOn w:val="OPCParaBase"/>
    <w:rsid w:val="005A1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1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1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19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1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A19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1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19A9"/>
    <w:rPr>
      <w:sz w:val="22"/>
    </w:rPr>
  </w:style>
  <w:style w:type="paragraph" w:customStyle="1" w:styleId="SOTextNote">
    <w:name w:val="SO TextNote"/>
    <w:aliases w:val="sont"/>
    <w:basedOn w:val="SOText"/>
    <w:qFormat/>
    <w:rsid w:val="005A1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1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19A9"/>
    <w:rPr>
      <w:sz w:val="22"/>
    </w:rPr>
  </w:style>
  <w:style w:type="paragraph" w:customStyle="1" w:styleId="FileName">
    <w:name w:val="FileName"/>
    <w:basedOn w:val="Normal"/>
    <w:rsid w:val="005A19A9"/>
  </w:style>
  <w:style w:type="paragraph" w:customStyle="1" w:styleId="TableHeading">
    <w:name w:val="TableHeading"/>
    <w:aliases w:val="th"/>
    <w:basedOn w:val="OPCParaBase"/>
    <w:next w:val="Tabletext"/>
    <w:rsid w:val="005A19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1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1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1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1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1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1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1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1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1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19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19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19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19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1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1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9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19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19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19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19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1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1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A19A9"/>
  </w:style>
  <w:style w:type="character" w:customStyle="1" w:styleId="charlegsubtitle1">
    <w:name w:val="charlegsubtitle1"/>
    <w:basedOn w:val="DefaultParagraphFont"/>
    <w:rsid w:val="005A19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19A9"/>
    <w:pPr>
      <w:ind w:left="240" w:hanging="240"/>
    </w:pPr>
  </w:style>
  <w:style w:type="paragraph" w:styleId="Index2">
    <w:name w:val="index 2"/>
    <w:basedOn w:val="Normal"/>
    <w:next w:val="Normal"/>
    <w:autoRedefine/>
    <w:rsid w:val="005A19A9"/>
    <w:pPr>
      <w:ind w:left="480" w:hanging="240"/>
    </w:pPr>
  </w:style>
  <w:style w:type="paragraph" w:styleId="Index3">
    <w:name w:val="index 3"/>
    <w:basedOn w:val="Normal"/>
    <w:next w:val="Normal"/>
    <w:autoRedefine/>
    <w:rsid w:val="005A19A9"/>
    <w:pPr>
      <w:ind w:left="720" w:hanging="240"/>
    </w:pPr>
  </w:style>
  <w:style w:type="paragraph" w:styleId="Index4">
    <w:name w:val="index 4"/>
    <w:basedOn w:val="Normal"/>
    <w:next w:val="Normal"/>
    <w:autoRedefine/>
    <w:rsid w:val="005A19A9"/>
    <w:pPr>
      <w:ind w:left="960" w:hanging="240"/>
    </w:pPr>
  </w:style>
  <w:style w:type="paragraph" w:styleId="Index5">
    <w:name w:val="index 5"/>
    <w:basedOn w:val="Normal"/>
    <w:next w:val="Normal"/>
    <w:autoRedefine/>
    <w:rsid w:val="005A19A9"/>
    <w:pPr>
      <w:ind w:left="1200" w:hanging="240"/>
    </w:pPr>
  </w:style>
  <w:style w:type="paragraph" w:styleId="Index6">
    <w:name w:val="index 6"/>
    <w:basedOn w:val="Normal"/>
    <w:next w:val="Normal"/>
    <w:autoRedefine/>
    <w:rsid w:val="005A19A9"/>
    <w:pPr>
      <w:ind w:left="1440" w:hanging="240"/>
    </w:pPr>
  </w:style>
  <w:style w:type="paragraph" w:styleId="Index7">
    <w:name w:val="index 7"/>
    <w:basedOn w:val="Normal"/>
    <w:next w:val="Normal"/>
    <w:autoRedefine/>
    <w:rsid w:val="005A19A9"/>
    <w:pPr>
      <w:ind w:left="1680" w:hanging="240"/>
    </w:pPr>
  </w:style>
  <w:style w:type="paragraph" w:styleId="Index8">
    <w:name w:val="index 8"/>
    <w:basedOn w:val="Normal"/>
    <w:next w:val="Normal"/>
    <w:autoRedefine/>
    <w:rsid w:val="005A19A9"/>
    <w:pPr>
      <w:ind w:left="1920" w:hanging="240"/>
    </w:pPr>
  </w:style>
  <w:style w:type="paragraph" w:styleId="Index9">
    <w:name w:val="index 9"/>
    <w:basedOn w:val="Normal"/>
    <w:next w:val="Normal"/>
    <w:autoRedefine/>
    <w:rsid w:val="005A19A9"/>
    <w:pPr>
      <w:ind w:left="2160" w:hanging="240"/>
    </w:pPr>
  </w:style>
  <w:style w:type="paragraph" w:styleId="NormalIndent">
    <w:name w:val="Normal Indent"/>
    <w:basedOn w:val="Normal"/>
    <w:rsid w:val="005A19A9"/>
    <w:pPr>
      <w:ind w:left="720"/>
    </w:pPr>
  </w:style>
  <w:style w:type="paragraph" w:styleId="FootnoteText">
    <w:name w:val="footnote text"/>
    <w:basedOn w:val="Normal"/>
    <w:link w:val="FootnoteTextChar"/>
    <w:rsid w:val="005A19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19A9"/>
  </w:style>
  <w:style w:type="paragraph" w:styleId="CommentText">
    <w:name w:val="annotation text"/>
    <w:basedOn w:val="Normal"/>
    <w:link w:val="CommentTextChar"/>
    <w:rsid w:val="005A19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9A9"/>
  </w:style>
  <w:style w:type="paragraph" w:styleId="IndexHeading">
    <w:name w:val="index heading"/>
    <w:basedOn w:val="Normal"/>
    <w:next w:val="Index1"/>
    <w:rsid w:val="005A19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19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19A9"/>
    <w:pPr>
      <w:ind w:left="480" w:hanging="480"/>
    </w:pPr>
  </w:style>
  <w:style w:type="paragraph" w:styleId="EnvelopeAddress">
    <w:name w:val="envelope address"/>
    <w:basedOn w:val="Normal"/>
    <w:rsid w:val="005A19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19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19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19A9"/>
    <w:rPr>
      <w:sz w:val="16"/>
      <w:szCs w:val="16"/>
    </w:rPr>
  </w:style>
  <w:style w:type="character" w:styleId="PageNumber">
    <w:name w:val="page number"/>
    <w:basedOn w:val="DefaultParagraphFont"/>
    <w:rsid w:val="005A19A9"/>
  </w:style>
  <w:style w:type="character" w:styleId="EndnoteReference">
    <w:name w:val="endnote reference"/>
    <w:basedOn w:val="DefaultParagraphFont"/>
    <w:rsid w:val="005A19A9"/>
    <w:rPr>
      <w:vertAlign w:val="superscript"/>
    </w:rPr>
  </w:style>
  <w:style w:type="paragraph" w:styleId="EndnoteText">
    <w:name w:val="endnote text"/>
    <w:basedOn w:val="Normal"/>
    <w:link w:val="EndnoteTextChar"/>
    <w:rsid w:val="005A19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19A9"/>
  </w:style>
  <w:style w:type="paragraph" w:styleId="TableofAuthorities">
    <w:name w:val="table of authorities"/>
    <w:basedOn w:val="Normal"/>
    <w:next w:val="Normal"/>
    <w:rsid w:val="005A19A9"/>
    <w:pPr>
      <w:ind w:left="240" w:hanging="240"/>
    </w:pPr>
  </w:style>
  <w:style w:type="paragraph" w:styleId="MacroText">
    <w:name w:val="macro"/>
    <w:link w:val="MacroTextChar"/>
    <w:rsid w:val="005A1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19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19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19A9"/>
    <w:pPr>
      <w:ind w:left="283" w:hanging="283"/>
    </w:pPr>
  </w:style>
  <w:style w:type="paragraph" w:styleId="ListBullet">
    <w:name w:val="List Bullet"/>
    <w:basedOn w:val="Normal"/>
    <w:autoRedefine/>
    <w:rsid w:val="005A19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19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19A9"/>
    <w:pPr>
      <w:ind w:left="566" w:hanging="283"/>
    </w:pPr>
  </w:style>
  <w:style w:type="paragraph" w:styleId="List3">
    <w:name w:val="List 3"/>
    <w:basedOn w:val="Normal"/>
    <w:rsid w:val="005A19A9"/>
    <w:pPr>
      <w:ind w:left="849" w:hanging="283"/>
    </w:pPr>
  </w:style>
  <w:style w:type="paragraph" w:styleId="List4">
    <w:name w:val="List 4"/>
    <w:basedOn w:val="Normal"/>
    <w:rsid w:val="005A19A9"/>
    <w:pPr>
      <w:ind w:left="1132" w:hanging="283"/>
    </w:pPr>
  </w:style>
  <w:style w:type="paragraph" w:styleId="List5">
    <w:name w:val="List 5"/>
    <w:basedOn w:val="Normal"/>
    <w:rsid w:val="005A19A9"/>
    <w:pPr>
      <w:ind w:left="1415" w:hanging="283"/>
    </w:pPr>
  </w:style>
  <w:style w:type="paragraph" w:styleId="ListBullet2">
    <w:name w:val="List Bullet 2"/>
    <w:basedOn w:val="Normal"/>
    <w:autoRedefine/>
    <w:rsid w:val="005A19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19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19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19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19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19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19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19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19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19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19A9"/>
    <w:pPr>
      <w:ind w:left="4252"/>
    </w:pPr>
  </w:style>
  <w:style w:type="character" w:customStyle="1" w:styleId="ClosingChar">
    <w:name w:val="Closing Char"/>
    <w:basedOn w:val="DefaultParagraphFont"/>
    <w:link w:val="Closing"/>
    <w:rsid w:val="005A19A9"/>
    <w:rPr>
      <w:sz w:val="22"/>
    </w:rPr>
  </w:style>
  <w:style w:type="paragraph" w:styleId="Signature">
    <w:name w:val="Signature"/>
    <w:basedOn w:val="Normal"/>
    <w:link w:val="SignatureChar"/>
    <w:rsid w:val="005A19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19A9"/>
    <w:rPr>
      <w:sz w:val="22"/>
    </w:rPr>
  </w:style>
  <w:style w:type="paragraph" w:styleId="BodyText">
    <w:name w:val="Body Text"/>
    <w:basedOn w:val="Normal"/>
    <w:link w:val="BodyTextChar"/>
    <w:rsid w:val="005A19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19A9"/>
    <w:rPr>
      <w:sz w:val="22"/>
    </w:rPr>
  </w:style>
  <w:style w:type="paragraph" w:styleId="BodyTextIndent">
    <w:name w:val="Body Text Indent"/>
    <w:basedOn w:val="Normal"/>
    <w:link w:val="BodyTextIndentChar"/>
    <w:rsid w:val="005A19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19A9"/>
    <w:rPr>
      <w:sz w:val="22"/>
    </w:rPr>
  </w:style>
  <w:style w:type="paragraph" w:styleId="ListContinue">
    <w:name w:val="List Continue"/>
    <w:basedOn w:val="Normal"/>
    <w:rsid w:val="005A19A9"/>
    <w:pPr>
      <w:spacing w:after="120"/>
      <w:ind w:left="283"/>
    </w:pPr>
  </w:style>
  <w:style w:type="paragraph" w:styleId="ListContinue2">
    <w:name w:val="List Continue 2"/>
    <w:basedOn w:val="Normal"/>
    <w:rsid w:val="005A19A9"/>
    <w:pPr>
      <w:spacing w:after="120"/>
      <w:ind w:left="566"/>
    </w:pPr>
  </w:style>
  <w:style w:type="paragraph" w:styleId="ListContinue3">
    <w:name w:val="List Continue 3"/>
    <w:basedOn w:val="Normal"/>
    <w:rsid w:val="005A19A9"/>
    <w:pPr>
      <w:spacing w:after="120"/>
      <w:ind w:left="849"/>
    </w:pPr>
  </w:style>
  <w:style w:type="paragraph" w:styleId="ListContinue4">
    <w:name w:val="List Continue 4"/>
    <w:basedOn w:val="Normal"/>
    <w:rsid w:val="005A19A9"/>
    <w:pPr>
      <w:spacing w:after="120"/>
      <w:ind w:left="1132"/>
    </w:pPr>
  </w:style>
  <w:style w:type="paragraph" w:styleId="ListContinue5">
    <w:name w:val="List Continue 5"/>
    <w:basedOn w:val="Normal"/>
    <w:rsid w:val="005A19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19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19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19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19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19A9"/>
  </w:style>
  <w:style w:type="character" w:customStyle="1" w:styleId="SalutationChar">
    <w:name w:val="Salutation Char"/>
    <w:basedOn w:val="DefaultParagraphFont"/>
    <w:link w:val="Salutation"/>
    <w:rsid w:val="005A19A9"/>
    <w:rPr>
      <w:sz w:val="22"/>
    </w:rPr>
  </w:style>
  <w:style w:type="paragraph" w:styleId="Date">
    <w:name w:val="Date"/>
    <w:basedOn w:val="Normal"/>
    <w:next w:val="Normal"/>
    <w:link w:val="DateChar"/>
    <w:rsid w:val="005A19A9"/>
  </w:style>
  <w:style w:type="character" w:customStyle="1" w:styleId="DateChar">
    <w:name w:val="Date Char"/>
    <w:basedOn w:val="DefaultParagraphFont"/>
    <w:link w:val="Date"/>
    <w:rsid w:val="005A19A9"/>
    <w:rPr>
      <w:sz w:val="22"/>
    </w:rPr>
  </w:style>
  <w:style w:type="paragraph" w:styleId="BodyTextFirstIndent">
    <w:name w:val="Body Text First Indent"/>
    <w:basedOn w:val="BodyText"/>
    <w:link w:val="BodyTextFirstIndentChar"/>
    <w:rsid w:val="005A19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19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19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19A9"/>
    <w:rPr>
      <w:sz w:val="22"/>
    </w:rPr>
  </w:style>
  <w:style w:type="paragraph" w:styleId="BodyText2">
    <w:name w:val="Body Text 2"/>
    <w:basedOn w:val="Normal"/>
    <w:link w:val="BodyText2Char"/>
    <w:rsid w:val="005A19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19A9"/>
    <w:rPr>
      <w:sz w:val="22"/>
    </w:rPr>
  </w:style>
  <w:style w:type="paragraph" w:styleId="BodyText3">
    <w:name w:val="Body Text 3"/>
    <w:basedOn w:val="Normal"/>
    <w:link w:val="BodyText3Char"/>
    <w:rsid w:val="005A19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19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19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19A9"/>
    <w:rPr>
      <w:sz w:val="22"/>
    </w:rPr>
  </w:style>
  <w:style w:type="paragraph" w:styleId="BodyTextIndent3">
    <w:name w:val="Body Text Indent 3"/>
    <w:basedOn w:val="Normal"/>
    <w:link w:val="BodyTextIndent3Char"/>
    <w:rsid w:val="005A19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19A9"/>
    <w:rPr>
      <w:sz w:val="16"/>
      <w:szCs w:val="16"/>
    </w:rPr>
  </w:style>
  <w:style w:type="paragraph" w:styleId="BlockText">
    <w:name w:val="Block Text"/>
    <w:basedOn w:val="Normal"/>
    <w:rsid w:val="005A19A9"/>
    <w:pPr>
      <w:spacing w:after="120"/>
      <w:ind w:left="1440" w:right="1440"/>
    </w:pPr>
  </w:style>
  <w:style w:type="character" w:styleId="Hyperlink">
    <w:name w:val="Hyperlink"/>
    <w:basedOn w:val="DefaultParagraphFont"/>
    <w:rsid w:val="005A19A9"/>
    <w:rPr>
      <w:color w:val="0000FF"/>
      <w:u w:val="single"/>
    </w:rPr>
  </w:style>
  <w:style w:type="character" w:styleId="FollowedHyperlink">
    <w:name w:val="FollowedHyperlink"/>
    <w:basedOn w:val="DefaultParagraphFont"/>
    <w:rsid w:val="005A19A9"/>
    <w:rPr>
      <w:color w:val="800080"/>
      <w:u w:val="single"/>
    </w:rPr>
  </w:style>
  <w:style w:type="character" w:styleId="Strong">
    <w:name w:val="Strong"/>
    <w:basedOn w:val="DefaultParagraphFont"/>
    <w:qFormat/>
    <w:rsid w:val="005A19A9"/>
    <w:rPr>
      <w:b/>
      <w:bCs/>
    </w:rPr>
  </w:style>
  <w:style w:type="character" w:styleId="Emphasis">
    <w:name w:val="Emphasis"/>
    <w:basedOn w:val="DefaultParagraphFont"/>
    <w:qFormat/>
    <w:rsid w:val="005A19A9"/>
    <w:rPr>
      <w:i/>
      <w:iCs/>
    </w:rPr>
  </w:style>
  <w:style w:type="paragraph" w:styleId="DocumentMap">
    <w:name w:val="Document Map"/>
    <w:basedOn w:val="Normal"/>
    <w:link w:val="DocumentMapChar"/>
    <w:rsid w:val="005A19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19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19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19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19A9"/>
  </w:style>
  <w:style w:type="character" w:customStyle="1" w:styleId="E-mailSignatureChar">
    <w:name w:val="E-mail Signature Char"/>
    <w:basedOn w:val="DefaultParagraphFont"/>
    <w:link w:val="E-mailSignature"/>
    <w:rsid w:val="005A19A9"/>
    <w:rPr>
      <w:sz w:val="22"/>
    </w:rPr>
  </w:style>
  <w:style w:type="paragraph" w:styleId="NormalWeb">
    <w:name w:val="Normal (Web)"/>
    <w:basedOn w:val="Normal"/>
    <w:rsid w:val="005A19A9"/>
  </w:style>
  <w:style w:type="character" w:styleId="HTMLAcronym">
    <w:name w:val="HTML Acronym"/>
    <w:basedOn w:val="DefaultParagraphFont"/>
    <w:rsid w:val="005A19A9"/>
  </w:style>
  <w:style w:type="paragraph" w:styleId="HTMLAddress">
    <w:name w:val="HTML Address"/>
    <w:basedOn w:val="Normal"/>
    <w:link w:val="HTMLAddressChar"/>
    <w:rsid w:val="005A19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19A9"/>
    <w:rPr>
      <w:i/>
      <w:iCs/>
      <w:sz w:val="22"/>
    </w:rPr>
  </w:style>
  <w:style w:type="character" w:styleId="HTMLCite">
    <w:name w:val="HTML Cite"/>
    <w:basedOn w:val="DefaultParagraphFont"/>
    <w:rsid w:val="005A19A9"/>
    <w:rPr>
      <w:i/>
      <w:iCs/>
    </w:rPr>
  </w:style>
  <w:style w:type="character" w:styleId="HTMLCode">
    <w:name w:val="HTML Code"/>
    <w:basedOn w:val="DefaultParagraphFont"/>
    <w:rsid w:val="005A19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19A9"/>
    <w:rPr>
      <w:i/>
      <w:iCs/>
    </w:rPr>
  </w:style>
  <w:style w:type="character" w:styleId="HTMLKeyboard">
    <w:name w:val="HTML Keyboard"/>
    <w:basedOn w:val="DefaultParagraphFont"/>
    <w:rsid w:val="005A19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19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19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19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19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19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1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9A9"/>
    <w:rPr>
      <w:b/>
      <w:bCs/>
    </w:rPr>
  </w:style>
  <w:style w:type="numbering" w:styleId="1ai">
    <w:name w:val="Outline List 1"/>
    <w:basedOn w:val="NoList"/>
    <w:rsid w:val="005A19A9"/>
    <w:pPr>
      <w:numPr>
        <w:numId w:val="14"/>
      </w:numPr>
    </w:pPr>
  </w:style>
  <w:style w:type="numbering" w:styleId="111111">
    <w:name w:val="Outline List 2"/>
    <w:basedOn w:val="NoList"/>
    <w:rsid w:val="005A19A9"/>
    <w:pPr>
      <w:numPr>
        <w:numId w:val="15"/>
      </w:numPr>
    </w:pPr>
  </w:style>
  <w:style w:type="numbering" w:styleId="ArticleSection">
    <w:name w:val="Outline List 3"/>
    <w:basedOn w:val="NoList"/>
    <w:rsid w:val="005A19A9"/>
    <w:pPr>
      <w:numPr>
        <w:numId w:val="17"/>
      </w:numPr>
    </w:pPr>
  </w:style>
  <w:style w:type="table" w:styleId="TableSimple1">
    <w:name w:val="Table Simple 1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19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19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19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19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19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19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19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19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19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19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1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19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19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19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19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19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19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19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1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1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19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19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19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19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19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19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19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19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1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19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19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19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19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19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19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19A9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0B0D2E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21</Pages>
  <Words>5174</Words>
  <Characters>25509</Characters>
  <Application>Microsoft Office Word</Application>
  <DocSecurity>0</DocSecurity>
  <PresentationFormat/>
  <Lines>2125</Lines>
  <Paragraphs>929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2022-11-17T06:22:00Z</cp:lastPrinted>
  <dcterms:created xsi:type="dcterms:W3CDTF">2022-12-19T03:58:00Z</dcterms:created>
  <dcterms:modified xsi:type="dcterms:W3CDTF">2022-12-19T03:58:00Z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Ozone Protection and Synthetic Greenhouse Gas Management Amendment (2022 Measures No. 1) Regulations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