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982922" w:rsidRDefault="00FF6E25" w:rsidP="00FF6E25">
      <w:pPr>
        <w:jc w:val="center"/>
        <w:rPr>
          <w:rFonts w:cs="Times New Roman"/>
          <w:b/>
          <w:szCs w:val="24"/>
          <w:highlight w:val="yellow"/>
          <w:u w:val="single"/>
        </w:rPr>
      </w:pPr>
      <w:r w:rsidRPr="00982922">
        <w:rPr>
          <w:rFonts w:cs="Times New Roman"/>
          <w:b/>
          <w:szCs w:val="24"/>
          <w:u w:val="single"/>
        </w:rPr>
        <w:t>EXPLANATORY STATEMENT</w:t>
      </w:r>
    </w:p>
    <w:p w14:paraId="145EC655" w14:textId="01A1FE14" w:rsidR="0088497A" w:rsidRPr="00982922" w:rsidRDefault="0088497A" w:rsidP="00FF6E25">
      <w:pPr>
        <w:jc w:val="center"/>
        <w:rPr>
          <w:rFonts w:cs="Times New Roman"/>
          <w:szCs w:val="24"/>
          <w:highlight w:val="yellow"/>
          <w:u w:val="single"/>
        </w:rPr>
      </w:pPr>
      <w:r w:rsidRPr="00982922">
        <w:rPr>
          <w:rFonts w:cs="Times New Roman"/>
          <w:szCs w:val="24"/>
          <w:u w:val="single"/>
        </w:rPr>
        <w:t>Issued by the authority of</w:t>
      </w:r>
      <w:r w:rsidR="001A5CB3" w:rsidRPr="00982922">
        <w:rPr>
          <w:rFonts w:cs="Times New Roman"/>
          <w:szCs w:val="24"/>
          <w:u w:val="single"/>
        </w:rPr>
        <w:t xml:space="preserve"> the Minister for Employment and Workplace Relations</w:t>
      </w:r>
    </w:p>
    <w:p w14:paraId="12EB6806" w14:textId="5126E615" w:rsidR="00455C2A" w:rsidRPr="00982922" w:rsidRDefault="001A5CB3" w:rsidP="00FF6E25">
      <w:pPr>
        <w:jc w:val="center"/>
        <w:rPr>
          <w:rFonts w:cs="Times New Roman"/>
          <w:b/>
          <w:i/>
          <w:szCs w:val="24"/>
        </w:rPr>
      </w:pPr>
      <w:r w:rsidRPr="00982922">
        <w:rPr>
          <w:rFonts w:cs="Times New Roman"/>
          <w:b/>
          <w:i/>
          <w:szCs w:val="24"/>
        </w:rPr>
        <w:t>Fair Work Act 2009</w:t>
      </w:r>
    </w:p>
    <w:p w14:paraId="3DF39A79" w14:textId="7CD27DAB" w:rsidR="001A5CB3" w:rsidRPr="00982922" w:rsidRDefault="001A5CB3" w:rsidP="001A5CB3">
      <w:pPr>
        <w:jc w:val="center"/>
        <w:rPr>
          <w:rFonts w:cs="Times New Roman"/>
          <w:b/>
          <w:bCs/>
          <w:i/>
          <w:szCs w:val="24"/>
        </w:rPr>
      </w:pPr>
      <w:r w:rsidRPr="00982922">
        <w:rPr>
          <w:rFonts w:cs="Times New Roman"/>
          <w:b/>
          <w:bCs/>
          <w:i/>
          <w:szCs w:val="24"/>
        </w:rPr>
        <w:t xml:space="preserve">Fair Work Amendment (Transitional Arrangements – Western Australian Local Government Employers </w:t>
      </w:r>
      <w:r w:rsidR="00727373" w:rsidRPr="00982922">
        <w:rPr>
          <w:rFonts w:cs="Times New Roman"/>
          <w:b/>
          <w:bCs/>
          <w:i/>
          <w:szCs w:val="24"/>
        </w:rPr>
        <w:t>a</w:t>
      </w:r>
      <w:r w:rsidRPr="00982922">
        <w:rPr>
          <w:rFonts w:cs="Times New Roman"/>
          <w:b/>
          <w:bCs/>
          <w:i/>
          <w:szCs w:val="24"/>
        </w:rPr>
        <w:t>nd Employees) Regulations 2022</w:t>
      </w:r>
    </w:p>
    <w:p w14:paraId="33AB2D38" w14:textId="77777777" w:rsidR="00455C2A" w:rsidRPr="009368F1" w:rsidRDefault="00144950" w:rsidP="00950996">
      <w:pPr>
        <w:pStyle w:val="Heading2"/>
        <w:spacing w:before="0" w:line="240" w:lineRule="auto"/>
        <w:rPr>
          <w:rFonts w:cs="Times New Roman"/>
          <w:color w:val="auto"/>
          <w:szCs w:val="24"/>
        </w:rPr>
      </w:pPr>
      <w:bookmarkStart w:id="0" w:name="_Toc23942238"/>
      <w:bookmarkStart w:id="1" w:name="_Toc34293358"/>
      <w:r w:rsidRPr="009368F1">
        <w:rPr>
          <w:rFonts w:cs="Times New Roman"/>
          <w:color w:val="auto"/>
          <w:szCs w:val="24"/>
        </w:rPr>
        <w:t>AUTHORITY</w:t>
      </w:r>
    </w:p>
    <w:bookmarkEnd w:id="0"/>
    <w:bookmarkEnd w:id="1"/>
    <w:p w14:paraId="398C269B" w14:textId="77777777" w:rsidR="00FD769E" w:rsidRDefault="00FD769E" w:rsidP="00950996">
      <w:pPr>
        <w:autoSpaceDE w:val="0"/>
        <w:autoSpaceDN w:val="0"/>
        <w:spacing w:after="0" w:line="240" w:lineRule="auto"/>
        <w:rPr>
          <w:rFonts w:cs="Times New Roman"/>
          <w:szCs w:val="24"/>
        </w:rPr>
      </w:pPr>
    </w:p>
    <w:p w14:paraId="73EB2867" w14:textId="51AECA1A" w:rsidR="009601FE" w:rsidRPr="009368F1" w:rsidRDefault="009601FE" w:rsidP="00950996">
      <w:pPr>
        <w:autoSpaceDE w:val="0"/>
        <w:autoSpaceDN w:val="0"/>
        <w:spacing w:after="0" w:line="240" w:lineRule="auto"/>
        <w:rPr>
          <w:rFonts w:cs="Times New Roman"/>
          <w:szCs w:val="24"/>
        </w:rPr>
      </w:pPr>
      <w:r w:rsidRPr="009368F1">
        <w:rPr>
          <w:rFonts w:cs="Times New Roman"/>
          <w:szCs w:val="24"/>
        </w:rPr>
        <w:t xml:space="preserve">The </w:t>
      </w:r>
      <w:r w:rsidRPr="009368F1">
        <w:rPr>
          <w:rFonts w:cs="Times New Roman"/>
          <w:i/>
          <w:iCs/>
          <w:szCs w:val="24"/>
        </w:rPr>
        <w:t>Fair Work Act 2009</w:t>
      </w:r>
      <w:r w:rsidRPr="009368F1">
        <w:rPr>
          <w:rFonts w:cs="Times New Roman"/>
          <w:szCs w:val="24"/>
        </w:rPr>
        <w:t xml:space="preserve"> (the Fair Work Act), together with the </w:t>
      </w:r>
      <w:r w:rsidRPr="009368F1">
        <w:rPr>
          <w:rFonts w:cs="Times New Roman"/>
          <w:i/>
          <w:iCs/>
          <w:szCs w:val="24"/>
        </w:rPr>
        <w:t>Fair Work Regulations 2009</w:t>
      </w:r>
      <w:r w:rsidRPr="009368F1">
        <w:rPr>
          <w:rFonts w:cs="Times New Roman"/>
          <w:szCs w:val="24"/>
        </w:rPr>
        <w:t xml:space="preserve"> (the Principal Regulations), establish a national workplace relations system covering </w:t>
      </w:r>
      <w:proofErr w:type="gramStart"/>
      <w:r w:rsidRPr="009368F1">
        <w:rPr>
          <w:rFonts w:cs="Times New Roman"/>
          <w:szCs w:val="24"/>
        </w:rPr>
        <w:t>the majority of</w:t>
      </w:r>
      <w:proofErr w:type="gramEnd"/>
      <w:r w:rsidRPr="009368F1">
        <w:rPr>
          <w:rFonts w:cs="Times New Roman"/>
          <w:szCs w:val="24"/>
        </w:rPr>
        <w:t xml:space="preserve"> employers and employees in Australia.</w:t>
      </w:r>
    </w:p>
    <w:p w14:paraId="76D39B0A" w14:textId="77777777" w:rsidR="00950996" w:rsidRDefault="00950996" w:rsidP="00950996">
      <w:pPr>
        <w:autoSpaceDE w:val="0"/>
        <w:autoSpaceDN w:val="0"/>
        <w:spacing w:after="0" w:line="240" w:lineRule="auto"/>
        <w:rPr>
          <w:rFonts w:cs="Times New Roman"/>
          <w:szCs w:val="24"/>
        </w:rPr>
      </w:pPr>
    </w:p>
    <w:p w14:paraId="2123CE4B" w14:textId="54767B8A" w:rsidR="009601FE" w:rsidRPr="009368F1" w:rsidRDefault="009601FE" w:rsidP="00950996">
      <w:pPr>
        <w:autoSpaceDE w:val="0"/>
        <w:autoSpaceDN w:val="0"/>
        <w:spacing w:after="0" w:line="240" w:lineRule="auto"/>
        <w:rPr>
          <w:rFonts w:cs="Times New Roman"/>
          <w:szCs w:val="24"/>
        </w:rPr>
      </w:pPr>
      <w:r w:rsidRPr="009368F1">
        <w:rPr>
          <w:rFonts w:cs="Times New Roman"/>
          <w:szCs w:val="24"/>
        </w:rPr>
        <w:t>Subsection 796(1) of the</w:t>
      </w:r>
      <w:r w:rsidR="00A84F8F" w:rsidRPr="009368F1">
        <w:rPr>
          <w:rFonts w:cs="Times New Roman"/>
          <w:szCs w:val="24"/>
        </w:rPr>
        <w:t xml:space="preserve"> Fair Work</w:t>
      </w:r>
      <w:r w:rsidRPr="009368F1">
        <w:rPr>
          <w:rFonts w:cs="Times New Roman"/>
          <w:szCs w:val="24"/>
        </w:rPr>
        <w:t xml:space="preserve"> Act provides that the Governor-General may make regulations prescribing matters required or permitted by the Act to be prescribed, or necessary or convenient to be prescribed for carrying out or giving effect to the Act.</w:t>
      </w:r>
    </w:p>
    <w:p w14:paraId="032D53EE" w14:textId="158C422D" w:rsidR="00E37E91" w:rsidRPr="009368F1" w:rsidRDefault="00E37E91" w:rsidP="00950996">
      <w:pPr>
        <w:autoSpaceDE w:val="0"/>
        <w:autoSpaceDN w:val="0"/>
        <w:spacing w:after="0" w:line="240" w:lineRule="auto"/>
        <w:rPr>
          <w:rFonts w:cs="Times New Roman"/>
          <w:szCs w:val="24"/>
        </w:rPr>
      </w:pPr>
      <w:r w:rsidRPr="009368F1">
        <w:rPr>
          <w:rFonts w:cs="Times New Roman"/>
          <w:szCs w:val="24"/>
        </w:rPr>
        <w:t>Section 14A of the Fair Work Act allows the Commonwealth to make regulations that provide for transitional arrangements where employers and employees cease to be national system employers and national system employees by virtue of section 14(2).</w:t>
      </w:r>
    </w:p>
    <w:p w14:paraId="3DB9DDB3" w14:textId="77777777" w:rsidR="00950996" w:rsidRDefault="00950996" w:rsidP="00950996">
      <w:pPr>
        <w:autoSpaceDE w:val="0"/>
        <w:autoSpaceDN w:val="0"/>
        <w:spacing w:after="0" w:line="240" w:lineRule="auto"/>
        <w:rPr>
          <w:rFonts w:cs="Times New Roman"/>
          <w:szCs w:val="24"/>
        </w:rPr>
      </w:pPr>
    </w:p>
    <w:p w14:paraId="071C1DB3" w14:textId="09360CD4" w:rsidR="001A5CB3" w:rsidRPr="009368F1" w:rsidRDefault="001A5CB3" w:rsidP="00950996">
      <w:pPr>
        <w:autoSpaceDE w:val="0"/>
        <w:autoSpaceDN w:val="0"/>
        <w:spacing w:after="0" w:line="240" w:lineRule="auto"/>
        <w:rPr>
          <w:rFonts w:cs="Times New Roman"/>
          <w:szCs w:val="24"/>
        </w:rPr>
      </w:pPr>
      <w:r w:rsidRPr="009368F1">
        <w:rPr>
          <w:rFonts w:cs="Times New Roman"/>
          <w:szCs w:val="24"/>
        </w:rPr>
        <w:t xml:space="preserve">The </w:t>
      </w:r>
      <w:r w:rsidRPr="009368F1">
        <w:rPr>
          <w:rFonts w:cs="Times New Roman"/>
          <w:i/>
          <w:iCs/>
          <w:szCs w:val="24"/>
        </w:rPr>
        <w:t>Fair Work Amendment (Transitional Arrangements – Western Australian Local Government Employers and Employees) Regulations 2022</w:t>
      </w:r>
      <w:r w:rsidRPr="009368F1">
        <w:rPr>
          <w:rFonts w:cs="Times New Roman"/>
          <w:szCs w:val="24"/>
        </w:rPr>
        <w:t xml:space="preserve"> (Regulations) are made under section </w:t>
      </w:r>
      <w:r w:rsidR="00EB219F" w:rsidRPr="009368F1">
        <w:rPr>
          <w:rFonts w:cs="Times New Roman"/>
          <w:szCs w:val="24"/>
        </w:rPr>
        <w:t xml:space="preserve">796 </w:t>
      </w:r>
      <w:r w:rsidRPr="009368F1">
        <w:rPr>
          <w:rFonts w:cs="Times New Roman"/>
          <w:szCs w:val="24"/>
        </w:rPr>
        <w:t>of the Fair Work Act.</w:t>
      </w:r>
    </w:p>
    <w:p w14:paraId="6FA426E5" w14:textId="77777777" w:rsidR="00950996" w:rsidRDefault="00950996" w:rsidP="00950996">
      <w:pPr>
        <w:pStyle w:val="Heading2"/>
        <w:spacing w:before="0" w:line="240" w:lineRule="auto"/>
        <w:rPr>
          <w:rFonts w:cs="Times New Roman"/>
          <w:color w:val="auto"/>
          <w:szCs w:val="24"/>
        </w:rPr>
      </w:pPr>
    </w:p>
    <w:p w14:paraId="56CDA376" w14:textId="1E7AFF62" w:rsidR="00DA552F" w:rsidRPr="009368F1" w:rsidRDefault="00144950" w:rsidP="00950996">
      <w:pPr>
        <w:pStyle w:val="Heading2"/>
        <w:spacing w:before="0" w:line="240" w:lineRule="auto"/>
        <w:rPr>
          <w:rFonts w:cs="Times New Roman"/>
          <w:color w:val="auto"/>
          <w:szCs w:val="24"/>
        </w:rPr>
      </w:pPr>
      <w:r w:rsidRPr="009368F1">
        <w:rPr>
          <w:rFonts w:cs="Times New Roman"/>
          <w:color w:val="auto"/>
          <w:szCs w:val="24"/>
        </w:rPr>
        <w:t>PURPOSE AND OPERATION</w:t>
      </w:r>
    </w:p>
    <w:p w14:paraId="32C52F27" w14:textId="77777777" w:rsidR="00FD769E" w:rsidRDefault="00FD769E" w:rsidP="00950996">
      <w:pPr>
        <w:autoSpaceDE w:val="0"/>
        <w:autoSpaceDN w:val="0"/>
        <w:spacing w:after="0" w:line="240" w:lineRule="auto"/>
        <w:rPr>
          <w:rFonts w:cs="Times New Roman"/>
          <w:szCs w:val="24"/>
        </w:rPr>
      </w:pPr>
    </w:p>
    <w:p w14:paraId="221E7378" w14:textId="6D3559DC" w:rsidR="001A5CB3" w:rsidRPr="009368F1" w:rsidRDefault="001A5CB3" w:rsidP="00950996">
      <w:pPr>
        <w:autoSpaceDE w:val="0"/>
        <w:autoSpaceDN w:val="0"/>
        <w:spacing w:after="0" w:line="240" w:lineRule="auto"/>
        <w:rPr>
          <w:rFonts w:cs="Times New Roman"/>
          <w:szCs w:val="24"/>
        </w:rPr>
      </w:pPr>
      <w:r w:rsidRPr="009368F1">
        <w:rPr>
          <w:rFonts w:cs="Times New Roman"/>
          <w:szCs w:val="24"/>
        </w:rPr>
        <w:t xml:space="preserve">On 20 June 2022, the Western Australian government made a declaration in Schedule 4 of the </w:t>
      </w:r>
      <w:r w:rsidRPr="009368F1">
        <w:rPr>
          <w:rFonts w:cs="Times New Roman"/>
          <w:i/>
          <w:iCs/>
          <w:szCs w:val="24"/>
        </w:rPr>
        <w:t>Industrial Relations (General) Regulations 1997</w:t>
      </w:r>
      <w:r w:rsidRPr="009368F1">
        <w:rPr>
          <w:rFonts w:cs="Times New Roman"/>
          <w:szCs w:val="24"/>
        </w:rPr>
        <w:t xml:space="preserve"> that its local government and regional local government employers are not national system employers for the purposes of the Fair Work Act. To be effective, the declaration must be endorsed by the </w:t>
      </w:r>
      <w:proofErr w:type="gramStart"/>
      <w:r w:rsidRPr="009368F1">
        <w:rPr>
          <w:rFonts w:cs="Times New Roman"/>
          <w:szCs w:val="24"/>
        </w:rPr>
        <w:t>Commonwealth Minister</w:t>
      </w:r>
      <w:proofErr w:type="gramEnd"/>
      <w:r w:rsidRPr="009368F1">
        <w:rPr>
          <w:rFonts w:cs="Times New Roman"/>
          <w:szCs w:val="24"/>
        </w:rPr>
        <w:t xml:space="preserve">. </w:t>
      </w:r>
    </w:p>
    <w:p w14:paraId="46C3B46C" w14:textId="77777777" w:rsidR="00950996" w:rsidRDefault="00950996" w:rsidP="00950996">
      <w:pPr>
        <w:spacing w:after="0" w:line="240" w:lineRule="auto"/>
        <w:rPr>
          <w:rFonts w:cs="Times New Roman"/>
          <w:szCs w:val="24"/>
        </w:rPr>
      </w:pPr>
    </w:p>
    <w:p w14:paraId="25DC7E47" w14:textId="50898517" w:rsidR="00F17475" w:rsidRPr="009368F1" w:rsidRDefault="001A5CB3" w:rsidP="00950996">
      <w:pPr>
        <w:spacing w:after="0" w:line="240" w:lineRule="auto"/>
        <w:rPr>
          <w:rFonts w:cs="Times New Roman"/>
          <w:szCs w:val="24"/>
        </w:rPr>
      </w:pPr>
      <w:r w:rsidRPr="009368F1">
        <w:rPr>
          <w:rFonts w:cs="Times New Roman"/>
          <w:szCs w:val="24"/>
        </w:rPr>
        <w:t xml:space="preserve">The Minister for Employment and Workplace Relations endorsed </w:t>
      </w:r>
      <w:r w:rsidR="00BB18F6" w:rsidRPr="009368F1">
        <w:rPr>
          <w:rFonts w:cs="Times New Roman"/>
          <w:szCs w:val="24"/>
        </w:rPr>
        <w:t xml:space="preserve">the declaration in the </w:t>
      </w:r>
      <w:r w:rsidRPr="009368F1">
        <w:rPr>
          <w:rFonts w:eastAsia="Times New Roman" w:cs="Times New Roman"/>
          <w:i/>
          <w:iCs/>
          <w:szCs w:val="24"/>
          <w:lang w:eastAsia="en-AU"/>
        </w:rPr>
        <w:t>Fair Work (State Declarations — employer not to be national system employer) Endorsement 2022 (No. 1)</w:t>
      </w:r>
      <w:r w:rsidRPr="009368F1">
        <w:rPr>
          <w:rFonts w:eastAsia="Times New Roman" w:cs="Times New Roman"/>
          <w:szCs w:val="24"/>
          <w:lang w:eastAsia="en-AU"/>
        </w:rPr>
        <w:t xml:space="preserve"> (Endorsement Instrument). The Endorsement Instrument and the Regulations will commence on </w:t>
      </w:r>
      <w:r w:rsidR="00BB18F6" w:rsidRPr="009368F1">
        <w:rPr>
          <w:rFonts w:eastAsia="Times New Roman" w:cs="Times New Roman"/>
          <w:szCs w:val="24"/>
          <w:lang w:eastAsia="en-AU"/>
        </w:rPr>
        <w:t>1 January 2023</w:t>
      </w:r>
      <w:r w:rsidR="00F943D7" w:rsidRPr="009368F1">
        <w:rPr>
          <w:rFonts w:eastAsia="Times New Roman" w:cs="Times New Roman"/>
          <w:szCs w:val="24"/>
          <w:lang w:eastAsia="en-AU"/>
        </w:rPr>
        <w:t>.</w:t>
      </w:r>
      <w:r w:rsidR="00E7670F" w:rsidRPr="009368F1">
        <w:rPr>
          <w:rFonts w:eastAsia="Times New Roman" w:cs="Times New Roman"/>
          <w:szCs w:val="24"/>
          <w:lang w:eastAsia="en-AU"/>
        </w:rPr>
        <w:t xml:space="preserve"> </w:t>
      </w:r>
      <w:r w:rsidR="00F17475" w:rsidRPr="009368F1">
        <w:rPr>
          <w:rFonts w:eastAsia="Times New Roman" w:cs="Times New Roman"/>
          <w:szCs w:val="24"/>
          <w:lang w:eastAsia="en-AU"/>
        </w:rPr>
        <w:t xml:space="preserve">Western Australia’s declaration is made in accordance with </w:t>
      </w:r>
      <w:r w:rsidR="00F17475" w:rsidRPr="009368F1">
        <w:rPr>
          <w:rFonts w:eastAsia="Times New Roman" w:cs="Times New Roman"/>
          <w:color w:val="000000" w:themeColor="text1"/>
          <w:szCs w:val="24"/>
          <w:lang w:eastAsia="en-AU"/>
        </w:rPr>
        <w:t>s</w:t>
      </w:r>
      <w:r w:rsidR="00F17475" w:rsidRPr="009368F1">
        <w:rPr>
          <w:rFonts w:eastAsia="Times New Roman" w:cs="Times New Roman"/>
          <w:color w:val="000000"/>
          <w:szCs w:val="24"/>
          <w:lang w:eastAsia="en-AU"/>
        </w:rPr>
        <w:t>ubsection 14(2) of the Fair Work Act</w:t>
      </w:r>
      <w:r w:rsidR="00F17475" w:rsidRPr="009368F1">
        <w:rPr>
          <w:rFonts w:eastAsia="Times New Roman" w:cs="Times New Roman"/>
          <w:color w:val="000000" w:themeColor="text1"/>
          <w:szCs w:val="24"/>
          <w:lang w:eastAsia="en-AU"/>
        </w:rPr>
        <w:t>, which</w:t>
      </w:r>
      <w:r w:rsidR="00F17475" w:rsidRPr="009368F1">
        <w:rPr>
          <w:rFonts w:eastAsia="Times New Roman" w:cs="Times New Roman"/>
          <w:color w:val="000000"/>
          <w:szCs w:val="24"/>
          <w:lang w:eastAsia="en-AU"/>
        </w:rPr>
        <w:t xml:space="preserve"> allows States and Territories to declare (subject to endorsement by the </w:t>
      </w:r>
      <w:proofErr w:type="gramStart"/>
      <w:r w:rsidR="00F17475" w:rsidRPr="009368F1">
        <w:rPr>
          <w:rFonts w:eastAsia="Times New Roman" w:cs="Times New Roman"/>
          <w:color w:val="000000"/>
          <w:szCs w:val="24"/>
          <w:lang w:eastAsia="en-AU"/>
        </w:rPr>
        <w:t>Commonwealth Minister</w:t>
      </w:r>
      <w:proofErr w:type="gramEnd"/>
      <w:r w:rsidR="00F17475" w:rsidRPr="009368F1">
        <w:rPr>
          <w:rFonts w:eastAsia="Times New Roman" w:cs="Times New Roman"/>
          <w:color w:val="000000"/>
          <w:szCs w:val="24"/>
          <w:lang w:eastAsia="en-AU"/>
        </w:rPr>
        <w:t xml:space="preserve">) that certain employers over which the Commonwealth would otherwise have jurisdiction are not national system employers. </w:t>
      </w:r>
      <w:r w:rsidR="00F17475" w:rsidRPr="009368F1">
        <w:rPr>
          <w:rFonts w:cs="Times New Roman"/>
          <w:szCs w:val="24"/>
        </w:rPr>
        <w:t>This recognises that certain entities are integral to State, Territory and local government administration and the employment relationships of these entities may be appropriately regulated by the States and Territories.</w:t>
      </w:r>
    </w:p>
    <w:p w14:paraId="1C0B1D3D" w14:textId="77777777" w:rsidR="00950996" w:rsidRDefault="00950996" w:rsidP="00950996">
      <w:pPr>
        <w:shd w:val="clear" w:color="auto" w:fill="FFFFFF" w:themeFill="background1"/>
        <w:spacing w:after="0" w:line="240" w:lineRule="auto"/>
        <w:rPr>
          <w:rFonts w:cs="Times New Roman"/>
          <w:color w:val="000000"/>
          <w:szCs w:val="24"/>
          <w:shd w:val="clear" w:color="auto" w:fill="FFFFFF"/>
        </w:rPr>
      </w:pPr>
    </w:p>
    <w:p w14:paraId="2D04EFF9" w14:textId="3DBF210C" w:rsidR="00B94B3B" w:rsidRPr="009368F1" w:rsidRDefault="00F17475" w:rsidP="00950996">
      <w:pPr>
        <w:shd w:val="clear" w:color="auto" w:fill="FFFFFF" w:themeFill="background1"/>
        <w:spacing w:after="0" w:line="240" w:lineRule="auto"/>
        <w:rPr>
          <w:rFonts w:cs="Times New Roman"/>
          <w:szCs w:val="24"/>
        </w:rPr>
      </w:pPr>
      <w:r w:rsidRPr="009368F1">
        <w:rPr>
          <w:rFonts w:cs="Times New Roman"/>
          <w:color w:val="000000"/>
          <w:szCs w:val="24"/>
          <w:shd w:val="clear" w:color="auto" w:fill="FFFFFF"/>
        </w:rPr>
        <w:t>The effect of an endorsed declaration is that an employer specified in it (and that employer’s employees) will not generally be subject to the</w:t>
      </w:r>
      <w:r w:rsidR="00D61D2A" w:rsidRPr="009368F1">
        <w:rPr>
          <w:rFonts w:cs="Times New Roman"/>
          <w:color w:val="000000"/>
          <w:szCs w:val="24"/>
          <w:shd w:val="clear" w:color="auto" w:fill="FFFFFF"/>
        </w:rPr>
        <w:t xml:space="preserve"> Fair Work</w:t>
      </w:r>
      <w:r w:rsidRPr="009368F1">
        <w:rPr>
          <w:rFonts w:cs="Times New Roman"/>
          <w:color w:val="000000"/>
          <w:szCs w:val="24"/>
          <w:shd w:val="clear" w:color="auto" w:fill="FFFFFF"/>
        </w:rPr>
        <w:t xml:space="preserve"> Act and will instead be subject to the workplace relations arrangements prescribed by the relevant State or Territory.</w:t>
      </w:r>
      <w:r w:rsidR="00D61D2A" w:rsidRPr="009368F1">
        <w:rPr>
          <w:rFonts w:cs="Times New Roman"/>
          <w:color w:val="000000"/>
          <w:szCs w:val="24"/>
          <w:shd w:val="clear" w:color="auto" w:fill="FFFFFF"/>
        </w:rPr>
        <w:t xml:space="preserve"> </w:t>
      </w:r>
      <w:r w:rsidR="008F0345" w:rsidRPr="009368F1">
        <w:rPr>
          <w:rStyle w:val="normaltextrun"/>
          <w:rFonts w:cs="Times New Roman"/>
          <w:color w:val="000000"/>
          <w:szCs w:val="24"/>
          <w:shd w:val="clear" w:color="auto" w:fill="FFFFFF"/>
        </w:rPr>
        <w:t>However, Parts 6-3 and 6-4 of the Fair Work Act, which relate to unlawful termination of employment and parental leave</w:t>
      </w:r>
      <w:r w:rsidR="004D7AC4">
        <w:rPr>
          <w:rStyle w:val="normaltextrun"/>
          <w:rFonts w:cs="Times New Roman"/>
          <w:color w:val="000000"/>
          <w:szCs w:val="24"/>
          <w:shd w:val="clear" w:color="auto" w:fill="FFFFFF"/>
        </w:rPr>
        <w:t>,</w:t>
      </w:r>
      <w:r w:rsidR="008F0345" w:rsidRPr="009368F1">
        <w:rPr>
          <w:rStyle w:val="normaltextrun"/>
          <w:rFonts w:cs="Times New Roman"/>
          <w:color w:val="000000"/>
          <w:szCs w:val="24"/>
          <w:shd w:val="clear" w:color="auto" w:fill="FFFFFF"/>
        </w:rPr>
        <w:t xml:space="preserve"> and which apply to employers and employees nationally, will continue to apply.</w:t>
      </w:r>
      <w:r w:rsidR="008F0345" w:rsidRPr="009368F1">
        <w:rPr>
          <w:rStyle w:val="eop"/>
          <w:rFonts w:cs="Times New Roman"/>
          <w:color w:val="000000"/>
          <w:szCs w:val="24"/>
          <w:shd w:val="clear" w:color="auto" w:fill="FFFFFF"/>
        </w:rPr>
        <w:t> </w:t>
      </w:r>
      <w:r w:rsidR="008F0345" w:rsidRPr="009368F1" w:rsidDel="008F0345">
        <w:rPr>
          <w:rFonts w:cs="Times New Roman"/>
          <w:szCs w:val="24"/>
        </w:rPr>
        <w:t xml:space="preserve"> </w:t>
      </w:r>
    </w:p>
    <w:p w14:paraId="104B8EE9" w14:textId="77777777" w:rsidR="00950996" w:rsidRDefault="00950996" w:rsidP="00950996">
      <w:pPr>
        <w:autoSpaceDE w:val="0"/>
        <w:autoSpaceDN w:val="0"/>
        <w:spacing w:after="0" w:line="240" w:lineRule="auto"/>
        <w:rPr>
          <w:rFonts w:cs="Times New Roman"/>
          <w:szCs w:val="24"/>
        </w:rPr>
      </w:pPr>
    </w:p>
    <w:p w14:paraId="17544750" w14:textId="716D7C6E" w:rsidR="001A5CB3" w:rsidRPr="009368F1" w:rsidRDefault="001A5CB3" w:rsidP="00950996">
      <w:pPr>
        <w:autoSpaceDE w:val="0"/>
        <w:autoSpaceDN w:val="0"/>
        <w:spacing w:after="0" w:line="240" w:lineRule="auto"/>
        <w:rPr>
          <w:rFonts w:cs="Times New Roman"/>
          <w:szCs w:val="24"/>
        </w:rPr>
      </w:pPr>
      <w:r w:rsidRPr="009368F1">
        <w:rPr>
          <w:rFonts w:cs="Times New Roman"/>
          <w:szCs w:val="24"/>
        </w:rPr>
        <w:t xml:space="preserve">Division 2 of Part 2AA of the </w:t>
      </w:r>
      <w:bookmarkStart w:id="2" w:name="_Hlk120857257"/>
      <w:r w:rsidRPr="009368F1">
        <w:rPr>
          <w:rFonts w:cs="Times New Roman"/>
          <w:i/>
          <w:iCs/>
          <w:szCs w:val="24"/>
        </w:rPr>
        <w:t xml:space="preserve">Industrial Relations Act 1979 </w:t>
      </w:r>
      <w:r w:rsidRPr="009368F1">
        <w:rPr>
          <w:rFonts w:cs="Times New Roman"/>
          <w:szCs w:val="24"/>
        </w:rPr>
        <w:t>(WA)</w:t>
      </w:r>
      <w:r w:rsidRPr="009368F1">
        <w:rPr>
          <w:rFonts w:cs="Times New Roman"/>
          <w:i/>
          <w:iCs/>
          <w:szCs w:val="24"/>
        </w:rPr>
        <w:t xml:space="preserve"> </w:t>
      </w:r>
      <w:r w:rsidRPr="009368F1">
        <w:rPr>
          <w:rFonts w:cs="Times New Roman"/>
          <w:szCs w:val="24"/>
        </w:rPr>
        <w:t>(WA IR Act)</w:t>
      </w:r>
      <w:r w:rsidRPr="009368F1">
        <w:rPr>
          <w:rFonts w:cs="Times New Roman"/>
          <w:i/>
          <w:iCs/>
          <w:szCs w:val="24"/>
        </w:rPr>
        <w:t xml:space="preserve"> </w:t>
      </w:r>
      <w:bookmarkEnd w:id="2"/>
      <w:r w:rsidRPr="009368F1">
        <w:rPr>
          <w:rFonts w:cs="Times New Roman"/>
          <w:szCs w:val="24"/>
        </w:rPr>
        <w:t xml:space="preserve">sets out transitional arrangements to move declared employers and employees from the national workplace relations system to the State system. Broadly speaking, the transitional arrangements recognise existing federal employment arrangements for a specified period, to give declared employers sufficient time to comply with the WA IR Act and other State industrial laws. The arrangements also preserve employees’ continuity of employment and entitlements accrued in the national system. </w:t>
      </w:r>
    </w:p>
    <w:p w14:paraId="12C391E2" w14:textId="77777777" w:rsidR="00950996" w:rsidRDefault="00950996" w:rsidP="00950996">
      <w:pPr>
        <w:keepNext/>
        <w:tabs>
          <w:tab w:val="num" w:pos="720"/>
        </w:tabs>
        <w:spacing w:after="0" w:line="240" w:lineRule="auto"/>
        <w:ind w:right="748"/>
        <w:rPr>
          <w:rFonts w:cs="Times New Roman"/>
          <w:szCs w:val="24"/>
        </w:rPr>
      </w:pPr>
    </w:p>
    <w:p w14:paraId="71E989F3" w14:textId="3EA04314" w:rsidR="00322A7B" w:rsidRPr="009368F1" w:rsidRDefault="001A5CB3" w:rsidP="00950996">
      <w:pPr>
        <w:keepNext/>
        <w:tabs>
          <w:tab w:val="num" w:pos="720"/>
        </w:tabs>
        <w:spacing w:after="0" w:line="240" w:lineRule="auto"/>
        <w:ind w:right="748"/>
        <w:rPr>
          <w:rFonts w:eastAsia="Times New Roman" w:cs="Times New Roman"/>
          <w:szCs w:val="24"/>
          <w:lang w:eastAsia="en-AU"/>
        </w:rPr>
      </w:pPr>
      <w:r w:rsidRPr="009368F1">
        <w:rPr>
          <w:rFonts w:cs="Times New Roman"/>
          <w:szCs w:val="24"/>
        </w:rPr>
        <w:t xml:space="preserve">These Regulations amend </w:t>
      </w:r>
      <w:r w:rsidR="00322A7B" w:rsidRPr="009368F1">
        <w:rPr>
          <w:rFonts w:eastAsia="Times New Roman" w:cs="Times New Roman"/>
          <w:szCs w:val="24"/>
          <w:lang w:eastAsia="en-AU"/>
        </w:rPr>
        <w:t xml:space="preserve">the </w:t>
      </w:r>
      <w:r w:rsidR="004D7AC4" w:rsidRPr="009368F1">
        <w:rPr>
          <w:rFonts w:cs="Times New Roman"/>
          <w:szCs w:val="24"/>
        </w:rPr>
        <w:t>Principal Regulations</w:t>
      </w:r>
      <w:r w:rsidR="004D7AC4" w:rsidRPr="009368F1" w:rsidDel="004D7AC4">
        <w:rPr>
          <w:rFonts w:eastAsia="Times New Roman" w:cs="Times New Roman"/>
          <w:szCs w:val="24"/>
          <w:lang w:eastAsia="en-AU"/>
        </w:rPr>
        <w:t xml:space="preserve"> </w:t>
      </w:r>
      <w:r w:rsidR="00322A7B" w:rsidRPr="009368F1">
        <w:rPr>
          <w:rFonts w:eastAsia="Times New Roman" w:cs="Times New Roman"/>
          <w:szCs w:val="24"/>
          <w:lang w:eastAsia="en-AU"/>
        </w:rPr>
        <w:t>to provide for certain transitional arrangements relating to Western Australian local government employers, employees, and organisations that represent them. The</w:t>
      </w:r>
      <w:r w:rsidR="00B40DE3" w:rsidRPr="009368F1">
        <w:rPr>
          <w:rFonts w:eastAsia="Times New Roman" w:cs="Times New Roman"/>
          <w:szCs w:val="24"/>
          <w:lang w:eastAsia="en-AU"/>
        </w:rPr>
        <w:t xml:space="preserve"> </w:t>
      </w:r>
      <w:r w:rsidR="00322A7B" w:rsidRPr="009368F1">
        <w:rPr>
          <w:rFonts w:eastAsia="Times New Roman" w:cs="Times New Roman"/>
          <w:szCs w:val="24"/>
          <w:lang w:eastAsia="en-AU"/>
        </w:rPr>
        <w:t>Regulations:</w:t>
      </w:r>
    </w:p>
    <w:p w14:paraId="275E2A89" w14:textId="77777777" w:rsidR="00322A7B" w:rsidRPr="009368F1" w:rsidRDefault="00322A7B" w:rsidP="00950996">
      <w:pPr>
        <w:pStyle w:val="ListParagraph"/>
        <w:numPr>
          <w:ilvl w:val="0"/>
          <w:numId w:val="20"/>
        </w:numPr>
        <w:spacing w:after="0" w:line="240" w:lineRule="auto"/>
        <w:ind w:right="91"/>
        <w:contextualSpacing w:val="0"/>
        <w:rPr>
          <w:rFonts w:eastAsia="Times New Roman" w:cs="Times New Roman"/>
          <w:szCs w:val="24"/>
          <w:lang w:eastAsia="en-AU"/>
        </w:rPr>
      </w:pPr>
      <w:r w:rsidRPr="009368F1">
        <w:rPr>
          <w:rFonts w:eastAsia="Times New Roman" w:cs="Times New Roman"/>
          <w:szCs w:val="24"/>
          <w:lang w:eastAsia="en-AU"/>
        </w:rPr>
        <w:t xml:space="preserve">enable the Fair Work Commission (FWC) to continue to deal with particular matters involving conduct occurring before the transition date after the transition date, including in relation to unfair dismissal, stand down, and certain disputes concerning individual employment </w:t>
      </w:r>
      <w:proofErr w:type="gramStart"/>
      <w:r w:rsidRPr="009368F1">
        <w:rPr>
          <w:rFonts w:eastAsia="Times New Roman" w:cs="Times New Roman"/>
          <w:szCs w:val="24"/>
          <w:lang w:eastAsia="en-AU"/>
        </w:rPr>
        <w:t>rights;</w:t>
      </w:r>
      <w:proofErr w:type="gramEnd"/>
    </w:p>
    <w:p w14:paraId="62929BF7" w14:textId="77777777" w:rsidR="00322A7B" w:rsidRPr="009368F1" w:rsidRDefault="00322A7B" w:rsidP="00950996">
      <w:pPr>
        <w:pStyle w:val="ListParagraph"/>
        <w:numPr>
          <w:ilvl w:val="0"/>
          <w:numId w:val="20"/>
        </w:numPr>
        <w:spacing w:after="0" w:line="240" w:lineRule="auto"/>
        <w:ind w:right="91"/>
        <w:contextualSpacing w:val="0"/>
        <w:rPr>
          <w:rFonts w:eastAsia="Times New Roman" w:cs="Times New Roman"/>
          <w:szCs w:val="24"/>
          <w:lang w:eastAsia="en-AU"/>
        </w:rPr>
      </w:pPr>
      <w:r w:rsidRPr="009368F1">
        <w:rPr>
          <w:rFonts w:eastAsia="Times New Roman" w:cs="Times New Roman"/>
          <w:szCs w:val="24"/>
          <w:lang w:eastAsia="en-AU"/>
        </w:rPr>
        <w:t>allow the FWC to prevent double dipping where a person is pursuing a similar remedy under the Western Australian system; and</w:t>
      </w:r>
    </w:p>
    <w:p w14:paraId="2B16FD83" w14:textId="15AAAE45" w:rsidR="00322A7B" w:rsidRPr="009368F1" w:rsidRDefault="00322A7B" w:rsidP="00950996">
      <w:pPr>
        <w:pStyle w:val="ListParagraph"/>
        <w:numPr>
          <w:ilvl w:val="0"/>
          <w:numId w:val="20"/>
        </w:numPr>
        <w:spacing w:after="0" w:line="240" w:lineRule="auto"/>
        <w:ind w:right="91"/>
        <w:contextualSpacing w:val="0"/>
        <w:rPr>
          <w:rFonts w:eastAsia="Times New Roman" w:cs="Times New Roman"/>
          <w:szCs w:val="24"/>
          <w:lang w:eastAsia="en-AU"/>
        </w:rPr>
      </w:pPr>
      <w:r w:rsidRPr="009368F1">
        <w:rPr>
          <w:rFonts w:eastAsia="Times New Roman" w:cs="Times New Roman"/>
          <w:szCs w:val="24"/>
          <w:lang w:eastAsia="en-AU"/>
        </w:rPr>
        <w:t>ensure that all proceedings before the Courts at the defined transition time can be finally determined in the national system.</w:t>
      </w:r>
    </w:p>
    <w:p w14:paraId="33DF6666" w14:textId="77777777" w:rsidR="00950996" w:rsidRDefault="00950996" w:rsidP="00950996">
      <w:pPr>
        <w:spacing w:after="0" w:line="240" w:lineRule="auto"/>
        <w:ind w:right="91"/>
        <w:rPr>
          <w:rFonts w:eastAsia="Times New Roman" w:cs="Times New Roman"/>
          <w:szCs w:val="24"/>
          <w:lang w:eastAsia="en-AU"/>
        </w:rPr>
      </w:pPr>
    </w:p>
    <w:p w14:paraId="2C0858F7" w14:textId="0A13A5D9" w:rsidR="00322A7B" w:rsidRPr="009368F1" w:rsidRDefault="00322A7B" w:rsidP="00950996">
      <w:pPr>
        <w:spacing w:after="0" w:line="240" w:lineRule="auto"/>
        <w:ind w:right="91"/>
        <w:rPr>
          <w:rFonts w:eastAsia="Times New Roman" w:cs="Times New Roman"/>
          <w:szCs w:val="24"/>
          <w:lang w:eastAsia="en-AU"/>
        </w:rPr>
      </w:pPr>
      <w:r w:rsidRPr="009368F1">
        <w:rPr>
          <w:rFonts w:eastAsia="Times New Roman" w:cs="Times New Roman"/>
          <w:szCs w:val="24"/>
          <w:lang w:eastAsia="en-AU"/>
        </w:rPr>
        <w:t xml:space="preserve">It </w:t>
      </w:r>
      <w:r w:rsidR="00E942AE">
        <w:rPr>
          <w:rFonts w:eastAsia="Times New Roman" w:cs="Times New Roman"/>
          <w:szCs w:val="24"/>
          <w:lang w:eastAsia="en-AU"/>
        </w:rPr>
        <w:t>is</w:t>
      </w:r>
      <w:r w:rsidRPr="009368F1">
        <w:rPr>
          <w:rFonts w:eastAsia="Times New Roman" w:cs="Times New Roman"/>
          <w:szCs w:val="24"/>
          <w:lang w:eastAsia="en-AU"/>
        </w:rPr>
        <w:t xml:space="preserve"> undesirable for these applications to be re-litigated in the State industrial relations system, as it </w:t>
      </w:r>
      <w:r w:rsidR="00E942AE">
        <w:rPr>
          <w:rFonts w:eastAsia="Times New Roman" w:cs="Times New Roman"/>
          <w:szCs w:val="24"/>
          <w:lang w:eastAsia="en-AU"/>
        </w:rPr>
        <w:t>will</w:t>
      </w:r>
      <w:r w:rsidRPr="009368F1">
        <w:rPr>
          <w:rFonts w:eastAsia="Times New Roman" w:cs="Times New Roman"/>
          <w:szCs w:val="24"/>
          <w:lang w:eastAsia="en-AU"/>
        </w:rPr>
        <w:t xml:space="preserve"> cause inconvenience and cost for both parties.</w:t>
      </w:r>
    </w:p>
    <w:p w14:paraId="655F04E5" w14:textId="77777777" w:rsidR="00950996" w:rsidRDefault="00950996" w:rsidP="00950996">
      <w:pPr>
        <w:autoSpaceDE w:val="0"/>
        <w:autoSpaceDN w:val="0"/>
        <w:spacing w:after="0" w:line="240" w:lineRule="auto"/>
        <w:rPr>
          <w:rFonts w:cs="Times New Roman"/>
          <w:szCs w:val="24"/>
        </w:rPr>
      </w:pPr>
    </w:p>
    <w:p w14:paraId="6F1A4BB0" w14:textId="1C6838FD" w:rsidR="001A5CB3" w:rsidRPr="009368F1" w:rsidRDefault="001A5CB3" w:rsidP="00950996">
      <w:pPr>
        <w:autoSpaceDE w:val="0"/>
        <w:autoSpaceDN w:val="0"/>
        <w:spacing w:after="0" w:line="240" w:lineRule="auto"/>
        <w:rPr>
          <w:rFonts w:cs="Times New Roman"/>
          <w:szCs w:val="24"/>
        </w:rPr>
      </w:pPr>
      <w:r w:rsidRPr="009368F1">
        <w:rPr>
          <w:rFonts w:cs="Times New Roman"/>
          <w:szCs w:val="24"/>
        </w:rPr>
        <w:t xml:space="preserve">Details of the Regulations are set out in the </w:t>
      </w:r>
      <w:r w:rsidRPr="009368F1">
        <w:rPr>
          <w:rFonts w:cs="Times New Roman"/>
          <w:szCs w:val="24"/>
          <w:u w:val="single"/>
        </w:rPr>
        <w:t>Attachment</w:t>
      </w:r>
      <w:r w:rsidRPr="009368F1">
        <w:rPr>
          <w:rFonts w:cs="Times New Roman"/>
          <w:szCs w:val="24"/>
        </w:rPr>
        <w:t>.</w:t>
      </w:r>
    </w:p>
    <w:p w14:paraId="3759EDF9" w14:textId="77777777" w:rsidR="00950996" w:rsidRDefault="00950996" w:rsidP="00950996">
      <w:pPr>
        <w:autoSpaceDE w:val="0"/>
        <w:autoSpaceDN w:val="0"/>
        <w:spacing w:after="0" w:line="240" w:lineRule="auto"/>
        <w:rPr>
          <w:rFonts w:cs="Times New Roman"/>
          <w:szCs w:val="24"/>
        </w:rPr>
      </w:pPr>
    </w:p>
    <w:p w14:paraId="5ED69579" w14:textId="094BADDF" w:rsidR="001A5CB3" w:rsidRPr="009368F1" w:rsidRDefault="001A5CB3" w:rsidP="00950996">
      <w:pPr>
        <w:autoSpaceDE w:val="0"/>
        <w:autoSpaceDN w:val="0"/>
        <w:spacing w:after="0" w:line="240" w:lineRule="auto"/>
        <w:rPr>
          <w:rFonts w:cs="Times New Roman"/>
          <w:szCs w:val="24"/>
        </w:rPr>
      </w:pPr>
      <w:r w:rsidRPr="009368F1">
        <w:rPr>
          <w:rFonts w:cs="Times New Roman"/>
          <w:szCs w:val="24"/>
        </w:rPr>
        <w:t>The Regulations are a legislative instrument for the purposes of the </w:t>
      </w:r>
      <w:r w:rsidRPr="009368F1">
        <w:rPr>
          <w:rFonts w:cs="Times New Roman"/>
          <w:i/>
          <w:iCs/>
          <w:szCs w:val="24"/>
        </w:rPr>
        <w:t>Legislation Act 2003</w:t>
      </w:r>
      <w:r w:rsidRPr="009368F1">
        <w:rPr>
          <w:rFonts w:cs="Times New Roman"/>
          <w:szCs w:val="24"/>
        </w:rPr>
        <w:t>.</w:t>
      </w:r>
    </w:p>
    <w:p w14:paraId="19839EE8" w14:textId="77777777" w:rsidR="00950996" w:rsidRDefault="00950996" w:rsidP="00950996">
      <w:pPr>
        <w:pStyle w:val="Heading2"/>
        <w:spacing w:before="0" w:line="240" w:lineRule="auto"/>
        <w:rPr>
          <w:rFonts w:cs="Times New Roman"/>
          <w:color w:val="auto"/>
          <w:szCs w:val="24"/>
        </w:rPr>
      </w:pPr>
    </w:p>
    <w:p w14:paraId="626F1531" w14:textId="100B3882" w:rsidR="00350779" w:rsidRPr="009368F1" w:rsidRDefault="00144950" w:rsidP="00950996">
      <w:pPr>
        <w:pStyle w:val="Heading2"/>
        <w:spacing w:before="0" w:line="240" w:lineRule="auto"/>
        <w:rPr>
          <w:rFonts w:cs="Times New Roman"/>
          <w:color w:val="auto"/>
          <w:szCs w:val="24"/>
        </w:rPr>
      </w:pPr>
      <w:r w:rsidRPr="009368F1">
        <w:rPr>
          <w:rFonts w:cs="Times New Roman"/>
          <w:color w:val="auto"/>
          <w:szCs w:val="24"/>
        </w:rPr>
        <w:t>REGULATORY IMPACT</w:t>
      </w:r>
    </w:p>
    <w:p w14:paraId="1FAFCEE3" w14:textId="77777777" w:rsidR="00950996" w:rsidRDefault="00950996" w:rsidP="00950996">
      <w:pPr>
        <w:autoSpaceDE w:val="0"/>
        <w:autoSpaceDN w:val="0"/>
        <w:spacing w:after="0" w:line="240" w:lineRule="auto"/>
        <w:rPr>
          <w:rFonts w:cs="Times New Roman"/>
          <w:szCs w:val="24"/>
        </w:rPr>
      </w:pPr>
    </w:p>
    <w:p w14:paraId="67F549B0" w14:textId="6973EF4A" w:rsidR="00350779" w:rsidRPr="009368F1" w:rsidRDefault="001A5CB3" w:rsidP="00950996">
      <w:pPr>
        <w:autoSpaceDE w:val="0"/>
        <w:autoSpaceDN w:val="0"/>
        <w:spacing w:after="0" w:line="240" w:lineRule="auto"/>
        <w:rPr>
          <w:rFonts w:cs="Times New Roman"/>
          <w:szCs w:val="24"/>
        </w:rPr>
      </w:pPr>
      <w:r w:rsidRPr="009368F1">
        <w:rPr>
          <w:rFonts w:cs="Times New Roman"/>
          <w:szCs w:val="24"/>
        </w:rPr>
        <w:t>The Office of Best Practice Regulation has advised that a Regulation Impact Statement is not required</w:t>
      </w:r>
      <w:r w:rsidR="00BF01E6" w:rsidRPr="009368F1">
        <w:rPr>
          <w:rFonts w:cs="Times New Roman"/>
          <w:szCs w:val="24"/>
        </w:rPr>
        <w:t xml:space="preserve"> (OBPR22-03281)</w:t>
      </w:r>
      <w:r w:rsidRPr="009368F1">
        <w:rPr>
          <w:rFonts w:cs="Times New Roman"/>
          <w:szCs w:val="24"/>
        </w:rPr>
        <w:t>.</w:t>
      </w:r>
    </w:p>
    <w:p w14:paraId="4D576FD6" w14:textId="77777777" w:rsidR="00950996" w:rsidRDefault="00950996" w:rsidP="00950996">
      <w:pPr>
        <w:pStyle w:val="Heading2"/>
        <w:spacing w:before="0" w:line="240" w:lineRule="auto"/>
        <w:rPr>
          <w:rFonts w:cs="Times New Roman"/>
          <w:color w:val="auto"/>
          <w:szCs w:val="24"/>
        </w:rPr>
      </w:pPr>
    </w:p>
    <w:p w14:paraId="4818CCF0" w14:textId="36A0AE9C" w:rsidR="00696CF0" w:rsidRPr="009368F1" w:rsidRDefault="00144950" w:rsidP="00950996">
      <w:pPr>
        <w:pStyle w:val="Heading2"/>
        <w:spacing w:before="0" w:line="240" w:lineRule="auto"/>
        <w:rPr>
          <w:rFonts w:cs="Times New Roman"/>
          <w:color w:val="auto"/>
          <w:szCs w:val="24"/>
        </w:rPr>
      </w:pPr>
      <w:r w:rsidRPr="009368F1">
        <w:rPr>
          <w:rFonts w:cs="Times New Roman"/>
          <w:color w:val="auto"/>
          <w:szCs w:val="24"/>
        </w:rPr>
        <w:t>COMMENCEMENT</w:t>
      </w:r>
    </w:p>
    <w:p w14:paraId="3DCFE1B7" w14:textId="77777777" w:rsidR="00950996" w:rsidRDefault="00950996" w:rsidP="00950996">
      <w:pPr>
        <w:autoSpaceDE w:val="0"/>
        <w:autoSpaceDN w:val="0"/>
        <w:spacing w:after="0" w:line="240" w:lineRule="auto"/>
        <w:rPr>
          <w:rFonts w:cs="Times New Roman"/>
          <w:szCs w:val="24"/>
        </w:rPr>
      </w:pPr>
      <w:bookmarkStart w:id="3" w:name="_Toc34293360"/>
    </w:p>
    <w:p w14:paraId="7D35E6C1" w14:textId="2E6A446D" w:rsidR="001A5CB3" w:rsidRPr="009368F1" w:rsidRDefault="001A5CB3" w:rsidP="00950996">
      <w:pPr>
        <w:autoSpaceDE w:val="0"/>
        <w:autoSpaceDN w:val="0"/>
        <w:spacing w:after="0" w:line="240" w:lineRule="auto"/>
        <w:rPr>
          <w:rFonts w:cs="Times New Roman"/>
          <w:szCs w:val="24"/>
        </w:rPr>
      </w:pPr>
      <w:r w:rsidRPr="009368F1">
        <w:rPr>
          <w:rFonts w:cs="Times New Roman"/>
          <w:szCs w:val="24"/>
        </w:rPr>
        <w:t>The Regulations commence on 1 January 2023.</w:t>
      </w:r>
    </w:p>
    <w:p w14:paraId="51344C53" w14:textId="77777777" w:rsidR="00950996" w:rsidRDefault="00950996" w:rsidP="00950996">
      <w:pPr>
        <w:pStyle w:val="Heading2"/>
        <w:spacing w:before="0" w:line="240" w:lineRule="auto"/>
        <w:rPr>
          <w:rFonts w:cs="Times New Roman"/>
          <w:color w:val="auto"/>
          <w:szCs w:val="24"/>
        </w:rPr>
      </w:pPr>
    </w:p>
    <w:p w14:paraId="59906F74" w14:textId="6B12F455" w:rsidR="00696CF0" w:rsidRPr="009368F1" w:rsidRDefault="00144950" w:rsidP="00950996">
      <w:pPr>
        <w:pStyle w:val="Heading2"/>
        <w:spacing w:before="0" w:line="240" w:lineRule="auto"/>
        <w:rPr>
          <w:rFonts w:cs="Times New Roman"/>
          <w:color w:val="auto"/>
          <w:szCs w:val="24"/>
        </w:rPr>
      </w:pPr>
      <w:r w:rsidRPr="009368F1">
        <w:rPr>
          <w:rFonts w:cs="Times New Roman"/>
          <w:color w:val="auto"/>
          <w:szCs w:val="24"/>
        </w:rPr>
        <w:t>CONSULTATION</w:t>
      </w:r>
      <w:bookmarkEnd w:id="3"/>
    </w:p>
    <w:p w14:paraId="49217364" w14:textId="77777777" w:rsidR="00950996" w:rsidRDefault="00950996" w:rsidP="00950996">
      <w:pPr>
        <w:spacing w:after="0" w:line="240" w:lineRule="auto"/>
        <w:rPr>
          <w:szCs w:val="24"/>
        </w:rPr>
      </w:pPr>
    </w:p>
    <w:p w14:paraId="3A6EE0A5" w14:textId="4B5023F0" w:rsidR="00DA552F" w:rsidRPr="00982922" w:rsidRDefault="003E6049" w:rsidP="00950996">
      <w:pPr>
        <w:spacing w:after="0" w:line="240" w:lineRule="auto"/>
        <w:rPr>
          <w:rFonts w:cs="Times New Roman"/>
          <w:szCs w:val="24"/>
        </w:rPr>
      </w:pPr>
      <w:r w:rsidRPr="009368F1">
        <w:rPr>
          <w:szCs w:val="24"/>
        </w:rPr>
        <w:t xml:space="preserve">The Regulations have been developed at the request of the Western Australian Government. The Government consulted with State and Territory government officials under the </w:t>
      </w:r>
      <w:r w:rsidRPr="009368F1">
        <w:rPr>
          <w:i/>
          <w:szCs w:val="24"/>
        </w:rPr>
        <w:t>Inter-governmental Agreement for a National Workplace Relations System for the Private Sector</w:t>
      </w:r>
      <w:r w:rsidRPr="009368F1">
        <w:rPr>
          <w:szCs w:val="24"/>
        </w:rPr>
        <w:t xml:space="preserve"> on an exposure draft of the Regulations. Targeted consultation was undertaken with key industry stakeholders, including the Western Australian Local Government Association (WALGA) and relevant Western Australian unions. Substantive feedback was received from three stakeholders: WALGA, the Australian Services Union and the Western Australian Government. The Regulations adequately address stakeholders’ comments from both consultation processes.</w:t>
      </w:r>
      <w:r>
        <w:t xml:space="preserve"> </w:t>
      </w:r>
      <w:r w:rsidR="00DA552F" w:rsidRPr="00982922">
        <w:rPr>
          <w:rFonts w:cs="Times New Roman"/>
          <w:szCs w:val="24"/>
        </w:rPr>
        <w:br w:type="page"/>
      </w:r>
    </w:p>
    <w:p w14:paraId="3213E49A" w14:textId="7BD2C738" w:rsidR="00A569C7" w:rsidRPr="00A569C7" w:rsidRDefault="00DA552F" w:rsidP="0066004A">
      <w:pPr>
        <w:pStyle w:val="Heading2"/>
        <w:jc w:val="center"/>
        <w:rPr>
          <w:rFonts w:cs="Times New Roman"/>
          <w:color w:val="auto"/>
          <w:szCs w:val="24"/>
        </w:rPr>
      </w:pPr>
      <w:bookmarkStart w:id="4" w:name="_Toc23942241"/>
      <w:bookmarkStart w:id="5" w:name="_Toc34293362"/>
      <w:r w:rsidRPr="0066004A">
        <w:rPr>
          <w:rFonts w:cs="Times New Roman"/>
          <w:color w:val="auto"/>
        </w:rPr>
        <w:lastRenderedPageBreak/>
        <w:t>STATEMENT</w:t>
      </w:r>
      <w:r w:rsidRPr="00982922">
        <w:rPr>
          <w:rFonts w:cs="Times New Roman"/>
          <w:color w:val="auto"/>
          <w:szCs w:val="24"/>
        </w:rPr>
        <w:t xml:space="preserve"> OF COMPATIBILITY WITH HUMAN RIGHTS</w:t>
      </w:r>
      <w:bookmarkEnd w:id="4"/>
      <w:bookmarkEnd w:id="5"/>
    </w:p>
    <w:p w14:paraId="19B61A02" w14:textId="0D2FA040" w:rsidR="00DA552F" w:rsidRPr="00982922" w:rsidRDefault="00DA552F" w:rsidP="00E32382">
      <w:pPr>
        <w:spacing w:before="120" w:after="120"/>
        <w:jc w:val="center"/>
        <w:rPr>
          <w:rFonts w:cs="Times New Roman"/>
          <w:szCs w:val="24"/>
        </w:rPr>
      </w:pPr>
      <w:r w:rsidRPr="00982922">
        <w:rPr>
          <w:rFonts w:cs="Times New Roman"/>
          <w:i/>
          <w:szCs w:val="24"/>
        </w:rPr>
        <w:t xml:space="preserve">Prepared in accordance with Part 3 of the Human Rights (Parliamentary </w:t>
      </w:r>
      <w:r w:rsidR="003440C7" w:rsidRPr="00982922">
        <w:rPr>
          <w:rFonts w:cs="Times New Roman"/>
          <w:i/>
          <w:szCs w:val="24"/>
        </w:rPr>
        <w:t>Scrutiny) Act 2011</w:t>
      </w:r>
    </w:p>
    <w:p w14:paraId="7A107F76" w14:textId="236F0281" w:rsidR="00DA552F" w:rsidRPr="00982922" w:rsidRDefault="00727373" w:rsidP="002673E1">
      <w:pPr>
        <w:spacing w:before="120" w:after="120"/>
        <w:jc w:val="center"/>
        <w:rPr>
          <w:rFonts w:cs="Times New Roman"/>
          <w:iCs/>
          <w:szCs w:val="24"/>
        </w:rPr>
      </w:pPr>
      <w:r w:rsidRPr="00982922">
        <w:rPr>
          <w:rFonts w:cs="Times New Roman"/>
          <w:iCs/>
          <w:szCs w:val="24"/>
          <w:u w:val="single"/>
        </w:rPr>
        <w:t>Fair Work Amendment (Transitional Arrangements – Western Australian Local Government Employers and Employees) Regulations 2022</w:t>
      </w:r>
    </w:p>
    <w:p w14:paraId="65F6CFAB" w14:textId="7F60A94E" w:rsidR="00DA552F" w:rsidRPr="00982922" w:rsidRDefault="00F9205E" w:rsidP="003F795A">
      <w:pPr>
        <w:spacing w:after="240" w:line="240" w:lineRule="auto"/>
        <w:rPr>
          <w:rFonts w:cs="Times New Roman"/>
          <w:szCs w:val="24"/>
        </w:rPr>
      </w:pPr>
      <w:r w:rsidRPr="00982922">
        <w:rPr>
          <w:rFonts w:cs="Times New Roman"/>
          <w:szCs w:val="24"/>
        </w:rPr>
        <w:t xml:space="preserve">The </w:t>
      </w:r>
      <w:r w:rsidR="00727373" w:rsidRPr="0057596D">
        <w:rPr>
          <w:rFonts w:cs="Times New Roman"/>
          <w:i/>
          <w:iCs/>
          <w:szCs w:val="24"/>
        </w:rPr>
        <w:t>Fair Work Amendment (Transitional Arrangements – Western Australian Local Government Employers and Employees) Regulations 202</w:t>
      </w:r>
      <w:r w:rsidR="00727373" w:rsidRPr="00982922">
        <w:rPr>
          <w:rFonts w:cs="Times New Roman"/>
          <w:szCs w:val="24"/>
        </w:rPr>
        <w:t>2</w:t>
      </w:r>
      <w:r w:rsidR="001E52EB" w:rsidRPr="00982922">
        <w:rPr>
          <w:rFonts w:cs="Times New Roman"/>
          <w:szCs w:val="24"/>
        </w:rPr>
        <w:t xml:space="preserve"> (the </w:t>
      </w:r>
      <w:r w:rsidR="00950996">
        <w:rPr>
          <w:rFonts w:cs="Times New Roman"/>
          <w:szCs w:val="24"/>
        </w:rPr>
        <w:t>Instrument</w:t>
      </w:r>
      <w:r w:rsidR="001E52EB" w:rsidRPr="00982922">
        <w:rPr>
          <w:rFonts w:cs="Times New Roman"/>
          <w:szCs w:val="24"/>
        </w:rPr>
        <w:t xml:space="preserve">) </w:t>
      </w:r>
      <w:r w:rsidR="002B5C28" w:rsidRPr="00982922">
        <w:rPr>
          <w:rFonts w:cs="Times New Roman"/>
          <w:szCs w:val="24"/>
        </w:rPr>
        <w:t xml:space="preserve">is </w:t>
      </w:r>
      <w:r w:rsidRPr="00982922">
        <w:rPr>
          <w:rFonts w:cs="Times New Roman"/>
          <w:szCs w:val="24"/>
        </w:rPr>
        <w:t xml:space="preserve">compatible with the human rights and freedoms recognised or declared in the international instruments listed in section 3 of the </w:t>
      </w:r>
      <w:r w:rsidRPr="00982922">
        <w:rPr>
          <w:rFonts w:cs="Times New Roman"/>
          <w:i/>
          <w:iCs/>
          <w:szCs w:val="24"/>
        </w:rPr>
        <w:t>Human Rights (Parliamentary Scrutiny) Act 2011</w:t>
      </w:r>
      <w:r w:rsidRPr="00982922">
        <w:rPr>
          <w:rFonts w:cs="Times New Roman"/>
          <w:szCs w:val="24"/>
        </w:rPr>
        <w:t>.</w:t>
      </w:r>
    </w:p>
    <w:p w14:paraId="4889D26D" w14:textId="36C5E1E4" w:rsidR="00F9205E" w:rsidRDefault="00F9205E" w:rsidP="003F795A">
      <w:pPr>
        <w:spacing w:after="240" w:line="240" w:lineRule="auto"/>
        <w:rPr>
          <w:rFonts w:cs="Times New Roman"/>
          <w:b/>
          <w:szCs w:val="24"/>
        </w:rPr>
      </w:pPr>
      <w:r w:rsidRPr="00982922">
        <w:rPr>
          <w:rFonts w:cs="Times New Roman"/>
          <w:b/>
          <w:szCs w:val="24"/>
        </w:rPr>
        <w:t xml:space="preserve">Overview of the </w:t>
      </w:r>
      <w:r w:rsidR="002C40FB" w:rsidRPr="00982922">
        <w:rPr>
          <w:rFonts w:cs="Times New Roman"/>
          <w:b/>
          <w:szCs w:val="24"/>
        </w:rPr>
        <w:t>Legislative Instrument</w:t>
      </w:r>
    </w:p>
    <w:p w14:paraId="0E2798BD" w14:textId="39BEF0A5" w:rsidR="00B6430E" w:rsidRDefault="00E060DA" w:rsidP="003F795A">
      <w:pPr>
        <w:spacing w:after="240" w:line="240" w:lineRule="auto"/>
        <w:rPr>
          <w:rFonts w:cs="Times New Roman"/>
          <w:color w:val="000000"/>
          <w:szCs w:val="24"/>
          <w:shd w:val="clear" w:color="auto" w:fill="FFFFFF"/>
        </w:rPr>
      </w:pPr>
      <w:r w:rsidRPr="00982922">
        <w:rPr>
          <w:rFonts w:cs="Times New Roman"/>
          <w:szCs w:val="24"/>
        </w:rPr>
        <w:t>The</w:t>
      </w:r>
      <w:r w:rsidR="00B6430E" w:rsidRPr="00B6430E">
        <w:rPr>
          <w:rFonts w:eastAsia="Times New Roman" w:cs="Times New Roman"/>
          <w:i/>
          <w:iCs/>
          <w:szCs w:val="24"/>
          <w:lang w:eastAsia="en-AU"/>
        </w:rPr>
        <w:t xml:space="preserve"> </w:t>
      </w:r>
      <w:r w:rsidR="00B6430E">
        <w:rPr>
          <w:rFonts w:eastAsia="Times New Roman" w:cs="Times New Roman"/>
          <w:szCs w:val="24"/>
          <w:lang w:eastAsia="en-AU"/>
        </w:rPr>
        <w:t xml:space="preserve">effect of the </w:t>
      </w:r>
      <w:r w:rsidR="00B6430E" w:rsidRPr="009368F1">
        <w:rPr>
          <w:rFonts w:eastAsia="Times New Roman" w:cs="Times New Roman"/>
          <w:i/>
          <w:iCs/>
          <w:szCs w:val="24"/>
          <w:lang w:eastAsia="en-AU"/>
        </w:rPr>
        <w:t>Fair Work (State Declarations — employer not to be national system employer) Endorsement 2022 (No. 1)</w:t>
      </w:r>
      <w:r w:rsidR="00B6430E" w:rsidRPr="009368F1">
        <w:rPr>
          <w:rFonts w:eastAsia="Times New Roman" w:cs="Times New Roman"/>
          <w:szCs w:val="24"/>
          <w:lang w:eastAsia="en-AU"/>
        </w:rPr>
        <w:t xml:space="preserve"> (Endorsement)</w:t>
      </w:r>
      <w:r w:rsidR="00B6430E">
        <w:rPr>
          <w:rFonts w:eastAsia="Times New Roman" w:cs="Times New Roman"/>
          <w:szCs w:val="24"/>
          <w:lang w:eastAsia="en-AU"/>
        </w:rPr>
        <w:t xml:space="preserve"> </w:t>
      </w:r>
      <w:r w:rsidR="00B6430E" w:rsidRPr="009368F1">
        <w:rPr>
          <w:rFonts w:cs="Times New Roman"/>
          <w:color w:val="000000"/>
          <w:szCs w:val="24"/>
          <w:shd w:val="clear" w:color="auto" w:fill="FFFFFF"/>
        </w:rPr>
        <w:t xml:space="preserve">is that </w:t>
      </w:r>
      <w:r w:rsidR="00B6430E">
        <w:rPr>
          <w:rFonts w:cs="Times New Roman"/>
          <w:color w:val="000000"/>
          <w:szCs w:val="24"/>
          <w:shd w:val="clear" w:color="auto" w:fill="FFFFFF"/>
        </w:rPr>
        <w:t>the</w:t>
      </w:r>
      <w:r w:rsidR="00B6430E" w:rsidRPr="009368F1">
        <w:rPr>
          <w:rFonts w:cs="Times New Roman"/>
          <w:color w:val="000000"/>
          <w:szCs w:val="24"/>
          <w:shd w:val="clear" w:color="auto" w:fill="FFFFFF"/>
        </w:rPr>
        <w:t xml:space="preserve"> employer</w:t>
      </w:r>
      <w:r w:rsidR="00B6430E">
        <w:rPr>
          <w:rFonts w:cs="Times New Roman"/>
          <w:color w:val="000000"/>
          <w:szCs w:val="24"/>
          <w:shd w:val="clear" w:color="auto" w:fill="FFFFFF"/>
        </w:rPr>
        <w:t>s</w:t>
      </w:r>
      <w:r w:rsidR="00B6430E" w:rsidRPr="009368F1">
        <w:rPr>
          <w:rFonts w:cs="Times New Roman"/>
          <w:color w:val="000000"/>
          <w:szCs w:val="24"/>
          <w:shd w:val="clear" w:color="auto" w:fill="FFFFFF"/>
        </w:rPr>
        <w:t xml:space="preserve"> specified in it (and </w:t>
      </w:r>
      <w:r w:rsidR="00B6430E">
        <w:rPr>
          <w:rFonts w:cs="Times New Roman"/>
          <w:color w:val="000000"/>
          <w:szCs w:val="24"/>
          <w:shd w:val="clear" w:color="auto" w:fill="FFFFFF"/>
        </w:rPr>
        <w:t>those employers’</w:t>
      </w:r>
      <w:r w:rsidR="00B6430E" w:rsidRPr="009368F1">
        <w:rPr>
          <w:rFonts w:cs="Times New Roman"/>
          <w:color w:val="000000"/>
          <w:szCs w:val="24"/>
          <w:shd w:val="clear" w:color="auto" w:fill="FFFFFF"/>
        </w:rPr>
        <w:t xml:space="preserve"> employees) will not generally be subject to the </w:t>
      </w:r>
      <w:r w:rsidR="0034239F">
        <w:rPr>
          <w:rFonts w:cs="Times New Roman"/>
          <w:i/>
          <w:iCs/>
          <w:color w:val="000000"/>
          <w:szCs w:val="24"/>
          <w:shd w:val="clear" w:color="auto" w:fill="FFFFFF"/>
        </w:rPr>
        <w:t xml:space="preserve">Fair Work Act 2009 </w:t>
      </w:r>
      <w:r w:rsidR="0034239F">
        <w:rPr>
          <w:rFonts w:cs="Times New Roman"/>
          <w:color w:val="000000"/>
          <w:szCs w:val="24"/>
          <w:shd w:val="clear" w:color="auto" w:fill="FFFFFF"/>
        </w:rPr>
        <w:t>(</w:t>
      </w:r>
      <w:r w:rsidR="00B6430E" w:rsidRPr="009368F1">
        <w:rPr>
          <w:rFonts w:cs="Times New Roman"/>
          <w:color w:val="000000"/>
          <w:szCs w:val="24"/>
          <w:shd w:val="clear" w:color="auto" w:fill="FFFFFF"/>
        </w:rPr>
        <w:t>Fair Work Act</w:t>
      </w:r>
      <w:r w:rsidR="0034239F">
        <w:rPr>
          <w:rFonts w:cs="Times New Roman"/>
          <w:color w:val="000000"/>
          <w:szCs w:val="24"/>
          <w:shd w:val="clear" w:color="auto" w:fill="FFFFFF"/>
        </w:rPr>
        <w:t>)</w:t>
      </w:r>
      <w:r w:rsidR="00B6430E" w:rsidRPr="009368F1">
        <w:rPr>
          <w:rFonts w:cs="Times New Roman"/>
          <w:color w:val="000000"/>
          <w:szCs w:val="24"/>
          <w:shd w:val="clear" w:color="auto" w:fill="FFFFFF"/>
        </w:rPr>
        <w:t xml:space="preserve"> and will instead be subject to the workplace relations arrangements prescribed by the </w:t>
      </w:r>
      <w:r w:rsidR="00B6430E">
        <w:rPr>
          <w:rFonts w:cs="Times New Roman"/>
          <w:color w:val="000000"/>
          <w:szCs w:val="24"/>
          <w:shd w:val="clear" w:color="auto" w:fill="FFFFFF"/>
        </w:rPr>
        <w:t>Western Australian industrial relations system</w:t>
      </w:r>
      <w:r w:rsidR="00B6430E" w:rsidRPr="009368F1">
        <w:rPr>
          <w:rFonts w:cs="Times New Roman"/>
          <w:color w:val="000000"/>
          <w:szCs w:val="24"/>
          <w:shd w:val="clear" w:color="auto" w:fill="FFFFFF"/>
        </w:rPr>
        <w:t xml:space="preserve">. </w:t>
      </w:r>
    </w:p>
    <w:p w14:paraId="29DF3633" w14:textId="32B5831F" w:rsidR="00B6430E" w:rsidRPr="00B6430E" w:rsidRDefault="00B6430E" w:rsidP="003F795A">
      <w:pPr>
        <w:spacing w:after="240" w:line="240" w:lineRule="auto"/>
        <w:rPr>
          <w:rFonts w:cs="Times New Roman"/>
          <w:szCs w:val="24"/>
        </w:rPr>
      </w:pPr>
      <w:r>
        <w:rPr>
          <w:rFonts w:cs="Times New Roman"/>
          <w:szCs w:val="24"/>
        </w:rPr>
        <w:t xml:space="preserve">The </w:t>
      </w:r>
      <w:r w:rsidR="00950996">
        <w:rPr>
          <w:rFonts w:cs="Times New Roman"/>
          <w:szCs w:val="24"/>
        </w:rPr>
        <w:t xml:space="preserve">Endorsement </w:t>
      </w:r>
      <w:r w:rsidR="00C202ED" w:rsidRPr="00982922">
        <w:rPr>
          <w:rFonts w:cs="Times New Roman"/>
          <w:szCs w:val="24"/>
        </w:rPr>
        <w:t>has</w:t>
      </w:r>
      <w:r w:rsidR="00E060DA" w:rsidRPr="00982922">
        <w:rPr>
          <w:rFonts w:cs="Times New Roman"/>
          <w:szCs w:val="24"/>
        </w:rPr>
        <w:t xml:space="preserve"> been designed to give industrial certainty to local government employers and employees in Western Australia about Fair Work Act coverage</w:t>
      </w:r>
      <w:r>
        <w:rPr>
          <w:rFonts w:cs="Times New Roman"/>
          <w:szCs w:val="24"/>
        </w:rPr>
        <w:t>.</w:t>
      </w:r>
      <w:r w:rsidR="00E060DA" w:rsidRPr="00982922">
        <w:rPr>
          <w:rFonts w:cs="Times New Roman"/>
          <w:szCs w:val="24"/>
        </w:rPr>
        <w:t xml:space="preserve"> </w:t>
      </w:r>
      <w:r>
        <w:rPr>
          <w:rFonts w:cs="Times New Roman"/>
          <w:szCs w:val="24"/>
        </w:rPr>
        <w:t xml:space="preserve">The Instrument provides for transitional arrangements to, </w:t>
      </w:r>
      <w:r w:rsidRPr="00982922">
        <w:rPr>
          <w:rFonts w:cs="Times New Roman"/>
          <w:szCs w:val="24"/>
        </w:rPr>
        <w:t>where possible</w:t>
      </w:r>
      <w:r>
        <w:rPr>
          <w:rFonts w:cs="Times New Roman"/>
          <w:szCs w:val="24"/>
        </w:rPr>
        <w:t>,</w:t>
      </w:r>
      <w:r w:rsidRPr="00982922">
        <w:rPr>
          <w:rFonts w:cs="Times New Roman"/>
          <w:szCs w:val="24"/>
        </w:rPr>
        <w:t xml:space="preserve"> limit disruptions</w:t>
      </w:r>
      <w:r>
        <w:rPr>
          <w:rFonts w:cs="Times New Roman"/>
          <w:szCs w:val="24"/>
        </w:rPr>
        <w:t xml:space="preserve"> for </w:t>
      </w:r>
      <w:r w:rsidR="00DD6561">
        <w:rPr>
          <w:rFonts w:cs="Times New Roman"/>
          <w:szCs w:val="24"/>
        </w:rPr>
        <w:t>the</w:t>
      </w:r>
      <w:r>
        <w:rPr>
          <w:rFonts w:cs="Times New Roman"/>
          <w:szCs w:val="24"/>
        </w:rPr>
        <w:t xml:space="preserve"> </w:t>
      </w:r>
      <w:r w:rsidR="00B952CE">
        <w:rPr>
          <w:rFonts w:cs="Times New Roman"/>
          <w:szCs w:val="24"/>
        </w:rPr>
        <w:t xml:space="preserve">employers </w:t>
      </w:r>
      <w:r>
        <w:rPr>
          <w:rFonts w:cs="Times New Roman"/>
          <w:szCs w:val="24"/>
        </w:rPr>
        <w:t>and their employees as they transition from the national workplace relations system to the state system.</w:t>
      </w:r>
    </w:p>
    <w:p w14:paraId="732F182B" w14:textId="497C0E43" w:rsidR="00B6430E" w:rsidRPr="00982922" w:rsidRDefault="00B6430E" w:rsidP="003F795A">
      <w:pPr>
        <w:spacing w:after="240" w:line="240" w:lineRule="auto"/>
        <w:rPr>
          <w:rFonts w:cs="Times New Roman"/>
          <w:szCs w:val="24"/>
        </w:rPr>
      </w:pPr>
      <w:r w:rsidRPr="00982922">
        <w:rPr>
          <w:rFonts w:cs="Times New Roman"/>
          <w:szCs w:val="24"/>
        </w:rPr>
        <w:t xml:space="preserve">The </w:t>
      </w:r>
      <w:r>
        <w:rPr>
          <w:rFonts w:cs="Times New Roman"/>
          <w:szCs w:val="24"/>
        </w:rPr>
        <w:t>Instrument</w:t>
      </w:r>
      <w:r w:rsidRPr="00982922">
        <w:rPr>
          <w:rFonts w:cs="Times New Roman"/>
          <w:szCs w:val="24"/>
        </w:rPr>
        <w:t xml:space="preserve"> makes transitional arrangements, as requested by the Western Australian Government, which will reduce the </w:t>
      </w:r>
      <w:r w:rsidRPr="00982922">
        <w:rPr>
          <w:rFonts w:eastAsia="Times New Roman" w:cs="Times New Roman"/>
          <w:color w:val="262626" w:themeColor="text1" w:themeTint="D9"/>
          <w:szCs w:val="24"/>
        </w:rPr>
        <w:t xml:space="preserve">inconvenience and cost for both parties that </w:t>
      </w:r>
      <w:r w:rsidR="00E942AE">
        <w:rPr>
          <w:rFonts w:eastAsia="Times New Roman" w:cs="Times New Roman"/>
          <w:color w:val="262626" w:themeColor="text1" w:themeTint="D9"/>
          <w:szCs w:val="24"/>
        </w:rPr>
        <w:t>will</w:t>
      </w:r>
      <w:r w:rsidRPr="00982922">
        <w:rPr>
          <w:rFonts w:eastAsia="Times New Roman" w:cs="Times New Roman"/>
          <w:color w:val="262626" w:themeColor="text1" w:themeTint="D9"/>
          <w:szCs w:val="24"/>
        </w:rPr>
        <w:t xml:space="preserve"> be incurred if </w:t>
      </w:r>
      <w:r w:rsidRPr="00D5677E">
        <w:rPr>
          <w:rFonts w:cs="Times New Roman"/>
          <w:szCs w:val="24"/>
        </w:rPr>
        <w:t>certain</w:t>
      </w:r>
      <w:r w:rsidRPr="00982922">
        <w:rPr>
          <w:rFonts w:eastAsia="Times New Roman" w:cs="Times New Roman"/>
          <w:color w:val="262626" w:themeColor="text1" w:themeTint="D9"/>
          <w:szCs w:val="24"/>
        </w:rPr>
        <w:t xml:space="preserve"> applications were to be re-litigated in the State industrial relations system</w:t>
      </w:r>
      <w:r w:rsidRPr="00982922">
        <w:rPr>
          <w:rFonts w:cs="Times New Roman"/>
          <w:szCs w:val="24"/>
        </w:rPr>
        <w:t>.</w:t>
      </w:r>
    </w:p>
    <w:p w14:paraId="57CC71C9" w14:textId="6C64B944" w:rsidR="00F9205E" w:rsidRDefault="00F9205E" w:rsidP="003F795A">
      <w:pPr>
        <w:spacing w:after="240" w:line="240" w:lineRule="auto"/>
        <w:rPr>
          <w:rFonts w:cs="Times New Roman"/>
          <w:b/>
          <w:szCs w:val="24"/>
        </w:rPr>
      </w:pPr>
      <w:r w:rsidRPr="00982922">
        <w:rPr>
          <w:rFonts w:cs="Times New Roman"/>
          <w:b/>
          <w:szCs w:val="24"/>
        </w:rPr>
        <w:t>Human rights implications</w:t>
      </w:r>
    </w:p>
    <w:p w14:paraId="3832C6F0" w14:textId="14347C46" w:rsidR="00F65C67" w:rsidRPr="00982922" w:rsidRDefault="00F9205E" w:rsidP="003F795A">
      <w:pPr>
        <w:spacing w:after="240" w:line="240" w:lineRule="auto"/>
        <w:rPr>
          <w:rFonts w:cs="Times New Roman"/>
          <w:iCs/>
          <w:szCs w:val="24"/>
        </w:rPr>
      </w:pPr>
      <w:r w:rsidRPr="00982922">
        <w:rPr>
          <w:rFonts w:cs="Times New Roman"/>
          <w:szCs w:val="24"/>
        </w:rPr>
        <w:t xml:space="preserve">The </w:t>
      </w:r>
      <w:r w:rsidR="00FF6E25" w:rsidRPr="00982922">
        <w:rPr>
          <w:rFonts w:cs="Times New Roman"/>
          <w:szCs w:val="24"/>
        </w:rPr>
        <w:t>Instrument</w:t>
      </w:r>
      <w:r w:rsidRPr="00982922">
        <w:rPr>
          <w:rFonts w:cs="Times New Roman"/>
          <w:szCs w:val="24"/>
        </w:rPr>
        <w:t xml:space="preserve"> engages the </w:t>
      </w:r>
      <w:r w:rsidR="00727373" w:rsidRPr="00982922">
        <w:rPr>
          <w:rFonts w:eastAsia="Times New Roman" w:cs="Times New Roman"/>
          <w:color w:val="000000" w:themeColor="text1"/>
          <w:szCs w:val="24"/>
          <w:lang w:eastAsia="en-AU"/>
        </w:rPr>
        <w:t>right to a fair and public hearing</w:t>
      </w:r>
      <w:r w:rsidR="00C43DA4" w:rsidRPr="00982922">
        <w:rPr>
          <w:rFonts w:eastAsia="Times New Roman" w:cs="Times New Roman"/>
          <w:color w:val="000000" w:themeColor="text1"/>
          <w:szCs w:val="24"/>
          <w:lang w:eastAsia="en-AU"/>
        </w:rPr>
        <w:t xml:space="preserve"> and right to an effective remedy</w:t>
      </w:r>
      <w:r w:rsidR="00425811" w:rsidRPr="00982922">
        <w:rPr>
          <w:rFonts w:eastAsia="Times New Roman" w:cs="Times New Roman"/>
          <w:color w:val="000000" w:themeColor="text1"/>
          <w:szCs w:val="24"/>
          <w:lang w:eastAsia="en-AU"/>
        </w:rPr>
        <w:t xml:space="preserve"> contained in</w:t>
      </w:r>
      <w:r w:rsidR="00727373" w:rsidRPr="00982922">
        <w:rPr>
          <w:rFonts w:eastAsia="Times New Roman" w:cs="Times New Roman"/>
          <w:color w:val="000000" w:themeColor="text1"/>
          <w:szCs w:val="24"/>
          <w:lang w:eastAsia="en-AU"/>
        </w:rPr>
        <w:t xml:space="preserve"> Article</w:t>
      </w:r>
      <w:r w:rsidR="00425811" w:rsidRPr="00982922">
        <w:rPr>
          <w:rFonts w:eastAsia="Times New Roman" w:cs="Times New Roman"/>
          <w:color w:val="000000" w:themeColor="text1"/>
          <w:szCs w:val="24"/>
          <w:lang w:eastAsia="en-AU"/>
        </w:rPr>
        <w:t>s</w:t>
      </w:r>
      <w:r w:rsidR="00727373" w:rsidRPr="00982922">
        <w:rPr>
          <w:rFonts w:eastAsia="Times New Roman" w:cs="Times New Roman"/>
          <w:color w:val="000000" w:themeColor="text1"/>
          <w:szCs w:val="24"/>
          <w:lang w:eastAsia="en-AU"/>
        </w:rPr>
        <w:t xml:space="preserve"> 14(1)</w:t>
      </w:r>
      <w:r w:rsidR="00310D40" w:rsidRPr="00982922">
        <w:rPr>
          <w:rFonts w:eastAsia="Times New Roman" w:cs="Times New Roman"/>
          <w:color w:val="000000" w:themeColor="text1"/>
          <w:szCs w:val="24"/>
          <w:lang w:eastAsia="en-AU"/>
        </w:rPr>
        <w:t xml:space="preserve"> </w:t>
      </w:r>
      <w:r w:rsidR="00B6430E">
        <w:rPr>
          <w:rFonts w:eastAsia="Times New Roman" w:cs="Times New Roman"/>
          <w:color w:val="000000" w:themeColor="text1"/>
          <w:szCs w:val="24"/>
          <w:lang w:eastAsia="en-AU"/>
        </w:rPr>
        <w:t xml:space="preserve">and </w:t>
      </w:r>
      <w:r w:rsidR="0055779A" w:rsidRPr="00982922">
        <w:rPr>
          <w:rFonts w:eastAsia="Times New Roman" w:cs="Times New Roman"/>
          <w:color w:val="000000" w:themeColor="text1"/>
          <w:szCs w:val="24"/>
          <w:lang w:eastAsia="en-AU"/>
        </w:rPr>
        <w:t xml:space="preserve">2(3) of the </w:t>
      </w:r>
      <w:r w:rsidR="00425811" w:rsidRPr="00982922">
        <w:rPr>
          <w:rFonts w:eastAsia="Times New Roman" w:cs="Times New Roman"/>
          <w:i/>
          <w:iCs/>
          <w:color w:val="000000" w:themeColor="text1"/>
          <w:szCs w:val="24"/>
          <w:lang w:eastAsia="en-AU"/>
        </w:rPr>
        <w:t xml:space="preserve">International Covenant on Civil and Political Rights </w:t>
      </w:r>
      <w:r w:rsidR="00425811" w:rsidRPr="00982922">
        <w:rPr>
          <w:rFonts w:eastAsia="Times New Roman" w:cs="Times New Roman"/>
          <w:color w:val="000000" w:themeColor="text1"/>
          <w:szCs w:val="24"/>
          <w:lang w:eastAsia="en-AU"/>
        </w:rPr>
        <w:t>(</w:t>
      </w:r>
      <w:r w:rsidR="0055779A" w:rsidRPr="00982922">
        <w:rPr>
          <w:rFonts w:eastAsia="Times New Roman" w:cs="Times New Roman"/>
          <w:color w:val="000000" w:themeColor="text1"/>
          <w:szCs w:val="24"/>
          <w:lang w:eastAsia="en-AU"/>
        </w:rPr>
        <w:t>ICCPR</w:t>
      </w:r>
      <w:r w:rsidR="00425811" w:rsidRPr="00982922">
        <w:rPr>
          <w:rFonts w:eastAsia="Times New Roman" w:cs="Times New Roman"/>
          <w:color w:val="000000" w:themeColor="text1"/>
          <w:szCs w:val="24"/>
          <w:lang w:eastAsia="en-AU"/>
        </w:rPr>
        <w:t>).</w:t>
      </w:r>
    </w:p>
    <w:p w14:paraId="412DB9A3" w14:textId="31C7FAD6" w:rsidR="00727373" w:rsidRPr="00FA0717" w:rsidRDefault="00727373" w:rsidP="003F795A">
      <w:pPr>
        <w:spacing w:after="240" w:line="240" w:lineRule="auto"/>
        <w:rPr>
          <w:rFonts w:cs="Times New Roman"/>
          <w:iCs/>
          <w:szCs w:val="24"/>
          <w:u w:val="single"/>
        </w:rPr>
      </w:pPr>
      <w:r w:rsidRPr="00FA0717">
        <w:rPr>
          <w:rFonts w:cs="Times New Roman"/>
          <w:iCs/>
          <w:szCs w:val="24"/>
          <w:u w:val="single"/>
        </w:rPr>
        <w:t>Right to a fair and public hearing</w:t>
      </w:r>
      <w:r w:rsidR="00490B58" w:rsidRPr="00FA0717">
        <w:rPr>
          <w:rFonts w:cs="Times New Roman"/>
          <w:iCs/>
          <w:szCs w:val="24"/>
          <w:u w:val="single"/>
        </w:rPr>
        <w:t xml:space="preserve"> before competent administrative and judicial authorities</w:t>
      </w:r>
      <w:r w:rsidRPr="00FA0717">
        <w:rPr>
          <w:rFonts w:cs="Times New Roman"/>
          <w:iCs/>
          <w:szCs w:val="24"/>
          <w:u w:val="single"/>
        </w:rPr>
        <w:t xml:space="preserve">, and to an </w:t>
      </w:r>
      <w:r w:rsidRPr="00FA0717">
        <w:rPr>
          <w:rFonts w:eastAsia="Times New Roman" w:cs="Times New Roman"/>
          <w:color w:val="000000" w:themeColor="text1"/>
          <w:szCs w:val="24"/>
          <w:u w:val="single"/>
          <w:lang w:eastAsia="en-AU"/>
        </w:rPr>
        <w:t>effective</w:t>
      </w:r>
      <w:r w:rsidRPr="00FA0717">
        <w:rPr>
          <w:rFonts w:cs="Times New Roman"/>
          <w:iCs/>
          <w:szCs w:val="24"/>
          <w:u w:val="single"/>
        </w:rPr>
        <w:t xml:space="preserve"> remedy</w:t>
      </w:r>
      <w:r w:rsidR="00813E62" w:rsidRPr="00FA0717">
        <w:rPr>
          <w:rFonts w:cs="Times New Roman"/>
          <w:iCs/>
          <w:szCs w:val="24"/>
          <w:u w:val="single"/>
        </w:rPr>
        <w:t xml:space="preserve"> </w:t>
      </w:r>
      <w:r w:rsidRPr="00FA0717">
        <w:rPr>
          <w:rFonts w:cs="Times New Roman"/>
          <w:iCs/>
          <w:szCs w:val="24"/>
          <w:u w:val="single"/>
        </w:rPr>
        <w:t>– Article</w:t>
      </w:r>
      <w:r w:rsidR="00F5419A" w:rsidRPr="00FA0717">
        <w:rPr>
          <w:rFonts w:cs="Times New Roman"/>
          <w:iCs/>
          <w:szCs w:val="24"/>
          <w:u w:val="single"/>
        </w:rPr>
        <w:t>s</w:t>
      </w:r>
      <w:r w:rsidRPr="00FA0717">
        <w:rPr>
          <w:rFonts w:cs="Times New Roman"/>
          <w:iCs/>
          <w:szCs w:val="24"/>
          <w:u w:val="single"/>
        </w:rPr>
        <w:t xml:space="preserve"> 14(1) and 2(3) of the ICCPR</w:t>
      </w:r>
    </w:p>
    <w:p w14:paraId="2816D3BD" w14:textId="75B1ECF1" w:rsidR="006B7A51" w:rsidRPr="00BE18D4" w:rsidRDefault="00727373" w:rsidP="003F795A">
      <w:pPr>
        <w:spacing w:after="240" w:line="240" w:lineRule="auto"/>
        <w:rPr>
          <w:rFonts w:cs="Times New Roman"/>
          <w:i/>
          <w:szCs w:val="24"/>
        </w:rPr>
      </w:pPr>
      <w:r w:rsidRPr="00982922">
        <w:rPr>
          <w:rFonts w:cs="Times New Roman"/>
          <w:iCs/>
          <w:szCs w:val="24"/>
        </w:rPr>
        <w:t xml:space="preserve">Article 14(1) of the ICCPR enshrines the right of a person to have a fair and public hearing by a competent, </w:t>
      </w:r>
      <w:proofErr w:type="gramStart"/>
      <w:r w:rsidRPr="00982922">
        <w:rPr>
          <w:rFonts w:cs="Times New Roman"/>
          <w:iCs/>
          <w:szCs w:val="24"/>
        </w:rPr>
        <w:t>independent</w:t>
      </w:r>
      <w:proofErr w:type="gramEnd"/>
      <w:r w:rsidRPr="00982922">
        <w:rPr>
          <w:rFonts w:cs="Times New Roman"/>
          <w:iCs/>
          <w:szCs w:val="24"/>
        </w:rPr>
        <w:t xml:space="preserve"> and impartial</w:t>
      </w:r>
      <w:r w:rsidR="006A1821">
        <w:rPr>
          <w:rFonts w:cs="Times New Roman"/>
          <w:iCs/>
          <w:szCs w:val="24"/>
        </w:rPr>
        <w:t xml:space="preserve"> court or</w:t>
      </w:r>
      <w:r w:rsidRPr="00982922">
        <w:rPr>
          <w:rFonts w:cs="Times New Roman"/>
          <w:iCs/>
          <w:szCs w:val="24"/>
        </w:rPr>
        <w:t xml:space="preserve"> tribunal established by law. Article 2(3) requires States to ensure that any person whose rights and freedoms as stipulated in the ICCPR are violated, shall have an effective remedy, which is to be determined by a competent judicial authority. </w:t>
      </w:r>
    </w:p>
    <w:p w14:paraId="2E869DFE" w14:textId="5A960692" w:rsidR="00A569C7" w:rsidRDefault="006B7A51" w:rsidP="003F795A">
      <w:pPr>
        <w:spacing w:after="240" w:line="240" w:lineRule="auto"/>
        <w:rPr>
          <w:rFonts w:cs="Times New Roman"/>
          <w:iCs/>
          <w:szCs w:val="24"/>
        </w:rPr>
      </w:pPr>
      <w:r w:rsidRPr="00982922">
        <w:rPr>
          <w:rFonts w:cs="Times New Roman"/>
          <w:iCs/>
          <w:szCs w:val="24"/>
        </w:rPr>
        <w:t xml:space="preserve">The transitional provisions in </w:t>
      </w:r>
      <w:r>
        <w:rPr>
          <w:rFonts w:cs="Times New Roman"/>
          <w:iCs/>
          <w:szCs w:val="24"/>
        </w:rPr>
        <w:t xml:space="preserve">Schedule 1 of </w:t>
      </w:r>
      <w:r w:rsidRPr="00982922">
        <w:rPr>
          <w:rFonts w:cs="Times New Roman"/>
          <w:iCs/>
          <w:szCs w:val="24"/>
        </w:rPr>
        <w:t xml:space="preserve">the Instrument </w:t>
      </w:r>
      <w:r>
        <w:rPr>
          <w:rFonts w:cs="Times New Roman"/>
          <w:iCs/>
          <w:szCs w:val="24"/>
        </w:rPr>
        <w:t>promote</w:t>
      </w:r>
      <w:r w:rsidRPr="00982922">
        <w:rPr>
          <w:rFonts w:cs="Times New Roman"/>
          <w:iCs/>
          <w:szCs w:val="24"/>
        </w:rPr>
        <w:t xml:space="preserve"> these rights by providing for the continuity </w:t>
      </w:r>
      <w:r w:rsidRPr="00C32892">
        <w:rPr>
          <w:rFonts w:eastAsia="Times New Roman" w:cs="Times New Roman"/>
          <w:szCs w:val="24"/>
          <w:lang w:eastAsia="en-AU"/>
        </w:rPr>
        <w:t>of</w:t>
      </w:r>
      <w:r w:rsidRPr="00982922">
        <w:rPr>
          <w:rFonts w:cs="Times New Roman"/>
          <w:iCs/>
          <w:szCs w:val="24"/>
        </w:rPr>
        <w:t xml:space="preserve"> certain matters that are on foot before the</w:t>
      </w:r>
      <w:r>
        <w:rPr>
          <w:rFonts w:cs="Times New Roman"/>
          <w:iCs/>
          <w:szCs w:val="24"/>
        </w:rPr>
        <w:t xml:space="preserve"> Fair Work Commission (FWC)</w:t>
      </w:r>
      <w:r w:rsidRPr="00982922">
        <w:rPr>
          <w:rFonts w:cs="Times New Roman"/>
          <w:iCs/>
          <w:szCs w:val="24"/>
        </w:rPr>
        <w:t xml:space="preserve"> or an eligible court as at the </w:t>
      </w:r>
      <w:r w:rsidR="00A32A64">
        <w:rPr>
          <w:rFonts w:cs="Times New Roman"/>
          <w:iCs/>
          <w:szCs w:val="24"/>
        </w:rPr>
        <w:t>transition</w:t>
      </w:r>
      <w:r w:rsidRPr="00982922">
        <w:rPr>
          <w:rFonts w:cs="Times New Roman"/>
          <w:iCs/>
          <w:szCs w:val="24"/>
        </w:rPr>
        <w:t xml:space="preserve"> day.</w:t>
      </w:r>
    </w:p>
    <w:p w14:paraId="6CF949D1" w14:textId="2EFBD9E6" w:rsidR="00C32892" w:rsidRPr="00C32892" w:rsidRDefault="00C65DC8" w:rsidP="003F795A">
      <w:pPr>
        <w:spacing w:after="240" w:line="240" w:lineRule="auto"/>
        <w:rPr>
          <w:rFonts w:eastAsia="Times New Roman" w:cs="Times New Roman"/>
          <w:color w:val="000000"/>
          <w:szCs w:val="24"/>
          <w:lang w:eastAsia="en-AU"/>
        </w:rPr>
      </w:pPr>
      <w:r w:rsidRPr="006B7A51">
        <w:rPr>
          <w:rFonts w:cs="Times New Roman"/>
          <w:iCs/>
          <w:szCs w:val="24"/>
        </w:rPr>
        <w:t>As</w:t>
      </w:r>
      <w:r>
        <w:rPr>
          <w:rFonts w:cs="Times New Roman"/>
          <w:iCs/>
          <w:szCs w:val="24"/>
        </w:rPr>
        <w:t xml:space="preserve"> a result of the Endorsement, Western Australian local government employers and their employees will not generally </w:t>
      </w:r>
      <w:r>
        <w:rPr>
          <w:rFonts w:eastAsia="Times New Roman" w:cs="Times New Roman"/>
          <w:color w:val="000000"/>
          <w:szCs w:val="24"/>
          <w:lang w:eastAsia="en-AU"/>
        </w:rPr>
        <w:t xml:space="preserve">be subject to the jurisdiction of the FWC and the Federal Court, Federal </w:t>
      </w:r>
      <w:r w:rsidRPr="00C32892">
        <w:rPr>
          <w:rFonts w:eastAsia="Times New Roman" w:cs="Times New Roman"/>
          <w:szCs w:val="24"/>
          <w:lang w:eastAsia="en-AU"/>
        </w:rPr>
        <w:t>Circuit</w:t>
      </w:r>
      <w:r>
        <w:rPr>
          <w:rFonts w:eastAsia="Times New Roman" w:cs="Times New Roman"/>
          <w:color w:val="000000"/>
          <w:szCs w:val="24"/>
          <w:lang w:eastAsia="en-AU"/>
        </w:rPr>
        <w:t xml:space="preserve"> and Family Court or an eligible State or Territory Court in relation to </w:t>
      </w:r>
      <w:r w:rsidR="006B7A51">
        <w:rPr>
          <w:rFonts w:eastAsia="Times New Roman" w:cs="Times New Roman"/>
          <w:color w:val="000000"/>
          <w:szCs w:val="24"/>
          <w:lang w:eastAsia="en-AU"/>
        </w:rPr>
        <w:t xml:space="preserve">federal </w:t>
      </w:r>
      <w:r w:rsidR="006B7A51">
        <w:rPr>
          <w:rFonts w:eastAsia="Times New Roman" w:cs="Times New Roman"/>
          <w:color w:val="000000"/>
          <w:szCs w:val="24"/>
          <w:lang w:eastAsia="en-AU"/>
        </w:rPr>
        <w:lastRenderedPageBreak/>
        <w:t xml:space="preserve">workplace </w:t>
      </w:r>
      <w:r>
        <w:rPr>
          <w:rFonts w:eastAsia="Times New Roman" w:cs="Times New Roman"/>
          <w:color w:val="000000"/>
          <w:szCs w:val="24"/>
          <w:lang w:eastAsia="en-AU"/>
        </w:rPr>
        <w:t>relations matters, as they will no longer be covered by the Parts of the Fair Work Act that apply to national system employees.</w:t>
      </w:r>
    </w:p>
    <w:p w14:paraId="020D77A0" w14:textId="0EE30E1F" w:rsidR="00E04229" w:rsidRPr="00982922" w:rsidRDefault="00727373" w:rsidP="003F795A">
      <w:pPr>
        <w:spacing w:after="240" w:line="240" w:lineRule="auto"/>
        <w:rPr>
          <w:rFonts w:cs="Times New Roman"/>
          <w:iCs/>
          <w:szCs w:val="24"/>
        </w:rPr>
      </w:pPr>
      <w:r w:rsidRPr="00C32892">
        <w:rPr>
          <w:rFonts w:eastAsia="Times New Roman" w:cs="Times New Roman"/>
          <w:szCs w:val="24"/>
          <w:lang w:eastAsia="en-AU"/>
        </w:rPr>
        <w:t>Schedule</w:t>
      </w:r>
      <w:r w:rsidRPr="00982922">
        <w:rPr>
          <w:rFonts w:cs="Times New Roman"/>
          <w:iCs/>
          <w:szCs w:val="24"/>
        </w:rPr>
        <w:t xml:space="preserve"> 1 ensures that litigants who have filed an application in respect of certain matters under the Fair Work Act are not disadvantaged </w:t>
      </w:r>
      <w:proofErr w:type="gramStart"/>
      <w:r w:rsidRPr="00982922">
        <w:rPr>
          <w:rFonts w:cs="Times New Roman"/>
          <w:iCs/>
          <w:szCs w:val="24"/>
        </w:rPr>
        <w:t>as a result of</w:t>
      </w:r>
      <w:proofErr w:type="gramEnd"/>
      <w:r w:rsidRPr="00982922">
        <w:rPr>
          <w:rFonts w:cs="Times New Roman"/>
          <w:iCs/>
          <w:szCs w:val="24"/>
        </w:rPr>
        <w:t xml:space="preserve"> the commencement of the </w:t>
      </w:r>
      <w:r w:rsidR="00C65DC8">
        <w:rPr>
          <w:rFonts w:cs="Times New Roman"/>
          <w:iCs/>
          <w:szCs w:val="24"/>
        </w:rPr>
        <w:t>Endorsement</w:t>
      </w:r>
      <w:r w:rsidR="00811A92" w:rsidRPr="00982922">
        <w:rPr>
          <w:rFonts w:cs="Times New Roman"/>
          <w:iCs/>
          <w:szCs w:val="24"/>
        </w:rPr>
        <w:t xml:space="preserve"> </w:t>
      </w:r>
      <w:r w:rsidRPr="00982922">
        <w:rPr>
          <w:rFonts w:cs="Times New Roman"/>
          <w:iCs/>
          <w:szCs w:val="24"/>
        </w:rPr>
        <w:t xml:space="preserve">on the </w:t>
      </w:r>
      <w:r w:rsidR="00C65DC8">
        <w:rPr>
          <w:rFonts w:cs="Times New Roman"/>
          <w:iCs/>
          <w:szCs w:val="24"/>
        </w:rPr>
        <w:t>transition</w:t>
      </w:r>
      <w:r w:rsidRPr="00982922">
        <w:rPr>
          <w:rFonts w:cs="Times New Roman"/>
          <w:iCs/>
          <w:szCs w:val="24"/>
        </w:rPr>
        <w:t xml:space="preserve"> da</w:t>
      </w:r>
      <w:r w:rsidR="00C65DC8">
        <w:rPr>
          <w:rFonts w:cs="Times New Roman"/>
          <w:iCs/>
          <w:szCs w:val="24"/>
        </w:rPr>
        <w:t>te</w:t>
      </w:r>
      <w:r w:rsidRPr="00982922">
        <w:rPr>
          <w:rFonts w:cs="Times New Roman"/>
          <w:iCs/>
          <w:szCs w:val="24"/>
        </w:rPr>
        <w:t xml:space="preserve">. </w:t>
      </w:r>
    </w:p>
    <w:p w14:paraId="4767CC1B" w14:textId="70B5BD97" w:rsidR="006B7A51" w:rsidRDefault="006B7A51" w:rsidP="003F795A">
      <w:pPr>
        <w:spacing w:after="240" w:line="240" w:lineRule="auto"/>
        <w:rPr>
          <w:rFonts w:cs="Times New Roman"/>
          <w:iCs/>
          <w:szCs w:val="24"/>
        </w:rPr>
      </w:pPr>
      <w:r w:rsidRPr="002379F3">
        <w:rPr>
          <w:rFonts w:cs="Times New Roman"/>
          <w:i/>
          <w:szCs w:val="24"/>
        </w:rPr>
        <w:t>Preservation</w:t>
      </w:r>
      <w:r>
        <w:rPr>
          <w:rFonts w:cs="Times New Roman"/>
          <w:i/>
          <w:szCs w:val="24"/>
        </w:rPr>
        <w:t xml:space="preserve"> of certain FWC proceedings </w:t>
      </w:r>
    </w:p>
    <w:p w14:paraId="1D91EB72" w14:textId="27007FC2" w:rsidR="006B7A51" w:rsidRDefault="002700E4" w:rsidP="003F795A">
      <w:pPr>
        <w:spacing w:after="240" w:line="240" w:lineRule="auto"/>
        <w:rPr>
          <w:rFonts w:cs="Times New Roman"/>
          <w:iCs/>
          <w:szCs w:val="24"/>
        </w:rPr>
      </w:pPr>
      <w:r>
        <w:rPr>
          <w:rFonts w:cs="Times New Roman"/>
          <w:iCs/>
          <w:szCs w:val="24"/>
        </w:rPr>
        <w:t>Regulation 6.07F</w:t>
      </w:r>
      <w:r w:rsidR="00BD6A18">
        <w:rPr>
          <w:rFonts w:cs="Times New Roman"/>
          <w:iCs/>
          <w:szCs w:val="24"/>
        </w:rPr>
        <w:t xml:space="preserve"> promotes the rights to a fair hearing and an effective remedy by</w:t>
      </w:r>
      <w:r>
        <w:rPr>
          <w:rFonts w:cs="Times New Roman"/>
          <w:iCs/>
          <w:szCs w:val="24"/>
        </w:rPr>
        <w:t xml:space="preserve"> ensur</w:t>
      </w:r>
      <w:r w:rsidR="00BD6A18">
        <w:rPr>
          <w:rFonts w:cs="Times New Roman"/>
          <w:iCs/>
          <w:szCs w:val="24"/>
        </w:rPr>
        <w:t>ing</w:t>
      </w:r>
      <w:r w:rsidR="009A53BA" w:rsidRPr="00982922">
        <w:rPr>
          <w:rFonts w:cs="Times New Roman"/>
          <w:iCs/>
          <w:szCs w:val="24"/>
        </w:rPr>
        <w:t xml:space="preserve"> continuity in FWC proceedings that relate to individual employment rights and processes – </w:t>
      </w:r>
      <w:r w:rsidRPr="00982922">
        <w:rPr>
          <w:rFonts w:eastAsia="Times New Roman" w:cs="Times New Roman"/>
          <w:szCs w:val="24"/>
          <w:lang w:eastAsia="en-AU"/>
        </w:rPr>
        <w:t>in Part 2-2 (the National Employment Standards), 3-2 (Unfair dismissal), 3-5 (Stand down), or 6-2 (Dealing with disputes) of the Fair Work Act</w:t>
      </w:r>
      <w:r>
        <w:rPr>
          <w:rFonts w:cs="Times New Roman"/>
          <w:iCs/>
          <w:szCs w:val="24"/>
        </w:rPr>
        <w:t xml:space="preserve">. </w:t>
      </w:r>
    </w:p>
    <w:p w14:paraId="1E18ED79" w14:textId="214D447C" w:rsidR="006B7A51" w:rsidRDefault="006B7A51" w:rsidP="003F795A">
      <w:pPr>
        <w:spacing w:after="240" w:line="240" w:lineRule="auto"/>
        <w:rPr>
          <w:rFonts w:eastAsia="Times New Roman" w:cs="Times New Roman"/>
          <w:szCs w:val="24"/>
          <w:lang w:eastAsia="en-AU"/>
        </w:rPr>
      </w:pPr>
      <w:r>
        <w:rPr>
          <w:rFonts w:eastAsia="Times New Roman" w:cs="Times New Roman"/>
          <w:szCs w:val="24"/>
          <w:lang w:eastAsia="en-AU"/>
        </w:rPr>
        <w:t xml:space="preserve">It sets out </w:t>
      </w:r>
      <w:r w:rsidRPr="00BE18D4">
        <w:rPr>
          <w:rFonts w:eastAsia="Times New Roman" w:cs="Times New Roman"/>
          <w:szCs w:val="24"/>
          <w:lang w:eastAsia="en-AU"/>
        </w:rPr>
        <w:t>the transitional arrangements for matters that are on foot before the FWC at the transition time</w:t>
      </w:r>
      <w:r w:rsidR="003A5C1B">
        <w:rPr>
          <w:rFonts w:eastAsia="Times New Roman" w:cs="Times New Roman"/>
          <w:szCs w:val="24"/>
          <w:lang w:eastAsia="en-AU"/>
        </w:rPr>
        <w:t xml:space="preserve"> and</w:t>
      </w:r>
      <w:r w:rsidRPr="00BE18D4">
        <w:rPr>
          <w:rFonts w:eastAsia="Times New Roman" w:cs="Times New Roman"/>
          <w:szCs w:val="24"/>
          <w:lang w:eastAsia="en-AU"/>
        </w:rPr>
        <w:t xml:space="preserve"> the matters that may be determined in the national system after the transition date</w:t>
      </w:r>
      <w:r w:rsidR="003A5C1B">
        <w:rPr>
          <w:rFonts w:eastAsia="Times New Roman" w:cs="Times New Roman"/>
          <w:szCs w:val="24"/>
          <w:lang w:eastAsia="en-AU"/>
        </w:rPr>
        <w:t xml:space="preserve">. </w:t>
      </w:r>
      <w:r w:rsidR="00C74B7F">
        <w:rPr>
          <w:rFonts w:eastAsia="Times New Roman" w:cs="Times New Roman"/>
          <w:szCs w:val="24"/>
          <w:lang w:eastAsia="en-AU"/>
        </w:rPr>
        <w:t xml:space="preserve">Regulation 6.07F </w:t>
      </w:r>
      <w:r w:rsidR="003A5C1B">
        <w:rPr>
          <w:rFonts w:eastAsia="Times New Roman" w:cs="Times New Roman"/>
          <w:szCs w:val="24"/>
          <w:lang w:eastAsia="en-AU"/>
        </w:rPr>
        <w:t xml:space="preserve">also contains </w:t>
      </w:r>
      <w:r>
        <w:rPr>
          <w:rFonts w:eastAsia="Times New Roman" w:cs="Times New Roman"/>
          <w:szCs w:val="24"/>
          <w:lang w:eastAsia="en-AU"/>
        </w:rPr>
        <w:t>an anti-double dipping measure, to allow for the FWC</w:t>
      </w:r>
      <w:r w:rsidR="0034239F">
        <w:rPr>
          <w:rFonts w:eastAsia="Times New Roman" w:cs="Times New Roman"/>
          <w:szCs w:val="24"/>
          <w:lang w:eastAsia="en-AU"/>
        </w:rPr>
        <w:t>,</w:t>
      </w:r>
      <w:r>
        <w:rPr>
          <w:rFonts w:eastAsia="Times New Roman" w:cs="Times New Roman"/>
          <w:szCs w:val="24"/>
          <w:lang w:eastAsia="en-AU"/>
        </w:rPr>
        <w:t xml:space="preserve"> with appropriate discretion</w:t>
      </w:r>
      <w:r w:rsidR="0034239F">
        <w:rPr>
          <w:rFonts w:eastAsia="Times New Roman" w:cs="Times New Roman"/>
          <w:szCs w:val="24"/>
          <w:lang w:eastAsia="en-AU"/>
        </w:rPr>
        <w:t>,</w:t>
      </w:r>
      <w:r>
        <w:rPr>
          <w:rFonts w:eastAsia="Times New Roman" w:cs="Times New Roman"/>
          <w:szCs w:val="24"/>
          <w:lang w:eastAsia="en-AU"/>
        </w:rPr>
        <w:t xml:space="preserve"> to determine </w:t>
      </w:r>
      <w:r w:rsidRPr="00BE18D4">
        <w:rPr>
          <w:rFonts w:eastAsia="Times New Roman" w:cs="Times New Roman"/>
          <w:szCs w:val="24"/>
          <w:lang w:eastAsia="en-AU"/>
        </w:rPr>
        <w:t xml:space="preserve">if a second application by a person amounts to double-dipping or is a genuine, new application. </w:t>
      </w:r>
    </w:p>
    <w:p w14:paraId="1EAA0246" w14:textId="798B6806" w:rsidR="002700E4" w:rsidRPr="00745EC7" w:rsidRDefault="006B7A51" w:rsidP="003F795A">
      <w:pPr>
        <w:spacing w:after="240" w:line="240" w:lineRule="auto"/>
        <w:rPr>
          <w:rFonts w:cs="Times New Roman"/>
          <w:iCs/>
          <w:szCs w:val="24"/>
        </w:rPr>
      </w:pPr>
      <w:r w:rsidRPr="00982922">
        <w:rPr>
          <w:rFonts w:eastAsia="Times New Roman" w:cs="Times New Roman"/>
          <w:szCs w:val="24"/>
          <w:lang w:eastAsia="en-AU"/>
        </w:rPr>
        <w:t xml:space="preserve">This </w:t>
      </w:r>
      <w:r>
        <w:rPr>
          <w:rFonts w:eastAsia="Times New Roman" w:cs="Times New Roman"/>
          <w:szCs w:val="24"/>
          <w:lang w:eastAsia="en-AU"/>
        </w:rPr>
        <w:t>regulation</w:t>
      </w:r>
      <w:r w:rsidRPr="00982922">
        <w:rPr>
          <w:rFonts w:eastAsia="Times New Roman" w:cs="Times New Roman"/>
          <w:szCs w:val="24"/>
          <w:lang w:eastAsia="en-AU"/>
        </w:rPr>
        <w:t xml:space="preserve"> operates to ensure that all matters relating to a preserved FWC application can be conclusively determined in the national system. </w:t>
      </w:r>
      <w:r w:rsidR="002700E4" w:rsidRPr="00982922">
        <w:rPr>
          <w:rFonts w:eastAsia="Times New Roman" w:cs="Times New Roman"/>
          <w:szCs w:val="24"/>
          <w:lang w:eastAsia="en-AU"/>
        </w:rPr>
        <w:t xml:space="preserve">This includes matters that have been returned to the FWC following judicial review. </w:t>
      </w:r>
      <w:r w:rsidR="002700E4" w:rsidRPr="00745EC7">
        <w:rPr>
          <w:rFonts w:eastAsia="Times New Roman" w:cs="Times New Roman"/>
          <w:szCs w:val="24"/>
          <w:lang w:eastAsia="en-AU"/>
        </w:rPr>
        <w:t>Complexities and delays may arise should the processes relating to unfair dismissal, stand down, and disputes relating to individual employment rights processes not be preserved.</w:t>
      </w:r>
    </w:p>
    <w:p w14:paraId="26F62CD9" w14:textId="1BA5B023" w:rsidR="002700E4" w:rsidRPr="00FF61DE" w:rsidRDefault="006B7A51" w:rsidP="003F795A">
      <w:pPr>
        <w:spacing w:after="240" w:line="240" w:lineRule="auto"/>
        <w:rPr>
          <w:rFonts w:cs="Times New Roman"/>
          <w:i/>
          <w:iCs/>
          <w:szCs w:val="24"/>
        </w:rPr>
      </w:pPr>
      <w:r w:rsidRPr="00FF61DE">
        <w:rPr>
          <w:rFonts w:eastAsia="Times New Roman" w:cs="Times New Roman"/>
          <w:i/>
          <w:iCs/>
          <w:szCs w:val="24"/>
          <w:lang w:eastAsia="en-AU"/>
        </w:rPr>
        <w:t>Preservation</w:t>
      </w:r>
      <w:r w:rsidRPr="00FF61DE">
        <w:rPr>
          <w:rFonts w:cs="Times New Roman"/>
          <w:i/>
          <w:iCs/>
          <w:szCs w:val="24"/>
        </w:rPr>
        <w:t xml:space="preserve"> of court proceedings </w:t>
      </w:r>
    </w:p>
    <w:p w14:paraId="2E6FFEC6" w14:textId="35A0DD6B" w:rsidR="006B7A51" w:rsidRDefault="006B7A51" w:rsidP="003F795A">
      <w:pPr>
        <w:spacing w:after="240" w:line="240" w:lineRule="auto"/>
        <w:rPr>
          <w:rFonts w:cs="Times New Roman"/>
          <w:iCs/>
          <w:szCs w:val="24"/>
        </w:rPr>
      </w:pPr>
      <w:r>
        <w:rPr>
          <w:rFonts w:cs="Times New Roman"/>
          <w:iCs/>
          <w:szCs w:val="24"/>
        </w:rPr>
        <w:t xml:space="preserve">Regulation 6.07G </w:t>
      </w:r>
      <w:r w:rsidR="00BD6A18">
        <w:rPr>
          <w:rFonts w:cs="Times New Roman"/>
          <w:iCs/>
          <w:szCs w:val="24"/>
        </w:rPr>
        <w:t>promotes the rights to a fair hearing and an effective remedy by ensuring</w:t>
      </w:r>
      <w:r w:rsidR="00BD6A18" w:rsidRPr="00982922">
        <w:rPr>
          <w:rFonts w:cs="Times New Roman"/>
          <w:iCs/>
          <w:szCs w:val="24"/>
        </w:rPr>
        <w:t xml:space="preserve"> </w:t>
      </w:r>
      <w:r w:rsidRPr="00982922">
        <w:rPr>
          <w:rFonts w:cs="Times New Roman"/>
          <w:iCs/>
          <w:szCs w:val="24"/>
        </w:rPr>
        <w:t xml:space="preserve">continuity in court proceedings that relate to conduct that occurred prior to the transfer of Western Australian local </w:t>
      </w:r>
      <w:r w:rsidRPr="007A1979">
        <w:rPr>
          <w:rFonts w:eastAsia="Times New Roman" w:cs="Times New Roman"/>
          <w:szCs w:val="24"/>
          <w:lang w:eastAsia="en-AU"/>
        </w:rPr>
        <w:t>government</w:t>
      </w:r>
      <w:r w:rsidRPr="00982922">
        <w:rPr>
          <w:rFonts w:cs="Times New Roman"/>
          <w:iCs/>
          <w:szCs w:val="24"/>
        </w:rPr>
        <w:t xml:space="preserve"> employers and </w:t>
      </w:r>
      <w:r>
        <w:rPr>
          <w:rFonts w:cs="Times New Roman"/>
          <w:iCs/>
          <w:szCs w:val="24"/>
        </w:rPr>
        <w:t xml:space="preserve">their </w:t>
      </w:r>
      <w:r w:rsidRPr="00982922">
        <w:rPr>
          <w:rFonts w:cs="Times New Roman"/>
          <w:iCs/>
          <w:szCs w:val="24"/>
        </w:rPr>
        <w:t xml:space="preserve">employees to the </w:t>
      </w:r>
      <w:r w:rsidR="0034239F">
        <w:rPr>
          <w:rFonts w:cs="Times New Roman"/>
          <w:iCs/>
          <w:szCs w:val="24"/>
        </w:rPr>
        <w:t>S</w:t>
      </w:r>
      <w:r w:rsidRPr="00982922">
        <w:rPr>
          <w:rFonts w:cs="Times New Roman"/>
          <w:iCs/>
          <w:szCs w:val="24"/>
        </w:rPr>
        <w:t xml:space="preserve">tate workplace relations system taking effect. </w:t>
      </w:r>
    </w:p>
    <w:p w14:paraId="55A5A470" w14:textId="13479FAA" w:rsidR="00BD6A18" w:rsidRPr="00745EC7" w:rsidRDefault="00BD6A18" w:rsidP="003F795A">
      <w:pPr>
        <w:spacing w:after="240" w:line="240" w:lineRule="auto"/>
        <w:rPr>
          <w:rFonts w:cs="Times New Roman"/>
          <w:iCs/>
          <w:szCs w:val="24"/>
        </w:rPr>
      </w:pPr>
      <w:r>
        <w:rPr>
          <w:rFonts w:cs="Times New Roman"/>
          <w:iCs/>
          <w:szCs w:val="24"/>
        </w:rPr>
        <w:t xml:space="preserve">An eligible court may </w:t>
      </w:r>
      <w:r w:rsidR="00E94951">
        <w:rPr>
          <w:rFonts w:cs="Times New Roman"/>
          <w:iCs/>
          <w:szCs w:val="24"/>
        </w:rPr>
        <w:t xml:space="preserve">deal </w:t>
      </w:r>
      <w:r w:rsidRPr="00BE18D4">
        <w:rPr>
          <w:rFonts w:eastAsia="Times New Roman" w:cs="Times New Roman"/>
          <w:szCs w:val="24"/>
          <w:lang w:eastAsia="en-AU"/>
        </w:rPr>
        <w:t xml:space="preserve">with or continue to deal with a matter (whether the matter was </w:t>
      </w:r>
      <w:r>
        <w:rPr>
          <w:rFonts w:eastAsia="Times New Roman" w:cs="Times New Roman"/>
          <w:szCs w:val="24"/>
          <w:lang w:eastAsia="en-AU"/>
        </w:rPr>
        <w:t>commenced</w:t>
      </w:r>
      <w:r w:rsidRPr="00BE18D4">
        <w:rPr>
          <w:rFonts w:eastAsia="Times New Roman" w:cs="Times New Roman"/>
          <w:szCs w:val="24"/>
          <w:lang w:eastAsia="en-AU"/>
        </w:rPr>
        <w:t xml:space="preserve"> before or after the transition time) if the matter is relevant to a preserved affected person in</w:t>
      </w:r>
      <w:r>
        <w:rPr>
          <w:rFonts w:eastAsia="Times New Roman" w:cs="Times New Roman"/>
          <w:szCs w:val="24"/>
          <w:lang w:eastAsia="en-AU"/>
        </w:rPr>
        <w:t xml:space="preserve"> </w:t>
      </w:r>
      <w:r w:rsidRPr="00BE18D4">
        <w:rPr>
          <w:rFonts w:eastAsia="Times New Roman" w:cs="Times New Roman"/>
          <w:szCs w:val="24"/>
          <w:lang w:eastAsia="en-AU"/>
        </w:rPr>
        <w:t xml:space="preserve">the person’s capacity, or in </w:t>
      </w:r>
      <w:r w:rsidRPr="00480BF8">
        <w:rPr>
          <w:rFonts w:cs="Times New Roman"/>
          <w:iCs/>
          <w:szCs w:val="24"/>
        </w:rPr>
        <w:t>respect</w:t>
      </w:r>
      <w:r w:rsidRPr="00BE18D4">
        <w:rPr>
          <w:rFonts w:eastAsia="Times New Roman" w:cs="Times New Roman"/>
          <w:szCs w:val="24"/>
          <w:lang w:eastAsia="en-AU"/>
        </w:rPr>
        <w:t xml:space="preserve"> of another person’s capacity</w:t>
      </w:r>
      <w:r w:rsidR="007325D5">
        <w:rPr>
          <w:rFonts w:eastAsia="Times New Roman" w:cs="Times New Roman"/>
          <w:szCs w:val="24"/>
          <w:lang w:eastAsia="en-AU"/>
        </w:rPr>
        <w:t>,</w:t>
      </w:r>
      <w:r w:rsidRPr="00BE18D4">
        <w:rPr>
          <w:rFonts w:eastAsia="Times New Roman" w:cs="Times New Roman"/>
          <w:szCs w:val="24"/>
          <w:lang w:eastAsia="en-AU"/>
        </w:rPr>
        <w:t xml:space="preserve"> </w:t>
      </w:r>
      <w:r w:rsidRPr="00982922">
        <w:rPr>
          <w:rFonts w:eastAsia="Times New Roman" w:cs="Times New Roman"/>
          <w:szCs w:val="24"/>
          <w:lang w:eastAsia="en-AU"/>
        </w:rPr>
        <w:t>as a national system employer or national system employee</w:t>
      </w:r>
      <w:r w:rsidRPr="00BE18D4">
        <w:rPr>
          <w:rFonts w:eastAsia="Times New Roman" w:cs="Times New Roman"/>
          <w:szCs w:val="24"/>
          <w:lang w:eastAsia="en-AU"/>
        </w:rPr>
        <w:t xml:space="preserve">. This is intended to </w:t>
      </w:r>
      <w:r w:rsidR="00E94951">
        <w:rPr>
          <w:rFonts w:eastAsia="Times New Roman" w:cs="Times New Roman"/>
          <w:szCs w:val="24"/>
          <w:lang w:eastAsia="en-AU"/>
        </w:rPr>
        <w:t xml:space="preserve">minimise confusion and delay, and </w:t>
      </w:r>
      <w:r w:rsidRPr="00BE18D4">
        <w:rPr>
          <w:rFonts w:eastAsia="Times New Roman" w:cs="Times New Roman"/>
          <w:szCs w:val="24"/>
          <w:lang w:eastAsia="en-AU"/>
        </w:rPr>
        <w:t>ensure that all proceedings before the courts at the transition time can be finally determined in the national</w:t>
      </w:r>
      <w:r w:rsidR="00E94951">
        <w:rPr>
          <w:rFonts w:eastAsia="Times New Roman" w:cs="Times New Roman"/>
          <w:szCs w:val="24"/>
          <w:lang w:eastAsia="en-AU"/>
        </w:rPr>
        <w:t xml:space="preserve"> workplace relations</w:t>
      </w:r>
      <w:r w:rsidRPr="00745EC7">
        <w:rPr>
          <w:rFonts w:eastAsia="Times New Roman" w:cs="Times New Roman"/>
          <w:szCs w:val="24"/>
          <w:lang w:eastAsia="en-AU"/>
        </w:rPr>
        <w:t xml:space="preserve"> system. </w:t>
      </w:r>
    </w:p>
    <w:p w14:paraId="2918B5BB" w14:textId="6E74777E" w:rsidR="008005D8" w:rsidRPr="00982922" w:rsidRDefault="0034709B" w:rsidP="003F795A">
      <w:pPr>
        <w:spacing w:after="240" w:line="240" w:lineRule="auto"/>
        <w:rPr>
          <w:rFonts w:cs="Times New Roman"/>
          <w:i/>
          <w:szCs w:val="24"/>
        </w:rPr>
      </w:pPr>
      <w:r w:rsidRPr="00982922">
        <w:rPr>
          <w:rFonts w:cs="Times New Roman"/>
          <w:i/>
          <w:szCs w:val="24"/>
        </w:rPr>
        <w:t xml:space="preserve">Western </w:t>
      </w:r>
      <w:r w:rsidR="00352294" w:rsidRPr="00982922">
        <w:rPr>
          <w:rFonts w:cs="Times New Roman"/>
          <w:i/>
          <w:szCs w:val="24"/>
        </w:rPr>
        <w:t xml:space="preserve">Australian </w:t>
      </w:r>
      <w:r w:rsidR="00F04FB9" w:rsidRPr="0082369E">
        <w:rPr>
          <w:rFonts w:eastAsia="Times New Roman" w:cs="Times New Roman"/>
          <w:i/>
          <w:iCs/>
          <w:szCs w:val="24"/>
          <w:lang w:eastAsia="en-AU"/>
        </w:rPr>
        <w:t>industrial</w:t>
      </w:r>
      <w:r w:rsidR="00F04FB9" w:rsidRPr="00982922">
        <w:rPr>
          <w:rFonts w:cs="Times New Roman"/>
          <w:i/>
          <w:szCs w:val="24"/>
        </w:rPr>
        <w:t xml:space="preserve"> authorities</w:t>
      </w:r>
    </w:p>
    <w:p w14:paraId="18ACD941" w14:textId="119A839A" w:rsidR="00A569C7" w:rsidRPr="00982922" w:rsidRDefault="008005D8" w:rsidP="003F795A">
      <w:pPr>
        <w:spacing w:after="240" w:line="240" w:lineRule="auto"/>
        <w:rPr>
          <w:rFonts w:cs="Times New Roman"/>
          <w:iCs/>
          <w:szCs w:val="24"/>
        </w:rPr>
      </w:pPr>
      <w:r w:rsidRPr="00982922">
        <w:rPr>
          <w:rFonts w:cs="Times New Roman"/>
          <w:iCs/>
          <w:szCs w:val="24"/>
        </w:rPr>
        <w:t>The </w:t>
      </w:r>
      <w:r w:rsidR="006B7A51">
        <w:rPr>
          <w:rFonts w:cs="Times New Roman"/>
          <w:iCs/>
          <w:szCs w:val="24"/>
        </w:rPr>
        <w:t>W</w:t>
      </w:r>
      <w:r w:rsidR="006B7A51">
        <w:rPr>
          <w:rFonts w:eastAsia="Times New Roman" w:cs="Times New Roman"/>
          <w:szCs w:val="24"/>
          <w:lang w:eastAsia="en-AU"/>
        </w:rPr>
        <w:t>estern Australian Industrial Relations Commission (WAIRC)</w:t>
      </w:r>
      <w:r w:rsidR="00A569C7">
        <w:rPr>
          <w:rFonts w:eastAsia="Times New Roman" w:cs="Times New Roman"/>
          <w:szCs w:val="24"/>
          <w:lang w:eastAsia="en-AU"/>
        </w:rPr>
        <w:t xml:space="preserve"> </w:t>
      </w:r>
      <w:r w:rsidR="00515352" w:rsidRPr="00982922">
        <w:rPr>
          <w:rFonts w:cs="Times New Roman"/>
          <w:iCs/>
          <w:szCs w:val="24"/>
        </w:rPr>
        <w:t xml:space="preserve">and </w:t>
      </w:r>
      <w:r w:rsidRPr="00982922">
        <w:rPr>
          <w:rFonts w:cs="Times New Roman"/>
          <w:iCs/>
          <w:szCs w:val="24"/>
        </w:rPr>
        <w:t xml:space="preserve">Industrial Magistrates Court (IMC) and are </w:t>
      </w:r>
      <w:r w:rsidRPr="006F1B0D">
        <w:rPr>
          <w:rFonts w:eastAsia="Times New Roman" w:cs="Times New Roman"/>
          <w:szCs w:val="24"/>
          <w:lang w:eastAsia="en-AU"/>
        </w:rPr>
        <w:t>vested</w:t>
      </w:r>
      <w:r w:rsidRPr="00982922">
        <w:rPr>
          <w:rFonts w:cs="Times New Roman"/>
          <w:iCs/>
          <w:szCs w:val="24"/>
        </w:rPr>
        <w:t xml:space="preserve"> with jurisdiction to hear and determine matters under the </w:t>
      </w:r>
      <w:r w:rsidR="00281644" w:rsidRPr="00745EC7">
        <w:rPr>
          <w:rFonts w:cs="Times New Roman"/>
          <w:i/>
          <w:szCs w:val="24"/>
        </w:rPr>
        <w:t>Industrial Relations Act 1979</w:t>
      </w:r>
      <w:r w:rsidR="00281644" w:rsidRPr="00281644">
        <w:rPr>
          <w:rFonts w:cs="Times New Roman"/>
          <w:iCs/>
          <w:szCs w:val="24"/>
        </w:rPr>
        <w:t xml:space="preserve"> (WA) (WA IR Act)</w:t>
      </w:r>
      <w:r w:rsidRPr="00982922">
        <w:rPr>
          <w:rFonts w:cs="Times New Roman"/>
          <w:iCs/>
          <w:szCs w:val="24"/>
        </w:rPr>
        <w:t>.</w:t>
      </w:r>
      <w:r w:rsidR="00D765A3" w:rsidRPr="00982922">
        <w:rPr>
          <w:rFonts w:cs="Times New Roman"/>
          <w:iCs/>
          <w:szCs w:val="24"/>
        </w:rPr>
        <w:t xml:space="preserve"> </w:t>
      </w:r>
    </w:p>
    <w:p w14:paraId="5DC3A416" w14:textId="6F36E9C3" w:rsidR="0010532C" w:rsidRPr="00982922" w:rsidRDefault="005741B1" w:rsidP="003F795A">
      <w:pPr>
        <w:spacing w:after="240" w:line="240" w:lineRule="auto"/>
        <w:rPr>
          <w:rFonts w:cs="Times New Roman"/>
          <w:iCs/>
          <w:szCs w:val="24"/>
        </w:rPr>
      </w:pPr>
      <w:r w:rsidRPr="00982922">
        <w:rPr>
          <w:rFonts w:cs="Times New Roman"/>
          <w:iCs/>
          <w:szCs w:val="24"/>
        </w:rPr>
        <w:t xml:space="preserve">The </w:t>
      </w:r>
      <w:r w:rsidR="00DA74F3" w:rsidRPr="00982922">
        <w:rPr>
          <w:rFonts w:cs="Times New Roman"/>
          <w:iCs/>
          <w:szCs w:val="24"/>
        </w:rPr>
        <w:t>WA</w:t>
      </w:r>
      <w:r w:rsidRPr="00982922">
        <w:rPr>
          <w:rFonts w:cs="Times New Roman"/>
          <w:iCs/>
          <w:szCs w:val="24"/>
        </w:rPr>
        <w:t>IRC</w:t>
      </w:r>
      <w:r w:rsidR="00DA74F3" w:rsidRPr="00982922">
        <w:rPr>
          <w:rFonts w:cs="Times New Roman"/>
          <w:iCs/>
          <w:szCs w:val="24"/>
        </w:rPr>
        <w:t xml:space="preserve"> and</w:t>
      </w:r>
      <w:r w:rsidRPr="00982922">
        <w:rPr>
          <w:rFonts w:cs="Times New Roman"/>
          <w:iCs/>
          <w:szCs w:val="24"/>
        </w:rPr>
        <w:t xml:space="preserve"> IMC provide for similar dispute resolution processes and remedies as provided for under the Fair Work Act. The </w:t>
      </w:r>
      <w:r w:rsidR="00DA74F3" w:rsidRPr="00982922">
        <w:rPr>
          <w:rFonts w:cs="Times New Roman"/>
          <w:iCs/>
          <w:szCs w:val="24"/>
        </w:rPr>
        <w:t>WA</w:t>
      </w:r>
      <w:r w:rsidRPr="00982922">
        <w:rPr>
          <w:rFonts w:cs="Times New Roman"/>
          <w:iCs/>
          <w:szCs w:val="24"/>
        </w:rPr>
        <w:t xml:space="preserve">IRC is an independent tribunal that has powers and functions under </w:t>
      </w:r>
      <w:r w:rsidRPr="00480BF8">
        <w:rPr>
          <w:rFonts w:eastAsia="Times New Roman" w:cs="Times New Roman"/>
          <w:szCs w:val="24"/>
          <w:lang w:eastAsia="en-AU"/>
        </w:rPr>
        <w:t>various</w:t>
      </w:r>
      <w:r w:rsidRPr="00982922">
        <w:rPr>
          <w:rFonts w:cs="Times New Roman"/>
          <w:iCs/>
          <w:szCs w:val="24"/>
        </w:rPr>
        <w:t xml:space="preserve"> enactments, including in relation to the resolution of industrial disputes. </w:t>
      </w:r>
      <w:r w:rsidR="00C94C42" w:rsidRPr="00982922">
        <w:rPr>
          <w:rFonts w:cs="Times New Roman"/>
          <w:iCs/>
          <w:szCs w:val="24"/>
        </w:rPr>
        <w:t xml:space="preserve">The IMC </w:t>
      </w:r>
      <w:r w:rsidR="00812B00" w:rsidRPr="00982922">
        <w:rPr>
          <w:rFonts w:cs="Times New Roman"/>
          <w:iCs/>
          <w:szCs w:val="24"/>
        </w:rPr>
        <w:t>is a Court of law that exercises bot</w:t>
      </w:r>
      <w:r w:rsidR="00704A18" w:rsidRPr="00982922">
        <w:rPr>
          <w:rFonts w:cs="Times New Roman"/>
          <w:iCs/>
          <w:szCs w:val="24"/>
        </w:rPr>
        <w:t>h</w:t>
      </w:r>
      <w:r w:rsidR="00812B00" w:rsidRPr="00982922">
        <w:rPr>
          <w:rFonts w:cs="Times New Roman"/>
          <w:iCs/>
          <w:szCs w:val="24"/>
        </w:rPr>
        <w:t xml:space="preserve"> ‘general’ and ‘prosecution’ jurisdiction</w:t>
      </w:r>
      <w:r w:rsidR="00675358" w:rsidRPr="00982922">
        <w:rPr>
          <w:rFonts w:cs="Times New Roman"/>
          <w:iCs/>
          <w:szCs w:val="24"/>
        </w:rPr>
        <w:t xml:space="preserve">. </w:t>
      </w:r>
      <w:r w:rsidR="00B23A4E" w:rsidRPr="00982922">
        <w:rPr>
          <w:rFonts w:cs="Times New Roman"/>
          <w:iCs/>
          <w:szCs w:val="24"/>
        </w:rPr>
        <w:t>Both t</w:t>
      </w:r>
      <w:r w:rsidRPr="00982922">
        <w:rPr>
          <w:rFonts w:cs="Times New Roman"/>
          <w:iCs/>
          <w:szCs w:val="24"/>
        </w:rPr>
        <w:t xml:space="preserve">he </w:t>
      </w:r>
      <w:r w:rsidR="00DA74F3" w:rsidRPr="00982922">
        <w:rPr>
          <w:rFonts w:cs="Times New Roman"/>
          <w:iCs/>
          <w:szCs w:val="24"/>
        </w:rPr>
        <w:t>WA</w:t>
      </w:r>
      <w:r w:rsidRPr="00982922">
        <w:rPr>
          <w:rFonts w:cs="Times New Roman"/>
          <w:iCs/>
          <w:szCs w:val="24"/>
        </w:rPr>
        <w:t xml:space="preserve">IRC </w:t>
      </w:r>
      <w:r w:rsidR="00833A0B" w:rsidRPr="00982922">
        <w:rPr>
          <w:rFonts w:cs="Times New Roman"/>
          <w:iCs/>
          <w:szCs w:val="24"/>
        </w:rPr>
        <w:t xml:space="preserve">and IMC </w:t>
      </w:r>
      <w:r w:rsidRPr="00982922">
        <w:rPr>
          <w:rFonts w:cs="Times New Roman"/>
          <w:iCs/>
          <w:szCs w:val="24"/>
        </w:rPr>
        <w:t>may resolve industrial disputes via conciliation or arbitration, make any order it considers appropriate, and ha</w:t>
      </w:r>
      <w:r w:rsidR="00936725" w:rsidRPr="00982922">
        <w:rPr>
          <w:rFonts w:cs="Times New Roman"/>
          <w:iCs/>
          <w:szCs w:val="24"/>
        </w:rPr>
        <w:t>ve</w:t>
      </w:r>
      <w:r w:rsidRPr="00982922">
        <w:rPr>
          <w:rFonts w:cs="Times New Roman"/>
          <w:iCs/>
          <w:szCs w:val="24"/>
        </w:rPr>
        <w:t xml:space="preserve"> appellate jurisdiction.</w:t>
      </w:r>
    </w:p>
    <w:p w14:paraId="0D664062" w14:textId="3A1759DF" w:rsidR="00DA552F" w:rsidRPr="003A3DF1" w:rsidRDefault="00F9205E" w:rsidP="003F795A">
      <w:pPr>
        <w:spacing w:after="240" w:line="240" w:lineRule="auto"/>
        <w:rPr>
          <w:rFonts w:cs="Times New Roman"/>
          <w:b/>
          <w:bCs/>
          <w:szCs w:val="24"/>
        </w:rPr>
      </w:pPr>
      <w:r w:rsidRPr="003A3DF1">
        <w:rPr>
          <w:rFonts w:cs="Times New Roman"/>
          <w:b/>
          <w:bCs/>
          <w:iCs/>
          <w:szCs w:val="24"/>
        </w:rPr>
        <w:lastRenderedPageBreak/>
        <w:t>Conclusion</w:t>
      </w:r>
    </w:p>
    <w:p w14:paraId="26C0AF71" w14:textId="179FC312" w:rsidR="00F9205E" w:rsidRPr="00982922" w:rsidRDefault="00F9205E" w:rsidP="003F795A">
      <w:pPr>
        <w:spacing w:after="240" w:line="240" w:lineRule="auto"/>
        <w:rPr>
          <w:rFonts w:cs="Times New Roman"/>
          <w:szCs w:val="24"/>
        </w:rPr>
      </w:pPr>
      <w:r w:rsidRPr="00982922">
        <w:rPr>
          <w:rFonts w:cs="Times New Roman"/>
          <w:szCs w:val="24"/>
        </w:rPr>
        <w:t xml:space="preserve">The </w:t>
      </w:r>
      <w:r w:rsidR="00DD7496" w:rsidRPr="003A3DF1">
        <w:rPr>
          <w:rFonts w:cs="Times New Roman"/>
          <w:iCs/>
          <w:szCs w:val="24"/>
        </w:rPr>
        <w:t>Instrument</w:t>
      </w:r>
      <w:r w:rsidR="00DD7496" w:rsidRPr="00982922">
        <w:rPr>
          <w:rFonts w:cs="Times New Roman"/>
          <w:szCs w:val="24"/>
        </w:rPr>
        <w:t xml:space="preserve"> </w:t>
      </w:r>
      <w:r w:rsidRPr="00982922">
        <w:rPr>
          <w:rFonts w:cs="Times New Roman"/>
          <w:szCs w:val="24"/>
        </w:rPr>
        <w:t>is compatible with human rights because</w:t>
      </w:r>
      <w:r w:rsidR="00727373" w:rsidRPr="00982922">
        <w:rPr>
          <w:rFonts w:cs="Times New Roman"/>
          <w:szCs w:val="24"/>
        </w:rPr>
        <w:t xml:space="preserve"> </w:t>
      </w:r>
      <w:r w:rsidR="002B5C28" w:rsidRPr="00982922">
        <w:rPr>
          <w:rFonts w:cs="Times New Roman"/>
          <w:szCs w:val="24"/>
        </w:rPr>
        <w:t>it promotes the protection of human rights</w:t>
      </w:r>
      <w:r w:rsidR="6571D70F" w:rsidRPr="00982922">
        <w:rPr>
          <w:rFonts w:cs="Times New Roman"/>
          <w:szCs w:val="24"/>
        </w:rPr>
        <w:t>.</w:t>
      </w:r>
    </w:p>
    <w:p w14:paraId="49175299" w14:textId="77777777" w:rsidR="00D8103E" w:rsidRPr="00982922" w:rsidRDefault="00D8103E" w:rsidP="00745EC7">
      <w:pPr>
        <w:spacing w:after="0" w:line="240" w:lineRule="auto"/>
        <w:rPr>
          <w:rFonts w:cs="Times New Roman"/>
          <w:b/>
          <w:szCs w:val="24"/>
        </w:rPr>
      </w:pPr>
    </w:p>
    <w:p w14:paraId="1EC89B8A" w14:textId="0CDFBE6D" w:rsidR="00DA552F" w:rsidRPr="00982922" w:rsidRDefault="00D8103E" w:rsidP="00745EC7">
      <w:pPr>
        <w:spacing w:after="0" w:line="240" w:lineRule="auto"/>
        <w:jc w:val="center"/>
        <w:rPr>
          <w:rFonts w:cs="Times New Roman"/>
          <w:szCs w:val="24"/>
        </w:rPr>
      </w:pPr>
      <w:r w:rsidRPr="00982922">
        <w:rPr>
          <w:rFonts w:cs="Times New Roman"/>
          <w:b/>
          <w:szCs w:val="24"/>
        </w:rPr>
        <w:t xml:space="preserve">Minister for </w:t>
      </w:r>
      <w:r w:rsidR="00727373" w:rsidRPr="00982922">
        <w:rPr>
          <w:rFonts w:cs="Times New Roman"/>
          <w:b/>
          <w:szCs w:val="24"/>
        </w:rPr>
        <w:t>Employment and Wor</w:t>
      </w:r>
      <w:r w:rsidR="001F202B" w:rsidRPr="00982922">
        <w:rPr>
          <w:rFonts w:cs="Times New Roman"/>
          <w:b/>
          <w:szCs w:val="24"/>
        </w:rPr>
        <w:t>k</w:t>
      </w:r>
      <w:r w:rsidR="00727373" w:rsidRPr="00982922">
        <w:rPr>
          <w:rFonts w:cs="Times New Roman"/>
          <w:b/>
          <w:szCs w:val="24"/>
        </w:rPr>
        <w:t>place Relations</w:t>
      </w:r>
      <w:r w:rsidR="00E8671C" w:rsidRPr="00982922">
        <w:rPr>
          <w:rFonts w:cs="Times New Roman"/>
          <w:b/>
          <w:szCs w:val="24"/>
        </w:rPr>
        <w:t xml:space="preserve">, </w:t>
      </w:r>
      <w:r w:rsidR="00727373" w:rsidRPr="00982922">
        <w:rPr>
          <w:rFonts w:cs="Times New Roman"/>
          <w:b/>
          <w:bCs/>
          <w:szCs w:val="24"/>
        </w:rPr>
        <w:t>the Honourable Tony Burke MP</w:t>
      </w:r>
    </w:p>
    <w:p w14:paraId="1103BC73" w14:textId="77777777" w:rsidR="00DA552F" w:rsidRPr="00982922" w:rsidRDefault="00DA552F" w:rsidP="00DA552F">
      <w:pPr>
        <w:spacing w:before="240" w:after="240"/>
        <w:rPr>
          <w:rFonts w:cs="Times New Roman"/>
          <w:szCs w:val="24"/>
        </w:rPr>
        <w:sectPr w:rsidR="00DA552F" w:rsidRPr="00982922"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31BBA364" w:rsidR="00DA552F" w:rsidRPr="0000790B" w:rsidRDefault="0000790B" w:rsidP="0000790B">
      <w:pPr>
        <w:jc w:val="center"/>
        <w:rPr>
          <w:rFonts w:cs="Times New Roman"/>
          <w:b/>
          <w:bCs/>
          <w:szCs w:val="24"/>
        </w:rPr>
      </w:pPr>
      <w:r w:rsidRPr="0000790B">
        <w:rPr>
          <w:rFonts w:eastAsia="Times New Roman" w:cs="Times New Roman"/>
          <w:b/>
          <w:bCs/>
          <w:szCs w:val="24"/>
          <w:lang w:eastAsia="en-AU"/>
        </w:rPr>
        <w:lastRenderedPageBreak/>
        <w:t>Fair Work Amendment (Transitional Arrangements – Western Australian Local Government Employers and Employees) Regulations 2022</w:t>
      </w:r>
    </w:p>
    <w:p w14:paraId="289E50B9" w14:textId="77777777" w:rsidR="00DA552F" w:rsidRPr="00982922" w:rsidRDefault="00DB6247">
      <w:pPr>
        <w:pStyle w:val="Heading2"/>
        <w:jc w:val="center"/>
        <w:rPr>
          <w:rFonts w:cs="Times New Roman"/>
          <w:color w:val="auto"/>
          <w:szCs w:val="24"/>
        </w:rPr>
      </w:pPr>
      <w:r w:rsidRPr="00982922">
        <w:rPr>
          <w:rFonts w:cs="Times New Roman"/>
          <w:color w:val="auto"/>
          <w:szCs w:val="24"/>
        </w:rPr>
        <w:t>EXPLANATION OF PROVISIONS</w:t>
      </w:r>
    </w:p>
    <w:p w14:paraId="2CB27D3C" w14:textId="716640E1" w:rsidR="007E642A" w:rsidRPr="00982922" w:rsidRDefault="00281644" w:rsidP="00D27600">
      <w:pPr>
        <w:spacing w:after="0" w:line="240" w:lineRule="auto"/>
        <w:ind w:right="91"/>
        <w:rPr>
          <w:rFonts w:eastAsia="Times New Roman" w:cs="Times New Roman"/>
          <w:szCs w:val="24"/>
          <w:u w:val="single"/>
          <w:lang w:eastAsia="en-AU"/>
        </w:rPr>
      </w:pPr>
      <w:r>
        <w:rPr>
          <w:rFonts w:eastAsia="Times New Roman" w:cs="Times New Roman"/>
          <w:szCs w:val="24"/>
          <w:u w:val="single"/>
          <w:lang w:eastAsia="en-AU"/>
        </w:rPr>
        <w:t>Section</w:t>
      </w:r>
      <w:r w:rsidRPr="00982922">
        <w:rPr>
          <w:rFonts w:eastAsia="Times New Roman" w:cs="Times New Roman"/>
          <w:szCs w:val="24"/>
          <w:u w:val="single"/>
          <w:lang w:eastAsia="en-AU"/>
        </w:rPr>
        <w:t xml:space="preserve"> </w:t>
      </w:r>
      <w:r w:rsidR="007E642A" w:rsidRPr="00982922">
        <w:rPr>
          <w:rFonts w:eastAsia="Times New Roman" w:cs="Times New Roman"/>
          <w:szCs w:val="24"/>
          <w:u w:val="single"/>
          <w:lang w:eastAsia="en-AU"/>
        </w:rPr>
        <w:t xml:space="preserve">1 – Name </w:t>
      </w:r>
    </w:p>
    <w:p w14:paraId="567B2CC7" w14:textId="77777777" w:rsidR="007E642A" w:rsidRPr="00982922" w:rsidRDefault="007E642A" w:rsidP="00D27600">
      <w:pPr>
        <w:spacing w:after="0" w:line="240" w:lineRule="auto"/>
        <w:ind w:right="91"/>
        <w:rPr>
          <w:rFonts w:eastAsia="Times New Roman" w:cs="Times New Roman"/>
          <w:szCs w:val="24"/>
          <w:lang w:eastAsia="en-AU"/>
        </w:rPr>
      </w:pPr>
    </w:p>
    <w:p w14:paraId="4E71C128" w14:textId="274C170A" w:rsidR="007E642A" w:rsidRPr="00982922" w:rsidRDefault="007E642A" w:rsidP="00D27600">
      <w:pPr>
        <w:pStyle w:val="ListParagraph"/>
        <w:numPr>
          <w:ilvl w:val="0"/>
          <w:numId w:val="18"/>
        </w:numPr>
        <w:spacing w:after="0" w:line="240" w:lineRule="auto"/>
        <w:ind w:right="91"/>
        <w:contextualSpacing w:val="0"/>
        <w:rPr>
          <w:rFonts w:eastAsia="Times New Roman" w:cs="Times New Roman"/>
          <w:szCs w:val="24"/>
          <w:lang w:eastAsia="en-AU"/>
        </w:rPr>
      </w:pPr>
      <w:r w:rsidRPr="00982922">
        <w:rPr>
          <w:rFonts w:eastAsia="Times New Roman" w:cs="Times New Roman"/>
          <w:szCs w:val="24"/>
          <w:lang w:eastAsia="en-AU"/>
        </w:rPr>
        <w:t xml:space="preserve">This </w:t>
      </w:r>
      <w:r w:rsidR="004926AF">
        <w:rPr>
          <w:rFonts w:eastAsia="Times New Roman" w:cs="Times New Roman"/>
          <w:szCs w:val="24"/>
          <w:lang w:eastAsia="en-AU"/>
        </w:rPr>
        <w:t>section</w:t>
      </w:r>
      <w:r w:rsidRPr="00982922">
        <w:rPr>
          <w:rFonts w:eastAsia="Times New Roman" w:cs="Times New Roman"/>
          <w:szCs w:val="24"/>
          <w:lang w:eastAsia="en-AU"/>
        </w:rPr>
        <w:t xml:space="preserve"> provide</w:t>
      </w:r>
      <w:r w:rsidR="00FD4170" w:rsidRPr="00982922">
        <w:rPr>
          <w:rFonts w:eastAsia="Times New Roman" w:cs="Times New Roman"/>
          <w:szCs w:val="24"/>
          <w:lang w:eastAsia="en-AU"/>
        </w:rPr>
        <w:t>s</w:t>
      </w:r>
      <w:r w:rsidRPr="00982922">
        <w:rPr>
          <w:rFonts w:eastAsia="Times New Roman" w:cs="Times New Roman"/>
          <w:szCs w:val="24"/>
          <w:lang w:eastAsia="en-AU"/>
        </w:rPr>
        <w:t xml:space="preserve"> that the title of the instrument is the</w:t>
      </w:r>
      <w:r w:rsidR="0000790B">
        <w:rPr>
          <w:rFonts w:eastAsia="Times New Roman" w:cs="Times New Roman"/>
          <w:szCs w:val="24"/>
          <w:lang w:eastAsia="en-AU"/>
        </w:rPr>
        <w:t xml:space="preserve"> </w:t>
      </w:r>
      <w:r w:rsidR="0000790B" w:rsidRPr="0000790B">
        <w:rPr>
          <w:rFonts w:eastAsia="Times New Roman" w:cs="Times New Roman"/>
          <w:i/>
          <w:iCs/>
          <w:szCs w:val="24"/>
          <w:lang w:eastAsia="en-AU"/>
        </w:rPr>
        <w:t>Fair Work Amendment (Transitional Arrangements – Western Australian Local Government Employers and Employees) Regulations 2022</w:t>
      </w:r>
      <w:r w:rsidRPr="00982922">
        <w:rPr>
          <w:rFonts w:eastAsia="Times New Roman" w:cs="Times New Roman"/>
          <w:i/>
          <w:szCs w:val="24"/>
          <w:lang w:eastAsia="en-AU"/>
        </w:rPr>
        <w:t xml:space="preserve"> </w:t>
      </w:r>
      <w:r w:rsidRPr="00982922">
        <w:rPr>
          <w:rFonts w:eastAsia="Times New Roman" w:cs="Times New Roman"/>
          <w:iCs/>
          <w:szCs w:val="24"/>
          <w:lang w:eastAsia="en-AU"/>
        </w:rPr>
        <w:t xml:space="preserve">(the </w:t>
      </w:r>
      <w:bookmarkStart w:id="6" w:name="_Hlk120870954"/>
      <w:r w:rsidRPr="00982922">
        <w:rPr>
          <w:rFonts w:eastAsia="Times New Roman" w:cs="Times New Roman"/>
          <w:iCs/>
          <w:szCs w:val="24"/>
          <w:lang w:eastAsia="en-AU"/>
        </w:rPr>
        <w:t>Regulations</w:t>
      </w:r>
      <w:bookmarkEnd w:id="6"/>
      <w:r w:rsidRPr="00982922">
        <w:rPr>
          <w:rFonts w:eastAsia="Times New Roman" w:cs="Times New Roman"/>
          <w:iCs/>
          <w:szCs w:val="24"/>
          <w:lang w:eastAsia="en-AU"/>
        </w:rPr>
        <w:t>)</w:t>
      </w:r>
      <w:r w:rsidRPr="00982922">
        <w:rPr>
          <w:rFonts w:eastAsia="Times New Roman" w:cs="Times New Roman"/>
          <w:i/>
          <w:szCs w:val="24"/>
          <w:lang w:eastAsia="en-AU"/>
        </w:rPr>
        <w:t>.</w:t>
      </w:r>
    </w:p>
    <w:p w14:paraId="7D0C06D3" w14:textId="77777777" w:rsidR="007E642A" w:rsidRPr="00982922" w:rsidRDefault="007E642A" w:rsidP="00D27600">
      <w:pPr>
        <w:spacing w:after="0" w:line="240" w:lineRule="auto"/>
        <w:ind w:right="91"/>
        <w:rPr>
          <w:rFonts w:eastAsia="Times New Roman" w:cs="Times New Roman"/>
          <w:szCs w:val="24"/>
          <w:lang w:eastAsia="en-AU"/>
        </w:rPr>
      </w:pPr>
    </w:p>
    <w:p w14:paraId="516ED10D" w14:textId="44784AB3" w:rsidR="007E642A" w:rsidRPr="00982922" w:rsidRDefault="00281644" w:rsidP="00D27600">
      <w:pPr>
        <w:spacing w:after="0" w:line="240" w:lineRule="auto"/>
        <w:ind w:right="91"/>
        <w:rPr>
          <w:rFonts w:eastAsia="Times New Roman" w:cs="Times New Roman"/>
          <w:szCs w:val="24"/>
          <w:u w:val="single"/>
          <w:lang w:eastAsia="en-AU"/>
        </w:rPr>
      </w:pPr>
      <w:r>
        <w:rPr>
          <w:rFonts w:eastAsia="Times New Roman" w:cs="Times New Roman"/>
          <w:szCs w:val="24"/>
          <w:u w:val="single"/>
          <w:lang w:eastAsia="en-AU"/>
        </w:rPr>
        <w:t>Section</w:t>
      </w:r>
      <w:r w:rsidRPr="00982922">
        <w:rPr>
          <w:rFonts w:eastAsia="Times New Roman" w:cs="Times New Roman"/>
          <w:szCs w:val="24"/>
          <w:u w:val="single"/>
          <w:lang w:eastAsia="en-AU"/>
        </w:rPr>
        <w:t xml:space="preserve"> </w:t>
      </w:r>
      <w:r w:rsidR="007E642A" w:rsidRPr="00982922">
        <w:rPr>
          <w:rFonts w:eastAsia="Times New Roman" w:cs="Times New Roman"/>
          <w:szCs w:val="24"/>
          <w:u w:val="single"/>
          <w:lang w:eastAsia="en-AU"/>
        </w:rPr>
        <w:t>2 – Commencement</w:t>
      </w:r>
    </w:p>
    <w:p w14:paraId="2356B811" w14:textId="77777777" w:rsidR="007E642A" w:rsidRPr="00982922" w:rsidRDefault="007E642A" w:rsidP="00D27600">
      <w:pPr>
        <w:spacing w:after="0" w:line="240" w:lineRule="auto"/>
        <w:ind w:right="91"/>
        <w:rPr>
          <w:rFonts w:eastAsia="Times New Roman" w:cs="Times New Roman"/>
          <w:szCs w:val="24"/>
          <w:lang w:eastAsia="en-AU"/>
        </w:rPr>
      </w:pPr>
    </w:p>
    <w:p w14:paraId="50E01D92" w14:textId="60332B50" w:rsidR="007E642A" w:rsidRPr="00982922" w:rsidRDefault="007E642A" w:rsidP="00D27600">
      <w:pPr>
        <w:pStyle w:val="ListParagraph"/>
        <w:numPr>
          <w:ilvl w:val="0"/>
          <w:numId w:val="18"/>
        </w:numPr>
        <w:spacing w:after="0" w:line="240" w:lineRule="auto"/>
        <w:ind w:right="91"/>
        <w:contextualSpacing w:val="0"/>
        <w:rPr>
          <w:rFonts w:eastAsia="Times New Roman" w:cs="Times New Roman"/>
          <w:szCs w:val="24"/>
          <w:lang w:eastAsia="en-AU"/>
        </w:rPr>
      </w:pPr>
      <w:r w:rsidRPr="00982922">
        <w:rPr>
          <w:rFonts w:eastAsia="Times New Roman" w:cs="Times New Roman"/>
          <w:szCs w:val="24"/>
          <w:lang w:eastAsia="en-AU"/>
        </w:rPr>
        <w:t xml:space="preserve">This </w:t>
      </w:r>
      <w:r w:rsidR="004926AF">
        <w:rPr>
          <w:rFonts w:eastAsia="Times New Roman" w:cs="Times New Roman"/>
          <w:szCs w:val="24"/>
          <w:lang w:eastAsia="en-AU"/>
        </w:rPr>
        <w:t>section</w:t>
      </w:r>
      <w:r w:rsidRPr="00982922">
        <w:rPr>
          <w:rFonts w:eastAsia="Times New Roman" w:cs="Times New Roman"/>
          <w:szCs w:val="24"/>
          <w:lang w:eastAsia="en-AU"/>
        </w:rPr>
        <w:t xml:space="preserve"> provide</w:t>
      </w:r>
      <w:r w:rsidR="00FD4170" w:rsidRPr="00982922">
        <w:rPr>
          <w:rFonts w:eastAsia="Times New Roman" w:cs="Times New Roman"/>
          <w:szCs w:val="24"/>
          <w:lang w:eastAsia="en-AU"/>
        </w:rPr>
        <w:t>s</w:t>
      </w:r>
      <w:r w:rsidRPr="00982922">
        <w:rPr>
          <w:rFonts w:eastAsia="Times New Roman" w:cs="Times New Roman"/>
          <w:szCs w:val="24"/>
          <w:lang w:eastAsia="en-AU"/>
        </w:rPr>
        <w:t xml:space="preserve"> for the Regulations to commence on 1 January 2023.</w:t>
      </w:r>
    </w:p>
    <w:p w14:paraId="40DB4920" w14:textId="77777777" w:rsidR="007E642A" w:rsidRPr="00982922" w:rsidRDefault="007E642A" w:rsidP="00D27600">
      <w:pPr>
        <w:spacing w:after="0" w:line="240" w:lineRule="auto"/>
        <w:ind w:right="91"/>
        <w:rPr>
          <w:rFonts w:eastAsia="Times New Roman" w:cs="Times New Roman"/>
          <w:szCs w:val="24"/>
          <w:lang w:eastAsia="en-AU"/>
        </w:rPr>
      </w:pPr>
    </w:p>
    <w:p w14:paraId="3791175C" w14:textId="26119214" w:rsidR="007E642A" w:rsidRPr="00982922" w:rsidRDefault="00281644" w:rsidP="00D27600">
      <w:pPr>
        <w:spacing w:after="0" w:line="240" w:lineRule="auto"/>
        <w:ind w:right="91"/>
        <w:rPr>
          <w:rFonts w:eastAsia="Times New Roman" w:cs="Times New Roman"/>
          <w:szCs w:val="24"/>
          <w:lang w:eastAsia="en-AU"/>
        </w:rPr>
      </w:pPr>
      <w:r>
        <w:rPr>
          <w:rFonts w:eastAsia="Times New Roman" w:cs="Times New Roman"/>
          <w:szCs w:val="24"/>
          <w:u w:val="single"/>
          <w:lang w:eastAsia="en-AU"/>
        </w:rPr>
        <w:t>Section</w:t>
      </w:r>
      <w:r w:rsidRPr="00982922">
        <w:rPr>
          <w:rFonts w:eastAsia="Times New Roman" w:cs="Times New Roman"/>
          <w:szCs w:val="24"/>
          <w:u w:val="single"/>
          <w:lang w:eastAsia="en-AU"/>
        </w:rPr>
        <w:t xml:space="preserve"> </w:t>
      </w:r>
      <w:r w:rsidR="007E642A" w:rsidRPr="00982922">
        <w:rPr>
          <w:rFonts w:eastAsia="Times New Roman" w:cs="Times New Roman"/>
          <w:szCs w:val="24"/>
          <w:u w:val="single"/>
          <w:lang w:eastAsia="en-AU"/>
        </w:rPr>
        <w:t>3 – Authority</w:t>
      </w:r>
    </w:p>
    <w:p w14:paraId="5439E9E1" w14:textId="77777777" w:rsidR="007E642A" w:rsidRPr="00982922" w:rsidRDefault="007E642A" w:rsidP="00D27600">
      <w:pPr>
        <w:spacing w:after="0" w:line="240" w:lineRule="auto"/>
        <w:ind w:right="91"/>
        <w:rPr>
          <w:rFonts w:eastAsia="Times New Roman" w:cs="Times New Roman"/>
          <w:szCs w:val="24"/>
          <w:lang w:eastAsia="en-AU"/>
        </w:rPr>
      </w:pPr>
    </w:p>
    <w:p w14:paraId="4CCE4530" w14:textId="68D0D61B" w:rsidR="007E642A" w:rsidRPr="00982922" w:rsidRDefault="007E642A" w:rsidP="00D27600">
      <w:pPr>
        <w:pStyle w:val="ListParagraph"/>
        <w:numPr>
          <w:ilvl w:val="0"/>
          <w:numId w:val="18"/>
        </w:numPr>
        <w:spacing w:after="0" w:line="240" w:lineRule="auto"/>
        <w:ind w:right="91"/>
        <w:contextualSpacing w:val="0"/>
        <w:rPr>
          <w:rFonts w:eastAsia="Times New Roman" w:cs="Times New Roman"/>
          <w:szCs w:val="24"/>
          <w:lang w:eastAsia="en-AU"/>
        </w:rPr>
      </w:pPr>
      <w:r w:rsidRPr="00982922">
        <w:rPr>
          <w:rFonts w:eastAsia="Times New Roman" w:cs="Times New Roman"/>
          <w:szCs w:val="24"/>
          <w:lang w:eastAsia="en-AU"/>
        </w:rPr>
        <w:t xml:space="preserve">This </w:t>
      </w:r>
      <w:r w:rsidR="004926AF">
        <w:rPr>
          <w:rFonts w:eastAsia="Times New Roman" w:cs="Times New Roman"/>
          <w:szCs w:val="24"/>
          <w:lang w:eastAsia="en-AU"/>
        </w:rPr>
        <w:t>section</w:t>
      </w:r>
      <w:r w:rsidRPr="00982922">
        <w:rPr>
          <w:rFonts w:eastAsia="Times New Roman" w:cs="Times New Roman"/>
          <w:szCs w:val="24"/>
          <w:lang w:eastAsia="en-AU"/>
        </w:rPr>
        <w:t xml:space="preserve"> provide</w:t>
      </w:r>
      <w:r w:rsidR="00FD4170" w:rsidRPr="00982922">
        <w:rPr>
          <w:rFonts w:eastAsia="Times New Roman" w:cs="Times New Roman"/>
          <w:szCs w:val="24"/>
          <w:lang w:eastAsia="en-AU"/>
        </w:rPr>
        <w:t>s</w:t>
      </w:r>
      <w:r w:rsidRPr="00982922">
        <w:rPr>
          <w:rFonts w:eastAsia="Times New Roman" w:cs="Times New Roman"/>
          <w:szCs w:val="24"/>
          <w:lang w:eastAsia="en-AU"/>
        </w:rPr>
        <w:t xml:space="preserve"> that the</w:t>
      </w:r>
      <w:r w:rsidR="0000790B">
        <w:rPr>
          <w:rFonts w:eastAsia="Times New Roman" w:cs="Times New Roman"/>
          <w:szCs w:val="24"/>
          <w:lang w:eastAsia="en-AU"/>
        </w:rPr>
        <w:t xml:space="preserve"> </w:t>
      </w:r>
      <w:r w:rsidR="0000790B" w:rsidRPr="0000790B">
        <w:rPr>
          <w:rFonts w:eastAsia="Times New Roman" w:cs="Times New Roman"/>
          <w:i/>
          <w:iCs/>
          <w:szCs w:val="24"/>
          <w:lang w:eastAsia="en-AU"/>
        </w:rPr>
        <w:t>Fair Work Amendment (Transitional Arrangements – Western Australian Local Government Employers and Employees) Regulations 2022</w:t>
      </w:r>
      <w:r w:rsidR="0000790B">
        <w:rPr>
          <w:rFonts w:eastAsia="Times New Roman" w:cs="Times New Roman"/>
          <w:szCs w:val="24"/>
          <w:lang w:eastAsia="en-AU"/>
        </w:rPr>
        <w:t xml:space="preserve"> </w:t>
      </w:r>
      <w:r w:rsidR="007D1943">
        <w:rPr>
          <w:rFonts w:eastAsia="Times New Roman" w:cs="Times New Roman"/>
          <w:iCs/>
          <w:szCs w:val="24"/>
          <w:lang w:eastAsia="en-AU"/>
        </w:rPr>
        <w:t>are</w:t>
      </w:r>
      <w:r w:rsidRPr="00982922">
        <w:rPr>
          <w:rFonts w:eastAsia="Times New Roman" w:cs="Times New Roman"/>
          <w:szCs w:val="24"/>
          <w:lang w:eastAsia="en-AU"/>
        </w:rPr>
        <w:t xml:space="preserve"> made under the </w:t>
      </w:r>
      <w:r w:rsidRPr="00982922">
        <w:rPr>
          <w:rFonts w:eastAsia="Times New Roman" w:cs="Times New Roman"/>
          <w:i/>
          <w:szCs w:val="24"/>
          <w:lang w:eastAsia="en-AU"/>
        </w:rPr>
        <w:t xml:space="preserve">Fair Work Act 2009 </w:t>
      </w:r>
      <w:r w:rsidRPr="00982922">
        <w:rPr>
          <w:rFonts w:eastAsia="Times New Roman" w:cs="Times New Roman"/>
          <w:szCs w:val="24"/>
          <w:lang w:eastAsia="en-AU"/>
        </w:rPr>
        <w:t>(Fair Work Act).</w:t>
      </w:r>
    </w:p>
    <w:p w14:paraId="20412439" w14:textId="77777777" w:rsidR="007E642A" w:rsidRPr="00982922" w:rsidRDefault="007E642A" w:rsidP="00D27600">
      <w:pPr>
        <w:spacing w:after="0" w:line="240" w:lineRule="auto"/>
        <w:ind w:right="91"/>
        <w:rPr>
          <w:rFonts w:eastAsia="Times New Roman" w:cs="Times New Roman"/>
          <w:szCs w:val="24"/>
          <w:lang w:eastAsia="en-AU"/>
        </w:rPr>
      </w:pPr>
    </w:p>
    <w:p w14:paraId="7E1753C1" w14:textId="3AA76139" w:rsidR="007E642A" w:rsidRPr="00982922" w:rsidRDefault="00281644" w:rsidP="00D27600">
      <w:pPr>
        <w:keepNext/>
        <w:spacing w:after="0" w:line="240" w:lineRule="auto"/>
        <w:ind w:right="748"/>
        <w:rPr>
          <w:rFonts w:eastAsia="Times New Roman" w:cs="Times New Roman"/>
          <w:szCs w:val="24"/>
          <w:u w:val="single"/>
          <w:lang w:eastAsia="en-AU"/>
        </w:rPr>
      </w:pPr>
      <w:r>
        <w:rPr>
          <w:rFonts w:eastAsia="Times New Roman" w:cs="Times New Roman"/>
          <w:szCs w:val="24"/>
          <w:u w:val="single"/>
          <w:lang w:eastAsia="en-AU"/>
        </w:rPr>
        <w:t>Section</w:t>
      </w:r>
      <w:r w:rsidRPr="00982922">
        <w:rPr>
          <w:rFonts w:eastAsia="Times New Roman" w:cs="Times New Roman"/>
          <w:szCs w:val="24"/>
          <w:u w:val="single"/>
          <w:lang w:eastAsia="en-AU"/>
        </w:rPr>
        <w:t> </w:t>
      </w:r>
      <w:r w:rsidR="007E642A" w:rsidRPr="00982922">
        <w:rPr>
          <w:rFonts w:eastAsia="Times New Roman" w:cs="Times New Roman"/>
          <w:szCs w:val="24"/>
          <w:u w:val="single"/>
          <w:lang w:eastAsia="en-AU"/>
        </w:rPr>
        <w:t>4 – Schedules</w:t>
      </w:r>
    </w:p>
    <w:p w14:paraId="5FF50407" w14:textId="77777777" w:rsidR="007E642A" w:rsidRPr="00982922" w:rsidRDefault="007E642A" w:rsidP="00D27600">
      <w:pPr>
        <w:keepNext/>
        <w:spacing w:after="0" w:line="240" w:lineRule="auto"/>
        <w:ind w:right="748"/>
        <w:rPr>
          <w:rFonts w:eastAsia="Times New Roman" w:cs="Times New Roman"/>
          <w:szCs w:val="24"/>
          <w:lang w:eastAsia="en-AU"/>
        </w:rPr>
      </w:pPr>
    </w:p>
    <w:p w14:paraId="2985DC1E" w14:textId="1E91E529" w:rsidR="00DF3B09" w:rsidRDefault="007E642A" w:rsidP="00D27600">
      <w:pPr>
        <w:pStyle w:val="ListParagraph"/>
        <w:keepNext/>
        <w:numPr>
          <w:ilvl w:val="0"/>
          <w:numId w:val="18"/>
        </w:numPr>
        <w:spacing w:after="0" w:line="240" w:lineRule="auto"/>
        <w:ind w:right="748"/>
        <w:contextualSpacing w:val="0"/>
        <w:rPr>
          <w:rFonts w:eastAsia="Times New Roman" w:cs="Times New Roman"/>
          <w:szCs w:val="24"/>
          <w:lang w:eastAsia="en-AU"/>
        </w:rPr>
      </w:pPr>
      <w:r w:rsidRPr="00982922">
        <w:rPr>
          <w:rFonts w:eastAsia="Times New Roman" w:cs="Times New Roman"/>
          <w:szCs w:val="24"/>
          <w:lang w:eastAsia="en-AU"/>
        </w:rPr>
        <w:t xml:space="preserve">This </w:t>
      </w:r>
      <w:r w:rsidR="004926AF">
        <w:rPr>
          <w:rFonts w:eastAsia="Times New Roman" w:cs="Times New Roman"/>
          <w:szCs w:val="24"/>
          <w:lang w:eastAsia="en-AU"/>
        </w:rPr>
        <w:t>section</w:t>
      </w:r>
      <w:r w:rsidRPr="00982922">
        <w:rPr>
          <w:rFonts w:eastAsia="Times New Roman" w:cs="Times New Roman"/>
          <w:szCs w:val="24"/>
          <w:lang w:eastAsia="en-AU"/>
        </w:rPr>
        <w:t xml:space="preserve"> provide</w:t>
      </w:r>
      <w:r w:rsidR="00DF3B09" w:rsidRPr="00982922">
        <w:rPr>
          <w:rFonts w:eastAsia="Times New Roman" w:cs="Times New Roman"/>
          <w:szCs w:val="24"/>
          <w:lang w:eastAsia="en-AU"/>
        </w:rPr>
        <w:t>s</w:t>
      </w:r>
      <w:r w:rsidRPr="00982922">
        <w:rPr>
          <w:rFonts w:eastAsia="Times New Roman" w:cs="Times New Roman"/>
          <w:szCs w:val="24"/>
          <w:lang w:eastAsia="en-AU"/>
        </w:rPr>
        <w:t xml:space="preserve"> that each instrument that is specified in a Schedule to the Regulations is amended or repealed as set out in the applicable items in the Schedule concerned, and any other item in a Schedule to the Regulations has effect according to its terms.</w:t>
      </w:r>
    </w:p>
    <w:p w14:paraId="5E111AC1" w14:textId="77777777" w:rsidR="00AD36D9" w:rsidRPr="00AD36D9" w:rsidRDefault="00AD36D9" w:rsidP="00D27600">
      <w:pPr>
        <w:pStyle w:val="ListParagraph"/>
        <w:keepNext/>
        <w:spacing w:after="0" w:line="240" w:lineRule="auto"/>
        <w:ind w:left="360" w:right="748"/>
        <w:contextualSpacing w:val="0"/>
        <w:rPr>
          <w:rFonts w:eastAsia="Times New Roman" w:cs="Times New Roman"/>
          <w:szCs w:val="24"/>
          <w:lang w:eastAsia="en-AU"/>
        </w:rPr>
      </w:pPr>
    </w:p>
    <w:p w14:paraId="324764B6" w14:textId="78427B6C" w:rsidR="007E642A" w:rsidRPr="00982922" w:rsidRDefault="007E642A" w:rsidP="00D27600">
      <w:pPr>
        <w:spacing w:after="0" w:line="240" w:lineRule="auto"/>
        <w:ind w:right="91"/>
        <w:rPr>
          <w:rFonts w:eastAsia="Times New Roman" w:cs="Times New Roman"/>
          <w:szCs w:val="24"/>
          <w:lang w:eastAsia="en-AU"/>
        </w:rPr>
      </w:pPr>
      <w:r w:rsidRPr="00982922">
        <w:rPr>
          <w:rFonts w:eastAsia="Times New Roman" w:cs="Times New Roman"/>
          <w:szCs w:val="24"/>
          <w:u w:val="single"/>
          <w:lang w:eastAsia="en-AU"/>
        </w:rPr>
        <w:t>Schedule 1 – Amendments</w:t>
      </w:r>
    </w:p>
    <w:p w14:paraId="77EF5BC0" w14:textId="77777777" w:rsidR="007E642A" w:rsidRPr="00982922" w:rsidRDefault="007E642A" w:rsidP="00D27600">
      <w:pPr>
        <w:spacing w:after="0" w:line="240" w:lineRule="auto"/>
        <w:ind w:right="91"/>
        <w:rPr>
          <w:rFonts w:eastAsia="Times New Roman" w:cs="Times New Roman"/>
          <w:szCs w:val="24"/>
          <w:lang w:eastAsia="en-AU"/>
        </w:rPr>
      </w:pPr>
    </w:p>
    <w:p w14:paraId="349FD973" w14:textId="77777777" w:rsidR="007E642A" w:rsidRPr="00982922" w:rsidRDefault="007E642A" w:rsidP="00D27600">
      <w:pPr>
        <w:spacing w:after="0" w:line="240" w:lineRule="auto"/>
        <w:ind w:right="91"/>
        <w:rPr>
          <w:rFonts w:eastAsia="Times New Roman" w:cs="Times New Roman"/>
          <w:szCs w:val="24"/>
          <w:lang w:eastAsia="en-AU"/>
        </w:rPr>
      </w:pPr>
      <w:r w:rsidRPr="00982922">
        <w:rPr>
          <w:rFonts w:eastAsia="Times New Roman" w:cs="Times New Roman"/>
          <w:b/>
          <w:szCs w:val="24"/>
          <w:lang w:eastAsia="en-AU"/>
        </w:rPr>
        <w:t>Item [1] – After Part 6-4C</w:t>
      </w:r>
    </w:p>
    <w:p w14:paraId="7365DEA0" w14:textId="77777777" w:rsidR="007E642A" w:rsidRPr="00982922" w:rsidRDefault="007E642A" w:rsidP="00D27600">
      <w:pPr>
        <w:spacing w:after="0" w:line="240" w:lineRule="auto"/>
        <w:ind w:right="91"/>
        <w:rPr>
          <w:rFonts w:eastAsia="Times New Roman" w:cs="Times New Roman"/>
          <w:szCs w:val="24"/>
          <w:lang w:eastAsia="en-AU"/>
        </w:rPr>
      </w:pPr>
    </w:p>
    <w:p w14:paraId="261A95C4" w14:textId="110341AD" w:rsidR="007E642A" w:rsidRPr="00982922" w:rsidRDefault="007E642A" w:rsidP="00D27600">
      <w:pPr>
        <w:pStyle w:val="ListParagraph"/>
        <w:numPr>
          <w:ilvl w:val="0"/>
          <w:numId w:val="18"/>
        </w:numPr>
        <w:shd w:val="clear" w:color="auto" w:fill="FFFFFF" w:themeFill="background1"/>
        <w:spacing w:after="0" w:line="240" w:lineRule="auto"/>
        <w:contextualSpacing w:val="0"/>
        <w:rPr>
          <w:rFonts w:eastAsia="Times New Roman" w:cs="Times New Roman"/>
          <w:color w:val="000000"/>
          <w:szCs w:val="24"/>
          <w:lang w:eastAsia="en-AU"/>
        </w:rPr>
      </w:pPr>
      <w:r w:rsidRPr="00982922">
        <w:rPr>
          <w:rFonts w:eastAsia="Times New Roman" w:cs="Times New Roman"/>
          <w:szCs w:val="24"/>
          <w:lang w:eastAsia="en-AU"/>
        </w:rPr>
        <w:t>Item 1 of the Regulations amend</w:t>
      </w:r>
      <w:r w:rsidR="00A64B2E" w:rsidRPr="00982922">
        <w:rPr>
          <w:rFonts w:eastAsia="Times New Roman" w:cs="Times New Roman"/>
          <w:szCs w:val="24"/>
          <w:lang w:eastAsia="en-AU"/>
        </w:rPr>
        <w:t>s</w:t>
      </w:r>
      <w:r w:rsidRPr="00982922">
        <w:rPr>
          <w:rFonts w:eastAsia="Times New Roman" w:cs="Times New Roman"/>
          <w:szCs w:val="24"/>
          <w:lang w:eastAsia="en-AU"/>
        </w:rPr>
        <w:t xml:space="preserve"> the </w:t>
      </w:r>
      <w:r w:rsidRPr="00982922">
        <w:rPr>
          <w:rFonts w:eastAsia="Times New Roman" w:cs="Times New Roman"/>
          <w:i/>
          <w:szCs w:val="24"/>
          <w:lang w:eastAsia="en-AU"/>
        </w:rPr>
        <w:t>Fair Work Regulations 2009</w:t>
      </w:r>
      <w:r w:rsidRPr="00982922">
        <w:rPr>
          <w:rFonts w:eastAsia="Times New Roman" w:cs="Times New Roman"/>
          <w:szCs w:val="24"/>
          <w:lang w:eastAsia="en-AU"/>
        </w:rPr>
        <w:t xml:space="preserve"> to insert a new Part 6-4D, to deal with transitional matters relating to employers and employees that cease to be national system employers and national system employees. Employers and employees can cease to be national system employers and national system employees if the process in subsection 14(2) of the Fair Work Act is carried out. S</w:t>
      </w:r>
      <w:r w:rsidRPr="00982922">
        <w:rPr>
          <w:rFonts w:eastAsia="Times New Roman" w:cs="Times New Roman"/>
          <w:color w:val="000000"/>
          <w:szCs w:val="24"/>
          <w:lang w:eastAsia="en-AU"/>
        </w:rPr>
        <w:t xml:space="preserve">ubsection 14(2) allows States and Territories to declare (subject to endorsement by the </w:t>
      </w:r>
      <w:proofErr w:type="gramStart"/>
      <w:r w:rsidRPr="00982922">
        <w:rPr>
          <w:rFonts w:eastAsia="Times New Roman" w:cs="Times New Roman"/>
          <w:color w:val="000000"/>
          <w:szCs w:val="24"/>
          <w:lang w:eastAsia="en-AU"/>
        </w:rPr>
        <w:t>Commonwealth Minister</w:t>
      </w:r>
      <w:proofErr w:type="gramEnd"/>
      <w:r w:rsidRPr="00982922">
        <w:rPr>
          <w:rFonts w:eastAsia="Times New Roman" w:cs="Times New Roman"/>
          <w:color w:val="000000"/>
          <w:szCs w:val="24"/>
          <w:lang w:eastAsia="en-AU"/>
        </w:rPr>
        <w:t xml:space="preserve">) that certain employers over which the Commonwealth would otherwise have jurisdiction are not national system employers. </w:t>
      </w:r>
      <w:r w:rsidRPr="00982922">
        <w:rPr>
          <w:rFonts w:cs="Times New Roman"/>
          <w:color w:val="000000"/>
          <w:szCs w:val="24"/>
          <w:shd w:val="clear" w:color="auto" w:fill="FFFFFF"/>
        </w:rPr>
        <w:t>The effect of an endorsed declaration is that an employer specified in it (and that employer’s employees) cease to be national system employers and national system employees.</w:t>
      </w:r>
    </w:p>
    <w:p w14:paraId="64F03A92" w14:textId="77777777" w:rsidR="007E642A" w:rsidRPr="00982922" w:rsidRDefault="007E642A" w:rsidP="00D27600">
      <w:pPr>
        <w:keepNext/>
        <w:tabs>
          <w:tab w:val="num" w:pos="720"/>
        </w:tabs>
        <w:spacing w:after="0" w:line="240" w:lineRule="auto"/>
        <w:ind w:right="748"/>
        <w:rPr>
          <w:rFonts w:eastAsia="Times New Roman" w:cs="Times New Roman"/>
          <w:szCs w:val="24"/>
          <w:lang w:eastAsia="en-AU"/>
        </w:rPr>
      </w:pPr>
    </w:p>
    <w:p w14:paraId="6F03DFFB" w14:textId="291FA95C" w:rsidR="007E642A" w:rsidRPr="00982922" w:rsidRDefault="007E642A" w:rsidP="00D27600">
      <w:pPr>
        <w:pStyle w:val="ListParagraph"/>
        <w:keepNext/>
        <w:numPr>
          <w:ilvl w:val="0"/>
          <w:numId w:val="18"/>
        </w:numPr>
        <w:tabs>
          <w:tab w:val="num" w:pos="720"/>
        </w:tabs>
        <w:spacing w:after="0" w:line="240" w:lineRule="auto"/>
        <w:ind w:right="748"/>
        <w:contextualSpacing w:val="0"/>
        <w:rPr>
          <w:rFonts w:eastAsia="Times New Roman" w:cs="Times New Roman"/>
          <w:szCs w:val="24"/>
          <w:lang w:eastAsia="en-AU"/>
        </w:rPr>
      </w:pPr>
      <w:r w:rsidRPr="00982922">
        <w:rPr>
          <w:rFonts w:eastAsia="Times New Roman" w:cs="Times New Roman"/>
          <w:szCs w:val="24"/>
          <w:lang w:eastAsia="en-AU"/>
        </w:rPr>
        <w:t xml:space="preserve">The </w:t>
      </w:r>
      <w:r w:rsidRPr="00982922">
        <w:rPr>
          <w:rFonts w:eastAsia="Times New Roman" w:cs="Times New Roman"/>
          <w:i/>
          <w:iCs/>
          <w:szCs w:val="24"/>
          <w:lang w:eastAsia="en-AU"/>
        </w:rPr>
        <w:t xml:space="preserve">Fair Work (State Declarations — employer not to be national system employer) Endorsement 2022 (No. 1) </w:t>
      </w:r>
      <w:r w:rsidRPr="00982922">
        <w:rPr>
          <w:rFonts w:eastAsia="Times New Roman" w:cs="Times New Roman"/>
          <w:szCs w:val="24"/>
          <w:lang w:eastAsia="en-AU"/>
        </w:rPr>
        <w:t xml:space="preserve">will endorse Western Australia’s declaration as in force on 1 January 2023 under the </w:t>
      </w:r>
      <w:r w:rsidRPr="00982922">
        <w:rPr>
          <w:rFonts w:eastAsia="Times New Roman" w:cs="Times New Roman"/>
          <w:i/>
          <w:iCs/>
          <w:szCs w:val="24"/>
          <w:lang w:eastAsia="en-AU"/>
        </w:rPr>
        <w:t xml:space="preserve">Industrial Relations (General) </w:t>
      </w:r>
      <w:r w:rsidRPr="00982922">
        <w:rPr>
          <w:rFonts w:eastAsia="Times New Roman" w:cs="Times New Roman"/>
          <w:i/>
          <w:iCs/>
          <w:szCs w:val="24"/>
          <w:lang w:eastAsia="en-AU"/>
        </w:rPr>
        <w:lastRenderedPageBreak/>
        <w:t xml:space="preserve">Regulations 1997 </w:t>
      </w:r>
      <w:r w:rsidRPr="00982922">
        <w:rPr>
          <w:rFonts w:eastAsia="Times New Roman" w:cs="Times New Roman"/>
          <w:szCs w:val="24"/>
          <w:lang w:eastAsia="en-AU"/>
        </w:rPr>
        <w:t>(WA) that 145 Western Australian local government and regional local government employers are not national system employers.</w:t>
      </w:r>
    </w:p>
    <w:p w14:paraId="02B4A470" w14:textId="77777777" w:rsidR="007E642A" w:rsidRPr="00982922" w:rsidRDefault="007E642A" w:rsidP="00D27600">
      <w:pPr>
        <w:keepNext/>
        <w:tabs>
          <w:tab w:val="num" w:pos="720"/>
        </w:tabs>
        <w:spacing w:after="0" w:line="240" w:lineRule="auto"/>
        <w:ind w:right="748"/>
        <w:rPr>
          <w:rFonts w:eastAsia="Times New Roman" w:cs="Times New Roman"/>
          <w:szCs w:val="24"/>
          <w:lang w:eastAsia="en-AU"/>
        </w:rPr>
      </w:pPr>
    </w:p>
    <w:p w14:paraId="671500BA" w14:textId="32D7CA6F" w:rsidR="007E642A" w:rsidRPr="00982922" w:rsidRDefault="007E642A" w:rsidP="00D27600">
      <w:pPr>
        <w:pStyle w:val="ListParagraph"/>
        <w:keepNext/>
        <w:numPr>
          <w:ilvl w:val="0"/>
          <w:numId w:val="18"/>
        </w:numPr>
        <w:tabs>
          <w:tab w:val="num" w:pos="720"/>
        </w:tabs>
        <w:spacing w:after="0" w:line="240" w:lineRule="auto"/>
        <w:ind w:right="748"/>
        <w:contextualSpacing w:val="0"/>
        <w:rPr>
          <w:rFonts w:eastAsia="Times New Roman" w:cs="Times New Roman"/>
          <w:szCs w:val="24"/>
          <w:lang w:eastAsia="en-AU"/>
        </w:rPr>
      </w:pPr>
      <w:r w:rsidRPr="00982922">
        <w:rPr>
          <w:rFonts w:eastAsia="Times New Roman" w:cs="Times New Roman"/>
          <w:szCs w:val="24"/>
          <w:lang w:eastAsia="en-AU"/>
        </w:rPr>
        <w:t>Division 1 of Part 6-4D provide</w:t>
      </w:r>
      <w:r w:rsidR="001334C0" w:rsidRPr="00982922">
        <w:rPr>
          <w:rFonts w:eastAsia="Times New Roman" w:cs="Times New Roman"/>
          <w:szCs w:val="24"/>
          <w:lang w:eastAsia="en-AU"/>
        </w:rPr>
        <w:t>s</w:t>
      </w:r>
      <w:r w:rsidRPr="00982922">
        <w:rPr>
          <w:rFonts w:eastAsia="Times New Roman" w:cs="Times New Roman"/>
          <w:szCs w:val="24"/>
          <w:lang w:eastAsia="en-AU"/>
        </w:rPr>
        <w:t xml:space="preserve"> for transitional matters relating to these Western Australian local government employers, employees, and organisations that represent them. </w:t>
      </w:r>
    </w:p>
    <w:p w14:paraId="2BC9C793" w14:textId="77777777" w:rsidR="007E642A" w:rsidRPr="00982922" w:rsidRDefault="007E642A" w:rsidP="00D27600">
      <w:pPr>
        <w:keepNext/>
        <w:spacing w:after="0" w:line="240" w:lineRule="auto"/>
        <w:ind w:right="748"/>
        <w:rPr>
          <w:rFonts w:eastAsia="Times New Roman" w:cs="Times New Roman"/>
          <w:szCs w:val="24"/>
          <w:lang w:eastAsia="en-AU"/>
        </w:rPr>
      </w:pPr>
    </w:p>
    <w:p w14:paraId="76FA2160" w14:textId="77777777" w:rsidR="007E642A" w:rsidRPr="00982922" w:rsidRDefault="007E642A" w:rsidP="00D27600">
      <w:pPr>
        <w:keepNext/>
        <w:spacing w:after="0" w:line="240" w:lineRule="auto"/>
        <w:ind w:right="748"/>
        <w:rPr>
          <w:rFonts w:eastAsia="Times New Roman" w:cs="Times New Roman"/>
          <w:i/>
          <w:iCs/>
          <w:szCs w:val="24"/>
          <w:lang w:eastAsia="en-AU"/>
        </w:rPr>
      </w:pPr>
      <w:r w:rsidRPr="00982922">
        <w:rPr>
          <w:rFonts w:eastAsia="Times New Roman" w:cs="Times New Roman"/>
          <w:i/>
          <w:iCs/>
          <w:szCs w:val="24"/>
          <w:lang w:eastAsia="en-AU"/>
        </w:rPr>
        <w:t>Regulation 6.07D </w:t>
      </w:r>
    </w:p>
    <w:p w14:paraId="74DF4AF2" w14:textId="77777777" w:rsidR="007E642A" w:rsidRPr="00982922" w:rsidRDefault="007E642A" w:rsidP="00D27600">
      <w:pPr>
        <w:keepNext/>
        <w:tabs>
          <w:tab w:val="num" w:pos="720"/>
        </w:tabs>
        <w:spacing w:after="0" w:line="240" w:lineRule="auto"/>
        <w:ind w:right="748"/>
        <w:rPr>
          <w:rFonts w:eastAsia="Times New Roman" w:cs="Times New Roman"/>
          <w:szCs w:val="24"/>
          <w:lang w:eastAsia="en-AU"/>
        </w:rPr>
      </w:pPr>
    </w:p>
    <w:p w14:paraId="354B157C" w14:textId="2525B685" w:rsidR="007E642A" w:rsidRDefault="007E642A" w:rsidP="00D27600">
      <w:pPr>
        <w:pStyle w:val="ListParagraph"/>
        <w:keepNext/>
        <w:numPr>
          <w:ilvl w:val="0"/>
          <w:numId w:val="18"/>
        </w:numPr>
        <w:tabs>
          <w:tab w:val="num" w:pos="720"/>
        </w:tabs>
        <w:spacing w:after="0" w:line="240" w:lineRule="auto"/>
        <w:ind w:right="748"/>
        <w:contextualSpacing w:val="0"/>
        <w:rPr>
          <w:rFonts w:eastAsia="Times New Roman" w:cs="Times New Roman"/>
          <w:szCs w:val="24"/>
          <w:lang w:eastAsia="en-AU"/>
        </w:rPr>
      </w:pPr>
      <w:r w:rsidRPr="00982922">
        <w:rPr>
          <w:rFonts w:eastAsia="Times New Roman" w:cs="Times New Roman"/>
          <w:szCs w:val="24"/>
          <w:lang w:eastAsia="en-AU"/>
        </w:rPr>
        <w:t>Regulation 6.07D provide</w:t>
      </w:r>
      <w:r w:rsidR="001334C0" w:rsidRPr="00982922">
        <w:rPr>
          <w:rFonts w:eastAsia="Times New Roman" w:cs="Times New Roman"/>
          <w:szCs w:val="24"/>
          <w:lang w:eastAsia="en-AU"/>
        </w:rPr>
        <w:t>s</w:t>
      </w:r>
      <w:r w:rsidRPr="00982922">
        <w:rPr>
          <w:rFonts w:eastAsia="Times New Roman" w:cs="Times New Roman"/>
          <w:szCs w:val="24"/>
          <w:lang w:eastAsia="en-AU"/>
        </w:rPr>
        <w:t xml:space="preserve"> definitions of terms used in Division 1. The following definitions </w:t>
      </w:r>
      <w:r w:rsidR="001334C0" w:rsidRPr="00982922">
        <w:rPr>
          <w:rFonts w:eastAsia="Times New Roman" w:cs="Times New Roman"/>
          <w:szCs w:val="24"/>
          <w:lang w:eastAsia="en-AU"/>
        </w:rPr>
        <w:t>are</w:t>
      </w:r>
      <w:r w:rsidRPr="00982922">
        <w:rPr>
          <w:rFonts w:eastAsia="Times New Roman" w:cs="Times New Roman"/>
          <w:szCs w:val="24"/>
          <w:lang w:eastAsia="en-AU"/>
        </w:rPr>
        <w:t xml:space="preserve"> included: </w:t>
      </w:r>
    </w:p>
    <w:p w14:paraId="07DC056E" w14:textId="77777777" w:rsidR="009D2405" w:rsidRPr="00982922" w:rsidRDefault="009D2405" w:rsidP="00D27600">
      <w:pPr>
        <w:pStyle w:val="ListParagraph"/>
        <w:keepNext/>
        <w:spacing w:after="0" w:line="240" w:lineRule="auto"/>
        <w:ind w:left="360" w:right="748"/>
        <w:contextualSpacing w:val="0"/>
        <w:rPr>
          <w:rFonts w:eastAsia="Times New Roman" w:cs="Times New Roman"/>
          <w:szCs w:val="24"/>
          <w:lang w:eastAsia="en-AU"/>
        </w:rPr>
      </w:pPr>
    </w:p>
    <w:p w14:paraId="1C83FB5C" w14:textId="77777777" w:rsidR="007E642A" w:rsidRPr="00982922" w:rsidRDefault="007E642A" w:rsidP="00D27600">
      <w:pPr>
        <w:pStyle w:val="ListParagraph"/>
        <w:keepNext/>
        <w:numPr>
          <w:ilvl w:val="0"/>
          <w:numId w:val="14"/>
        </w:numPr>
        <w:tabs>
          <w:tab w:val="num" w:pos="1437"/>
        </w:tabs>
        <w:spacing w:after="0" w:line="240" w:lineRule="auto"/>
        <w:ind w:left="1074" w:right="748" w:hanging="357"/>
        <w:contextualSpacing w:val="0"/>
        <w:rPr>
          <w:rFonts w:eastAsia="Times New Roman" w:cs="Times New Roman"/>
          <w:szCs w:val="24"/>
          <w:lang w:eastAsia="en-AU"/>
        </w:rPr>
      </w:pPr>
      <w:r w:rsidRPr="00982922">
        <w:rPr>
          <w:rFonts w:eastAsia="Times New Roman" w:cs="Times New Roman"/>
          <w:b/>
          <w:bCs/>
          <w:szCs w:val="24"/>
          <w:lang w:eastAsia="en-AU"/>
        </w:rPr>
        <w:t>endorsement</w:t>
      </w:r>
      <w:r w:rsidRPr="00982922">
        <w:rPr>
          <w:rFonts w:eastAsia="Times New Roman" w:cs="Times New Roman"/>
          <w:szCs w:val="24"/>
          <w:lang w:eastAsia="en-AU"/>
        </w:rPr>
        <w:t xml:space="preserve"> means the </w:t>
      </w:r>
      <w:r w:rsidRPr="00982922">
        <w:rPr>
          <w:rFonts w:eastAsia="Times New Roman" w:cs="Times New Roman"/>
          <w:i/>
          <w:iCs/>
          <w:szCs w:val="24"/>
          <w:lang w:eastAsia="en-AU"/>
        </w:rPr>
        <w:t>Fair Work (State Declarations—employers not to be national system employers) Endorsement 2022 (No. 1)</w:t>
      </w:r>
      <w:r w:rsidRPr="00982922">
        <w:rPr>
          <w:rFonts w:eastAsia="Times New Roman" w:cs="Times New Roman"/>
          <w:szCs w:val="24"/>
          <w:lang w:eastAsia="en-AU"/>
        </w:rPr>
        <w:t>. </w:t>
      </w:r>
    </w:p>
    <w:p w14:paraId="0E4EAC93" w14:textId="77777777" w:rsidR="007E642A" w:rsidRPr="00982922" w:rsidRDefault="007E642A" w:rsidP="00D27600">
      <w:pPr>
        <w:pStyle w:val="ListParagraph"/>
        <w:keepNext/>
        <w:spacing w:after="0" w:line="240" w:lineRule="auto"/>
        <w:ind w:left="1074" w:right="748"/>
        <w:contextualSpacing w:val="0"/>
        <w:rPr>
          <w:rFonts w:eastAsia="Times New Roman" w:cs="Times New Roman"/>
          <w:szCs w:val="24"/>
          <w:lang w:eastAsia="en-AU"/>
        </w:rPr>
      </w:pPr>
    </w:p>
    <w:p w14:paraId="7B3F470F" w14:textId="77777777" w:rsidR="007E642A" w:rsidRPr="00982922" w:rsidRDefault="007E642A" w:rsidP="00D27600">
      <w:pPr>
        <w:pStyle w:val="ListParagraph"/>
        <w:numPr>
          <w:ilvl w:val="0"/>
          <w:numId w:val="14"/>
        </w:numPr>
        <w:tabs>
          <w:tab w:val="num" w:pos="1437"/>
        </w:tabs>
        <w:spacing w:after="0" w:line="240" w:lineRule="auto"/>
        <w:ind w:left="1074" w:right="748" w:hanging="357"/>
        <w:contextualSpacing w:val="0"/>
        <w:rPr>
          <w:rFonts w:eastAsia="Times New Roman" w:cs="Times New Roman"/>
          <w:szCs w:val="24"/>
          <w:lang w:eastAsia="en-AU"/>
        </w:rPr>
      </w:pPr>
      <w:r w:rsidRPr="00982922">
        <w:rPr>
          <w:rFonts w:eastAsia="Times New Roman" w:cs="Times New Roman"/>
          <w:b/>
          <w:bCs/>
          <w:szCs w:val="24"/>
          <w:lang w:eastAsia="en-AU"/>
        </w:rPr>
        <w:t>non-preserved FWC application</w:t>
      </w:r>
      <w:r w:rsidRPr="00982922">
        <w:rPr>
          <w:rFonts w:eastAsia="Times New Roman" w:cs="Times New Roman"/>
          <w:szCs w:val="24"/>
          <w:lang w:eastAsia="en-AU"/>
        </w:rPr>
        <w:t xml:space="preserve"> means an application or referral that is not a ‘preserved FWC application’ that is made by a preserved affected person to the Fair Work Commission (FWC) in, or in relation to, the person’s capacity, or another person’s capacity, as a national system employer or national system employee at the time of the conduct that is the subject of the application or referral. </w:t>
      </w:r>
    </w:p>
    <w:p w14:paraId="45960B7A" w14:textId="77777777" w:rsidR="007E642A" w:rsidRPr="00982922" w:rsidRDefault="007E642A" w:rsidP="00D27600">
      <w:pPr>
        <w:pStyle w:val="ListParagraph"/>
        <w:spacing w:after="0" w:line="240" w:lineRule="auto"/>
        <w:ind w:left="1074" w:right="748"/>
        <w:contextualSpacing w:val="0"/>
        <w:rPr>
          <w:rFonts w:eastAsia="Times New Roman" w:cs="Times New Roman"/>
          <w:szCs w:val="24"/>
          <w:lang w:eastAsia="en-AU"/>
        </w:rPr>
      </w:pPr>
    </w:p>
    <w:p w14:paraId="28431912" w14:textId="77777777" w:rsidR="007E642A" w:rsidRPr="00982922" w:rsidRDefault="007E642A" w:rsidP="00D27600">
      <w:pPr>
        <w:pStyle w:val="ListParagraph"/>
        <w:spacing w:after="0" w:line="240" w:lineRule="auto"/>
        <w:ind w:left="1074" w:right="748"/>
        <w:contextualSpacing w:val="0"/>
        <w:rPr>
          <w:rFonts w:eastAsia="Times New Roman" w:cs="Times New Roman"/>
          <w:szCs w:val="24"/>
          <w:lang w:eastAsia="en-AU"/>
        </w:rPr>
      </w:pPr>
      <w:r w:rsidRPr="00982922">
        <w:rPr>
          <w:rFonts w:eastAsia="Times New Roman" w:cs="Times New Roman"/>
          <w:szCs w:val="24"/>
          <w:lang w:eastAsia="en-AU"/>
        </w:rPr>
        <w:t>Subparagraph (b)(ii) of the definition ensures that applications or referrals made by employer organisations on behalf of an employer; or employee organisations, registered employee associations or industrial associations on behalf of an employee, are captured by the definition.</w:t>
      </w:r>
    </w:p>
    <w:p w14:paraId="31258189" w14:textId="77777777" w:rsidR="007E642A" w:rsidRPr="00982922" w:rsidRDefault="007E642A" w:rsidP="00D27600">
      <w:pPr>
        <w:pStyle w:val="ListParagraph"/>
        <w:spacing w:after="0" w:line="240" w:lineRule="auto"/>
        <w:ind w:left="1074" w:right="748"/>
        <w:contextualSpacing w:val="0"/>
        <w:rPr>
          <w:rFonts w:eastAsia="Times New Roman" w:cs="Times New Roman"/>
          <w:szCs w:val="24"/>
          <w:lang w:eastAsia="en-AU"/>
        </w:rPr>
      </w:pPr>
    </w:p>
    <w:p w14:paraId="06E72EE1" w14:textId="77777777" w:rsidR="007E642A" w:rsidRPr="00982922" w:rsidRDefault="007E642A" w:rsidP="00D27600">
      <w:pPr>
        <w:pStyle w:val="ListParagraph"/>
        <w:spacing w:after="0" w:line="240" w:lineRule="auto"/>
        <w:ind w:left="1074" w:right="748"/>
        <w:contextualSpacing w:val="0"/>
        <w:rPr>
          <w:rFonts w:eastAsia="Times New Roman" w:cs="Times New Roman"/>
          <w:szCs w:val="24"/>
          <w:lang w:eastAsia="en-AU"/>
        </w:rPr>
      </w:pPr>
      <w:r w:rsidRPr="00982922">
        <w:rPr>
          <w:rFonts w:eastAsia="Times New Roman" w:cs="Times New Roman"/>
          <w:szCs w:val="24"/>
          <w:lang w:eastAsia="en-AU"/>
        </w:rPr>
        <w:t>A ‘non-preserved FWC application’ captures all FWC applications or referrals made in a person’s capacity as a national system employer or national system employee (or their representative) that is not captured by the definition of ‘preserved FWC application’.</w:t>
      </w:r>
    </w:p>
    <w:p w14:paraId="6DFE1380" w14:textId="77777777" w:rsidR="007E642A" w:rsidRPr="00982922" w:rsidRDefault="007E642A" w:rsidP="00D27600">
      <w:pPr>
        <w:pStyle w:val="ListParagraph"/>
        <w:spacing w:after="0" w:line="240" w:lineRule="auto"/>
        <w:ind w:left="1074" w:right="748"/>
        <w:contextualSpacing w:val="0"/>
        <w:rPr>
          <w:rFonts w:eastAsia="Times New Roman" w:cs="Times New Roman"/>
          <w:szCs w:val="24"/>
          <w:lang w:eastAsia="en-AU"/>
        </w:rPr>
      </w:pPr>
    </w:p>
    <w:p w14:paraId="473F0452" w14:textId="77777777" w:rsidR="007E642A" w:rsidRPr="00982922" w:rsidRDefault="007E642A" w:rsidP="00D27600">
      <w:pPr>
        <w:pStyle w:val="ListParagraph"/>
        <w:numPr>
          <w:ilvl w:val="0"/>
          <w:numId w:val="14"/>
        </w:numPr>
        <w:tabs>
          <w:tab w:val="num" w:pos="1437"/>
        </w:tabs>
        <w:spacing w:after="120" w:line="240" w:lineRule="auto"/>
        <w:ind w:left="1071" w:right="748" w:hanging="357"/>
        <w:contextualSpacing w:val="0"/>
        <w:rPr>
          <w:rFonts w:eastAsia="Times New Roman" w:cs="Times New Roman"/>
          <w:szCs w:val="24"/>
          <w:lang w:eastAsia="en-AU"/>
        </w:rPr>
      </w:pPr>
      <w:r w:rsidRPr="00982922">
        <w:rPr>
          <w:rFonts w:eastAsia="Times New Roman" w:cs="Times New Roman"/>
          <w:b/>
          <w:bCs/>
          <w:szCs w:val="24"/>
          <w:lang w:eastAsia="en-AU"/>
        </w:rPr>
        <w:t>preserved affected person</w:t>
      </w:r>
      <w:r w:rsidRPr="00982922">
        <w:rPr>
          <w:rFonts w:eastAsia="Times New Roman" w:cs="Times New Roman"/>
          <w:szCs w:val="24"/>
          <w:lang w:eastAsia="en-AU"/>
        </w:rPr>
        <w:t xml:space="preserve"> means any of the following: </w:t>
      </w:r>
    </w:p>
    <w:p w14:paraId="57958A24" w14:textId="77777777" w:rsidR="007E642A" w:rsidRPr="00982922" w:rsidRDefault="007E642A" w:rsidP="00D27600">
      <w:pPr>
        <w:tabs>
          <w:tab w:val="num" w:pos="720"/>
        </w:tabs>
        <w:spacing w:after="120" w:line="240" w:lineRule="auto"/>
        <w:ind w:left="1435" w:right="748"/>
        <w:rPr>
          <w:rFonts w:eastAsia="Times New Roman" w:cs="Times New Roman"/>
          <w:szCs w:val="24"/>
          <w:lang w:eastAsia="en-AU"/>
        </w:rPr>
      </w:pPr>
      <w:r w:rsidRPr="00982922">
        <w:rPr>
          <w:rFonts w:eastAsia="Times New Roman" w:cs="Times New Roman"/>
          <w:szCs w:val="24"/>
          <w:lang w:eastAsia="en-AU"/>
        </w:rPr>
        <w:t xml:space="preserve">(a) an employer listed in Schedule 1 to the endorsement. Schedule 1 to the endorsement lists 145 Western Australian local government and regional local government </w:t>
      </w:r>
      <w:proofErr w:type="gramStart"/>
      <w:r w:rsidRPr="00982922">
        <w:rPr>
          <w:rFonts w:eastAsia="Times New Roman" w:cs="Times New Roman"/>
          <w:szCs w:val="24"/>
          <w:lang w:eastAsia="en-AU"/>
        </w:rPr>
        <w:t>employers;</w:t>
      </w:r>
      <w:proofErr w:type="gramEnd"/>
      <w:r w:rsidRPr="00982922">
        <w:rPr>
          <w:rFonts w:eastAsia="Times New Roman" w:cs="Times New Roman"/>
          <w:szCs w:val="24"/>
          <w:lang w:eastAsia="en-AU"/>
        </w:rPr>
        <w:t> </w:t>
      </w:r>
    </w:p>
    <w:p w14:paraId="1EE16471" w14:textId="77777777" w:rsidR="007E642A" w:rsidRPr="00982922" w:rsidRDefault="007E642A" w:rsidP="00D27600">
      <w:pPr>
        <w:tabs>
          <w:tab w:val="num" w:pos="720"/>
        </w:tabs>
        <w:spacing w:after="120" w:line="240" w:lineRule="auto"/>
        <w:ind w:left="1435" w:right="748"/>
        <w:rPr>
          <w:rFonts w:eastAsia="Times New Roman" w:cs="Times New Roman"/>
          <w:szCs w:val="24"/>
          <w:lang w:eastAsia="en-AU"/>
        </w:rPr>
      </w:pPr>
      <w:r w:rsidRPr="00982922">
        <w:rPr>
          <w:rFonts w:eastAsia="Times New Roman" w:cs="Times New Roman"/>
          <w:szCs w:val="24"/>
          <w:lang w:eastAsia="en-AU"/>
        </w:rPr>
        <w:t>(b) an individual who, before the transition time, was employed or usually employed by, or a prospective employee of, a Western Australian local government employer mentioned in paragraph (a</w:t>
      </w:r>
      <w:proofErr w:type="gramStart"/>
      <w:r w:rsidRPr="00982922">
        <w:rPr>
          <w:rFonts w:eastAsia="Times New Roman" w:cs="Times New Roman"/>
          <w:szCs w:val="24"/>
          <w:lang w:eastAsia="en-AU"/>
        </w:rPr>
        <w:t>);</w:t>
      </w:r>
      <w:proofErr w:type="gramEnd"/>
      <w:r w:rsidRPr="00982922">
        <w:rPr>
          <w:rFonts w:eastAsia="Times New Roman" w:cs="Times New Roman"/>
          <w:szCs w:val="24"/>
          <w:lang w:eastAsia="en-AU"/>
        </w:rPr>
        <w:t> </w:t>
      </w:r>
    </w:p>
    <w:p w14:paraId="47D702F7" w14:textId="77777777" w:rsidR="007E642A" w:rsidRPr="00982922" w:rsidRDefault="007E642A" w:rsidP="00D27600">
      <w:pPr>
        <w:tabs>
          <w:tab w:val="num" w:pos="720"/>
        </w:tabs>
        <w:spacing w:after="120" w:line="240" w:lineRule="auto"/>
        <w:ind w:left="1435" w:right="748"/>
        <w:rPr>
          <w:rFonts w:eastAsia="Times New Roman" w:cs="Times New Roman"/>
          <w:szCs w:val="24"/>
          <w:lang w:eastAsia="en-AU"/>
        </w:rPr>
      </w:pPr>
      <w:r w:rsidRPr="00982922">
        <w:rPr>
          <w:rFonts w:eastAsia="Times New Roman" w:cs="Times New Roman"/>
          <w:szCs w:val="24"/>
          <w:lang w:eastAsia="en-AU"/>
        </w:rPr>
        <w:t xml:space="preserve">(c) an employer organisation of which an employer mentioned in paragraph (a) was a member before the transition </w:t>
      </w:r>
      <w:proofErr w:type="gramStart"/>
      <w:r w:rsidRPr="00982922">
        <w:rPr>
          <w:rFonts w:eastAsia="Times New Roman" w:cs="Times New Roman"/>
          <w:szCs w:val="24"/>
          <w:lang w:eastAsia="en-AU"/>
        </w:rPr>
        <w:t>time;</w:t>
      </w:r>
      <w:proofErr w:type="gramEnd"/>
    </w:p>
    <w:p w14:paraId="1E999540" w14:textId="13321F4D" w:rsidR="007E642A" w:rsidRDefault="007E642A" w:rsidP="00D27600">
      <w:pPr>
        <w:tabs>
          <w:tab w:val="num" w:pos="720"/>
        </w:tabs>
        <w:spacing w:after="0" w:line="240" w:lineRule="auto"/>
        <w:ind w:left="1437" w:right="748"/>
        <w:rPr>
          <w:rFonts w:eastAsia="Times New Roman" w:cs="Times New Roman"/>
          <w:szCs w:val="24"/>
          <w:lang w:eastAsia="en-AU"/>
        </w:rPr>
      </w:pPr>
      <w:r w:rsidRPr="00982922">
        <w:rPr>
          <w:rFonts w:eastAsia="Times New Roman" w:cs="Times New Roman"/>
          <w:szCs w:val="24"/>
          <w:lang w:eastAsia="en-AU"/>
        </w:rPr>
        <w:t>(d) an organisation or association which represented the industrial interests of an individual mentioned in paragraph (b) before the transition time. </w:t>
      </w:r>
    </w:p>
    <w:p w14:paraId="04E78C71" w14:textId="77777777" w:rsidR="00D27600" w:rsidRPr="00982922" w:rsidRDefault="00D27600" w:rsidP="00D27600">
      <w:pPr>
        <w:tabs>
          <w:tab w:val="num" w:pos="720"/>
        </w:tabs>
        <w:spacing w:after="0" w:line="240" w:lineRule="auto"/>
        <w:ind w:left="1437" w:right="748"/>
        <w:rPr>
          <w:rFonts w:eastAsia="Times New Roman" w:cs="Times New Roman"/>
          <w:szCs w:val="24"/>
          <w:lang w:eastAsia="en-AU"/>
        </w:rPr>
      </w:pPr>
    </w:p>
    <w:p w14:paraId="04FF71B9" w14:textId="77777777" w:rsidR="007E642A" w:rsidRPr="00982922" w:rsidRDefault="007E642A" w:rsidP="00D27600">
      <w:pPr>
        <w:pStyle w:val="ListParagraph"/>
        <w:numPr>
          <w:ilvl w:val="0"/>
          <w:numId w:val="14"/>
        </w:numPr>
        <w:tabs>
          <w:tab w:val="num" w:pos="1437"/>
        </w:tabs>
        <w:spacing w:after="0" w:line="240" w:lineRule="auto"/>
        <w:ind w:left="1074" w:right="748" w:hanging="357"/>
        <w:contextualSpacing w:val="0"/>
        <w:rPr>
          <w:rFonts w:eastAsia="Times New Roman" w:cs="Times New Roman"/>
          <w:szCs w:val="24"/>
          <w:lang w:eastAsia="en-AU"/>
        </w:rPr>
      </w:pPr>
      <w:r w:rsidRPr="00982922">
        <w:rPr>
          <w:rFonts w:eastAsia="Times New Roman" w:cs="Times New Roman"/>
          <w:b/>
          <w:bCs/>
          <w:szCs w:val="24"/>
          <w:lang w:eastAsia="en-AU"/>
        </w:rPr>
        <w:t>preserved FWC application</w:t>
      </w:r>
      <w:r w:rsidRPr="00982922">
        <w:rPr>
          <w:rFonts w:eastAsia="Times New Roman" w:cs="Times New Roman"/>
          <w:szCs w:val="24"/>
          <w:lang w:eastAsia="en-AU"/>
        </w:rPr>
        <w:t xml:space="preserve"> means an application or referral made by a preserved affected person to the FWC under a provision in Part 2-2 (the National Employment Standards), 3-2 (Unfair dismissal), 3-5 (Stand </w:t>
      </w:r>
      <w:r w:rsidRPr="00982922">
        <w:rPr>
          <w:rFonts w:eastAsia="Times New Roman" w:cs="Times New Roman"/>
          <w:szCs w:val="24"/>
          <w:lang w:eastAsia="en-AU"/>
        </w:rPr>
        <w:lastRenderedPageBreak/>
        <w:t>down), or 6-2 (Dealing with disputes) of the Fair Work Act that is made in, or in relation to, the person’s capacity, or another person’s capacity, at the time of the conduct that is the subject of the application or referral, as a national system employer or a national system employee. </w:t>
      </w:r>
    </w:p>
    <w:p w14:paraId="56BA85E5" w14:textId="77777777" w:rsidR="007E642A" w:rsidRPr="00982922" w:rsidRDefault="007E642A" w:rsidP="00D27600">
      <w:pPr>
        <w:pStyle w:val="ListParagraph"/>
        <w:keepNext/>
        <w:spacing w:after="0" w:line="240" w:lineRule="auto"/>
        <w:ind w:left="1074" w:right="748"/>
        <w:contextualSpacing w:val="0"/>
        <w:rPr>
          <w:rFonts w:eastAsia="Times New Roman" w:cs="Times New Roman"/>
          <w:szCs w:val="24"/>
          <w:lang w:eastAsia="en-AU"/>
        </w:rPr>
      </w:pPr>
    </w:p>
    <w:p w14:paraId="4CAF8B2A" w14:textId="5E11B3A7" w:rsidR="007E642A" w:rsidRPr="00982922" w:rsidRDefault="007E642A" w:rsidP="00D27600">
      <w:pPr>
        <w:pStyle w:val="ListParagraph"/>
        <w:keepNext/>
        <w:numPr>
          <w:ilvl w:val="0"/>
          <w:numId w:val="14"/>
        </w:numPr>
        <w:tabs>
          <w:tab w:val="num" w:pos="1437"/>
        </w:tabs>
        <w:spacing w:after="0" w:line="240" w:lineRule="auto"/>
        <w:ind w:left="1074" w:right="748" w:hanging="357"/>
        <w:contextualSpacing w:val="0"/>
        <w:rPr>
          <w:rFonts w:eastAsia="Times New Roman" w:cs="Times New Roman"/>
          <w:szCs w:val="24"/>
          <w:lang w:eastAsia="en-AU"/>
        </w:rPr>
      </w:pPr>
      <w:r w:rsidRPr="00982922">
        <w:rPr>
          <w:rFonts w:eastAsia="Times New Roman" w:cs="Times New Roman"/>
          <w:b/>
          <w:bCs/>
          <w:szCs w:val="24"/>
          <w:lang w:eastAsia="en-AU"/>
        </w:rPr>
        <w:t>transition time</w:t>
      </w:r>
      <w:r w:rsidRPr="00982922">
        <w:rPr>
          <w:rFonts w:eastAsia="Times New Roman" w:cs="Times New Roman"/>
          <w:szCs w:val="24"/>
          <w:lang w:eastAsia="en-AU"/>
        </w:rPr>
        <w:t xml:space="preserve"> means the time when the endorsement commences. The endorsement </w:t>
      </w:r>
      <w:r w:rsidR="00E2668D" w:rsidRPr="00982922">
        <w:rPr>
          <w:rFonts w:eastAsia="Times New Roman" w:cs="Times New Roman"/>
          <w:szCs w:val="24"/>
          <w:lang w:eastAsia="en-AU"/>
        </w:rPr>
        <w:t xml:space="preserve">will </w:t>
      </w:r>
      <w:r w:rsidRPr="00982922">
        <w:rPr>
          <w:rFonts w:eastAsia="Times New Roman" w:cs="Times New Roman"/>
          <w:szCs w:val="24"/>
          <w:lang w:eastAsia="en-AU"/>
        </w:rPr>
        <w:t>operate to transfer the 145 listed Western Australian local and regional government employers from the national system to the Western Australian State system. The Note explains that the endorsement commences on 1 January 2023.</w:t>
      </w:r>
    </w:p>
    <w:p w14:paraId="057AB675" w14:textId="77777777" w:rsidR="007E642A" w:rsidRPr="00982922" w:rsidRDefault="007E642A" w:rsidP="00D27600">
      <w:pPr>
        <w:tabs>
          <w:tab w:val="right" w:pos="8931"/>
        </w:tabs>
        <w:spacing w:after="0" w:line="240" w:lineRule="auto"/>
        <w:ind w:right="91"/>
        <w:rPr>
          <w:rFonts w:cs="Times New Roman"/>
          <w:szCs w:val="24"/>
        </w:rPr>
      </w:pPr>
    </w:p>
    <w:p w14:paraId="4FB66512" w14:textId="77777777" w:rsidR="007E642A" w:rsidRPr="00982922" w:rsidRDefault="007E642A" w:rsidP="00D27600">
      <w:pPr>
        <w:tabs>
          <w:tab w:val="right" w:pos="8931"/>
        </w:tabs>
        <w:spacing w:after="0" w:line="240" w:lineRule="auto"/>
        <w:ind w:right="91"/>
        <w:rPr>
          <w:rFonts w:cs="Times New Roman"/>
          <w:i/>
          <w:iCs/>
          <w:szCs w:val="24"/>
        </w:rPr>
      </w:pPr>
      <w:r w:rsidRPr="00982922">
        <w:rPr>
          <w:rFonts w:cs="Times New Roman"/>
          <w:i/>
          <w:iCs/>
          <w:szCs w:val="24"/>
        </w:rPr>
        <w:t xml:space="preserve">Regulation 6.07E – Purpose of this Division </w:t>
      </w:r>
    </w:p>
    <w:p w14:paraId="235030B8" w14:textId="77777777" w:rsidR="007E642A" w:rsidRPr="00982922" w:rsidRDefault="007E642A" w:rsidP="00D27600">
      <w:pPr>
        <w:tabs>
          <w:tab w:val="right" w:pos="8931"/>
        </w:tabs>
        <w:spacing w:after="0" w:line="240" w:lineRule="auto"/>
        <w:ind w:right="91"/>
        <w:rPr>
          <w:rFonts w:cs="Times New Roman"/>
          <w:szCs w:val="24"/>
        </w:rPr>
      </w:pPr>
    </w:p>
    <w:p w14:paraId="5669B9C4" w14:textId="2881D71C" w:rsidR="007E642A" w:rsidRPr="00982922" w:rsidRDefault="007E642A" w:rsidP="00D27600">
      <w:pPr>
        <w:pStyle w:val="ListParagraph"/>
        <w:numPr>
          <w:ilvl w:val="0"/>
          <w:numId w:val="18"/>
        </w:numPr>
        <w:tabs>
          <w:tab w:val="num" w:pos="720"/>
        </w:tabs>
        <w:spacing w:after="0" w:line="240" w:lineRule="auto"/>
        <w:ind w:right="748"/>
        <w:contextualSpacing w:val="0"/>
        <w:rPr>
          <w:rFonts w:eastAsia="Times New Roman" w:cs="Times New Roman"/>
          <w:szCs w:val="24"/>
          <w:lang w:eastAsia="en-AU"/>
        </w:rPr>
      </w:pPr>
      <w:r w:rsidRPr="00982922">
        <w:rPr>
          <w:rFonts w:eastAsia="Times New Roman" w:cs="Times New Roman"/>
          <w:szCs w:val="24"/>
          <w:lang w:eastAsia="en-AU"/>
        </w:rPr>
        <w:t>Regulation 6.07E clarif</w:t>
      </w:r>
      <w:r w:rsidR="006329CD" w:rsidRPr="00982922">
        <w:rPr>
          <w:rFonts w:eastAsia="Times New Roman" w:cs="Times New Roman"/>
          <w:szCs w:val="24"/>
          <w:lang w:eastAsia="en-AU"/>
        </w:rPr>
        <w:t>ies</w:t>
      </w:r>
      <w:r w:rsidRPr="00982922">
        <w:rPr>
          <w:rFonts w:eastAsia="Times New Roman" w:cs="Times New Roman"/>
          <w:szCs w:val="24"/>
          <w:lang w:eastAsia="en-AU"/>
        </w:rPr>
        <w:t xml:space="preserve"> that Division 1 </w:t>
      </w:r>
      <w:r w:rsidR="006A41B6">
        <w:rPr>
          <w:rFonts w:eastAsia="Times New Roman" w:cs="Times New Roman"/>
          <w:szCs w:val="24"/>
          <w:lang w:eastAsia="en-AU"/>
        </w:rPr>
        <w:t>is</w:t>
      </w:r>
      <w:r w:rsidRPr="00982922">
        <w:rPr>
          <w:rFonts w:eastAsia="Times New Roman" w:cs="Times New Roman"/>
          <w:szCs w:val="24"/>
          <w:lang w:eastAsia="en-AU"/>
        </w:rPr>
        <w:t xml:space="preserve"> made for the purposes of paragraphs 14A(1)(a) and (b) of the Fair Work Act. Section 14A of the Fair Work Act allows the Commonwealth to make regulations that provide for transitional arrangements where employers and employees cease to be national system employers and national system employees by virtue of section 14(2) of that Act. </w:t>
      </w:r>
    </w:p>
    <w:p w14:paraId="31087383" w14:textId="77777777" w:rsidR="007E642A" w:rsidRPr="00982922" w:rsidRDefault="007E642A" w:rsidP="00D27600">
      <w:pPr>
        <w:tabs>
          <w:tab w:val="num" w:pos="720"/>
        </w:tabs>
        <w:spacing w:after="0" w:line="240" w:lineRule="auto"/>
        <w:ind w:right="748"/>
        <w:rPr>
          <w:rFonts w:eastAsia="Times New Roman" w:cs="Times New Roman"/>
          <w:szCs w:val="24"/>
          <w:lang w:eastAsia="en-AU"/>
        </w:rPr>
      </w:pPr>
    </w:p>
    <w:p w14:paraId="2C44443B" w14:textId="2E39C3DA" w:rsidR="007E642A" w:rsidRPr="00982922" w:rsidRDefault="007E642A" w:rsidP="00D27600">
      <w:pPr>
        <w:pStyle w:val="ListParagraph"/>
        <w:numPr>
          <w:ilvl w:val="0"/>
          <w:numId w:val="18"/>
        </w:numPr>
        <w:tabs>
          <w:tab w:val="num" w:pos="720"/>
        </w:tabs>
        <w:spacing w:after="120" w:line="240" w:lineRule="auto"/>
        <w:ind w:right="748" w:hanging="357"/>
        <w:contextualSpacing w:val="0"/>
        <w:rPr>
          <w:rFonts w:eastAsia="Times New Roman" w:cs="Times New Roman"/>
          <w:szCs w:val="24"/>
          <w:lang w:eastAsia="en-AU"/>
        </w:rPr>
      </w:pPr>
      <w:r w:rsidRPr="00982922">
        <w:rPr>
          <w:rFonts w:eastAsia="Times New Roman" w:cs="Times New Roman"/>
          <w:szCs w:val="24"/>
          <w:lang w:eastAsia="en-AU"/>
        </w:rPr>
        <w:t xml:space="preserve">The Regulations only affect a person in their capacity as a national system employer or national system employee. A person </w:t>
      </w:r>
      <w:r w:rsidR="006329CD" w:rsidRPr="00982922">
        <w:rPr>
          <w:rFonts w:eastAsia="Times New Roman" w:cs="Times New Roman"/>
          <w:szCs w:val="24"/>
          <w:lang w:eastAsia="en-AU"/>
        </w:rPr>
        <w:t>will</w:t>
      </w:r>
      <w:r w:rsidRPr="00982922">
        <w:rPr>
          <w:rFonts w:eastAsia="Times New Roman" w:cs="Times New Roman"/>
          <w:szCs w:val="24"/>
          <w:lang w:eastAsia="en-AU"/>
        </w:rPr>
        <w:t xml:space="preserve"> still be able to make an application where it provides for such to be made in relation to:</w:t>
      </w:r>
    </w:p>
    <w:p w14:paraId="51FA4487" w14:textId="1114DF46" w:rsidR="007E642A" w:rsidRPr="00982922" w:rsidRDefault="007E642A" w:rsidP="00D27600">
      <w:pPr>
        <w:pStyle w:val="ListParagraph"/>
        <w:numPr>
          <w:ilvl w:val="0"/>
          <w:numId w:val="15"/>
        </w:numPr>
        <w:spacing w:after="120" w:line="240" w:lineRule="auto"/>
        <w:ind w:right="748" w:hanging="357"/>
        <w:contextualSpacing w:val="0"/>
        <w:rPr>
          <w:rFonts w:eastAsia="Times New Roman" w:cs="Times New Roman"/>
          <w:szCs w:val="24"/>
        </w:rPr>
      </w:pPr>
      <w:r w:rsidRPr="00982922">
        <w:rPr>
          <w:rFonts w:eastAsia="Times New Roman" w:cs="Times New Roman"/>
          <w:szCs w:val="24"/>
          <w:lang w:eastAsia="en-AU"/>
        </w:rPr>
        <w:t xml:space="preserve">a person’s status as an employee or employer </w:t>
      </w:r>
      <w:r w:rsidRPr="00982922">
        <w:rPr>
          <w:rFonts w:eastAsia="Times New Roman" w:cs="Times New Roman"/>
          <w:szCs w:val="24"/>
        </w:rPr>
        <w:t>within the ordinary meaning of those terms (for example, Part 6-4 (Additional provisions relating to termination of employment))</w:t>
      </w:r>
      <w:r w:rsidR="00302EA7">
        <w:rPr>
          <w:rFonts w:eastAsia="Times New Roman" w:cs="Times New Roman"/>
          <w:szCs w:val="24"/>
        </w:rPr>
        <w:t>;</w:t>
      </w:r>
      <w:r w:rsidRPr="00982922">
        <w:rPr>
          <w:rFonts w:eastAsia="Times New Roman" w:cs="Times New Roman"/>
          <w:szCs w:val="24"/>
        </w:rPr>
        <w:t xml:space="preserve"> and</w:t>
      </w:r>
    </w:p>
    <w:p w14:paraId="0923D89F" w14:textId="77777777" w:rsidR="007E642A" w:rsidRPr="00982922" w:rsidRDefault="007E642A" w:rsidP="00D27600">
      <w:pPr>
        <w:pStyle w:val="ListParagraph"/>
        <w:keepNext/>
        <w:numPr>
          <w:ilvl w:val="0"/>
          <w:numId w:val="15"/>
        </w:numPr>
        <w:spacing w:after="0" w:line="240" w:lineRule="auto"/>
        <w:ind w:right="748"/>
        <w:contextualSpacing w:val="0"/>
        <w:rPr>
          <w:rFonts w:eastAsia="Times New Roman" w:cs="Times New Roman"/>
          <w:szCs w:val="24"/>
        </w:rPr>
      </w:pPr>
      <w:r w:rsidRPr="00982922">
        <w:rPr>
          <w:rFonts w:eastAsia="Times New Roman" w:cs="Times New Roman"/>
          <w:szCs w:val="24"/>
        </w:rPr>
        <w:t>where a person is not a national system employer or national system employee (for example, Part 6-4B (Workers Bullied or Sexually Harassed at Work)).</w:t>
      </w:r>
    </w:p>
    <w:p w14:paraId="3F39FC9E" w14:textId="77777777" w:rsidR="007E642A" w:rsidRPr="00982922" w:rsidRDefault="007E642A" w:rsidP="00D27600">
      <w:pPr>
        <w:tabs>
          <w:tab w:val="right" w:pos="8931"/>
        </w:tabs>
        <w:spacing w:after="0" w:line="240" w:lineRule="auto"/>
        <w:ind w:right="91"/>
        <w:rPr>
          <w:rFonts w:cs="Times New Roman"/>
          <w:i/>
          <w:iCs/>
          <w:szCs w:val="24"/>
        </w:rPr>
      </w:pPr>
    </w:p>
    <w:p w14:paraId="2E9CFD5C" w14:textId="77777777" w:rsidR="007E642A" w:rsidRPr="00982922" w:rsidRDefault="007E642A" w:rsidP="00D27600">
      <w:pPr>
        <w:tabs>
          <w:tab w:val="right" w:pos="8931"/>
        </w:tabs>
        <w:spacing w:after="0" w:line="240" w:lineRule="auto"/>
        <w:ind w:right="91"/>
        <w:rPr>
          <w:rFonts w:cs="Times New Roman"/>
          <w:i/>
          <w:iCs/>
          <w:szCs w:val="24"/>
        </w:rPr>
      </w:pPr>
      <w:r w:rsidRPr="00982922">
        <w:rPr>
          <w:rFonts w:cs="Times New Roman"/>
          <w:i/>
          <w:iCs/>
          <w:szCs w:val="24"/>
        </w:rPr>
        <w:t>Regulation 6.07F Transitional – FWC matters </w:t>
      </w:r>
    </w:p>
    <w:p w14:paraId="57B08298" w14:textId="77777777" w:rsidR="007E642A" w:rsidRPr="00982922" w:rsidRDefault="007E642A" w:rsidP="00D27600">
      <w:pPr>
        <w:tabs>
          <w:tab w:val="right" w:pos="8931"/>
        </w:tabs>
        <w:spacing w:after="0" w:line="240" w:lineRule="auto"/>
        <w:ind w:right="91"/>
        <w:rPr>
          <w:rFonts w:cs="Times New Roman"/>
          <w:szCs w:val="24"/>
        </w:rPr>
      </w:pPr>
    </w:p>
    <w:p w14:paraId="298EE8B2" w14:textId="72BBC29D" w:rsidR="007E642A" w:rsidRPr="00982922" w:rsidRDefault="007E642A" w:rsidP="00D27600">
      <w:pPr>
        <w:pStyle w:val="ListParagraph"/>
        <w:numPr>
          <w:ilvl w:val="0"/>
          <w:numId w:val="18"/>
        </w:numPr>
        <w:spacing w:after="0" w:line="240" w:lineRule="auto"/>
        <w:ind w:right="91"/>
        <w:contextualSpacing w:val="0"/>
        <w:rPr>
          <w:rFonts w:eastAsia="Times New Roman" w:cs="Times New Roman"/>
          <w:szCs w:val="24"/>
          <w:lang w:eastAsia="en-AU"/>
        </w:rPr>
      </w:pPr>
      <w:r w:rsidRPr="00982922">
        <w:rPr>
          <w:rFonts w:eastAsia="Times New Roman" w:cs="Times New Roman"/>
          <w:szCs w:val="24"/>
          <w:lang w:eastAsia="en-AU"/>
        </w:rPr>
        <w:t>Regulation 6.07F set</w:t>
      </w:r>
      <w:r w:rsidR="00CD7D82" w:rsidRPr="00982922">
        <w:rPr>
          <w:rFonts w:eastAsia="Times New Roman" w:cs="Times New Roman"/>
          <w:szCs w:val="24"/>
          <w:lang w:eastAsia="en-AU"/>
        </w:rPr>
        <w:t>s</w:t>
      </w:r>
      <w:r w:rsidRPr="00982922">
        <w:rPr>
          <w:rFonts w:eastAsia="Times New Roman" w:cs="Times New Roman"/>
          <w:szCs w:val="24"/>
          <w:lang w:eastAsia="en-AU"/>
        </w:rPr>
        <w:t xml:space="preserve"> out the transitional arrangements for matters that are on foot before the FWC at the transition time, and the matters that may be determined in the national system after the transition date. </w:t>
      </w:r>
    </w:p>
    <w:p w14:paraId="6A81C895" w14:textId="77777777" w:rsidR="007E642A" w:rsidRPr="00982922" w:rsidRDefault="007E642A" w:rsidP="00D27600">
      <w:pPr>
        <w:pStyle w:val="ListParagraph"/>
        <w:spacing w:after="0" w:line="240" w:lineRule="auto"/>
        <w:ind w:right="91"/>
        <w:contextualSpacing w:val="0"/>
        <w:rPr>
          <w:rFonts w:eastAsia="Times New Roman" w:cs="Times New Roman"/>
          <w:szCs w:val="24"/>
          <w:lang w:eastAsia="en-AU"/>
        </w:rPr>
      </w:pPr>
    </w:p>
    <w:p w14:paraId="0FF8E6C1" w14:textId="2825F494" w:rsidR="007E642A" w:rsidRPr="00982922" w:rsidRDefault="007E642A" w:rsidP="00D27600">
      <w:pPr>
        <w:pStyle w:val="ListParagraph"/>
        <w:numPr>
          <w:ilvl w:val="0"/>
          <w:numId w:val="18"/>
        </w:numPr>
        <w:spacing w:after="0" w:line="240" w:lineRule="auto"/>
        <w:ind w:right="91"/>
        <w:contextualSpacing w:val="0"/>
        <w:rPr>
          <w:rFonts w:eastAsia="Times New Roman" w:cs="Times New Roman"/>
          <w:szCs w:val="24"/>
          <w:lang w:eastAsia="en-AU"/>
        </w:rPr>
      </w:pPr>
      <w:proofErr w:type="spellStart"/>
      <w:r w:rsidRPr="00982922">
        <w:rPr>
          <w:rFonts w:eastAsia="Times New Roman" w:cs="Times New Roman"/>
          <w:szCs w:val="24"/>
          <w:lang w:eastAsia="en-AU"/>
        </w:rPr>
        <w:t>Subregulations</w:t>
      </w:r>
      <w:proofErr w:type="spellEnd"/>
      <w:r w:rsidRPr="00982922">
        <w:rPr>
          <w:rFonts w:eastAsia="Times New Roman" w:cs="Times New Roman"/>
          <w:szCs w:val="24"/>
          <w:lang w:eastAsia="en-AU"/>
        </w:rPr>
        <w:t xml:space="preserve"> (1)-(3) provide transitional arrangements for applications made after the transition time in relation to conduct occurring before that time.</w:t>
      </w:r>
    </w:p>
    <w:p w14:paraId="5AB93FCC" w14:textId="77777777" w:rsidR="007E642A" w:rsidRPr="00982922" w:rsidRDefault="007E642A" w:rsidP="00D27600">
      <w:pPr>
        <w:pStyle w:val="ListParagraph"/>
        <w:spacing w:after="0" w:line="240" w:lineRule="auto"/>
        <w:ind w:right="91"/>
        <w:contextualSpacing w:val="0"/>
        <w:rPr>
          <w:rFonts w:eastAsia="Times New Roman" w:cs="Times New Roman"/>
          <w:szCs w:val="24"/>
          <w:lang w:eastAsia="en-AU"/>
        </w:rPr>
      </w:pPr>
    </w:p>
    <w:p w14:paraId="0FD14C1B" w14:textId="25708AC5" w:rsidR="007E642A" w:rsidRPr="00982922" w:rsidRDefault="007E642A" w:rsidP="00D27600">
      <w:pPr>
        <w:pStyle w:val="ListParagraph"/>
        <w:numPr>
          <w:ilvl w:val="0"/>
          <w:numId w:val="18"/>
        </w:numPr>
        <w:spacing w:after="0" w:line="240" w:lineRule="auto"/>
        <w:ind w:right="91"/>
        <w:contextualSpacing w:val="0"/>
        <w:rPr>
          <w:rFonts w:eastAsia="Times New Roman" w:cs="Times New Roman"/>
          <w:szCs w:val="24"/>
          <w:lang w:eastAsia="en-AU"/>
        </w:rPr>
      </w:pPr>
      <w:r w:rsidRPr="00982922">
        <w:rPr>
          <w:rFonts w:eastAsia="Times New Roman" w:cs="Times New Roman"/>
          <w:szCs w:val="24"/>
          <w:lang w:eastAsia="en-AU"/>
        </w:rPr>
        <w:t xml:space="preserve">A preserved affected person </w:t>
      </w:r>
      <w:r w:rsidR="00CD7D82" w:rsidRPr="00982922">
        <w:rPr>
          <w:rFonts w:eastAsia="Times New Roman" w:cs="Times New Roman"/>
          <w:szCs w:val="24"/>
          <w:lang w:eastAsia="en-AU"/>
        </w:rPr>
        <w:t>will</w:t>
      </w:r>
      <w:r w:rsidRPr="00982922">
        <w:rPr>
          <w:rFonts w:eastAsia="Times New Roman" w:cs="Times New Roman"/>
          <w:szCs w:val="24"/>
          <w:lang w:eastAsia="en-AU"/>
        </w:rPr>
        <w:t xml:space="preserve"> be able to make a preserved FWC application to the FWC in relation to conduct occurring before the transition time. It is intended that </w:t>
      </w:r>
      <w:proofErr w:type="spellStart"/>
      <w:r w:rsidRPr="00982922">
        <w:rPr>
          <w:rFonts w:eastAsia="Times New Roman" w:cs="Times New Roman"/>
          <w:szCs w:val="24"/>
          <w:lang w:eastAsia="en-AU"/>
        </w:rPr>
        <w:t>subregulation</w:t>
      </w:r>
      <w:proofErr w:type="spellEnd"/>
      <w:r w:rsidRPr="00982922">
        <w:rPr>
          <w:rFonts w:eastAsia="Times New Roman" w:cs="Times New Roman"/>
          <w:szCs w:val="24"/>
          <w:lang w:eastAsia="en-AU"/>
        </w:rPr>
        <w:t xml:space="preserve"> (1) </w:t>
      </w:r>
      <w:r w:rsidR="00CD7D82" w:rsidRPr="00982922">
        <w:rPr>
          <w:rFonts w:eastAsia="Times New Roman" w:cs="Times New Roman"/>
          <w:szCs w:val="24"/>
          <w:lang w:eastAsia="en-AU"/>
        </w:rPr>
        <w:t>will</w:t>
      </w:r>
      <w:r w:rsidRPr="00982922">
        <w:rPr>
          <w:rFonts w:eastAsia="Times New Roman" w:cs="Times New Roman"/>
          <w:szCs w:val="24"/>
          <w:lang w:eastAsia="en-AU"/>
        </w:rPr>
        <w:t xml:space="preserve"> preserve access to the FWC for applications that relate to a person’s individual employment rights and that are time limited (for example, applications relating to unfair dismissal under Part 3-2 of the Fair Work Act). </w:t>
      </w:r>
    </w:p>
    <w:p w14:paraId="2FC2700D" w14:textId="77777777" w:rsidR="00DF3B09" w:rsidRPr="00982922" w:rsidRDefault="00DF3B09" w:rsidP="00D27600">
      <w:pPr>
        <w:pStyle w:val="ListParagraph"/>
        <w:spacing w:after="0" w:line="240" w:lineRule="auto"/>
        <w:ind w:right="91"/>
        <w:contextualSpacing w:val="0"/>
        <w:rPr>
          <w:rFonts w:eastAsia="Times New Roman" w:cs="Times New Roman"/>
          <w:szCs w:val="24"/>
          <w:lang w:eastAsia="en-AU"/>
        </w:rPr>
      </w:pPr>
    </w:p>
    <w:p w14:paraId="6B6156DC" w14:textId="060FDA8A" w:rsidR="007E642A" w:rsidRPr="00982922" w:rsidRDefault="007E642A" w:rsidP="00D27600">
      <w:pPr>
        <w:pStyle w:val="ListParagraph"/>
        <w:numPr>
          <w:ilvl w:val="0"/>
          <w:numId w:val="18"/>
        </w:numPr>
        <w:spacing w:after="0" w:line="240" w:lineRule="auto"/>
        <w:ind w:right="91"/>
        <w:contextualSpacing w:val="0"/>
        <w:rPr>
          <w:rFonts w:eastAsia="Times New Roman" w:cs="Times New Roman"/>
          <w:szCs w:val="24"/>
          <w:lang w:eastAsia="en-AU"/>
        </w:rPr>
      </w:pPr>
      <w:proofErr w:type="spellStart"/>
      <w:r w:rsidRPr="00982922">
        <w:rPr>
          <w:rFonts w:eastAsia="Times New Roman" w:cs="Times New Roman"/>
          <w:szCs w:val="24"/>
          <w:lang w:eastAsia="en-AU"/>
        </w:rPr>
        <w:t>Subregulation</w:t>
      </w:r>
      <w:proofErr w:type="spellEnd"/>
      <w:r w:rsidRPr="00982922">
        <w:rPr>
          <w:rFonts w:eastAsia="Times New Roman" w:cs="Times New Roman"/>
          <w:szCs w:val="24"/>
          <w:lang w:eastAsia="en-AU"/>
        </w:rPr>
        <w:t xml:space="preserve"> (2) provide</w:t>
      </w:r>
      <w:r w:rsidR="00197BE4" w:rsidRPr="00982922">
        <w:rPr>
          <w:rFonts w:eastAsia="Times New Roman" w:cs="Times New Roman"/>
          <w:szCs w:val="24"/>
          <w:lang w:eastAsia="en-AU"/>
        </w:rPr>
        <w:t>s</w:t>
      </w:r>
      <w:r w:rsidRPr="00982922">
        <w:rPr>
          <w:rFonts w:eastAsia="Times New Roman" w:cs="Times New Roman"/>
          <w:szCs w:val="24"/>
          <w:lang w:eastAsia="en-AU"/>
        </w:rPr>
        <w:t xml:space="preserve"> the FWC with discretion to dismiss a preserved FWC application in certain circumstances where an application has been made to another body in relation to the same conduct. The FWC </w:t>
      </w:r>
      <w:r w:rsidR="00395FDA" w:rsidRPr="00982922">
        <w:rPr>
          <w:rFonts w:eastAsia="Times New Roman" w:cs="Times New Roman"/>
          <w:szCs w:val="24"/>
          <w:lang w:eastAsia="en-AU"/>
        </w:rPr>
        <w:t>will</w:t>
      </w:r>
      <w:r w:rsidRPr="00982922">
        <w:rPr>
          <w:rFonts w:eastAsia="Times New Roman" w:cs="Times New Roman"/>
          <w:szCs w:val="24"/>
          <w:lang w:eastAsia="en-AU"/>
        </w:rPr>
        <w:t xml:space="preserve"> be able to dismiss a preserved FWC application if satisfied that the other body is or will be dealing with the same or </w:t>
      </w:r>
      <w:r w:rsidRPr="00982922">
        <w:rPr>
          <w:rFonts w:eastAsia="Times New Roman" w:cs="Times New Roman"/>
          <w:szCs w:val="24"/>
          <w:lang w:eastAsia="en-AU"/>
        </w:rPr>
        <w:lastRenderedPageBreak/>
        <w:t xml:space="preserve">substantially the same matter and has available to it the same or substantially the same remedies the FWC </w:t>
      </w:r>
      <w:r w:rsidR="006A41B6">
        <w:rPr>
          <w:rFonts w:eastAsia="Times New Roman" w:cs="Times New Roman"/>
          <w:szCs w:val="24"/>
          <w:lang w:eastAsia="en-AU"/>
        </w:rPr>
        <w:t>will</w:t>
      </w:r>
      <w:r w:rsidRPr="00982922">
        <w:rPr>
          <w:rFonts w:eastAsia="Times New Roman" w:cs="Times New Roman"/>
          <w:szCs w:val="24"/>
          <w:lang w:eastAsia="en-AU"/>
        </w:rPr>
        <w:t xml:space="preserve"> be likely to apply. </w:t>
      </w:r>
    </w:p>
    <w:p w14:paraId="104E38D3" w14:textId="77777777" w:rsidR="007E642A" w:rsidRPr="00982922" w:rsidRDefault="007E642A" w:rsidP="00D27600">
      <w:pPr>
        <w:pStyle w:val="ListParagraph"/>
        <w:spacing w:after="0" w:line="240" w:lineRule="auto"/>
        <w:ind w:right="91"/>
        <w:contextualSpacing w:val="0"/>
        <w:rPr>
          <w:rFonts w:eastAsia="Times New Roman" w:cs="Times New Roman"/>
          <w:szCs w:val="24"/>
          <w:lang w:eastAsia="en-AU"/>
        </w:rPr>
      </w:pPr>
    </w:p>
    <w:p w14:paraId="23E6B6B8" w14:textId="36833AB5" w:rsidR="007E642A" w:rsidRPr="00982922" w:rsidRDefault="007E642A" w:rsidP="00D27600">
      <w:pPr>
        <w:pStyle w:val="ListParagraph"/>
        <w:numPr>
          <w:ilvl w:val="0"/>
          <w:numId w:val="18"/>
        </w:numPr>
        <w:spacing w:after="0" w:line="240" w:lineRule="auto"/>
        <w:ind w:right="91"/>
        <w:contextualSpacing w:val="0"/>
        <w:rPr>
          <w:rFonts w:eastAsia="Times New Roman" w:cs="Times New Roman"/>
          <w:szCs w:val="24"/>
          <w:lang w:eastAsia="en-AU"/>
        </w:rPr>
      </w:pPr>
      <w:r w:rsidRPr="00982922">
        <w:rPr>
          <w:rFonts w:eastAsia="Times New Roman" w:cs="Times New Roman"/>
          <w:szCs w:val="24"/>
          <w:lang w:eastAsia="en-AU"/>
        </w:rPr>
        <w:t xml:space="preserve">The intention is that giving the FWC this discretion </w:t>
      </w:r>
      <w:r w:rsidR="00395FDA" w:rsidRPr="00982922">
        <w:rPr>
          <w:rFonts w:eastAsia="Times New Roman" w:cs="Times New Roman"/>
          <w:szCs w:val="24"/>
          <w:lang w:eastAsia="en-AU"/>
        </w:rPr>
        <w:t>will</w:t>
      </w:r>
      <w:r w:rsidRPr="00982922">
        <w:rPr>
          <w:rFonts w:eastAsia="Times New Roman" w:cs="Times New Roman"/>
          <w:szCs w:val="24"/>
          <w:lang w:eastAsia="en-AU"/>
        </w:rPr>
        <w:t xml:space="preserve"> limit, to the extent possible, the ability of a person to seek the same remedies in both the national and Western Australian workplace relations systems. This </w:t>
      </w:r>
      <w:r w:rsidR="00395FDA" w:rsidRPr="00982922">
        <w:rPr>
          <w:rFonts w:eastAsia="Times New Roman" w:cs="Times New Roman"/>
          <w:szCs w:val="24"/>
          <w:lang w:eastAsia="en-AU"/>
        </w:rPr>
        <w:t>will</w:t>
      </w:r>
      <w:r w:rsidRPr="00982922">
        <w:rPr>
          <w:rFonts w:eastAsia="Times New Roman" w:cs="Times New Roman"/>
          <w:szCs w:val="24"/>
          <w:lang w:eastAsia="en-AU"/>
        </w:rPr>
        <w:t xml:space="preserve"> allow for FWC to determine if a second application by a person amounts to double-dipping in both systems </w:t>
      </w:r>
      <w:proofErr w:type="gramStart"/>
      <w:r w:rsidRPr="00982922">
        <w:rPr>
          <w:rFonts w:eastAsia="Times New Roman" w:cs="Times New Roman"/>
          <w:szCs w:val="24"/>
          <w:lang w:eastAsia="en-AU"/>
        </w:rPr>
        <w:t>or</w:t>
      </w:r>
      <w:proofErr w:type="gramEnd"/>
      <w:r w:rsidRPr="00982922">
        <w:rPr>
          <w:rFonts w:eastAsia="Times New Roman" w:cs="Times New Roman"/>
          <w:szCs w:val="24"/>
          <w:lang w:eastAsia="en-AU"/>
        </w:rPr>
        <w:t xml:space="preserve"> is a genuine, new application. </w:t>
      </w:r>
    </w:p>
    <w:p w14:paraId="64FC6FEE" w14:textId="77777777" w:rsidR="007E642A" w:rsidRPr="00982922" w:rsidRDefault="007E642A" w:rsidP="00D27600">
      <w:pPr>
        <w:pStyle w:val="ListParagraph"/>
        <w:tabs>
          <w:tab w:val="right" w:pos="8931"/>
        </w:tabs>
        <w:spacing w:after="0" w:line="240" w:lineRule="auto"/>
        <w:ind w:left="360" w:right="91"/>
        <w:contextualSpacing w:val="0"/>
        <w:rPr>
          <w:rFonts w:cs="Times New Roman"/>
          <w:szCs w:val="24"/>
        </w:rPr>
      </w:pPr>
    </w:p>
    <w:p w14:paraId="435EFB6A" w14:textId="719907C9" w:rsidR="007E642A" w:rsidRPr="00982922" w:rsidRDefault="007E642A" w:rsidP="00D27600">
      <w:pPr>
        <w:pStyle w:val="ListParagraph"/>
        <w:numPr>
          <w:ilvl w:val="0"/>
          <w:numId w:val="18"/>
        </w:numPr>
        <w:tabs>
          <w:tab w:val="right" w:pos="8931"/>
        </w:tabs>
        <w:spacing w:after="120" w:line="240" w:lineRule="auto"/>
        <w:ind w:right="748" w:hanging="357"/>
        <w:contextualSpacing w:val="0"/>
        <w:rPr>
          <w:rFonts w:cs="Times New Roman"/>
          <w:szCs w:val="24"/>
        </w:rPr>
      </w:pPr>
      <w:proofErr w:type="spellStart"/>
      <w:r w:rsidRPr="00982922">
        <w:rPr>
          <w:rFonts w:cs="Times New Roman"/>
          <w:szCs w:val="24"/>
        </w:rPr>
        <w:t>S</w:t>
      </w:r>
      <w:r w:rsidR="004D7AC4">
        <w:rPr>
          <w:rFonts w:cs="Times New Roman"/>
          <w:szCs w:val="24"/>
        </w:rPr>
        <w:t>u</w:t>
      </w:r>
      <w:r w:rsidRPr="00982922">
        <w:rPr>
          <w:rFonts w:cs="Times New Roman"/>
          <w:szCs w:val="24"/>
        </w:rPr>
        <w:t>bregulation</w:t>
      </w:r>
      <w:proofErr w:type="spellEnd"/>
      <w:r w:rsidRPr="00982922">
        <w:rPr>
          <w:rFonts w:cs="Times New Roman"/>
          <w:szCs w:val="24"/>
        </w:rPr>
        <w:t xml:space="preserve"> (3) clarif</w:t>
      </w:r>
      <w:r w:rsidR="00395FDA" w:rsidRPr="00982922">
        <w:rPr>
          <w:rFonts w:cs="Times New Roman"/>
          <w:szCs w:val="24"/>
        </w:rPr>
        <w:t>ies</w:t>
      </w:r>
      <w:r w:rsidRPr="00982922">
        <w:rPr>
          <w:rFonts w:cs="Times New Roman"/>
          <w:szCs w:val="24"/>
        </w:rPr>
        <w:t xml:space="preserve"> that </w:t>
      </w:r>
      <w:proofErr w:type="spellStart"/>
      <w:r w:rsidRPr="00982922">
        <w:rPr>
          <w:rFonts w:cs="Times New Roman"/>
          <w:szCs w:val="24"/>
        </w:rPr>
        <w:t>subregulation</w:t>
      </w:r>
      <w:proofErr w:type="spellEnd"/>
      <w:r w:rsidRPr="00982922">
        <w:rPr>
          <w:rFonts w:cs="Times New Roman"/>
          <w:szCs w:val="24"/>
        </w:rPr>
        <w:t xml:space="preserve"> (2) </w:t>
      </w:r>
      <w:r w:rsidR="00395FDA" w:rsidRPr="00982922">
        <w:rPr>
          <w:rFonts w:cs="Times New Roman"/>
          <w:szCs w:val="24"/>
        </w:rPr>
        <w:t>will</w:t>
      </w:r>
      <w:r w:rsidRPr="00982922">
        <w:rPr>
          <w:rFonts w:cs="Times New Roman"/>
          <w:szCs w:val="24"/>
        </w:rPr>
        <w:t xml:space="preserve"> not limit when the FWC can dismiss a preserved FWC application. The Notes:</w:t>
      </w:r>
    </w:p>
    <w:p w14:paraId="2DDFF850" w14:textId="77777777" w:rsidR="007E642A" w:rsidRPr="00982922" w:rsidRDefault="007E642A" w:rsidP="00D27600">
      <w:pPr>
        <w:pStyle w:val="ListParagraph"/>
        <w:numPr>
          <w:ilvl w:val="0"/>
          <w:numId w:val="16"/>
        </w:numPr>
        <w:tabs>
          <w:tab w:val="right" w:pos="8931"/>
        </w:tabs>
        <w:spacing w:after="120" w:line="240" w:lineRule="auto"/>
        <w:ind w:right="748" w:hanging="357"/>
        <w:contextualSpacing w:val="0"/>
        <w:rPr>
          <w:rFonts w:cs="Times New Roman"/>
          <w:szCs w:val="24"/>
        </w:rPr>
      </w:pPr>
      <w:r w:rsidRPr="00982922">
        <w:rPr>
          <w:rFonts w:cs="Times New Roman"/>
          <w:szCs w:val="24"/>
        </w:rPr>
        <w:t>refer to section 587 of the Fair Work Act in relation to other powers of the FWC to dismiss applications; and</w:t>
      </w:r>
    </w:p>
    <w:p w14:paraId="0445D0A2" w14:textId="77777777" w:rsidR="007E642A" w:rsidRPr="00982922" w:rsidRDefault="007E642A" w:rsidP="00D27600">
      <w:pPr>
        <w:pStyle w:val="ListParagraph"/>
        <w:numPr>
          <w:ilvl w:val="0"/>
          <w:numId w:val="16"/>
        </w:numPr>
        <w:tabs>
          <w:tab w:val="right" w:pos="8931"/>
        </w:tabs>
        <w:spacing w:after="0" w:line="240" w:lineRule="auto"/>
        <w:ind w:right="91"/>
        <w:contextualSpacing w:val="0"/>
        <w:rPr>
          <w:rFonts w:cs="Times New Roman"/>
          <w:szCs w:val="24"/>
        </w:rPr>
      </w:pPr>
      <w:r w:rsidRPr="00982922">
        <w:rPr>
          <w:rFonts w:cs="Times New Roman"/>
          <w:szCs w:val="24"/>
        </w:rPr>
        <w:t>specify that subsection 587(3) of the Fair Work Act makes clear that applications may be dismissed on the initiative of the FWC or on application by one of the parties.</w:t>
      </w:r>
    </w:p>
    <w:p w14:paraId="056199D7" w14:textId="77777777" w:rsidR="007E642A" w:rsidRPr="00982922" w:rsidRDefault="007E642A" w:rsidP="00D27600">
      <w:pPr>
        <w:tabs>
          <w:tab w:val="right" w:pos="8931"/>
        </w:tabs>
        <w:spacing w:after="0" w:line="240" w:lineRule="auto"/>
        <w:ind w:right="91"/>
        <w:rPr>
          <w:rFonts w:cs="Times New Roman"/>
          <w:szCs w:val="24"/>
        </w:rPr>
      </w:pPr>
    </w:p>
    <w:p w14:paraId="0C578F6C" w14:textId="3C98110A" w:rsidR="007E642A" w:rsidRPr="00982922" w:rsidRDefault="007E642A" w:rsidP="00D27600">
      <w:pPr>
        <w:pStyle w:val="ListParagraph"/>
        <w:numPr>
          <w:ilvl w:val="0"/>
          <w:numId w:val="18"/>
        </w:numPr>
        <w:tabs>
          <w:tab w:val="num" w:pos="720"/>
        </w:tabs>
        <w:spacing w:after="120" w:line="240" w:lineRule="auto"/>
        <w:ind w:right="748"/>
        <w:contextualSpacing w:val="0"/>
        <w:rPr>
          <w:rFonts w:eastAsia="Times New Roman" w:cs="Times New Roman"/>
          <w:szCs w:val="24"/>
          <w:lang w:eastAsia="en-AU"/>
        </w:rPr>
      </w:pPr>
      <w:proofErr w:type="spellStart"/>
      <w:r w:rsidRPr="00982922">
        <w:rPr>
          <w:rFonts w:eastAsia="Times New Roman" w:cs="Times New Roman"/>
          <w:szCs w:val="24"/>
          <w:lang w:eastAsia="en-AU"/>
        </w:rPr>
        <w:t>Subregulation</w:t>
      </w:r>
      <w:proofErr w:type="spellEnd"/>
      <w:r w:rsidRPr="00982922">
        <w:rPr>
          <w:rFonts w:eastAsia="Times New Roman" w:cs="Times New Roman"/>
          <w:szCs w:val="24"/>
          <w:lang w:eastAsia="en-AU"/>
        </w:rPr>
        <w:t xml:space="preserve"> (4) set</w:t>
      </w:r>
      <w:r w:rsidR="00E7060E" w:rsidRPr="00982922">
        <w:rPr>
          <w:rFonts w:eastAsia="Times New Roman" w:cs="Times New Roman"/>
          <w:szCs w:val="24"/>
          <w:lang w:eastAsia="en-AU"/>
        </w:rPr>
        <w:t>s</w:t>
      </w:r>
      <w:r w:rsidRPr="00982922">
        <w:rPr>
          <w:rFonts w:eastAsia="Times New Roman" w:cs="Times New Roman"/>
          <w:szCs w:val="24"/>
          <w:lang w:eastAsia="en-AU"/>
        </w:rPr>
        <w:t xml:space="preserve"> out the matters that the FWC </w:t>
      </w:r>
      <w:r w:rsidR="006A41B6">
        <w:rPr>
          <w:rFonts w:eastAsia="Times New Roman" w:cs="Times New Roman"/>
          <w:szCs w:val="24"/>
          <w:lang w:eastAsia="en-AU"/>
        </w:rPr>
        <w:t>will</w:t>
      </w:r>
      <w:r w:rsidRPr="00982922">
        <w:rPr>
          <w:rFonts w:eastAsia="Times New Roman" w:cs="Times New Roman"/>
          <w:szCs w:val="24"/>
          <w:lang w:eastAsia="en-AU"/>
        </w:rPr>
        <w:t xml:space="preserve"> be able to deal with, or continue to deal with, after the transition time, including: </w:t>
      </w:r>
    </w:p>
    <w:p w14:paraId="1625CC32" w14:textId="77777777" w:rsidR="007E642A" w:rsidRPr="00982922" w:rsidRDefault="007E642A" w:rsidP="00D27600">
      <w:pPr>
        <w:pStyle w:val="ListParagraph"/>
        <w:numPr>
          <w:ilvl w:val="0"/>
          <w:numId w:val="13"/>
        </w:numPr>
        <w:tabs>
          <w:tab w:val="num" w:pos="1080"/>
        </w:tabs>
        <w:spacing w:after="120" w:line="240" w:lineRule="auto"/>
        <w:ind w:left="1074" w:right="748" w:hanging="357"/>
        <w:contextualSpacing w:val="0"/>
        <w:rPr>
          <w:rFonts w:eastAsia="Times New Roman" w:cs="Times New Roman"/>
          <w:szCs w:val="24"/>
          <w:lang w:eastAsia="en-AU"/>
        </w:rPr>
      </w:pPr>
      <w:r w:rsidRPr="00982922">
        <w:rPr>
          <w:rFonts w:eastAsia="Times New Roman" w:cs="Times New Roman"/>
          <w:szCs w:val="24"/>
          <w:lang w:eastAsia="en-AU"/>
        </w:rPr>
        <w:t>matters commenced by a preserved FWC application (whether the application was made before or after the transition time); or </w:t>
      </w:r>
    </w:p>
    <w:p w14:paraId="43176937" w14:textId="77777777" w:rsidR="007E642A" w:rsidRPr="00982922" w:rsidRDefault="007E642A" w:rsidP="00D27600">
      <w:pPr>
        <w:pStyle w:val="ListParagraph"/>
        <w:numPr>
          <w:ilvl w:val="0"/>
          <w:numId w:val="13"/>
        </w:numPr>
        <w:tabs>
          <w:tab w:val="num" w:pos="1080"/>
        </w:tabs>
        <w:spacing w:after="120" w:line="240" w:lineRule="auto"/>
        <w:ind w:left="1074" w:right="748" w:hanging="357"/>
        <w:contextualSpacing w:val="0"/>
        <w:rPr>
          <w:rFonts w:eastAsia="Times New Roman" w:cs="Times New Roman"/>
          <w:szCs w:val="24"/>
          <w:lang w:eastAsia="en-AU"/>
        </w:rPr>
      </w:pPr>
      <w:r w:rsidRPr="00982922">
        <w:rPr>
          <w:rFonts w:eastAsia="Times New Roman" w:cs="Times New Roman"/>
          <w:szCs w:val="24"/>
          <w:lang w:eastAsia="en-AU"/>
        </w:rPr>
        <w:t>an appeal under section 604 of the Fair Work Act in respect of such a matter; or </w:t>
      </w:r>
    </w:p>
    <w:p w14:paraId="742C2EA8" w14:textId="77777777" w:rsidR="007E642A" w:rsidRPr="00982922" w:rsidRDefault="007E642A" w:rsidP="00D27600">
      <w:pPr>
        <w:pStyle w:val="ListParagraph"/>
        <w:numPr>
          <w:ilvl w:val="0"/>
          <w:numId w:val="13"/>
        </w:numPr>
        <w:tabs>
          <w:tab w:val="num" w:pos="1080"/>
        </w:tabs>
        <w:spacing w:after="120" w:line="240" w:lineRule="auto"/>
        <w:ind w:left="1074" w:right="748" w:hanging="357"/>
        <w:contextualSpacing w:val="0"/>
        <w:rPr>
          <w:rFonts w:eastAsia="Times New Roman" w:cs="Times New Roman"/>
          <w:szCs w:val="24"/>
          <w:lang w:eastAsia="en-AU"/>
        </w:rPr>
      </w:pPr>
      <w:r w:rsidRPr="00982922">
        <w:rPr>
          <w:rFonts w:eastAsia="Times New Roman" w:cs="Times New Roman"/>
          <w:szCs w:val="24"/>
          <w:lang w:eastAsia="en-AU"/>
        </w:rPr>
        <w:t>a review of a decision under section 605 of the Fair Work Act in respect of such a matter; or </w:t>
      </w:r>
    </w:p>
    <w:p w14:paraId="5E06CE67" w14:textId="77777777" w:rsidR="007E642A" w:rsidRPr="00982922" w:rsidRDefault="007E642A" w:rsidP="00D27600">
      <w:pPr>
        <w:pStyle w:val="ListParagraph"/>
        <w:numPr>
          <w:ilvl w:val="0"/>
          <w:numId w:val="13"/>
        </w:numPr>
        <w:tabs>
          <w:tab w:val="num" w:pos="1080"/>
        </w:tabs>
        <w:spacing w:after="120" w:line="240" w:lineRule="auto"/>
        <w:ind w:left="1074" w:right="748" w:hanging="357"/>
        <w:contextualSpacing w:val="0"/>
        <w:rPr>
          <w:rFonts w:eastAsia="Times New Roman" w:cs="Times New Roman"/>
          <w:szCs w:val="24"/>
          <w:lang w:eastAsia="en-AU"/>
        </w:rPr>
      </w:pPr>
      <w:r w:rsidRPr="00982922">
        <w:rPr>
          <w:rFonts w:eastAsia="Times New Roman" w:cs="Times New Roman"/>
          <w:szCs w:val="24"/>
          <w:lang w:eastAsia="en-AU"/>
        </w:rPr>
        <w:t xml:space="preserve">matters in respect of which </w:t>
      </w:r>
    </w:p>
    <w:p w14:paraId="46292A7F" w14:textId="77777777" w:rsidR="007E642A" w:rsidRPr="00982922" w:rsidRDefault="007E642A" w:rsidP="00D27600">
      <w:pPr>
        <w:pStyle w:val="ListParagraph"/>
        <w:numPr>
          <w:ilvl w:val="1"/>
          <w:numId w:val="13"/>
        </w:numPr>
        <w:tabs>
          <w:tab w:val="num" w:pos="1080"/>
        </w:tabs>
        <w:spacing w:after="120" w:line="240" w:lineRule="auto"/>
        <w:ind w:left="1797" w:right="748" w:hanging="357"/>
        <w:contextualSpacing w:val="0"/>
        <w:rPr>
          <w:rFonts w:eastAsia="Times New Roman" w:cs="Times New Roman"/>
          <w:szCs w:val="24"/>
          <w:lang w:eastAsia="en-AU"/>
        </w:rPr>
      </w:pPr>
      <w:r w:rsidRPr="00982922">
        <w:rPr>
          <w:rFonts w:eastAsia="Times New Roman" w:cs="Times New Roman"/>
          <w:szCs w:val="24"/>
          <w:lang w:eastAsia="en-AU"/>
        </w:rPr>
        <w:t>a question of law has been referred to the Federal Court under subsection 608(1) of the Fair Work Act; or</w:t>
      </w:r>
    </w:p>
    <w:p w14:paraId="34502540" w14:textId="77777777" w:rsidR="007E642A" w:rsidRPr="00982922" w:rsidRDefault="007E642A" w:rsidP="00D27600">
      <w:pPr>
        <w:pStyle w:val="ListParagraph"/>
        <w:numPr>
          <w:ilvl w:val="1"/>
          <w:numId w:val="13"/>
        </w:numPr>
        <w:tabs>
          <w:tab w:val="num" w:pos="1080"/>
        </w:tabs>
        <w:spacing w:after="120" w:line="240" w:lineRule="auto"/>
        <w:ind w:left="1797" w:right="748" w:hanging="357"/>
        <w:contextualSpacing w:val="0"/>
        <w:rPr>
          <w:rFonts w:eastAsia="Times New Roman" w:cs="Times New Roman"/>
          <w:szCs w:val="24"/>
          <w:lang w:eastAsia="en-AU"/>
        </w:rPr>
      </w:pPr>
      <w:r w:rsidRPr="00982922">
        <w:rPr>
          <w:rFonts w:eastAsia="Times New Roman" w:cs="Times New Roman"/>
          <w:szCs w:val="24"/>
          <w:lang w:eastAsia="en-AU"/>
        </w:rPr>
        <w:t xml:space="preserve">a court has exercised jurisdiction under section 562 of the Fair Work Act, section 39B of the </w:t>
      </w:r>
      <w:r w:rsidRPr="00982922">
        <w:rPr>
          <w:rFonts w:eastAsia="Times New Roman" w:cs="Times New Roman"/>
          <w:i/>
          <w:iCs/>
          <w:szCs w:val="24"/>
          <w:lang w:eastAsia="en-AU"/>
        </w:rPr>
        <w:t>Judiciary Act 1903</w:t>
      </w:r>
      <w:r w:rsidRPr="00982922">
        <w:rPr>
          <w:rFonts w:eastAsia="Times New Roman" w:cs="Times New Roman"/>
          <w:szCs w:val="24"/>
          <w:lang w:eastAsia="en-AU"/>
        </w:rPr>
        <w:t xml:space="preserve"> or paragraph 75(v) of the Constitution</w:t>
      </w:r>
    </w:p>
    <w:p w14:paraId="01B1DD4C" w14:textId="77777777" w:rsidR="007E642A" w:rsidRPr="00982922" w:rsidRDefault="007E642A" w:rsidP="00D27600">
      <w:pPr>
        <w:pStyle w:val="ListParagraph"/>
        <w:keepNext/>
        <w:tabs>
          <w:tab w:val="num" w:pos="720"/>
        </w:tabs>
        <w:spacing w:after="0" w:line="240" w:lineRule="auto"/>
        <w:ind w:left="1080" w:right="748"/>
        <w:contextualSpacing w:val="0"/>
        <w:rPr>
          <w:rFonts w:eastAsia="Times New Roman" w:cs="Times New Roman"/>
          <w:szCs w:val="24"/>
          <w:lang w:eastAsia="en-AU"/>
        </w:rPr>
      </w:pPr>
      <w:r w:rsidRPr="00982922">
        <w:rPr>
          <w:rFonts w:eastAsia="Times New Roman" w:cs="Times New Roman"/>
          <w:szCs w:val="24"/>
          <w:lang w:eastAsia="en-AU"/>
        </w:rPr>
        <w:t>(</w:t>
      </w:r>
      <w:proofErr w:type="gramStart"/>
      <w:r w:rsidRPr="00982922">
        <w:rPr>
          <w:rFonts w:eastAsia="Times New Roman" w:cs="Times New Roman"/>
          <w:szCs w:val="24"/>
          <w:lang w:eastAsia="en-AU"/>
        </w:rPr>
        <w:t>whether</w:t>
      </w:r>
      <w:proofErr w:type="gramEnd"/>
      <w:r w:rsidRPr="00982922">
        <w:rPr>
          <w:rFonts w:eastAsia="Times New Roman" w:cs="Times New Roman"/>
          <w:szCs w:val="24"/>
          <w:lang w:eastAsia="en-AU"/>
        </w:rPr>
        <w:t xml:space="preserve"> the referral occurs or the jurisdiction is first exercised before or after the transition time) that is relevant to a preserved affected person in the person’s capacity, at the time of the conduct relevant to the matter, as a national system employer or national system employee.</w:t>
      </w:r>
    </w:p>
    <w:p w14:paraId="1F83664E" w14:textId="77777777" w:rsidR="007E642A" w:rsidRPr="00982922" w:rsidRDefault="007E642A" w:rsidP="00D27600">
      <w:pPr>
        <w:keepNext/>
        <w:tabs>
          <w:tab w:val="num" w:pos="720"/>
        </w:tabs>
        <w:spacing w:after="0" w:line="240" w:lineRule="auto"/>
        <w:ind w:right="748"/>
        <w:rPr>
          <w:rFonts w:eastAsia="Times New Roman" w:cs="Times New Roman"/>
          <w:szCs w:val="24"/>
          <w:lang w:eastAsia="en-AU"/>
        </w:rPr>
      </w:pPr>
    </w:p>
    <w:p w14:paraId="0EF892F0" w14:textId="23D84B52" w:rsidR="007E642A" w:rsidRPr="00982922" w:rsidRDefault="007E642A" w:rsidP="00D27600">
      <w:pPr>
        <w:pStyle w:val="ListParagraph"/>
        <w:keepNext/>
        <w:numPr>
          <w:ilvl w:val="0"/>
          <w:numId w:val="18"/>
        </w:numPr>
        <w:tabs>
          <w:tab w:val="num" w:pos="720"/>
        </w:tabs>
        <w:spacing w:after="0" w:line="240" w:lineRule="auto"/>
        <w:ind w:right="748"/>
        <w:contextualSpacing w:val="0"/>
        <w:rPr>
          <w:rFonts w:eastAsia="Times New Roman" w:cs="Times New Roman"/>
          <w:szCs w:val="24"/>
          <w:lang w:eastAsia="en-AU"/>
        </w:rPr>
      </w:pPr>
      <w:r w:rsidRPr="00982922">
        <w:rPr>
          <w:rFonts w:eastAsia="Times New Roman" w:cs="Times New Roman"/>
          <w:szCs w:val="24"/>
          <w:lang w:eastAsia="en-AU"/>
        </w:rPr>
        <w:t>This provision operate</w:t>
      </w:r>
      <w:r w:rsidR="00713C50" w:rsidRPr="00982922">
        <w:rPr>
          <w:rFonts w:eastAsia="Times New Roman" w:cs="Times New Roman"/>
          <w:szCs w:val="24"/>
          <w:lang w:eastAsia="en-AU"/>
        </w:rPr>
        <w:t>s</w:t>
      </w:r>
      <w:r w:rsidRPr="00982922">
        <w:rPr>
          <w:rFonts w:eastAsia="Times New Roman" w:cs="Times New Roman"/>
          <w:szCs w:val="24"/>
          <w:lang w:eastAsia="en-AU"/>
        </w:rPr>
        <w:t xml:space="preserve"> to ensure that all matters relating to a preserved FWC application can be conclusively determined in the national system. This include</w:t>
      </w:r>
      <w:r w:rsidR="00713C50" w:rsidRPr="00982922">
        <w:rPr>
          <w:rFonts w:eastAsia="Times New Roman" w:cs="Times New Roman"/>
          <w:szCs w:val="24"/>
          <w:lang w:eastAsia="en-AU"/>
        </w:rPr>
        <w:t>s</w:t>
      </w:r>
      <w:r w:rsidRPr="00982922">
        <w:rPr>
          <w:rFonts w:eastAsia="Times New Roman" w:cs="Times New Roman"/>
          <w:szCs w:val="24"/>
          <w:lang w:eastAsia="en-AU"/>
        </w:rPr>
        <w:t xml:space="preserve"> matters that have been returned to the FWC following judicial review. Complexities and delays may arise should the processes relating to unfair dismissal, stand down, and disputes relating to individual employment rights processes not be preserved.</w:t>
      </w:r>
    </w:p>
    <w:p w14:paraId="7129A813" w14:textId="77777777" w:rsidR="007E642A" w:rsidRPr="00982922" w:rsidRDefault="007E642A" w:rsidP="00D27600">
      <w:pPr>
        <w:keepNext/>
        <w:tabs>
          <w:tab w:val="num" w:pos="720"/>
        </w:tabs>
        <w:spacing w:after="0" w:line="240" w:lineRule="auto"/>
        <w:ind w:right="748"/>
        <w:rPr>
          <w:rFonts w:eastAsia="Times New Roman" w:cs="Times New Roman"/>
          <w:szCs w:val="24"/>
          <w:lang w:eastAsia="en-AU"/>
        </w:rPr>
      </w:pPr>
    </w:p>
    <w:p w14:paraId="6621C528" w14:textId="392D06E3" w:rsidR="007E642A" w:rsidRPr="00982922" w:rsidRDefault="007E642A" w:rsidP="00D27600">
      <w:pPr>
        <w:pStyle w:val="ListParagraph"/>
        <w:keepNext/>
        <w:numPr>
          <w:ilvl w:val="0"/>
          <w:numId w:val="18"/>
        </w:numPr>
        <w:tabs>
          <w:tab w:val="num" w:pos="720"/>
        </w:tabs>
        <w:spacing w:after="0" w:line="240" w:lineRule="auto"/>
        <w:ind w:right="748"/>
        <w:contextualSpacing w:val="0"/>
        <w:rPr>
          <w:rFonts w:eastAsia="Times New Roman" w:cs="Times New Roman"/>
          <w:szCs w:val="24"/>
          <w:lang w:eastAsia="en-AU"/>
        </w:rPr>
      </w:pPr>
      <w:r w:rsidRPr="00982922">
        <w:rPr>
          <w:rFonts w:eastAsia="Times New Roman" w:cs="Times New Roman"/>
          <w:szCs w:val="24"/>
          <w:lang w:eastAsia="en-AU"/>
        </w:rPr>
        <w:t>In addition, paragraph (d) provide</w:t>
      </w:r>
      <w:r w:rsidR="00713C50" w:rsidRPr="00982922">
        <w:rPr>
          <w:rFonts w:eastAsia="Times New Roman" w:cs="Times New Roman"/>
          <w:szCs w:val="24"/>
          <w:lang w:eastAsia="en-AU"/>
        </w:rPr>
        <w:t>s</w:t>
      </w:r>
      <w:r w:rsidRPr="00982922">
        <w:rPr>
          <w:rFonts w:eastAsia="Times New Roman" w:cs="Times New Roman"/>
          <w:szCs w:val="24"/>
          <w:lang w:eastAsia="en-AU"/>
        </w:rPr>
        <w:t xml:space="preserve"> that matters commenced by any kind of application or referral, not just preserved FWC applications, </w:t>
      </w:r>
      <w:r w:rsidR="00713C50" w:rsidRPr="00982922">
        <w:rPr>
          <w:rFonts w:eastAsia="Times New Roman" w:cs="Times New Roman"/>
          <w:szCs w:val="24"/>
          <w:lang w:eastAsia="en-AU"/>
        </w:rPr>
        <w:t xml:space="preserve">will </w:t>
      </w:r>
      <w:r w:rsidRPr="00982922">
        <w:rPr>
          <w:rFonts w:eastAsia="Times New Roman" w:cs="Times New Roman"/>
          <w:szCs w:val="24"/>
          <w:lang w:eastAsia="en-AU"/>
        </w:rPr>
        <w:t xml:space="preserve">continue to be dealt with by the FWC in certain circumstances where a court has considered a </w:t>
      </w:r>
      <w:r w:rsidRPr="00982922">
        <w:rPr>
          <w:rFonts w:eastAsia="Times New Roman" w:cs="Times New Roman"/>
          <w:szCs w:val="24"/>
          <w:lang w:eastAsia="en-AU"/>
        </w:rPr>
        <w:lastRenderedPageBreak/>
        <w:t>question of law or exercised jurisdiction in respect of that matter. This mean</w:t>
      </w:r>
      <w:r w:rsidR="00C950C1" w:rsidRPr="00982922">
        <w:rPr>
          <w:rFonts w:eastAsia="Times New Roman" w:cs="Times New Roman"/>
          <w:szCs w:val="24"/>
          <w:lang w:eastAsia="en-AU"/>
        </w:rPr>
        <w:t>s</w:t>
      </w:r>
      <w:r w:rsidRPr="00982922">
        <w:rPr>
          <w:rFonts w:eastAsia="Times New Roman" w:cs="Times New Roman"/>
          <w:szCs w:val="24"/>
          <w:lang w:eastAsia="en-AU"/>
        </w:rPr>
        <w:t xml:space="preserve"> that court processes are not interfered with. The Note clarif</w:t>
      </w:r>
      <w:r w:rsidR="006A41B6">
        <w:rPr>
          <w:rFonts w:eastAsia="Times New Roman" w:cs="Times New Roman"/>
          <w:szCs w:val="24"/>
          <w:lang w:eastAsia="en-AU"/>
        </w:rPr>
        <w:t>ies</w:t>
      </w:r>
      <w:r w:rsidRPr="00982922">
        <w:rPr>
          <w:rFonts w:eastAsia="Times New Roman" w:cs="Times New Roman"/>
          <w:szCs w:val="24"/>
          <w:lang w:eastAsia="en-AU"/>
        </w:rPr>
        <w:t xml:space="preserve"> that paragraph 4(d) covers matters commenced by any kind of application or referral.</w:t>
      </w:r>
    </w:p>
    <w:p w14:paraId="38956ADF" w14:textId="77777777" w:rsidR="007E642A" w:rsidRPr="00982922" w:rsidRDefault="007E642A" w:rsidP="00D27600">
      <w:pPr>
        <w:keepNext/>
        <w:tabs>
          <w:tab w:val="num" w:pos="720"/>
        </w:tabs>
        <w:spacing w:after="0" w:line="240" w:lineRule="auto"/>
        <w:ind w:right="748"/>
        <w:rPr>
          <w:rFonts w:eastAsia="Times New Roman" w:cs="Times New Roman"/>
          <w:szCs w:val="24"/>
          <w:lang w:eastAsia="en-AU"/>
        </w:rPr>
      </w:pPr>
    </w:p>
    <w:p w14:paraId="5731B099" w14:textId="7F6BFEE3" w:rsidR="007E642A" w:rsidRPr="00982922" w:rsidRDefault="007E642A" w:rsidP="00D27600">
      <w:pPr>
        <w:pStyle w:val="ListParagraph"/>
        <w:keepNext/>
        <w:numPr>
          <w:ilvl w:val="0"/>
          <w:numId w:val="18"/>
        </w:numPr>
        <w:tabs>
          <w:tab w:val="num" w:pos="720"/>
        </w:tabs>
        <w:spacing w:after="0" w:line="240" w:lineRule="auto"/>
        <w:ind w:right="748"/>
        <w:contextualSpacing w:val="0"/>
        <w:rPr>
          <w:rFonts w:eastAsia="Times New Roman" w:cs="Times New Roman"/>
          <w:szCs w:val="24"/>
          <w:lang w:eastAsia="en-AU"/>
        </w:rPr>
      </w:pPr>
      <w:proofErr w:type="spellStart"/>
      <w:r w:rsidRPr="00982922">
        <w:rPr>
          <w:rFonts w:eastAsia="Times New Roman" w:cs="Times New Roman"/>
          <w:szCs w:val="24"/>
          <w:lang w:eastAsia="en-AU"/>
        </w:rPr>
        <w:t>Subregulation</w:t>
      </w:r>
      <w:proofErr w:type="spellEnd"/>
      <w:r w:rsidRPr="00982922">
        <w:rPr>
          <w:rFonts w:eastAsia="Times New Roman" w:cs="Times New Roman"/>
          <w:szCs w:val="24"/>
          <w:lang w:eastAsia="en-AU"/>
        </w:rPr>
        <w:t xml:space="preserve"> (5) prohibit</w:t>
      </w:r>
      <w:r w:rsidR="00C950C1" w:rsidRPr="00982922">
        <w:rPr>
          <w:rFonts w:eastAsia="Times New Roman" w:cs="Times New Roman"/>
          <w:szCs w:val="24"/>
          <w:lang w:eastAsia="en-AU"/>
        </w:rPr>
        <w:t>s</w:t>
      </w:r>
      <w:r w:rsidRPr="00982922">
        <w:rPr>
          <w:rFonts w:eastAsia="Times New Roman" w:cs="Times New Roman"/>
          <w:szCs w:val="24"/>
          <w:lang w:eastAsia="en-AU"/>
        </w:rPr>
        <w:t xml:space="preserve"> the FWC from dealing with, or continuing to deal with, a matter commenced by a non-preserved FWC application (whether the application was made before or after the transition time) other than a matter mentioned in paragraph (3)(d). </w:t>
      </w:r>
    </w:p>
    <w:p w14:paraId="2850B147" w14:textId="77777777" w:rsidR="007E642A" w:rsidRPr="00982922" w:rsidRDefault="007E642A" w:rsidP="00D27600">
      <w:pPr>
        <w:keepNext/>
        <w:tabs>
          <w:tab w:val="num" w:pos="720"/>
        </w:tabs>
        <w:spacing w:after="0" w:line="240" w:lineRule="auto"/>
        <w:ind w:right="748"/>
        <w:rPr>
          <w:rFonts w:eastAsia="Times New Roman" w:cs="Times New Roman"/>
          <w:szCs w:val="24"/>
          <w:lang w:eastAsia="en-AU"/>
        </w:rPr>
      </w:pPr>
    </w:p>
    <w:p w14:paraId="3AADC683" w14:textId="2DEBE1A8" w:rsidR="007E642A" w:rsidRPr="00982922" w:rsidRDefault="007E642A" w:rsidP="00D27600">
      <w:pPr>
        <w:pStyle w:val="ListParagraph"/>
        <w:keepNext/>
        <w:numPr>
          <w:ilvl w:val="0"/>
          <w:numId w:val="18"/>
        </w:numPr>
        <w:tabs>
          <w:tab w:val="num" w:pos="720"/>
        </w:tabs>
        <w:spacing w:after="0" w:line="240" w:lineRule="auto"/>
        <w:ind w:right="748"/>
        <w:contextualSpacing w:val="0"/>
        <w:rPr>
          <w:rFonts w:eastAsia="Times New Roman" w:cs="Times New Roman"/>
          <w:szCs w:val="24"/>
          <w:lang w:eastAsia="en-AU"/>
        </w:rPr>
      </w:pPr>
      <w:r w:rsidRPr="00982922">
        <w:rPr>
          <w:rFonts w:eastAsia="Times New Roman" w:cs="Times New Roman"/>
          <w:szCs w:val="24"/>
          <w:lang w:eastAsia="en-AU"/>
        </w:rPr>
        <w:t xml:space="preserve">This provision </w:t>
      </w:r>
      <w:r w:rsidR="00C950C1" w:rsidRPr="00982922">
        <w:rPr>
          <w:rFonts w:eastAsia="Times New Roman" w:cs="Times New Roman"/>
          <w:szCs w:val="24"/>
          <w:lang w:eastAsia="en-AU"/>
        </w:rPr>
        <w:t>is</w:t>
      </w:r>
      <w:r w:rsidRPr="00982922">
        <w:rPr>
          <w:rFonts w:eastAsia="Times New Roman" w:cs="Times New Roman"/>
          <w:szCs w:val="24"/>
          <w:lang w:eastAsia="en-AU"/>
        </w:rPr>
        <w:t xml:space="preserve"> intended to ensure that Commonwealth resources are not unnecessarily applied to dealing with matters concerning employers and employees who are no longer covered by the national system. Paragraph 4(d) ensure</w:t>
      </w:r>
      <w:r w:rsidR="003F37FF" w:rsidRPr="00982922">
        <w:rPr>
          <w:rFonts w:eastAsia="Times New Roman" w:cs="Times New Roman"/>
          <w:szCs w:val="24"/>
          <w:lang w:eastAsia="en-AU"/>
        </w:rPr>
        <w:t>s</w:t>
      </w:r>
      <w:r w:rsidRPr="00982922">
        <w:rPr>
          <w:rFonts w:eastAsia="Times New Roman" w:cs="Times New Roman"/>
          <w:szCs w:val="24"/>
          <w:lang w:eastAsia="en-AU"/>
        </w:rPr>
        <w:t xml:space="preserve"> that court processes are not interfered with in respect of these matters. </w:t>
      </w:r>
    </w:p>
    <w:p w14:paraId="37A561A3" w14:textId="77777777" w:rsidR="007E642A" w:rsidRPr="00982922" w:rsidRDefault="007E642A" w:rsidP="00D27600">
      <w:pPr>
        <w:keepNext/>
        <w:tabs>
          <w:tab w:val="num" w:pos="720"/>
        </w:tabs>
        <w:spacing w:after="0" w:line="240" w:lineRule="auto"/>
        <w:ind w:right="748"/>
        <w:rPr>
          <w:rFonts w:eastAsia="Times New Roman" w:cs="Times New Roman"/>
          <w:szCs w:val="24"/>
          <w:lang w:eastAsia="en-AU"/>
        </w:rPr>
      </w:pPr>
    </w:p>
    <w:p w14:paraId="5E9F8015" w14:textId="77777777" w:rsidR="007E642A" w:rsidRPr="00982922" w:rsidRDefault="007E642A" w:rsidP="00D27600">
      <w:pPr>
        <w:tabs>
          <w:tab w:val="right" w:pos="8931"/>
        </w:tabs>
        <w:spacing w:after="0" w:line="240" w:lineRule="auto"/>
        <w:ind w:right="91"/>
        <w:rPr>
          <w:rFonts w:cs="Times New Roman"/>
          <w:i/>
          <w:iCs/>
          <w:szCs w:val="24"/>
        </w:rPr>
      </w:pPr>
      <w:r w:rsidRPr="00982922">
        <w:rPr>
          <w:rFonts w:cs="Times New Roman"/>
          <w:i/>
          <w:iCs/>
          <w:szCs w:val="24"/>
        </w:rPr>
        <w:t>Regulation 6.07G – Court proceedings </w:t>
      </w:r>
    </w:p>
    <w:p w14:paraId="2801859D" w14:textId="77777777" w:rsidR="007E642A" w:rsidRPr="00982922" w:rsidRDefault="007E642A" w:rsidP="00D27600">
      <w:pPr>
        <w:tabs>
          <w:tab w:val="right" w:pos="8931"/>
        </w:tabs>
        <w:spacing w:after="0" w:line="240" w:lineRule="auto"/>
        <w:ind w:right="91"/>
        <w:rPr>
          <w:rFonts w:cs="Times New Roman"/>
          <w:szCs w:val="24"/>
        </w:rPr>
      </w:pPr>
    </w:p>
    <w:p w14:paraId="5D6FA5A9" w14:textId="2E642277" w:rsidR="007E642A" w:rsidRDefault="007E642A" w:rsidP="00D27600">
      <w:pPr>
        <w:pStyle w:val="ListParagraph"/>
        <w:numPr>
          <w:ilvl w:val="0"/>
          <w:numId w:val="18"/>
        </w:numPr>
        <w:spacing w:after="0" w:line="240" w:lineRule="auto"/>
        <w:contextualSpacing w:val="0"/>
        <w:rPr>
          <w:rFonts w:eastAsia="Times New Roman" w:cs="Times New Roman"/>
          <w:szCs w:val="24"/>
          <w:lang w:eastAsia="en-AU"/>
        </w:rPr>
      </w:pPr>
      <w:r w:rsidRPr="00982922">
        <w:rPr>
          <w:rFonts w:eastAsia="Times New Roman" w:cs="Times New Roman"/>
          <w:szCs w:val="24"/>
          <w:lang w:eastAsia="en-AU"/>
        </w:rPr>
        <w:t>Regulation 6.07G set</w:t>
      </w:r>
      <w:r w:rsidR="003F37FF" w:rsidRPr="00982922">
        <w:rPr>
          <w:rFonts w:eastAsia="Times New Roman" w:cs="Times New Roman"/>
          <w:szCs w:val="24"/>
          <w:lang w:eastAsia="en-AU"/>
        </w:rPr>
        <w:t>s</w:t>
      </w:r>
      <w:r w:rsidRPr="00982922">
        <w:rPr>
          <w:rFonts w:eastAsia="Times New Roman" w:cs="Times New Roman"/>
          <w:szCs w:val="24"/>
          <w:lang w:eastAsia="en-AU"/>
        </w:rPr>
        <w:t xml:space="preserve"> out the transitional arrangements for all proceedings before the courts. </w:t>
      </w:r>
    </w:p>
    <w:p w14:paraId="528B0A44" w14:textId="77777777" w:rsidR="00D27600" w:rsidRPr="00982922" w:rsidRDefault="00D27600" w:rsidP="00D27600">
      <w:pPr>
        <w:pStyle w:val="ListParagraph"/>
        <w:spacing w:after="0" w:line="240" w:lineRule="auto"/>
        <w:ind w:left="360"/>
        <w:contextualSpacing w:val="0"/>
        <w:rPr>
          <w:rFonts w:eastAsia="Times New Roman" w:cs="Times New Roman"/>
          <w:szCs w:val="24"/>
          <w:lang w:eastAsia="en-AU"/>
        </w:rPr>
      </w:pPr>
    </w:p>
    <w:p w14:paraId="1F332521" w14:textId="47A48134" w:rsidR="007E642A" w:rsidRPr="00982922" w:rsidRDefault="007E642A" w:rsidP="00D27600">
      <w:pPr>
        <w:pStyle w:val="ListParagraph"/>
        <w:numPr>
          <w:ilvl w:val="0"/>
          <w:numId w:val="18"/>
        </w:numPr>
        <w:spacing w:after="0" w:line="240" w:lineRule="auto"/>
        <w:contextualSpacing w:val="0"/>
        <w:rPr>
          <w:rFonts w:eastAsia="Times New Roman" w:cs="Times New Roman"/>
          <w:szCs w:val="24"/>
          <w:lang w:eastAsia="en-AU"/>
        </w:rPr>
      </w:pPr>
      <w:proofErr w:type="spellStart"/>
      <w:r w:rsidRPr="00982922">
        <w:rPr>
          <w:rFonts w:eastAsia="Times New Roman" w:cs="Times New Roman"/>
          <w:szCs w:val="24"/>
          <w:lang w:eastAsia="en-AU"/>
        </w:rPr>
        <w:t>Subregulation</w:t>
      </w:r>
      <w:proofErr w:type="spellEnd"/>
      <w:r w:rsidRPr="00982922">
        <w:rPr>
          <w:rFonts w:eastAsia="Times New Roman" w:cs="Times New Roman"/>
          <w:szCs w:val="24"/>
          <w:lang w:eastAsia="en-AU"/>
        </w:rPr>
        <w:t xml:space="preserve"> (1) provide</w:t>
      </w:r>
      <w:r w:rsidR="003F37FF" w:rsidRPr="00982922">
        <w:rPr>
          <w:rFonts w:eastAsia="Times New Roman" w:cs="Times New Roman"/>
          <w:szCs w:val="24"/>
          <w:lang w:eastAsia="en-AU"/>
        </w:rPr>
        <w:t>s</w:t>
      </w:r>
      <w:r w:rsidRPr="00982922">
        <w:rPr>
          <w:rFonts w:eastAsia="Times New Roman" w:cs="Times New Roman"/>
          <w:szCs w:val="24"/>
          <w:lang w:eastAsia="en-AU"/>
        </w:rPr>
        <w:t xml:space="preserve"> that, after the transition time, a preserved affected person can institute proceedings in relation to conduct occurring before the transition time as if they were still a national system employer or national system employee. </w:t>
      </w:r>
    </w:p>
    <w:p w14:paraId="0F66EF76" w14:textId="77777777" w:rsidR="00987ED1" w:rsidRPr="00982922" w:rsidRDefault="00987ED1" w:rsidP="00D27600">
      <w:pPr>
        <w:pStyle w:val="ListParagraph"/>
        <w:spacing w:after="0" w:line="240" w:lineRule="auto"/>
        <w:contextualSpacing w:val="0"/>
        <w:rPr>
          <w:rFonts w:eastAsia="Times New Roman" w:cs="Times New Roman"/>
          <w:szCs w:val="24"/>
          <w:lang w:eastAsia="en-AU"/>
        </w:rPr>
      </w:pPr>
    </w:p>
    <w:p w14:paraId="08242993" w14:textId="688640D8" w:rsidR="007E642A" w:rsidRPr="00982922" w:rsidRDefault="007E642A" w:rsidP="00D27600">
      <w:pPr>
        <w:pStyle w:val="ListParagraph"/>
        <w:numPr>
          <w:ilvl w:val="0"/>
          <w:numId w:val="18"/>
        </w:numPr>
        <w:spacing w:after="0" w:line="240" w:lineRule="auto"/>
        <w:contextualSpacing w:val="0"/>
        <w:rPr>
          <w:rFonts w:eastAsia="Times New Roman" w:cs="Times New Roman"/>
          <w:szCs w:val="24"/>
          <w:lang w:eastAsia="en-AU"/>
        </w:rPr>
      </w:pPr>
      <w:r w:rsidRPr="00982922">
        <w:rPr>
          <w:rFonts w:eastAsia="Times New Roman" w:cs="Times New Roman"/>
          <w:szCs w:val="24"/>
          <w:lang w:eastAsia="en-AU"/>
        </w:rPr>
        <w:t xml:space="preserve">Employer organisations, employee organisations, registered employee associations or industrial associations </w:t>
      </w:r>
      <w:r w:rsidR="003F37FF" w:rsidRPr="00982922">
        <w:rPr>
          <w:rFonts w:eastAsia="Times New Roman" w:cs="Times New Roman"/>
          <w:szCs w:val="24"/>
          <w:lang w:eastAsia="en-AU"/>
        </w:rPr>
        <w:t>will</w:t>
      </w:r>
      <w:r w:rsidRPr="00982922">
        <w:rPr>
          <w:rFonts w:eastAsia="Times New Roman" w:cs="Times New Roman"/>
          <w:szCs w:val="24"/>
          <w:lang w:eastAsia="en-AU"/>
        </w:rPr>
        <w:t xml:space="preserve"> also be able to institute proceedings on behalf of a person in relation to conduct before the transition time. These bodies </w:t>
      </w:r>
      <w:r w:rsidR="003F37FF" w:rsidRPr="00982922">
        <w:rPr>
          <w:rFonts w:eastAsia="Times New Roman" w:cs="Times New Roman"/>
          <w:szCs w:val="24"/>
          <w:lang w:eastAsia="en-AU"/>
        </w:rPr>
        <w:t>will</w:t>
      </w:r>
      <w:r w:rsidRPr="00982922">
        <w:rPr>
          <w:rFonts w:eastAsia="Times New Roman" w:cs="Times New Roman"/>
          <w:szCs w:val="24"/>
          <w:lang w:eastAsia="en-AU"/>
        </w:rPr>
        <w:t xml:space="preserve"> be able to institute proceedings as if the person was still a national system employer or a national system employee, and as if the person is a still a member of the organisation (in the case of an employer representative) or still represents their interests (in the case of an employee representative). </w:t>
      </w:r>
    </w:p>
    <w:p w14:paraId="62A8D7F6" w14:textId="77777777" w:rsidR="00987ED1" w:rsidRPr="00982922" w:rsidRDefault="00987ED1" w:rsidP="00D27600">
      <w:pPr>
        <w:pStyle w:val="ListParagraph"/>
        <w:spacing w:after="0" w:line="240" w:lineRule="auto"/>
        <w:contextualSpacing w:val="0"/>
        <w:rPr>
          <w:rFonts w:eastAsia="Times New Roman" w:cs="Times New Roman"/>
          <w:szCs w:val="24"/>
          <w:lang w:eastAsia="en-AU"/>
        </w:rPr>
      </w:pPr>
    </w:p>
    <w:p w14:paraId="6E5BA3EC" w14:textId="1A032165" w:rsidR="007E642A" w:rsidRPr="00982922" w:rsidRDefault="007E642A" w:rsidP="00D27600">
      <w:pPr>
        <w:pStyle w:val="ListParagraph"/>
        <w:numPr>
          <w:ilvl w:val="0"/>
          <w:numId w:val="18"/>
        </w:numPr>
        <w:spacing w:after="120" w:line="240" w:lineRule="auto"/>
        <w:ind w:right="748" w:hanging="357"/>
        <w:contextualSpacing w:val="0"/>
        <w:rPr>
          <w:rFonts w:eastAsia="Times New Roman" w:cs="Times New Roman"/>
          <w:szCs w:val="24"/>
          <w:lang w:eastAsia="en-AU"/>
        </w:rPr>
      </w:pPr>
      <w:proofErr w:type="spellStart"/>
      <w:r w:rsidRPr="00982922">
        <w:rPr>
          <w:rFonts w:eastAsia="Times New Roman" w:cs="Times New Roman"/>
          <w:szCs w:val="24"/>
          <w:lang w:eastAsia="en-AU"/>
        </w:rPr>
        <w:t>Subregulation</w:t>
      </w:r>
      <w:proofErr w:type="spellEnd"/>
      <w:r w:rsidRPr="00982922">
        <w:rPr>
          <w:rFonts w:eastAsia="Times New Roman" w:cs="Times New Roman"/>
          <w:szCs w:val="24"/>
          <w:lang w:eastAsia="en-AU"/>
        </w:rPr>
        <w:t xml:space="preserve"> (2) clarif</w:t>
      </w:r>
      <w:r w:rsidR="00031E3E" w:rsidRPr="00982922">
        <w:rPr>
          <w:rFonts w:eastAsia="Times New Roman" w:cs="Times New Roman"/>
          <w:szCs w:val="24"/>
          <w:lang w:eastAsia="en-AU"/>
        </w:rPr>
        <w:t>ies</w:t>
      </w:r>
      <w:r w:rsidRPr="00982922">
        <w:rPr>
          <w:rFonts w:eastAsia="Times New Roman" w:cs="Times New Roman"/>
          <w:szCs w:val="24"/>
          <w:lang w:eastAsia="en-AU"/>
        </w:rPr>
        <w:t xml:space="preserve"> that an eligible court may deal with or continue to deal with a matter (whether the matter was instituted by proceedings before or after the transition time) if the matter is relevant to a preserved affected person in:</w:t>
      </w:r>
    </w:p>
    <w:p w14:paraId="4CAC856D" w14:textId="77777777" w:rsidR="007E642A" w:rsidRPr="00982922" w:rsidRDefault="007E642A" w:rsidP="00D27600">
      <w:pPr>
        <w:pStyle w:val="ListParagraph"/>
        <w:numPr>
          <w:ilvl w:val="0"/>
          <w:numId w:val="17"/>
        </w:numPr>
        <w:spacing w:after="120" w:line="240" w:lineRule="auto"/>
        <w:ind w:right="748" w:hanging="357"/>
        <w:contextualSpacing w:val="0"/>
        <w:rPr>
          <w:rFonts w:eastAsia="Times New Roman" w:cs="Times New Roman"/>
          <w:szCs w:val="24"/>
          <w:lang w:eastAsia="en-AU"/>
        </w:rPr>
      </w:pPr>
      <w:r w:rsidRPr="00982922">
        <w:rPr>
          <w:rFonts w:eastAsia="Times New Roman" w:cs="Times New Roman"/>
          <w:szCs w:val="24"/>
          <w:lang w:eastAsia="en-AU"/>
        </w:rPr>
        <w:t xml:space="preserve">the person’s capacity, or </w:t>
      </w:r>
    </w:p>
    <w:p w14:paraId="118787A2" w14:textId="77777777" w:rsidR="007E642A" w:rsidRPr="00982922" w:rsidRDefault="007E642A" w:rsidP="00D27600">
      <w:pPr>
        <w:pStyle w:val="ListParagraph"/>
        <w:numPr>
          <w:ilvl w:val="0"/>
          <w:numId w:val="17"/>
        </w:numPr>
        <w:spacing w:after="120" w:line="240" w:lineRule="auto"/>
        <w:ind w:right="748" w:hanging="357"/>
        <w:contextualSpacing w:val="0"/>
        <w:rPr>
          <w:rFonts w:eastAsia="Times New Roman" w:cs="Times New Roman"/>
          <w:szCs w:val="24"/>
          <w:lang w:eastAsia="en-AU"/>
        </w:rPr>
      </w:pPr>
      <w:r w:rsidRPr="00982922">
        <w:rPr>
          <w:rFonts w:eastAsia="Times New Roman" w:cs="Times New Roman"/>
          <w:szCs w:val="24"/>
          <w:lang w:eastAsia="en-AU"/>
        </w:rPr>
        <w:t xml:space="preserve">in respect of another person’s capacity </w:t>
      </w:r>
    </w:p>
    <w:p w14:paraId="470ECFF1" w14:textId="7A673A11" w:rsidR="00987ED1" w:rsidRDefault="007E642A" w:rsidP="00D27600">
      <w:pPr>
        <w:spacing w:after="0" w:line="240" w:lineRule="auto"/>
        <w:ind w:firstLine="360"/>
        <w:rPr>
          <w:rFonts w:eastAsia="Times New Roman" w:cs="Times New Roman"/>
          <w:szCs w:val="24"/>
          <w:lang w:eastAsia="en-AU"/>
        </w:rPr>
      </w:pPr>
      <w:r w:rsidRPr="00982922">
        <w:rPr>
          <w:rFonts w:eastAsia="Times New Roman" w:cs="Times New Roman"/>
          <w:szCs w:val="24"/>
          <w:lang w:eastAsia="en-AU"/>
        </w:rPr>
        <w:t xml:space="preserve">as a national system employer or national system employee. </w:t>
      </w:r>
    </w:p>
    <w:p w14:paraId="652BA951" w14:textId="77777777" w:rsidR="00D27600" w:rsidRPr="002A22AB" w:rsidRDefault="00D27600" w:rsidP="00D27600">
      <w:pPr>
        <w:spacing w:after="0" w:line="240" w:lineRule="auto"/>
        <w:ind w:firstLine="720"/>
        <w:rPr>
          <w:rFonts w:eastAsia="Times New Roman" w:cs="Times New Roman"/>
          <w:szCs w:val="24"/>
          <w:lang w:eastAsia="en-AU"/>
        </w:rPr>
      </w:pPr>
    </w:p>
    <w:p w14:paraId="0102CA52" w14:textId="71E77077" w:rsidR="007E642A" w:rsidRPr="00982922" w:rsidRDefault="007E642A" w:rsidP="00D27600">
      <w:pPr>
        <w:pStyle w:val="ListParagraph"/>
        <w:numPr>
          <w:ilvl w:val="0"/>
          <w:numId w:val="18"/>
        </w:numPr>
        <w:spacing w:after="0" w:line="240" w:lineRule="auto"/>
        <w:contextualSpacing w:val="0"/>
        <w:rPr>
          <w:rFonts w:eastAsia="Times New Roman" w:cs="Times New Roman"/>
          <w:szCs w:val="24"/>
          <w:lang w:eastAsia="en-AU"/>
        </w:rPr>
      </w:pPr>
      <w:r w:rsidRPr="00982922">
        <w:rPr>
          <w:rFonts w:eastAsia="Times New Roman" w:cs="Times New Roman"/>
          <w:szCs w:val="24"/>
          <w:lang w:eastAsia="en-AU"/>
        </w:rPr>
        <w:t xml:space="preserve">The court </w:t>
      </w:r>
      <w:r w:rsidR="00031E3E" w:rsidRPr="00982922">
        <w:rPr>
          <w:rFonts w:eastAsia="Times New Roman" w:cs="Times New Roman"/>
          <w:szCs w:val="24"/>
          <w:lang w:eastAsia="en-AU"/>
        </w:rPr>
        <w:t>will</w:t>
      </w:r>
      <w:r w:rsidRPr="00982922">
        <w:rPr>
          <w:rFonts w:eastAsia="Times New Roman" w:cs="Times New Roman"/>
          <w:szCs w:val="24"/>
          <w:lang w:eastAsia="en-AU"/>
        </w:rPr>
        <w:t xml:space="preserve"> only be able to deal with or continue to deal with the matter if it had jurisdiction, before the transition time, to deal with the matter.  </w:t>
      </w:r>
    </w:p>
    <w:p w14:paraId="1379BF65" w14:textId="77777777" w:rsidR="00987ED1" w:rsidRPr="00982922" w:rsidRDefault="00987ED1" w:rsidP="00D27600">
      <w:pPr>
        <w:pStyle w:val="ListParagraph"/>
        <w:spacing w:after="0" w:line="240" w:lineRule="auto"/>
        <w:contextualSpacing w:val="0"/>
        <w:rPr>
          <w:rFonts w:eastAsia="Times New Roman" w:cs="Times New Roman"/>
          <w:szCs w:val="24"/>
          <w:lang w:eastAsia="en-AU"/>
        </w:rPr>
      </w:pPr>
    </w:p>
    <w:p w14:paraId="63185140" w14:textId="5156AD8B" w:rsidR="007E642A" w:rsidRPr="00982922" w:rsidRDefault="007E642A" w:rsidP="00D27600">
      <w:pPr>
        <w:pStyle w:val="ListParagraph"/>
        <w:numPr>
          <w:ilvl w:val="0"/>
          <w:numId w:val="18"/>
        </w:numPr>
        <w:spacing w:after="0" w:line="240" w:lineRule="auto"/>
        <w:contextualSpacing w:val="0"/>
        <w:rPr>
          <w:rFonts w:eastAsia="Times New Roman" w:cs="Times New Roman"/>
          <w:szCs w:val="24"/>
          <w:lang w:eastAsia="en-AU"/>
        </w:rPr>
      </w:pPr>
      <w:r w:rsidRPr="00982922">
        <w:rPr>
          <w:rFonts w:eastAsia="Times New Roman" w:cs="Times New Roman"/>
          <w:szCs w:val="24"/>
          <w:lang w:eastAsia="en-AU"/>
        </w:rPr>
        <w:t xml:space="preserve">This </w:t>
      </w:r>
      <w:r w:rsidR="00CA2D59" w:rsidRPr="00982922">
        <w:rPr>
          <w:rFonts w:eastAsia="Times New Roman" w:cs="Times New Roman"/>
          <w:szCs w:val="24"/>
          <w:lang w:eastAsia="en-AU"/>
        </w:rPr>
        <w:t>is</w:t>
      </w:r>
      <w:r w:rsidRPr="00982922">
        <w:rPr>
          <w:rFonts w:eastAsia="Times New Roman" w:cs="Times New Roman"/>
          <w:szCs w:val="24"/>
          <w:lang w:eastAsia="en-AU"/>
        </w:rPr>
        <w:t xml:space="preserve"> intended to ensure that all proceedings before the courts at the transition time can be finally determined in the national system. </w:t>
      </w:r>
    </w:p>
    <w:p w14:paraId="5BC1B143" w14:textId="4EC9BF08" w:rsidR="39A35BE8" w:rsidRPr="00982922" w:rsidRDefault="39A35BE8" w:rsidP="007E642A">
      <w:pPr>
        <w:keepNext/>
        <w:rPr>
          <w:rFonts w:cs="Times New Roman"/>
          <w:szCs w:val="24"/>
        </w:rPr>
      </w:pPr>
    </w:p>
    <w:sectPr w:rsidR="39A35BE8" w:rsidRPr="009829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BEA1" w14:textId="77777777" w:rsidR="00E146B7" w:rsidRDefault="00E146B7" w:rsidP="00783FAB">
      <w:pPr>
        <w:spacing w:after="0" w:line="240" w:lineRule="auto"/>
      </w:pPr>
      <w:r>
        <w:separator/>
      </w:r>
    </w:p>
  </w:endnote>
  <w:endnote w:type="continuationSeparator" w:id="0">
    <w:p w14:paraId="156FDF49" w14:textId="77777777" w:rsidR="00E146B7" w:rsidRDefault="00E146B7" w:rsidP="00783FAB">
      <w:pPr>
        <w:spacing w:after="0" w:line="240" w:lineRule="auto"/>
      </w:pPr>
      <w:r>
        <w:continuationSeparator/>
      </w:r>
    </w:p>
  </w:endnote>
  <w:endnote w:type="continuationNotice" w:id="1">
    <w:p w14:paraId="410466DD" w14:textId="77777777" w:rsidR="00E146B7" w:rsidRDefault="00E14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4529" w14:textId="77777777" w:rsidR="000A0622" w:rsidRDefault="000A0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1CE4" w14:textId="77777777" w:rsidR="000A0622" w:rsidRDefault="000A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9333" w14:textId="77777777" w:rsidR="00E146B7" w:rsidRDefault="00E146B7" w:rsidP="00783FAB">
      <w:pPr>
        <w:spacing w:after="0" w:line="240" w:lineRule="auto"/>
      </w:pPr>
      <w:r>
        <w:separator/>
      </w:r>
    </w:p>
  </w:footnote>
  <w:footnote w:type="continuationSeparator" w:id="0">
    <w:p w14:paraId="57158FE9" w14:textId="77777777" w:rsidR="00E146B7" w:rsidRDefault="00E146B7" w:rsidP="00783FAB">
      <w:pPr>
        <w:spacing w:after="0" w:line="240" w:lineRule="auto"/>
      </w:pPr>
      <w:r>
        <w:continuationSeparator/>
      </w:r>
    </w:p>
  </w:footnote>
  <w:footnote w:type="continuationNotice" w:id="1">
    <w:p w14:paraId="1261B010" w14:textId="77777777" w:rsidR="00E146B7" w:rsidRDefault="00E146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94D0" w14:textId="77777777" w:rsidR="000A0622" w:rsidRDefault="000A0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58B7" w14:textId="77777777" w:rsidR="000A0622" w:rsidRDefault="000A0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CAFC" w14:textId="77777777" w:rsidR="000A0622" w:rsidRDefault="000A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6597"/>
    <w:multiLevelType w:val="hybridMultilevel"/>
    <w:tmpl w:val="49DA95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5365B76"/>
    <w:multiLevelType w:val="hybridMultilevel"/>
    <w:tmpl w:val="EF5C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70DC8"/>
    <w:multiLevelType w:val="hybridMultilevel"/>
    <w:tmpl w:val="EA50C19A"/>
    <w:lvl w:ilvl="0" w:tplc="FFFFFFFF">
      <w:start w:val="1"/>
      <w:numFmt w:val="decimal"/>
      <w:suff w:val="space"/>
      <w:lvlText w:val="%1."/>
      <w:lvlJc w:val="left"/>
      <w:pPr>
        <w:ind w:left="720" w:hanging="360"/>
      </w:pPr>
      <w:rPr>
        <w:i w:val="0"/>
        <w:color w:val="auto"/>
      </w:rPr>
    </w:lvl>
    <w:lvl w:ilvl="1" w:tplc="6428E0BC">
      <w:start w:val="1"/>
      <w:numFmt w:val="lowerLetter"/>
      <w:lvlText w:val="(%2)"/>
      <w:lvlJc w:val="left"/>
      <w:pPr>
        <w:ind w:left="1440" w:hanging="360"/>
      </w:pPr>
      <w:rPr>
        <w:rFonts w:hint="default"/>
      </w:rPr>
    </w:lvl>
    <w:lvl w:ilvl="2" w:tplc="93545FDA">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1E7936"/>
    <w:multiLevelType w:val="hybridMultilevel"/>
    <w:tmpl w:val="FFFFFFFF"/>
    <w:lvl w:ilvl="0" w:tplc="43162FA8">
      <w:start w:val="1"/>
      <w:numFmt w:val="bullet"/>
      <w:lvlText w:val="·"/>
      <w:lvlJc w:val="left"/>
      <w:pPr>
        <w:ind w:left="720" w:hanging="360"/>
      </w:pPr>
      <w:rPr>
        <w:rFonts w:ascii="Symbol" w:hAnsi="Symbol" w:hint="default"/>
      </w:rPr>
    </w:lvl>
    <w:lvl w:ilvl="1" w:tplc="C13CCF1C">
      <w:start w:val="1"/>
      <w:numFmt w:val="bullet"/>
      <w:lvlText w:val="o"/>
      <w:lvlJc w:val="left"/>
      <w:pPr>
        <w:ind w:left="1440" w:hanging="360"/>
      </w:pPr>
      <w:rPr>
        <w:rFonts w:ascii="Courier New" w:hAnsi="Courier New" w:hint="default"/>
      </w:rPr>
    </w:lvl>
    <w:lvl w:ilvl="2" w:tplc="F3EC5A82">
      <w:start w:val="1"/>
      <w:numFmt w:val="bullet"/>
      <w:lvlText w:val=""/>
      <w:lvlJc w:val="left"/>
      <w:pPr>
        <w:ind w:left="2160" w:hanging="360"/>
      </w:pPr>
      <w:rPr>
        <w:rFonts w:ascii="Wingdings" w:hAnsi="Wingdings" w:hint="default"/>
      </w:rPr>
    </w:lvl>
    <w:lvl w:ilvl="3" w:tplc="AFCEEF12">
      <w:start w:val="1"/>
      <w:numFmt w:val="bullet"/>
      <w:lvlText w:val=""/>
      <w:lvlJc w:val="left"/>
      <w:pPr>
        <w:ind w:left="2880" w:hanging="360"/>
      </w:pPr>
      <w:rPr>
        <w:rFonts w:ascii="Symbol" w:hAnsi="Symbol" w:hint="default"/>
      </w:rPr>
    </w:lvl>
    <w:lvl w:ilvl="4" w:tplc="07F0BEBE">
      <w:start w:val="1"/>
      <w:numFmt w:val="bullet"/>
      <w:lvlText w:val="o"/>
      <w:lvlJc w:val="left"/>
      <w:pPr>
        <w:ind w:left="3600" w:hanging="360"/>
      </w:pPr>
      <w:rPr>
        <w:rFonts w:ascii="Courier New" w:hAnsi="Courier New" w:hint="default"/>
      </w:rPr>
    </w:lvl>
    <w:lvl w:ilvl="5" w:tplc="F9FCD968">
      <w:start w:val="1"/>
      <w:numFmt w:val="bullet"/>
      <w:lvlText w:val=""/>
      <w:lvlJc w:val="left"/>
      <w:pPr>
        <w:ind w:left="4320" w:hanging="360"/>
      </w:pPr>
      <w:rPr>
        <w:rFonts w:ascii="Wingdings" w:hAnsi="Wingdings" w:hint="default"/>
      </w:rPr>
    </w:lvl>
    <w:lvl w:ilvl="6" w:tplc="E6F6F2D4">
      <w:start w:val="1"/>
      <w:numFmt w:val="bullet"/>
      <w:lvlText w:val=""/>
      <w:lvlJc w:val="left"/>
      <w:pPr>
        <w:ind w:left="5040" w:hanging="360"/>
      </w:pPr>
      <w:rPr>
        <w:rFonts w:ascii="Symbol" w:hAnsi="Symbol" w:hint="default"/>
      </w:rPr>
    </w:lvl>
    <w:lvl w:ilvl="7" w:tplc="736A113C">
      <w:start w:val="1"/>
      <w:numFmt w:val="bullet"/>
      <w:lvlText w:val="o"/>
      <w:lvlJc w:val="left"/>
      <w:pPr>
        <w:ind w:left="5760" w:hanging="360"/>
      </w:pPr>
      <w:rPr>
        <w:rFonts w:ascii="Courier New" w:hAnsi="Courier New" w:hint="default"/>
      </w:rPr>
    </w:lvl>
    <w:lvl w:ilvl="8" w:tplc="84CE582C">
      <w:start w:val="1"/>
      <w:numFmt w:val="bullet"/>
      <w:lvlText w:val=""/>
      <w:lvlJc w:val="left"/>
      <w:pPr>
        <w:ind w:left="6480" w:hanging="360"/>
      </w:pPr>
      <w:rPr>
        <w:rFonts w:ascii="Wingdings" w:hAnsi="Wingdings" w:hint="default"/>
      </w:rPr>
    </w:lvl>
  </w:abstractNum>
  <w:abstractNum w:abstractNumId="5" w15:restartNumberingAfterBreak="0">
    <w:nsid w:val="1E901ED8"/>
    <w:multiLevelType w:val="hybridMultilevel"/>
    <w:tmpl w:val="EE001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E0D72"/>
    <w:multiLevelType w:val="hybridMultilevel"/>
    <w:tmpl w:val="EF4CB4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863690"/>
    <w:multiLevelType w:val="hybridMultilevel"/>
    <w:tmpl w:val="BBAC324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674775"/>
    <w:multiLevelType w:val="hybridMultilevel"/>
    <w:tmpl w:val="A5FC3C6A"/>
    <w:lvl w:ilvl="0" w:tplc="164A7942">
      <w:start w:val="1"/>
      <w:numFmt w:val="bullet"/>
      <w:lvlText w:val=""/>
      <w:lvlJc w:val="left"/>
      <w:pPr>
        <w:ind w:left="720" w:hanging="360"/>
      </w:pPr>
      <w:rPr>
        <w:rFonts w:ascii="Symbol" w:hAnsi="Symbol" w:hint="default"/>
      </w:rPr>
    </w:lvl>
    <w:lvl w:ilvl="1" w:tplc="7FAA29EC">
      <w:start w:val="1"/>
      <w:numFmt w:val="bullet"/>
      <w:lvlText w:val=""/>
      <w:lvlJc w:val="left"/>
      <w:pPr>
        <w:ind w:left="1440" w:hanging="360"/>
      </w:pPr>
      <w:rPr>
        <w:rFonts w:ascii="Symbol" w:hAnsi="Symbol" w:hint="default"/>
      </w:rPr>
    </w:lvl>
    <w:lvl w:ilvl="2" w:tplc="A5C61E9A">
      <w:start w:val="1"/>
      <w:numFmt w:val="bullet"/>
      <w:lvlText w:val=""/>
      <w:lvlJc w:val="left"/>
      <w:pPr>
        <w:ind w:left="2160" w:hanging="360"/>
      </w:pPr>
      <w:rPr>
        <w:rFonts w:ascii="Wingdings" w:hAnsi="Wingdings" w:hint="default"/>
      </w:rPr>
    </w:lvl>
    <w:lvl w:ilvl="3" w:tplc="7BD2A89C">
      <w:start w:val="1"/>
      <w:numFmt w:val="bullet"/>
      <w:lvlText w:val=""/>
      <w:lvlJc w:val="left"/>
      <w:pPr>
        <w:ind w:left="2880" w:hanging="360"/>
      </w:pPr>
      <w:rPr>
        <w:rFonts w:ascii="Symbol" w:hAnsi="Symbol" w:hint="default"/>
      </w:rPr>
    </w:lvl>
    <w:lvl w:ilvl="4" w:tplc="FE0E2BAA">
      <w:start w:val="1"/>
      <w:numFmt w:val="bullet"/>
      <w:lvlText w:val="o"/>
      <w:lvlJc w:val="left"/>
      <w:pPr>
        <w:ind w:left="3600" w:hanging="360"/>
      </w:pPr>
      <w:rPr>
        <w:rFonts w:ascii="Courier New" w:hAnsi="Courier New" w:hint="default"/>
      </w:rPr>
    </w:lvl>
    <w:lvl w:ilvl="5" w:tplc="745E9684">
      <w:start w:val="1"/>
      <w:numFmt w:val="bullet"/>
      <w:lvlText w:val=""/>
      <w:lvlJc w:val="left"/>
      <w:pPr>
        <w:ind w:left="4320" w:hanging="360"/>
      </w:pPr>
      <w:rPr>
        <w:rFonts w:ascii="Wingdings" w:hAnsi="Wingdings" w:hint="default"/>
      </w:rPr>
    </w:lvl>
    <w:lvl w:ilvl="6" w:tplc="DBD4E2F8">
      <w:start w:val="1"/>
      <w:numFmt w:val="bullet"/>
      <w:lvlText w:val=""/>
      <w:lvlJc w:val="left"/>
      <w:pPr>
        <w:ind w:left="5040" w:hanging="360"/>
      </w:pPr>
      <w:rPr>
        <w:rFonts w:ascii="Symbol" w:hAnsi="Symbol" w:hint="default"/>
      </w:rPr>
    </w:lvl>
    <w:lvl w:ilvl="7" w:tplc="E4A09210">
      <w:start w:val="1"/>
      <w:numFmt w:val="bullet"/>
      <w:lvlText w:val="o"/>
      <w:lvlJc w:val="left"/>
      <w:pPr>
        <w:ind w:left="5760" w:hanging="360"/>
      </w:pPr>
      <w:rPr>
        <w:rFonts w:ascii="Courier New" w:hAnsi="Courier New" w:hint="default"/>
      </w:rPr>
    </w:lvl>
    <w:lvl w:ilvl="8" w:tplc="DAB6F96E">
      <w:start w:val="1"/>
      <w:numFmt w:val="bullet"/>
      <w:lvlText w:val=""/>
      <w:lvlJc w:val="left"/>
      <w:pPr>
        <w:ind w:left="6480" w:hanging="360"/>
      </w:pPr>
      <w:rPr>
        <w:rFonts w:ascii="Wingdings" w:hAnsi="Wingdings" w:hint="default"/>
      </w:rPr>
    </w:lvl>
  </w:abstractNum>
  <w:abstractNum w:abstractNumId="9" w15:restartNumberingAfterBreak="0">
    <w:nsid w:val="4542355C"/>
    <w:multiLevelType w:val="hybridMultilevel"/>
    <w:tmpl w:val="D868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E849CC"/>
    <w:multiLevelType w:val="hybridMultilevel"/>
    <w:tmpl w:val="C3A424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3662486"/>
    <w:multiLevelType w:val="hybridMultilevel"/>
    <w:tmpl w:val="A1604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4047EB"/>
    <w:multiLevelType w:val="hybridMultilevel"/>
    <w:tmpl w:val="092C1D88"/>
    <w:lvl w:ilvl="0" w:tplc="431030A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201EED"/>
    <w:multiLevelType w:val="hybridMultilevel"/>
    <w:tmpl w:val="25582546"/>
    <w:lvl w:ilvl="0" w:tplc="0C09000F">
      <w:start w:val="1"/>
      <w:numFmt w:val="decimal"/>
      <w:lvlText w:val="%1."/>
      <w:lvlJc w:val="left"/>
      <w:pPr>
        <w:ind w:left="360" w:hanging="360"/>
      </w:pPr>
    </w:lvl>
    <w:lvl w:ilvl="1" w:tplc="0C090019" w:tentative="1">
      <w:start w:val="1"/>
      <w:numFmt w:val="lowerLetter"/>
      <w:lvlText w:val="%2."/>
      <w:lvlJc w:val="left"/>
      <w:pPr>
        <w:ind w:left="655" w:hanging="360"/>
      </w:pPr>
    </w:lvl>
    <w:lvl w:ilvl="2" w:tplc="0C09001B" w:tentative="1">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14" w15:restartNumberingAfterBreak="0">
    <w:nsid w:val="638B28C8"/>
    <w:multiLevelType w:val="hybridMultilevel"/>
    <w:tmpl w:val="9A042E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77F4B4D"/>
    <w:multiLevelType w:val="hybridMultilevel"/>
    <w:tmpl w:val="10DE5CC0"/>
    <w:lvl w:ilvl="0" w:tplc="6428E0BC">
      <w:start w:val="1"/>
      <w:numFmt w:val="lowerLetter"/>
      <w:lvlText w:val="(%1)"/>
      <w:lvlJc w:val="left"/>
      <w:pPr>
        <w:ind w:left="1494" w:hanging="360"/>
      </w:pPr>
      <w:rPr>
        <w:rFonts w:hint="default"/>
      </w:rPr>
    </w:lvl>
    <w:lvl w:ilvl="1" w:tplc="93545FDA">
      <w:start w:val="1"/>
      <w:numFmt w:val="lowerRoman"/>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67F4571D"/>
    <w:multiLevelType w:val="hybridMultilevel"/>
    <w:tmpl w:val="FFFFFFFF"/>
    <w:lvl w:ilvl="0" w:tplc="A2CCE148">
      <w:start w:val="1"/>
      <w:numFmt w:val="decimal"/>
      <w:lvlText w:val="%1."/>
      <w:lvlJc w:val="left"/>
      <w:pPr>
        <w:ind w:left="720" w:hanging="360"/>
      </w:pPr>
    </w:lvl>
    <w:lvl w:ilvl="1" w:tplc="01AEE264">
      <w:start w:val="1"/>
      <w:numFmt w:val="decimal"/>
      <w:lvlText w:val="%2."/>
      <w:lvlJc w:val="left"/>
      <w:pPr>
        <w:ind w:left="1440" w:hanging="360"/>
      </w:pPr>
    </w:lvl>
    <w:lvl w:ilvl="2" w:tplc="C8B2F730">
      <w:start w:val="1"/>
      <w:numFmt w:val="lowerRoman"/>
      <w:lvlText w:val="%3."/>
      <w:lvlJc w:val="right"/>
      <w:pPr>
        <w:ind w:left="2160" w:hanging="180"/>
      </w:pPr>
    </w:lvl>
    <w:lvl w:ilvl="3" w:tplc="A210DFDC">
      <w:start w:val="1"/>
      <w:numFmt w:val="decimal"/>
      <w:lvlText w:val="%4."/>
      <w:lvlJc w:val="left"/>
      <w:pPr>
        <w:ind w:left="2880" w:hanging="360"/>
      </w:pPr>
    </w:lvl>
    <w:lvl w:ilvl="4" w:tplc="9EFE190C">
      <w:start w:val="1"/>
      <w:numFmt w:val="lowerLetter"/>
      <w:lvlText w:val="%5."/>
      <w:lvlJc w:val="left"/>
      <w:pPr>
        <w:ind w:left="3600" w:hanging="360"/>
      </w:pPr>
    </w:lvl>
    <w:lvl w:ilvl="5" w:tplc="258E2476">
      <w:start w:val="1"/>
      <w:numFmt w:val="lowerRoman"/>
      <w:lvlText w:val="%6."/>
      <w:lvlJc w:val="right"/>
      <w:pPr>
        <w:ind w:left="4320" w:hanging="180"/>
      </w:pPr>
    </w:lvl>
    <w:lvl w:ilvl="6" w:tplc="127C8FB0">
      <w:start w:val="1"/>
      <w:numFmt w:val="decimal"/>
      <w:lvlText w:val="%7."/>
      <w:lvlJc w:val="left"/>
      <w:pPr>
        <w:ind w:left="5040" w:hanging="360"/>
      </w:pPr>
    </w:lvl>
    <w:lvl w:ilvl="7" w:tplc="B4C8F254">
      <w:start w:val="1"/>
      <w:numFmt w:val="lowerLetter"/>
      <w:lvlText w:val="%8."/>
      <w:lvlJc w:val="left"/>
      <w:pPr>
        <w:ind w:left="5760" w:hanging="360"/>
      </w:pPr>
    </w:lvl>
    <w:lvl w:ilvl="8" w:tplc="3C1C6E82">
      <w:start w:val="1"/>
      <w:numFmt w:val="lowerRoman"/>
      <w:lvlText w:val="%9."/>
      <w:lvlJc w:val="right"/>
      <w:pPr>
        <w:ind w:left="6480" w:hanging="180"/>
      </w:pPr>
    </w:lvl>
  </w:abstractNum>
  <w:abstractNum w:abstractNumId="17" w15:restartNumberingAfterBreak="0">
    <w:nsid w:val="694A7C1F"/>
    <w:multiLevelType w:val="hybridMultilevel"/>
    <w:tmpl w:val="2C0E9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4F7699"/>
    <w:multiLevelType w:val="hybridMultilevel"/>
    <w:tmpl w:val="3DEE3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1A78D4"/>
    <w:multiLevelType w:val="hybridMultilevel"/>
    <w:tmpl w:val="7EDE6F42"/>
    <w:lvl w:ilvl="0" w:tplc="C1E29926">
      <w:start w:val="1"/>
      <w:numFmt w:val="bullet"/>
      <w:lvlText w:val="·"/>
      <w:lvlJc w:val="left"/>
      <w:pPr>
        <w:ind w:left="720" w:hanging="360"/>
      </w:pPr>
      <w:rPr>
        <w:rFonts w:ascii="Symbol" w:hAnsi="Symbol" w:hint="default"/>
      </w:rPr>
    </w:lvl>
    <w:lvl w:ilvl="1" w:tplc="B42A456A">
      <w:start w:val="1"/>
      <w:numFmt w:val="bullet"/>
      <w:lvlText w:val="o"/>
      <w:lvlJc w:val="left"/>
      <w:pPr>
        <w:ind w:left="1440" w:hanging="360"/>
      </w:pPr>
      <w:rPr>
        <w:rFonts w:ascii="Courier New" w:hAnsi="Courier New" w:hint="default"/>
      </w:rPr>
    </w:lvl>
    <w:lvl w:ilvl="2" w:tplc="45648696">
      <w:start w:val="1"/>
      <w:numFmt w:val="bullet"/>
      <w:lvlText w:val=""/>
      <w:lvlJc w:val="left"/>
      <w:pPr>
        <w:ind w:left="2160" w:hanging="360"/>
      </w:pPr>
      <w:rPr>
        <w:rFonts w:ascii="Wingdings" w:hAnsi="Wingdings" w:hint="default"/>
      </w:rPr>
    </w:lvl>
    <w:lvl w:ilvl="3" w:tplc="B20A9F66">
      <w:start w:val="1"/>
      <w:numFmt w:val="bullet"/>
      <w:lvlText w:val=""/>
      <w:lvlJc w:val="left"/>
      <w:pPr>
        <w:ind w:left="2880" w:hanging="360"/>
      </w:pPr>
      <w:rPr>
        <w:rFonts w:ascii="Symbol" w:hAnsi="Symbol" w:hint="default"/>
      </w:rPr>
    </w:lvl>
    <w:lvl w:ilvl="4" w:tplc="9E301318">
      <w:start w:val="1"/>
      <w:numFmt w:val="bullet"/>
      <w:lvlText w:val="o"/>
      <w:lvlJc w:val="left"/>
      <w:pPr>
        <w:ind w:left="3600" w:hanging="360"/>
      </w:pPr>
      <w:rPr>
        <w:rFonts w:ascii="Courier New" w:hAnsi="Courier New" w:hint="default"/>
      </w:rPr>
    </w:lvl>
    <w:lvl w:ilvl="5" w:tplc="FE909212">
      <w:start w:val="1"/>
      <w:numFmt w:val="bullet"/>
      <w:lvlText w:val=""/>
      <w:lvlJc w:val="left"/>
      <w:pPr>
        <w:ind w:left="4320" w:hanging="360"/>
      </w:pPr>
      <w:rPr>
        <w:rFonts w:ascii="Wingdings" w:hAnsi="Wingdings" w:hint="default"/>
      </w:rPr>
    </w:lvl>
    <w:lvl w:ilvl="6" w:tplc="3238EFC2">
      <w:start w:val="1"/>
      <w:numFmt w:val="bullet"/>
      <w:lvlText w:val=""/>
      <w:lvlJc w:val="left"/>
      <w:pPr>
        <w:ind w:left="5040" w:hanging="360"/>
      </w:pPr>
      <w:rPr>
        <w:rFonts w:ascii="Symbol" w:hAnsi="Symbol" w:hint="default"/>
      </w:rPr>
    </w:lvl>
    <w:lvl w:ilvl="7" w:tplc="676AD90C">
      <w:start w:val="1"/>
      <w:numFmt w:val="bullet"/>
      <w:lvlText w:val="o"/>
      <w:lvlJc w:val="left"/>
      <w:pPr>
        <w:ind w:left="5760" w:hanging="360"/>
      </w:pPr>
      <w:rPr>
        <w:rFonts w:ascii="Courier New" w:hAnsi="Courier New" w:hint="default"/>
      </w:rPr>
    </w:lvl>
    <w:lvl w:ilvl="8" w:tplc="5A3AE100">
      <w:start w:val="1"/>
      <w:numFmt w:val="bullet"/>
      <w:lvlText w:val=""/>
      <w:lvlJc w:val="left"/>
      <w:pPr>
        <w:ind w:left="6480" w:hanging="360"/>
      </w:pPr>
      <w:rPr>
        <w:rFonts w:ascii="Wingdings" w:hAnsi="Wingdings" w:hint="default"/>
      </w:rPr>
    </w:lvl>
  </w:abstractNum>
  <w:abstractNum w:abstractNumId="20" w15:restartNumberingAfterBreak="0">
    <w:nsid w:val="7BBE037C"/>
    <w:multiLevelType w:val="hybridMultilevel"/>
    <w:tmpl w:val="CE62F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3D0D29"/>
    <w:multiLevelType w:val="hybridMultilevel"/>
    <w:tmpl w:val="3120F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4"/>
  </w:num>
  <w:num w:numId="4">
    <w:abstractNumId w:val="2"/>
  </w:num>
  <w:num w:numId="5">
    <w:abstractNumId w:val="3"/>
  </w:num>
  <w:num w:numId="6">
    <w:abstractNumId w:val="1"/>
  </w:num>
  <w:num w:numId="7">
    <w:abstractNumId w:val="20"/>
  </w:num>
  <w:num w:numId="8">
    <w:abstractNumId w:val="18"/>
  </w:num>
  <w:num w:numId="9">
    <w:abstractNumId w:val="12"/>
  </w:num>
  <w:num w:numId="10">
    <w:abstractNumId w:val="11"/>
  </w:num>
  <w:num w:numId="11">
    <w:abstractNumId w:val="5"/>
  </w:num>
  <w:num w:numId="12">
    <w:abstractNumId w:val="16"/>
  </w:num>
  <w:num w:numId="13">
    <w:abstractNumId w:val="15"/>
  </w:num>
  <w:num w:numId="14">
    <w:abstractNumId w:val="9"/>
  </w:num>
  <w:num w:numId="15">
    <w:abstractNumId w:val="0"/>
  </w:num>
  <w:num w:numId="16">
    <w:abstractNumId w:val="10"/>
  </w:num>
  <w:num w:numId="17">
    <w:abstractNumId w:val="14"/>
  </w:num>
  <w:num w:numId="18">
    <w:abstractNumId w:val="13"/>
  </w:num>
  <w:num w:numId="19">
    <w:abstractNumId w:val="6"/>
  </w:num>
  <w:num w:numId="20">
    <w:abstractNumId w:val="7"/>
  </w:num>
  <w:num w:numId="21">
    <w:abstractNumId w:val="17"/>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5BF"/>
    <w:rsid w:val="000009D4"/>
    <w:rsid w:val="00000F09"/>
    <w:rsid w:val="00000F56"/>
    <w:rsid w:val="00003184"/>
    <w:rsid w:val="000036EB"/>
    <w:rsid w:val="0000395C"/>
    <w:rsid w:val="00006443"/>
    <w:rsid w:val="0000790B"/>
    <w:rsid w:val="00011E4D"/>
    <w:rsid w:val="000138CF"/>
    <w:rsid w:val="000140D5"/>
    <w:rsid w:val="000146FA"/>
    <w:rsid w:val="0001554B"/>
    <w:rsid w:val="00016AFF"/>
    <w:rsid w:val="00017F54"/>
    <w:rsid w:val="00023FC0"/>
    <w:rsid w:val="000242BB"/>
    <w:rsid w:val="00024875"/>
    <w:rsid w:val="000305EA"/>
    <w:rsid w:val="00031E3C"/>
    <w:rsid w:val="00031E3E"/>
    <w:rsid w:val="00032CB3"/>
    <w:rsid w:val="00032FCF"/>
    <w:rsid w:val="00035E1D"/>
    <w:rsid w:val="00036FAE"/>
    <w:rsid w:val="00037AD1"/>
    <w:rsid w:val="0004029E"/>
    <w:rsid w:val="00040473"/>
    <w:rsid w:val="00041AAC"/>
    <w:rsid w:val="0004229F"/>
    <w:rsid w:val="00044508"/>
    <w:rsid w:val="000445CE"/>
    <w:rsid w:val="00047668"/>
    <w:rsid w:val="00047A2A"/>
    <w:rsid w:val="0005020B"/>
    <w:rsid w:val="000503FD"/>
    <w:rsid w:val="00051CCE"/>
    <w:rsid w:val="000525C8"/>
    <w:rsid w:val="00057815"/>
    <w:rsid w:val="00057A1E"/>
    <w:rsid w:val="00060C60"/>
    <w:rsid w:val="000611F2"/>
    <w:rsid w:val="000614A1"/>
    <w:rsid w:val="00062794"/>
    <w:rsid w:val="0006484E"/>
    <w:rsid w:val="00066830"/>
    <w:rsid w:val="000668B0"/>
    <w:rsid w:val="00074BE4"/>
    <w:rsid w:val="00076E76"/>
    <w:rsid w:val="00080167"/>
    <w:rsid w:val="00083F41"/>
    <w:rsid w:val="000846B7"/>
    <w:rsid w:val="00086D37"/>
    <w:rsid w:val="0009541A"/>
    <w:rsid w:val="000A0622"/>
    <w:rsid w:val="000A13A0"/>
    <w:rsid w:val="000A1981"/>
    <w:rsid w:val="000A29C5"/>
    <w:rsid w:val="000A2A28"/>
    <w:rsid w:val="000A2D3A"/>
    <w:rsid w:val="000A3124"/>
    <w:rsid w:val="000A3577"/>
    <w:rsid w:val="000A35D6"/>
    <w:rsid w:val="000A7570"/>
    <w:rsid w:val="000B1BE1"/>
    <w:rsid w:val="000B3914"/>
    <w:rsid w:val="000B3C3C"/>
    <w:rsid w:val="000B6430"/>
    <w:rsid w:val="000B79EA"/>
    <w:rsid w:val="000C224C"/>
    <w:rsid w:val="000C34FD"/>
    <w:rsid w:val="000C36F9"/>
    <w:rsid w:val="000C4D6B"/>
    <w:rsid w:val="000C6C31"/>
    <w:rsid w:val="000D1472"/>
    <w:rsid w:val="000D266D"/>
    <w:rsid w:val="000D4590"/>
    <w:rsid w:val="000D5E6D"/>
    <w:rsid w:val="000D73A8"/>
    <w:rsid w:val="000E3516"/>
    <w:rsid w:val="000E4FEA"/>
    <w:rsid w:val="000E57DB"/>
    <w:rsid w:val="000E64FB"/>
    <w:rsid w:val="000E6FD6"/>
    <w:rsid w:val="000F0AEF"/>
    <w:rsid w:val="000F0B68"/>
    <w:rsid w:val="000F1811"/>
    <w:rsid w:val="000F7816"/>
    <w:rsid w:val="000F7A8C"/>
    <w:rsid w:val="00100657"/>
    <w:rsid w:val="00103015"/>
    <w:rsid w:val="00103253"/>
    <w:rsid w:val="001032E2"/>
    <w:rsid w:val="001042BA"/>
    <w:rsid w:val="001052AE"/>
    <w:rsid w:val="0010532C"/>
    <w:rsid w:val="00105D21"/>
    <w:rsid w:val="0011063E"/>
    <w:rsid w:val="00120A34"/>
    <w:rsid w:val="00122806"/>
    <w:rsid w:val="00124260"/>
    <w:rsid w:val="00124F51"/>
    <w:rsid w:val="00125A8E"/>
    <w:rsid w:val="00126E43"/>
    <w:rsid w:val="00127CD8"/>
    <w:rsid w:val="001301AD"/>
    <w:rsid w:val="001334C0"/>
    <w:rsid w:val="001334D9"/>
    <w:rsid w:val="00136960"/>
    <w:rsid w:val="001377D9"/>
    <w:rsid w:val="00137ACD"/>
    <w:rsid w:val="00137C23"/>
    <w:rsid w:val="00140DAD"/>
    <w:rsid w:val="00140E3D"/>
    <w:rsid w:val="001421FE"/>
    <w:rsid w:val="001437EA"/>
    <w:rsid w:val="00144950"/>
    <w:rsid w:val="00145BE1"/>
    <w:rsid w:val="0015276C"/>
    <w:rsid w:val="00152947"/>
    <w:rsid w:val="001531FC"/>
    <w:rsid w:val="00154CF6"/>
    <w:rsid w:val="0015508C"/>
    <w:rsid w:val="001552FD"/>
    <w:rsid w:val="00155B12"/>
    <w:rsid w:val="00155C83"/>
    <w:rsid w:val="00160153"/>
    <w:rsid w:val="00161A1F"/>
    <w:rsid w:val="00163F2D"/>
    <w:rsid w:val="00166FB0"/>
    <w:rsid w:val="0017006A"/>
    <w:rsid w:val="00170213"/>
    <w:rsid w:val="00173A64"/>
    <w:rsid w:val="00173E0C"/>
    <w:rsid w:val="00184CF8"/>
    <w:rsid w:val="0018509A"/>
    <w:rsid w:val="00185491"/>
    <w:rsid w:val="00185586"/>
    <w:rsid w:val="001909DC"/>
    <w:rsid w:val="00192104"/>
    <w:rsid w:val="00192C75"/>
    <w:rsid w:val="00195030"/>
    <w:rsid w:val="001955EC"/>
    <w:rsid w:val="00197BE4"/>
    <w:rsid w:val="00197C3F"/>
    <w:rsid w:val="001A0CFD"/>
    <w:rsid w:val="001A2F9B"/>
    <w:rsid w:val="001A2FE9"/>
    <w:rsid w:val="001A414C"/>
    <w:rsid w:val="001A4389"/>
    <w:rsid w:val="001A5CB3"/>
    <w:rsid w:val="001B3C7A"/>
    <w:rsid w:val="001B4A66"/>
    <w:rsid w:val="001B4F9C"/>
    <w:rsid w:val="001B72C0"/>
    <w:rsid w:val="001C4E7A"/>
    <w:rsid w:val="001D00E3"/>
    <w:rsid w:val="001D0AF3"/>
    <w:rsid w:val="001D1D8A"/>
    <w:rsid w:val="001D36EE"/>
    <w:rsid w:val="001D48CB"/>
    <w:rsid w:val="001D4FD0"/>
    <w:rsid w:val="001D71AE"/>
    <w:rsid w:val="001E07CE"/>
    <w:rsid w:val="001E1225"/>
    <w:rsid w:val="001E1D8E"/>
    <w:rsid w:val="001E2148"/>
    <w:rsid w:val="001E52EB"/>
    <w:rsid w:val="001E5A0B"/>
    <w:rsid w:val="001E717B"/>
    <w:rsid w:val="001F127D"/>
    <w:rsid w:val="001F202B"/>
    <w:rsid w:val="001F3626"/>
    <w:rsid w:val="001F7336"/>
    <w:rsid w:val="00200358"/>
    <w:rsid w:val="002005CD"/>
    <w:rsid w:val="00201F75"/>
    <w:rsid w:val="00202EC1"/>
    <w:rsid w:val="00204283"/>
    <w:rsid w:val="00204EEF"/>
    <w:rsid w:val="00205DBD"/>
    <w:rsid w:val="00207297"/>
    <w:rsid w:val="0021179B"/>
    <w:rsid w:val="0021337D"/>
    <w:rsid w:val="00216A1C"/>
    <w:rsid w:val="00223AC4"/>
    <w:rsid w:val="00223F82"/>
    <w:rsid w:val="002244A1"/>
    <w:rsid w:val="00224C52"/>
    <w:rsid w:val="00225A8B"/>
    <w:rsid w:val="00226B79"/>
    <w:rsid w:val="00226C4C"/>
    <w:rsid w:val="00231A5D"/>
    <w:rsid w:val="00232304"/>
    <w:rsid w:val="002378EE"/>
    <w:rsid w:val="002379F3"/>
    <w:rsid w:val="002438BF"/>
    <w:rsid w:val="002445E3"/>
    <w:rsid w:val="00246E54"/>
    <w:rsid w:val="00247EBF"/>
    <w:rsid w:val="0026058B"/>
    <w:rsid w:val="00261499"/>
    <w:rsid w:val="002633AC"/>
    <w:rsid w:val="002671BE"/>
    <w:rsid w:val="002672A4"/>
    <w:rsid w:val="002673E1"/>
    <w:rsid w:val="002700E4"/>
    <w:rsid w:val="00270819"/>
    <w:rsid w:val="002747E8"/>
    <w:rsid w:val="00274EEA"/>
    <w:rsid w:val="0027686D"/>
    <w:rsid w:val="002808A9"/>
    <w:rsid w:val="002809D4"/>
    <w:rsid w:val="00281124"/>
    <w:rsid w:val="00281644"/>
    <w:rsid w:val="00284C9D"/>
    <w:rsid w:val="00287442"/>
    <w:rsid w:val="002900CA"/>
    <w:rsid w:val="00290C07"/>
    <w:rsid w:val="00292863"/>
    <w:rsid w:val="00293AB4"/>
    <w:rsid w:val="00294430"/>
    <w:rsid w:val="00296CA7"/>
    <w:rsid w:val="00296FAF"/>
    <w:rsid w:val="00297EAB"/>
    <w:rsid w:val="002A15F1"/>
    <w:rsid w:val="002A22AB"/>
    <w:rsid w:val="002A3EC8"/>
    <w:rsid w:val="002A48D2"/>
    <w:rsid w:val="002A4961"/>
    <w:rsid w:val="002B313C"/>
    <w:rsid w:val="002B45EA"/>
    <w:rsid w:val="002B5C28"/>
    <w:rsid w:val="002C03F6"/>
    <w:rsid w:val="002C1F84"/>
    <w:rsid w:val="002C40FB"/>
    <w:rsid w:val="002C444E"/>
    <w:rsid w:val="002D0F4E"/>
    <w:rsid w:val="002D1089"/>
    <w:rsid w:val="002D1504"/>
    <w:rsid w:val="002D1ECB"/>
    <w:rsid w:val="002D479F"/>
    <w:rsid w:val="002D564A"/>
    <w:rsid w:val="002E12E6"/>
    <w:rsid w:val="002F1244"/>
    <w:rsid w:val="002F375F"/>
    <w:rsid w:val="002F76C6"/>
    <w:rsid w:val="00302EA7"/>
    <w:rsid w:val="0030469B"/>
    <w:rsid w:val="00304969"/>
    <w:rsid w:val="00304A88"/>
    <w:rsid w:val="00304E64"/>
    <w:rsid w:val="00304F06"/>
    <w:rsid w:val="00306F15"/>
    <w:rsid w:val="00307358"/>
    <w:rsid w:val="0031070C"/>
    <w:rsid w:val="00310D40"/>
    <w:rsid w:val="00312FF6"/>
    <w:rsid w:val="003131E1"/>
    <w:rsid w:val="00313612"/>
    <w:rsid w:val="003136FC"/>
    <w:rsid w:val="00313917"/>
    <w:rsid w:val="00314B77"/>
    <w:rsid w:val="00316053"/>
    <w:rsid w:val="003170AC"/>
    <w:rsid w:val="00322A7B"/>
    <w:rsid w:val="003255E1"/>
    <w:rsid w:val="0032586B"/>
    <w:rsid w:val="00326C24"/>
    <w:rsid w:val="0033070E"/>
    <w:rsid w:val="00333DA2"/>
    <w:rsid w:val="00335C58"/>
    <w:rsid w:val="0034239F"/>
    <w:rsid w:val="003440C7"/>
    <w:rsid w:val="0034709B"/>
    <w:rsid w:val="00350779"/>
    <w:rsid w:val="00350E9D"/>
    <w:rsid w:val="003517B3"/>
    <w:rsid w:val="00352294"/>
    <w:rsid w:val="00353D81"/>
    <w:rsid w:val="00354743"/>
    <w:rsid w:val="003551C4"/>
    <w:rsid w:val="00361EC9"/>
    <w:rsid w:val="00364E39"/>
    <w:rsid w:val="00365D2C"/>
    <w:rsid w:val="00367C2D"/>
    <w:rsid w:val="00367C94"/>
    <w:rsid w:val="0037028F"/>
    <w:rsid w:val="003719BF"/>
    <w:rsid w:val="00371B12"/>
    <w:rsid w:val="00374948"/>
    <w:rsid w:val="00375010"/>
    <w:rsid w:val="00375E90"/>
    <w:rsid w:val="0037728A"/>
    <w:rsid w:val="00377427"/>
    <w:rsid w:val="0037C7E9"/>
    <w:rsid w:val="003814BA"/>
    <w:rsid w:val="00386B68"/>
    <w:rsid w:val="00386E17"/>
    <w:rsid w:val="0038758C"/>
    <w:rsid w:val="003876A8"/>
    <w:rsid w:val="003913F1"/>
    <w:rsid w:val="00392342"/>
    <w:rsid w:val="00393A61"/>
    <w:rsid w:val="00393DE0"/>
    <w:rsid w:val="00394454"/>
    <w:rsid w:val="00395655"/>
    <w:rsid w:val="00395FDA"/>
    <w:rsid w:val="0039603B"/>
    <w:rsid w:val="003A0965"/>
    <w:rsid w:val="003A2BE9"/>
    <w:rsid w:val="003A373E"/>
    <w:rsid w:val="003A3C5B"/>
    <w:rsid w:val="003A3D0E"/>
    <w:rsid w:val="003A3DF1"/>
    <w:rsid w:val="003A4424"/>
    <w:rsid w:val="003A530C"/>
    <w:rsid w:val="003A5841"/>
    <w:rsid w:val="003A5C1B"/>
    <w:rsid w:val="003A7B17"/>
    <w:rsid w:val="003B29B0"/>
    <w:rsid w:val="003B2DA8"/>
    <w:rsid w:val="003B3044"/>
    <w:rsid w:val="003B597B"/>
    <w:rsid w:val="003B6C2D"/>
    <w:rsid w:val="003C0171"/>
    <w:rsid w:val="003C06CE"/>
    <w:rsid w:val="003C0D20"/>
    <w:rsid w:val="003C16A9"/>
    <w:rsid w:val="003C202D"/>
    <w:rsid w:val="003C4694"/>
    <w:rsid w:val="003C4809"/>
    <w:rsid w:val="003C66C0"/>
    <w:rsid w:val="003C6F6E"/>
    <w:rsid w:val="003D47C4"/>
    <w:rsid w:val="003D7CE2"/>
    <w:rsid w:val="003E4413"/>
    <w:rsid w:val="003E507D"/>
    <w:rsid w:val="003E5B26"/>
    <w:rsid w:val="003E5F37"/>
    <w:rsid w:val="003E6049"/>
    <w:rsid w:val="003F09F7"/>
    <w:rsid w:val="003F0BD0"/>
    <w:rsid w:val="003F1AA1"/>
    <w:rsid w:val="003F21A7"/>
    <w:rsid w:val="003F24BC"/>
    <w:rsid w:val="003F37FF"/>
    <w:rsid w:val="003F53A2"/>
    <w:rsid w:val="003F5F95"/>
    <w:rsid w:val="003F795A"/>
    <w:rsid w:val="004012D5"/>
    <w:rsid w:val="00401385"/>
    <w:rsid w:val="00402CC7"/>
    <w:rsid w:val="00402D70"/>
    <w:rsid w:val="00403CE4"/>
    <w:rsid w:val="0040584F"/>
    <w:rsid w:val="004075A3"/>
    <w:rsid w:val="00410A3F"/>
    <w:rsid w:val="0041144F"/>
    <w:rsid w:val="004121AA"/>
    <w:rsid w:val="004143B1"/>
    <w:rsid w:val="00415A55"/>
    <w:rsid w:val="00416872"/>
    <w:rsid w:val="004207D1"/>
    <w:rsid w:val="0042241F"/>
    <w:rsid w:val="00425811"/>
    <w:rsid w:val="00425A1E"/>
    <w:rsid w:val="00425FCB"/>
    <w:rsid w:val="00430F1B"/>
    <w:rsid w:val="004327E1"/>
    <w:rsid w:val="00434240"/>
    <w:rsid w:val="00434641"/>
    <w:rsid w:val="00434CDD"/>
    <w:rsid w:val="004355D0"/>
    <w:rsid w:val="004355E8"/>
    <w:rsid w:val="00435EA0"/>
    <w:rsid w:val="00436435"/>
    <w:rsid w:val="00445460"/>
    <w:rsid w:val="00446B03"/>
    <w:rsid w:val="0044797F"/>
    <w:rsid w:val="00451469"/>
    <w:rsid w:val="00451A94"/>
    <w:rsid w:val="004534E7"/>
    <w:rsid w:val="00455C2A"/>
    <w:rsid w:val="0046063E"/>
    <w:rsid w:val="004609C1"/>
    <w:rsid w:val="00472F61"/>
    <w:rsid w:val="00475964"/>
    <w:rsid w:val="00480BF8"/>
    <w:rsid w:val="0048161B"/>
    <w:rsid w:val="00481DE1"/>
    <w:rsid w:val="00484DBC"/>
    <w:rsid w:val="00484F62"/>
    <w:rsid w:val="00486303"/>
    <w:rsid w:val="00490B58"/>
    <w:rsid w:val="00490BA0"/>
    <w:rsid w:val="004926AF"/>
    <w:rsid w:val="00494834"/>
    <w:rsid w:val="0049486C"/>
    <w:rsid w:val="004A0C25"/>
    <w:rsid w:val="004A2F70"/>
    <w:rsid w:val="004A30E7"/>
    <w:rsid w:val="004A409F"/>
    <w:rsid w:val="004A48D9"/>
    <w:rsid w:val="004A6B2D"/>
    <w:rsid w:val="004B2B4B"/>
    <w:rsid w:val="004B2C3F"/>
    <w:rsid w:val="004C2F74"/>
    <w:rsid w:val="004C7244"/>
    <w:rsid w:val="004C7A74"/>
    <w:rsid w:val="004D0C2E"/>
    <w:rsid w:val="004D2486"/>
    <w:rsid w:val="004D27BF"/>
    <w:rsid w:val="004D402F"/>
    <w:rsid w:val="004D5522"/>
    <w:rsid w:val="004D5695"/>
    <w:rsid w:val="004D665B"/>
    <w:rsid w:val="004D7AC4"/>
    <w:rsid w:val="004D7B86"/>
    <w:rsid w:val="004E196F"/>
    <w:rsid w:val="004E2B2A"/>
    <w:rsid w:val="004E2E29"/>
    <w:rsid w:val="004E47EB"/>
    <w:rsid w:val="004F44A9"/>
    <w:rsid w:val="004F53E6"/>
    <w:rsid w:val="004F54FF"/>
    <w:rsid w:val="00503218"/>
    <w:rsid w:val="00505873"/>
    <w:rsid w:val="00506F28"/>
    <w:rsid w:val="005134B2"/>
    <w:rsid w:val="0051351E"/>
    <w:rsid w:val="00513C8C"/>
    <w:rsid w:val="00513FC1"/>
    <w:rsid w:val="005146EC"/>
    <w:rsid w:val="00515352"/>
    <w:rsid w:val="00515BBE"/>
    <w:rsid w:val="005169CB"/>
    <w:rsid w:val="00517337"/>
    <w:rsid w:val="005173FC"/>
    <w:rsid w:val="00523D3A"/>
    <w:rsid w:val="00524226"/>
    <w:rsid w:val="00526374"/>
    <w:rsid w:val="00527330"/>
    <w:rsid w:val="0053268F"/>
    <w:rsid w:val="0053283E"/>
    <w:rsid w:val="005339A3"/>
    <w:rsid w:val="00536034"/>
    <w:rsid w:val="00536596"/>
    <w:rsid w:val="005366FF"/>
    <w:rsid w:val="00537A32"/>
    <w:rsid w:val="005442ED"/>
    <w:rsid w:val="00545819"/>
    <w:rsid w:val="0054602B"/>
    <w:rsid w:val="00546375"/>
    <w:rsid w:val="0055631B"/>
    <w:rsid w:val="0055779A"/>
    <w:rsid w:val="005620CA"/>
    <w:rsid w:val="00562410"/>
    <w:rsid w:val="0057023D"/>
    <w:rsid w:val="00572401"/>
    <w:rsid w:val="005732E6"/>
    <w:rsid w:val="005741B1"/>
    <w:rsid w:val="00574259"/>
    <w:rsid w:val="0057596D"/>
    <w:rsid w:val="00577C30"/>
    <w:rsid w:val="005812FF"/>
    <w:rsid w:val="005819C8"/>
    <w:rsid w:val="0058422E"/>
    <w:rsid w:val="00584B84"/>
    <w:rsid w:val="005905A0"/>
    <w:rsid w:val="00591EC0"/>
    <w:rsid w:val="00594800"/>
    <w:rsid w:val="00594E0F"/>
    <w:rsid w:val="00597535"/>
    <w:rsid w:val="005A074F"/>
    <w:rsid w:val="005A54B4"/>
    <w:rsid w:val="005A7050"/>
    <w:rsid w:val="005A7267"/>
    <w:rsid w:val="005B3CBC"/>
    <w:rsid w:val="005B3D7A"/>
    <w:rsid w:val="005B510A"/>
    <w:rsid w:val="005C0740"/>
    <w:rsid w:val="005C18D0"/>
    <w:rsid w:val="005C1BAA"/>
    <w:rsid w:val="005C2B55"/>
    <w:rsid w:val="005D404A"/>
    <w:rsid w:val="005D5D84"/>
    <w:rsid w:val="005D60A4"/>
    <w:rsid w:val="005D62D9"/>
    <w:rsid w:val="005E2026"/>
    <w:rsid w:val="005F4914"/>
    <w:rsid w:val="005F5DF6"/>
    <w:rsid w:val="005F5FA1"/>
    <w:rsid w:val="005F6E72"/>
    <w:rsid w:val="005F7D42"/>
    <w:rsid w:val="0060088C"/>
    <w:rsid w:val="006015CE"/>
    <w:rsid w:val="00604F05"/>
    <w:rsid w:val="006063AA"/>
    <w:rsid w:val="00611D31"/>
    <w:rsid w:val="00611EA2"/>
    <w:rsid w:val="00612660"/>
    <w:rsid w:val="00612693"/>
    <w:rsid w:val="00614C9E"/>
    <w:rsid w:val="006202A1"/>
    <w:rsid w:val="00620C77"/>
    <w:rsid w:val="006212E0"/>
    <w:rsid w:val="0062319E"/>
    <w:rsid w:val="006253BB"/>
    <w:rsid w:val="00625432"/>
    <w:rsid w:val="00626E42"/>
    <w:rsid w:val="00627EDA"/>
    <w:rsid w:val="006329CD"/>
    <w:rsid w:val="00635EA7"/>
    <w:rsid w:val="00636200"/>
    <w:rsid w:val="00645DC7"/>
    <w:rsid w:val="0064724F"/>
    <w:rsid w:val="006507CB"/>
    <w:rsid w:val="00651D68"/>
    <w:rsid w:val="00652D30"/>
    <w:rsid w:val="00656314"/>
    <w:rsid w:val="00657204"/>
    <w:rsid w:val="0066004A"/>
    <w:rsid w:val="00660138"/>
    <w:rsid w:val="006603E5"/>
    <w:rsid w:val="00660F5D"/>
    <w:rsid w:val="00661BE8"/>
    <w:rsid w:val="0066336D"/>
    <w:rsid w:val="0066505C"/>
    <w:rsid w:val="00667B6F"/>
    <w:rsid w:val="00667F82"/>
    <w:rsid w:val="006700AA"/>
    <w:rsid w:val="00675358"/>
    <w:rsid w:val="0067606E"/>
    <w:rsid w:val="00676E80"/>
    <w:rsid w:val="00677A0D"/>
    <w:rsid w:val="00680F96"/>
    <w:rsid w:val="00683087"/>
    <w:rsid w:val="00685653"/>
    <w:rsid w:val="0068753C"/>
    <w:rsid w:val="006916B9"/>
    <w:rsid w:val="006930D1"/>
    <w:rsid w:val="006931AD"/>
    <w:rsid w:val="006940B8"/>
    <w:rsid w:val="006940BB"/>
    <w:rsid w:val="006955B9"/>
    <w:rsid w:val="00696CF0"/>
    <w:rsid w:val="00697001"/>
    <w:rsid w:val="006A1788"/>
    <w:rsid w:val="006A1821"/>
    <w:rsid w:val="006A41B6"/>
    <w:rsid w:val="006A666D"/>
    <w:rsid w:val="006A6840"/>
    <w:rsid w:val="006A7AEA"/>
    <w:rsid w:val="006B2D99"/>
    <w:rsid w:val="006B567D"/>
    <w:rsid w:val="006B6DE5"/>
    <w:rsid w:val="006B6E38"/>
    <w:rsid w:val="006B7A51"/>
    <w:rsid w:val="006C108A"/>
    <w:rsid w:val="006C5905"/>
    <w:rsid w:val="006C7451"/>
    <w:rsid w:val="006C7532"/>
    <w:rsid w:val="006C7EDA"/>
    <w:rsid w:val="006D1950"/>
    <w:rsid w:val="006D265A"/>
    <w:rsid w:val="006D58E2"/>
    <w:rsid w:val="006D60D1"/>
    <w:rsid w:val="006D776C"/>
    <w:rsid w:val="006D7B6B"/>
    <w:rsid w:val="006E019F"/>
    <w:rsid w:val="006E15B4"/>
    <w:rsid w:val="006E3838"/>
    <w:rsid w:val="006E3C40"/>
    <w:rsid w:val="006E7699"/>
    <w:rsid w:val="006F1B0D"/>
    <w:rsid w:val="006F27AC"/>
    <w:rsid w:val="006F3E5C"/>
    <w:rsid w:val="006F4093"/>
    <w:rsid w:val="006F627D"/>
    <w:rsid w:val="0070157D"/>
    <w:rsid w:val="00701CB8"/>
    <w:rsid w:val="00701E47"/>
    <w:rsid w:val="00704A18"/>
    <w:rsid w:val="00707E57"/>
    <w:rsid w:val="00707F49"/>
    <w:rsid w:val="007103B5"/>
    <w:rsid w:val="0071061C"/>
    <w:rsid w:val="007139E0"/>
    <w:rsid w:val="00713C50"/>
    <w:rsid w:val="007213BB"/>
    <w:rsid w:val="007216DA"/>
    <w:rsid w:val="00726CD5"/>
    <w:rsid w:val="00726D32"/>
    <w:rsid w:val="00727373"/>
    <w:rsid w:val="0072758F"/>
    <w:rsid w:val="007314EF"/>
    <w:rsid w:val="007325D5"/>
    <w:rsid w:val="0073763E"/>
    <w:rsid w:val="00741670"/>
    <w:rsid w:val="007420A2"/>
    <w:rsid w:val="00742623"/>
    <w:rsid w:val="00744F4C"/>
    <w:rsid w:val="007452A0"/>
    <w:rsid w:val="00745EC7"/>
    <w:rsid w:val="00745FCA"/>
    <w:rsid w:val="00746E2E"/>
    <w:rsid w:val="00747943"/>
    <w:rsid w:val="007515C9"/>
    <w:rsid w:val="00752BD5"/>
    <w:rsid w:val="00753090"/>
    <w:rsid w:val="00754AEF"/>
    <w:rsid w:val="0075573F"/>
    <w:rsid w:val="00756861"/>
    <w:rsid w:val="00756D99"/>
    <w:rsid w:val="00756F20"/>
    <w:rsid w:val="00760772"/>
    <w:rsid w:val="00760DDE"/>
    <w:rsid w:val="007620AE"/>
    <w:rsid w:val="00766036"/>
    <w:rsid w:val="00772715"/>
    <w:rsid w:val="00772744"/>
    <w:rsid w:val="0077536C"/>
    <w:rsid w:val="00777072"/>
    <w:rsid w:val="00782538"/>
    <w:rsid w:val="007828DD"/>
    <w:rsid w:val="00783FAB"/>
    <w:rsid w:val="00785B13"/>
    <w:rsid w:val="00791AAC"/>
    <w:rsid w:val="0079274F"/>
    <w:rsid w:val="0079405C"/>
    <w:rsid w:val="00794464"/>
    <w:rsid w:val="00795969"/>
    <w:rsid w:val="00795FE8"/>
    <w:rsid w:val="007A1979"/>
    <w:rsid w:val="007A66CF"/>
    <w:rsid w:val="007A6AF0"/>
    <w:rsid w:val="007A7E74"/>
    <w:rsid w:val="007B44CD"/>
    <w:rsid w:val="007B4836"/>
    <w:rsid w:val="007C0648"/>
    <w:rsid w:val="007C1295"/>
    <w:rsid w:val="007C5020"/>
    <w:rsid w:val="007C6912"/>
    <w:rsid w:val="007D12B2"/>
    <w:rsid w:val="007D1943"/>
    <w:rsid w:val="007D1F16"/>
    <w:rsid w:val="007D285B"/>
    <w:rsid w:val="007D3491"/>
    <w:rsid w:val="007D4E08"/>
    <w:rsid w:val="007D5AB8"/>
    <w:rsid w:val="007E00A8"/>
    <w:rsid w:val="007E0AF8"/>
    <w:rsid w:val="007E112E"/>
    <w:rsid w:val="007E16D6"/>
    <w:rsid w:val="007E2197"/>
    <w:rsid w:val="007E3446"/>
    <w:rsid w:val="007E3447"/>
    <w:rsid w:val="007E36E5"/>
    <w:rsid w:val="007E4B93"/>
    <w:rsid w:val="007E579D"/>
    <w:rsid w:val="007E642A"/>
    <w:rsid w:val="007E6EC6"/>
    <w:rsid w:val="007E7673"/>
    <w:rsid w:val="007F0EBC"/>
    <w:rsid w:val="007F16E3"/>
    <w:rsid w:val="007F4108"/>
    <w:rsid w:val="007F468E"/>
    <w:rsid w:val="007F563E"/>
    <w:rsid w:val="008005D8"/>
    <w:rsid w:val="00803447"/>
    <w:rsid w:val="008035CF"/>
    <w:rsid w:val="00804289"/>
    <w:rsid w:val="0080584E"/>
    <w:rsid w:val="00805FEB"/>
    <w:rsid w:val="00811A92"/>
    <w:rsid w:val="00811E34"/>
    <w:rsid w:val="00812B00"/>
    <w:rsid w:val="00812C37"/>
    <w:rsid w:val="008134D5"/>
    <w:rsid w:val="00813A38"/>
    <w:rsid w:val="00813E62"/>
    <w:rsid w:val="0081521C"/>
    <w:rsid w:val="00817643"/>
    <w:rsid w:val="0082054C"/>
    <w:rsid w:val="00822D2B"/>
    <w:rsid w:val="0082369E"/>
    <w:rsid w:val="00823B66"/>
    <w:rsid w:val="0082446E"/>
    <w:rsid w:val="00824A98"/>
    <w:rsid w:val="00826EB6"/>
    <w:rsid w:val="008310AA"/>
    <w:rsid w:val="0083217A"/>
    <w:rsid w:val="00833A0B"/>
    <w:rsid w:val="00834114"/>
    <w:rsid w:val="00834D9E"/>
    <w:rsid w:val="00844D23"/>
    <w:rsid w:val="008517D8"/>
    <w:rsid w:val="008523F6"/>
    <w:rsid w:val="00855239"/>
    <w:rsid w:val="00856289"/>
    <w:rsid w:val="00856BC4"/>
    <w:rsid w:val="008576F3"/>
    <w:rsid w:val="00863037"/>
    <w:rsid w:val="00867101"/>
    <w:rsid w:val="00867854"/>
    <w:rsid w:val="00871FDD"/>
    <w:rsid w:val="00872960"/>
    <w:rsid w:val="00875333"/>
    <w:rsid w:val="008755D8"/>
    <w:rsid w:val="008758BD"/>
    <w:rsid w:val="00880428"/>
    <w:rsid w:val="008832F9"/>
    <w:rsid w:val="0088497A"/>
    <w:rsid w:val="00885F0B"/>
    <w:rsid w:val="00886A45"/>
    <w:rsid w:val="00887230"/>
    <w:rsid w:val="00890F29"/>
    <w:rsid w:val="00892798"/>
    <w:rsid w:val="0089446A"/>
    <w:rsid w:val="00897DAF"/>
    <w:rsid w:val="008A1F97"/>
    <w:rsid w:val="008A6224"/>
    <w:rsid w:val="008A6A54"/>
    <w:rsid w:val="008B478B"/>
    <w:rsid w:val="008B61B7"/>
    <w:rsid w:val="008B71D6"/>
    <w:rsid w:val="008C48EF"/>
    <w:rsid w:val="008C497B"/>
    <w:rsid w:val="008C5637"/>
    <w:rsid w:val="008C76FD"/>
    <w:rsid w:val="008D5B33"/>
    <w:rsid w:val="008D6CF6"/>
    <w:rsid w:val="008D72EA"/>
    <w:rsid w:val="008D7625"/>
    <w:rsid w:val="008E2B8A"/>
    <w:rsid w:val="008E30D6"/>
    <w:rsid w:val="008E30D9"/>
    <w:rsid w:val="008E4304"/>
    <w:rsid w:val="008E4659"/>
    <w:rsid w:val="008E68D3"/>
    <w:rsid w:val="008E6A0B"/>
    <w:rsid w:val="008E79DF"/>
    <w:rsid w:val="008F002D"/>
    <w:rsid w:val="008F0345"/>
    <w:rsid w:val="008F374B"/>
    <w:rsid w:val="008F404E"/>
    <w:rsid w:val="008F43E8"/>
    <w:rsid w:val="00900765"/>
    <w:rsid w:val="00902A26"/>
    <w:rsid w:val="0090320E"/>
    <w:rsid w:val="00903257"/>
    <w:rsid w:val="009048A2"/>
    <w:rsid w:val="00905C61"/>
    <w:rsid w:val="00906CE2"/>
    <w:rsid w:val="00907C92"/>
    <w:rsid w:val="00907D61"/>
    <w:rsid w:val="00910064"/>
    <w:rsid w:val="009114DC"/>
    <w:rsid w:val="00911D92"/>
    <w:rsid w:val="009121D3"/>
    <w:rsid w:val="009125FD"/>
    <w:rsid w:val="00914A25"/>
    <w:rsid w:val="009176F5"/>
    <w:rsid w:val="009210B2"/>
    <w:rsid w:val="0092396C"/>
    <w:rsid w:val="009273F6"/>
    <w:rsid w:val="00933AD6"/>
    <w:rsid w:val="00936725"/>
    <w:rsid w:val="009368F1"/>
    <w:rsid w:val="009414DB"/>
    <w:rsid w:val="00941DF3"/>
    <w:rsid w:val="009421AA"/>
    <w:rsid w:val="0094476A"/>
    <w:rsid w:val="0094774B"/>
    <w:rsid w:val="00947FC4"/>
    <w:rsid w:val="00950996"/>
    <w:rsid w:val="009517E7"/>
    <w:rsid w:val="00952407"/>
    <w:rsid w:val="00952E13"/>
    <w:rsid w:val="009557DF"/>
    <w:rsid w:val="009601FE"/>
    <w:rsid w:val="0096199F"/>
    <w:rsid w:val="00961C75"/>
    <w:rsid w:val="00962C01"/>
    <w:rsid w:val="00963A6E"/>
    <w:rsid w:val="00970AAB"/>
    <w:rsid w:val="009718D2"/>
    <w:rsid w:val="00974504"/>
    <w:rsid w:val="00975A4A"/>
    <w:rsid w:val="00976413"/>
    <w:rsid w:val="009767B4"/>
    <w:rsid w:val="009768DA"/>
    <w:rsid w:val="00977D37"/>
    <w:rsid w:val="009807AE"/>
    <w:rsid w:val="00982922"/>
    <w:rsid w:val="00987ED1"/>
    <w:rsid w:val="00990334"/>
    <w:rsid w:val="00991158"/>
    <w:rsid w:val="0099199E"/>
    <w:rsid w:val="009921E3"/>
    <w:rsid w:val="00994EE3"/>
    <w:rsid w:val="00995C44"/>
    <w:rsid w:val="00996EBD"/>
    <w:rsid w:val="009A04A5"/>
    <w:rsid w:val="009A1FE9"/>
    <w:rsid w:val="009A35A0"/>
    <w:rsid w:val="009A53BA"/>
    <w:rsid w:val="009A7CFA"/>
    <w:rsid w:val="009B0C51"/>
    <w:rsid w:val="009B2183"/>
    <w:rsid w:val="009B29AC"/>
    <w:rsid w:val="009B2CC0"/>
    <w:rsid w:val="009B4B7F"/>
    <w:rsid w:val="009B76BD"/>
    <w:rsid w:val="009C0F35"/>
    <w:rsid w:val="009C10C1"/>
    <w:rsid w:val="009C4F55"/>
    <w:rsid w:val="009C5E5D"/>
    <w:rsid w:val="009D0F7A"/>
    <w:rsid w:val="009D23FB"/>
    <w:rsid w:val="009D2405"/>
    <w:rsid w:val="009D4B85"/>
    <w:rsid w:val="009D7562"/>
    <w:rsid w:val="009D7E08"/>
    <w:rsid w:val="009E036A"/>
    <w:rsid w:val="009E0803"/>
    <w:rsid w:val="009E2213"/>
    <w:rsid w:val="009E7C1C"/>
    <w:rsid w:val="009F13BF"/>
    <w:rsid w:val="009F18BB"/>
    <w:rsid w:val="009F1D34"/>
    <w:rsid w:val="009F29B0"/>
    <w:rsid w:val="009F4C47"/>
    <w:rsid w:val="009F528F"/>
    <w:rsid w:val="009F5DC5"/>
    <w:rsid w:val="009F6AC9"/>
    <w:rsid w:val="00A000DD"/>
    <w:rsid w:val="00A100B6"/>
    <w:rsid w:val="00A105DA"/>
    <w:rsid w:val="00A20031"/>
    <w:rsid w:val="00A202D5"/>
    <w:rsid w:val="00A2057E"/>
    <w:rsid w:val="00A22C02"/>
    <w:rsid w:val="00A23CDC"/>
    <w:rsid w:val="00A24596"/>
    <w:rsid w:val="00A24A48"/>
    <w:rsid w:val="00A24B24"/>
    <w:rsid w:val="00A25E6C"/>
    <w:rsid w:val="00A2605F"/>
    <w:rsid w:val="00A27E60"/>
    <w:rsid w:val="00A306E2"/>
    <w:rsid w:val="00A32A64"/>
    <w:rsid w:val="00A343B3"/>
    <w:rsid w:val="00A362E2"/>
    <w:rsid w:val="00A40E3D"/>
    <w:rsid w:val="00A40EA6"/>
    <w:rsid w:val="00A449F1"/>
    <w:rsid w:val="00A46366"/>
    <w:rsid w:val="00A47C4E"/>
    <w:rsid w:val="00A52753"/>
    <w:rsid w:val="00A53F82"/>
    <w:rsid w:val="00A550E8"/>
    <w:rsid w:val="00A556D1"/>
    <w:rsid w:val="00A569C7"/>
    <w:rsid w:val="00A56E8B"/>
    <w:rsid w:val="00A57A65"/>
    <w:rsid w:val="00A62577"/>
    <w:rsid w:val="00A62E7B"/>
    <w:rsid w:val="00A64B2E"/>
    <w:rsid w:val="00A71133"/>
    <w:rsid w:val="00A7155F"/>
    <w:rsid w:val="00A7209C"/>
    <w:rsid w:val="00A745A3"/>
    <w:rsid w:val="00A761C7"/>
    <w:rsid w:val="00A77D42"/>
    <w:rsid w:val="00A801D6"/>
    <w:rsid w:val="00A8046B"/>
    <w:rsid w:val="00A82E17"/>
    <w:rsid w:val="00A836AB"/>
    <w:rsid w:val="00A83872"/>
    <w:rsid w:val="00A84F8F"/>
    <w:rsid w:val="00A85075"/>
    <w:rsid w:val="00A90245"/>
    <w:rsid w:val="00A93F1F"/>
    <w:rsid w:val="00A942DA"/>
    <w:rsid w:val="00A9754B"/>
    <w:rsid w:val="00AA12F7"/>
    <w:rsid w:val="00AA3173"/>
    <w:rsid w:val="00AA36F0"/>
    <w:rsid w:val="00AA3A3E"/>
    <w:rsid w:val="00AA3F83"/>
    <w:rsid w:val="00AA6A1C"/>
    <w:rsid w:val="00AB0B13"/>
    <w:rsid w:val="00AB19B6"/>
    <w:rsid w:val="00AB1AF7"/>
    <w:rsid w:val="00AB2FDD"/>
    <w:rsid w:val="00AB49D9"/>
    <w:rsid w:val="00AB49DD"/>
    <w:rsid w:val="00AC6ABA"/>
    <w:rsid w:val="00AD1C80"/>
    <w:rsid w:val="00AD2E24"/>
    <w:rsid w:val="00AD36D9"/>
    <w:rsid w:val="00AD39C0"/>
    <w:rsid w:val="00AD4FE4"/>
    <w:rsid w:val="00AD5627"/>
    <w:rsid w:val="00AD65C9"/>
    <w:rsid w:val="00AD6639"/>
    <w:rsid w:val="00AE4A25"/>
    <w:rsid w:val="00AE5CCB"/>
    <w:rsid w:val="00AE7179"/>
    <w:rsid w:val="00AF040E"/>
    <w:rsid w:val="00AF57B5"/>
    <w:rsid w:val="00AF58D0"/>
    <w:rsid w:val="00AF6215"/>
    <w:rsid w:val="00AF6F6E"/>
    <w:rsid w:val="00AF71DD"/>
    <w:rsid w:val="00B00A18"/>
    <w:rsid w:val="00B03514"/>
    <w:rsid w:val="00B07517"/>
    <w:rsid w:val="00B076E9"/>
    <w:rsid w:val="00B11323"/>
    <w:rsid w:val="00B12FEC"/>
    <w:rsid w:val="00B13A2F"/>
    <w:rsid w:val="00B145D2"/>
    <w:rsid w:val="00B15642"/>
    <w:rsid w:val="00B178D3"/>
    <w:rsid w:val="00B210FC"/>
    <w:rsid w:val="00B2153F"/>
    <w:rsid w:val="00B22F73"/>
    <w:rsid w:val="00B23A4E"/>
    <w:rsid w:val="00B24C71"/>
    <w:rsid w:val="00B31460"/>
    <w:rsid w:val="00B32470"/>
    <w:rsid w:val="00B339F8"/>
    <w:rsid w:val="00B375C9"/>
    <w:rsid w:val="00B4065C"/>
    <w:rsid w:val="00B40DE3"/>
    <w:rsid w:val="00B43512"/>
    <w:rsid w:val="00B4363E"/>
    <w:rsid w:val="00B47B92"/>
    <w:rsid w:val="00B50E0D"/>
    <w:rsid w:val="00B52CD8"/>
    <w:rsid w:val="00B52FAC"/>
    <w:rsid w:val="00B561B3"/>
    <w:rsid w:val="00B604EB"/>
    <w:rsid w:val="00B6108C"/>
    <w:rsid w:val="00B6356F"/>
    <w:rsid w:val="00B6430E"/>
    <w:rsid w:val="00B67652"/>
    <w:rsid w:val="00B67F7B"/>
    <w:rsid w:val="00B71023"/>
    <w:rsid w:val="00B739E2"/>
    <w:rsid w:val="00B75BAB"/>
    <w:rsid w:val="00B80C0D"/>
    <w:rsid w:val="00B8151D"/>
    <w:rsid w:val="00B819AA"/>
    <w:rsid w:val="00B8784F"/>
    <w:rsid w:val="00B912B1"/>
    <w:rsid w:val="00B91B87"/>
    <w:rsid w:val="00B944D9"/>
    <w:rsid w:val="00B94B3B"/>
    <w:rsid w:val="00B952CE"/>
    <w:rsid w:val="00B972B2"/>
    <w:rsid w:val="00BA1673"/>
    <w:rsid w:val="00BA1858"/>
    <w:rsid w:val="00BA345A"/>
    <w:rsid w:val="00BA54AA"/>
    <w:rsid w:val="00BA796D"/>
    <w:rsid w:val="00BB0923"/>
    <w:rsid w:val="00BB18F6"/>
    <w:rsid w:val="00BB2109"/>
    <w:rsid w:val="00BB2C6B"/>
    <w:rsid w:val="00BB3875"/>
    <w:rsid w:val="00BB38D4"/>
    <w:rsid w:val="00BB4D85"/>
    <w:rsid w:val="00BB61E4"/>
    <w:rsid w:val="00BB631E"/>
    <w:rsid w:val="00BB71A8"/>
    <w:rsid w:val="00BB7637"/>
    <w:rsid w:val="00BC2636"/>
    <w:rsid w:val="00BC33C1"/>
    <w:rsid w:val="00BC4BD5"/>
    <w:rsid w:val="00BC50A3"/>
    <w:rsid w:val="00BC6B07"/>
    <w:rsid w:val="00BD41D4"/>
    <w:rsid w:val="00BD465A"/>
    <w:rsid w:val="00BD47A9"/>
    <w:rsid w:val="00BD4FDF"/>
    <w:rsid w:val="00BD5316"/>
    <w:rsid w:val="00BD5A86"/>
    <w:rsid w:val="00BD6A18"/>
    <w:rsid w:val="00BD6AC2"/>
    <w:rsid w:val="00BD75F6"/>
    <w:rsid w:val="00BE18D4"/>
    <w:rsid w:val="00BE214C"/>
    <w:rsid w:val="00BE68F9"/>
    <w:rsid w:val="00BF011E"/>
    <w:rsid w:val="00BF01E6"/>
    <w:rsid w:val="00BF2A9B"/>
    <w:rsid w:val="00BF3DAE"/>
    <w:rsid w:val="00BF62FA"/>
    <w:rsid w:val="00BF6707"/>
    <w:rsid w:val="00C02595"/>
    <w:rsid w:val="00C03228"/>
    <w:rsid w:val="00C04014"/>
    <w:rsid w:val="00C12197"/>
    <w:rsid w:val="00C1330A"/>
    <w:rsid w:val="00C145EB"/>
    <w:rsid w:val="00C17740"/>
    <w:rsid w:val="00C202ED"/>
    <w:rsid w:val="00C21886"/>
    <w:rsid w:val="00C2416A"/>
    <w:rsid w:val="00C24899"/>
    <w:rsid w:val="00C25B3F"/>
    <w:rsid w:val="00C30E0C"/>
    <w:rsid w:val="00C30E45"/>
    <w:rsid w:val="00C325A5"/>
    <w:rsid w:val="00C32892"/>
    <w:rsid w:val="00C3603B"/>
    <w:rsid w:val="00C36A15"/>
    <w:rsid w:val="00C3701B"/>
    <w:rsid w:val="00C37043"/>
    <w:rsid w:val="00C42A20"/>
    <w:rsid w:val="00C4300F"/>
    <w:rsid w:val="00C43DA4"/>
    <w:rsid w:val="00C44D52"/>
    <w:rsid w:val="00C454E9"/>
    <w:rsid w:val="00C45661"/>
    <w:rsid w:val="00C456C6"/>
    <w:rsid w:val="00C5010C"/>
    <w:rsid w:val="00C60221"/>
    <w:rsid w:val="00C62BC1"/>
    <w:rsid w:val="00C64879"/>
    <w:rsid w:val="00C65DC8"/>
    <w:rsid w:val="00C66953"/>
    <w:rsid w:val="00C67090"/>
    <w:rsid w:val="00C73133"/>
    <w:rsid w:val="00C731FA"/>
    <w:rsid w:val="00C73247"/>
    <w:rsid w:val="00C74B7F"/>
    <w:rsid w:val="00C7545B"/>
    <w:rsid w:val="00C7617C"/>
    <w:rsid w:val="00C80F04"/>
    <w:rsid w:val="00C819C6"/>
    <w:rsid w:val="00C82C91"/>
    <w:rsid w:val="00C846A2"/>
    <w:rsid w:val="00C909A3"/>
    <w:rsid w:val="00C90EFC"/>
    <w:rsid w:val="00C90FC4"/>
    <w:rsid w:val="00C94C42"/>
    <w:rsid w:val="00C94EDB"/>
    <w:rsid w:val="00C950C1"/>
    <w:rsid w:val="00C954B7"/>
    <w:rsid w:val="00C9591A"/>
    <w:rsid w:val="00C97BF7"/>
    <w:rsid w:val="00CA2D59"/>
    <w:rsid w:val="00CA46AC"/>
    <w:rsid w:val="00CA4F71"/>
    <w:rsid w:val="00CA68B7"/>
    <w:rsid w:val="00CA73C6"/>
    <w:rsid w:val="00CB337B"/>
    <w:rsid w:val="00CB45D5"/>
    <w:rsid w:val="00CB62D5"/>
    <w:rsid w:val="00CB7A83"/>
    <w:rsid w:val="00CC0383"/>
    <w:rsid w:val="00CC1D22"/>
    <w:rsid w:val="00CC21A1"/>
    <w:rsid w:val="00CC3AE0"/>
    <w:rsid w:val="00CC3C0B"/>
    <w:rsid w:val="00CC3CD3"/>
    <w:rsid w:val="00CC4C6D"/>
    <w:rsid w:val="00CD20F8"/>
    <w:rsid w:val="00CD2B15"/>
    <w:rsid w:val="00CD3705"/>
    <w:rsid w:val="00CD6E72"/>
    <w:rsid w:val="00CD6FE1"/>
    <w:rsid w:val="00CD7D82"/>
    <w:rsid w:val="00CE1D6B"/>
    <w:rsid w:val="00CE2B2F"/>
    <w:rsid w:val="00CE390D"/>
    <w:rsid w:val="00CE3EA5"/>
    <w:rsid w:val="00CF1C96"/>
    <w:rsid w:val="00CF2072"/>
    <w:rsid w:val="00CF2B73"/>
    <w:rsid w:val="00CF5A8C"/>
    <w:rsid w:val="00CF66A0"/>
    <w:rsid w:val="00D010D3"/>
    <w:rsid w:val="00D05A8C"/>
    <w:rsid w:val="00D119DD"/>
    <w:rsid w:val="00D122AB"/>
    <w:rsid w:val="00D147DA"/>
    <w:rsid w:val="00D14A9D"/>
    <w:rsid w:val="00D17A67"/>
    <w:rsid w:val="00D17FC6"/>
    <w:rsid w:val="00D217D1"/>
    <w:rsid w:val="00D249C7"/>
    <w:rsid w:val="00D24B02"/>
    <w:rsid w:val="00D24C04"/>
    <w:rsid w:val="00D2517F"/>
    <w:rsid w:val="00D2668F"/>
    <w:rsid w:val="00D27600"/>
    <w:rsid w:val="00D30830"/>
    <w:rsid w:val="00D30AA7"/>
    <w:rsid w:val="00D32166"/>
    <w:rsid w:val="00D3758C"/>
    <w:rsid w:val="00D42041"/>
    <w:rsid w:val="00D46134"/>
    <w:rsid w:val="00D468A9"/>
    <w:rsid w:val="00D46CAD"/>
    <w:rsid w:val="00D50946"/>
    <w:rsid w:val="00D5387E"/>
    <w:rsid w:val="00D54F3C"/>
    <w:rsid w:val="00D5677E"/>
    <w:rsid w:val="00D56A3B"/>
    <w:rsid w:val="00D60003"/>
    <w:rsid w:val="00D61A73"/>
    <w:rsid w:val="00D61D2A"/>
    <w:rsid w:val="00D63270"/>
    <w:rsid w:val="00D63CDD"/>
    <w:rsid w:val="00D65F2B"/>
    <w:rsid w:val="00D66B65"/>
    <w:rsid w:val="00D67CE9"/>
    <w:rsid w:val="00D70EAE"/>
    <w:rsid w:val="00D70F8E"/>
    <w:rsid w:val="00D72880"/>
    <w:rsid w:val="00D73415"/>
    <w:rsid w:val="00D73A65"/>
    <w:rsid w:val="00D74B9B"/>
    <w:rsid w:val="00D75369"/>
    <w:rsid w:val="00D765A3"/>
    <w:rsid w:val="00D773CB"/>
    <w:rsid w:val="00D77EDF"/>
    <w:rsid w:val="00D8103E"/>
    <w:rsid w:val="00D818BA"/>
    <w:rsid w:val="00D829B6"/>
    <w:rsid w:val="00D842A2"/>
    <w:rsid w:val="00D84946"/>
    <w:rsid w:val="00D84ACF"/>
    <w:rsid w:val="00D91CE8"/>
    <w:rsid w:val="00D93741"/>
    <w:rsid w:val="00D95AB8"/>
    <w:rsid w:val="00D96799"/>
    <w:rsid w:val="00D96C32"/>
    <w:rsid w:val="00D9723D"/>
    <w:rsid w:val="00DA05FF"/>
    <w:rsid w:val="00DA552F"/>
    <w:rsid w:val="00DA5AD4"/>
    <w:rsid w:val="00DA74F3"/>
    <w:rsid w:val="00DB1904"/>
    <w:rsid w:val="00DB1C9E"/>
    <w:rsid w:val="00DB2434"/>
    <w:rsid w:val="00DB2EFB"/>
    <w:rsid w:val="00DB461B"/>
    <w:rsid w:val="00DB4D35"/>
    <w:rsid w:val="00DB6247"/>
    <w:rsid w:val="00DC3E4E"/>
    <w:rsid w:val="00DC3E8C"/>
    <w:rsid w:val="00DC4B5E"/>
    <w:rsid w:val="00DC7C79"/>
    <w:rsid w:val="00DD1234"/>
    <w:rsid w:val="00DD2CA2"/>
    <w:rsid w:val="00DD408F"/>
    <w:rsid w:val="00DD5F43"/>
    <w:rsid w:val="00DD651A"/>
    <w:rsid w:val="00DD6561"/>
    <w:rsid w:val="00DD7496"/>
    <w:rsid w:val="00DD7B03"/>
    <w:rsid w:val="00DE02BB"/>
    <w:rsid w:val="00DE403D"/>
    <w:rsid w:val="00DE41EC"/>
    <w:rsid w:val="00DE5F92"/>
    <w:rsid w:val="00DE6AAD"/>
    <w:rsid w:val="00DE715E"/>
    <w:rsid w:val="00DE72E1"/>
    <w:rsid w:val="00DE7C37"/>
    <w:rsid w:val="00DF13F3"/>
    <w:rsid w:val="00DF3683"/>
    <w:rsid w:val="00DF3B09"/>
    <w:rsid w:val="00DF46B2"/>
    <w:rsid w:val="00DF61B7"/>
    <w:rsid w:val="00E014EA"/>
    <w:rsid w:val="00E01C32"/>
    <w:rsid w:val="00E01F85"/>
    <w:rsid w:val="00E04229"/>
    <w:rsid w:val="00E05855"/>
    <w:rsid w:val="00E060DA"/>
    <w:rsid w:val="00E108E9"/>
    <w:rsid w:val="00E1257E"/>
    <w:rsid w:val="00E14293"/>
    <w:rsid w:val="00E146B7"/>
    <w:rsid w:val="00E17817"/>
    <w:rsid w:val="00E24E50"/>
    <w:rsid w:val="00E2510D"/>
    <w:rsid w:val="00E251EE"/>
    <w:rsid w:val="00E25A97"/>
    <w:rsid w:val="00E2668D"/>
    <w:rsid w:val="00E302D5"/>
    <w:rsid w:val="00E3219A"/>
    <w:rsid w:val="00E32382"/>
    <w:rsid w:val="00E32575"/>
    <w:rsid w:val="00E33927"/>
    <w:rsid w:val="00E33FED"/>
    <w:rsid w:val="00E37E91"/>
    <w:rsid w:val="00E401BC"/>
    <w:rsid w:val="00E41429"/>
    <w:rsid w:val="00E43225"/>
    <w:rsid w:val="00E43542"/>
    <w:rsid w:val="00E43A71"/>
    <w:rsid w:val="00E45675"/>
    <w:rsid w:val="00E5541C"/>
    <w:rsid w:val="00E55D04"/>
    <w:rsid w:val="00E55EB3"/>
    <w:rsid w:val="00E56A67"/>
    <w:rsid w:val="00E60A2A"/>
    <w:rsid w:val="00E62578"/>
    <w:rsid w:val="00E62C51"/>
    <w:rsid w:val="00E631F9"/>
    <w:rsid w:val="00E64653"/>
    <w:rsid w:val="00E662FD"/>
    <w:rsid w:val="00E700A1"/>
    <w:rsid w:val="00E705A8"/>
    <w:rsid w:val="00E7060E"/>
    <w:rsid w:val="00E72FD0"/>
    <w:rsid w:val="00E73FA2"/>
    <w:rsid w:val="00E757D0"/>
    <w:rsid w:val="00E7670F"/>
    <w:rsid w:val="00E767BE"/>
    <w:rsid w:val="00E80D55"/>
    <w:rsid w:val="00E8671C"/>
    <w:rsid w:val="00E86882"/>
    <w:rsid w:val="00E90298"/>
    <w:rsid w:val="00E916A2"/>
    <w:rsid w:val="00E91930"/>
    <w:rsid w:val="00E92291"/>
    <w:rsid w:val="00E92B3E"/>
    <w:rsid w:val="00E9407C"/>
    <w:rsid w:val="00E942AE"/>
    <w:rsid w:val="00E94951"/>
    <w:rsid w:val="00E9534A"/>
    <w:rsid w:val="00EA1454"/>
    <w:rsid w:val="00EA1A8B"/>
    <w:rsid w:val="00EA6D4F"/>
    <w:rsid w:val="00EA716A"/>
    <w:rsid w:val="00EA7EA8"/>
    <w:rsid w:val="00EB219F"/>
    <w:rsid w:val="00EC01CA"/>
    <w:rsid w:val="00EC0A15"/>
    <w:rsid w:val="00EC3570"/>
    <w:rsid w:val="00EC4EBC"/>
    <w:rsid w:val="00EC5133"/>
    <w:rsid w:val="00ED1416"/>
    <w:rsid w:val="00ED5EE4"/>
    <w:rsid w:val="00EE3F8A"/>
    <w:rsid w:val="00EE40FA"/>
    <w:rsid w:val="00EE412B"/>
    <w:rsid w:val="00EE4F61"/>
    <w:rsid w:val="00EF0490"/>
    <w:rsid w:val="00EF4ACB"/>
    <w:rsid w:val="00EF650C"/>
    <w:rsid w:val="00EF7AAC"/>
    <w:rsid w:val="00F00674"/>
    <w:rsid w:val="00F01A3B"/>
    <w:rsid w:val="00F020C5"/>
    <w:rsid w:val="00F03635"/>
    <w:rsid w:val="00F0455E"/>
    <w:rsid w:val="00F04FB9"/>
    <w:rsid w:val="00F0609A"/>
    <w:rsid w:val="00F1230D"/>
    <w:rsid w:val="00F1248E"/>
    <w:rsid w:val="00F13EEF"/>
    <w:rsid w:val="00F14BCE"/>
    <w:rsid w:val="00F14DD8"/>
    <w:rsid w:val="00F17475"/>
    <w:rsid w:val="00F178B0"/>
    <w:rsid w:val="00F21042"/>
    <w:rsid w:val="00F21FAC"/>
    <w:rsid w:val="00F236A2"/>
    <w:rsid w:val="00F23E16"/>
    <w:rsid w:val="00F246DD"/>
    <w:rsid w:val="00F281AD"/>
    <w:rsid w:val="00F3264E"/>
    <w:rsid w:val="00F34CB3"/>
    <w:rsid w:val="00F34FD5"/>
    <w:rsid w:val="00F36014"/>
    <w:rsid w:val="00F36E18"/>
    <w:rsid w:val="00F37BC2"/>
    <w:rsid w:val="00F40C4F"/>
    <w:rsid w:val="00F43DAD"/>
    <w:rsid w:val="00F43F80"/>
    <w:rsid w:val="00F45857"/>
    <w:rsid w:val="00F4641B"/>
    <w:rsid w:val="00F513EB"/>
    <w:rsid w:val="00F5236B"/>
    <w:rsid w:val="00F5252A"/>
    <w:rsid w:val="00F531E5"/>
    <w:rsid w:val="00F5340F"/>
    <w:rsid w:val="00F5419A"/>
    <w:rsid w:val="00F54266"/>
    <w:rsid w:val="00F552D2"/>
    <w:rsid w:val="00F5679F"/>
    <w:rsid w:val="00F60D6A"/>
    <w:rsid w:val="00F60F15"/>
    <w:rsid w:val="00F62708"/>
    <w:rsid w:val="00F6460E"/>
    <w:rsid w:val="00F64CB4"/>
    <w:rsid w:val="00F65889"/>
    <w:rsid w:val="00F65C67"/>
    <w:rsid w:val="00F72398"/>
    <w:rsid w:val="00F74CC9"/>
    <w:rsid w:val="00F77106"/>
    <w:rsid w:val="00F84034"/>
    <w:rsid w:val="00F85B48"/>
    <w:rsid w:val="00F861AE"/>
    <w:rsid w:val="00F86CC7"/>
    <w:rsid w:val="00F871D7"/>
    <w:rsid w:val="00F87FB6"/>
    <w:rsid w:val="00F90098"/>
    <w:rsid w:val="00F906BF"/>
    <w:rsid w:val="00F9205E"/>
    <w:rsid w:val="00F92FA5"/>
    <w:rsid w:val="00F935BD"/>
    <w:rsid w:val="00F93B5A"/>
    <w:rsid w:val="00F943D7"/>
    <w:rsid w:val="00F96889"/>
    <w:rsid w:val="00FA0717"/>
    <w:rsid w:val="00FA6309"/>
    <w:rsid w:val="00FA6319"/>
    <w:rsid w:val="00FB14CA"/>
    <w:rsid w:val="00FB46DD"/>
    <w:rsid w:val="00FB656A"/>
    <w:rsid w:val="00FB7019"/>
    <w:rsid w:val="00FB71C9"/>
    <w:rsid w:val="00FC522B"/>
    <w:rsid w:val="00FD0A30"/>
    <w:rsid w:val="00FD1A80"/>
    <w:rsid w:val="00FD2302"/>
    <w:rsid w:val="00FD3FC2"/>
    <w:rsid w:val="00FD4170"/>
    <w:rsid w:val="00FD7079"/>
    <w:rsid w:val="00FD769E"/>
    <w:rsid w:val="00FE1E64"/>
    <w:rsid w:val="00FE2F0A"/>
    <w:rsid w:val="00FF2A10"/>
    <w:rsid w:val="00FF557B"/>
    <w:rsid w:val="00FF57B7"/>
    <w:rsid w:val="00FF61DE"/>
    <w:rsid w:val="00FF6E25"/>
    <w:rsid w:val="01F5EBE0"/>
    <w:rsid w:val="025E2DE9"/>
    <w:rsid w:val="027751AF"/>
    <w:rsid w:val="02CF6F4E"/>
    <w:rsid w:val="03C8080F"/>
    <w:rsid w:val="04F78D99"/>
    <w:rsid w:val="0544EE97"/>
    <w:rsid w:val="05A1DEF3"/>
    <w:rsid w:val="06768130"/>
    <w:rsid w:val="06A6A6DB"/>
    <w:rsid w:val="06EA8734"/>
    <w:rsid w:val="071EC57B"/>
    <w:rsid w:val="075AD27A"/>
    <w:rsid w:val="07B38503"/>
    <w:rsid w:val="0853EF7C"/>
    <w:rsid w:val="0866A5F0"/>
    <w:rsid w:val="0946CBEB"/>
    <w:rsid w:val="0ACD9B4E"/>
    <w:rsid w:val="0BB45EE0"/>
    <w:rsid w:val="0C1E33F5"/>
    <w:rsid w:val="0CD74A64"/>
    <w:rsid w:val="0D6C67DF"/>
    <w:rsid w:val="0F4043E3"/>
    <w:rsid w:val="0F55D4B7"/>
    <w:rsid w:val="11C85FAD"/>
    <w:rsid w:val="1358212D"/>
    <w:rsid w:val="135D5FD7"/>
    <w:rsid w:val="139C9CC2"/>
    <w:rsid w:val="13ACA27E"/>
    <w:rsid w:val="13FC6F89"/>
    <w:rsid w:val="141295CA"/>
    <w:rsid w:val="143B7DCB"/>
    <w:rsid w:val="1652D25F"/>
    <w:rsid w:val="179E26E2"/>
    <w:rsid w:val="18A19115"/>
    <w:rsid w:val="1904A483"/>
    <w:rsid w:val="19218BC0"/>
    <w:rsid w:val="19BB6059"/>
    <w:rsid w:val="1A42D83F"/>
    <w:rsid w:val="1A4480A7"/>
    <w:rsid w:val="1A6C2154"/>
    <w:rsid w:val="1A792C2E"/>
    <w:rsid w:val="1C3C4545"/>
    <w:rsid w:val="1C803F1A"/>
    <w:rsid w:val="1D8B3131"/>
    <w:rsid w:val="1DD815A6"/>
    <w:rsid w:val="1F01E556"/>
    <w:rsid w:val="1F4DE53F"/>
    <w:rsid w:val="20453251"/>
    <w:rsid w:val="2100B138"/>
    <w:rsid w:val="21733013"/>
    <w:rsid w:val="2197125A"/>
    <w:rsid w:val="21E102B2"/>
    <w:rsid w:val="225226EB"/>
    <w:rsid w:val="237CD313"/>
    <w:rsid w:val="2407A745"/>
    <w:rsid w:val="25404732"/>
    <w:rsid w:val="25B15978"/>
    <w:rsid w:val="2721D8CB"/>
    <w:rsid w:val="28504436"/>
    <w:rsid w:val="2879F3A2"/>
    <w:rsid w:val="287E0A80"/>
    <w:rsid w:val="291AE72D"/>
    <w:rsid w:val="29BBD827"/>
    <w:rsid w:val="29EC1497"/>
    <w:rsid w:val="2A17F3AD"/>
    <w:rsid w:val="2A410CA2"/>
    <w:rsid w:val="2AE0256C"/>
    <w:rsid w:val="2B441CF9"/>
    <w:rsid w:val="2B87E4F8"/>
    <w:rsid w:val="2BB7D8DD"/>
    <w:rsid w:val="2BFD6821"/>
    <w:rsid w:val="2CB4118D"/>
    <w:rsid w:val="2CC00559"/>
    <w:rsid w:val="2CFE42CC"/>
    <w:rsid w:val="2D23B559"/>
    <w:rsid w:val="2D9EEF3F"/>
    <w:rsid w:val="2DE393C5"/>
    <w:rsid w:val="2E7FAF32"/>
    <w:rsid w:val="2E875267"/>
    <w:rsid w:val="2FA6CB8D"/>
    <w:rsid w:val="30550038"/>
    <w:rsid w:val="305B561B"/>
    <w:rsid w:val="31367F48"/>
    <w:rsid w:val="3193F48C"/>
    <w:rsid w:val="32889F4F"/>
    <w:rsid w:val="339C4529"/>
    <w:rsid w:val="33D8FE6C"/>
    <w:rsid w:val="34C3F91B"/>
    <w:rsid w:val="35826C5F"/>
    <w:rsid w:val="37005FC6"/>
    <w:rsid w:val="37A26516"/>
    <w:rsid w:val="386FB64C"/>
    <w:rsid w:val="387F1DB3"/>
    <w:rsid w:val="39A35BE8"/>
    <w:rsid w:val="3A33275A"/>
    <w:rsid w:val="3A4E559E"/>
    <w:rsid w:val="3A53FD44"/>
    <w:rsid w:val="3AA8D86F"/>
    <w:rsid w:val="3B3D2552"/>
    <w:rsid w:val="3C2071CD"/>
    <w:rsid w:val="3C87631A"/>
    <w:rsid w:val="3CAED6CE"/>
    <w:rsid w:val="3D23DC00"/>
    <w:rsid w:val="3DFA48B1"/>
    <w:rsid w:val="3E28C1BE"/>
    <w:rsid w:val="3E61E7DA"/>
    <w:rsid w:val="40B049B6"/>
    <w:rsid w:val="420C5138"/>
    <w:rsid w:val="42AF9638"/>
    <w:rsid w:val="42EBE528"/>
    <w:rsid w:val="431F4AC9"/>
    <w:rsid w:val="4332D018"/>
    <w:rsid w:val="4355291F"/>
    <w:rsid w:val="43B3006B"/>
    <w:rsid w:val="43F28F51"/>
    <w:rsid w:val="441778AB"/>
    <w:rsid w:val="444E9AF3"/>
    <w:rsid w:val="449CE0AB"/>
    <w:rsid w:val="45525045"/>
    <w:rsid w:val="45A80593"/>
    <w:rsid w:val="460016DA"/>
    <w:rsid w:val="46115D24"/>
    <w:rsid w:val="461813CD"/>
    <w:rsid w:val="474DBD54"/>
    <w:rsid w:val="47559036"/>
    <w:rsid w:val="47BB55FF"/>
    <w:rsid w:val="49036F7F"/>
    <w:rsid w:val="49246EC6"/>
    <w:rsid w:val="4A11118A"/>
    <w:rsid w:val="4AA2F626"/>
    <w:rsid w:val="4B70DC2C"/>
    <w:rsid w:val="4B8C2A49"/>
    <w:rsid w:val="4B9BB9A7"/>
    <w:rsid w:val="4BC96683"/>
    <w:rsid w:val="4BD912DC"/>
    <w:rsid w:val="4BE91AA5"/>
    <w:rsid w:val="4D481062"/>
    <w:rsid w:val="4D68843A"/>
    <w:rsid w:val="4DA14DD4"/>
    <w:rsid w:val="4E2A9783"/>
    <w:rsid w:val="4E630E60"/>
    <w:rsid w:val="4E8DCC02"/>
    <w:rsid w:val="4EF48422"/>
    <w:rsid w:val="4F651ADE"/>
    <w:rsid w:val="503CE544"/>
    <w:rsid w:val="517FDE5D"/>
    <w:rsid w:val="51A19F8E"/>
    <w:rsid w:val="5231EA6C"/>
    <w:rsid w:val="524181F3"/>
    <w:rsid w:val="52588AEE"/>
    <w:rsid w:val="5305F62C"/>
    <w:rsid w:val="5335549F"/>
    <w:rsid w:val="54A1C68D"/>
    <w:rsid w:val="54C3D794"/>
    <w:rsid w:val="553CE99E"/>
    <w:rsid w:val="568E9188"/>
    <w:rsid w:val="575077E9"/>
    <w:rsid w:val="59C022EC"/>
    <w:rsid w:val="5A7CA68E"/>
    <w:rsid w:val="5AA69E95"/>
    <w:rsid w:val="5AB8F933"/>
    <w:rsid w:val="5BC263CB"/>
    <w:rsid w:val="5C941F1D"/>
    <w:rsid w:val="5CE887BD"/>
    <w:rsid w:val="5CE96ADB"/>
    <w:rsid w:val="5CF3C79F"/>
    <w:rsid w:val="5D853D61"/>
    <w:rsid w:val="5DA6D4DE"/>
    <w:rsid w:val="5F159778"/>
    <w:rsid w:val="5F4BA8E1"/>
    <w:rsid w:val="5F7287D4"/>
    <w:rsid w:val="5F7B6D6D"/>
    <w:rsid w:val="5FC925C8"/>
    <w:rsid w:val="601C4B71"/>
    <w:rsid w:val="60D035FB"/>
    <w:rsid w:val="60E0DCB4"/>
    <w:rsid w:val="613CE774"/>
    <w:rsid w:val="6184C64D"/>
    <w:rsid w:val="61A57791"/>
    <w:rsid w:val="6204D128"/>
    <w:rsid w:val="640F6B97"/>
    <w:rsid w:val="64FE420C"/>
    <w:rsid w:val="654AC0DF"/>
    <w:rsid w:val="6571D70F"/>
    <w:rsid w:val="67466687"/>
    <w:rsid w:val="67DFB108"/>
    <w:rsid w:val="67EEF6B2"/>
    <w:rsid w:val="686248D8"/>
    <w:rsid w:val="69012919"/>
    <w:rsid w:val="6963732B"/>
    <w:rsid w:val="6985345C"/>
    <w:rsid w:val="6A25D388"/>
    <w:rsid w:val="6A7601FB"/>
    <w:rsid w:val="6CBADFF1"/>
    <w:rsid w:val="6CC29AA6"/>
    <w:rsid w:val="6EEDCFAE"/>
    <w:rsid w:val="6F4BC31C"/>
    <w:rsid w:val="7038D9BD"/>
    <w:rsid w:val="70960C14"/>
    <w:rsid w:val="7126322E"/>
    <w:rsid w:val="720263A9"/>
    <w:rsid w:val="72D80FEB"/>
    <w:rsid w:val="72EF0F5A"/>
    <w:rsid w:val="731714A4"/>
    <w:rsid w:val="74689CD3"/>
    <w:rsid w:val="74D1F464"/>
    <w:rsid w:val="74F3B595"/>
    <w:rsid w:val="75246698"/>
    <w:rsid w:val="75A544F7"/>
    <w:rsid w:val="767FAFF1"/>
    <w:rsid w:val="769C3BEA"/>
    <w:rsid w:val="77B79F8A"/>
    <w:rsid w:val="7815ED9B"/>
    <w:rsid w:val="7873FE58"/>
    <w:rsid w:val="792CCB5D"/>
    <w:rsid w:val="7955601C"/>
    <w:rsid w:val="7A4FE9B2"/>
    <w:rsid w:val="7A54C554"/>
    <w:rsid w:val="7A7C19DA"/>
    <w:rsid w:val="7A9F7F7A"/>
    <w:rsid w:val="7B77000A"/>
    <w:rsid w:val="7C9DDC85"/>
    <w:rsid w:val="7DF8B49C"/>
    <w:rsid w:val="7E118C37"/>
    <w:rsid w:val="7E134769"/>
    <w:rsid w:val="7EFD7C84"/>
    <w:rsid w:val="7FA14FE0"/>
    <w:rsid w:val="7FD28B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033FD144-5FDC-4F3B-B214-3312E663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Numbered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5"/>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5"/>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5"/>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5"/>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5"/>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unhideWhenUsed/>
    <w:rsid w:val="00AF040E"/>
    <w:rPr>
      <w:color w:val="605E5C"/>
      <w:shd w:val="clear" w:color="auto" w:fill="E1DFDD"/>
    </w:rPr>
  </w:style>
  <w:style w:type="character" w:customStyle="1" w:styleId="normaltextrun">
    <w:name w:val="normaltextrun"/>
    <w:basedOn w:val="DefaultParagraphFont"/>
    <w:rsid w:val="000E4FEA"/>
  </w:style>
  <w:style w:type="character" w:customStyle="1" w:styleId="eop">
    <w:name w:val="eop"/>
    <w:basedOn w:val="DefaultParagraphFont"/>
    <w:rsid w:val="008F0345"/>
  </w:style>
  <w:style w:type="character" w:styleId="Mention">
    <w:name w:val="Mention"/>
    <w:basedOn w:val="DefaultParagraphFont"/>
    <w:uiPriority w:val="99"/>
    <w:unhideWhenUsed/>
    <w:rsid w:val="00513C8C"/>
    <w:rPr>
      <w:color w:val="2B579A"/>
      <w:shd w:val="clear" w:color="auto" w:fill="E1DFDD"/>
    </w:rPr>
  </w:style>
  <w:style w:type="paragraph" w:styleId="NormalWeb">
    <w:name w:val="Normal (Web)"/>
    <w:basedOn w:val="Normal"/>
    <w:uiPriority w:val="99"/>
    <w:unhideWhenUsed/>
    <w:rsid w:val="00E108E9"/>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3196">
      <w:bodyDiv w:val="1"/>
      <w:marLeft w:val="0"/>
      <w:marRight w:val="0"/>
      <w:marTop w:val="0"/>
      <w:marBottom w:val="0"/>
      <w:divBdr>
        <w:top w:val="none" w:sz="0" w:space="0" w:color="auto"/>
        <w:left w:val="none" w:sz="0" w:space="0" w:color="auto"/>
        <w:bottom w:val="none" w:sz="0" w:space="0" w:color="auto"/>
        <w:right w:val="none" w:sz="0" w:space="0" w:color="auto"/>
      </w:divBdr>
    </w:div>
    <w:div w:id="123349875">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22200601">
      <w:bodyDiv w:val="1"/>
      <w:marLeft w:val="0"/>
      <w:marRight w:val="0"/>
      <w:marTop w:val="0"/>
      <w:marBottom w:val="0"/>
      <w:divBdr>
        <w:top w:val="none" w:sz="0" w:space="0" w:color="auto"/>
        <w:left w:val="none" w:sz="0" w:space="0" w:color="auto"/>
        <w:bottom w:val="none" w:sz="0" w:space="0" w:color="auto"/>
        <w:right w:val="none" w:sz="0" w:space="0" w:color="auto"/>
      </w:divBdr>
    </w:div>
    <w:div w:id="397442868">
      <w:bodyDiv w:val="1"/>
      <w:marLeft w:val="0"/>
      <w:marRight w:val="0"/>
      <w:marTop w:val="0"/>
      <w:marBottom w:val="0"/>
      <w:divBdr>
        <w:top w:val="none" w:sz="0" w:space="0" w:color="auto"/>
        <w:left w:val="none" w:sz="0" w:space="0" w:color="auto"/>
        <w:bottom w:val="none" w:sz="0" w:space="0" w:color="auto"/>
        <w:right w:val="none" w:sz="0" w:space="0" w:color="auto"/>
      </w:divBdr>
    </w:div>
    <w:div w:id="468278889">
      <w:bodyDiv w:val="1"/>
      <w:marLeft w:val="0"/>
      <w:marRight w:val="0"/>
      <w:marTop w:val="0"/>
      <w:marBottom w:val="0"/>
      <w:divBdr>
        <w:top w:val="none" w:sz="0" w:space="0" w:color="auto"/>
        <w:left w:val="none" w:sz="0" w:space="0" w:color="auto"/>
        <w:bottom w:val="none" w:sz="0" w:space="0" w:color="auto"/>
        <w:right w:val="none" w:sz="0" w:space="0" w:color="auto"/>
      </w:divBdr>
    </w:div>
    <w:div w:id="489979340">
      <w:bodyDiv w:val="1"/>
      <w:marLeft w:val="0"/>
      <w:marRight w:val="0"/>
      <w:marTop w:val="0"/>
      <w:marBottom w:val="0"/>
      <w:divBdr>
        <w:top w:val="none" w:sz="0" w:space="0" w:color="auto"/>
        <w:left w:val="none" w:sz="0" w:space="0" w:color="auto"/>
        <w:bottom w:val="none" w:sz="0" w:space="0" w:color="auto"/>
        <w:right w:val="none" w:sz="0" w:space="0" w:color="auto"/>
      </w:divBdr>
    </w:div>
    <w:div w:id="554969431">
      <w:bodyDiv w:val="1"/>
      <w:marLeft w:val="0"/>
      <w:marRight w:val="0"/>
      <w:marTop w:val="0"/>
      <w:marBottom w:val="0"/>
      <w:divBdr>
        <w:top w:val="none" w:sz="0" w:space="0" w:color="auto"/>
        <w:left w:val="none" w:sz="0" w:space="0" w:color="auto"/>
        <w:bottom w:val="none" w:sz="0" w:space="0" w:color="auto"/>
        <w:right w:val="none" w:sz="0" w:space="0" w:color="auto"/>
      </w:divBdr>
    </w:div>
    <w:div w:id="618612218">
      <w:bodyDiv w:val="1"/>
      <w:marLeft w:val="0"/>
      <w:marRight w:val="0"/>
      <w:marTop w:val="0"/>
      <w:marBottom w:val="0"/>
      <w:divBdr>
        <w:top w:val="none" w:sz="0" w:space="0" w:color="auto"/>
        <w:left w:val="none" w:sz="0" w:space="0" w:color="auto"/>
        <w:bottom w:val="none" w:sz="0" w:space="0" w:color="auto"/>
        <w:right w:val="none" w:sz="0" w:space="0" w:color="auto"/>
      </w:divBdr>
    </w:div>
    <w:div w:id="716587494">
      <w:bodyDiv w:val="1"/>
      <w:marLeft w:val="0"/>
      <w:marRight w:val="0"/>
      <w:marTop w:val="0"/>
      <w:marBottom w:val="0"/>
      <w:divBdr>
        <w:top w:val="none" w:sz="0" w:space="0" w:color="auto"/>
        <w:left w:val="none" w:sz="0" w:space="0" w:color="auto"/>
        <w:bottom w:val="none" w:sz="0" w:space="0" w:color="auto"/>
        <w:right w:val="none" w:sz="0" w:space="0" w:color="auto"/>
      </w:divBdr>
    </w:div>
    <w:div w:id="828444093">
      <w:bodyDiv w:val="1"/>
      <w:marLeft w:val="0"/>
      <w:marRight w:val="0"/>
      <w:marTop w:val="0"/>
      <w:marBottom w:val="0"/>
      <w:divBdr>
        <w:top w:val="none" w:sz="0" w:space="0" w:color="auto"/>
        <w:left w:val="none" w:sz="0" w:space="0" w:color="auto"/>
        <w:bottom w:val="none" w:sz="0" w:space="0" w:color="auto"/>
        <w:right w:val="none" w:sz="0" w:space="0" w:color="auto"/>
      </w:divBdr>
    </w:div>
    <w:div w:id="1457212055">
      <w:bodyDiv w:val="1"/>
      <w:marLeft w:val="0"/>
      <w:marRight w:val="0"/>
      <w:marTop w:val="0"/>
      <w:marBottom w:val="0"/>
      <w:divBdr>
        <w:top w:val="none" w:sz="0" w:space="0" w:color="auto"/>
        <w:left w:val="none" w:sz="0" w:space="0" w:color="auto"/>
        <w:bottom w:val="none" w:sz="0" w:space="0" w:color="auto"/>
        <w:right w:val="none" w:sz="0" w:space="0" w:color="auto"/>
      </w:divBdr>
    </w:div>
    <w:div w:id="1537934572">
      <w:bodyDiv w:val="1"/>
      <w:marLeft w:val="0"/>
      <w:marRight w:val="0"/>
      <w:marTop w:val="0"/>
      <w:marBottom w:val="0"/>
      <w:divBdr>
        <w:top w:val="none" w:sz="0" w:space="0" w:color="auto"/>
        <w:left w:val="none" w:sz="0" w:space="0" w:color="auto"/>
        <w:bottom w:val="none" w:sz="0" w:space="0" w:color="auto"/>
        <w:right w:val="none" w:sz="0" w:space="0" w:color="auto"/>
      </w:divBdr>
    </w:div>
    <w:div w:id="1772437501">
      <w:bodyDiv w:val="1"/>
      <w:marLeft w:val="0"/>
      <w:marRight w:val="0"/>
      <w:marTop w:val="0"/>
      <w:marBottom w:val="0"/>
      <w:divBdr>
        <w:top w:val="none" w:sz="0" w:space="0" w:color="auto"/>
        <w:left w:val="none" w:sz="0" w:space="0" w:color="auto"/>
        <w:bottom w:val="none" w:sz="0" w:space="0" w:color="auto"/>
        <w:right w:val="none" w:sz="0" w:space="0" w:color="auto"/>
      </w:divBdr>
    </w:div>
    <w:div w:id="1951737206">
      <w:bodyDiv w:val="1"/>
      <w:marLeft w:val="0"/>
      <w:marRight w:val="0"/>
      <w:marTop w:val="0"/>
      <w:marBottom w:val="0"/>
      <w:divBdr>
        <w:top w:val="none" w:sz="0" w:space="0" w:color="auto"/>
        <w:left w:val="none" w:sz="0" w:space="0" w:color="auto"/>
        <w:bottom w:val="none" w:sz="0" w:space="0" w:color="auto"/>
        <w:right w:val="none" w:sz="0" w:space="0" w:color="auto"/>
      </w:divBdr>
    </w:div>
    <w:div w:id="203673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9A4901DE-150E-440B-ABF5-F594B5CDB959}">
    <t:Anchor>
      <t:Comment id="1387086261"/>
    </t:Anchor>
    <t:History>
      <t:Event id="{7F81E7EC-ED31-45A8-9918-6D172E398942}" time="2022-11-30T02:48:09.416Z">
        <t:Attribution userId="S::neil.curry@dewr.gov.au::6bbcec0f-5f96-4753-acb1-8c9abd68412f" userProvider="AD" userName="CURRY,Neil"/>
        <t:Anchor>
          <t:Comment id="1387086261"/>
        </t:Anchor>
        <t:Create/>
      </t:Event>
      <t:Event id="{3D887DC8-3C84-4409-9DC2-E57C6ABDFA33}" time="2022-11-30T02:48:09.416Z">
        <t:Attribution userId="S::neil.curry@dewr.gov.au::6bbcec0f-5f96-4753-acb1-8c9abd68412f" userProvider="AD" userName="CURRY,Neil"/>
        <t:Anchor>
          <t:Comment id="1387086261"/>
        </t:Anchor>
        <t:Assign userId="S::Erica.Majdandzic@dewr.gov.au::39d8e5bf-d54f-4895-9dd8-cba0eb6fa80a" userProvider="AD" userName="MAJDANDZIC,Erica"/>
      </t:Event>
      <t:Event id="{1DBBF93F-71EB-40C8-AE92-7859942FFF29}" time="2022-11-30T02:48:09.416Z">
        <t:Attribution userId="S::neil.curry@dewr.gov.au::6bbcec0f-5f96-4753-acb1-8c9abd68412f" userProvider="AD" userName="CURRY,Neil"/>
        <t:Anchor>
          <t:Comment id="1387086261"/>
        </t:Anchor>
        <t:SetTitle title="@MAJDANDZIC,Erica Cleared Ex Mem still refers to 'preserved civil remedy application' @BARKER,Vienna FY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D1B5ACDABFB84D9DF753C9F0C18851" ma:contentTypeVersion="" ma:contentTypeDescription="PDMS Document Site Content Type" ma:contentTypeScope="" ma:versionID="f719688d0f28c20b0633962df1ac9a13">
  <xsd:schema xmlns:xsd="http://www.w3.org/2001/XMLSchema" xmlns:xs="http://www.w3.org/2001/XMLSchema" xmlns:p="http://schemas.microsoft.com/office/2006/metadata/properties" xmlns:ns2="87EA3A9D-B434-49D3-AF13-4E397DC704F9" targetNamespace="http://schemas.microsoft.com/office/2006/metadata/properties" ma:root="true" ma:fieldsID="ffa6340d8cac336e49f620b10fc3c507" ns2:_="">
    <xsd:import namespace="87EA3A9D-B434-49D3-AF13-4E397DC704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A3A9D-B434-49D3-AF13-4E397DC704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7EA3A9D-B434-49D3-AF13-4E397DC704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353D5-C6C4-4E8B-BC87-36882BF31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A3A9D-B434-49D3-AF13-4E397DC70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2F429-4198-4ECD-8E59-23F01B09005A}">
  <ds:schemaRefs>
    <ds:schemaRef ds:uri="http://schemas.openxmlformats.org/package/2006/metadata/core-properties"/>
    <ds:schemaRef ds:uri="http://purl.org/dc/terms/"/>
    <ds:schemaRef ds:uri="87EA3A9D-B434-49D3-AF13-4E397DC704F9"/>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3587</Words>
  <Characters>20448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CURRY,Neil</cp:lastModifiedBy>
  <cp:revision>33</cp:revision>
  <cp:lastPrinted>2022-12-02T01:43:00Z</cp:lastPrinted>
  <dcterms:created xsi:type="dcterms:W3CDTF">2022-12-02T00:46:00Z</dcterms:created>
  <dcterms:modified xsi:type="dcterms:W3CDTF">2022-12-02T02:02:00Z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0x010100266966F133664895A6EE3632470D45F50024D1B5ACDABFB84D9DF753C9F0C18851</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ies>
</file>