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4366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E27831D" w14:textId="0B3778BE" w:rsidR="00955175" w:rsidRPr="00C50990" w:rsidRDefault="00252E6F" w:rsidP="00E2168B">
      <w:pPr>
        <w:spacing w:before="280" w:after="240"/>
        <w:rPr>
          <w:b/>
          <w:sz w:val="32"/>
          <w:szCs w:val="32"/>
        </w:rPr>
      </w:pPr>
      <w:r w:rsidRPr="00C50990">
        <w:rPr>
          <w:noProof/>
        </w:rPr>
        <w:drawing>
          <wp:anchor distT="0" distB="0" distL="114300" distR="114300" simplePos="0" relativeHeight="251658240" behindDoc="0" locked="0" layoutInCell="1" allowOverlap="1" wp14:anchorId="7D8EBD60" wp14:editId="2AC02D6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Australian Securities and Investments Commission logo and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Securities and Investments Commission logo and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DA7F5" w14:textId="77777777" w:rsidR="00955175" w:rsidRPr="00C50990" w:rsidRDefault="00955175" w:rsidP="00DC30AD">
      <w:pPr>
        <w:pStyle w:val="LI-Title"/>
        <w:pBdr>
          <w:top w:val="none" w:sz="0" w:space="0" w:color="auto"/>
        </w:pBdr>
      </w:pPr>
    </w:p>
    <w:p w14:paraId="7E813339" w14:textId="77777777" w:rsidR="00955175" w:rsidRPr="00C50990" w:rsidRDefault="00955175" w:rsidP="00955175">
      <w:pPr>
        <w:pStyle w:val="LI-Title"/>
        <w:pBdr>
          <w:top w:val="none" w:sz="0" w:space="0" w:color="auto"/>
        </w:pBdr>
        <w:jc w:val="center"/>
      </w:pPr>
      <w:r w:rsidRPr="00C50990">
        <w:t>Explanatory Statement</w:t>
      </w:r>
    </w:p>
    <w:p w14:paraId="3D970E03" w14:textId="77777777" w:rsidR="00955175" w:rsidRPr="00C50990" w:rsidRDefault="00955175" w:rsidP="00955175">
      <w:pPr>
        <w:rPr>
          <w:lang w:eastAsia="en-AU"/>
        </w:rPr>
      </w:pPr>
    </w:p>
    <w:p w14:paraId="6701701D" w14:textId="45F59010" w:rsidR="00C4170B" w:rsidRPr="00C50990" w:rsidRDefault="00105D15" w:rsidP="00C4170B">
      <w:pPr>
        <w:jc w:val="center"/>
        <w:rPr>
          <w:b/>
          <w:i/>
          <w:sz w:val="28"/>
          <w:szCs w:val="28"/>
          <w:lang w:eastAsia="en-AU"/>
        </w:rPr>
      </w:pPr>
      <w:bookmarkStart w:id="0" w:name="_Hlk120190184"/>
      <w:r w:rsidRPr="00C50990">
        <w:rPr>
          <w:b/>
          <w:i/>
          <w:sz w:val="28"/>
          <w:szCs w:val="28"/>
          <w:lang w:eastAsia="en-AU"/>
        </w:rPr>
        <w:t xml:space="preserve">ASIC </w:t>
      </w:r>
      <w:r w:rsidR="006F3693" w:rsidRPr="00C50990">
        <w:rPr>
          <w:b/>
          <w:i/>
          <w:sz w:val="28"/>
          <w:szCs w:val="28"/>
          <w:lang w:eastAsia="en-AU"/>
        </w:rPr>
        <w:t>Corporations (Amendment) Instrument 2022/934</w:t>
      </w:r>
    </w:p>
    <w:p w14:paraId="3D36FF5F" w14:textId="1F9241BB" w:rsidR="00863657" w:rsidRPr="00C50990" w:rsidRDefault="00F800C9" w:rsidP="00F800C9">
      <w:pPr>
        <w:pStyle w:val="LI-BodyTextParaa"/>
        <w:ind w:left="0" w:firstLine="0"/>
      </w:pPr>
      <w:bookmarkStart w:id="1" w:name="BK_S3P1L1C1"/>
      <w:bookmarkEnd w:id="0"/>
      <w:bookmarkEnd w:id="1"/>
      <w:r w:rsidRPr="00C50990">
        <w:t xml:space="preserve">This is the Explanatory Statement for </w:t>
      </w:r>
      <w:r w:rsidR="00105D15" w:rsidRPr="00C50990">
        <w:rPr>
          <w:i/>
        </w:rPr>
        <w:t xml:space="preserve">ASIC </w:t>
      </w:r>
      <w:r w:rsidR="006F3693" w:rsidRPr="00C50990">
        <w:rPr>
          <w:i/>
        </w:rPr>
        <w:t>Corporations (Amendment) Instrument 2022/934</w:t>
      </w:r>
      <w:r w:rsidR="007926E5" w:rsidRPr="00C50990">
        <w:t xml:space="preserve"> (the </w:t>
      </w:r>
      <w:r w:rsidR="00FA31E1" w:rsidRPr="00C50990">
        <w:rPr>
          <w:b/>
          <w:bCs/>
          <w:i/>
          <w:iCs/>
        </w:rPr>
        <w:t>i</w:t>
      </w:r>
      <w:r w:rsidR="007926E5" w:rsidRPr="00C50990">
        <w:rPr>
          <w:b/>
          <w:bCs/>
          <w:i/>
          <w:iCs/>
        </w:rPr>
        <w:t>nstrument</w:t>
      </w:r>
      <w:r w:rsidR="007926E5" w:rsidRPr="00C50990">
        <w:t>)</w:t>
      </w:r>
      <w:r w:rsidRPr="00C50990">
        <w:t>.</w:t>
      </w:r>
    </w:p>
    <w:p w14:paraId="01EFBC80" w14:textId="41D83200" w:rsidR="00F800C9" w:rsidRPr="00C50990" w:rsidRDefault="00863657" w:rsidP="00C14654">
      <w:pPr>
        <w:pStyle w:val="LI-BodyTextParaa"/>
        <w:ind w:left="0" w:firstLine="0"/>
      </w:pPr>
      <w:r w:rsidRPr="00C50990">
        <w:t>Th</w:t>
      </w:r>
      <w:r w:rsidR="00F800C9" w:rsidRPr="00C50990">
        <w:t>e</w:t>
      </w:r>
      <w:r w:rsidRPr="00C50990">
        <w:t xml:space="preserve"> </w:t>
      </w:r>
      <w:r w:rsidR="00F800C9" w:rsidRPr="00C50990">
        <w:t>Explanatory Statement is approved by the Australian Securities and</w:t>
      </w:r>
      <w:r w:rsidR="00C14654" w:rsidRPr="00C50990">
        <w:t xml:space="preserve"> </w:t>
      </w:r>
      <w:r w:rsidR="00F800C9" w:rsidRPr="00C50990">
        <w:t>Investments Commission (</w:t>
      </w:r>
      <w:r w:rsidR="00F800C9" w:rsidRPr="00C50990">
        <w:rPr>
          <w:b/>
          <w:i/>
        </w:rPr>
        <w:t>ASIC</w:t>
      </w:r>
      <w:r w:rsidR="00F800C9" w:rsidRPr="00C50990">
        <w:t>).</w:t>
      </w:r>
    </w:p>
    <w:p w14:paraId="651F3DEF" w14:textId="77777777" w:rsidR="00F800C9" w:rsidRPr="00C50990" w:rsidRDefault="005D1FEA" w:rsidP="00F800C9">
      <w:pPr>
        <w:pStyle w:val="LI-BodyTextNumbered"/>
        <w:ind w:left="0" w:firstLine="0"/>
        <w:rPr>
          <w:b/>
        </w:rPr>
      </w:pPr>
      <w:r w:rsidRPr="00C50990">
        <w:rPr>
          <w:b/>
        </w:rPr>
        <w:t>Summary</w:t>
      </w:r>
    </w:p>
    <w:p w14:paraId="14BABBF2" w14:textId="1F30B9E2" w:rsidR="00535F6E" w:rsidRPr="00C50990" w:rsidRDefault="005E06D5" w:rsidP="002C7F59">
      <w:pPr>
        <w:pStyle w:val="LI-BodyTextParaa"/>
        <w:ind w:left="567"/>
        <w:rPr>
          <w:rStyle w:val="CharAmSchText"/>
        </w:rPr>
      </w:pPr>
      <w:r w:rsidRPr="00C50990">
        <w:t>1</w:t>
      </w:r>
      <w:r w:rsidR="00450577" w:rsidRPr="00C50990">
        <w:t>.</w:t>
      </w:r>
      <w:r w:rsidR="00450577" w:rsidRPr="00C50990">
        <w:tab/>
      </w:r>
      <w:r w:rsidR="00F87737" w:rsidRPr="00C50990">
        <w:t xml:space="preserve">The </w:t>
      </w:r>
      <w:r w:rsidR="00F87737" w:rsidRPr="00C50990">
        <w:rPr>
          <w:rStyle w:val="CharAmSchText"/>
          <w:i/>
          <w:iCs/>
        </w:rPr>
        <w:t>ASIC Derivative Transaction Rules (Reporting) 2013</w:t>
      </w:r>
      <w:r w:rsidR="00F87737" w:rsidRPr="00C50990">
        <w:rPr>
          <w:rStyle w:val="CharAmSchText"/>
        </w:rPr>
        <w:t xml:space="preserve"> (the </w:t>
      </w:r>
      <w:r w:rsidR="00F87737" w:rsidRPr="00C50990">
        <w:rPr>
          <w:rStyle w:val="CharAmSchText"/>
          <w:b/>
          <w:bCs/>
          <w:i/>
          <w:iCs/>
        </w:rPr>
        <w:t>Reporting Rules 2013</w:t>
      </w:r>
      <w:r w:rsidR="00F87737" w:rsidRPr="00C50990">
        <w:rPr>
          <w:rStyle w:val="CharAmSchText"/>
        </w:rPr>
        <w:t xml:space="preserve">) have been repealed and remade </w:t>
      </w:r>
      <w:r w:rsidRPr="00C50990">
        <w:rPr>
          <w:rStyle w:val="CharAmSchText"/>
        </w:rPr>
        <w:t xml:space="preserve">in the same form, </w:t>
      </w:r>
      <w:r w:rsidR="00F87737" w:rsidRPr="00C50990">
        <w:rPr>
          <w:rStyle w:val="CharAmSchText"/>
        </w:rPr>
        <w:t xml:space="preserve">as the </w:t>
      </w:r>
      <w:r w:rsidR="00F87737" w:rsidRPr="00C50990">
        <w:rPr>
          <w:rStyle w:val="CharAmSchText"/>
          <w:i/>
          <w:iCs/>
        </w:rPr>
        <w:t>ASIC Derivative Transaction Rules (Reporting) 2022</w:t>
      </w:r>
      <w:r w:rsidR="00F87737" w:rsidRPr="00C50990">
        <w:rPr>
          <w:rStyle w:val="CharAmSchText"/>
        </w:rPr>
        <w:t xml:space="preserve"> (the </w:t>
      </w:r>
      <w:r w:rsidR="00F87737" w:rsidRPr="00C50990">
        <w:rPr>
          <w:rStyle w:val="CharAmSchText"/>
          <w:b/>
          <w:bCs/>
          <w:i/>
          <w:iCs/>
        </w:rPr>
        <w:t>Reporting Rules 2022</w:t>
      </w:r>
      <w:r w:rsidR="00F87737" w:rsidRPr="00C50990">
        <w:rPr>
          <w:rStyle w:val="CharAmSchText"/>
        </w:rPr>
        <w:t>)</w:t>
      </w:r>
      <w:r w:rsidR="00535F6E" w:rsidRPr="00C50990">
        <w:rPr>
          <w:rStyle w:val="CharAmSchText"/>
        </w:rPr>
        <w:t>.</w:t>
      </w:r>
    </w:p>
    <w:p w14:paraId="6382783A" w14:textId="0C9152B6" w:rsidR="00244084" w:rsidRPr="00C50990" w:rsidRDefault="005E06D5" w:rsidP="002C7F59">
      <w:pPr>
        <w:pStyle w:val="LI-BodyTextParaa"/>
        <w:ind w:left="567"/>
      </w:pPr>
      <w:r w:rsidRPr="00C50990">
        <w:t>2</w:t>
      </w:r>
      <w:r w:rsidR="00E33DBE" w:rsidRPr="00C50990">
        <w:t>.</w:t>
      </w:r>
      <w:r w:rsidR="00E33DBE" w:rsidRPr="00C50990">
        <w:tab/>
      </w:r>
      <w:r w:rsidR="00244084" w:rsidRPr="00C50990">
        <w:rPr>
          <w:rStyle w:val="CharAmSchText"/>
        </w:rPr>
        <w:t xml:space="preserve">On 21 October 2024, the Reporting Rules 2022 will be repealed and remade as the </w:t>
      </w:r>
      <w:r w:rsidR="00244084" w:rsidRPr="00C50990">
        <w:rPr>
          <w:rStyle w:val="CharAmSchText"/>
          <w:i/>
          <w:iCs/>
        </w:rPr>
        <w:t>ASIC Derivative Transaction Rules (Reporting) 2024</w:t>
      </w:r>
      <w:r w:rsidR="00244084" w:rsidRPr="00C50990">
        <w:rPr>
          <w:rStyle w:val="CharAmSchText"/>
        </w:rPr>
        <w:t xml:space="preserve"> (</w:t>
      </w:r>
      <w:r w:rsidR="00244084" w:rsidRPr="00C50990">
        <w:rPr>
          <w:rStyle w:val="CharAmSchText"/>
          <w:i/>
          <w:iCs/>
        </w:rPr>
        <w:t xml:space="preserve">the </w:t>
      </w:r>
      <w:r w:rsidR="00244084" w:rsidRPr="00C50990">
        <w:rPr>
          <w:rStyle w:val="CharAmSchText"/>
          <w:b/>
          <w:bCs/>
          <w:i/>
          <w:iCs/>
        </w:rPr>
        <w:t>Reporting Rules 2024</w:t>
      </w:r>
      <w:r w:rsidR="00244084" w:rsidRPr="00C50990">
        <w:rPr>
          <w:rStyle w:val="CharAmSchText"/>
        </w:rPr>
        <w:t>), substantially amending the current requirements.</w:t>
      </w:r>
    </w:p>
    <w:p w14:paraId="34697B59" w14:textId="3E1ECE75" w:rsidR="005E06D5" w:rsidRPr="00C50990" w:rsidRDefault="005E06D5" w:rsidP="00FB0DFA">
      <w:pPr>
        <w:pStyle w:val="LI-BodyTextParaa"/>
        <w:ind w:left="567"/>
      </w:pPr>
      <w:bookmarkStart w:id="2" w:name="_Hlk120203150"/>
      <w:r w:rsidRPr="00C50990">
        <w:t>3</w:t>
      </w:r>
      <w:r w:rsidR="00535F6E" w:rsidRPr="00C50990">
        <w:t>.</w:t>
      </w:r>
      <w:r w:rsidR="00535F6E" w:rsidRPr="00C50990">
        <w:tab/>
      </w:r>
      <w:r w:rsidR="0060207B" w:rsidRPr="00C50990">
        <w:t xml:space="preserve">The </w:t>
      </w:r>
      <w:r w:rsidRPr="00C50990">
        <w:rPr>
          <w:i/>
          <w:iCs/>
        </w:rPr>
        <w:t>ASIC Derivative Transaction Rules (Clearing) 2015</w:t>
      </w:r>
      <w:r w:rsidRPr="00C50990">
        <w:t xml:space="preserve"> (the </w:t>
      </w:r>
      <w:r w:rsidRPr="00C50990">
        <w:rPr>
          <w:b/>
          <w:bCs/>
          <w:i/>
          <w:iCs/>
        </w:rPr>
        <w:t>Clearing Rules</w:t>
      </w:r>
      <w:r w:rsidRPr="00C50990">
        <w:t xml:space="preserve">) and the </w:t>
      </w:r>
      <w:r w:rsidRPr="00C50990">
        <w:rPr>
          <w:i/>
          <w:iCs/>
        </w:rPr>
        <w:t>ASIC Derivative Trade Repository (Reporting) 2013</w:t>
      </w:r>
      <w:r w:rsidRPr="00C50990">
        <w:t xml:space="preserve"> (the </w:t>
      </w:r>
      <w:r w:rsidRPr="00C50990">
        <w:rPr>
          <w:b/>
          <w:bCs/>
          <w:i/>
          <w:iCs/>
        </w:rPr>
        <w:t>Trade Repository Rules</w:t>
      </w:r>
      <w:r w:rsidRPr="00C50990">
        <w:t>) (together, the</w:t>
      </w:r>
      <w:r w:rsidRPr="00C50990">
        <w:rPr>
          <w:b/>
          <w:bCs/>
          <w:i/>
          <w:iCs/>
        </w:rPr>
        <w:t xml:space="preserve"> other ASIC-made rules</w:t>
      </w:r>
      <w:r w:rsidRPr="00C50990">
        <w:t>) make references to the Reporting Rules 2013 in the definitions of certain terms in those rules.</w:t>
      </w:r>
    </w:p>
    <w:p w14:paraId="13F4E58A" w14:textId="5FBE5C67" w:rsidR="000D0380" w:rsidRDefault="005E06D5" w:rsidP="002C7F59">
      <w:pPr>
        <w:pStyle w:val="LI-BodyTextParaa"/>
        <w:ind w:left="567"/>
      </w:pPr>
      <w:r w:rsidRPr="00C50990">
        <w:t>4.</w:t>
      </w:r>
      <w:r w:rsidRPr="00C50990">
        <w:tab/>
      </w:r>
      <w:r w:rsidR="00E97CCB" w:rsidRPr="00C50990">
        <w:t>Th</w:t>
      </w:r>
      <w:r w:rsidR="00440F08" w:rsidRPr="00C50990">
        <w:t>is</w:t>
      </w:r>
      <w:r w:rsidR="00E97CCB" w:rsidRPr="00C50990">
        <w:t xml:space="preserve"> </w:t>
      </w:r>
      <w:bookmarkEnd w:id="2"/>
      <w:r w:rsidR="00E97CCB" w:rsidRPr="00C50990">
        <w:t>instrument</w:t>
      </w:r>
      <w:r w:rsidR="000D0380" w:rsidRPr="00C50990">
        <w:t xml:space="preserve"> </w:t>
      </w:r>
      <w:r w:rsidR="00777B13" w:rsidRPr="00C50990">
        <w:t>amends</w:t>
      </w:r>
      <w:r w:rsidR="001F450B" w:rsidRPr="00C50990">
        <w:t xml:space="preserve"> the</w:t>
      </w:r>
      <w:r w:rsidR="000D0380" w:rsidRPr="00C50990">
        <w:t>:</w:t>
      </w:r>
    </w:p>
    <w:p w14:paraId="23CA18A0" w14:textId="10C7E98A" w:rsidR="000D0380" w:rsidRPr="00CB3D5E" w:rsidRDefault="000D0380" w:rsidP="00CB3D5E">
      <w:pPr>
        <w:pStyle w:val="LI-BodyTextParaa"/>
        <w:ind w:left="1134"/>
      </w:pPr>
      <w:r>
        <w:t>a.</w:t>
      </w:r>
      <w:r>
        <w:tab/>
      </w:r>
      <w:r w:rsidR="001358BA" w:rsidRPr="00CB3D5E">
        <w:t xml:space="preserve">other </w:t>
      </w:r>
      <w:r w:rsidR="002C7F59" w:rsidRPr="0081684D">
        <w:t>A</w:t>
      </w:r>
      <w:r w:rsidR="006F3693" w:rsidRPr="00327845">
        <w:t>SIC</w:t>
      </w:r>
      <w:r w:rsidR="0007369A" w:rsidRPr="00327845">
        <w:t>-made</w:t>
      </w:r>
      <w:r w:rsidR="00E622BF" w:rsidRPr="00327845">
        <w:t xml:space="preserve"> rule</w:t>
      </w:r>
      <w:r w:rsidR="00324E2A" w:rsidRPr="00327845">
        <w:t>s</w:t>
      </w:r>
      <w:r w:rsidR="00D56253" w:rsidRPr="00327845">
        <w:t>,</w:t>
      </w:r>
      <w:r w:rsidR="00FC7BBC" w:rsidRPr="00327845">
        <w:t xml:space="preserve"> </w:t>
      </w:r>
      <w:r w:rsidR="00FC7BBC" w:rsidRPr="00CB3D5E">
        <w:t>to re</w:t>
      </w:r>
      <w:r w:rsidR="006F3693" w:rsidRPr="00CB3D5E">
        <w:t>place</w:t>
      </w:r>
      <w:r w:rsidR="009358EA" w:rsidRPr="00CB3D5E">
        <w:t xml:space="preserve"> references to </w:t>
      </w:r>
      <w:r w:rsidR="00F87737" w:rsidRPr="00CB3D5E">
        <w:t xml:space="preserve">the </w:t>
      </w:r>
      <w:r w:rsidR="0066508B" w:rsidRPr="00CB3D5E">
        <w:t>Reporting Rules 2013</w:t>
      </w:r>
      <w:r w:rsidR="006F3693" w:rsidRPr="00CB3D5E">
        <w:t xml:space="preserve"> with </w:t>
      </w:r>
      <w:r w:rsidR="00FA31E1" w:rsidRPr="00CB3D5E">
        <w:t>reference</w:t>
      </w:r>
      <w:r w:rsidR="000011D3">
        <w:t>s</w:t>
      </w:r>
      <w:r w:rsidR="00FA31E1" w:rsidRPr="00CB3D5E">
        <w:t xml:space="preserve"> to </w:t>
      </w:r>
      <w:r w:rsidR="0066508B" w:rsidRPr="00CB3D5E">
        <w:t>the Reporting Rules 2022</w:t>
      </w:r>
      <w:r w:rsidR="0081684D">
        <w:t>;</w:t>
      </w:r>
      <w:r w:rsidRPr="00CB3D5E">
        <w:t xml:space="preserve"> and</w:t>
      </w:r>
    </w:p>
    <w:p w14:paraId="117A56C1" w14:textId="47F2CC30" w:rsidR="000D0380" w:rsidRDefault="000D0380" w:rsidP="000D0380">
      <w:pPr>
        <w:pStyle w:val="LI-BodyTextParaa"/>
        <w:ind w:left="1134"/>
      </w:pPr>
      <w:r w:rsidRPr="00CB3D5E">
        <w:t>b.</w:t>
      </w:r>
      <w:r w:rsidRPr="00CB3D5E">
        <w:tab/>
      </w:r>
      <w:r>
        <w:t>Clearing Rules, from 21 October 2024</w:t>
      </w:r>
      <w:r w:rsidR="0081684D">
        <w:t>,</w:t>
      </w:r>
      <w:r>
        <w:t xml:space="preserve"> to</w:t>
      </w:r>
      <w:r w:rsidRPr="00CB3D5E">
        <w:t xml:space="preserve"> </w:t>
      </w:r>
      <w:r>
        <w:t>replace</w:t>
      </w:r>
      <w:r w:rsidR="00244084" w:rsidRPr="00CB3D5E">
        <w:t xml:space="preserve"> references to the Reporting Rules 2022 </w:t>
      </w:r>
      <w:r w:rsidR="005143CB" w:rsidRPr="005143CB">
        <w:t>with reference</w:t>
      </w:r>
      <w:r w:rsidR="00AB72AA">
        <w:t>s</w:t>
      </w:r>
      <w:r w:rsidR="005143CB">
        <w:t xml:space="preserve"> to the</w:t>
      </w:r>
      <w:r w:rsidR="005143CB" w:rsidRPr="005143CB">
        <w:t xml:space="preserve"> </w:t>
      </w:r>
      <w:r w:rsidRPr="00CB3D5E">
        <w:t xml:space="preserve">Reporting Rules </w:t>
      </w:r>
      <w:r>
        <w:t>2024</w:t>
      </w:r>
    </w:p>
    <w:p w14:paraId="441FA560" w14:textId="1153CDDB" w:rsidR="00F37DFC" w:rsidRDefault="0045603B" w:rsidP="00CB3D5E">
      <w:pPr>
        <w:pStyle w:val="LI-BodyTextParaa"/>
        <w:ind w:left="0" w:firstLine="567"/>
        <w:rPr>
          <w:rStyle w:val="CharAmSchText"/>
        </w:rPr>
      </w:pPr>
      <w:r>
        <w:rPr>
          <w:rStyle w:val="CharAmSchText"/>
        </w:rPr>
        <w:t>(</w:t>
      </w:r>
      <w:r w:rsidRPr="00CB3D5E">
        <w:rPr>
          <w:rStyle w:val="CharAmSchText"/>
        </w:rPr>
        <w:t>together</w:t>
      </w:r>
      <w:r w:rsidRPr="00327845">
        <w:rPr>
          <w:rStyle w:val="CharAmSchText"/>
        </w:rPr>
        <w:t>,</w:t>
      </w:r>
      <w:r>
        <w:rPr>
          <w:rStyle w:val="CharAmSchText"/>
        </w:rPr>
        <w:t xml:space="preserve"> </w:t>
      </w:r>
      <w:r w:rsidRPr="00CB3D5E">
        <w:rPr>
          <w:rStyle w:val="CharAmSchText"/>
        </w:rPr>
        <w:t>the</w:t>
      </w:r>
      <w:r>
        <w:rPr>
          <w:rStyle w:val="CharAmSchText"/>
          <w:i/>
          <w:iCs/>
        </w:rPr>
        <w:t xml:space="preserve"> </w:t>
      </w:r>
      <w:r w:rsidR="000D0380">
        <w:rPr>
          <w:rStyle w:val="CharAmSchText"/>
          <w:b/>
          <w:bCs/>
          <w:i/>
          <w:iCs/>
        </w:rPr>
        <w:t xml:space="preserve">consequential </w:t>
      </w:r>
      <w:r w:rsidR="009557BC">
        <w:rPr>
          <w:rStyle w:val="CharAmSchText"/>
          <w:b/>
          <w:bCs/>
          <w:i/>
          <w:iCs/>
        </w:rPr>
        <w:t>amendments</w:t>
      </w:r>
      <w:r w:rsidR="000D0380">
        <w:rPr>
          <w:rStyle w:val="CharAmSchText"/>
        </w:rPr>
        <w:t>).</w:t>
      </w:r>
    </w:p>
    <w:p w14:paraId="31210EDA" w14:textId="1756A605" w:rsidR="00AA69A1" w:rsidRDefault="005D1FEA" w:rsidP="00AA69A1">
      <w:pPr>
        <w:pStyle w:val="LI-BodyTextNumbered"/>
        <w:ind w:hanging="1134"/>
        <w:rPr>
          <w:b/>
        </w:rPr>
      </w:pPr>
      <w:r>
        <w:rPr>
          <w:b/>
        </w:rPr>
        <w:t>Purpose of the instrument</w:t>
      </w:r>
    </w:p>
    <w:p w14:paraId="485DA055" w14:textId="5E9E7DE5" w:rsidR="00A81B4A" w:rsidRDefault="007155ED" w:rsidP="002D3E69">
      <w:pPr>
        <w:pStyle w:val="LI-BodyTextParaa"/>
        <w:ind w:left="567"/>
      </w:pPr>
      <w:r>
        <w:t>5</w:t>
      </w:r>
      <w:r w:rsidR="00F03BB5">
        <w:t>.</w:t>
      </w:r>
      <w:r w:rsidR="005D1FEA">
        <w:tab/>
      </w:r>
      <w:bookmarkStart w:id="3" w:name="_Hlk120186985"/>
      <w:r w:rsidR="00C24E71" w:rsidRPr="00CB3D5E">
        <w:rPr>
          <w:rStyle w:val="CharAmSchText"/>
        </w:rPr>
        <w:t>The</w:t>
      </w:r>
      <w:bookmarkEnd w:id="3"/>
      <w:r w:rsidR="00C24E71" w:rsidRPr="00CB3D5E">
        <w:rPr>
          <w:rStyle w:val="CharAmSchText"/>
        </w:rPr>
        <w:t xml:space="preserve"> purpose of th</w:t>
      </w:r>
      <w:r w:rsidR="008915FC" w:rsidRPr="00CB3D5E">
        <w:rPr>
          <w:rStyle w:val="CharAmSchText"/>
        </w:rPr>
        <w:t>e</w:t>
      </w:r>
      <w:r w:rsidR="00C24E71" w:rsidRPr="00CB3D5E">
        <w:rPr>
          <w:rStyle w:val="CharAmSchText"/>
        </w:rPr>
        <w:t xml:space="preserve"> </w:t>
      </w:r>
      <w:bookmarkStart w:id="4" w:name="_Hlk120189743"/>
      <w:r w:rsidR="00C24E71" w:rsidRPr="00CB3D5E">
        <w:rPr>
          <w:rStyle w:val="CharAmSchText"/>
        </w:rPr>
        <w:t xml:space="preserve">instrument is to </w:t>
      </w:r>
      <w:r w:rsidR="00535F6E">
        <w:rPr>
          <w:rStyle w:val="CharAmSchText"/>
        </w:rPr>
        <w:t>make consequential amendments to</w:t>
      </w:r>
      <w:r w:rsidR="00535F6E" w:rsidRPr="00CB3D5E">
        <w:rPr>
          <w:rStyle w:val="CharAmSchText"/>
        </w:rPr>
        <w:t xml:space="preserve"> </w:t>
      </w:r>
      <w:r w:rsidR="001D5C05" w:rsidRPr="00CB3D5E">
        <w:rPr>
          <w:rStyle w:val="CharAmSchText"/>
        </w:rPr>
        <w:t>the</w:t>
      </w:r>
      <w:r w:rsidR="001358BA">
        <w:rPr>
          <w:rStyle w:val="CharAmSchText"/>
        </w:rPr>
        <w:t xml:space="preserve"> other ASIC-made rules </w:t>
      </w:r>
      <w:r w:rsidR="00535F6E" w:rsidRPr="00535F6E">
        <w:t xml:space="preserve">to reflect the repeal and remaking of the </w:t>
      </w:r>
      <w:r w:rsidR="00F87737">
        <w:t>Reporting Rules</w:t>
      </w:r>
      <w:r w:rsidR="00535F6E" w:rsidRPr="00535F6E">
        <w:t xml:space="preserve"> 2013 to become the </w:t>
      </w:r>
      <w:r w:rsidR="00F87737">
        <w:t>Reporting</w:t>
      </w:r>
      <w:r w:rsidR="00535F6E" w:rsidRPr="00535F6E">
        <w:t xml:space="preserve"> Rules 2022</w:t>
      </w:r>
      <w:r w:rsidR="002049E9">
        <w:t>,</w:t>
      </w:r>
      <w:r w:rsidR="00A81B4A">
        <w:t xml:space="preserve"> and</w:t>
      </w:r>
      <w:r w:rsidR="002049E9">
        <w:t>,</w:t>
      </w:r>
      <w:r w:rsidR="00A81B4A">
        <w:t xml:space="preserve"> from 21 October 2024</w:t>
      </w:r>
      <w:r w:rsidR="002049E9">
        <w:t>,</w:t>
      </w:r>
      <w:r w:rsidR="0045603B">
        <w:t xml:space="preserve"> in the Clearing Rules only,</w:t>
      </w:r>
      <w:r w:rsidR="00A81B4A">
        <w:t xml:space="preserve"> the </w:t>
      </w:r>
      <w:r w:rsidR="00A81B4A" w:rsidRPr="00A81B4A">
        <w:t>repeal and remaking of the Reporting Rules 20</w:t>
      </w:r>
      <w:r w:rsidR="00A81B4A">
        <w:t>22</w:t>
      </w:r>
      <w:r w:rsidR="00A81B4A" w:rsidRPr="00A81B4A">
        <w:t xml:space="preserve"> to become the Reporting Rules 202</w:t>
      </w:r>
      <w:r w:rsidR="00A81B4A">
        <w:t>4</w:t>
      </w:r>
      <w:r w:rsidR="0045603B">
        <w:t>. The re-referencing of the Reporting Rules 2022 to Reporting Rules 2024</w:t>
      </w:r>
      <w:r w:rsidR="005A767C">
        <w:t xml:space="preserve"> is not also</w:t>
      </w:r>
      <w:r w:rsidR="002A7DEB">
        <w:t xml:space="preserve"> applicable to the Trade Repository </w:t>
      </w:r>
      <w:r w:rsidR="002A7DEB">
        <w:lastRenderedPageBreak/>
        <w:t xml:space="preserve">Rules because they sunset </w:t>
      </w:r>
      <w:r w:rsidR="006276AF">
        <w:t xml:space="preserve">on 1 October 2023, </w:t>
      </w:r>
      <w:r w:rsidR="002A7DEB">
        <w:t>ahead of the commencement of the Reporting Rules 2024</w:t>
      </w:r>
      <w:r w:rsidR="006276AF">
        <w:t xml:space="preserve"> on 21 October 2024</w:t>
      </w:r>
      <w:r w:rsidR="002A7DEB">
        <w:t>.</w:t>
      </w:r>
    </w:p>
    <w:p w14:paraId="074EE860" w14:textId="38ECB8E8" w:rsidR="00535F6E" w:rsidRDefault="007155ED" w:rsidP="002D3E69">
      <w:pPr>
        <w:pStyle w:val="LI-BodyTextParaa"/>
        <w:ind w:left="567"/>
      </w:pPr>
      <w:r>
        <w:t>6</w:t>
      </w:r>
      <w:r w:rsidR="006A1DAA">
        <w:t>.</w:t>
      </w:r>
      <w:r w:rsidR="006A1DAA">
        <w:tab/>
      </w:r>
      <w:r w:rsidR="006A1DAA" w:rsidRPr="004438DA">
        <w:rPr>
          <w:rStyle w:val="CharAmSchText"/>
        </w:rPr>
        <w:t>The</w:t>
      </w:r>
      <w:bookmarkEnd w:id="4"/>
      <w:r w:rsidR="00535F6E" w:rsidRPr="00535F6E">
        <w:t xml:space="preserve"> consequential amendments replace references in </w:t>
      </w:r>
      <w:r w:rsidR="00535F6E">
        <w:t>the</w:t>
      </w:r>
      <w:r w:rsidR="001358BA">
        <w:t xml:space="preserve"> other ASIC-made</w:t>
      </w:r>
      <w:r w:rsidR="0045603B">
        <w:t xml:space="preserve"> </w:t>
      </w:r>
      <w:r w:rsidR="00F4622C">
        <w:t xml:space="preserve">rules </w:t>
      </w:r>
      <w:r w:rsidR="0058573E">
        <w:t>for</w:t>
      </w:r>
      <w:r w:rsidR="00535F6E" w:rsidRPr="00535F6E">
        <w:t xml:space="preserve"> ease of reference</w:t>
      </w:r>
      <w:r w:rsidR="0058573E">
        <w:t xml:space="preserve"> </w:t>
      </w:r>
      <w:r w:rsidR="005E06D5">
        <w:t xml:space="preserve">and to ensure </w:t>
      </w:r>
      <w:r w:rsidR="0058573E">
        <w:t>consistency</w:t>
      </w:r>
      <w:r w:rsidR="00535F6E" w:rsidRPr="00535F6E">
        <w:t>.</w:t>
      </w:r>
    </w:p>
    <w:p w14:paraId="4A479830" w14:textId="77777777" w:rsidR="00C24E71" w:rsidRPr="00BB2DE2" w:rsidRDefault="00DC30AD" w:rsidP="00562F21">
      <w:pPr>
        <w:pStyle w:val="LI-BodyTextParaa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Background</w:t>
      </w:r>
    </w:p>
    <w:p w14:paraId="29A61BBE" w14:textId="0196F236" w:rsidR="00123A48" w:rsidRDefault="007155ED" w:rsidP="00246A17">
      <w:pPr>
        <w:pStyle w:val="LI-BodyTextParaa"/>
        <w:ind w:left="567"/>
      </w:pPr>
      <w:r>
        <w:t>7</w:t>
      </w:r>
      <w:r w:rsidR="00F134E2">
        <w:t>.</w:t>
      </w:r>
      <w:r w:rsidR="00F134E2">
        <w:tab/>
      </w:r>
      <w:r w:rsidR="00E54ED7">
        <w:t xml:space="preserve">In </w:t>
      </w:r>
      <w:hyperlink r:id="rId15" w:history="1">
        <w:r w:rsidR="00E54ED7" w:rsidRPr="00123A48">
          <w:rPr>
            <w:rStyle w:val="Hyperlink"/>
          </w:rPr>
          <w:t>Consul</w:t>
        </w:r>
        <w:r w:rsidR="005E06D5">
          <w:rPr>
            <w:rStyle w:val="Hyperlink"/>
          </w:rPr>
          <w:t>t</w:t>
        </w:r>
        <w:r w:rsidR="00E54ED7" w:rsidRPr="00123A48">
          <w:rPr>
            <w:rStyle w:val="Hyperlink"/>
          </w:rPr>
          <w:t>ation Paper 334</w:t>
        </w:r>
      </w:hyperlink>
      <w:r w:rsidR="00E54ED7" w:rsidRPr="00123A48">
        <w:t xml:space="preserve"> </w:t>
      </w:r>
      <w:r w:rsidR="00E54ED7" w:rsidRPr="00123A48">
        <w:rPr>
          <w:i/>
          <w:iCs/>
        </w:rPr>
        <w:t>Proposed changes to simplify the ASIC Derivative Transaction Rules (Reporting): First consultation</w:t>
      </w:r>
      <w:r w:rsidR="00E54ED7" w:rsidDel="00E54ED7">
        <w:t xml:space="preserve"> </w:t>
      </w:r>
      <w:r w:rsidR="00EC7191" w:rsidRPr="00CB3D5E">
        <w:t>(</w:t>
      </w:r>
      <w:r w:rsidR="00EC7191" w:rsidRPr="00CB3D5E">
        <w:rPr>
          <w:b/>
          <w:bCs/>
          <w:i/>
          <w:iCs/>
        </w:rPr>
        <w:t xml:space="preserve">CP </w:t>
      </w:r>
      <w:r w:rsidR="00EC7191" w:rsidRPr="00497269">
        <w:rPr>
          <w:b/>
          <w:bCs/>
          <w:i/>
          <w:iCs/>
        </w:rPr>
        <w:t>334</w:t>
      </w:r>
      <w:r w:rsidR="00EC7191">
        <w:t xml:space="preserve">) </w:t>
      </w:r>
      <w:r w:rsidR="00123A48" w:rsidRPr="00884DF4">
        <w:t>ASIC</w:t>
      </w:r>
      <w:r w:rsidR="00123A48">
        <w:t xml:space="preserve"> </w:t>
      </w:r>
      <w:r w:rsidR="00E54ED7">
        <w:t xml:space="preserve">outlined a range of initial proposals </w:t>
      </w:r>
      <w:r w:rsidR="00123A48">
        <w:t>to update the Reporting Rules 2013 to:</w:t>
      </w:r>
    </w:p>
    <w:p w14:paraId="400F16F8" w14:textId="4F6B200B" w:rsidR="00123A48" w:rsidRPr="00123A48" w:rsidRDefault="00123A48" w:rsidP="003307AB">
      <w:pPr>
        <w:pStyle w:val="LI-BodyTextParaa"/>
        <w:numPr>
          <w:ilvl w:val="0"/>
          <w:numId w:val="44"/>
        </w:numPr>
        <w:ind w:left="924" w:hanging="357"/>
      </w:pPr>
      <w:r w:rsidRPr="00123A48">
        <w:t>harmonise to international standards;</w:t>
      </w:r>
    </w:p>
    <w:p w14:paraId="1DF10143" w14:textId="77777777" w:rsidR="00123A48" w:rsidRPr="00123A48" w:rsidRDefault="00123A48" w:rsidP="003307AB">
      <w:pPr>
        <w:pStyle w:val="LI-BodyTextParaa"/>
        <w:numPr>
          <w:ilvl w:val="0"/>
          <w:numId w:val="44"/>
        </w:numPr>
        <w:ind w:left="924" w:hanging="357"/>
      </w:pPr>
      <w:r w:rsidRPr="00123A48">
        <w:t>remove outdated transitional provisions and consolidate the various exemptions that currently exist as separate instruments within the rules; and</w:t>
      </w:r>
    </w:p>
    <w:p w14:paraId="41CA37AA" w14:textId="57F2C24B" w:rsidR="00123A48" w:rsidRPr="00123A48" w:rsidRDefault="00123A48" w:rsidP="003307AB">
      <w:pPr>
        <w:pStyle w:val="LI-BodyTextParaa"/>
        <w:numPr>
          <w:ilvl w:val="0"/>
          <w:numId w:val="44"/>
        </w:numPr>
        <w:ind w:left="924" w:hanging="357"/>
      </w:pPr>
      <w:r w:rsidRPr="00123A48">
        <w:t>ensure they are fit-for-purpose as to the scope of reporting entities, derivative products and requirements of relevant entities to</w:t>
      </w:r>
      <w:r w:rsidR="005E06D5">
        <w:t xml:space="preserve"> over-the-counter</w:t>
      </w:r>
      <w:r w:rsidRPr="00123A48">
        <w:t xml:space="preserve"> </w:t>
      </w:r>
      <w:r w:rsidR="005E06D5">
        <w:t>(</w:t>
      </w:r>
      <w:r w:rsidRPr="00FB0DFA">
        <w:rPr>
          <w:b/>
          <w:bCs/>
          <w:i/>
          <w:iCs/>
        </w:rPr>
        <w:t>OTC</w:t>
      </w:r>
      <w:r w:rsidR="005E06D5">
        <w:t>)</w:t>
      </w:r>
      <w:r w:rsidRPr="00123A48">
        <w:t xml:space="preserve"> derivative transactions</w:t>
      </w:r>
    </w:p>
    <w:p w14:paraId="05C643D0" w14:textId="644B9C3A" w:rsidR="00123A48" w:rsidRPr="00123A48" w:rsidRDefault="00123A48" w:rsidP="00CB3D5E">
      <w:pPr>
        <w:pStyle w:val="LI-BodyTextParaa"/>
        <w:ind w:left="567" w:firstLine="0"/>
      </w:pPr>
      <w:r w:rsidRPr="00123A48">
        <w:t xml:space="preserve">(together, </w:t>
      </w:r>
      <w:r w:rsidRPr="00CB3D5E">
        <w:t>the</w:t>
      </w:r>
      <w:r w:rsidRPr="00123A48">
        <w:rPr>
          <w:b/>
          <w:bCs/>
        </w:rPr>
        <w:t xml:space="preserve"> </w:t>
      </w:r>
      <w:r w:rsidRPr="00CB3D5E">
        <w:rPr>
          <w:b/>
          <w:bCs/>
          <w:i/>
          <w:iCs/>
        </w:rPr>
        <w:t>Reporting Rules Changes</w:t>
      </w:r>
      <w:r w:rsidRPr="00123A48">
        <w:t>).</w:t>
      </w:r>
    </w:p>
    <w:p w14:paraId="7F6B98EB" w14:textId="6258BE6D" w:rsidR="00EC7191" w:rsidRDefault="007155ED" w:rsidP="00896940">
      <w:pPr>
        <w:pStyle w:val="LI-BodyTextParaa"/>
        <w:ind w:left="567"/>
      </w:pPr>
      <w:r>
        <w:t>8</w:t>
      </w:r>
      <w:r w:rsidR="0087648E">
        <w:t>.</w:t>
      </w:r>
      <w:r w:rsidR="0087648E">
        <w:tab/>
      </w:r>
      <w:r w:rsidR="00EC7191">
        <w:t>ASIC</w:t>
      </w:r>
      <w:r w:rsidR="00EC7191" w:rsidRPr="00123A48">
        <w:t xml:space="preserve"> </w:t>
      </w:r>
      <w:r w:rsidR="00EC7191">
        <w:t>published</w:t>
      </w:r>
      <w:r w:rsidR="00EC7191" w:rsidRPr="00123A48">
        <w:t xml:space="preserve"> </w:t>
      </w:r>
      <w:hyperlink r:id="rId16" w:history="1">
        <w:r w:rsidR="00EC7191" w:rsidRPr="00D4374C">
          <w:rPr>
            <w:rStyle w:val="Hyperlink"/>
          </w:rPr>
          <w:t>Consultation Paper 361</w:t>
        </w:r>
      </w:hyperlink>
      <w:r w:rsidR="00EC7191" w:rsidRPr="00123A48">
        <w:t xml:space="preserve"> </w:t>
      </w:r>
      <w:r w:rsidR="00EC7191" w:rsidRPr="00F56EBE">
        <w:rPr>
          <w:i/>
          <w:iCs/>
        </w:rPr>
        <w:t>Proposed changes to simplify the ASIC Derivative Transaction Rules (Reporting): Second consultation</w:t>
      </w:r>
      <w:r w:rsidR="00EC7191">
        <w:t xml:space="preserve"> (</w:t>
      </w:r>
      <w:r w:rsidR="00EC7191" w:rsidRPr="00FB0DFA">
        <w:rPr>
          <w:b/>
          <w:bCs/>
          <w:i/>
          <w:iCs/>
        </w:rPr>
        <w:t>CP 361</w:t>
      </w:r>
      <w:r w:rsidR="00EC7191">
        <w:t>) in May 2022</w:t>
      </w:r>
      <w:r w:rsidR="00287780">
        <w:t xml:space="preserve"> outlining the final proposals to implement the Reporting Rules Changes</w:t>
      </w:r>
      <w:r w:rsidR="00EC7191" w:rsidRPr="00123A48">
        <w:t>.</w:t>
      </w:r>
    </w:p>
    <w:p w14:paraId="424583D3" w14:textId="4C53856E" w:rsidR="00A6560B" w:rsidRDefault="007155ED" w:rsidP="00287780">
      <w:pPr>
        <w:pStyle w:val="LI-BodyTextParaa"/>
        <w:ind w:left="567"/>
      </w:pPr>
      <w:r>
        <w:t>9</w:t>
      </w:r>
      <w:r w:rsidR="0087648E">
        <w:t>.</w:t>
      </w:r>
      <w:r w:rsidR="0087648E">
        <w:tab/>
      </w:r>
      <w:r w:rsidR="003A3BB1" w:rsidRPr="00B24D1C">
        <w:rPr>
          <w:iCs/>
        </w:rPr>
        <w:t xml:space="preserve">Submissions to </w:t>
      </w:r>
      <w:r w:rsidR="005E06D5">
        <w:rPr>
          <w:iCs/>
        </w:rPr>
        <w:t>CP 361</w:t>
      </w:r>
      <w:r w:rsidR="003A3BB1" w:rsidRPr="00B24D1C">
        <w:rPr>
          <w:iCs/>
        </w:rPr>
        <w:t xml:space="preserve"> strongly favoured that there be only one stage of significant changes to the </w:t>
      </w:r>
      <w:r w:rsidR="00343215">
        <w:rPr>
          <w:iCs/>
        </w:rPr>
        <w:t xml:space="preserve">Reporting Rules </w:t>
      </w:r>
      <w:r w:rsidR="003A3BB1" w:rsidRPr="00B24D1C">
        <w:rPr>
          <w:iCs/>
        </w:rPr>
        <w:t>2013</w:t>
      </w:r>
      <w:r w:rsidR="003A3BB1">
        <w:rPr>
          <w:iCs/>
        </w:rPr>
        <w:t>,</w:t>
      </w:r>
      <w:r w:rsidR="003A3BB1" w:rsidRPr="00B24D1C">
        <w:rPr>
          <w:iCs/>
        </w:rPr>
        <w:t xml:space="preserve"> and that the changes be appropriately sequenced with the similar changes being made in other major jurisdictions.</w:t>
      </w:r>
    </w:p>
    <w:p w14:paraId="1960C859" w14:textId="70CE247A" w:rsidR="00A6560B" w:rsidRPr="0081684D" w:rsidRDefault="007155ED" w:rsidP="00FB0DFA">
      <w:pPr>
        <w:pStyle w:val="LI-BodyTextParaa"/>
        <w:ind w:left="567"/>
        <w:rPr>
          <w:bCs/>
        </w:rPr>
      </w:pPr>
      <w:r>
        <w:rPr>
          <w:iCs/>
        </w:rPr>
        <w:t>10.</w:t>
      </w:r>
      <w:r>
        <w:rPr>
          <w:iCs/>
        </w:rPr>
        <w:tab/>
      </w:r>
      <w:r w:rsidR="00927588">
        <w:rPr>
          <w:iCs/>
        </w:rPr>
        <w:t>T</w:t>
      </w:r>
      <w:r w:rsidR="000A5E42">
        <w:rPr>
          <w:iCs/>
        </w:rPr>
        <w:t xml:space="preserve">he </w:t>
      </w:r>
      <w:r w:rsidR="00927588">
        <w:rPr>
          <w:iCs/>
        </w:rPr>
        <w:t xml:space="preserve">repeal and </w:t>
      </w:r>
      <w:r w:rsidR="00A6560B">
        <w:rPr>
          <w:iCs/>
        </w:rPr>
        <w:t>remak</w:t>
      </w:r>
      <w:r w:rsidR="00927588">
        <w:rPr>
          <w:iCs/>
        </w:rPr>
        <w:t>e</w:t>
      </w:r>
      <w:r w:rsidR="00A6560B">
        <w:rPr>
          <w:iCs/>
        </w:rPr>
        <w:t xml:space="preserve"> </w:t>
      </w:r>
      <w:r w:rsidR="000A5E42">
        <w:rPr>
          <w:iCs/>
        </w:rPr>
        <w:t xml:space="preserve">of </w:t>
      </w:r>
      <w:r w:rsidR="00A6560B">
        <w:rPr>
          <w:iCs/>
        </w:rPr>
        <w:t>the Reporting Rules 20</w:t>
      </w:r>
      <w:r w:rsidR="000A5E42">
        <w:rPr>
          <w:iCs/>
        </w:rPr>
        <w:t>13</w:t>
      </w:r>
      <w:r w:rsidR="005E06D5">
        <w:rPr>
          <w:iCs/>
        </w:rPr>
        <w:t xml:space="preserve"> </w:t>
      </w:r>
      <w:r w:rsidR="00A6560B">
        <w:rPr>
          <w:iCs/>
        </w:rPr>
        <w:t>in the same form</w:t>
      </w:r>
      <w:r w:rsidR="00FF355D">
        <w:rPr>
          <w:iCs/>
        </w:rPr>
        <w:t xml:space="preserve"> –</w:t>
      </w:r>
      <w:r w:rsidR="00A6560B">
        <w:rPr>
          <w:iCs/>
        </w:rPr>
        <w:t xml:space="preserve"> </w:t>
      </w:r>
      <w:r w:rsidR="000A5E42">
        <w:rPr>
          <w:iCs/>
        </w:rPr>
        <w:t>as the</w:t>
      </w:r>
      <w:r w:rsidR="00A6560B">
        <w:rPr>
          <w:iCs/>
        </w:rPr>
        <w:t xml:space="preserve"> Reporting Rules 20</w:t>
      </w:r>
      <w:r w:rsidR="000A5E42">
        <w:rPr>
          <w:iCs/>
        </w:rPr>
        <w:t>22</w:t>
      </w:r>
      <w:r w:rsidR="00FF355D">
        <w:rPr>
          <w:iCs/>
        </w:rPr>
        <w:t xml:space="preserve"> –</w:t>
      </w:r>
      <w:r w:rsidR="00A6560B">
        <w:rPr>
          <w:iCs/>
        </w:rPr>
        <w:t xml:space="preserve"> ensures that </w:t>
      </w:r>
      <w:r w:rsidR="000A5E42">
        <w:rPr>
          <w:iCs/>
        </w:rPr>
        <w:t>existing</w:t>
      </w:r>
      <w:r w:rsidR="00A6560B">
        <w:rPr>
          <w:iCs/>
        </w:rPr>
        <w:t xml:space="preserve"> </w:t>
      </w:r>
      <w:r w:rsidR="00A6560B" w:rsidRPr="00B24D1C">
        <w:rPr>
          <w:iCs/>
        </w:rPr>
        <w:t>requirements for the reporting of OTC derivative transactions</w:t>
      </w:r>
      <w:r w:rsidR="00A6560B">
        <w:rPr>
          <w:iCs/>
        </w:rPr>
        <w:t xml:space="preserve"> continues </w:t>
      </w:r>
      <w:r w:rsidR="00BA72C0">
        <w:rPr>
          <w:iCs/>
        </w:rPr>
        <w:t xml:space="preserve">in the interim </w:t>
      </w:r>
      <w:r w:rsidR="00A6560B" w:rsidRPr="00B24D1C">
        <w:rPr>
          <w:iCs/>
        </w:rPr>
        <w:t xml:space="preserve">until the commencement of the </w:t>
      </w:r>
      <w:r w:rsidR="00A6560B">
        <w:rPr>
          <w:iCs/>
        </w:rPr>
        <w:t>new requirements under the Reporting</w:t>
      </w:r>
      <w:r w:rsidR="00A6560B" w:rsidRPr="00B24D1C">
        <w:rPr>
          <w:iCs/>
        </w:rPr>
        <w:t xml:space="preserve"> Rules</w:t>
      </w:r>
      <w:r w:rsidR="00A6560B">
        <w:rPr>
          <w:iCs/>
        </w:rPr>
        <w:t xml:space="preserve"> 2024.</w:t>
      </w:r>
    </w:p>
    <w:p w14:paraId="49BA9590" w14:textId="76B5DBCF" w:rsidR="00A6560B" w:rsidRPr="0081684D" w:rsidRDefault="00927588" w:rsidP="00CB3D5E">
      <w:pPr>
        <w:pStyle w:val="LI-BodyTextParaa"/>
        <w:numPr>
          <w:ilvl w:val="0"/>
          <w:numId w:val="52"/>
        </w:numPr>
        <w:rPr>
          <w:bCs/>
        </w:rPr>
      </w:pPr>
      <w:r>
        <w:rPr>
          <w:iCs/>
        </w:rPr>
        <w:t>Accordingly, t</w:t>
      </w:r>
      <w:r w:rsidR="00A6560B">
        <w:rPr>
          <w:iCs/>
        </w:rPr>
        <w:t xml:space="preserve">his </w:t>
      </w:r>
      <w:r w:rsidR="00EA0F6F" w:rsidRPr="004438DA">
        <w:rPr>
          <w:rStyle w:val="CharAmSchText"/>
        </w:rPr>
        <w:t xml:space="preserve">instrument </w:t>
      </w:r>
      <w:r w:rsidR="00EA0F6F">
        <w:rPr>
          <w:rStyle w:val="CharAmSchText"/>
        </w:rPr>
        <w:t>makes the consequential amendments to</w:t>
      </w:r>
      <w:r w:rsidR="00EA0F6F" w:rsidRPr="004438DA">
        <w:rPr>
          <w:rStyle w:val="CharAmSchText"/>
        </w:rPr>
        <w:t xml:space="preserve"> the </w:t>
      </w:r>
      <w:r w:rsidR="001358BA">
        <w:rPr>
          <w:rStyle w:val="CharAmSchText"/>
        </w:rPr>
        <w:t>other ASIC-made rules</w:t>
      </w:r>
      <w:r w:rsidR="00EA0F6F">
        <w:rPr>
          <w:rStyle w:val="CharAmSchText"/>
        </w:rPr>
        <w:t xml:space="preserve"> </w:t>
      </w:r>
      <w:r w:rsidR="00EA0F6F" w:rsidRPr="00535F6E">
        <w:t xml:space="preserve">to </w:t>
      </w:r>
      <w:bookmarkStart w:id="5" w:name="_Hlk120191100"/>
      <w:r w:rsidR="00EA0F6F" w:rsidRPr="00535F6E">
        <w:t xml:space="preserve">reflect the repeal and remaking of the </w:t>
      </w:r>
      <w:r w:rsidR="00EA0F6F">
        <w:t>Reporting Rules</w:t>
      </w:r>
      <w:r w:rsidR="00EA0F6F" w:rsidRPr="00535F6E">
        <w:t xml:space="preserve"> 2013 to become the </w:t>
      </w:r>
      <w:r w:rsidR="00EA0F6F">
        <w:t>Reporting</w:t>
      </w:r>
      <w:r w:rsidR="00EA0F6F" w:rsidRPr="00535F6E">
        <w:t xml:space="preserve"> Rules 2022</w:t>
      </w:r>
      <w:bookmarkEnd w:id="5"/>
      <w:r w:rsidR="00BA72C0">
        <w:t xml:space="preserve"> and, from 21 October 2024, in the Clearing Rules only, the </w:t>
      </w:r>
      <w:r w:rsidR="00BA72C0" w:rsidRPr="00A81B4A">
        <w:t>repeal and remaking of the Reporting Rules 20</w:t>
      </w:r>
      <w:r w:rsidR="00BA72C0">
        <w:t>22</w:t>
      </w:r>
      <w:r w:rsidR="00BA72C0" w:rsidRPr="00A81B4A">
        <w:t xml:space="preserve"> to become the Reporting Rules 202</w:t>
      </w:r>
      <w:r w:rsidR="00BA72C0">
        <w:t>4</w:t>
      </w:r>
      <w:r w:rsidR="00EA0F6F" w:rsidRPr="00535F6E">
        <w:t>.</w:t>
      </w:r>
    </w:p>
    <w:p w14:paraId="18FBF4A9" w14:textId="047FAA9E" w:rsidR="009A3F74" w:rsidRDefault="009A3F74" w:rsidP="009A3F74">
      <w:pPr>
        <w:pStyle w:val="LI-BodyTextNumbered"/>
        <w:ind w:hanging="1134"/>
        <w:rPr>
          <w:b/>
        </w:rPr>
      </w:pPr>
      <w:bookmarkStart w:id="6" w:name="_Hlk534291624"/>
      <w:r>
        <w:rPr>
          <w:b/>
        </w:rPr>
        <w:t>Consultation</w:t>
      </w:r>
    </w:p>
    <w:p w14:paraId="7C69CF18" w14:textId="50A49C38" w:rsidR="00123A48" w:rsidRDefault="0087648E" w:rsidP="00123A48">
      <w:pPr>
        <w:pStyle w:val="LI-BodyTextParaa"/>
        <w:ind w:left="567"/>
      </w:pPr>
      <w:bookmarkStart w:id="7" w:name="_Hlk120020355"/>
      <w:r>
        <w:t>1</w:t>
      </w:r>
      <w:r w:rsidR="007155ED">
        <w:t>2</w:t>
      </w:r>
      <w:r w:rsidR="009A3F74">
        <w:t>.</w:t>
      </w:r>
      <w:r w:rsidR="009A3F74">
        <w:tab/>
      </w:r>
      <w:r w:rsidR="00123A48">
        <w:t>O</w:t>
      </w:r>
      <w:r w:rsidR="00123A48" w:rsidRPr="00123A48">
        <w:t xml:space="preserve">n </w:t>
      </w:r>
      <w:bookmarkEnd w:id="7"/>
      <w:r w:rsidR="00123A48" w:rsidRPr="00123A48">
        <w:t>27 November 2020</w:t>
      </w:r>
      <w:r w:rsidR="00123A48">
        <w:t xml:space="preserve"> </w:t>
      </w:r>
      <w:r w:rsidR="00473FB9">
        <w:t>ASIC</w:t>
      </w:r>
      <w:r w:rsidR="00123A48" w:rsidRPr="00123A48">
        <w:t xml:space="preserve"> </w:t>
      </w:r>
      <w:r w:rsidR="00D4374C">
        <w:t>published</w:t>
      </w:r>
      <w:r w:rsidR="00123A48" w:rsidRPr="00123A48">
        <w:t xml:space="preserve"> </w:t>
      </w:r>
      <w:r w:rsidR="00D4374C" w:rsidRPr="00CB3D5E">
        <w:t>CP 334</w:t>
      </w:r>
      <w:r w:rsidR="00EC7191">
        <w:t>,</w:t>
      </w:r>
      <w:r w:rsidR="00041CB2">
        <w:t xml:space="preserve"> setting out a two-stage consultation process and making a mix of specific and in-principle proposals in relation to</w:t>
      </w:r>
      <w:r w:rsidR="00EC7191">
        <w:t xml:space="preserve"> </w:t>
      </w:r>
      <w:r w:rsidR="00041CB2">
        <w:t>the Reporting Rules Changes. S</w:t>
      </w:r>
      <w:r w:rsidR="00473FB9">
        <w:t xml:space="preserve">ubmissions </w:t>
      </w:r>
      <w:r w:rsidR="00EC7191">
        <w:t>clos</w:t>
      </w:r>
      <w:r w:rsidR="00041CB2">
        <w:t>ed</w:t>
      </w:r>
      <w:r w:rsidR="00EC7191">
        <w:t xml:space="preserve"> </w:t>
      </w:r>
      <w:r w:rsidR="00123A48" w:rsidRPr="00123A48">
        <w:t>on 1 March 2021</w:t>
      </w:r>
      <w:r w:rsidR="00EC7191">
        <w:t>. Fe</w:t>
      </w:r>
      <w:r w:rsidR="00123A48" w:rsidRPr="00123A48">
        <w:t xml:space="preserve">edback </w:t>
      </w:r>
      <w:r w:rsidR="00123A48">
        <w:t>to</w:t>
      </w:r>
      <w:r w:rsidR="00123A48" w:rsidRPr="00123A48">
        <w:t xml:space="preserve"> </w:t>
      </w:r>
      <w:r w:rsidR="00EC7191">
        <w:t>ASIC’s proposal</w:t>
      </w:r>
      <w:r w:rsidR="00884DF4">
        <w:t>s</w:t>
      </w:r>
      <w:r w:rsidR="00EC7191">
        <w:t xml:space="preserve"> to </w:t>
      </w:r>
      <w:r w:rsidR="00123A48" w:rsidRPr="00123A48">
        <w:t>update</w:t>
      </w:r>
      <w:r w:rsidR="00123A48">
        <w:t xml:space="preserve"> the Reporting Rule 2013 was broadly supportive</w:t>
      </w:r>
      <w:r w:rsidR="00123A48" w:rsidRPr="00123A48">
        <w:t>.</w:t>
      </w:r>
    </w:p>
    <w:p w14:paraId="5EADF48E" w14:textId="3FC183FC" w:rsidR="00455964" w:rsidRDefault="00455964" w:rsidP="00123A48">
      <w:pPr>
        <w:pStyle w:val="LI-BodyTextParaa"/>
        <w:ind w:left="567"/>
      </w:pPr>
      <w:r>
        <w:lastRenderedPageBreak/>
        <w:t>1</w:t>
      </w:r>
      <w:r w:rsidR="007155ED">
        <w:t>3</w:t>
      </w:r>
      <w:r>
        <w:t>.</w:t>
      </w:r>
      <w:r>
        <w:tab/>
        <w:t xml:space="preserve">On </w:t>
      </w:r>
      <w:r w:rsidRPr="00123A48">
        <w:t>16 May 2022</w:t>
      </w:r>
      <w:r>
        <w:t>, ASIC</w:t>
      </w:r>
      <w:r w:rsidRPr="00123A48">
        <w:t xml:space="preserve"> </w:t>
      </w:r>
      <w:r>
        <w:t>published</w:t>
      </w:r>
      <w:r w:rsidRPr="00123A48">
        <w:t xml:space="preserve"> </w:t>
      </w:r>
      <w:r w:rsidRPr="004438DA">
        <w:t>CP 361</w:t>
      </w:r>
      <w:r w:rsidRPr="00123A48">
        <w:t xml:space="preserve">. </w:t>
      </w:r>
      <w:r>
        <w:t>Submissions to CP 361</w:t>
      </w:r>
      <w:r w:rsidRPr="00123A48">
        <w:t xml:space="preserve"> closed on 8 July 2022 and feedback was</w:t>
      </w:r>
      <w:r>
        <w:t xml:space="preserve"> broadly</w:t>
      </w:r>
      <w:r w:rsidRPr="00123A48">
        <w:t xml:space="preserve"> supportive of </w:t>
      </w:r>
      <w:r>
        <w:t xml:space="preserve">many of </w:t>
      </w:r>
      <w:r w:rsidRPr="00123A48">
        <w:t>the</w:t>
      </w:r>
      <w:r>
        <w:t xml:space="preserve"> Reporting Rules Changes</w:t>
      </w:r>
      <w:r w:rsidRPr="00123A48">
        <w:t xml:space="preserve"> proposals</w:t>
      </w:r>
      <w:r>
        <w:t>, especially to harmonise to the international standards</w:t>
      </w:r>
      <w:r w:rsidR="005E06D5">
        <w:t>.</w:t>
      </w:r>
      <w:r>
        <w:t xml:space="preserve"> </w:t>
      </w:r>
      <w:r w:rsidR="005E06D5">
        <w:t>H</w:t>
      </w:r>
      <w:r>
        <w:t>owever, there were a number of important concerns raised by stakeholders.</w:t>
      </w:r>
    </w:p>
    <w:p w14:paraId="74713BB0" w14:textId="7DF12E3D" w:rsidR="00192CF2" w:rsidRDefault="00192CF2" w:rsidP="00327845">
      <w:pPr>
        <w:pStyle w:val="LI-BodyTextParaa"/>
        <w:ind w:left="567"/>
      </w:pPr>
      <w:r>
        <w:t>1</w:t>
      </w:r>
      <w:r w:rsidR="007155ED">
        <w:t>4</w:t>
      </w:r>
      <w:r>
        <w:t>.</w:t>
      </w:r>
      <w:r>
        <w:tab/>
        <w:t>ASIC undertook a further round of bilateral post-consultation engagement with respondents, including industry associations, ahead of finalising the Reporting Rules 2022 and the Reporting Rules 2024.</w:t>
      </w:r>
    </w:p>
    <w:p w14:paraId="65885B9A" w14:textId="2F6BDB0B" w:rsidR="004614C8" w:rsidRDefault="006A1DAA" w:rsidP="00CB3D5E">
      <w:pPr>
        <w:pStyle w:val="LI-BodyTextParaa"/>
        <w:ind w:left="567"/>
      </w:pPr>
      <w:r w:rsidRPr="00D4374C">
        <w:t>1</w:t>
      </w:r>
      <w:r w:rsidR="007155ED">
        <w:t>5</w:t>
      </w:r>
      <w:r w:rsidRPr="00D4374C">
        <w:t>.</w:t>
      </w:r>
      <w:r w:rsidRPr="00D4374C">
        <w:tab/>
      </w:r>
      <w:r w:rsidR="004614C8" w:rsidRPr="00123A48">
        <w:t>In relation to the</w:t>
      </w:r>
      <w:r w:rsidR="004614C8">
        <w:t xml:space="preserve"> </w:t>
      </w:r>
      <w:r w:rsidR="00777B13">
        <w:t>consequential</w:t>
      </w:r>
      <w:r w:rsidR="00777B13" w:rsidRPr="00123A48">
        <w:t xml:space="preserve"> </w:t>
      </w:r>
      <w:r w:rsidR="004614C8" w:rsidRPr="00123A48">
        <w:t>amendments to the Trade Repository Rules</w:t>
      </w:r>
      <w:r w:rsidR="004614C8">
        <w:t>, ASIC undertook</w:t>
      </w:r>
      <w:r w:rsidR="004614C8" w:rsidRPr="00123A48">
        <w:t xml:space="preserve"> bilateral consultation with the sole licensed Australian </w:t>
      </w:r>
      <w:r w:rsidR="00777B13">
        <w:t>d</w:t>
      </w:r>
      <w:r w:rsidR="004614C8" w:rsidRPr="00123A48">
        <w:t xml:space="preserve">erivative </w:t>
      </w:r>
      <w:r w:rsidR="00777B13">
        <w:t>t</w:t>
      </w:r>
      <w:r w:rsidR="004614C8" w:rsidRPr="00123A48">
        <w:t xml:space="preserve">rade </w:t>
      </w:r>
      <w:r w:rsidR="00777B13">
        <w:t>r</w:t>
      </w:r>
      <w:r w:rsidR="004614C8" w:rsidRPr="00123A48">
        <w:t xml:space="preserve">epository and received feedback supporting </w:t>
      </w:r>
      <w:r w:rsidR="00777B13">
        <w:t>the amendments.</w:t>
      </w:r>
    </w:p>
    <w:p w14:paraId="58FE9C9A" w14:textId="4D1253F6" w:rsidR="004614C8" w:rsidRDefault="004614C8" w:rsidP="004614C8">
      <w:pPr>
        <w:pStyle w:val="LI-BodyTextParaa"/>
        <w:ind w:left="567"/>
      </w:pPr>
      <w:r>
        <w:t>1</w:t>
      </w:r>
      <w:r w:rsidR="007155ED">
        <w:t>6</w:t>
      </w:r>
      <w:r w:rsidR="00111873" w:rsidRPr="00111873">
        <w:t>.</w:t>
      </w:r>
      <w:r w:rsidR="00111873" w:rsidRPr="00111873">
        <w:tab/>
      </w:r>
      <w:r w:rsidR="00123A48" w:rsidRPr="00123A48">
        <w:t xml:space="preserve">In relation to </w:t>
      </w:r>
      <w:r w:rsidR="00771FDB">
        <w:t xml:space="preserve">the </w:t>
      </w:r>
      <w:r w:rsidR="00777B13">
        <w:t>consequential</w:t>
      </w:r>
      <w:r w:rsidR="00771FDB">
        <w:t xml:space="preserve"> a</w:t>
      </w:r>
      <w:r w:rsidR="00123A48" w:rsidRPr="00123A48">
        <w:t>mendments to the Clearing</w:t>
      </w:r>
      <w:r w:rsidR="00E506A6">
        <w:t xml:space="preserve"> Rules</w:t>
      </w:r>
      <w:r w:rsidR="00771FDB">
        <w:t>, ASIC</w:t>
      </w:r>
      <w:r w:rsidR="00123A48" w:rsidRPr="00123A48">
        <w:t xml:space="preserve"> </w:t>
      </w:r>
      <w:r w:rsidR="00771FDB">
        <w:t>consulted</w:t>
      </w:r>
      <w:r w:rsidR="00123A48" w:rsidRPr="00123A48">
        <w:t xml:space="preserve"> with </w:t>
      </w:r>
      <w:r w:rsidR="00F97390">
        <w:t>industry via ISDA and the Australian Financial Markets Association (</w:t>
      </w:r>
      <w:r w:rsidR="00F97390" w:rsidRPr="00CB3D5E">
        <w:rPr>
          <w:b/>
          <w:bCs/>
          <w:i/>
          <w:iCs/>
        </w:rPr>
        <w:t>AFMA</w:t>
      </w:r>
      <w:r w:rsidR="00F97390">
        <w:t>)</w:t>
      </w:r>
      <w:r w:rsidR="00C77BE0">
        <w:t xml:space="preserve"> </w:t>
      </w:r>
      <w:r w:rsidR="00123A48" w:rsidRPr="00123A48">
        <w:t>without any objections</w:t>
      </w:r>
      <w:r w:rsidR="00F97390">
        <w:t xml:space="preserve"> </w:t>
      </w:r>
      <w:r w:rsidR="00123A48" w:rsidRPr="00123A48">
        <w:t>being raised.</w:t>
      </w:r>
    </w:p>
    <w:p w14:paraId="60639A52" w14:textId="532BEC25" w:rsidR="0086198A" w:rsidRDefault="004614C8" w:rsidP="0081684D">
      <w:pPr>
        <w:pStyle w:val="LI-BodyTextParaa"/>
        <w:ind w:left="567"/>
      </w:pPr>
      <w:r>
        <w:t>1</w:t>
      </w:r>
      <w:r w:rsidR="007155ED">
        <w:t>7</w:t>
      </w:r>
      <w:r>
        <w:t>.</w:t>
      </w:r>
      <w:r>
        <w:tab/>
      </w:r>
      <w:r w:rsidR="0086198A" w:rsidRPr="0086198A">
        <w:t>ASIC has consulted with the Reserve Bank of Australia (</w:t>
      </w:r>
      <w:r w:rsidR="0086198A" w:rsidRPr="0086198A">
        <w:rPr>
          <w:b/>
          <w:i/>
          <w:iCs/>
        </w:rPr>
        <w:t>RBA</w:t>
      </w:r>
      <w:r w:rsidR="0086198A" w:rsidRPr="0086198A">
        <w:t>) and the Australian Prudential Regulation Authority (</w:t>
      </w:r>
      <w:r w:rsidR="0086198A" w:rsidRPr="0086198A">
        <w:rPr>
          <w:b/>
          <w:i/>
          <w:iCs/>
        </w:rPr>
        <w:t>APRA</w:t>
      </w:r>
      <w:r w:rsidR="0086198A" w:rsidRPr="0086198A">
        <w:t>)</w:t>
      </w:r>
      <w:r w:rsidR="0086198A">
        <w:t xml:space="preserve"> </w:t>
      </w:r>
      <w:r w:rsidR="00A67083">
        <w:t>in relation to</w:t>
      </w:r>
      <w:r w:rsidR="004D54D6">
        <w:t xml:space="preserve"> the repeal and remak</w:t>
      </w:r>
      <w:r w:rsidR="00A67083">
        <w:t>ing</w:t>
      </w:r>
      <w:r w:rsidR="004D54D6">
        <w:t xml:space="preserve"> of the Reporting Rules 2013 with the Reporting Rules 2022 and the repeal and remak</w:t>
      </w:r>
      <w:r w:rsidR="00A67083">
        <w:t>ing</w:t>
      </w:r>
      <w:r w:rsidR="004D54D6">
        <w:t xml:space="preserve"> of the Reporting Rules 2022 with the Reporting Rules 2024</w:t>
      </w:r>
      <w:r w:rsidR="00A67083">
        <w:t>,</w:t>
      </w:r>
      <w:r w:rsidR="004D54D6">
        <w:t xml:space="preserve"> commencing 21 October 2024.</w:t>
      </w:r>
    </w:p>
    <w:p w14:paraId="12A553D9" w14:textId="219DCC00" w:rsidR="005D1FEA" w:rsidRDefault="005D1FEA" w:rsidP="00CE541A">
      <w:pPr>
        <w:pStyle w:val="LI-BodyTextNumbered"/>
        <w:ind w:hanging="1134"/>
        <w:rPr>
          <w:b/>
        </w:rPr>
      </w:pPr>
      <w:r>
        <w:rPr>
          <w:b/>
        </w:rPr>
        <w:t>Operation of the instrument</w:t>
      </w:r>
    </w:p>
    <w:p w14:paraId="5CFCC1F6" w14:textId="0513C179" w:rsidR="009030AA" w:rsidRPr="00CB3D5E" w:rsidRDefault="009030AA" w:rsidP="009030AA">
      <w:pPr>
        <w:pStyle w:val="LI-BodyTextParaa"/>
        <w:ind w:left="567"/>
        <w:rPr>
          <w:u w:val="single"/>
        </w:rPr>
      </w:pPr>
      <w:r w:rsidRPr="00CB3D5E">
        <w:rPr>
          <w:u w:val="single"/>
        </w:rPr>
        <w:t>Part 1: Preliminary</w:t>
      </w:r>
    </w:p>
    <w:p w14:paraId="428331C2" w14:textId="69B28E48" w:rsidR="00777B13" w:rsidRDefault="00777B13" w:rsidP="009030AA">
      <w:pPr>
        <w:pStyle w:val="LI-BodyTextParaa"/>
        <w:ind w:left="567"/>
      </w:pPr>
      <w:r>
        <w:t>1</w:t>
      </w:r>
      <w:r w:rsidR="007155ED">
        <w:t>8</w:t>
      </w:r>
      <w:r w:rsidR="009030AA">
        <w:t>.</w:t>
      </w:r>
      <w:r w:rsidR="009030AA">
        <w:tab/>
      </w:r>
      <w:r>
        <w:t xml:space="preserve">Section 1 of Part 1 provides that the name of the instrument is the </w:t>
      </w:r>
      <w:r w:rsidRPr="00FB0DFA">
        <w:rPr>
          <w:i/>
          <w:iCs/>
        </w:rPr>
        <w:t xml:space="preserve">ASIC Corporations (Amendment) Instrument 2022/934. </w:t>
      </w:r>
    </w:p>
    <w:p w14:paraId="67A9EA15" w14:textId="03722168" w:rsidR="009030AA" w:rsidRDefault="007155ED" w:rsidP="009030AA">
      <w:pPr>
        <w:pStyle w:val="LI-BodyTextParaa"/>
        <w:ind w:left="567"/>
      </w:pPr>
      <w:r>
        <w:t>19</w:t>
      </w:r>
      <w:r w:rsidR="00777B13">
        <w:t>.</w:t>
      </w:r>
      <w:r w:rsidR="00777B13">
        <w:tab/>
      </w:r>
      <w:r w:rsidR="009030AA">
        <w:t>Section 2 of Part 1 of the instrument provides for a staggered commencement of the amendments as follows:</w:t>
      </w:r>
    </w:p>
    <w:p w14:paraId="7C862129" w14:textId="77777777" w:rsidR="009030AA" w:rsidRDefault="009030AA" w:rsidP="009030AA">
      <w:pPr>
        <w:pStyle w:val="LI-BodyTextParaa"/>
        <w:ind w:left="1134"/>
      </w:pPr>
      <w:r>
        <w:t>a.</w:t>
      </w:r>
      <w:r>
        <w:tab/>
      </w:r>
      <w:r>
        <w:rPr>
          <w:b/>
          <w:bCs/>
          <w:i/>
          <w:iCs/>
        </w:rPr>
        <w:t>Replacement</w:t>
      </w:r>
      <w:r w:rsidRPr="00557E4D">
        <w:rPr>
          <w:b/>
          <w:bCs/>
          <w:i/>
          <w:iCs/>
        </w:rPr>
        <w:t xml:space="preserve"> of </w:t>
      </w:r>
      <w:r>
        <w:rPr>
          <w:b/>
          <w:bCs/>
          <w:i/>
          <w:iCs/>
        </w:rPr>
        <w:t xml:space="preserve">Reporting Rules 2013 </w:t>
      </w:r>
      <w:r w:rsidRPr="00557E4D">
        <w:rPr>
          <w:b/>
          <w:bCs/>
          <w:i/>
          <w:iCs/>
        </w:rPr>
        <w:t>references</w:t>
      </w:r>
    </w:p>
    <w:p w14:paraId="40B31390" w14:textId="377F7EFA" w:rsidR="009030AA" w:rsidRDefault="009030AA" w:rsidP="009030AA">
      <w:pPr>
        <w:pStyle w:val="LI-BodyTextParaa"/>
        <w:ind w:left="1134" w:firstLine="0"/>
      </w:pPr>
      <w:r>
        <w:t xml:space="preserve">The removal of the superseded Reporting Rules 2013 references in the </w:t>
      </w:r>
      <w:r w:rsidR="002502C2">
        <w:t xml:space="preserve">other </w:t>
      </w:r>
      <w:r>
        <w:t>ASIC-made rules and substitution with</w:t>
      </w:r>
      <w:r w:rsidR="002502C2">
        <w:t xml:space="preserve"> </w:t>
      </w:r>
      <w:r>
        <w:t>Reporting Rules 2022, including by way o</w:t>
      </w:r>
      <w:r w:rsidR="007F3013">
        <w:t>f</w:t>
      </w:r>
      <w:r>
        <w:t xml:space="preserve"> inserting a new definition into the Trade Repository Rules.</w:t>
      </w:r>
    </w:p>
    <w:p w14:paraId="310243EB" w14:textId="77777777" w:rsidR="009030AA" w:rsidRDefault="009030AA" w:rsidP="009030AA">
      <w:pPr>
        <w:pStyle w:val="LI-BodyTextParaa"/>
        <w:ind w:left="1134" w:firstLine="0"/>
        <w:rPr>
          <w:rStyle w:val="CharAmSchText"/>
        </w:rPr>
      </w:pPr>
      <w:r>
        <w:rPr>
          <w:rStyle w:val="CharAmSchText"/>
        </w:rPr>
        <w:t>This amendment commences on the day after the instrument is registered on the Federal Register of Legislation.</w:t>
      </w:r>
    </w:p>
    <w:p w14:paraId="3EF46896" w14:textId="77777777" w:rsidR="009030AA" w:rsidRDefault="009030AA" w:rsidP="009030AA">
      <w:pPr>
        <w:pStyle w:val="LI-BodyTextParaa"/>
        <w:ind w:left="1134"/>
        <w:rPr>
          <w:b/>
          <w:bCs/>
          <w:i/>
          <w:iCs/>
          <w:lang w:val="en-US"/>
        </w:rPr>
      </w:pPr>
      <w:r>
        <w:rPr>
          <w:rStyle w:val="CharAmSchText"/>
        </w:rPr>
        <w:t>b.</w:t>
      </w:r>
      <w:r>
        <w:rPr>
          <w:rStyle w:val="CharAmSchText"/>
        </w:rPr>
        <w:tab/>
      </w:r>
      <w:r>
        <w:rPr>
          <w:b/>
          <w:bCs/>
          <w:i/>
          <w:iCs/>
          <w:lang w:val="en-US"/>
        </w:rPr>
        <w:t xml:space="preserve">Replacement of Reporting Rules 2022 references </w:t>
      </w:r>
    </w:p>
    <w:p w14:paraId="415D10A5" w14:textId="77777777" w:rsidR="009030AA" w:rsidRDefault="009030AA" w:rsidP="009030AA">
      <w:pPr>
        <w:pStyle w:val="LI-BodyTextParaa"/>
        <w:ind w:left="1134" w:firstLine="0"/>
      </w:pPr>
      <w:r>
        <w:t>The removal of the superseded Reporting Rules 2022 references in the Clearing Rules and substitution with the Reporting Rules 2024 reference at the time the Reporting Rules 2024 commence.</w:t>
      </w:r>
    </w:p>
    <w:p w14:paraId="2A544EBA" w14:textId="77777777" w:rsidR="009030AA" w:rsidRDefault="009030AA" w:rsidP="009030AA">
      <w:pPr>
        <w:pStyle w:val="LI-BodyTextParaa"/>
        <w:ind w:left="1134" w:firstLine="0"/>
        <w:rPr>
          <w:rStyle w:val="CharAmSchText"/>
        </w:rPr>
      </w:pPr>
      <w:r>
        <w:rPr>
          <w:rStyle w:val="CharAmSchText"/>
        </w:rPr>
        <w:t xml:space="preserve">This amendment commences on the </w:t>
      </w:r>
      <w:r w:rsidRPr="00924320">
        <w:t>later of, the day after this instrument is registered on the Federal Register of Legislation, and 21 October 2024</w:t>
      </w:r>
      <w:r>
        <w:rPr>
          <w:rStyle w:val="CharAmSchText"/>
        </w:rPr>
        <w:t>.</w:t>
      </w:r>
    </w:p>
    <w:p w14:paraId="2193FED5" w14:textId="3EE6CFBC" w:rsidR="00777B13" w:rsidRPr="00FB0DFA" w:rsidRDefault="00777B13" w:rsidP="00C01C25">
      <w:pPr>
        <w:pStyle w:val="LI-BodyTextParaa"/>
        <w:ind w:left="567"/>
      </w:pPr>
      <w:r>
        <w:lastRenderedPageBreak/>
        <w:t>2</w:t>
      </w:r>
      <w:r w:rsidR="007155ED">
        <w:t>0</w:t>
      </w:r>
      <w:r>
        <w:t>.</w:t>
      </w:r>
      <w:r>
        <w:tab/>
        <w:t xml:space="preserve">Section 3 of Part 1 provides that this instrument </w:t>
      </w:r>
      <w:r w:rsidRPr="00FB0DFA">
        <w:t xml:space="preserve">is made under sections 901M and 903K of the </w:t>
      </w:r>
      <w:r w:rsidRPr="00FB0DFA">
        <w:rPr>
          <w:i/>
          <w:iCs/>
        </w:rPr>
        <w:t>Corporations Act 2001</w:t>
      </w:r>
      <w:r w:rsidRPr="00FB0DFA">
        <w:t xml:space="preserve"> (</w:t>
      </w:r>
      <w:r w:rsidRPr="00FB0DFA">
        <w:rPr>
          <w:b/>
          <w:bCs/>
          <w:i/>
          <w:iCs/>
        </w:rPr>
        <w:t>Corporations Act</w:t>
      </w:r>
      <w:r w:rsidRPr="00FB0DFA">
        <w:t>).</w:t>
      </w:r>
    </w:p>
    <w:p w14:paraId="70408EC1" w14:textId="41E8F88D" w:rsidR="00C01C25" w:rsidRPr="00FB0DFA" w:rsidRDefault="00991127" w:rsidP="00C01C25">
      <w:pPr>
        <w:pStyle w:val="LI-BodyTextParaa"/>
        <w:ind w:left="567"/>
        <w:rPr>
          <w:u w:val="single"/>
        </w:rPr>
      </w:pPr>
      <w:r w:rsidRPr="007155ED">
        <w:rPr>
          <w:u w:val="single"/>
        </w:rPr>
        <w:t>Schedule 1</w:t>
      </w:r>
      <w:r w:rsidR="00192CF2" w:rsidRPr="007155ED">
        <w:rPr>
          <w:u w:val="single"/>
        </w:rPr>
        <w:t xml:space="preserve"> Amendments</w:t>
      </w:r>
    </w:p>
    <w:p w14:paraId="561BBEDB" w14:textId="3B148E63" w:rsidR="00C01C25" w:rsidRDefault="0081684D" w:rsidP="00C01C25">
      <w:pPr>
        <w:pStyle w:val="LI-BodyTextParaa"/>
        <w:ind w:left="567"/>
      </w:pPr>
      <w:r>
        <w:t>2</w:t>
      </w:r>
      <w:r w:rsidR="00E33DBE">
        <w:t>1</w:t>
      </w:r>
      <w:r w:rsidR="00C01C25">
        <w:t>.</w:t>
      </w:r>
      <w:r w:rsidR="00C01C25">
        <w:tab/>
      </w:r>
      <w:r w:rsidR="00773DE5">
        <w:t xml:space="preserve">Item </w:t>
      </w:r>
      <w:r w:rsidR="00991127">
        <w:t xml:space="preserve">1 </w:t>
      </w:r>
      <w:bookmarkStart w:id="8" w:name="_Hlk120198159"/>
      <w:r w:rsidR="00924419" w:rsidRPr="00DF5A20">
        <w:t xml:space="preserve">of the instrument </w:t>
      </w:r>
      <w:r w:rsidR="00396FA5">
        <w:t xml:space="preserve">amends the definition of </w:t>
      </w:r>
      <w:r w:rsidR="00396FA5">
        <w:rPr>
          <w:i/>
          <w:iCs/>
        </w:rPr>
        <w:t xml:space="preserve">Reporting </w:t>
      </w:r>
      <w:r w:rsidR="00396FA5" w:rsidRPr="0081684D">
        <w:rPr>
          <w:i/>
          <w:iCs/>
        </w:rPr>
        <w:t>Rules</w:t>
      </w:r>
      <w:r w:rsidR="00396FA5">
        <w:rPr>
          <w:i/>
          <w:iCs/>
        </w:rPr>
        <w:t xml:space="preserve"> </w:t>
      </w:r>
      <w:r w:rsidR="00396FA5">
        <w:t>in the Clearing Rules</w:t>
      </w:r>
      <w:r w:rsidR="00396FA5">
        <w:rPr>
          <w:i/>
          <w:iCs/>
        </w:rPr>
        <w:t xml:space="preserve"> </w:t>
      </w:r>
      <w:bookmarkEnd w:id="8"/>
      <w:r w:rsidR="00396FA5">
        <w:t xml:space="preserve">to </w:t>
      </w:r>
      <w:r w:rsidR="00396FA5" w:rsidRPr="00327845">
        <w:t>replace</w:t>
      </w:r>
      <w:r w:rsidR="00396FA5">
        <w:t xml:space="preserve"> the reference to</w:t>
      </w:r>
      <w:r w:rsidR="00991127">
        <w:t xml:space="preserve"> </w:t>
      </w:r>
      <w:r w:rsidR="00396FA5">
        <w:t xml:space="preserve">the </w:t>
      </w:r>
      <w:r w:rsidR="00991127">
        <w:t>Reporting Rules 2013 with the Reporting Rules 2022.</w:t>
      </w:r>
      <w:r w:rsidR="00B5466C">
        <w:t xml:space="preserve"> </w:t>
      </w:r>
    </w:p>
    <w:p w14:paraId="137496AB" w14:textId="0E5F4D5A" w:rsidR="00991127" w:rsidRDefault="00C01C25" w:rsidP="00CB3D5E">
      <w:pPr>
        <w:pStyle w:val="LI-BodyTextParaa"/>
        <w:ind w:left="567"/>
      </w:pPr>
      <w:r>
        <w:t>2</w:t>
      </w:r>
      <w:r w:rsidR="00E33DBE">
        <w:t>2</w:t>
      </w:r>
      <w:r>
        <w:t>.</w:t>
      </w:r>
      <w:r>
        <w:tab/>
        <w:t xml:space="preserve">Item </w:t>
      </w:r>
      <w:r w:rsidR="00991127">
        <w:t xml:space="preserve">2 </w:t>
      </w:r>
      <w:r w:rsidR="00924419" w:rsidRPr="00DF5A20">
        <w:t xml:space="preserve">of the instrument </w:t>
      </w:r>
      <w:r w:rsidR="00396FA5" w:rsidRPr="00396FA5">
        <w:t xml:space="preserve">amends the definition of </w:t>
      </w:r>
      <w:r w:rsidR="00396FA5" w:rsidRPr="00396FA5">
        <w:rPr>
          <w:i/>
          <w:iCs/>
        </w:rPr>
        <w:t xml:space="preserve">Reporting Rules </w:t>
      </w:r>
      <w:r w:rsidR="00396FA5" w:rsidRPr="00396FA5">
        <w:t>in the Clearing Rules</w:t>
      </w:r>
      <w:r w:rsidR="00396FA5">
        <w:rPr>
          <w:i/>
          <w:iCs/>
        </w:rPr>
        <w:t xml:space="preserve"> </w:t>
      </w:r>
      <w:r w:rsidR="00396FA5">
        <w:t xml:space="preserve">to </w:t>
      </w:r>
      <w:r w:rsidR="00396FA5" w:rsidRPr="004438DA">
        <w:t>replace</w:t>
      </w:r>
      <w:r w:rsidR="00396FA5">
        <w:t xml:space="preserve"> the reference to the Reporting Rules 2022 with the Reporting Rules 2024 from the commencement of the Reporting Rules 2024 on 21 October 2024</w:t>
      </w:r>
      <w:r w:rsidR="00991127">
        <w:t xml:space="preserve">. </w:t>
      </w:r>
    </w:p>
    <w:p w14:paraId="33503623" w14:textId="2843E8D3" w:rsidR="00255B29" w:rsidRPr="00327845" w:rsidRDefault="00396FA5" w:rsidP="00255B29">
      <w:pPr>
        <w:pStyle w:val="LI-BodyTextParaa"/>
        <w:ind w:left="0" w:firstLine="0"/>
      </w:pPr>
      <w:r w:rsidRPr="00327845">
        <w:rPr>
          <w:u w:val="single"/>
        </w:rPr>
        <w:t>Schedule 2</w:t>
      </w:r>
      <w:r w:rsidR="00192CF2" w:rsidRPr="00327845">
        <w:rPr>
          <w:u w:val="single"/>
        </w:rPr>
        <w:t xml:space="preserve"> Amendments</w:t>
      </w:r>
    </w:p>
    <w:p w14:paraId="5E4407CD" w14:textId="70B653E2" w:rsidR="00255B29" w:rsidRDefault="00255B29" w:rsidP="00255B29">
      <w:pPr>
        <w:pStyle w:val="LI-BodyTextParaa"/>
        <w:ind w:left="567"/>
      </w:pPr>
      <w:r>
        <w:t>2</w:t>
      </w:r>
      <w:r w:rsidR="00E33DBE">
        <w:t>3</w:t>
      </w:r>
      <w:r>
        <w:t>.</w:t>
      </w:r>
      <w:r>
        <w:tab/>
      </w:r>
      <w:r w:rsidR="00396FA5">
        <w:t xml:space="preserve">Item 1 </w:t>
      </w:r>
      <w:r w:rsidR="007F3013" w:rsidRPr="00DF5A20">
        <w:t xml:space="preserve">of the instrument </w:t>
      </w:r>
      <w:r w:rsidR="007F3013">
        <w:t>amends Rule 1.2.3 of the Trade Repository Rules by</w:t>
      </w:r>
      <w:r w:rsidR="007F3013">
        <w:rPr>
          <w:i/>
          <w:iCs/>
        </w:rPr>
        <w:t xml:space="preserve"> </w:t>
      </w:r>
      <w:r w:rsidR="00396FA5">
        <w:t>insert</w:t>
      </w:r>
      <w:r w:rsidR="007F3013">
        <w:t>ing</w:t>
      </w:r>
      <w:r w:rsidR="00396FA5">
        <w:t xml:space="preserve"> </w:t>
      </w:r>
      <w:r w:rsidR="00396FA5">
        <w:rPr>
          <w:i/>
          <w:iCs/>
        </w:rPr>
        <w:t xml:space="preserve">Reporting </w:t>
      </w:r>
      <w:r w:rsidR="00396FA5" w:rsidRPr="004438DA">
        <w:rPr>
          <w:i/>
          <w:iCs/>
        </w:rPr>
        <w:t>Rules</w:t>
      </w:r>
      <w:r w:rsidR="00924419">
        <w:t xml:space="preserve"> as a defined </w:t>
      </w:r>
      <w:r w:rsidR="007F3013">
        <w:t xml:space="preserve">term for references to </w:t>
      </w:r>
      <w:r w:rsidR="00396FA5">
        <w:t>the Reporting Rules 2022.</w:t>
      </w:r>
    </w:p>
    <w:p w14:paraId="13AC4520" w14:textId="76172360" w:rsidR="00396FA5" w:rsidRDefault="00255B29" w:rsidP="00CB3D5E">
      <w:pPr>
        <w:pStyle w:val="LI-BodyTextParaa"/>
        <w:ind w:left="567"/>
      </w:pPr>
      <w:r>
        <w:t>2</w:t>
      </w:r>
      <w:r w:rsidR="00E33DBE">
        <w:t>4</w:t>
      </w:r>
      <w:r>
        <w:t>.</w:t>
      </w:r>
      <w:r>
        <w:tab/>
      </w:r>
      <w:r w:rsidR="00396FA5">
        <w:t>Item</w:t>
      </w:r>
      <w:r w:rsidR="00924419">
        <w:t>s</w:t>
      </w:r>
      <w:r w:rsidR="00396FA5">
        <w:t xml:space="preserve"> 2</w:t>
      </w:r>
      <w:r w:rsidR="00924419">
        <w:t xml:space="preserve"> to 7 </w:t>
      </w:r>
      <w:r w:rsidR="00924419" w:rsidRPr="00DF5A20">
        <w:t xml:space="preserve">of the instrument </w:t>
      </w:r>
      <w:r w:rsidR="00924419">
        <w:t>replace references to the Reporting Rules 2013 with the new defined term “Reporting Rules”, thereby updating all superseded references to the Reporting Rules 2022</w:t>
      </w:r>
      <w:r w:rsidR="00396FA5">
        <w:t xml:space="preserve">. </w:t>
      </w:r>
    </w:p>
    <w:p w14:paraId="06A19823" w14:textId="752FCE20" w:rsidR="00C52E7C" w:rsidRPr="00327845" w:rsidRDefault="00C52E7C" w:rsidP="00863657">
      <w:pPr>
        <w:pStyle w:val="LI-BodyTextParaa"/>
        <w:ind w:left="567"/>
        <w:rPr>
          <w:u w:val="single"/>
        </w:rPr>
      </w:pPr>
      <w:bookmarkStart w:id="9" w:name="_Hlk95742131"/>
      <w:r w:rsidRPr="00327845">
        <w:rPr>
          <w:u w:val="single"/>
        </w:rPr>
        <w:t xml:space="preserve">Legislative instrument </w:t>
      </w:r>
      <w:r w:rsidR="00610709" w:rsidRPr="00327845">
        <w:rPr>
          <w:u w:val="single"/>
        </w:rPr>
        <w:t xml:space="preserve">and </w:t>
      </w:r>
      <w:r w:rsidRPr="00327845">
        <w:rPr>
          <w:u w:val="single"/>
        </w:rPr>
        <w:t>primary legislation</w:t>
      </w:r>
    </w:p>
    <w:bookmarkEnd w:id="9"/>
    <w:p w14:paraId="005622B4" w14:textId="5C92A2F9" w:rsidR="001E7E2B" w:rsidRPr="00FA36D3" w:rsidRDefault="00372A94" w:rsidP="001E7E2B">
      <w:pPr>
        <w:pStyle w:val="LI-BodyTextParaa"/>
        <w:ind w:left="567"/>
      </w:pPr>
      <w:r>
        <w:t>2</w:t>
      </w:r>
      <w:r w:rsidR="007155ED">
        <w:t>5</w:t>
      </w:r>
      <w:r w:rsidR="00C52E7C" w:rsidRPr="00FA36D3">
        <w:t>.</w:t>
      </w:r>
      <w:r w:rsidR="00C52E7C" w:rsidRPr="00FA36D3">
        <w:tab/>
        <w:t xml:space="preserve">The </w:t>
      </w:r>
      <w:r w:rsidR="00ED796D" w:rsidRPr="00FA36D3">
        <w:t xml:space="preserve">subject matter and </w:t>
      </w:r>
      <w:r w:rsidR="00C52E7C" w:rsidRPr="00FA36D3">
        <w:t xml:space="preserve">policy implemented by this instrument is more appropriate for </w:t>
      </w:r>
      <w:r w:rsidR="00ED796D" w:rsidRPr="00FA36D3">
        <w:t>a legislative instrument rather than primary legislation because:</w:t>
      </w:r>
    </w:p>
    <w:p w14:paraId="12AF7D49" w14:textId="1E844150" w:rsidR="00C52E7C" w:rsidRDefault="00ED796D" w:rsidP="00610709">
      <w:pPr>
        <w:pStyle w:val="LI-BodyTextParaa"/>
        <w:ind w:left="1134"/>
        <w:rPr>
          <w:iCs/>
        </w:rPr>
      </w:pPr>
      <w:r w:rsidRPr="00FA36D3">
        <w:t>a</w:t>
      </w:r>
      <w:r w:rsidR="007836D1" w:rsidRPr="00FA36D3">
        <w:t>.</w:t>
      </w:r>
      <w:r w:rsidRPr="00FA36D3">
        <w:tab/>
      </w:r>
      <w:r w:rsidR="007155ED">
        <w:t>t</w:t>
      </w:r>
      <w:r w:rsidR="00B8415F">
        <w:t xml:space="preserve">he </w:t>
      </w:r>
      <w:r w:rsidR="002C7562" w:rsidRPr="002C4675">
        <w:rPr>
          <w:iCs/>
        </w:rPr>
        <w:t xml:space="preserve">instrument utilises powers given by Parliament to ASIC that allow ASIC to </w:t>
      </w:r>
      <w:r w:rsidR="00BF32EB">
        <w:rPr>
          <w:iCs/>
        </w:rPr>
        <w:t xml:space="preserve">make, amend and repeal rules relating to derivatives transactions and derivative trade repositories; </w:t>
      </w:r>
      <w:r w:rsidR="00FB0DFA">
        <w:rPr>
          <w:iCs/>
        </w:rPr>
        <w:t>and</w:t>
      </w:r>
    </w:p>
    <w:p w14:paraId="3714FE26" w14:textId="76D1E6F7" w:rsidR="002C7562" w:rsidRPr="00C52E7C" w:rsidRDefault="00FB0DFA" w:rsidP="00610709">
      <w:pPr>
        <w:pStyle w:val="LI-BodyTextParaa"/>
        <w:ind w:left="1134"/>
      </w:pPr>
      <w:r>
        <w:rPr>
          <w:iCs/>
        </w:rPr>
        <w:t>b</w:t>
      </w:r>
      <w:r w:rsidR="002C7562">
        <w:rPr>
          <w:iCs/>
        </w:rPr>
        <w:t>.</w:t>
      </w:r>
      <w:r w:rsidR="002C7562">
        <w:rPr>
          <w:iCs/>
        </w:rPr>
        <w:tab/>
      </w:r>
      <w:r w:rsidR="002C7562" w:rsidRPr="002C4675">
        <w:rPr>
          <w:iCs/>
        </w:rPr>
        <w:t>the matters contained in the instrument are specific amendment</w:t>
      </w:r>
      <w:r w:rsidR="00B8415F">
        <w:rPr>
          <w:iCs/>
        </w:rPr>
        <w:t>s</w:t>
      </w:r>
      <w:r w:rsidR="002C7562" w:rsidRPr="002C4675">
        <w:rPr>
          <w:iCs/>
        </w:rPr>
        <w:t xml:space="preserve"> </w:t>
      </w:r>
      <w:r w:rsidR="00BF32EB">
        <w:rPr>
          <w:iCs/>
        </w:rPr>
        <w:t xml:space="preserve">to </w:t>
      </w:r>
      <w:r w:rsidR="002C7562" w:rsidRPr="002C4675">
        <w:rPr>
          <w:iCs/>
        </w:rPr>
        <w:t xml:space="preserve">the </w:t>
      </w:r>
      <w:r w:rsidR="002C7562">
        <w:rPr>
          <w:iCs/>
        </w:rPr>
        <w:t>other ASIC-made r</w:t>
      </w:r>
      <w:r w:rsidR="002C7562" w:rsidRPr="002C4675">
        <w:rPr>
          <w:iCs/>
        </w:rPr>
        <w:t>ules</w:t>
      </w:r>
      <w:r w:rsidR="00BF32EB">
        <w:rPr>
          <w:iCs/>
        </w:rPr>
        <w:t xml:space="preserve">, to </w:t>
      </w:r>
      <w:r w:rsidR="00FB6EB3">
        <w:rPr>
          <w:iCs/>
        </w:rPr>
        <w:t>reflect the</w:t>
      </w:r>
      <w:r w:rsidR="00B8415F">
        <w:rPr>
          <w:iCs/>
        </w:rPr>
        <w:t xml:space="preserve"> consequential</w:t>
      </w:r>
      <w:r w:rsidR="00FB6EB3">
        <w:rPr>
          <w:iCs/>
        </w:rPr>
        <w:t xml:space="preserve"> changes </w:t>
      </w:r>
      <w:r w:rsidR="00B8415F">
        <w:rPr>
          <w:iCs/>
        </w:rPr>
        <w:t>from the</w:t>
      </w:r>
      <w:r w:rsidR="00FB6EB3">
        <w:rPr>
          <w:iCs/>
        </w:rPr>
        <w:t xml:space="preserve"> re</w:t>
      </w:r>
      <w:r w:rsidR="00BF32EB">
        <w:rPr>
          <w:iCs/>
        </w:rPr>
        <w:t>peal and remaking of the</w:t>
      </w:r>
      <w:r w:rsidR="00FB6EB3">
        <w:rPr>
          <w:iCs/>
        </w:rPr>
        <w:t xml:space="preserve"> Reporting Rules 20</w:t>
      </w:r>
      <w:r w:rsidR="00B8415F">
        <w:rPr>
          <w:iCs/>
        </w:rPr>
        <w:t>13</w:t>
      </w:r>
      <w:r w:rsidR="00FB6EB3">
        <w:rPr>
          <w:iCs/>
        </w:rPr>
        <w:t xml:space="preserve"> </w:t>
      </w:r>
      <w:r w:rsidR="00BF32EB">
        <w:rPr>
          <w:iCs/>
        </w:rPr>
        <w:t>as the</w:t>
      </w:r>
      <w:r w:rsidR="00FB6EB3">
        <w:rPr>
          <w:iCs/>
        </w:rPr>
        <w:t xml:space="preserve"> Reporting Rules 202</w:t>
      </w:r>
      <w:r w:rsidR="00B8415F">
        <w:rPr>
          <w:iCs/>
        </w:rPr>
        <w:t>2</w:t>
      </w:r>
      <w:r w:rsidR="00BF32EB">
        <w:rPr>
          <w:iCs/>
        </w:rPr>
        <w:t xml:space="preserve">, and the subsequent </w:t>
      </w:r>
      <w:r w:rsidR="00BF32EB" w:rsidRPr="00A81B4A">
        <w:t>repeal and remaking of the Reporting Rules 20</w:t>
      </w:r>
      <w:r w:rsidR="00BF32EB">
        <w:t>22</w:t>
      </w:r>
      <w:r w:rsidR="00BF32EB" w:rsidRPr="00A81B4A">
        <w:t xml:space="preserve"> to become the Reporting Rules 202</w:t>
      </w:r>
      <w:r w:rsidR="00BF32EB">
        <w:t>4</w:t>
      </w:r>
      <w:r w:rsidR="00FB6EB3">
        <w:rPr>
          <w:iCs/>
        </w:rPr>
        <w:t>.</w:t>
      </w:r>
    </w:p>
    <w:bookmarkEnd w:id="6"/>
    <w:p w14:paraId="716610A6" w14:textId="77777777" w:rsidR="00C03A48" w:rsidRDefault="00C03A48" w:rsidP="009A3F74">
      <w:pPr>
        <w:pStyle w:val="LI-BodyTextParaa"/>
        <w:ind w:left="0" w:firstLine="0"/>
        <w:rPr>
          <w:bCs/>
          <w:u w:val="single"/>
        </w:rPr>
      </w:pPr>
      <w:r>
        <w:rPr>
          <w:bCs/>
          <w:u w:val="single"/>
        </w:rPr>
        <w:t>Duration</w:t>
      </w:r>
    </w:p>
    <w:p w14:paraId="7399B3FD" w14:textId="1655C54C" w:rsidR="00C03A48" w:rsidRPr="00C03A48" w:rsidRDefault="00372A94" w:rsidP="00C03A48">
      <w:pPr>
        <w:pStyle w:val="LI-BodyTextParaa"/>
        <w:ind w:left="567"/>
        <w:rPr>
          <w:bCs/>
        </w:rPr>
      </w:pPr>
      <w:r>
        <w:rPr>
          <w:bCs/>
        </w:rPr>
        <w:t>2</w:t>
      </w:r>
      <w:r w:rsidR="007155ED">
        <w:rPr>
          <w:bCs/>
        </w:rPr>
        <w:t>6</w:t>
      </w:r>
      <w:r w:rsidR="00C03A48">
        <w:rPr>
          <w:bCs/>
        </w:rPr>
        <w:t>.</w:t>
      </w:r>
      <w:r w:rsidR="00C03A48">
        <w:rPr>
          <w:bCs/>
        </w:rPr>
        <w:tab/>
      </w:r>
      <w:r w:rsidR="00AB5025">
        <w:rPr>
          <w:bCs/>
        </w:rPr>
        <w:t xml:space="preserve">The duration of </w:t>
      </w:r>
      <w:r w:rsidR="00AB5025" w:rsidRPr="00C03A48">
        <w:rPr>
          <w:bCs/>
        </w:rPr>
        <w:t xml:space="preserve">the </w:t>
      </w:r>
      <w:r w:rsidR="00AB5025">
        <w:rPr>
          <w:bCs/>
        </w:rPr>
        <w:t>amendments made by this instrument</w:t>
      </w:r>
      <w:r w:rsidR="00AB5025" w:rsidRPr="00C03A48">
        <w:rPr>
          <w:bCs/>
        </w:rPr>
        <w:t xml:space="preserve"> align with the duration of the primary instruments </w:t>
      </w:r>
      <w:r w:rsidR="00AB5025">
        <w:rPr>
          <w:bCs/>
        </w:rPr>
        <w:t>that</w:t>
      </w:r>
      <w:r w:rsidR="00AB5025" w:rsidRPr="00C03A48">
        <w:rPr>
          <w:bCs/>
        </w:rPr>
        <w:t xml:space="preserve"> are being amended</w:t>
      </w:r>
      <w:r w:rsidR="00AB5025">
        <w:rPr>
          <w:bCs/>
        </w:rPr>
        <w:t xml:space="preserve">. The </w:t>
      </w:r>
      <w:r w:rsidR="00E43EF0">
        <w:rPr>
          <w:bCs/>
        </w:rPr>
        <w:t xml:space="preserve">Clearing Rules </w:t>
      </w:r>
      <w:r w:rsidR="004825AA">
        <w:rPr>
          <w:bCs/>
        </w:rPr>
        <w:t xml:space="preserve">are scheduled to </w:t>
      </w:r>
      <w:r w:rsidR="00E43EF0">
        <w:rPr>
          <w:bCs/>
        </w:rPr>
        <w:t xml:space="preserve">sunset on </w:t>
      </w:r>
      <w:r w:rsidR="007B3E04">
        <w:rPr>
          <w:bCs/>
        </w:rPr>
        <w:t>1 April 2026</w:t>
      </w:r>
      <w:r w:rsidR="00E43EF0">
        <w:rPr>
          <w:bCs/>
        </w:rPr>
        <w:t>. The Trade Repository Rules</w:t>
      </w:r>
      <w:r w:rsidR="004825AA">
        <w:rPr>
          <w:bCs/>
        </w:rPr>
        <w:t xml:space="preserve"> are scheduled to</w:t>
      </w:r>
      <w:r w:rsidR="00E43EF0">
        <w:rPr>
          <w:bCs/>
        </w:rPr>
        <w:t xml:space="preserve"> sunset on 1 October 2023</w:t>
      </w:r>
      <w:r w:rsidR="004825AA">
        <w:rPr>
          <w:bCs/>
        </w:rPr>
        <w:t>.</w:t>
      </w:r>
    </w:p>
    <w:p w14:paraId="6A9AE6EC" w14:textId="77777777" w:rsidR="00F03BB5" w:rsidRDefault="00474B52" w:rsidP="009A3F74">
      <w:pPr>
        <w:pStyle w:val="LI-BodyTextParaa"/>
        <w:ind w:left="0" w:firstLine="0"/>
        <w:rPr>
          <w:b/>
        </w:rPr>
      </w:pPr>
      <w:r>
        <w:rPr>
          <w:b/>
        </w:rPr>
        <w:t>Legislative authority</w:t>
      </w:r>
    </w:p>
    <w:p w14:paraId="5399C8DF" w14:textId="748995D5" w:rsidR="009A3F74" w:rsidRDefault="007155ED" w:rsidP="00F03BB5">
      <w:pPr>
        <w:pStyle w:val="LI-BodyTextParaa"/>
        <w:ind w:left="567"/>
      </w:pPr>
      <w:r>
        <w:t>27.</w:t>
      </w:r>
      <w:r w:rsidR="00F03BB5">
        <w:tab/>
      </w:r>
      <w:r w:rsidR="001A148B" w:rsidRPr="009C2562">
        <w:t>Th</w:t>
      </w:r>
      <w:r w:rsidR="001A148B">
        <w:t>e</w:t>
      </w:r>
      <w:r w:rsidR="001A148B" w:rsidRPr="009C2562">
        <w:t xml:space="preserve"> instrument is made under </w:t>
      </w:r>
      <w:r w:rsidR="001A148B">
        <w:t xml:space="preserve">sections </w:t>
      </w:r>
      <w:r w:rsidR="00852090">
        <w:t>901M and 903K of</w:t>
      </w:r>
      <w:r w:rsidR="001A148B">
        <w:t xml:space="preserve"> the</w:t>
      </w:r>
      <w:r w:rsidR="00852090">
        <w:t xml:space="preserve"> Corporations</w:t>
      </w:r>
      <w:r w:rsidR="001A148B">
        <w:t xml:space="preserve"> </w:t>
      </w:r>
      <w:r w:rsidR="001A148B" w:rsidRPr="001A148B">
        <w:t>Act</w:t>
      </w:r>
      <w:r w:rsidR="001A148B" w:rsidRPr="009C2562">
        <w:t>.</w:t>
      </w:r>
    </w:p>
    <w:p w14:paraId="61A26F70" w14:textId="44404BDD" w:rsidR="00B8415F" w:rsidRDefault="007155ED" w:rsidP="00B8415F">
      <w:pPr>
        <w:pStyle w:val="LI-BodyTextParaa"/>
        <w:ind w:left="567"/>
      </w:pPr>
      <w:r>
        <w:t>28</w:t>
      </w:r>
      <w:r w:rsidR="009A3F74">
        <w:t>.</w:t>
      </w:r>
      <w:r w:rsidR="009A3F74">
        <w:tab/>
      </w:r>
      <w:r w:rsidR="00B8415F">
        <w:t>Subsection 901M(1) of the Corporations Act provides that ASIC may amend a derivative transaction rule in like manner and subject to like conditions.</w:t>
      </w:r>
    </w:p>
    <w:p w14:paraId="212BAA3D" w14:textId="3A2276B3" w:rsidR="00B8415F" w:rsidRDefault="007155ED" w:rsidP="00B8415F">
      <w:pPr>
        <w:pStyle w:val="LI-BodyTextParaa"/>
        <w:ind w:left="567"/>
      </w:pPr>
      <w:r>
        <w:lastRenderedPageBreak/>
        <w:t>29</w:t>
      </w:r>
      <w:r w:rsidR="00B8415F">
        <w:t>.</w:t>
      </w:r>
      <w:r w:rsidR="00B8415F">
        <w:tab/>
        <w:t>Subsection 903K(1) of the Corporations Act provides that ASIC may amend a derivative trade repository rule in like manner and subject to like conditions.</w:t>
      </w:r>
    </w:p>
    <w:p w14:paraId="374ECA66" w14:textId="62CA3041" w:rsidR="00DB0988" w:rsidRDefault="00372A94" w:rsidP="00F03BB5">
      <w:pPr>
        <w:pStyle w:val="LI-BodyTextParaa"/>
        <w:ind w:left="567"/>
      </w:pPr>
      <w:r>
        <w:t>3</w:t>
      </w:r>
      <w:r w:rsidR="007155ED">
        <w:t>0</w:t>
      </w:r>
      <w:r w:rsidR="00DB0988">
        <w:t>.</w:t>
      </w:r>
      <w:r w:rsidR="00DB0988">
        <w:tab/>
        <w:t>ASIC sought and received the Minister’s consent</w:t>
      </w:r>
      <w:r w:rsidR="00BB3276">
        <w:t xml:space="preserve"> </w:t>
      </w:r>
      <w:r w:rsidR="00DB0988">
        <w:t xml:space="preserve">to making </w:t>
      </w:r>
      <w:r w:rsidR="00B8415F">
        <w:t xml:space="preserve">the consequential </w:t>
      </w:r>
      <w:r w:rsidR="00DB0988">
        <w:t xml:space="preserve">amendments </w:t>
      </w:r>
      <w:r w:rsidR="00674F75">
        <w:t xml:space="preserve">to </w:t>
      </w:r>
      <w:r w:rsidR="00327845">
        <w:t>the</w:t>
      </w:r>
      <w:r w:rsidR="00B8415F">
        <w:t xml:space="preserve"> other</w:t>
      </w:r>
      <w:r w:rsidR="00327845">
        <w:t xml:space="preserve"> ASIC-made </w:t>
      </w:r>
      <w:r w:rsidR="00DB0988">
        <w:t>rule</w:t>
      </w:r>
      <w:r w:rsidR="00327845">
        <w:t>s</w:t>
      </w:r>
      <w:r w:rsidR="00DB0988">
        <w:t xml:space="preserve"> in accordance with the corresponding provision of the </w:t>
      </w:r>
      <w:r w:rsidR="00BF32EB">
        <w:t xml:space="preserve">Corporations </w:t>
      </w:r>
      <w:r w:rsidR="00DB0988">
        <w:t>Act</w:t>
      </w:r>
      <w:r w:rsidR="00674F75">
        <w:t>.</w:t>
      </w:r>
      <w:r w:rsidR="00F26FF8">
        <w:t xml:space="preserve"> </w:t>
      </w:r>
      <w:r w:rsidR="00F26FF8" w:rsidRPr="00F26FF8">
        <w:t>The Minister consented to the making of t</w:t>
      </w:r>
      <w:r w:rsidR="00F26FF8">
        <w:t xml:space="preserve">his instrument </w:t>
      </w:r>
      <w:r w:rsidR="00F26FF8" w:rsidRPr="00F26FF8">
        <w:t xml:space="preserve">by written notice to ASIC </w:t>
      </w:r>
      <w:r w:rsidR="00F26FF8" w:rsidRPr="002F594E">
        <w:t xml:space="preserve">dated </w:t>
      </w:r>
      <w:r w:rsidR="00FB0DFA" w:rsidRPr="002F594E">
        <w:t xml:space="preserve">4 </w:t>
      </w:r>
      <w:r w:rsidR="00327845" w:rsidRPr="002F594E">
        <w:t>December</w:t>
      </w:r>
      <w:r w:rsidR="00327845">
        <w:t xml:space="preserve"> </w:t>
      </w:r>
      <w:r w:rsidR="00331534">
        <w:t>2022</w:t>
      </w:r>
      <w:r w:rsidR="00DB0988">
        <w:t>.</w:t>
      </w:r>
    </w:p>
    <w:p w14:paraId="5DDB3A5F" w14:textId="77777777" w:rsidR="00EA17A6" w:rsidRPr="00EA17A6" w:rsidRDefault="00EA17A6" w:rsidP="00435EEF">
      <w:pPr>
        <w:pStyle w:val="LI-BodyTextParaa"/>
        <w:ind w:left="567"/>
        <w:rPr>
          <w:b/>
        </w:rPr>
      </w:pPr>
      <w:r w:rsidRPr="00EA17A6">
        <w:rPr>
          <w:b/>
        </w:rPr>
        <w:t>Statement of Compatibility with Human Rights</w:t>
      </w:r>
    </w:p>
    <w:p w14:paraId="3E5B298D" w14:textId="703DABF9" w:rsidR="00223DCF" w:rsidRPr="00EA17A6" w:rsidRDefault="00372A94" w:rsidP="00435EEF">
      <w:pPr>
        <w:pStyle w:val="LI-BodyTextParaa"/>
        <w:ind w:left="567"/>
      </w:pPr>
      <w:r>
        <w:t>3</w:t>
      </w:r>
      <w:r w:rsidR="007155ED">
        <w:t>1</w:t>
      </w:r>
      <w:r w:rsidR="00223DCF" w:rsidRPr="00EA17A6">
        <w:t>.</w:t>
      </w:r>
      <w:r w:rsidR="00223DCF" w:rsidRPr="00EA17A6">
        <w:tab/>
        <w:t xml:space="preserve">The Explanatory Statement for a disallowable legislative instrument must contain a Statement of Compatibility with Human Rights under subsection 9(1) of the </w:t>
      </w:r>
      <w:r w:rsidR="00223DCF" w:rsidRPr="00EA17A6">
        <w:rPr>
          <w:i/>
          <w:iCs/>
        </w:rPr>
        <w:t>Human Rights (Parliamentary Scrutiny) Act 2011.</w:t>
      </w:r>
      <w:r w:rsidR="00223DCF" w:rsidRPr="00EA17A6">
        <w:rPr>
          <w:iCs/>
        </w:rPr>
        <w:t xml:space="preserve"> </w:t>
      </w:r>
      <w:r w:rsidR="00223DCF" w:rsidRPr="00EA17A6">
        <w:t xml:space="preserve">A Statement of Compatibility with Human Rights is in the </w:t>
      </w:r>
      <w:r w:rsidR="00223DCF" w:rsidRPr="00EA17A6">
        <w:rPr>
          <w:u w:val="single"/>
        </w:rPr>
        <w:t>Attachment</w:t>
      </w:r>
      <w:r w:rsidR="00223DCF" w:rsidRPr="00EA17A6">
        <w:t xml:space="preserve">. </w:t>
      </w:r>
    </w:p>
    <w:p w14:paraId="4A55D44C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>Attachment</w:t>
      </w:r>
    </w:p>
    <w:p w14:paraId="59BE4BCA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3E2AA762" w14:textId="77777777" w:rsidR="0053575A" w:rsidRDefault="0053575A" w:rsidP="00223DCF">
      <w:pPr>
        <w:pStyle w:val="LI-BodyTextNumbered"/>
        <w:ind w:left="0" w:firstLine="0"/>
        <w:rPr>
          <w:iCs/>
        </w:rPr>
      </w:pPr>
      <w:bookmarkStart w:id="10" w:name="_Hlk534286677"/>
    </w:p>
    <w:p w14:paraId="4849EC14" w14:textId="279FF299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11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11"/>
      <w:r w:rsidRPr="00EA17A6">
        <w:rPr>
          <w:iCs/>
        </w:rPr>
        <w:t>.</w:t>
      </w:r>
    </w:p>
    <w:p w14:paraId="150BC3FF" w14:textId="77777777" w:rsidR="000A0741" w:rsidRPr="000A0741" w:rsidRDefault="000A0741" w:rsidP="00F36432">
      <w:pPr>
        <w:pStyle w:val="LI-BodyTextNumbered"/>
        <w:ind w:left="567"/>
        <w:rPr>
          <w:b/>
          <w:i/>
        </w:rPr>
      </w:pPr>
      <w:bookmarkStart w:id="12" w:name="_Hlk120259042"/>
      <w:r w:rsidRPr="000A0741">
        <w:rPr>
          <w:b/>
          <w:i/>
        </w:rPr>
        <w:t>ASIC Corporations (Amendment) Instrument 2022/934</w:t>
      </w:r>
    </w:p>
    <w:bookmarkEnd w:id="12"/>
    <w:p w14:paraId="3393FB61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68AA7EAF" w14:textId="64CE0661" w:rsidR="00FD17AD" w:rsidRDefault="007155ED" w:rsidP="00FD17AD">
      <w:pPr>
        <w:pStyle w:val="LI-BodyTextParaa"/>
        <w:ind w:left="567"/>
        <w:rPr>
          <w:rStyle w:val="CharAmSchText"/>
        </w:rPr>
      </w:pPr>
      <w:bookmarkStart w:id="13" w:name="_Hlk91156665"/>
      <w:r>
        <w:t>1</w:t>
      </w:r>
      <w:r w:rsidR="00FD17AD">
        <w:t>.</w:t>
      </w:r>
      <w:r w:rsidR="00FD17AD">
        <w:tab/>
        <w:t xml:space="preserve">The </w:t>
      </w:r>
      <w:r w:rsidR="00FD17AD" w:rsidRPr="004438DA">
        <w:rPr>
          <w:rStyle w:val="CharAmSchText"/>
          <w:i/>
          <w:iCs/>
        </w:rPr>
        <w:t>ASIC Derivative Transaction Rules (Reporting) 2013</w:t>
      </w:r>
      <w:r w:rsidR="00FD17AD" w:rsidRPr="004438DA">
        <w:rPr>
          <w:rStyle w:val="CharAmSchText"/>
        </w:rPr>
        <w:t xml:space="preserve"> (the </w:t>
      </w:r>
      <w:r w:rsidR="00FD17AD" w:rsidRPr="004438DA">
        <w:rPr>
          <w:rStyle w:val="CharAmSchText"/>
          <w:b/>
          <w:bCs/>
          <w:i/>
          <w:iCs/>
        </w:rPr>
        <w:t>Reporting Rules 2013</w:t>
      </w:r>
      <w:r w:rsidR="00FD17AD">
        <w:rPr>
          <w:rStyle w:val="CharAmSchText"/>
        </w:rPr>
        <w:t>)</w:t>
      </w:r>
      <w:r w:rsidR="00FD17AD" w:rsidRPr="004438DA">
        <w:rPr>
          <w:rStyle w:val="CharAmSchText"/>
        </w:rPr>
        <w:t xml:space="preserve"> </w:t>
      </w:r>
      <w:r w:rsidR="00FD17AD">
        <w:rPr>
          <w:rStyle w:val="CharAmSchText"/>
        </w:rPr>
        <w:t xml:space="preserve">have been repealed and remade </w:t>
      </w:r>
      <w:r w:rsidR="00BF32EB">
        <w:rPr>
          <w:rStyle w:val="CharAmSchText"/>
        </w:rPr>
        <w:t xml:space="preserve">in the same form, </w:t>
      </w:r>
      <w:r w:rsidR="00FD17AD">
        <w:rPr>
          <w:rStyle w:val="CharAmSchText"/>
        </w:rPr>
        <w:t xml:space="preserve">as the </w:t>
      </w:r>
      <w:r w:rsidR="00FD17AD" w:rsidRPr="004438DA">
        <w:rPr>
          <w:rStyle w:val="CharAmSchText"/>
          <w:i/>
          <w:iCs/>
        </w:rPr>
        <w:t>ASIC Derivative Transaction Rules (Reporting) 2022</w:t>
      </w:r>
      <w:r w:rsidR="00FD17AD">
        <w:rPr>
          <w:rStyle w:val="CharAmSchText"/>
        </w:rPr>
        <w:t xml:space="preserve"> (</w:t>
      </w:r>
      <w:r w:rsidR="00FD17AD" w:rsidRPr="004438DA">
        <w:rPr>
          <w:rStyle w:val="CharAmSchText"/>
        </w:rPr>
        <w:t xml:space="preserve">the </w:t>
      </w:r>
      <w:r w:rsidR="00FD17AD" w:rsidRPr="004438DA">
        <w:rPr>
          <w:rStyle w:val="CharAmSchText"/>
          <w:b/>
          <w:bCs/>
          <w:i/>
          <w:iCs/>
        </w:rPr>
        <w:t>Reporting Rules 2022</w:t>
      </w:r>
      <w:r w:rsidR="00FD17AD">
        <w:rPr>
          <w:rStyle w:val="CharAmSchText"/>
        </w:rPr>
        <w:t>).</w:t>
      </w:r>
    </w:p>
    <w:p w14:paraId="6FCAF2D0" w14:textId="74460C57" w:rsidR="00FD17AD" w:rsidRPr="0081684D" w:rsidRDefault="007155ED" w:rsidP="00FD17AD">
      <w:pPr>
        <w:pStyle w:val="LI-BodyTextParaa"/>
        <w:ind w:left="567"/>
      </w:pPr>
      <w:r>
        <w:t>2</w:t>
      </w:r>
      <w:r w:rsidR="000A213D">
        <w:t>.</w:t>
      </w:r>
      <w:r w:rsidR="000A213D">
        <w:tab/>
      </w:r>
      <w:r w:rsidR="00FD17AD">
        <w:rPr>
          <w:rStyle w:val="CharAmSchText"/>
        </w:rPr>
        <w:t xml:space="preserve">On 21 October 2024, the Reporting Rules 2022 will be repealed and remade as the </w:t>
      </w:r>
      <w:r w:rsidR="00FD17AD" w:rsidRPr="004438DA">
        <w:rPr>
          <w:rStyle w:val="CharAmSchText"/>
          <w:i/>
          <w:iCs/>
        </w:rPr>
        <w:t>ASIC Derivative Transaction Rules (Reporting) 2024</w:t>
      </w:r>
      <w:r w:rsidR="00FD17AD">
        <w:rPr>
          <w:rStyle w:val="CharAmSchText"/>
        </w:rPr>
        <w:t xml:space="preserve"> (</w:t>
      </w:r>
      <w:r w:rsidR="00FD17AD">
        <w:rPr>
          <w:rStyle w:val="CharAmSchText"/>
          <w:i/>
          <w:iCs/>
        </w:rPr>
        <w:t xml:space="preserve">the </w:t>
      </w:r>
      <w:r w:rsidR="00FD17AD">
        <w:rPr>
          <w:rStyle w:val="CharAmSchText"/>
          <w:b/>
          <w:bCs/>
          <w:i/>
          <w:iCs/>
        </w:rPr>
        <w:t>Reporting Rules 2024</w:t>
      </w:r>
      <w:r w:rsidR="00FD17AD">
        <w:rPr>
          <w:rStyle w:val="CharAmSchText"/>
        </w:rPr>
        <w:t>), substantially amending the current requirements.</w:t>
      </w:r>
    </w:p>
    <w:bookmarkEnd w:id="13"/>
    <w:p w14:paraId="79766889" w14:textId="4F08AB70" w:rsidR="00BF32EB" w:rsidRDefault="007155ED" w:rsidP="009F10A6">
      <w:pPr>
        <w:pStyle w:val="LI-BodyTextParaa"/>
        <w:ind w:left="567"/>
      </w:pPr>
      <w:r>
        <w:t>3</w:t>
      </w:r>
      <w:r w:rsidR="009F10A6">
        <w:t>.</w:t>
      </w:r>
      <w:r w:rsidR="009F10A6">
        <w:tab/>
      </w:r>
      <w:r w:rsidR="00BF32EB">
        <w:t xml:space="preserve">The </w:t>
      </w:r>
      <w:r w:rsidR="00BF32EB" w:rsidRPr="00CB3D5E">
        <w:rPr>
          <w:i/>
          <w:iCs/>
        </w:rPr>
        <w:t>ASIC Derivative Transaction Rules (Clearing) 2015</w:t>
      </w:r>
      <w:r w:rsidR="00BF32EB">
        <w:t xml:space="preserve"> (the </w:t>
      </w:r>
      <w:r w:rsidR="00BF32EB">
        <w:rPr>
          <w:b/>
          <w:bCs/>
          <w:i/>
          <w:iCs/>
        </w:rPr>
        <w:t>Clearing Rules</w:t>
      </w:r>
      <w:r w:rsidR="00BF32EB">
        <w:t xml:space="preserve">) and the </w:t>
      </w:r>
      <w:r w:rsidR="00BF32EB" w:rsidRPr="00CB3D5E">
        <w:rPr>
          <w:i/>
          <w:iCs/>
        </w:rPr>
        <w:t>ASIC Derivative Trade Repository (Reporting) 2013</w:t>
      </w:r>
      <w:r w:rsidR="00BF32EB">
        <w:t xml:space="preserve"> (the </w:t>
      </w:r>
      <w:r w:rsidR="00BF32EB">
        <w:rPr>
          <w:b/>
          <w:bCs/>
          <w:i/>
          <w:iCs/>
        </w:rPr>
        <w:t>Trade Repository Rules</w:t>
      </w:r>
      <w:r w:rsidR="00BF32EB">
        <w:t>) (together, the</w:t>
      </w:r>
      <w:r w:rsidR="00BF32EB">
        <w:rPr>
          <w:b/>
          <w:bCs/>
          <w:i/>
          <w:iCs/>
        </w:rPr>
        <w:t xml:space="preserve"> other ASIC-made rules</w:t>
      </w:r>
      <w:r w:rsidR="00BF32EB">
        <w:t>) make references to the Reporting Rules 2013 in the definitions of certain terms in those rules.</w:t>
      </w:r>
    </w:p>
    <w:p w14:paraId="1E5371C2" w14:textId="2F5A47FE" w:rsidR="007155ED" w:rsidRPr="00D0417F" w:rsidRDefault="007155ED" w:rsidP="00F36432">
      <w:pPr>
        <w:pStyle w:val="LI-BodyTextNumbered"/>
        <w:ind w:left="567"/>
        <w:rPr>
          <w:bCs/>
          <w:iCs/>
        </w:rPr>
      </w:pPr>
      <w:r>
        <w:t>4.</w:t>
      </w:r>
      <w:r>
        <w:tab/>
      </w:r>
      <w:r w:rsidR="000A0741">
        <w:t xml:space="preserve">The </w:t>
      </w:r>
      <w:r w:rsidRPr="00347E6A">
        <w:rPr>
          <w:i/>
        </w:rPr>
        <w:t>ASIC Corporations (Amendment) Instrument 2022/934</w:t>
      </w:r>
      <w:r>
        <w:rPr>
          <w:b/>
          <w:i/>
        </w:rPr>
        <w:t xml:space="preserve"> </w:t>
      </w:r>
      <w:r>
        <w:rPr>
          <w:bCs/>
          <w:iCs/>
        </w:rPr>
        <w:t xml:space="preserve">(the </w:t>
      </w:r>
      <w:r w:rsidRPr="00D0417F">
        <w:rPr>
          <w:b/>
          <w:i/>
        </w:rPr>
        <w:t>instrument</w:t>
      </w:r>
      <w:r>
        <w:rPr>
          <w:bCs/>
          <w:iCs/>
        </w:rPr>
        <w:t>) amends the:</w:t>
      </w:r>
    </w:p>
    <w:p w14:paraId="6B04766C" w14:textId="31D2FB30" w:rsidR="007155ED" w:rsidRDefault="007155ED" w:rsidP="00F36432">
      <w:pPr>
        <w:pStyle w:val="LI-BodyTextNumbered"/>
        <w:numPr>
          <w:ilvl w:val="1"/>
          <w:numId w:val="53"/>
        </w:numPr>
        <w:ind w:left="924" w:hanging="357"/>
      </w:pPr>
      <w:r w:rsidRPr="00CB3D5E">
        <w:t xml:space="preserve">other </w:t>
      </w:r>
      <w:r w:rsidRPr="0081684D">
        <w:t>A</w:t>
      </w:r>
      <w:r w:rsidRPr="00327845">
        <w:t xml:space="preserve">SIC-made rules, </w:t>
      </w:r>
      <w:r w:rsidRPr="00CB3D5E">
        <w:t>to replace references to the Reporting Rules 2013 with reference</w:t>
      </w:r>
      <w:r>
        <w:t>s</w:t>
      </w:r>
      <w:r w:rsidRPr="00CB3D5E">
        <w:t xml:space="preserve"> to the Reporting Rules 2022</w:t>
      </w:r>
      <w:r>
        <w:t>;</w:t>
      </w:r>
      <w:r w:rsidRPr="00CB3D5E">
        <w:t xml:space="preserve"> and</w:t>
      </w:r>
      <w:r w:rsidDel="007155ED">
        <w:t xml:space="preserve"> </w:t>
      </w:r>
    </w:p>
    <w:p w14:paraId="686021B4" w14:textId="034E9F02" w:rsidR="00FD17AD" w:rsidRDefault="007155ED" w:rsidP="00F36432">
      <w:pPr>
        <w:pStyle w:val="LI-BodyTextNumbered"/>
        <w:numPr>
          <w:ilvl w:val="1"/>
          <w:numId w:val="53"/>
        </w:numPr>
        <w:ind w:left="924" w:hanging="357"/>
      </w:pPr>
      <w:r>
        <w:t>Clearing Rules, from 21 October 2024, to</w:t>
      </w:r>
      <w:r w:rsidRPr="00CB3D5E">
        <w:t xml:space="preserve"> </w:t>
      </w:r>
      <w:r>
        <w:t>replace</w:t>
      </w:r>
      <w:r w:rsidRPr="00CB3D5E">
        <w:t xml:space="preserve"> references to the Reporting Rules 2022 </w:t>
      </w:r>
      <w:r w:rsidRPr="005143CB">
        <w:t>with reference</w:t>
      </w:r>
      <w:r>
        <w:t>s to the</w:t>
      </w:r>
      <w:r w:rsidRPr="005143CB">
        <w:t xml:space="preserve"> </w:t>
      </w:r>
      <w:r w:rsidRPr="00CB3D5E">
        <w:t xml:space="preserve">Reporting Rules </w:t>
      </w:r>
      <w:r>
        <w:t>2024</w:t>
      </w:r>
    </w:p>
    <w:p w14:paraId="05AC3290" w14:textId="0E0A4BA9" w:rsidR="00FD17AD" w:rsidRPr="00FD17AD" w:rsidRDefault="00FD17AD" w:rsidP="00F36432">
      <w:pPr>
        <w:pStyle w:val="LI-BodyTextNumbered"/>
        <w:ind w:left="567" w:firstLine="0"/>
      </w:pPr>
      <w:r>
        <w:t xml:space="preserve">(together, </w:t>
      </w:r>
      <w:r>
        <w:rPr>
          <w:i/>
          <w:iCs/>
        </w:rPr>
        <w:t xml:space="preserve">the </w:t>
      </w:r>
      <w:r w:rsidRPr="00CB3D5E">
        <w:rPr>
          <w:b/>
          <w:bCs/>
          <w:i/>
          <w:iCs/>
        </w:rPr>
        <w:t>consequential amendments</w:t>
      </w:r>
      <w:r w:rsidRPr="00336D45">
        <w:t>).</w:t>
      </w:r>
    </w:p>
    <w:p w14:paraId="05CFC1FF" w14:textId="7A36CBBE" w:rsidR="009F10A6" w:rsidRDefault="000A213D" w:rsidP="000A213D">
      <w:pPr>
        <w:pStyle w:val="LI-BodyTextParaa"/>
        <w:ind w:left="567"/>
      </w:pPr>
      <w:r>
        <w:rPr>
          <w:rStyle w:val="CharAmSchText"/>
        </w:rPr>
        <w:t>5</w:t>
      </w:r>
      <w:r w:rsidR="00FD17AD">
        <w:rPr>
          <w:rStyle w:val="CharAmSchText"/>
        </w:rPr>
        <w:t>.</w:t>
      </w:r>
      <w:r w:rsidR="00FD17AD">
        <w:rPr>
          <w:rStyle w:val="CharAmSchText"/>
        </w:rPr>
        <w:tab/>
        <w:t xml:space="preserve">The consequential amendments </w:t>
      </w:r>
      <w:r w:rsidR="00336D45">
        <w:rPr>
          <w:rStyle w:val="CharAmSchText"/>
        </w:rPr>
        <w:t xml:space="preserve">are for </w:t>
      </w:r>
      <w:r w:rsidR="00C72596">
        <w:rPr>
          <w:rStyle w:val="CharAmSchText"/>
        </w:rPr>
        <w:t>ease of reference,</w:t>
      </w:r>
      <w:r w:rsidR="007155ED">
        <w:rPr>
          <w:rStyle w:val="CharAmSchText"/>
        </w:rPr>
        <w:t xml:space="preserve"> and to ensure</w:t>
      </w:r>
      <w:r w:rsidR="00C72596">
        <w:rPr>
          <w:rStyle w:val="CharAmSchText"/>
        </w:rPr>
        <w:t xml:space="preserve"> consistency across the other ASIC-made rules</w:t>
      </w:r>
      <w:r w:rsidR="009F10A6">
        <w:t>.</w:t>
      </w:r>
    </w:p>
    <w:p w14:paraId="39D18C5E" w14:textId="77777777" w:rsidR="001872DC" w:rsidRDefault="001872DC" w:rsidP="00CB3D5E">
      <w:pPr>
        <w:pStyle w:val="LI-BodyTextParaa"/>
        <w:ind w:left="567"/>
        <w:rPr>
          <w:u w:val="single"/>
        </w:rPr>
      </w:pPr>
      <w:bookmarkStart w:id="14" w:name="_Hlk534286807"/>
      <w:bookmarkEnd w:id="10"/>
      <w:r w:rsidRPr="00EA17A6">
        <w:rPr>
          <w:u w:val="single"/>
        </w:rPr>
        <w:t>Assessment of human rights implications</w:t>
      </w:r>
    </w:p>
    <w:p w14:paraId="58812E58" w14:textId="77777777" w:rsidR="00D86286" w:rsidRPr="00EA17A6" w:rsidRDefault="00D86286" w:rsidP="000A213D">
      <w:pPr>
        <w:pStyle w:val="LI-BodyTextNumbered"/>
        <w:numPr>
          <w:ilvl w:val="0"/>
          <w:numId w:val="55"/>
        </w:numPr>
      </w:pPr>
      <w:r w:rsidRPr="00EA17A6">
        <w:t>This instrument does not engage any of the applicable rights or freedoms</w:t>
      </w:r>
      <w:r>
        <w:t>.</w:t>
      </w:r>
    </w:p>
    <w:bookmarkEnd w:id="14"/>
    <w:p w14:paraId="278A20A8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04C4AA6B" w14:textId="77777777" w:rsidR="00D86286" w:rsidRPr="00EA17A6" w:rsidRDefault="00D86286" w:rsidP="000A213D">
      <w:pPr>
        <w:pStyle w:val="LI-BodyTextNumbered"/>
        <w:numPr>
          <w:ilvl w:val="0"/>
          <w:numId w:val="55"/>
        </w:numPr>
      </w:pPr>
      <w:r w:rsidRPr="00EA17A6">
        <w:t>This instrument does not engage any of the applicable rights or freedoms</w:t>
      </w:r>
      <w:r>
        <w:t>.</w:t>
      </w:r>
    </w:p>
    <w:p w14:paraId="7913897F" w14:textId="0E430B38" w:rsidR="00CB2D96" w:rsidRPr="00EA17A6" w:rsidRDefault="00CB2D96" w:rsidP="00D86286">
      <w:pPr>
        <w:pStyle w:val="LI-BodyTextNumbered"/>
        <w:ind w:left="567"/>
      </w:pPr>
    </w:p>
    <w:sectPr w:rsidR="00CB2D96" w:rsidRPr="00EA17A6" w:rsidSect="00863657">
      <w:headerReference w:type="even" r:id="rId17"/>
      <w:headerReference w:type="default" r:id="rId18"/>
      <w:footerReference w:type="default" r:id="rId19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2507" w14:textId="77777777" w:rsidR="00147B52" w:rsidRDefault="00147B52" w:rsidP="00715914">
      <w:pPr>
        <w:spacing w:line="240" w:lineRule="auto"/>
      </w:pPr>
      <w:r>
        <w:separator/>
      </w:r>
    </w:p>
  </w:endnote>
  <w:endnote w:type="continuationSeparator" w:id="0">
    <w:p w14:paraId="55A78E5D" w14:textId="77777777" w:rsidR="00147B52" w:rsidRDefault="00147B52" w:rsidP="00715914">
      <w:pPr>
        <w:spacing w:line="240" w:lineRule="auto"/>
      </w:pPr>
      <w:r>
        <w:continuationSeparator/>
      </w:r>
    </w:p>
  </w:endnote>
  <w:endnote w:type="continuationNotice" w:id="1">
    <w:p w14:paraId="5345985E" w14:textId="77777777" w:rsidR="00147B52" w:rsidRDefault="00147B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CA60" w14:textId="77777777" w:rsidR="005734D4" w:rsidRDefault="005734D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BE9BE69" w14:textId="77777777" w:rsidR="005734D4" w:rsidRDefault="0057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1572" w14:textId="77777777" w:rsidR="00147B52" w:rsidRDefault="00147B52" w:rsidP="00715914">
      <w:pPr>
        <w:spacing w:line="240" w:lineRule="auto"/>
      </w:pPr>
      <w:r>
        <w:separator/>
      </w:r>
    </w:p>
  </w:footnote>
  <w:footnote w:type="continuationSeparator" w:id="0">
    <w:p w14:paraId="20C68106" w14:textId="77777777" w:rsidR="00147B52" w:rsidRDefault="00147B52" w:rsidP="00715914">
      <w:pPr>
        <w:spacing w:line="240" w:lineRule="auto"/>
      </w:pPr>
      <w:r>
        <w:continuationSeparator/>
      </w:r>
    </w:p>
  </w:footnote>
  <w:footnote w:type="continuationNotice" w:id="1">
    <w:p w14:paraId="00CA2452" w14:textId="77777777" w:rsidR="00147B52" w:rsidRDefault="00147B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871E" w14:textId="77777777" w:rsidR="005734D4" w:rsidRPr="00243EC0" w:rsidRDefault="005734D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5734D4" w:rsidRPr="00E40FF8" w14:paraId="7902EA82" w14:textId="77777777" w:rsidTr="001E77ED">
      <w:tc>
        <w:tcPr>
          <w:tcW w:w="4253" w:type="dxa"/>
          <w:shd w:val="clear" w:color="auto" w:fill="auto"/>
        </w:tcPr>
        <w:p w14:paraId="0CAD4D0E" w14:textId="77777777" w:rsidR="005734D4" w:rsidRDefault="005734D4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6F71BA3F" w14:textId="77777777" w:rsidR="005734D4" w:rsidRDefault="005734D4" w:rsidP="00F03BB5">
          <w:pPr>
            <w:pStyle w:val="LI-BodyTextNumbered"/>
          </w:pPr>
        </w:p>
      </w:tc>
    </w:tr>
  </w:tbl>
  <w:p w14:paraId="7FEB8584" w14:textId="77777777" w:rsidR="005734D4" w:rsidRPr="00F4215A" w:rsidRDefault="005734D4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00A8"/>
    <w:multiLevelType w:val="hybridMultilevel"/>
    <w:tmpl w:val="639E21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266054"/>
    <w:multiLevelType w:val="multilevel"/>
    <w:tmpl w:val="85580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17D34"/>
    <w:multiLevelType w:val="multilevel"/>
    <w:tmpl w:val="F106F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96A44"/>
    <w:multiLevelType w:val="hybridMultilevel"/>
    <w:tmpl w:val="6A6E7FF0"/>
    <w:lvl w:ilvl="0" w:tplc="0E80A9D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09B405A"/>
    <w:multiLevelType w:val="hybridMultilevel"/>
    <w:tmpl w:val="0B46E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8440C"/>
    <w:multiLevelType w:val="hybridMultilevel"/>
    <w:tmpl w:val="888491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E7450"/>
    <w:multiLevelType w:val="hybridMultilevel"/>
    <w:tmpl w:val="C412610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166DC"/>
    <w:multiLevelType w:val="hybridMultilevel"/>
    <w:tmpl w:val="E758A934"/>
    <w:lvl w:ilvl="0" w:tplc="E34C646A">
      <w:start w:val="1"/>
      <w:numFmt w:val="lowerRoman"/>
      <w:lvlText w:val="%1."/>
      <w:lvlJc w:val="left"/>
      <w:pPr>
        <w:ind w:left="1187" w:hanging="620"/>
      </w:pPr>
      <w:rPr>
        <w:rFonts w:ascii="Times New Roman" w:eastAsia="Times New Roman" w:hAnsi="Times New Roman" w:cs="Times New Roman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49C2175"/>
    <w:multiLevelType w:val="hybridMultilevel"/>
    <w:tmpl w:val="9AD8BC4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01840"/>
    <w:multiLevelType w:val="multilevel"/>
    <w:tmpl w:val="B6267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7C0320B"/>
    <w:multiLevelType w:val="hybridMultilevel"/>
    <w:tmpl w:val="84146CF6"/>
    <w:lvl w:ilvl="0" w:tplc="0C090019">
      <w:start w:val="1"/>
      <w:numFmt w:val="lowerLetter"/>
      <w:lvlText w:val="%1."/>
      <w:lvlJc w:val="left"/>
      <w:pPr>
        <w:ind w:left="782" w:hanging="360"/>
      </w:pPr>
    </w:lvl>
    <w:lvl w:ilvl="1" w:tplc="0C090019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28F21501"/>
    <w:multiLevelType w:val="hybridMultilevel"/>
    <w:tmpl w:val="01428452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BBF7F3B"/>
    <w:multiLevelType w:val="hybridMultilevel"/>
    <w:tmpl w:val="14D0B788"/>
    <w:lvl w:ilvl="0" w:tplc="0C090019">
      <w:start w:val="1"/>
      <w:numFmt w:val="lowerLetter"/>
      <w:lvlText w:val="%1."/>
      <w:lvlJc w:val="left"/>
      <w:pPr>
        <w:ind w:left="782" w:hanging="360"/>
      </w:pPr>
    </w:lvl>
    <w:lvl w:ilvl="1" w:tplc="0C090019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5" w15:restartNumberingAfterBreak="0">
    <w:nsid w:val="2D7E090B"/>
    <w:multiLevelType w:val="hybridMultilevel"/>
    <w:tmpl w:val="14CC514A"/>
    <w:lvl w:ilvl="0" w:tplc="358C9BF8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2E093CB8"/>
    <w:multiLevelType w:val="hybridMultilevel"/>
    <w:tmpl w:val="E5101FDE"/>
    <w:lvl w:ilvl="0" w:tplc="87846BE6">
      <w:start w:val="9"/>
      <w:numFmt w:val="lowerLetter"/>
      <w:lvlText w:val="%1."/>
      <w:lvlJc w:val="left"/>
      <w:pPr>
        <w:ind w:left="12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7" w15:restartNumberingAfterBreak="0">
    <w:nsid w:val="31734E3F"/>
    <w:multiLevelType w:val="hybridMultilevel"/>
    <w:tmpl w:val="F8624862"/>
    <w:lvl w:ilvl="0" w:tplc="185A7B06">
      <w:start w:val="1"/>
      <w:numFmt w:val="lowerRoman"/>
      <w:lvlText w:val="%1."/>
      <w:lvlJc w:val="right"/>
      <w:pPr>
        <w:ind w:left="3033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B3C33C4"/>
    <w:multiLevelType w:val="hybridMultilevel"/>
    <w:tmpl w:val="29C82F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D076AA"/>
    <w:multiLevelType w:val="hybridMultilevel"/>
    <w:tmpl w:val="B9546A3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C58BC"/>
    <w:multiLevelType w:val="hybridMultilevel"/>
    <w:tmpl w:val="EB72274C"/>
    <w:lvl w:ilvl="0" w:tplc="80C44D9A">
      <w:start w:val="2"/>
      <w:numFmt w:val="lowerRoman"/>
      <w:lvlText w:val="%1."/>
      <w:lvlJc w:val="right"/>
      <w:pPr>
        <w:ind w:left="4167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2" w15:restartNumberingAfterBreak="0">
    <w:nsid w:val="48EE0F75"/>
    <w:multiLevelType w:val="hybridMultilevel"/>
    <w:tmpl w:val="75CA32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72EE2"/>
    <w:multiLevelType w:val="hybridMultilevel"/>
    <w:tmpl w:val="A55C2758"/>
    <w:lvl w:ilvl="0" w:tplc="B6766D3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BCA4E22"/>
    <w:multiLevelType w:val="hybridMultilevel"/>
    <w:tmpl w:val="74067F2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320724"/>
    <w:multiLevelType w:val="hybridMultilevel"/>
    <w:tmpl w:val="FED866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E160F"/>
    <w:multiLevelType w:val="multilevel"/>
    <w:tmpl w:val="A8C2C1D4"/>
    <w:lvl w:ilvl="0">
      <w:start w:val="1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5FC7974"/>
    <w:multiLevelType w:val="hybridMultilevel"/>
    <w:tmpl w:val="4C0A73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F0D9B"/>
    <w:multiLevelType w:val="hybridMultilevel"/>
    <w:tmpl w:val="4E4E9DF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B271F"/>
    <w:multiLevelType w:val="hybridMultilevel"/>
    <w:tmpl w:val="3E7C78BA"/>
    <w:lvl w:ilvl="0" w:tplc="054A3778">
      <w:start w:val="9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1" w15:restartNumberingAfterBreak="0">
    <w:nsid w:val="5E081619"/>
    <w:multiLevelType w:val="hybridMultilevel"/>
    <w:tmpl w:val="E9168E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270984"/>
    <w:multiLevelType w:val="hybridMultilevel"/>
    <w:tmpl w:val="86CA8CE0"/>
    <w:lvl w:ilvl="0" w:tplc="B6766D3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4E26CC8"/>
    <w:multiLevelType w:val="hybridMultilevel"/>
    <w:tmpl w:val="24E84FA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A43AD"/>
    <w:multiLevelType w:val="hybridMultilevel"/>
    <w:tmpl w:val="E11EDD6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06146D"/>
    <w:multiLevelType w:val="hybridMultilevel"/>
    <w:tmpl w:val="75FCD500"/>
    <w:lvl w:ilvl="0" w:tplc="0C090019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D4C4CFC"/>
    <w:multiLevelType w:val="multilevel"/>
    <w:tmpl w:val="572E02E2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ECB27FF"/>
    <w:multiLevelType w:val="hybridMultilevel"/>
    <w:tmpl w:val="26FE2BC0"/>
    <w:lvl w:ilvl="0" w:tplc="B6766D3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FC358F7"/>
    <w:multiLevelType w:val="multilevel"/>
    <w:tmpl w:val="6E4CB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8133DC"/>
    <w:multiLevelType w:val="multilevel"/>
    <w:tmpl w:val="676A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C0075B"/>
    <w:multiLevelType w:val="hybridMultilevel"/>
    <w:tmpl w:val="6A605632"/>
    <w:lvl w:ilvl="0" w:tplc="185A7B06">
      <w:start w:val="1"/>
      <w:numFmt w:val="lowerRoman"/>
      <w:lvlText w:val="%1."/>
      <w:lvlJc w:val="right"/>
      <w:pPr>
        <w:ind w:left="1899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2619" w:hanging="360"/>
      </w:pPr>
    </w:lvl>
    <w:lvl w:ilvl="2" w:tplc="0C09001B" w:tentative="1">
      <w:start w:val="1"/>
      <w:numFmt w:val="lowerRoman"/>
      <w:lvlText w:val="%3."/>
      <w:lvlJc w:val="right"/>
      <w:pPr>
        <w:ind w:left="3339" w:hanging="180"/>
      </w:pPr>
    </w:lvl>
    <w:lvl w:ilvl="3" w:tplc="0C09000F" w:tentative="1">
      <w:start w:val="1"/>
      <w:numFmt w:val="decimal"/>
      <w:lvlText w:val="%4."/>
      <w:lvlJc w:val="left"/>
      <w:pPr>
        <w:ind w:left="4059" w:hanging="360"/>
      </w:pPr>
    </w:lvl>
    <w:lvl w:ilvl="4" w:tplc="0C090019" w:tentative="1">
      <w:start w:val="1"/>
      <w:numFmt w:val="lowerLetter"/>
      <w:lvlText w:val="%5."/>
      <w:lvlJc w:val="left"/>
      <w:pPr>
        <w:ind w:left="4779" w:hanging="360"/>
      </w:pPr>
    </w:lvl>
    <w:lvl w:ilvl="5" w:tplc="0C09001B" w:tentative="1">
      <w:start w:val="1"/>
      <w:numFmt w:val="lowerRoman"/>
      <w:lvlText w:val="%6."/>
      <w:lvlJc w:val="right"/>
      <w:pPr>
        <w:ind w:left="5499" w:hanging="180"/>
      </w:pPr>
    </w:lvl>
    <w:lvl w:ilvl="6" w:tplc="0C09000F" w:tentative="1">
      <w:start w:val="1"/>
      <w:numFmt w:val="decimal"/>
      <w:lvlText w:val="%7."/>
      <w:lvlJc w:val="left"/>
      <w:pPr>
        <w:ind w:left="6219" w:hanging="360"/>
      </w:pPr>
    </w:lvl>
    <w:lvl w:ilvl="7" w:tplc="0C090019" w:tentative="1">
      <w:start w:val="1"/>
      <w:numFmt w:val="lowerLetter"/>
      <w:lvlText w:val="%8."/>
      <w:lvlJc w:val="left"/>
      <w:pPr>
        <w:ind w:left="6939" w:hanging="360"/>
      </w:pPr>
    </w:lvl>
    <w:lvl w:ilvl="8" w:tplc="0C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1" w15:restartNumberingAfterBreak="0">
    <w:nsid w:val="74B33AE5"/>
    <w:multiLevelType w:val="multilevel"/>
    <w:tmpl w:val="65A28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8676357"/>
    <w:multiLevelType w:val="multilevel"/>
    <w:tmpl w:val="790899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B5530E"/>
    <w:multiLevelType w:val="hybridMultilevel"/>
    <w:tmpl w:val="84146CF6"/>
    <w:lvl w:ilvl="0" w:tplc="0C090019">
      <w:start w:val="1"/>
      <w:numFmt w:val="lowerLetter"/>
      <w:lvlText w:val="%1."/>
      <w:lvlJc w:val="left"/>
      <w:pPr>
        <w:ind w:left="782" w:hanging="360"/>
      </w:pPr>
    </w:lvl>
    <w:lvl w:ilvl="1" w:tplc="0C090019" w:tentative="1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4" w15:restartNumberingAfterBreak="0">
    <w:nsid w:val="7E5D7E17"/>
    <w:multiLevelType w:val="multilevel"/>
    <w:tmpl w:val="0EFC25F4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701" w:hanging="567"/>
      </w:pPr>
      <w:rPr>
        <w:rFonts w:hint="default"/>
        <w:sz w:val="16"/>
      </w:r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2"/>
  </w:num>
  <w:num w:numId="13">
    <w:abstractNumId w:val="14"/>
  </w:num>
  <w:num w:numId="14">
    <w:abstractNumId w:val="33"/>
  </w:num>
  <w:num w:numId="15">
    <w:abstractNumId w:val="17"/>
  </w:num>
  <w:num w:numId="16">
    <w:abstractNumId w:val="32"/>
  </w:num>
  <w:num w:numId="17">
    <w:abstractNumId w:val="43"/>
  </w:num>
  <w:num w:numId="18">
    <w:abstractNumId w:val="20"/>
  </w:num>
  <w:num w:numId="19">
    <w:abstractNumId w:val="34"/>
  </w:num>
  <w:num w:numId="20">
    <w:abstractNumId w:val="42"/>
  </w:num>
  <w:num w:numId="21">
    <w:abstractNumId w:val="47"/>
  </w:num>
  <w:num w:numId="22">
    <w:abstractNumId w:val="36"/>
  </w:num>
  <w:num w:numId="23">
    <w:abstractNumId w:val="44"/>
  </w:num>
  <w:num w:numId="24">
    <w:abstractNumId w:val="24"/>
  </w:num>
  <w:num w:numId="25">
    <w:abstractNumId w:val="39"/>
  </w:num>
  <w:num w:numId="26">
    <w:abstractNumId w:val="53"/>
  </w:num>
  <w:num w:numId="27">
    <w:abstractNumId w:val="19"/>
  </w:num>
  <w:num w:numId="28">
    <w:abstractNumId w:val="22"/>
  </w:num>
  <w:num w:numId="29">
    <w:abstractNumId w:val="18"/>
  </w:num>
  <w:num w:numId="30">
    <w:abstractNumId w:val="35"/>
  </w:num>
  <w:num w:numId="31">
    <w:abstractNumId w:val="52"/>
    <w:lvlOverride w:ilvl="0">
      <w:startOverride w:val="1"/>
    </w:lvlOverride>
  </w:num>
  <w:num w:numId="32">
    <w:abstractNumId w:val="50"/>
  </w:num>
  <w:num w:numId="33">
    <w:abstractNumId w:val="15"/>
  </w:num>
  <w:num w:numId="34">
    <w:abstractNumId w:val="30"/>
  </w:num>
  <w:num w:numId="35">
    <w:abstractNumId w:val="41"/>
  </w:num>
  <w:num w:numId="36">
    <w:abstractNumId w:val="40"/>
  </w:num>
  <w:num w:numId="37">
    <w:abstractNumId w:val="26"/>
  </w:num>
  <w:num w:numId="38">
    <w:abstractNumId w:val="27"/>
  </w:num>
  <w:num w:numId="39">
    <w:abstractNumId w:val="25"/>
  </w:num>
  <w:num w:numId="40">
    <w:abstractNumId w:val="31"/>
  </w:num>
  <w:num w:numId="41">
    <w:abstractNumId w:val="16"/>
  </w:num>
  <w:num w:numId="42">
    <w:abstractNumId w:val="23"/>
  </w:num>
  <w:num w:numId="43">
    <w:abstractNumId w:val="29"/>
  </w:num>
  <w:num w:numId="44">
    <w:abstractNumId w:val="45"/>
  </w:num>
  <w:num w:numId="45">
    <w:abstractNumId w:val="49"/>
  </w:num>
  <w:num w:numId="46">
    <w:abstractNumId w:val="13"/>
  </w:num>
  <w:num w:numId="47">
    <w:abstractNumId w:val="11"/>
  </w:num>
  <w:num w:numId="48">
    <w:abstractNumId w:val="48"/>
  </w:num>
  <w:num w:numId="49">
    <w:abstractNumId w:val="51"/>
  </w:num>
  <w:num w:numId="50">
    <w:abstractNumId w:val="21"/>
  </w:num>
  <w:num w:numId="51">
    <w:abstractNumId w:val="38"/>
  </w:num>
  <w:num w:numId="52">
    <w:abstractNumId w:val="37"/>
  </w:num>
  <w:num w:numId="53">
    <w:abstractNumId w:val="10"/>
  </w:num>
  <w:num w:numId="54">
    <w:abstractNumId w:val="54"/>
  </w:num>
  <w:num w:numId="55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1D3"/>
    <w:rsid w:val="000034A7"/>
    <w:rsid w:val="00004470"/>
    <w:rsid w:val="00005446"/>
    <w:rsid w:val="00006BD2"/>
    <w:rsid w:val="0001091B"/>
    <w:rsid w:val="000136AF"/>
    <w:rsid w:val="00013B8D"/>
    <w:rsid w:val="000140A3"/>
    <w:rsid w:val="00014747"/>
    <w:rsid w:val="00015719"/>
    <w:rsid w:val="00021011"/>
    <w:rsid w:val="00023D53"/>
    <w:rsid w:val="000255EB"/>
    <w:rsid w:val="00025B0A"/>
    <w:rsid w:val="00025FA9"/>
    <w:rsid w:val="00026BAB"/>
    <w:rsid w:val="00032672"/>
    <w:rsid w:val="00032F21"/>
    <w:rsid w:val="00034E65"/>
    <w:rsid w:val="00036FCB"/>
    <w:rsid w:val="00041CB2"/>
    <w:rsid w:val="000437C1"/>
    <w:rsid w:val="00043B1E"/>
    <w:rsid w:val="00043E9B"/>
    <w:rsid w:val="00046B54"/>
    <w:rsid w:val="00050511"/>
    <w:rsid w:val="00051260"/>
    <w:rsid w:val="00052313"/>
    <w:rsid w:val="0005365D"/>
    <w:rsid w:val="00054A5C"/>
    <w:rsid w:val="000567A5"/>
    <w:rsid w:val="00060CC9"/>
    <w:rsid w:val="000614BF"/>
    <w:rsid w:val="00061D41"/>
    <w:rsid w:val="0006250C"/>
    <w:rsid w:val="000669A5"/>
    <w:rsid w:val="0007041F"/>
    <w:rsid w:val="0007112A"/>
    <w:rsid w:val="0007369A"/>
    <w:rsid w:val="00073702"/>
    <w:rsid w:val="00073E24"/>
    <w:rsid w:val="00081794"/>
    <w:rsid w:val="00081D50"/>
    <w:rsid w:val="00082B1E"/>
    <w:rsid w:val="00084FF4"/>
    <w:rsid w:val="0008661F"/>
    <w:rsid w:val="00086F1C"/>
    <w:rsid w:val="000910E1"/>
    <w:rsid w:val="00091E4D"/>
    <w:rsid w:val="00093CA1"/>
    <w:rsid w:val="000966EE"/>
    <w:rsid w:val="000A0741"/>
    <w:rsid w:val="000A142F"/>
    <w:rsid w:val="000A213D"/>
    <w:rsid w:val="000A5E42"/>
    <w:rsid w:val="000A6C39"/>
    <w:rsid w:val="000B58FA"/>
    <w:rsid w:val="000C0D13"/>
    <w:rsid w:val="000C169D"/>
    <w:rsid w:val="000C30DF"/>
    <w:rsid w:val="000C4349"/>
    <w:rsid w:val="000C4465"/>
    <w:rsid w:val="000C4B7C"/>
    <w:rsid w:val="000C5270"/>
    <w:rsid w:val="000C534F"/>
    <w:rsid w:val="000C55A0"/>
    <w:rsid w:val="000C5A78"/>
    <w:rsid w:val="000C7847"/>
    <w:rsid w:val="000D0380"/>
    <w:rsid w:val="000D041F"/>
    <w:rsid w:val="000D05EF"/>
    <w:rsid w:val="000D2D7B"/>
    <w:rsid w:val="000E0290"/>
    <w:rsid w:val="000E0B0A"/>
    <w:rsid w:val="000E2261"/>
    <w:rsid w:val="000E2F72"/>
    <w:rsid w:val="000E387F"/>
    <w:rsid w:val="000E3C2E"/>
    <w:rsid w:val="000E42A8"/>
    <w:rsid w:val="000E604B"/>
    <w:rsid w:val="000E64DE"/>
    <w:rsid w:val="000E6D65"/>
    <w:rsid w:val="000F172C"/>
    <w:rsid w:val="000F21C1"/>
    <w:rsid w:val="000F235E"/>
    <w:rsid w:val="001010E6"/>
    <w:rsid w:val="0010113F"/>
    <w:rsid w:val="001024C0"/>
    <w:rsid w:val="001024FA"/>
    <w:rsid w:val="00102CA6"/>
    <w:rsid w:val="00103E90"/>
    <w:rsid w:val="00105D15"/>
    <w:rsid w:val="001060EC"/>
    <w:rsid w:val="001062D5"/>
    <w:rsid w:val="001064EE"/>
    <w:rsid w:val="0010745C"/>
    <w:rsid w:val="001100DF"/>
    <w:rsid w:val="00111269"/>
    <w:rsid w:val="00111873"/>
    <w:rsid w:val="001126DC"/>
    <w:rsid w:val="00114EDD"/>
    <w:rsid w:val="0012063F"/>
    <w:rsid w:val="00121374"/>
    <w:rsid w:val="00123A48"/>
    <w:rsid w:val="0012477F"/>
    <w:rsid w:val="00125141"/>
    <w:rsid w:val="00125C8D"/>
    <w:rsid w:val="0012638C"/>
    <w:rsid w:val="0012653D"/>
    <w:rsid w:val="00130BFB"/>
    <w:rsid w:val="00130D36"/>
    <w:rsid w:val="00132CEB"/>
    <w:rsid w:val="00135618"/>
    <w:rsid w:val="001358BA"/>
    <w:rsid w:val="0013778D"/>
    <w:rsid w:val="00137C72"/>
    <w:rsid w:val="00141E85"/>
    <w:rsid w:val="00142097"/>
    <w:rsid w:val="00142B62"/>
    <w:rsid w:val="00147B52"/>
    <w:rsid w:val="00147FDF"/>
    <w:rsid w:val="001509EA"/>
    <w:rsid w:val="00151764"/>
    <w:rsid w:val="0015223B"/>
    <w:rsid w:val="00152CCD"/>
    <w:rsid w:val="00153B32"/>
    <w:rsid w:val="0015550A"/>
    <w:rsid w:val="00155B79"/>
    <w:rsid w:val="00155C82"/>
    <w:rsid w:val="00156AFD"/>
    <w:rsid w:val="0015764D"/>
    <w:rsid w:val="00157694"/>
    <w:rsid w:val="00157B8B"/>
    <w:rsid w:val="00160E2B"/>
    <w:rsid w:val="00161C6C"/>
    <w:rsid w:val="001624E1"/>
    <w:rsid w:val="001636B1"/>
    <w:rsid w:val="00163C5C"/>
    <w:rsid w:val="00166C2F"/>
    <w:rsid w:val="00171A6E"/>
    <w:rsid w:val="00173180"/>
    <w:rsid w:val="00174198"/>
    <w:rsid w:val="001742E6"/>
    <w:rsid w:val="0017488D"/>
    <w:rsid w:val="00174C05"/>
    <w:rsid w:val="00176858"/>
    <w:rsid w:val="001771F8"/>
    <w:rsid w:val="00180373"/>
    <w:rsid w:val="001809D7"/>
    <w:rsid w:val="00180F8D"/>
    <w:rsid w:val="001813A6"/>
    <w:rsid w:val="0018243E"/>
    <w:rsid w:val="0018565D"/>
    <w:rsid w:val="0018659E"/>
    <w:rsid w:val="00186EF0"/>
    <w:rsid w:val="001872DC"/>
    <w:rsid w:val="0019069C"/>
    <w:rsid w:val="00192CF2"/>
    <w:rsid w:val="001939E1"/>
    <w:rsid w:val="00193EA5"/>
    <w:rsid w:val="001943B6"/>
    <w:rsid w:val="00194C3E"/>
    <w:rsid w:val="00195382"/>
    <w:rsid w:val="00195BD4"/>
    <w:rsid w:val="00197D6B"/>
    <w:rsid w:val="001A148B"/>
    <w:rsid w:val="001A1853"/>
    <w:rsid w:val="001A7C61"/>
    <w:rsid w:val="001B0061"/>
    <w:rsid w:val="001B6598"/>
    <w:rsid w:val="001B6B93"/>
    <w:rsid w:val="001C0546"/>
    <w:rsid w:val="001C0A8E"/>
    <w:rsid w:val="001C205E"/>
    <w:rsid w:val="001C5B41"/>
    <w:rsid w:val="001C61C5"/>
    <w:rsid w:val="001C639B"/>
    <w:rsid w:val="001C69C4"/>
    <w:rsid w:val="001C6D48"/>
    <w:rsid w:val="001D116F"/>
    <w:rsid w:val="001D2E5E"/>
    <w:rsid w:val="001D37EF"/>
    <w:rsid w:val="001D38AA"/>
    <w:rsid w:val="001D3BA6"/>
    <w:rsid w:val="001D5C05"/>
    <w:rsid w:val="001E3590"/>
    <w:rsid w:val="001E3E34"/>
    <w:rsid w:val="001E4DDB"/>
    <w:rsid w:val="001E5A7F"/>
    <w:rsid w:val="001E6D57"/>
    <w:rsid w:val="001E7407"/>
    <w:rsid w:val="001E77ED"/>
    <w:rsid w:val="001E7E2B"/>
    <w:rsid w:val="001F02B1"/>
    <w:rsid w:val="001F05B1"/>
    <w:rsid w:val="001F1ECD"/>
    <w:rsid w:val="001F2911"/>
    <w:rsid w:val="001F4320"/>
    <w:rsid w:val="001F450B"/>
    <w:rsid w:val="001F5D5E"/>
    <w:rsid w:val="001F6219"/>
    <w:rsid w:val="001F6CD4"/>
    <w:rsid w:val="00201001"/>
    <w:rsid w:val="002024A3"/>
    <w:rsid w:val="002035E9"/>
    <w:rsid w:val="002038B2"/>
    <w:rsid w:val="002039ED"/>
    <w:rsid w:val="002049E9"/>
    <w:rsid w:val="00206C4D"/>
    <w:rsid w:val="002103E7"/>
    <w:rsid w:val="0021053C"/>
    <w:rsid w:val="0021139B"/>
    <w:rsid w:val="00212BBF"/>
    <w:rsid w:val="00212BC8"/>
    <w:rsid w:val="002150AC"/>
    <w:rsid w:val="00215A32"/>
    <w:rsid w:val="00215AF1"/>
    <w:rsid w:val="00216C73"/>
    <w:rsid w:val="002172A6"/>
    <w:rsid w:val="00220A36"/>
    <w:rsid w:val="00221A7D"/>
    <w:rsid w:val="0022220B"/>
    <w:rsid w:val="0022315C"/>
    <w:rsid w:val="002233FF"/>
    <w:rsid w:val="00223DCF"/>
    <w:rsid w:val="00223E00"/>
    <w:rsid w:val="0022538D"/>
    <w:rsid w:val="00225779"/>
    <w:rsid w:val="00227199"/>
    <w:rsid w:val="002318B1"/>
    <w:rsid w:val="002321E8"/>
    <w:rsid w:val="002345F0"/>
    <w:rsid w:val="002349FC"/>
    <w:rsid w:val="00234CA8"/>
    <w:rsid w:val="002363DD"/>
    <w:rsid w:val="00236EEC"/>
    <w:rsid w:val="0024010F"/>
    <w:rsid w:val="00240749"/>
    <w:rsid w:val="00240DEE"/>
    <w:rsid w:val="002416EA"/>
    <w:rsid w:val="00243018"/>
    <w:rsid w:val="00243AD5"/>
    <w:rsid w:val="00243EC0"/>
    <w:rsid w:val="00244084"/>
    <w:rsid w:val="00244742"/>
    <w:rsid w:val="00246990"/>
    <w:rsid w:val="00246A17"/>
    <w:rsid w:val="00247029"/>
    <w:rsid w:val="002476A1"/>
    <w:rsid w:val="002502C2"/>
    <w:rsid w:val="002509F3"/>
    <w:rsid w:val="002527F8"/>
    <w:rsid w:val="00252B30"/>
    <w:rsid w:val="00252E6F"/>
    <w:rsid w:val="00253180"/>
    <w:rsid w:val="0025354A"/>
    <w:rsid w:val="00254303"/>
    <w:rsid w:val="0025513E"/>
    <w:rsid w:val="00255B29"/>
    <w:rsid w:val="002564A4"/>
    <w:rsid w:val="00261394"/>
    <w:rsid w:val="00263B46"/>
    <w:rsid w:val="002647E2"/>
    <w:rsid w:val="00265272"/>
    <w:rsid w:val="0026736C"/>
    <w:rsid w:val="00270A71"/>
    <w:rsid w:val="00271748"/>
    <w:rsid w:val="00274CAE"/>
    <w:rsid w:val="00277F19"/>
    <w:rsid w:val="00281308"/>
    <w:rsid w:val="00281813"/>
    <w:rsid w:val="002845C9"/>
    <w:rsid w:val="00284719"/>
    <w:rsid w:val="00285C18"/>
    <w:rsid w:val="00287780"/>
    <w:rsid w:val="002940AD"/>
    <w:rsid w:val="00294CC5"/>
    <w:rsid w:val="00297ECB"/>
    <w:rsid w:val="002A0512"/>
    <w:rsid w:val="002A13F4"/>
    <w:rsid w:val="002A3AC8"/>
    <w:rsid w:val="002A6808"/>
    <w:rsid w:val="002A7328"/>
    <w:rsid w:val="002A7BCF"/>
    <w:rsid w:val="002A7DEB"/>
    <w:rsid w:val="002B19F3"/>
    <w:rsid w:val="002B4A0D"/>
    <w:rsid w:val="002B4DA1"/>
    <w:rsid w:val="002B7B02"/>
    <w:rsid w:val="002C5E88"/>
    <w:rsid w:val="002C7562"/>
    <w:rsid w:val="002C7B6F"/>
    <w:rsid w:val="002C7F59"/>
    <w:rsid w:val="002D043A"/>
    <w:rsid w:val="002D0D28"/>
    <w:rsid w:val="002D2FB3"/>
    <w:rsid w:val="002D3E69"/>
    <w:rsid w:val="002D5341"/>
    <w:rsid w:val="002D6224"/>
    <w:rsid w:val="002D633E"/>
    <w:rsid w:val="002D7058"/>
    <w:rsid w:val="002D7191"/>
    <w:rsid w:val="002D7571"/>
    <w:rsid w:val="002E124F"/>
    <w:rsid w:val="002E3F4B"/>
    <w:rsid w:val="002E7DC1"/>
    <w:rsid w:val="002F09F5"/>
    <w:rsid w:val="002F1873"/>
    <w:rsid w:val="002F28BC"/>
    <w:rsid w:val="002F2A08"/>
    <w:rsid w:val="002F3846"/>
    <w:rsid w:val="002F594E"/>
    <w:rsid w:val="0030018D"/>
    <w:rsid w:val="0030037C"/>
    <w:rsid w:val="003040AD"/>
    <w:rsid w:val="0030482A"/>
    <w:rsid w:val="00304AF1"/>
    <w:rsid w:val="00304F8B"/>
    <w:rsid w:val="00305891"/>
    <w:rsid w:val="00306715"/>
    <w:rsid w:val="003120DE"/>
    <w:rsid w:val="00315423"/>
    <w:rsid w:val="00315F6B"/>
    <w:rsid w:val="00320B5C"/>
    <w:rsid w:val="00321495"/>
    <w:rsid w:val="00322E38"/>
    <w:rsid w:val="0032327C"/>
    <w:rsid w:val="00324E2A"/>
    <w:rsid w:val="00327845"/>
    <w:rsid w:val="00327DDF"/>
    <w:rsid w:val="003307AB"/>
    <w:rsid w:val="00331512"/>
    <w:rsid w:val="00331534"/>
    <w:rsid w:val="0033271E"/>
    <w:rsid w:val="003351B5"/>
    <w:rsid w:val="003354D2"/>
    <w:rsid w:val="00335BC6"/>
    <w:rsid w:val="00336D45"/>
    <w:rsid w:val="00337966"/>
    <w:rsid w:val="00340653"/>
    <w:rsid w:val="003415D3"/>
    <w:rsid w:val="003431C0"/>
    <w:rsid w:val="00343215"/>
    <w:rsid w:val="0034403D"/>
    <w:rsid w:val="00344701"/>
    <w:rsid w:val="00347C00"/>
    <w:rsid w:val="00347E6A"/>
    <w:rsid w:val="003518FE"/>
    <w:rsid w:val="0035190A"/>
    <w:rsid w:val="003528DA"/>
    <w:rsid w:val="00352B0F"/>
    <w:rsid w:val="00354549"/>
    <w:rsid w:val="00354E71"/>
    <w:rsid w:val="00355468"/>
    <w:rsid w:val="003558BA"/>
    <w:rsid w:val="00356690"/>
    <w:rsid w:val="00356CFD"/>
    <w:rsid w:val="00357DD0"/>
    <w:rsid w:val="00360459"/>
    <w:rsid w:val="00365497"/>
    <w:rsid w:val="00366C6A"/>
    <w:rsid w:val="003728C1"/>
    <w:rsid w:val="00372A94"/>
    <w:rsid w:val="00376C29"/>
    <w:rsid w:val="00377B37"/>
    <w:rsid w:val="0038431C"/>
    <w:rsid w:val="003865E1"/>
    <w:rsid w:val="00387A96"/>
    <w:rsid w:val="00390BFF"/>
    <w:rsid w:val="003925C0"/>
    <w:rsid w:val="00393611"/>
    <w:rsid w:val="00394B94"/>
    <w:rsid w:val="00394DB1"/>
    <w:rsid w:val="003961D3"/>
    <w:rsid w:val="00396FA5"/>
    <w:rsid w:val="003A04E4"/>
    <w:rsid w:val="003A2A48"/>
    <w:rsid w:val="003A3BB1"/>
    <w:rsid w:val="003A3DBD"/>
    <w:rsid w:val="003B0ED2"/>
    <w:rsid w:val="003B1622"/>
    <w:rsid w:val="003B28C3"/>
    <w:rsid w:val="003B3BA6"/>
    <w:rsid w:val="003B4C2C"/>
    <w:rsid w:val="003B6B30"/>
    <w:rsid w:val="003B732F"/>
    <w:rsid w:val="003C0670"/>
    <w:rsid w:val="003C0C31"/>
    <w:rsid w:val="003C4036"/>
    <w:rsid w:val="003C50D0"/>
    <w:rsid w:val="003C5794"/>
    <w:rsid w:val="003C6231"/>
    <w:rsid w:val="003D051B"/>
    <w:rsid w:val="003D0BFE"/>
    <w:rsid w:val="003D107B"/>
    <w:rsid w:val="003D4312"/>
    <w:rsid w:val="003D54EA"/>
    <w:rsid w:val="003D5700"/>
    <w:rsid w:val="003D6160"/>
    <w:rsid w:val="003D68B4"/>
    <w:rsid w:val="003E0F99"/>
    <w:rsid w:val="003E341B"/>
    <w:rsid w:val="003E471B"/>
    <w:rsid w:val="003E5890"/>
    <w:rsid w:val="003E62A1"/>
    <w:rsid w:val="003E661B"/>
    <w:rsid w:val="003E6CDD"/>
    <w:rsid w:val="003F1CBE"/>
    <w:rsid w:val="003F2AD9"/>
    <w:rsid w:val="003F3EFD"/>
    <w:rsid w:val="003F6EAF"/>
    <w:rsid w:val="0040053F"/>
    <w:rsid w:val="00401C65"/>
    <w:rsid w:val="00401D3E"/>
    <w:rsid w:val="004070BA"/>
    <w:rsid w:val="004072AB"/>
    <w:rsid w:val="00407F16"/>
    <w:rsid w:val="004109FA"/>
    <w:rsid w:val="004116CD"/>
    <w:rsid w:val="0041226A"/>
    <w:rsid w:val="0041255E"/>
    <w:rsid w:val="00412BDD"/>
    <w:rsid w:val="004144EC"/>
    <w:rsid w:val="00416009"/>
    <w:rsid w:val="00417EB9"/>
    <w:rsid w:val="0042229B"/>
    <w:rsid w:val="0042369B"/>
    <w:rsid w:val="004242BD"/>
    <w:rsid w:val="00424CA9"/>
    <w:rsid w:val="0042726B"/>
    <w:rsid w:val="0043059B"/>
    <w:rsid w:val="00430BD7"/>
    <w:rsid w:val="004314D0"/>
    <w:rsid w:val="004317E9"/>
    <w:rsid w:val="00431B7D"/>
    <w:rsid w:val="00431E9B"/>
    <w:rsid w:val="004324F9"/>
    <w:rsid w:val="00432586"/>
    <w:rsid w:val="004337C0"/>
    <w:rsid w:val="004344C0"/>
    <w:rsid w:val="00435EEF"/>
    <w:rsid w:val="004379E3"/>
    <w:rsid w:val="0044015E"/>
    <w:rsid w:val="00440F08"/>
    <w:rsid w:val="00440F58"/>
    <w:rsid w:val="0044291A"/>
    <w:rsid w:val="00444ABD"/>
    <w:rsid w:val="004450A9"/>
    <w:rsid w:val="00447DB4"/>
    <w:rsid w:val="004501AB"/>
    <w:rsid w:val="00450577"/>
    <w:rsid w:val="00451D5C"/>
    <w:rsid w:val="00455964"/>
    <w:rsid w:val="0045603B"/>
    <w:rsid w:val="00456813"/>
    <w:rsid w:val="00457500"/>
    <w:rsid w:val="004604DD"/>
    <w:rsid w:val="00460F1D"/>
    <w:rsid w:val="004614C8"/>
    <w:rsid w:val="00461FBB"/>
    <w:rsid w:val="004644E3"/>
    <w:rsid w:val="00465DC1"/>
    <w:rsid w:val="00466EB2"/>
    <w:rsid w:val="00467661"/>
    <w:rsid w:val="004705B7"/>
    <w:rsid w:val="00472DBE"/>
    <w:rsid w:val="00473FB9"/>
    <w:rsid w:val="00474A19"/>
    <w:rsid w:val="00474B52"/>
    <w:rsid w:val="0047575A"/>
    <w:rsid w:val="004819F1"/>
    <w:rsid w:val="00481C24"/>
    <w:rsid w:val="004823C0"/>
    <w:rsid w:val="004825AA"/>
    <w:rsid w:val="0048276B"/>
    <w:rsid w:val="00482803"/>
    <w:rsid w:val="00485ACD"/>
    <w:rsid w:val="004872BD"/>
    <w:rsid w:val="00494E59"/>
    <w:rsid w:val="00496B5F"/>
    <w:rsid w:val="00496CFE"/>
    <w:rsid w:val="00496F97"/>
    <w:rsid w:val="00497269"/>
    <w:rsid w:val="00497569"/>
    <w:rsid w:val="004A0FD7"/>
    <w:rsid w:val="004A2027"/>
    <w:rsid w:val="004A44FC"/>
    <w:rsid w:val="004A470F"/>
    <w:rsid w:val="004A5D99"/>
    <w:rsid w:val="004A6938"/>
    <w:rsid w:val="004A793D"/>
    <w:rsid w:val="004B3589"/>
    <w:rsid w:val="004B5B44"/>
    <w:rsid w:val="004B7E41"/>
    <w:rsid w:val="004C088B"/>
    <w:rsid w:val="004C0A1A"/>
    <w:rsid w:val="004C1CB1"/>
    <w:rsid w:val="004C32CE"/>
    <w:rsid w:val="004C32D7"/>
    <w:rsid w:val="004C4029"/>
    <w:rsid w:val="004C44B7"/>
    <w:rsid w:val="004D015A"/>
    <w:rsid w:val="004D0398"/>
    <w:rsid w:val="004D063D"/>
    <w:rsid w:val="004D3B11"/>
    <w:rsid w:val="004D4E54"/>
    <w:rsid w:val="004D4ED4"/>
    <w:rsid w:val="004D54D6"/>
    <w:rsid w:val="004D54E3"/>
    <w:rsid w:val="004D6627"/>
    <w:rsid w:val="004D70F7"/>
    <w:rsid w:val="004D7268"/>
    <w:rsid w:val="004D7597"/>
    <w:rsid w:val="004D7E7F"/>
    <w:rsid w:val="004E063A"/>
    <w:rsid w:val="004E3BA9"/>
    <w:rsid w:val="004E5956"/>
    <w:rsid w:val="004E7BEC"/>
    <w:rsid w:val="004F0309"/>
    <w:rsid w:val="004F0D4F"/>
    <w:rsid w:val="0050044F"/>
    <w:rsid w:val="005031CF"/>
    <w:rsid w:val="00505D3D"/>
    <w:rsid w:val="00506AF6"/>
    <w:rsid w:val="00507335"/>
    <w:rsid w:val="00507CC6"/>
    <w:rsid w:val="005116F6"/>
    <w:rsid w:val="005143CB"/>
    <w:rsid w:val="00515C50"/>
    <w:rsid w:val="00516B8D"/>
    <w:rsid w:val="00517E56"/>
    <w:rsid w:val="005201BE"/>
    <w:rsid w:val="005305CF"/>
    <w:rsid w:val="00530999"/>
    <w:rsid w:val="005309D9"/>
    <w:rsid w:val="00531597"/>
    <w:rsid w:val="00531613"/>
    <w:rsid w:val="00532049"/>
    <w:rsid w:val="005325D6"/>
    <w:rsid w:val="00532C92"/>
    <w:rsid w:val="005343FF"/>
    <w:rsid w:val="005351C9"/>
    <w:rsid w:val="005356A7"/>
    <w:rsid w:val="0053575A"/>
    <w:rsid w:val="00535F6E"/>
    <w:rsid w:val="00536184"/>
    <w:rsid w:val="00537FBC"/>
    <w:rsid w:val="005405F1"/>
    <w:rsid w:val="0055142E"/>
    <w:rsid w:val="00551866"/>
    <w:rsid w:val="00553172"/>
    <w:rsid w:val="005568AB"/>
    <w:rsid w:val="00556A28"/>
    <w:rsid w:val="005574D1"/>
    <w:rsid w:val="00557E4D"/>
    <w:rsid w:val="00560C63"/>
    <w:rsid w:val="0056154E"/>
    <w:rsid w:val="00561AA0"/>
    <w:rsid w:val="00561ABB"/>
    <w:rsid w:val="00562F21"/>
    <w:rsid w:val="00564492"/>
    <w:rsid w:val="0056500B"/>
    <w:rsid w:val="005657FE"/>
    <w:rsid w:val="005662E9"/>
    <w:rsid w:val="005665EB"/>
    <w:rsid w:val="00567D4B"/>
    <w:rsid w:val="00572BB1"/>
    <w:rsid w:val="005734D4"/>
    <w:rsid w:val="0057670F"/>
    <w:rsid w:val="005800FC"/>
    <w:rsid w:val="00581537"/>
    <w:rsid w:val="00581A04"/>
    <w:rsid w:val="005830DD"/>
    <w:rsid w:val="00584811"/>
    <w:rsid w:val="0058573E"/>
    <w:rsid w:val="00585784"/>
    <w:rsid w:val="00587991"/>
    <w:rsid w:val="00592713"/>
    <w:rsid w:val="00592717"/>
    <w:rsid w:val="00593111"/>
    <w:rsid w:val="00593AA6"/>
    <w:rsid w:val="00593BB7"/>
    <w:rsid w:val="00594161"/>
    <w:rsid w:val="00594749"/>
    <w:rsid w:val="0059753A"/>
    <w:rsid w:val="005A0882"/>
    <w:rsid w:val="005A0B4D"/>
    <w:rsid w:val="005A14A1"/>
    <w:rsid w:val="005A2C5B"/>
    <w:rsid w:val="005A3E4A"/>
    <w:rsid w:val="005A4663"/>
    <w:rsid w:val="005A4C45"/>
    <w:rsid w:val="005A767C"/>
    <w:rsid w:val="005A7ADB"/>
    <w:rsid w:val="005B06FF"/>
    <w:rsid w:val="005B0FB4"/>
    <w:rsid w:val="005B2FF2"/>
    <w:rsid w:val="005B3CDA"/>
    <w:rsid w:val="005B4067"/>
    <w:rsid w:val="005B780C"/>
    <w:rsid w:val="005C19E5"/>
    <w:rsid w:val="005C2296"/>
    <w:rsid w:val="005C3F41"/>
    <w:rsid w:val="005C42DA"/>
    <w:rsid w:val="005C7918"/>
    <w:rsid w:val="005C797A"/>
    <w:rsid w:val="005D0489"/>
    <w:rsid w:val="005D138D"/>
    <w:rsid w:val="005D165C"/>
    <w:rsid w:val="005D1FEA"/>
    <w:rsid w:val="005D2C44"/>
    <w:rsid w:val="005D2D09"/>
    <w:rsid w:val="005D3D41"/>
    <w:rsid w:val="005D45B5"/>
    <w:rsid w:val="005D5D5F"/>
    <w:rsid w:val="005D6909"/>
    <w:rsid w:val="005E06D5"/>
    <w:rsid w:val="005E114D"/>
    <w:rsid w:val="005E1360"/>
    <w:rsid w:val="005E2A43"/>
    <w:rsid w:val="005E4212"/>
    <w:rsid w:val="005E4810"/>
    <w:rsid w:val="005E4EDF"/>
    <w:rsid w:val="005E7EB4"/>
    <w:rsid w:val="005F163C"/>
    <w:rsid w:val="005F1A3C"/>
    <w:rsid w:val="005F1D1D"/>
    <w:rsid w:val="005F1FA8"/>
    <w:rsid w:val="005F3AF7"/>
    <w:rsid w:val="005F4140"/>
    <w:rsid w:val="005F4980"/>
    <w:rsid w:val="005F65CD"/>
    <w:rsid w:val="005F65E5"/>
    <w:rsid w:val="005F6816"/>
    <w:rsid w:val="00600219"/>
    <w:rsid w:val="0060207B"/>
    <w:rsid w:val="00603DC4"/>
    <w:rsid w:val="0060540C"/>
    <w:rsid w:val="00605DDC"/>
    <w:rsid w:val="00607A71"/>
    <w:rsid w:val="00610709"/>
    <w:rsid w:val="006117CB"/>
    <w:rsid w:val="00612E9B"/>
    <w:rsid w:val="00620076"/>
    <w:rsid w:val="006203AB"/>
    <w:rsid w:val="006203D2"/>
    <w:rsid w:val="00620DAD"/>
    <w:rsid w:val="00621372"/>
    <w:rsid w:val="006222C9"/>
    <w:rsid w:val="006222EE"/>
    <w:rsid w:val="0062509C"/>
    <w:rsid w:val="0062556C"/>
    <w:rsid w:val="00625B00"/>
    <w:rsid w:val="006272AF"/>
    <w:rsid w:val="006276AF"/>
    <w:rsid w:val="0062772A"/>
    <w:rsid w:val="006303BF"/>
    <w:rsid w:val="00630BAE"/>
    <w:rsid w:val="00634044"/>
    <w:rsid w:val="0063450B"/>
    <w:rsid w:val="00634FC8"/>
    <w:rsid w:val="006352CF"/>
    <w:rsid w:val="00636994"/>
    <w:rsid w:val="00640161"/>
    <w:rsid w:val="00642310"/>
    <w:rsid w:val="00642E08"/>
    <w:rsid w:val="0064607D"/>
    <w:rsid w:val="00646CE4"/>
    <w:rsid w:val="00652769"/>
    <w:rsid w:val="00654824"/>
    <w:rsid w:val="0065542F"/>
    <w:rsid w:val="006554FF"/>
    <w:rsid w:val="006579A6"/>
    <w:rsid w:val="00662C87"/>
    <w:rsid w:val="0066508B"/>
    <w:rsid w:val="006650EA"/>
    <w:rsid w:val="00665234"/>
    <w:rsid w:val="00667083"/>
    <w:rsid w:val="00670EA1"/>
    <w:rsid w:val="0067126F"/>
    <w:rsid w:val="00673D92"/>
    <w:rsid w:val="00674302"/>
    <w:rsid w:val="00674F75"/>
    <w:rsid w:val="006773D9"/>
    <w:rsid w:val="00677CC2"/>
    <w:rsid w:val="0068091A"/>
    <w:rsid w:val="00682E59"/>
    <w:rsid w:val="00686AA2"/>
    <w:rsid w:val="0068760A"/>
    <w:rsid w:val="006905DE"/>
    <w:rsid w:val="0069175B"/>
    <w:rsid w:val="00691AB5"/>
    <w:rsid w:val="0069207B"/>
    <w:rsid w:val="00693358"/>
    <w:rsid w:val="0069348F"/>
    <w:rsid w:val="00693F29"/>
    <w:rsid w:val="00694F36"/>
    <w:rsid w:val="00696D9E"/>
    <w:rsid w:val="006973F7"/>
    <w:rsid w:val="006A0ED8"/>
    <w:rsid w:val="006A1DAA"/>
    <w:rsid w:val="006A2314"/>
    <w:rsid w:val="006A2AE6"/>
    <w:rsid w:val="006A3B65"/>
    <w:rsid w:val="006A4863"/>
    <w:rsid w:val="006A675A"/>
    <w:rsid w:val="006A72E4"/>
    <w:rsid w:val="006A742C"/>
    <w:rsid w:val="006B1A15"/>
    <w:rsid w:val="006B29FF"/>
    <w:rsid w:val="006B3D55"/>
    <w:rsid w:val="006B4B7B"/>
    <w:rsid w:val="006B5044"/>
    <w:rsid w:val="006B5789"/>
    <w:rsid w:val="006B5E5C"/>
    <w:rsid w:val="006B65BE"/>
    <w:rsid w:val="006C093A"/>
    <w:rsid w:val="006C2020"/>
    <w:rsid w:val="006C30C5"/>
    <w:rsid w:val="006C41E9"/>
    <w:rsid w:val="006C48FA"/>
    <w:rsid w:val="006C5E5B"/>
    <w:rsid w:val="006C7F8C"/>
    <w:rsid w:val="006D02F1"/>
    <w:rsid w:val="006D0848"/>
    <w:rsid w:val="006D1700"/>
    <w:rsid w:val="006D23F6"/>
    <w:rsid w:val="006D3EDE"/>
    <w:rsid w:val="006E0227"/>
    <w:rsid w:val="006E0FF6"/>
    <w:rsid w:val="006E1BE3"/>
    <w:rsid w:val="006E1E16"/>
    <w:rsid w:val="006E4417"/>
    <w:rsid w:val="006E5245"/>
    <w:rsid w:val="006E5320"/>
    <w:rsid w:val="006E5A02"/>
    <w:rsid w:val="006E6246"/>
    <w:rsid w:val="006F035F"/>
    <w:rsid w:val="006F318F"/>
    <w:rsid w:val="006F34F5"/>
    <w:rsid w:val="006F3693"/>
    <w:rsid w:val="006F4226"/>
    <w:rsid w:val="006F640A"/>
    <w:rsid w:val="006F6C82"/>
    <w:rsid w:val="006F78A7"/>
    <w:rsid w:val="0070017E"/>
    <w:rsid w:val="00700B2C"/>
    <w:rsid w:val="00702EFD"/>
    <w:rsid w:val="0070353E"/>
    <w:rsid w:val="00704D8F"/>
    <w:rsid w:val="007050A2"/>
    <w:rsid w:val="00705B35"/>
    <w:rsid w:val="00713084"/>
    <w:rsid w:val="0071399B"/>
    <w:rsid w:val="00714F20"/>
    <w:rsid w:val="00715436"/>
    <w:rsid w:val="007155ED"/>
    <w:rsid w:val="0071590F"/>
    <w:rsid w:val="00715914"/>
    <w:rsid w:val="00716EF5"/>
    <w:rsid w:val="007217D5"/>
    <w:rsid w:val="007218E4"/>
    <w:rsid w:val="0072252D"/>
    <w:rsid w:val="00723BC2"/>
    <w:rsid w:val="00725A09"/>
    <w:rsid w:val="00731E00"/>
    <w:rsid w:val="007322F8"/>
    <w:rsid w:val="007351CA"/>
    <w:rsid w:val="00735F70"/>
    <w:rsid w:val="00737C10"/>
    <w:rsid w:val="00740C75"/>
    <w:rsid w:val="00741EE8"/>
    <w:rsid w:val="00741EE9"/>
    <w:rsid w:val="0074203C"/>
    <w:rsid w:val="0074321A"/>
    <w:rsid w:val="007440B7"/>
    <w:rsid w:val="00744190"/>
    <w:rsid w:val="007456AE"/>
    <w:rsid w:val="0074718F"/>
    <w:rsid w:val="00747487"/>
    <w:rsid w:val="00747669"/>
    <w:rsid w:val="0075009B"/>
    <w:rsid w:val="007500C8"/>
    <w:rsid w:val="00753FF2"/>
    <w:rsid w:val="00754C00"/>
    <w:rsid w:val="00756272"/>
    <w:rsid w:val="0076588D"/>
    <w:rsid w:val="0076601B"/>
    <w:rsid w:val="007662B5"/>
    <w:rsid w:val="0076681A"/>
    <w:rsid w:val="00766E50"/>
    <w:rsid w:val="007715C9"/>
    <w:rsid w:val="00771613"/>
    <w:rsid w:val="00771FDB"/>
    <w:rsid w:val="00772EAD"/>
    <w:rsid w:val="00773DE5"/>
    <w:rsid w:val="007741A4"/>
    <w:rsid w:val="00774EDD"/>
    <w:rsid w:val="0077506D"/>
    <w:rsid w:val="007757EC"/>
    <w:rsid w:val="00776294"/>
    <w:rsid w:val="00777952"/>
    <w:rsid w:val="00777B13"/>
    <w:rsid w:val="007836D1"/>
    <w:rsid w:val="00783E89"/>
    <w:rsid w:val="007842CE"/>
    <w:rsid w:val="00785A9E"/>
    <w:rsid w:val="00786381"/>
    <w:rsid w:val="0078649E"/>
    <w:rsid w:val="007926CE"/>
    <w:rsid w:val="007926E5"/>
    <w:rsid w:val="00792BFF"/>
    <w:rsid w:val="0079366C"/>
    <w:rsid w:val="00793915"/>
    <w:rsid w:val="00795479"/>
    <w:rsid w:val="007A2B41"/>
    <w:rsid w:val="007A555D"/>
    <w:rsid w:val="007A5EA2"/>
    <w:rsid w:val="007A759C"/>
    <w:rsid w:val="007B2B57"/>
    <w:rsid w:val="007B2DBC"/>
    <w:rsid w:val="007B3E04"/>
    <w:rsid w:val="007B4353"/>
    <w:rsid w:val="007B4C4F"/>
    <w:rsid w:val="007B530A"/>
    <w:rsid w:val="007B596F"/>
    <w:rsid w:val="007B6A4B"/>
    <w:rsid w:val="007C0086"/>
    <w:rsid w:val="007C18D9"/>
    <w:rsid w:val="007C2253"/>
    <w:rsid w:val="007C39FB"/>
    <w:rsid w:val="007C578A"/>
    <w:rsid w:val="007D16D4"/>
    <w:rsid w:val="007D230B"/>
    <w:rsid w:val="007D46FC"/>
    <w:rsid w:val="007D64DB"/>
    <w:rsid w:val="007D6C7E"/>
    <w:rsid w:val="007D74EB"/>
    <w:rsid w:val="007D7BBF"/>
    <w:rsid w:val="007E163D"/>
    <w:rsid w:val="007E364B"/>
    <w:rsid w:val="007E48BA"/>
    <w:rsid w:val="007E6497"/>
    <w:rsid w:val="007E667A"/>
    <w:rsid w:val="007F00AA"/>
    <w:rsid w:val="007F28C9"/>
    <w:rsid w:val="007F3013"/>
    <w:rsid w:val="007F30B7"/>
    <w:rsid w:val="007F4C8E"/>
    <w:rsid w:val="007F7744"/>
    <w:rsid w:val="008001AE"/>
    <w:rsid w:val="00802EE1"/>
    <w:rsid w:val="0080312D"/>
    <w:rsid w:val="008033AB"/>
    <w:rsid w:val="00803587"/>
    <w:rsid w:val="0080391F"/>
    <w:rsid w:val="008052AC"/>
    <w:rsid w:val="00810411"/>
    <w:rsid w:val="00810743"/>
    <w:rsid w:val="008117E9"/>
    <w:rsid w:val="00812B50"/>
    <w:rsid w:val="0081684D"/>
    <w:rsid w:val="00816C03"/>
    <w:rsid w:val="00824498"/>
    <w:rsid w:val="00827009"/>
    <w:rsid w:val="00832C91"/>
    <w:rsid w:val="008332EC"/>
    <w:rsid w:val="0083433E"/>
    <w:rsid w:val="008348E2"/>
    <w:rsid w:val="00835179"/>
    <w:rsid w:val="00836F2E"/>
    <w:rsid w:val="00840442"/>
    <w:rsid w:val="008418A3"/>
    <w:rsid w:val="00845B23"/>
    <w:rsid w:val="008463D4"/>
    <w:rsid w:val="00847ECE"/>
    <w:rsid w:val="008501CF"/>
    <w:rsid w:val="00852090"/>
    <w:rsid w:val="0085234A"/>
    <w:rsid w:val="008527C0"/>
    <w:rsid w:val="00856A31"/>
    <w:rsid w:val="00857F38"/>
    <w:rsid w:val="008600F7"/>
    <w:rsid w:val="00860B58"/>
    <w:rsid w:val="00861227"/>
    <w:rsid w:val="0086198A"/>
    <w:rsid w:val="00862474"/>
    <w:rsid w:val="00863657"/>
    <w:rsid w:val="008647EE"/>
    <w:rsid w:val="00864BF6"/>
    <w:rsid w:val="008678CD"/>
    <w:rsid w:val="00867B37"/>
    <w:rsid w:val="008718DD"/>
    <w:rsid w:val="008727E6"/>
    <w:rsid w:val="00873717"/>
    <w:rsid w:val="00873AFC"/>
    <w:rsid w:val="008754D0"/>
    <w:rsid w:val="0087648E"/>
    <w:rsid w:val="00880078"/>
    <w:rsid w:val="008813C7"/>
    <w:rsid w:val="00883925"/>
    <w:rsid w:val="00884AD3"/>
    <w:rsid w:val="00884DF4"/>
    <w:rsid w:val="008855C9"/>
    <w:rsid w:val="00886456"/>
    <w:rsid w:val="0089039F"/>
    <w:rsid w:val="008915FC"/>
    <w:rsid w:val="008916AB"/>
    <w:rsid w:val="00893FE8"/>
    <w:rsid w:val="008945E0"/>
    <w:rsid w:val="008949CE"/>
    <w:rsid w:val="0089527F"/>
    <w:rsid w:val="00895727"/>
    <w:rsid w:val="00896940"/>
    <w:rsid w:val="008A0B56"/>
    <w:rsid w:val="008A1441"/>
    <w:rsid w:val="008A1E92"/>
    <w:rsid w:val="008A2058"/>
    <w:rsid w:val="008A27B6"/>
    <w:rsid w:val="008A362B"/>
    <w:rsid w:val="008A3723"/>
    <w:rsid w:val="008A46E1"/>
    <w:rsid w:val="008A4F43"/>
    <w:rsid w:val="008A55EF"/>
    <w:rsid w:val="008B0A18"/>
    <w:rsid w:val="008B0DB1"/>
    <w:rsid w:val="008B2706"/>
    <w:rsid w:val="008B3864"/>
    <w:rsid w:val="008B7FDB"/>
    <w:rsid w:val="008C04E1"/>
    <w:rsid w:val="008C0F29"/>
    <w:rsid w:val="008C25C7"/>
    <w:rsid w:val="008C3FF8"/>
    <w:rsid w:val="008D048A"/>
    <w:rsid w:val="008D0EE0"/>
    <w:rsid w:val="008D19AA"/>
    <w:rsid w:val="008D3422"/>
    <w:rsid w:val="008D3F84"/>
    <w:rsid w:val="008D42D0"/>
    <w:rsid w:val="008D4DCF"/>
    <w:rsid w:val="008D6ADE"/>
    <w:rsid w:val="008D70B5"/>
    <w:rsid w:val="008D74DD"/>
    <w:rsid w:val="008D7B37"/>
    <w:rsid w:val="008E3980"/>
    <w:rsid w:val="008E3A1E"/>
    <w:rsid w:val="008E6067"/>
    <w:rsid w:val="008E7702"/>
    <w:rsid w:val="008F1638"/>
    <w:rsid w:val="008F1A0E"/>
    <w:rsid w:val="008F5397"/>
    <w:rsid w:val="008F54E7"/>
    <w:rsid w:val="008F5A3E"/>
    <w:rsid w:val="00900F19"/>
    <w:rsid w:val="009016BE"/>
    <w:rsid w:val="00901A4A"/>
    <w:rsid w:val="0090245A"/>
    <w:rsid w:val="009030AA"/>
    <w:rsid w:val="00903422"/>
    <w:rsid w:val="00903508"/>
    <w:rsid w:val="0090413E"/>
    <w:rsid w:val="00911FB7"/>
    <w:rsid w:val="00912A58"/>
    <w:rsid w:val="009157B9"/>
    <w:rsid w:val="00915DF9"/>
    <w:rsid w:val="00916748"/>
    <w:rsid w:val="00920445"/>
    <w:rsid w:val="00921095"/>
    <w:rsid w:val="00924320"/>
    <w:rsid w:val="00924419"/>
    <w:rsid w:val="009254C3"/>
    <w:rsid w:val="009260E8"/>
    <w:rsid w:val="0092612D"/>
    <w:rsid w:val="00926940"/>
    <w:rsid w:val="00927588"/>
    <w:rsid w:val="00930A0A"/>
    <w:rsid w:val="00932377"/>
    <w:rsid w:val="0093273B"/>
    <w:rsid w:val="009358EA"/>
    <w:rsid w:val="009358FC"/>
    <w:rsid w:val="00944E23"/>
    <w:rsid w:val="00946029"/>
    <w:rsid w:val="009460DC"/>
    <w:rsid w:val="009466EA"/>
    <w:rsid w:val="00946759"/>
    <w:rsid w:val="00947D5A"/>
    <w:rsid w:val="00951D7B"/>
    <w:rsid w:val="009532A5"/>
    <w:rsid w:val="00955175"/>
    <w:rsid w:val="0095528E"/>
    <w:rsid w:val="009557BC"/>
    <w:rsid w:val="00955BF3"/>
    <w:rsid w:val="00960C09"/>
    <w:rsid w:val="0096441A"/>
    <w:rsid w:val="00964581"/>
    <w:rsid w:val="00965E4C"/>
    <w:rsid w:val="0096753E"/>
    <w:rsid w:val="009708C7"/>
    <w:rsid w:val="00971674"/>
    <w:rsid w:val="00974DF7"/>
    <w:rsid w:val="00975DF2"/>
    <w:rsid w:val="009809C0"/>
    <w:rsid w:val="00982242"/>
    <w:rsid w:val="0098323E"/>
    <w:rsid w:val="009859A6"/>
    <w:rsid w:val="009865B5"/>
    <w:rsid w:val="009868E9"/>
    <w:rsid w:val="00991127"/>
    <w:rsid w:val="00992EA8"/>
    <w:rsid w:val="00993A11"/>
    <w:rsid w:val="009944E6"/>
    <w:rsid w:val="00994D0F"/>
    <w:rsid w:val="0099665E"/>
    <w:rsid w:val="00997E6A"/>
    <w:rsid w:val="009A0526"/>
    <w:rsid w:val="009A154F"/>
    <w:rsid w:val="009A3A6F"/>
    <w:rsid w:val="009A3F74"/>
    <w:rsid w:val="009A41CC"/>
    <w:rsid w:val="009A49C9"/>
    <w:rsid w:val="009B0EA9"/>
    <w:rsid w:val="009B133B"/>
    <w:rsid w:val="009B5E05"/>
    <w:rsid w:val="009B6A3C"/>
    <w:rsid w:val="009C1560"/>
    <w:rsid w:val="009C2DD7"/>
    <w:rsid w:val="009C328D"/>
    <w:rsid w:val="009C69DC"/>
    <w:rsid w:val="009C6A71"/>
    <w:rsid w:val="009C7176"/>
    <w:rsid w:val="009D0CEE"/>
    <w:rsid w:val="009D1818"/>
    <w:rsid w:val="009D195A"/>
    <w:rsid w:val="009D2A4F"/>
    <w:rsid w:val="009D48B2"/>
    <w:rsid w:val="009D5148"/>
    <w:rsid w:val="009D754A"/>
    <w:rsid w:val="009D7993"/>
    <w:rsid w:val="009D7B20"/>
    <w:rsid w:val="009E048B"/>
    <w:rsid w:val="009E23CC"/>
    <w:rsid w:val="009E5CFC"/>
    <w:rsid w:val="009E5DA7"/>
    <w:rsid w:val="009E65E7"/>
    <w:rsid w:val="009E6855"/>
    <w:rsid w:val="009E75A7"/>
    <w:rsid w:val="009F10A6"/>
    <w:rsid w:val="009F10F3"/>
    <w:rsid w:val="009F19CF"/>
    <w:rsid w:val="009F2EE3"/>
    <w:rsid w:val="009F32A1"/>
    <w:rsid w:val="009F4991"/>
    <w:rsid w:val="009F5ABA"/>
    <w:rsid w:val="009F5D4B"/>
    <w:rsid w:val="009F7497"/>
    <w:rsid w:val="009F761E"/>
    <w:rsid w:val="00A0019E"/>
    <w:rsid w:val="00A00D23"/>
    <w:rsid w:val="00A03AF1"/>
    <w:rsid w:val="00A06B70"/>
    <w:rsid w:val="00A06E08"/>
    <w:rsid w:val="00A079CB"/>
    <w:rsid w:val="00A11D54"/>
    <w:rsid w:val="00A12128"/>
    <w:rsid w:val="00A12F48"/>
    <w:rsid w:val="00A13690"/>
    <w:rsid w:val="00A142AD"/>
    <w:rsid w:val="00A14F6A"/>
    <w:rsid w:val="00A15512"/>
    <w:rsid w:val="00A15B7C"/>
    <w:rsid w:val="00A17443"/>
    <w:rsid w:val="00A22C98"/>
    <w:rsid w:val="00A231E2"/>
    <w:rsid w:val="00A2537E"/>
    <w:rsid w:val="00A33606"/>
    <w:rsid w:val="00A33D55"/>
    <w:rsid w:val="00A34412"/>
    <w:rsid w:val="00A34C1E"/>
    <w:rsid w:val="00A40424"/>
    <w:rsid w:val="00A44C99"/>
    <w:rsid w:val="00A4691B"/>
    <w:rsid w:val="00A52B0F"/>
    <w:rsid w:val="00A52E74"/>
    <w:rsid w:val="00A54445"/>
    <w:rsid w:val="00A550BA"/>
    <w:rsid w:val="00A5632E"/>
    <w:rsid w:val="00A5747D"/>
    <w:rsid w:val="00A6469A"/>
    <w:rsid w:val="00A64912"/>
    <w:rsid w:val="00A6560B"/>
    <w:rsid w:val="00A662A3"/>
    <w:rsid w:val="00A67083"/>
    <w:rsid w:val="00A67BDA"/>
    <w:rsid w:val="00A70A74"/>
    <w:rsid w:val="00A72B3D"/>
    <w:rsid w:val="00A73AC2"/>
    <w:rsid w:val="00A766EC"/>
    <w:rsid w:val="00A81B4A"/>
    <w:rsid w:val="00A824BE"/>
    <w:rsid w:val="00A8634C"/>
    <w:rsid w:val="00A91966"/>
    <w:rsid w:val="00A919F2"/>
    <w:rsid w:val="00A92DCD"/>
    <w:rsid w:val="00A932A9"/>
    <w:rsid w:val="00A9442F"/>
    <w:rsid w:val="00A97CFC"/>
    <w:rsid w:val="00AA0740"/>
    <w:rsid w:val="00AA34B4"/>
    <w:rsid w:val="00AA54DA"/>
    <w:rsid w:val="00AA66AC"/>
    <w:rsid w:val="00AA69A1"/>
    <w:rsid w:val="00AA6AC7"/>
    <w:rsid w:val="00AB00BB"/>
    <w:rsid w:val="00AB1657"/>
    <w:rsid w:val="00AB1689"/>
    <w:rsid w:val="00AB1DE8"/>
    <w:rsid w:val="00AB2039"/>
    <w:rsid w:val="00AB22C4"/>
    <w:rsid w:val="00AB25E7"/>
    <w:rsid w:val="00AB5025"/>
    <w:rsid w:val="00AB5AA5"/>
    <w:rsid w:val="00AB69D9"/>
    <w:rsid w:val="00AB72AA"/>
    <w:rsid w:val="00AC06EB"/>
    <w:rsid w:val="00AC0886"/>
    <w:rsid w:val="00AC0B8A"/>
    <w:rsid w:val="00AC1974"/>
    <w:rsid w:val="00AC2433"/>
    <w:rsid w:val="00AC2B35"/>
    <w:rsid w:val="00AC7DA0"/>
    <w:rsid w:val="00AD02B8"/>
    <w:rsid w:val="00AD0D84"/>
    <w:rsid w:val="00AD1F73"/>
    <w:rsid w:val="00AD28F9"/>
    <w:rsid w:val="00AD31EF"/>
    <w:rsid w:val="00AD3B34"/>
    <w:rsid w:val="00AD3E3B"/>
    <w:rsid w:val="00AD5315"/>
    <w:rsid w:val="00AD5641"/>
    <w:rsid w:val="00AD5D6A"/>
    <w:rsid w:val="00AD7889"/>
    <w:rsid w:val="00AE3521"/>
    <w:rsid w:val="00AE59AC"/>
    <w:rsid w:val="00AE5EC1"/>
    <w:rsid w:val="00AE73B2"/>
    <w:rsid w:val="00AE787B"/>
    <w:rsid w:val="00AF021B"/>
    <w:rsid w:val="00AF06CF"/>
    <w:rsid w:val="00AF0B3F"/>
    <w:rsid w:val="00AF72E3"/>
    <w:rsid w:val="00AF7478"/>
    <w:rsid w:val="00B00190"/>
    <w:rsid w:val="00B04305"/>
    <w:rsid w:val="00B07CDB"/>
    <w:rsid w:val="00B118F4"/>
    <w:rsid w:val="00B127A6"/>
    <w:rsid w:val="00B14BB3"/>
    <w:rsid w:val="00B16A31"/>
    <w:rsid w:val="00B17DFD"/>
    <w:rsid w:val="00B25560"/>
    <w:rsid w:val="00B2799D"/>
    <w:rsid w:val="00B308FE"/>
    <w:rsid w:val="00B31F48"/>
    <w:rsid w:val="00B32260"/>
    <w:rsid w:val="00B32BE1"/>
    <w:rsid w:val="00B32ED2"/>
    <w:rsid w:val="00B33709"/>
    <w:rsid w:val="00B33B3C"/>
    <w:rsid w:val="00B33BD1"/>
    <w:rsid w:val="00B405C6"/>
    <w:rsid w:val="00B41703"/>
    <w:rsid w:val="00B473CD"/>
    <w:rsid w:val="00B477B0"/>
    <w:rsid w:val="00B50ADC"/>
    <w:rsid w:val="00B50E60"/>
    <w:rsid w:val="00B51418"/>
    <w:rsid w:val="00B52671"/>
    <w:rsid w:val="00B5466C"/>
    <w:rsid w:val="00B55F9C"/>
    <w:rsid w:val="00B566B1"/>
    <w:rsid w:val="00B577C8"/>
    <w:rsid w:val="00B57E74"/>
    <w:rsid w:val="00B57F9E"/>
    <w:rsid w:val="00B60D49"/>
    <w:rsid w:val="00B60F89"/>
    <w:rsid w:val="00B63834"/>
    <w:rsid w:val="00B65E1C"/>
    <w:rsid w:val="00B70012"/>
    <w:rsid w:val="00B71E68"/>
    <w:rsid w:val="00B72734"/>
    <w:rsid w:val="00B73011"/>
    <w:rsid w:val="00B7467F"/>
    <w:rsid w:val="00B76861"/>
    <w:rsid w:val="00B773F8"/>
    <w:rsid w:val="00B776D3"/>
    <w:rsid w:val="00B80199"/>
    <w:rsid w:val="00B82D81"/>
    <w:rsid w:val="00B83204"/>
    <w:rsid w:val="00B8415F"/>
    <w:rsid w:val="00B86099"/>
    <w:rsid w:val="00B9061F"/>
    <w:rsid w:val="00B9126E"/>
    <w:rsid w:val="00B923C2"/>
    <w:rsid w:val="00B92508"/>
    <w:rsid w:val="00B94206"/>
    <w:rsid w:val="00B963D1"/>
    <w:rsid w:val="00B96522"/>
    <w:rsid w:val="00BA220B"/>
    <w:rsid w:val="00BA3A57"/>
    <w:rsid w:val="00BA5BE6"/>
    <w:rsid w:val="00BA667B"/>
    <w:rsid w:val="00BA72C0"/>
    <w:rsid w:val="00BA7D3E"/>
    <w:rsid w:val="00BB2DE2"/>
    <w:rsid w:val="00BB3276"/>
    <w:rsid w:val="00BB336B"/>
    <w:rsid w:val="00BB3B0E"/>
    <w:rsid w:val="00BB470A"/>
    <w:rsid w:val="00BB4E1A"/>
    <w:rsid w:val="00BB5C17"/>
    <w:rsid w:val="00BC015E"/>
    <w:rsid w:val="00BC1104"/>
    <w:rsid w:val="00BC2CA4"/>
    <w:rsid w:val="00BC2D85"/>
    <w:rsid w:val="00BC566D"/>
    <w:rsid w:val="00BC5832"/>
    <w:rsid w:val="00BC7183"/>
    <w:rsid w:val="00BC76AC"/>
    <w:rsid w:val="00BC7A50"/>
    <w:rsid w:val="00BD0A73"/>
    <w:rsid w:val="00BD0ECB"/>
    <w:rsid w:val="00BD139A"/>
    <w:rsid w:val="00BD1685"/>
    <w:rsid w:val="00BD5F01"/>
    <w:rsid w:val="00BD6A9C"/>
    <w:rsid w:val="00BE2155"/>
    <w:rsid w:val="00BE2213"/>
    <w:rsid w:val="00BE2FFA"/>
    <w:rsid w:val="00BE3BE6"/>
    <w:rsid w:val="00BE6EF9"/>
    <w:rsid w:val="00BE719A"/>
    <w:rsid w:val="00BE720A"/>
    <w:rsid w:val="00BE7DEF"/>
    <w:rsid w:val="00BF0D73"/>
    <w:rsid w:val="00BF2465"/>
    <w:rsid w:val="00BF32EB"/>
    <w:rsid w:val="00BF52EB"/>
    <w:rsid w:val="00BF6D04"/>
    <w:rsid w:val="00BF75C9"/>
    <w:rsid w:val="00C016AD"/>
    <w:rsid w:val="00C01850"/>
    <w:rsid w:val="00C01C25"/>
    <w:rsid w:val="00C03A48"/>
    <w:rsid w:val="00C04300"/>
    <w:rsid w:val="00C0544A"/>
    <w:rsid w:val="00C111E8"/>
    <w:rsid w:val="00C11452"/>
    <w:rsid w:val="00C14654"/>
    <w:rsid w:val="00C17176"/>
    <w:rsid w:val="00C17457"/>
    <w:rsid w:val="00C21B7F"/>
    <w:rsid w:val="00C23702"/>
    <w:rsid w:val="00C2388E"/>
    <w:rsid w:val="00C249C4"/>
    <w:rsid w:val="00C24E71"/>
    <w:rsid w:val="00C25E7F"/>
    <w:rsid w:val="00C27264"/>
    <w:rsid w:val="00C2746F"/>
    <w:rsid w:val="00C276F2"/>
    <w:rsid w:val="00C278FD"/>
    <w:rsid w:val="00C30187"/>
    <w:rsid w:val="00C324A0"/>
    <w:rsid w:val="00C3300F"/>
    <w:rsid w:val="00C33D4A"/>
    <w:rsid w:val="00C34E77"/>
    <w:rsid w:val="00C35875"/>
    <w:rsid w:val="00C35DAF"/>
    <w:rsid w:val="00C36492"/>
    <w:rsid w:val="00C403B6"/>
    <w:rsid w:val="00C4170B"/>
    <w:rsid w:val="00C42BF8"/>
    <w:rsid w:val="00C44DE4"/>
    <w:rsid w:val="00C45171"/>
    <w:rsid w:val="00C46563"/>
    <w:rsid w:val="00C50043"/>
    <w:rsid w:val="00C50990"/>
    <w:rsid w:val="00C50B97"/>
    <w:rsid w:val="00C52E7C"/>
    <w:rsid w:val="00C53DEA"/>
    <w:rsid w:val="00C621CC"/>
    <w:rsid w:val="00C6267D"/>
    <w:rsid w:val="00C640CE"/>
    <w:rsid w:val="00C6434E"/>
    <w:rsid w:val="00C70187"/>
    <w:rsid w:val="00C7023C"/>
    <w:rsid w:val="00C70CA8"/>
    <w:rsid w:val="00C719F2"/>
    <w:rsid w:val="00C72596"/>
    <w:rsid w:val="00C7573B"/>
    <w:rsid w:val="00C7761F"/>
    <w:rsid w:val="00C77BE0"/>
    <w:rsid w:val="00C84EE1"/>
    <w:rsid w:val="00C86B32"/>
    <w:rsid w:val="00C92D68"/>
    <w:rsid w:val="00C93C03"/>
    <w:rsid w:val="00CA0B70"/>
    <w:rsid w:val="00CA1183"/>
    <w:rsid w:val="00CA23D0"/>
    <w:rsid w:val="00CA5BA6"/>
    <w:rsid w:val="00CA5FB3"/>
    <w:rsid w:val="00CA66DC"/>
    <w:rsid w:val="00CA73D8"/>
    <w:rsid w:val="00CB0412"/>
    <w:rsid w:val="00CB258E"/>
    <w:rsid w:val="00CB2C8E"/>
    <w:rsid w:val="00CB2D96"/>
    <w:rsid w:val="00CB3D5E"/>
    <w:rsid w:val="00CB602E"/>
    <w:rsid w:val="00CB7FF8"/>
    <w:rsid w:val="00CC32EB"/>
    <w:rsid w:val="00CD2E90"/>
    <w:rsid w:val="00CD3B61"/>
    <w:rsid w:val="00CD508B"/>
    <w:rsid w:val="00CD5E5A"/>
    <w:rsid w:val="00CD6E59"/>
    <w:rsid w:val="00CE0149"/>
    <w:rsid w:val="00CE051D"/>
    <w:rsid w:val="00CE0F2F"/>
    <w:rsid w:val="00CE0F3B"/>
    <w:rsid w:val="00CE1335"/>
    <w:rsid w:val="00CE1F0A"/>
    <w:rsid w:val="00CE3D2A"/>
    <w:rsid w:val="00CE493D"/>
    <w:rsid w:val="00CE4EDC"/>
    <w:rsid w:val="00CE541A"/>
    <w:rsid w:val="00CE6D42"/>
    <w:rsid w:val="00CE7149"/>
    <w:rsid w:val="00CF07FA"/>
    <w:rsid w:val="00CF0BB2"/>
    <w:rsid w:val="00CF0F7B"/>
    <w:rsid w:val="00CF3EE8"/>
    <w:rsid w:val="00CF5313"/>
    <w:rsid w:val="00D01B0B"/>
    <w:rsid w:val="00D02127"/>
    <w:rsid w:val="00D0267F"/>
    <w:rsid w:val="00D02932"/>
    <w:rsid w:val="00D03791"/>
    <w:rsid w:val="00D0417F"/>
    <w:rsid w:val="00D050E6"/>
    <w:rsid w:val="00D05812"/>
    <w:rsid w:val="00D05CE9"/>
    <w:rsid w:val="00D10EEC"/>
    <w:rsid w:val="00D11FD4"/>
    <w:rsid w:val="00D128B6"/>
    <w:rsid w:val="00D12D22"/>
    <w:rsid w:val="00D13430"/>
    <w:rsid w:val="00D13441"/>
    <w:rsid w:val="00D142BD"/>
    <w:rsid w:val="00D150E7"/>
    <w:rsid w:val="00D15E2F"/>
    <w:rsid w:val="00D20984"/>
    <w:rsid w:val="00D20A4B"/>
    <w:rsid w:val="00D25426"/>
    <w:rsid w:val="00D25945"/>
    <w:rsid w:val="00D261A4"/>
    <w:rsid w:val="00D26E75"/>
    <w:rsid w:val="00D306F8"/>
    <w:rsid w:val="00D32D5F"/>
    <w:rsid w:val="00D32F65"/>
    <w:rsid w:val="00D341C4"/>
    <w:rsid w:val="00D349D8"/>
    <w:rsid w:val="00D40958"/>
    <w:rsid w:val="00D420D9"/>
    <w:rsid w:val="00D42AD4"/>
    <w:rsid w:val="00D4374C"/>
    <w:rsid w:val="00D447D1"/>
    <w:rsid w:val="00D477E8"/>
    <w:rsid w:val="00D47AB4"/>
    <w:rsid w:val="00D5208D"/>
    <w:rsid w:val="00D52DC2"/>
    <w:rsid w:val="00D53BCC"/>
    <w:rsid w:val="00D56253"/>
    <w:rsid w:val="00D56765"/>
    <w:rsid w:val="00D609D9"/>
    <w:rsid w:val="00D63F01"/>
    <w:rsid w:val="00D648BB"/>
    <w:rsid w:val="00D65046"/>
    <w:rsid w:val="00D702DE"/>
    <w:rsid w:val="00D70DFB"/>
    <w:rsid w:val="00D70E47"/>
    <w:rsid w:val="00D7181A"/>
    <w:rsid w:val="00D732EC"/>
    <w:rsid w:val="00D73C22"/>
    <w:rsid w:val="00D75BB5"/>
    <w:rsid w:val="00D766DF"/>
    <w:rsid w:val="00D824A1"/>
    <w:rsid w:val="00D82990"/>
    <w:rsid w:val="00D83557"/>
    <w:rsid w:val="00D84018"/>
    <w:rsid w:val="00D85BA2"/>
    <w:rsid w:val="00D86286"/>
    <w:rsid w:val="00D91D72"/>
    <w:rsid w:val="00D9297E"/>
    <w:rsid w:val="00D969D9"/>
    <w:rsid w:val="00DA186E"/>
    <w:rsid w:val="00DA23F2"/>
    <w:rsid w:val="00DA3FFB"/>
    <w:rsid w:val="00DA4085"/>
    <w:rsid w:val="00DA4116"/>
    <w:rsid w:val="00DA4387"/>
    <w:rsid w:val="00DA75C3"/>
    <w:rsid w:val="00DB0988"/>
    <w:rsid w:val="00DB251C"/>
    <w:rsid w:val="00DB2AAD"/>
    <w:rsid w:val="00DB38AD"/>
    <w:rsid w:val="00DB4630"/>
    <w:rsid w:val="00DB5DCB"/>
    <w:rsid w:val="00DB6AA0"/>
    <w:rsid w:val="00DC17C6"/>
    <w:rsid w:val="00DC2A14"/>
    <w:rsid w:val="00DC2BF6"/>
    <w:rsid w:val="00DC2CDF"/>
    <w:rsid w:val="00DC30AD"/>
    <w:rsid w:val="00DC4445"/>
    <w:rsid w:val="00DC4F88"/>
    <w:rsid w:val="00DC7DCB"/>
    <w:rsid w:val="00DD285B"/>
    <w:rsid w:val="00DD5824"/>
    <w:rsid w:val="00DD6C01"/>
    <w:rsid w:val="00DD7B57"/>
    <w:rsid w:val="00DE0546"/>
    <w:rsid w:val="00DE0A85"/>
    <w:rsid w:val="00DE29D8"/>
    <w:rsid w:val="00DE79F9"/>
    <w:rsid w:val="00DF0349"/>
    <w:rsid w:val="00DF04BF"/>
    <w:rsid w:val="00DF0BC0"/>
    <w:rsid w:val="00DF44B2"/>
    <w:rsid w:val="00DF46D6"/>
    <w:rsid w:val="00DF573B"/>
    <w:rsid w:val="00DF5A20"/>
    <w:rsid w:val="00DF5EFE"/>
    <w:rsid w:val="00DF7AF7"/>
    <w:rsid w:val="00E042A6"/>
    <w:rsid w:val="00E05329"/>
    <w:rsid w:val="00E05704"/>
    <w:rsid w:val="00E06CC3"/>
    <w:rsid w:val="00E06FA2"/>
    <w:rsid w:val="00E11E44"/>
    <w:rsid w:val="00E13245"/>
    <w:rsid w:val="00E13AFA"/>
    <w:rsid w:val="00E166A9"/>
    <w:rsid w:val="00E2168B"/>
    <w:rsid w:val="00E2182E"/>
    <w:rsid w:val="00E21F03"/>
    <w:rsid w:val="00E269ED"/>
    <w:rsid w:val="00E26C1E"/>
    <w:rsid w:val="00E30D24"/>
    <w:rsid w:val="00E32C0F"/>
    <w:rsid w:val="00E32C9F"/>
    <w:rsid w:val="00E33131"/>
    <w:rsid w:val="00E332A7"/>
    <w:rsid w:val="00E338EF"/>
    <w:rsid w:val="00E33955"/>
    <w:rsid w:val="00E33DBE"/>
    <w:rsid w:val="00E40FF8"/>
    <w:rsid w:val="00E43EF0"/>
    <w:rsid w:val="00E44284"/>
    <w:rsid w:val="00E456AF"/>
    <w:rsid w:val="00E46F4C"/>
    <w:rsid w:val="00E506A6"/>
    <w:rsid w:val="00E52CF4"/>
    <w:rsid w:val="00E544BB"/>
    <w:rsid w:val="00E54EC2"/>
    <w:rsid w:val="00E54ED7"/>
    <w:rsid w:val="00E55D4E"/>
    <w:rsid w:val="00E568E4"/>
    <w:rsid w:val="00E574C9"/>
    <w:rsid w:val="00E578EC"/>
    <w:rsid w:val="00E57F06"/>
    <w:rsid w:val="00E60423"/>
    <w:rsid w:val="00E622BF"/>
    <w:rsid w:val="00E62DEB"/>
    <w:rsid w:val="00E649D7"/>
    <w:rsid w:val="00E662CB"/>
    <w:rsid w:val="00E70750"/>
    <w:rsid w:val="00E70B50"/>
    <w:rsid w:val="00E7285E"/>
    <w:rsid w:val="00E73DF4"/>
    <w:rsid w:val="00E74DC7"/>
    <w:rsid w:val="00E755F0"/>
    <w:rsid w:val="00E75C66"/>
    <w:rsid w:val="00E8060E"/>
    <w:rsid w:val="00E8075A"/>
    <w:rsid w:val="00E818A6"/>
    <w:rsid w:val="00E81BC5"/>
    <w:rsid w:val="00E825BA"/>
    <w:rsid w:val="00E8307D"/>
    <w:rsid w:val="00E85A91"/>
    <w:rsid w:val="00E87718"/>
    <w:rsid w:val="00E9178E"/>
    <w:rsid w:val="00E91E3E"/>
    <w:rsid w:val="00E94D5E"/>
    <w:rsid w:val="00E96F99"/>
    <w:rsid w:val="00E9783A"/>
    <w:rsid w:val="00E97CCB"/>
    <w:rsid w:val="00EA0BF6"/>
    <w:rsid w:val="00EA0F6F"/>
    <w:rsid w:val="00EA17A6"/>
    <w:rsid w:val="00EA3DA5"/>
    <w:rsid w:val="00EA589D"/>
    <w:rsid w:val="00EA7100"/>
    <w:rsid w:val="00EA7F9F"/>
    <w:rsid w:val="00EB07DD"/>
    <w:rsid w:val="00EB0E6A"/>
    <w:rsid w:val="00EB0E70"/>
    <w:rsid w:val="00EB1274"/>
    <w:rsid w:val="00EB28EE"/>
    <w:rsid w:val="00EB4EB9"/>
    <w:rsid w:val="00EB5D72"/>
    <w:rsid w:val="00EB79C1"/>
    <w:rsid w:val="00EC3C63"/>
    <w:rsid w:val="00EC4757"/>
    <w:rsid w:val="00EC61B4"/>
    <w:rsid w:val="00EC7191"/>
    <w:rsid w:val="00EC7EDB"/>
    <w:rsid w:val="00ED0899"/>
    <w:rsid w:val="00ED14FB"/>
    <w:rsid w:val="00ED2BB6"/>
    <w:rsid w:val="00ED34E1"/>
    <w:rsid w:val="00ED3A89"/>
    <w:rsid w:val="00ED3B8D"/>
    <w:rsid w:val="00ED766E"/>
    <w:rsid w:val="00ED796D"/>
    <w:rsid w:val="00EE30DC"/>
    <w:rsid w:val="00EE4402"/>
    <w:rsid w:val="00EE584D"/>
    <w:rsid w:val="00EE73F0"/>
    <w:rsid w:val="00EF15D3"/>
    <w:rsid w:val="00EF2E3A"/>
    <w:rsid w:val="00EF3D83"/>
    <w:rsid w:val="00EF75D1"/>
    <w:rsid w:val="00F013C4"/>
    <w:rsid w:val="00F01DAE"/>
    <w:rsid w:val="00F02EF9"/>
    <w:rsid w:val="00F03BB5"/>
    <w:rsid w:val="00F03CA1"/>
    <w:rsid w:val="00F047D8"/>
    <w:rsid w:val="00F06844"/>
    <w:rsid w:val="00F06D87"/>
    <w:rsid w:val="00F072A7"/>
    <w:rsid w:val="00F078DC"/>
    <w:rsid w:val="00F0796B"/>
    <w:rsid w:val="00F07E82"/>
    <w:rsid w:val="00F10E9E"/>
    <w:rsid w:val="00F1280A"/>
    <w:rsid w:val="00F134E2"/>
    <w:rsid w:val="00F141D0"/>
    <w:rsid w:val="00F14593"/>
    <w:rsid w:val="00F15ACB"/>
    <w:rsid w:val="00F169F4"/>
    <w:rsid w:val="00F171A1"/>
    <w:rsid w:val="00F20080"/>
    <w:rsid w:val="00F20ACB"/>
    <w:rsid w:val="00F23D9A"/>
    <w:rsid w:val="00F24258"/>
    <w:rsid w:val="00F248D8"/>
    <w:rsid w:val="00F259F8"/>
    <w:rsid w:val="00F26FF8"/>
    <w:rsid w:val="00F30978"/>
    <w:rsid w:val="00F32BA8"/>
    <w:rsid w:val="00F349F1"/>
    <w:rsid w:val="00F3524A"/>
    <w:rsid w:val="00F35EF9"/>
    <w:rsid w:val="00F36432"/>
    <w:rsid w:val="00F37DFC"/>
    <w:rsid w:val="00F37FFB"/>
    <w:rsid w:val="00F40436"/>
    <w:rsid w:val="00F404A2"/>
    <w:rsid w:val="00F40AF1"/>
    <w:rsid w:val="00F4215A"/>
    <w:rsid w:val="00F43220"/>
    <w:rsid w:val="00F4350D"/>
    <w:rsid w:val="00F43D53"/>
    <w:rsid w:val="00F45C0D"/>
    <w:rsid w:val="00F4622C"/>
    <w:rsid w:val="00F47EF9"/>
    <w:rsid w:val="00F501CC"/>
    <w:rsid w:val="00F50532"/>
    <w:rsid w:val="00F54237"/>
    <w:rsid w:val="00F567F7"/>
    <w:rsid w:val="00F61B09"/>
    <w:rsid w:val="00F62036"/>
    <w:rsid w:val="00F62704"/>
    <w:rsid w:val="00F62E66"/>
    <w:rsid w:val="00F64CC9"/>
    <w:rsid w:val="00F65B52"/>
    <w:rsid w:val="00F65D85"/>
    <w:rsid w:val="00F67AA0"/>
    <w:rsid w:val="00F67BCA"/>
    <w:rsid w:val="00F70D5B"/>
    <w:rsid w:val="00F736F3"/>
    <w:rsid w:val="00F73BD6"/>
    <w:rsid w:val="00F800C9"/>
    <w:rsid w:val="00F81861"/>
    <w:rsid w:val="00F82FAE"/>
    <w:rsid w:val="00F83989"/>
    <w:rsid w:val="00F84BE7"/>
    <w:rsid w:val="00F85099"/>
    <w:rsid w:val="00F863D0"/>
    <w:rsid w:val="00F87737"/>
    <w:rsid w:val="00F87B7C"/>
    <w:rsid w:val="00F91041"/>
    <w:rsid w:val="00F9379C"/>
    <w:rsid w:val="00F94416"/>
    <w:rsid w:val="00F954A7"/>
    <w:rsid w:val="00F95D7D"/>
    <w:rsid w:val="00F9632C"/>
    <w:rsid w:val="00F971DB"/>
    <w:rsid w:val="00F97390"/>
    <w:rsid w:val="00F97FD6"/>
    <w:rsid w:val="00FA01B4"/>
    <w:rsid w:val="00FA0CC1"/>
    <w:rsid w:val="00FA1E52"/>
    <w:rsid w:val="00FA2A63"/>
    <w:rsid w:val="00FA31DE"/>
    <w:rsid w:val="00FA31E1"/>
    <w:rsid w:val="00FA36D3"/>
    <w:rsid w:val="00FA47DC"/>
    <w:rsid w:val="00FA569A"/>
    <w:rsid w:val="00FA733A"/>
    <w:rsid w:val="00FA78D0"/>
    <w:rsid w:val="00FA7D17"/>
    <w:rsid w:val="00FB0DFA"/>
    <w:rsid w:val="00FB1AD7"/>
    <w:rsid w:val="00FB30DD"/>
    <w:rsid w:val="00FB5EE4"/>
    <w:rsid w:val="00FB6515"/>
    <w:rsid w:val="00FB6EB3"/>
    <w:rsid w:val="00FC0A4E"/>
    <w:rsid w:val="00FC3EB8"/>
    <w:rsid w:val="00FC715C"/>
    <w:rsid w:val="00FC7AD3"/>
    <w:rsid w:val="00FC7BBC"/>
    <w:rsid w:val="00FC7D25"/>
    <w:rsid w:val="00FD13CC"/>
    <w:rsid w:val="00FD17AD"/>
    <w:rsid w:val="00FD6998"/>
    <w:rsid w:val="00FD6FC9"/>
    <w:rsid w:val="00FD7450"/>
    <w:rsid w:val="00FE01F8"/>
    <w:rsid w:val="00FE0287"/>
    <w:rsid w:val="00FE09CE"/>
    <w:rsid w:val="00FE0E53"/>
    <w:rsid w:val="00FE25C3"/>
    <w:rsid w:val="00FE2FB8"/>
    <w:rsid w:val="00FE3C32"/>
    <w:rsid w:val="00FE4688"/>
    <w:rsid w:val="00FE5139"/>
    <w:rsid w:val="00FE51D1"/>
    <w:rsid w:val="00FE72D6"/>
    <w:rsid w:val="00FE79D0"/>
    <w:rsid w:val="00FF1637"/>
    <w:rsid w:val="00FF1AA9"/>
    <w:rsid w:val="00FF1B30"/>
    <w:rsid w:val="00FF3030"/>
    <w:rsid w:val="00FF355D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E6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80F8D"/>
    <w:rPr>
      <w:color w:val="605E5C"/>
      <w:shd w:val="clear" w:color="auto" w:fill="E1DFDD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B0A"/>
    <w:pPr>
      <w:ind w:left="720"/>
    </w:p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styleId="Revision">
    <w:name w:val="Revision"/>
    <w:hidden/>
    <w:uiPriority w:val="99"/>
    <w:semiHidden/>
    <w:rsid w:val="00F134E2"/>
    <w:rPr>
      <w:sz w:val="22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C272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54ED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146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14654"/>
  </w:style>
  <w:style w:type="character" w:customStyle="1" w:styleId="eop">
    <w:name w:val="eop"/>
    <w:basedOn w:val="DefaultParagraphFont"/>
    <w:rsid w:val="00C1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ic.gov.au/regulatory-resources/find-a-document/consultation-papers/cp-361-proposed-changes-to-simplify-the-asic-derivative-transaction-rules-reporting-second-consult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asic.gov.au/regulatory-resources/find-a-document/consultation-papers/cp-334-proposed-changes-to-simplify-the-asic-derivative-transaction-rules-reporting-first-consultation/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licy Work Document" ma:contentTypeID="0x010100B5F685A1365F544391EF8C813B164F3A82001B7945850714C84F95E849397CE29B40" ma:contentTypeVersion="23" ma:contentTypeDescription="" ma:contentTypeScope="" ma:versionID="fef97bfb0acad6643f8bda9f7d0ed0af">
  <xsd:schema xmlns:xsd="http://www.w3.org/2001/XMLSchema" xmlns:xs="http://www.w3.org/2001/XMLSchema" xmlns:p="http://schemas.microsoft.com/office/2006/metadata/properties" xmlns:ns2="db2b92ca-6ed0-4085-802d-4c686a2e8c3f" xmlns:ns3="3956a69d-bf31-4573-ad27-933dbc3d22d6" xmlns:ns4="eb44715b-cd74-4c79-92c4-f0e9f1a86440" targetNamespace="http://schemas.microsoft.com/office/2006/metadata/properties" ma:root="true" ma:fieldsID="153f6bf8d4969087b4262d216fc20cda" ns2:_="" ns3:_="" ns4:_="">
    <xsd:import namespace="db2b92ca-6ed0-4085-802d-4c686a2e8c3f"/>
    <xsd:import namespace="3956a69d-bf31-4573-ad27-933dbc3d22d6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bdf3bab5a81c426f8b5cbfa0265a271c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fce34cc-bad1-49e6-aa59-6651be61fae6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fce34cc-bad1-49e6-aa59-6651be61fae6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6a69d-bf31-4573-ad27-933dbc3d2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bdf3bab5a81c426f8b5cbfa0265a271c" ma:index="19" nillable="true" ma:taxonomy="true" ma:internalName="bdf3bab5a81c426f8b5cbfa0265a271c" ma:taxonomyFieldName="PolicyWorkDocumentType" ma:displayName="Policy Work Document Type" ma:readOnly="false" ma:fieldId="{bdf3bab5-a81c-426f-8b5c-bfa0265a271c}" ma:sspId="af302855-5de3-48f9-83c2-fc1acc0f760b" ma:termSetId="e91d3646-a785-43aa-9dda-899a61873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DocumentNotes xmlns="db2b92ca-6ed0-4085-802d-4c686a2e8c3f" xsi:nil="true"/>
    <bdf3bab5a81c426f8b5cbfa0265a271c xmlns="eb44715b-cd74-4c79-92c4-f0e9f1a86440">
      <Terms xmlns="http://schemas.microsoft.com/office/infopath/2007/PartnerControls"/>
    </bdf3bab5a81c426f8b5cbfa0265a271c>
    <NAPReason xmlns="db2b92ca-6ed0-4085-802d-4c686a2e8c3f" xsi:nil="true"/>
    <_dlc_DocId xmlns="eb44715b-cd74-4c79-92c4-f0e9f1a86440">001055-1122178031-2253</_dlc_DocId>
    <_dlc_DocIdUrl xmlns="eb44715b-cd74-4c79-92c4-f0e9f1a86440">
      <Url>https://asiclink.sharepoint.com/teams/001055/_layouts/15/DocIdRedir.aspx?ID=001055-1122178031-2253</Url>
      <Description>001055-1122178031-2253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0F00-C429-4F36-8EB5-892D7B7574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59B1A7-06C5-4E15-A5E4-909DD6D3D3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215716-CF98-4B01-A63D-E73897711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C1A32-CAF2-4FF1-926F-E4F1556BE8D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52F3CE4-82DE-41B9-BB0E-77E50F27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3956a69d-bf31-4573-ad27-933dbc3d22d6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55102F-F118-4FC3-88C8-6BE006C5343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3956a69d-bf31-4573-ad27-933dbc3d22d6"/>
    <ds:schemaRef ds:uri="http://schemas.microsoft.com/office/2006/documentManagement/types"/>
    <ds:schemaRef ds:uri="eb44715b-cd74-4c79-92c4-f0e9f1a86440"/>
    <ds:schemaRef ds:uri="db2b92ca-6ed0-4085-802d-4c686a2e8c3f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29E983D8-DC08-42EA-B231-4A7DAD14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1722</Words>
  <Characters>9819</Characters>
  <Application>Microsoft Office Word</Application>
  <DocSecurity>0</DocSecurity>
  <PresentationFormat/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2022-12-16T03:11:00Z</dcterms:created>
  <dcterms:modified xsi:type="dcterms:W3CDTF">2022-12-16T03:12:00Z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>1;#OFFICIAL - Sensitive|6eccc17f-024b-41b0-b6b1-faf98d2aff85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{141977cf-0b3b-457f-befe-91e13bfc4f18}</vt:lpwstr>
  </property>
  <property fmtid="{D5CDD505-2E9C-101B-9397-08002B2CF9AE}" pid="5" name="RecordPoint_ActiveItemListId">
    <vt:lpwstr>{52837be5-4aea-4ae1-a558-e262609fd21b}</vt:lpwstr>
  </property>
  <property fmtid="{D5CDD505-2E9C-101B-9397-08002B2CF9AE}" pid="6" name="RecordPoint_ActiveItemUniqueId">
    <vt:lpwstr>{e3ca10b2-533c-4c1a-b99b-081f1c0abb10}</vt:lpwstr>
  </property>
  <property fmtid="{D5CDD505-2E9C-101B-9397-08002B2CF9AE}" pid="7" name="RecordPoint_ActiveItemWebId">
    <vt:lpwstr>{7b4e6043-60cd-47eb-8e5e-dfdfe6d1e794}</vt:lpwstr>
  </property>
  <property fmtid="{D5CDD505-2E9C-101B-9397-08002B2CF9AE}" pid="8" name="RecordPoint_SubmissionCompleted">
    <vt:lpwstr>2022-03-07T15:49:28.7468477+11:00</vt:lpwstr>
  </property>
  <property fmtid="{D5CDD505-2E9C-101B-9397-08002B2CF9AE}" pid="9" name="RecordPoint_RecordNumberSubmitted">
    <vt:lpwstr>R20220000932785</vt:lpwstr>
  </property>
  <property fmtid="{D5CDD505-2E9C-101B-9397-08002B2CF9AE}" pid="10" name="ContentTypeId">
    <vt:lpwstr>0x010100B5F685A1365F544391EF8C813B164F3A82001B7945850714C84F95E849397CE29B40</vt:lpwstr>
  </property>
  <property fmtid="{D5CDD505-2E9C-101B-9397-08002B2CF9AE}" pid="11" name="PolicyWorkDocumentType">
    <vt:lpwstr/>
  </property>
  <property fmtid="{D5CDD505-2E9C-101B-9397-08002B2CF9AE}" pid="12" name="MSIP_Label_a6aead41-07f8-4767-ac8e-ef1c9c793766_Enabled">
    <vt:lpwstr>true</vt:lpwstr>
  </property>
  <property fmtid="{D5CDD505-2E9C-101B-9397-08002B2CF9AE}" pid="13" name="MSIP_Label_a6aead41-07f8-4767-ac8e-ef1c9c793766_SetDate">
    <vt:lpwstr>2022-12-01T23:06:30Z</vt:lpwstr>
  </property>
  <property fmtid="{D5CDD505-2E9C-101B-9397-08002B2CF9AE}" pid="14" name="MSIP_Label_a6aead41-07f8-4767-ac8e-ef1c9c793766_Method">
    <vt:lpwstr>Standard</vt:lpwstr>
  </property>
  <property fmtid="{D5CDD505-2E9C-101B-9397-08002B2CF9AE}" pid="15" name="MSIP_Label_a6aead41-07f8-4767-ac8e-ef1c9c793766_Name">
    <vt:lpwstr>OFFICIAL</vt:lpwstr>
  </property>
  <property fmtid="{D5CDD505-2E9C-101B-9397-08002B2CF9AE}" pid="16" name="MSIP_Label_a6aead41-07f8-4767-ac8e-ef1c9c793766_SiteId">
    <vt:lpwstr>5f1de7c6-55cd-4bb2-902d-514c78cf10f4</vt:lpwstr>
  </property>
  <property fmtid="{D5CDD505-2E9C-101B-9397-08002B2CF9AE}" pid="17" name="MSIP_Label_a6aead41-07f8-4767-ac8e-ef1c9c793766_ActionId">
    <vt:lpwstr>bfa03945-089b-4684-a286-b2fed72067ef</vt:lpwstr>
  </property>
  <property fmtid="{D5CDD505-2E9C-101B-9397-08002B2CF9AE}" pid="18" name="MSIP_Label_a6aead41-07f8-4767-ac8e-ef1c9c793766_ContentBits">
    <vt:lpwstr>0</vt:lpwstr>
  </property>
  <property fmtid="{D5CDD505-2E9C-101B-9397-08002B2CF9AE}" pid="19" name="_dlc_DocIdItemGuid">
    <vt:lpwstr>9a1d95f6-7cc2-4e0c-9dc6-45a86648f4c3</vt:lpwstr>
  </property>
</Properties>
</file>