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6D21B" w14:textId="77777777" w:rsidR="00955175" w:rsidRDefault="00955175" w:rsidP="00E2168B">
      <w:pPr>
        <w:spacing w:before="280" w:after="240"/>
        <w:rPr>
          <w:b/>
          <w:sz w:val="32"/>
          <w:szCs w:val="32"/>
        </w:rPr>
      </w:pPr>
    </w:p>
    <w:p w14:paraId="23F730D9" w14:textId="5E2703F7" w:rsidR="00955175" w:rsidRPr="0076272F" w:rsidRDefault="00605E4F" w:rsidP="00E2168B">
      <w:pPr>
        <w:spacing w:before="280" w:after="240"/>
        <w:rPr>
          <w:b/>
          <w:sz w:val="32"/>
          <w:szCs w:val="32"/>
        </w:rPr>
      </w:pPr>
      <w:r w:rsidRPr="0076272F">
        <w:rPr>
          <w:noProof/>
        </w:rPr>
        <w:drawing>
          <wp:anchor distT="0" distB="0" distL="114300" distR="114300" simplePos="0" relativeHeight="251658240" behindDoc="0" locked="0" layoutInCell="1" allowOverlap="1" wp14:anchorId="5FB2AB6A" wp14:editId="0CAA10A1">
            <wp:simplePos x="0" y="0"/>
            <wp:positionH relativeFrom="margin">
              <wp:align>center</wp:align>
            </wp:positionH>
            <wp:positionV relativeFrom="margin">
              <wp:align>top</wp:align>
            </wp:positionV>
            <wp:extent cx="3542030" cy="746760"/>
            <wp:effectExtent l="0" t="0" r="0" b="0"/>
            <wp:wrapSquare wrapText="bothSides"/>
            <wp:docPr id="3" name="Picture 3" descr="Australian Securities and Investments Commission logo and 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Securities and Investments Commission logo and commonwealth coat of ar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42030" cy="746760"/>
                    </a:xfrm>
                    <a:prstGeom prst="rect">
                      <a:avLst/>
                    </a:prstGeom>
                    <a:noFill/>
                  </pic:spPr>
                </pic:pic>
              </a:graphicData>
            </a:graphic>
            <wp14:sizeRelH relativeFrom="page">
              <wp14:pctWidth>0</wp14:pctWidth>
            </wp14:sizeRelH>
            <wp14:sizeRelV relativeFrom="page">
              <wp14:pctHeight>0</wp14:pctHeight>
            </wp14:sizeRelV>
          </wp:anchor>
        </w:drawing>
      </w:r>
    </w:p>
    <w:p w14:paraId="5D19C2E8" w14:textId="77777777" w:rsidR="00955175" w:rsidRPr="0076272F" w:rsidRDefault="00955175" w:rsidP="00955175">
      <w:pPr>
        <w:pStyle w:val="LI-Title"/>
        <w:pBdr>
          <w:top w:val="none" w:sz="0" w:space="0" w:color="auto"/>
        </w:pBdr>
        <w:jc w:val="center"/>
      </w:pPr>
    </w:p>
    <w:p w14:paraId="40572276" w14:textId="77777777" w:rsidR="00955175" w:rsidRPr="0076272F" w:rsidRDefault="00955175" w:rsidP="00955175">
      <w:pPr>
        <w:pStyle w:val="LI-Title"/>
        <w:pBdr>
          <w:top w:val="none" w:sz="0" w:space="0" w:color="auto"/>
        </w:pBdr>
        <w:jc w:val="center"/>
      </w:pPr>
      <w:r w:rsidRPr="0076272F">
        <w:t>Explanatory Statement</w:t>
      </w:r>
    </w:p>
    <w:p w14:paraId="69D1DD16" w14:textId="77777777" w:rsidR="00955175" w:rsidRPr="0076272F" w:rsidRDefault="00955175" w:rsidP="00955175">
      <w:pPr>
        <w:rPr>
          <w:lang w:eastAsia="en-AU"/>
        </w:rPr>
      </w:pPr>
    </w:p>
    <w:p w14:paraId="331B7520" w14:textId="1075E951" w:rsidR="00C4170B" w:rsidRPr="0076272F" w:rsidRDefault="00B77168" w:rsidP="00C4170B">
      <w:pPr>
        <w:jc w:val="center"/>
        <w:rPr>
          <w:b/>
          <w:i/>
          <w:sz w:val="28"/>
          <w:szCs w:val="28"/>
          <w:lang w:eastAsia="en-AU"/>
        </w:rPr>
      </w:pPr>
      <w:r w:rsidRPr="0076272F">
        <w:rPr>
          <w:b/>
          <w:i/>
          <w:sz w:val="28"/>
          <w:szCs w:val="28"/>
          <w:lang w:eastAsia="en-AU"/>
        </w:rPr>
        <w:t>ASIC Derivative Transaction Rules (Reporting) 2022</w:t>
      </w:r>
    </w:p>
    <w:p w14:paraId="3F692830" w14:textId="2F0FA864" w:rsidR="00863657" w:rsidRPr="0076272F" w:rsidRDefault="00F800C9" w:rsidP="00F800C9">
      <w:pPr>
        <w:pStyle w:val="LI-BodyTextParaa"/>
        <w:ind w:left="0" w:firstLine="0"/>
      </w:pPr>
      <w:bookmarkStart w:id="0" w:name="BK_S3P1L1C1"/>
      <w:bookmarkEnd w:id="0"/>
      <w:r w:rsidRPr="0076272F">
        <w:t xml:space="preserve">This is the Explanatory Statement for </w:t>
      </w:r>
      <w:r w:rsidR="004B5C68" w:rsidRPr="0076272F">
        <w:rPr>
          <w:i/>
        </w:rPr>
        <w:t>ASIC Derivative Transaction Rules (Reporting) 2022</w:t>
      </w:r>
      <w:r w:rsidR="00300C7B" w:rsidRPr="0076272F">
        <w:rPr>
          <w:i/>
        </w:rPr>
        <w:t xml:space="preserve"> </w:t>
      </w:r>
      <w:r w:rsidR="00300C7B" w:rsidRPr="0076272F">
        <w:rPr>
          <w:iCs/>
        </w:rPr>
        <w:t xml:space="preserve">(the </w:t>
      </w:r>
      <w:r w:rsidR="00DA3559" w:rsidRPr="0076272F">
        <w:rPr>
          <w:b/>
          <w:bCs/>
          <w:i/>
        </w:rPr>
        <w:t>2022 Rules</w:t>
      </w:r>
      <w:r w:rsidR="00A21BD1" w:rsidRPr="0076272F">
        <w:rPr>
          <w:b/>
          <w:bCs/>
          <w:i/>
        </w:rPr>
        <w:t xml:space="preserve">, </w:t>
      </w:r>
      <w:r w:rsidR="008254E5" w:rsidRPr="0076272F">
        <w:rPr>
          <w:iCs/>
        </w:rPr>
        <w:t>or</w:t>
      </w:r>
      <w:r w:rsidR="008254E5" w:rsidRPr="0076272F">
        <w:rPr>
          <w:i/>
        </w:rPr>
        <w:t xml:space="preserve"> </w:t>
      </w:r>
      <w:r w:rsidR="008254E5" w:rsidRPr="0076272F">
        <w:rPr>
          <w:iCs/>
        </w:rPr>
        <w:t>the</w:t>
      </w:r>
      <w:r w:rsidR="008254E5" w:rsidRPr="0076272F">
        <w:rPr>
          <w:b/>
          <w:bCs/>
          <w:i/>
        </w:rPr>
        <w:t xml:space="preserve"> instrument</w:t>
      </w:r>
      <w:r w:rsidR="00A21BD1" w:rsidRPr="0076272F">
        <w:rPr>
          <w:b/>
          <w:bCs/>
          <w:i/>
        </w:rPr>
        <w:t xml:space="preserve"> </w:t>
      </w:r>
      <w:r w:rsidR="00DA3559" w:rsidRPr="0076272F">
        <w:rPr>
          <w:iCs/>
        </w:rPr>
        <w:t>)</w:t>
      </w:r>
      <w:r w:rsidRPr="0076272F">
        <w:t>.</w:t>
      </w:r>
    </w:p>
    <w:p w14:paraId="403791EE" w14:textId="77777777" w:rsidR="00F800C9" w:rsidRPr="0076272F" w:rsidRDefault="00863657" w:rsidP="00F800C9">
      <w:pPr>
        <w:pStyle w:val="LI-BodyTextParaa"/>
        <w:ind w:left="0" w:firstLine="0"/>
      </w:pPr>
      <w:r w:rsidRPr="0076272F">
        <w:t>Th</w:t>
      </w:r>
      <w:r w:rsidR="00F800C9" w:rsidRPr="0076272F">
        <w:t>e</w:t>
      </w:r>
      <w:r w:rsidRPr="0076272F">
        <w:t xml:space="preserve"> </w:t>
      </w:r>
      <w:r w:rsidR="00F800C9" w:rsidRPr="0076272F">
        <w:t>Explanatory Statement is approved by the Australian Securities and Investments Commission (</w:t>
      </w:r>
      <w:r w:rsidR="00F800C9" w:rsidRPr="0076272F">
        <w:rPr>
          <w:b/>
          <w:i/>
        </w:rPr>
        <w:t>ASIC</w:t>
      </w:r>
      <w:r w:rsidR="00F800C9" w:rsidRPr="0076272F">
        <w:t>).</w:t>
      </w:r>
    </w:p>
    <w:p w14:paraId="2EE61ECB" w14:textId="77777777" w:rsidR="00F800C9" w:rsidRPr="0076272F" w:rsidRDefault="005D1FEA" w:rsidP="00F800C9">
      <w:pPr>
        <w:pStyle w:val="LI-BodyTextNumbered"/>
        <w:ind w:left="0" w:firstLine="0"/>
        <w:rPr>
          <w:b/>
        </w:rPr>
      </w:pPr>
      <w:r w:rsidRPr="0076272F">
        <w:rPr>
          <w:b/>
        </w:rPr>
        <w:t>Summary</w:t>
      </w:r>
    </w:p>
    <w:p w14:paraId="28F757C8" w14:textId="6238F410" w:rsidR="00AA1B9B" w:rsidRPr="0076272F" w:rsidRDefault="000A3AED" w:rsidP="00676F5A">
      <w:pPr>
        <w:pStyle w:val="LI-BodyTextParaa"/>
        <w:numPr>
          <w:ilvl w:val="0"/>
          <w:numId w:val="2"/>
        </w:numPr>
        <w:rPr>
          <w:iCs/>
        </w:rPr>
      </w:pPr>
      <w:r w:rsidRPr="0076272F">
        <w:t xml:space="preserve">This </w:t>
      </w:r>
      <w:r w:rsidR="00080303" w:rsidRPr="0076272F">
        <w:t>instrument repeals and re</w:t>
      </w:r>
      <w:r w:rsidR="00795A66" w:rsidRPr="0076272F">
        <w:t>makes</w:t>
      </w:r>
      <w:r w:rsidR="00080303" w:rsidRPr="0076272F">
        <w:t xml:space="preserve"> </w:t>
      </w:r>
      <w:r w:rsidR="00D61441" w:rsidRPr="0076272F">
        <w:t xml:space="preserve">the </w:t>
      </w:r>
      <w:r w:rsidR="00547A52" w:rsidRPr="0076272F">
        <w:rPr>
          <w:i/>
        </w:rPr>
        <w:t>ASIC Derivative Transaction Rules (Reporting) 2013</w:t>
      </w:r>
      <w:r w:rsidR="00547A52" w:rsidRPr="0076272F">
        <w:rPr>
          <w:iCs/>
        </w:rPr>
        <w:t xml:space="preserve"> </w:t>
      </w:r>
      <w:r w:rsidR="00304C0D" w:rsidRPr="0076272F">
        <w:rPr>
          <w:iCs/>
        </w:rPr>
        <w:t>(</w:t>
      </w:r>
      <w:r w:rsidR="0011102F" w:rsidRPr="0076272F">
        <w:rPr>
          <w:iCs/>
        </w:rPr>
        <w:t xml:space="preserve">the </w:t>
      </w:r>
      <w:r w:rsidR="0011102F" w:rsidRPr="0076272F">
        <w:rPr>
          <w:b/>
          <w:bCs/>
          <w:i/>
        </w:rPr>
        <w:t>2013 Rules</w:t>
      </w:r>
      <w:r w:rsidR="0011102F" w:rsidRPr="0076272F">
        <w:rPr>
          <w:iCs/>
        </w:rPr>
        <w:t xml:space="preserve">) </w:t>
      </w:r>
      <w:r w:rsidR="00650938" w:rsidRPr="0076272F">
        <w:rPr>
          <w:iCs/>
        </w:rPr>
        <w:t>in</w:t>
      </w:r>
      <w:r w:rsidR="000F4127" w:rsidRPr="0076272F">
        <w:rPr>
          <w:iCs/>
        </w:rPr>
        <w:t xml:space="preserve"> </w:t>
      </w:r>
      <w:r w:rsidR="00795A66" w:rsidRPr="0076272F">
        <w:rPr>
          <w:iCs/>
        </w:rPr>
        <w:t xml:space="preserve">the same form, </w:t>
      </w:r>
      <w:r w:rsidR="00304C0D" w:rsidRPr="0076272F">
        <w:rPr>
          <w:iCs/>
        </w:rPr>
        <w:t xml:space="preserve">so as to continue </w:t>
      </w:r>
      <w:r w:rsidR="00D24347" w:rsidRPr="0076272F">
        <w:rPr>
          <w:iCs/>
        </w:rPr>
        <w:t xml:space="preserve">the requirements for the reporting </w:t>
      </w:r>
      <w:r w:rsidR="002E4E07" w:rsidRPr="0076272F">
        <w:rPr>
          <w:iCs/>
        </w:rPr>
        <w:t xml:space="preserve">of </w:t>
      </w:r>
      <w:proofErr w:type="gramStart"/>
      <w:r w:rsidR="00CD5817" w:rsidRPr="0076272F">
        <w:rPr>
          <w:iCs/>
        </w:rPr>
        <w:t>over-the-counter</w:t>
      </w:r>
      <w:proofErr w:type="gramEnd"/>
      <w:r w:rsidR="00CD5817" w:rsidRPr="0076272F">
        <w:rPr>
          <w:iCs/>
        </w:rPr>
        <w:t xml:space="preserve"> </w:t>
      </w:r>
      <w:r w:rsidR="0055598D" w:rsidRPr="0076272F">
        <w:rPr>
          <w:iCs/>
        </w:rPr>
        <w:t>(</w:t>
      </w:r>
      <w:r w:rsidR="002E4E07" w:rsidRPr="0076272F">
        <w:rPr>
          <w:b/>
          <w:bCs/>
          <w:i/>
        </w:rPr>
        <w:t>OTC</w:t>
      </w:r>
      <w:r w:rsidR="0055598D" w:rsidRPr="0076272F">
        <w:rPr>
          <w:iCs/>
        </w:rPr>
        <w:t xml:space="preserve">) </w:t>
      </w:r>
      <w:r w:rsidR="002E4E07" w:rsidRPr="0076272F">
        <w:rPr>
          <w:iCs/>
        </w:rPr>
        <w:t xml:space="preserve">derivatives transactions beyond </w:t>
      </w:r>
      <w:r w:rsidR="00416E2D" w:rsidRPr="0076272F">
        <w:rPr>
          <w:iCs/>
        </w:rPr>
        <w:t xml:space="preserve">the 1 October 2023 sunsetting of the </w:t>
      </w:r>
      <w:r w:rsidR="00AA1B9B" w:rsidRPr="0076272F">
        <w:rPr>
          <w:iCs/>
        </w:rPr>
        <w:t>2013 Rules.</w:t>
      </w:r>
    </w:p>
    <w:p w14:paraId="4A78C246" w14:textId="4589184D" w:rsidR="007D2C96" w:rsidRPr="0076272F" w:rsidRDefault="003D0A0D" w:rsidP="00676F5A">
      <w:pPr>
        <w:pStyle w:val="LI-BodyTextParaa"/>
        <w:numPr>
          <w:ilvl w:val="0"/>
          <w:numId w:val="2"/>
        </w:numPr>
        <w:rPr>
          <w:iCs/>
        </w:rPr>
      </w:pPr>
      <w:r w:rsidRPr="0076272F">
        <w:rPr>
          <w:iCs/>
        </w:rPr>
        <w:t xml:space="preserve">Over two rounds of </w:t>
      </w:r>
      <w:r w:rsidR="00EB0631" w:rsidRPr="0076272F">
        <w:rPr>
          <w:iCs/>
        </w:rPr>
        <w:t xml:space="preserve">consultation, in November 2020 and May 2022, ASIC made </w:t>
      </w:r>
      <w:r w:rsidR="006E1A1A" w:rsidRPr="0076272F">
        <w:rPr>
          <w:iCs/>
        </w:rPr>
        <w:t xml:space="preserve">proposals to significantly </w:t>
      </w:r>
      <w:r w:rsidR="00027F1E" w:rsidRPr="0076272F">
        <w:rPr>
          <w:iCs/>
        </w:rPr>
        <w:t xml:space="preserve">change the </w:t>
      </w:r>
      <w:r w:rsidR="001D7A48" w:rsidRPr="0076272F">
        <w:rPr>
          <w:iCs/>
        </w:rPr>
        <w:t>2013 Rules in two stages</w:t>
      </w:r>
      <w:r w:rsidR="009F1D39" w:rsidRPr="0076272F">
        <w:rPr>
          <w:iCs/>
        </w:rPr>
        <w:t xml:space="preserve">. The first stage would commence from the </w:t>
      </w:r>
      <w:r w:rsidR="00CE76A4" w:rsidRPr="0076272F">
        <w:rPr>
          <w:iCs/>
        </w:rPr>
        <w:t>1 October 2023 sunsetting of the 2013 Rules and the second stage would commence six months later.</w:t>
      </w:r>
    </w:p>
    <w:p w14:paraId="4838182E" w14:textId="6FD328D5" w:rsidR="00B24D1C" w:rsidRDefault="007F224B" w:rsidP="00676F5A">
      <w:pPr>
        <w:pStyle w:val="LI-BodyTextParaa"/>
        <w:numPr>
          <w:ilvl w:val="0"/>
          <w:numId w:val="2"/>
        </w:numPr>
        <w:rPr>
          <w:iCs/>
        </w:rPr>
      </w:pPr>
      <w:r w:rsidRPr="0076272F">
        <w:rPr>
          <w:iCs/>
        </w:rPr>
        <w:t xml:space="preserve">Submissions to the </w:t>
      </w:r>
      <w:r w:rsidR="003C52F9" w:rsidRPr="0076272F">
        <w:rPr>
          <w:iCs/>
        </w:rPr>
        <w:t xml:space="preserve">May 2022 consultation strongly favoured that there </w:t>
      </w:r>
      <w:r w:rsidR="00521C18" w:rsidRPr="0076272F">
        <w:rPr>
          <w:iCs/>
        </w:rPr>
        <w:t xml:space="preserve">be only one stage of significant changes </w:t>
      </w:r>
      <w:r w:rsidR="001C314C" w:rsidRPr="0076272F">
        <w:rPr>
          <w:iCs/>
        </w:rPr>
        <w:t>to the 2013 Rules</w:t>
      </w:r>
      <w:r w:rsidR="00A92782" w:rsidRPr="0076272F">
        <w:rPr>
          <w:iCs/>
        </w:rPr>
        <w:t>,</w:t>
      </w:r>
      <w:r w:rsidR="00B70193" w:rsidRPr="0076272F">
        <w:rPr>
          <w:iCs/>
        </w:rPr>
        <w:t xml:space="preserve"> and that the changes be appropriately sequenced</w:t>
      </w:r>
      <w:r w:rsidR="00B70193" w:rsidRPr="00B24D1C">
        <w:rPr>
          <w:iCs/>
        </w:rPr>
        <w:t xml:space="preserve"> </w:t>
      </w:r>
      <w:r w:rsidR="00315957" w:rsidRPr="00B24D1C">
        <w:rPr>
          <w:iCs/>
        </w:rPr>
        <w:t xml:space="preserve">with the similar changes being made in other </w:t>
      </w:r>
      <w:r w:rsidR="001E6E0B" w:rsidRPr="00B24D1C">
        <w:rPr>
          <w:iCs/>
        </w:rPr>
        <w:t xml:space="preserve">major </w:t>
      </w:r>
      <w:r w:rsidR="00315957" w:rsidRPr="00B24D1C">
        <w:rPr>
          <w:iCs/>
        </w:rPr>
        <w:t>jurisdic</w:t>
      </w:r>
      <w:r w:rsidR="00F74380" w:rsidRPr="00B24D1C">
        <w:rPr>
          <w:iCs/>
        </w:rPr>
        <w:t>tions.</w:t>
      </w:r>
    </w:p>
    <w:p w14:paraId="4D382896" w14:textId="7BD41E1A" w:rsidR="00F800C9" w:rsidRPr="00B24D1C" w:rsidRDefault="00E9469C" w:rsidP="00676F5A">
      <w:pPr>
        <w:pStyle w:val="LI-BodyTextParaa"/>
        <w:numPr>
          <w:ilvl w:val="0"/>
          <w:numId w:val="2"/>
        </w:numPr>
        <w:rPr>
          <w:iCs/>
        </w:rPr>
      </w:pPr>
      <w:r w:rsidRPr="00B24D1C">
        <w:rPr>
          <w:iCs/>
        </w:rPr>
        <w:t>Consequently,</w:t>
      </w:r>
      <w:r w:rsidR="00027F1E" w:rsidRPr="00B24D1C">
        <w:rPr>
          <w:iCs/>
        </w:rPr>
        <w:t xml:space="preserve"> </w:t>
      </w:r>
      <w:r w:rsidR="00D61441">
        <w:rPr>
          <w:iCs/>
        </w:rPr>
        <w:t>the</w:t>
      </w:r>
      <w:r w:rsidR="00027F1E" w:rsidRPr="00B24D1C">
        <w:rPr>
          <w:iCs/>
        </w:rPr>
        <w:t xml:space="preserve"> </w:t>
      </w:r>
      <w:r w:rsidR="00A824D2" w:rsidRPr="00B24D1C">
        <w:rPr>
          <w:i/>
        </w:rPr>
        <w:t>ASIC Derivative Transaction Rules</w:t>
      </w:r>
      <w:r w:rsidR="00DE0A85" w:rsidRPr="00B24D1C">
        <w:rPr>
          <w:i/>
        </w:rPr>
        <w:t xml:space="preserve"> </w:t>
      </w:r>
      <w:r w:rsidRPr="00B24D1C">
        <w:rPr>
          <w:i/>
        </w:rPr>
        <w:t>(Reporting) 2024</w:t>
      </w:r>
      <w:r w:rsidR="000B6F60" w:rsidRPr="00B24D1C">
        <w:rPr>
          <w:iCs/>
        </w:rPr>
        <w:t xml:space="preserve"> </w:t>
      </w:r>
      <w:r w:rsidR="0065315C" w:rsidRPr="00B24D1C">
        <w:rPr>
          <w:iCs/>
        </w:rPr>
        <w:t>(</w:t>
      </w:r>
      <w:r w:rsidR="0065315C" w:rsidRPr="00FE6C26">
        <w:rPr>
          <w:i/>
        </w:rPr>
        <w:t xml:space="preserve">the </w:t>
      </w:r>
      <w:r w:rsidR="0033234A" w:rsidRPr="00FE6C26">
        <w:rPr>
          <w:b/>
          <w:i/>
        </w:rPr>
        <w:t>2024 Rules</w:t>
      </w:r>
      <w:r w:rsidR="0033234A" w:rsidRPr="00B24D1C">
        <w:rPr>
          <w:iCs/>
        </w:rPr>
        <w:t xml:space="preserve">) </w:t>
      </w:r>
      <w:r w:rsidR="000B6F60" w:rsidRPr="00B24D1C">
        <w:rPr>
          <w:iCs/>
        </w:rPr>
        <w:t>implement</w:t>
      </w:r>
      <w:r w:rsidR="00033111">
        <w:rPr>
          <w:iCs/>
        </w:rPr>
        <w:t>s</w:t>
      </w:r>
      <w:r w:rsidR="000B6F60" w:rsidRPr="00B24D1C">
        <w:rPr>
          <w:iCs/>
        </w:rPr>
        <w:t xml:space="preserve"> these significant changes </w:t>
      </w:r>
      <w:r w:rsidR="00E700E6" w:rsidRPr="00B24D1C">
        <w:rPr>
          <w:iCs/>
        </w:rPr>
        <w:t xml:space="preserve">in one stage </w:t>
      </w:r>
      <w:r w:rsidR="007159A2" w:rsidRPr="00B24D1C">
        <w:rPr>
          <w:iCs/>
        </w:rPr>
        <w:t xml:space="preserve">commencing </w:t>
      </w:r>
      <w:r w:rsidR="00A2339C">
        <w:rPr>
          <w:iCs/>
        </w:rPr>
        <w:t>21 October</w:t>
      </w:r>
      <w:r w:rsidR="007159A2" w:rsidRPr="00B24D1C">
        <w:rPr>
          <w:iCs/>
        </w:rPr>
        <w:t xml:space="preserve"> 2024</w:t>
      </w:r>
      <w:r w:rsidR="00E700E6" w:rsidRPr="00B24D1C">
        <w:rPr>
          <w:iCs/>
        </w:rPr>
        <w:t xml:space="preserve">. This </w:t>
      </w:r>
      <w:r w:rsidR="007159A2" w:rsidRPr="00B24D1C">
        <w:rPr>
          <w:iCs/>
        </w:rPr>
        <w:t xml:space="preserve">instrument </w:t>
      </w:r>
      <w:r w:rsidR="00E700E6" w:rsidRPr="00B24D1C">
        <w:rPr>
          <w:iCs/>
        </w:rPr>
        <w:t xml:space="preserve">ensures that the </w:t>
      </w:r>
      <w:r w:rsidR="002F4BEA" w:rsidRPr="00B24D1C">
        <w:rPr>
          <w:iCs/>
        </w:rPr>
        <w:t xml:space="preserve">requirements for the reporting of OTC derivatives transactions </w:t>
      </w:r>
      <w:r w:rsidR="000B2751" w:rsidRPr="00B24D1C">
        <w:rPr>
          <w:iCs/>
        </w:rPr>
        <w:t xml:space="preserve">under the 2013 Rules continues </w:t>
      </w:r>
      <w:r w:rsidR="0045704C">
        <w:rPr>
          <w:iCs/>
        </w:rPr>
        <w:t xml:space="preserve">under the 2022 Rules, </w:t>
      </w:r>
      <w:r w:rsidR="0065315C" w:rsidRPr="00B24D1C">
        <w:rPr>
          <w:iCs/>
        </w:rPr>
        <w:t>until the comm</w:t>
      </w:r>
      <w:r w:rsidR="0033234A" w:rsidRPr="00B24D1C">
        <w:rPr>
          <w:iCs/>
        </w:rPr>
        <w:t>encement of the 2024 Rules.</w:t>
      </w:r>
    </w:p>
    <w:p w14:paraId="7E79F055" w14:textId="77777777" w:rsidR="005D1FEA" w:rsidRDefault="005D1FEA" w:rsidP="005D1FEA">
      <w:pPr>
        <w:pStyle w:val="LI-BodyTextNumbered"/>
        <w:ind w:hanging="1134"/>
        <w:rPr>
          <w:b/>
        </w:rPr>
      </w:pPr>
      <w:r>
        <w:rPr>
          <w:b/>
        </w:rPr>
        <w:t>Purpose of the instrument</w:t>
      </w:r>
    </w:p>
    <w:p w14:paraId="471390A8" w14:textId="0ED05A6F" w:rsidR="00483DB0" w:rsidRPr="00C01A84" w:rsidRDefault="00FB49DD" w:rsidP="00697E28">
      <w:pPr>
        <w:pStyle w:val="LI-BodyTextParaa"/>
        <w:numPr>
          <w:ilvl w:val="0"/>
          <w:numId w:val="2"/>
        </w:numPr>
        <w:rPr>
          <w:iCs/>
        </w:rPr>
      </w:pPr>
      <w:r>
        <w:rPr>
          <w:iCs/>
        </w:rPr>
        <w:t xml:space="preserve">The purpose of this </w:t>
      </w:r>
      <w:r w:rsidR="00051EC7">
        <w:rPr>
          <w:iCs/>
        </w:rPr>
        <w:t>instrument</w:t>
      </w:r>
      <w:r w:rsidR="00512C1B">
        <w:rPr>
          <w:iCs/>
        </w:rPr>
        <w:t xml:space="preserve"> is </w:t>
      </w:r>
      <w:r w:rsidR="006B0924">
        <w:rPr>
          <w:iCs/>
        </w:rPr>
        <w:t xml:space="preserve">to continue </w:t>
      </w:r>
      <w:r w:rsidR="00483DB0" w:rsidRPr="00B24D1C">
        <w:rPr>
          <w:iCs/>
        </w:rPr>
        <w:t xml:space="preserve">the requirements for the reporting of OTC derivatives transactions </w:t>
      </w:r>
      <w:r w:rsidR="002E49E7">
        <w:rPr>
          <w:iCs/>
        </w:rPr>
        <w:t xml:space="preserve">under the 2013 Rules </w:t>
      </w:r>
      <w:r w:rsidR="00697E28">
        <w:rPr>
          <w:iCs/>
        </w:rPr>
        <w:t>beyond the</w:t>
      </w:r>
      <w:r w:rsidR="005B1C12">
        <w:rPr>
          <w:iCs/>
        </w:rPr>
        <w:t>ir</w:t>
      </w:r>
      <w:r w:rsidR="00697E28">
        <w:rPr>
          <w:iCs/>
        </w:rPr>
        <w:t xml:space="preserve"> 1 October 2023 sunset</w:t>
      </w:r>
      <w:r w:rsidR="005B1C12">
        <w:rPr>
          <w:iCs/>
        </w:rPr>
        <w:t xml:space="preserve"> date, </w:t>
      </w:r>
      <w:r w:rsidR="002E49E7">
        <w:rPr>
          <w:iCs/>
        </w:rPr>
        <w:t xml:space="preserve">and </w:t>
      </w:r>
      <w:r w:rsidR="00483DB0" w:rsidRPr="00697E28">
        <w:rPr>
          <w:iCs/>
        </w:rPr>
        <w:t>until the commencement of the 2024 Rules</w:t>
      </w:r>
      <w:r w:rsidR="00B17231" w:rsidRPr="00697E28">
        <w:rPr>
          <w:iCs/>
        </w:rPr>
        <w:t>. The instrument does this</w:t>
      </w:r>
      <w:r w:rsidR="001122B4" w:rsidRPr="00697E28">
        <w:rPr>
          <w:iCs/>
        </w:rPr>
        <w:t xml:space="preserve"> by repealing the 2013 Rules and remaking them in the same form as the 2022 Rules</w:t>
      </w:r>
      <w:r w:rsidR="00844376">
        <w:rPr>
          <w:iCs/>
        </w:rPr>
        <w:t>. The 2022 Rules</w:t>
      </w:r>
      <w:r w:rsidR="00B17231" w:rsidRPr="0057044B">
        <w:rPr>
          <w:iCs/>
        </w:rPr>
        <w:t xml:space="preserve"> commence on the day after the instr</w:t>
      </w:r>
      <w:r w:rsidR="00B17231" w:rsidRPr="00F43554">
        <w:rPr>
          <w:iCs/>
        </w:rPr>
        <w:t>ument is registered on the Federal Register of Legislation</w:t>
      </w:r>
      <w:r w:rsidR="00483DB0" w:rsidRPr="00534EB4">
        <w:rPr>
          <w:iCs/>
        </w:rPr>
        <w:t>.</w:t>
      </w:r>
    </w:p>
    <w:p w14:paraId="64DE74DF" w14:textId="403A53BB" w:rsidR="00C27CC8" w:rsidRPr="0057044B" w:rsidRDefault="00A206AC" w:rsidP="00A206AC">
      <w:pPr>
        <w:pStyle w:val="LI-BodyTextParaa"/>
        <w:numPr>
          <w:ilvl w:val="0"/>
          <w:numId w:val="2"/>
        </w:numPr>
        <w:rPr>
          <w:bCs/>
        </w:rPr>
      </w:pPr>
      <w:r>
        <w:rPr>
          <w:iCs/>
        </w:rPr>
        <w:lastRenderedPageBreak/>
        <w:t>To ensure that th</w:t>
      </w:r>
      <w:r w:rsidR="00844376">
        <w:rPr>
          <w:iCs/>
        </w:rPr>
        <w:t>is</w:t>
      </w:r>
      <w:r>
        <w:rPr>
          <w:iCs/>
        </w:rPr>
        <w:t xml:space="preserve"> </w:t>
      </w:r>
      <w:r w:rsidR="00844376">
        <w:rPr>
          <w:iCs/>
        </w:rPr>
        <w:t>remake</w:t>
      </w:r>
      <w:r>
        <w:rPr>
          <w:iCs/>
        </w:rPr>
        <w:t xml:space="preserve"> of the 2013 Rules</w:t>
      </w:r>
      <w:r w:rsidR="00676B67">
        <w:rPr>
          <w:iCs/>
        </w:rPr>
        <w:t xml:space="preserve"> by the 2022 Rules</w:t>
      </w:r>
      <w:r>
        <w:rPr>
          <w:iCs/>
        </w:rPr>
        <w:t xml:space="preserve"> can be clearly understood by businesses to be in </w:t>
      </w:r>
      <w:r w:rsidR="00C27CC8">
        <w:rPr>
          <w:iCs/>
        </w:rPr>
        <w:t>the same form,</w:t>
      </w:r>
      <w:r>
        <w:rPr>
          <w:iCs/>
        </w:rPr>
        <w:t xml:space="preserve"> th</w:t>
      </w:r>
      <w:r w:rsidR="00CC0AA2">
        <w:rPr>
          <w:iCs/>
        </w:rPr>
        <w:t>e</w:t>
      </w:r>
      <w:r>
        <w:rPr>
          <w:iCs/>
        </w:rPr>
        <w:t xml:space="preserve"> instrument does not include removing </w:t>
      </w:r>
      <w:r w:rsidRPr="00940960">
        <w:t xml:space="preserve">outdated transitional provisions </w:t>
      </w:r>
      <w:r>
        <w:t>or</w:t>
      </w:r>
      <w:r w:rsidRPr="00940960">
        <w:t xml:space="preserve"> consolid</w:t>
      </w:r>
      <w:r>
        <w:t>ating</w:t>
      </w:r>
      <w:r w:rsidRPr="00940960">
        <w:t xml:space="preserve"> associated exemptions within the rules</w:t>
      </w:r>
      <w:r>
        <w:t xml:space="preserve"> themselves.</w:t>
      </w:r>
      <w:r>
        <w:rPr>
          <w:iCs/>
        </w:rPr>
        <w:t xml:space="preserve"> </w:t>
      </w:r>
    </w:p>
    <w:p w14:paraId="59B451CD" w14:textId="0D5AAAE8" w:rsidR="00A206AC" w:rsidRPr="00D30A0C" w:rsidRDefault="00A206AC" w:rsidP="00A206AC">
      <w:pPr>
        <w:pStyle w:val="LI-BodyTextParaa"/>
        <w:numPr>
          <w:ilvl w:val="0"/>
          <w:numId w:val="2"/>
        </w:numPr>
        <w:rPr>
          <w:bCs/>
        </w:rPr>
      </w:pPr>
      <w:r>
        <w:rPr>
          <w:iCs/>
        </w:rPr>
        <w:t xml:space="preserve">The following associated </w:t>
      </w:r>
      <w:r w:rsidRPr="002E13AB">
        <w:rPr>
          <w:iCs/>
        </w:rPr>
        <w:t>exemption</w:t>
      </w:r>
      <w:r>
        <w:rPr>
          <w:iCs/>
        </w:rPr>
        <w:t xml:space="preserve"> </w:t>
      </w:r>
      <w:r w:rsidRPr="002E13AB">
        <w:rPr>
          <w:iCs/>
        </w:rPr>
        <w:t>and determination</w:t>
      </w:r>
      <w:r>
        <w:rPr>
          <w:iCs/>
        </w:rPr>
        <w:t xml:space="preserve"> instruments </w:t>
      </w:r>
      <w:r w:rsidR="00715A50">
        <w:rPr>
          <w:iCs/>
        </w:rPr>
        <w:t>continue to apply</w:t>
      </w:r>
      <w:r w:rsidR="001711E1">
        <w:rPr>
          <w:iCs/>
        </w:rPr>
        <w:t xml:space="preserve"> </w:t>
      </w:r>
      <w:r>
        <w:rPr>
          <w:iCs/>
        </w:rPr>
        <w:t>to the 2022 Rules:</w:t>
      </w:r>
    </w:p>
    <w:p w14:paraId="75B2FB90" w14:textId="43D0E4D0" w:rsidR="00A206AC" w:rsidRPr="00FB58AF" w:rsidRDefault="00A206AC" w:rsidP="00A206AC">
      <w:pPr>
        <w:pStyle w:val="LI-BodyTextParaa"/>
        <w:numPr>
          <w:ilvl w:val="1"/>
          <w:numId w:val="2"/>
        </w:numPr>
        <w:rPr>
          <w:iCs/>
        </w:rPr>
      </w:pPr>
      <w:r w:rsidRPr="003C0BCB">
        <w:rPr>
          <w:i/>
        </w:rPr>
        <w:t>ASIC Derivative Transaction Rules (Nexus Derivatives) Class Exemption 2015</w:t>
      </w:r>
      <w:r w:rsidR="00EA41ED">
        <w:rPr>
          <w:iCs/>
        </w:rPr>
        <w:t xml:space="preserve"> (</w:t>
      </w:r>
      <w:r w:rsidR="00EA41ED">
        <w:rPr>
          <w:b/>
          <w:bCs/>
          <w:i/>
        </w:rPr>
        <w:t xml:space="preserve">Nexus </w:t>
      </w:r>
      <w:r w:rsidR="00472CA3">
        <w:rPr>
          <w:b/>
          <w:bCs/>
          <w:i/>
        </w:rPr>
        <w:t>E</w:t>
      </w:r>
      <w:r w:rsidR="00EA41ED">
        <w:rPr>
          <w:b/>
          <w:bCs/>
          <w:i/>
        </w:rPr>
        <w:t>xemption</w:t>
      </w:r>
      <w:proofErr w:type="gramStart"/>
      <w:r w:rsidR="00EA41ED">
        <w:rPr>
          <w:iCs/>
        </w:rPr>
        <w:t>)</w:t>
      </w:r>
      <w:r w:rsidRPr="00FB58AF">
        <w:rPr>
          <w:iCs/>
        </w:rPr>
        <w:t>;</w:t>
      </w:r>
      <w:proofErr w:type="gramEnd"/>
    </w:p>
    <w:p w14:paraId="6E69B833" w14:textId="3FE6E098" w:rsidR="00A206AC" w:rsidRPr="00FB58AF" w:rsidRDefault="00A206AC" w:rsidP="00A206AC">
      <w:pPr>
        <w:pStyle w:val="LI-BodyTextParaa"/>
        <w:numPr>
          <w:ilvl w:val="1"/>
          <w:numId w:val="2"/>
        </w:numPr>
        <w:rPr>
          <w:iCs/>
        </w:rPr>
      </w:pPr>
      <w:r w:rsidRPr="003C0BCB">
        <w:rPr>
          <w:i/>
        </w:rPr>
        <w:t>ASIC Corporations (Derivative Transaction Reporting Exemption) Instrument 2015/844</w:t>
      </w:r>
      <w:r w:rsidR="00472CA3">
        <w:rPr>
          <w:iCs/>
        </w:rPr>
        <w:t xml:space="preserve"> (</w:t>
      </w:r>
      <w:r w:rsidR="00472CA3">
        <w:rPr>
          <w:b/>
          <w:bCs/>
          <w:i/>
        </w:rPr>
        <w:t>Instrument 2015/844</w:t>
      </w:r>
      <w:proofErr w:type="gramStart"/>
      <w:r w:rsidR="00472CA3">
        <w:rPr>
          <w:iCs/>
        </w:rPr>
        <w:t>)</w:t>
      </w:r>
      <w:r w:rsidRPr="00FB58AF">
        <w:rPr>
          <w:iCs/>
        </w:rPr>
        <w:t>;</w:t>
      </w:r>
      <w:proofErr w:type="gramEnd"/>
    </w:p>
    <w:p w14:paraId="68CC6427" w14:textId="174309AD" w:rsidR="00A206AC" w:rsidRPr="00FB58AF" w:rsidRDefault="00A206AC" w:rsidP="00A206AC">
      <w:pPr>
        <w:pStyle w:val="LI-BodyTextParaa"/>
        <w:numPr>
          <w:ilvl w:val="1"/>
          <w:numId w:val="2"/>
        </w:numPr>
        <w:rPr>
          <w:iCs/>
        </w:rPr>
      </w:pPr>
      <w:r w:rsidRPr="003C0BCB">
        <w:rPr>
          <w:i/>
        </w:rPr>
        <w:t>ASIC Corporations (Derivative Transaction Reporting Exemption) Instrument 2016/0688</w:t>
      </w:r>
      <w:r w:rsidR="00472CA3">
        <w:rPr>
          <w:iCs/>
        </w:rPr>
        <w:t xml:space="preserve"> (</w:t>
      </w:r>
      <w:r w:rsidR="00472CA3">
        <w:rPr>
          <w:b/>
          <w:bCs/>
          <w:i/>
        </w:rPr>
        <w:t>Instrument 2016/0688</w:t>
      </w:r>
      <w:proofErr w:type="gramStart"/>
      <w:r w:rsidR="00472CA3">
        <w:rPr>
          <w:iCs/>
        </w:rPr>
        <w:t>)</w:t>
      </w:r>
      <w:r w:rsidRPr="00FB58AF">
        <w:rPr>
          <w:iCs/>
        </w:rPr>
        <w:t>;</w:t>
      </w:r>
      <w:proofErr w:type="gramEnd"/>
    </w:p>
    <w:p w14:paraId="042B0E1A" w14:textId="03A99B1C" w:rsidR="00A206AC" w:rsidRPr="00FB58AF" w:rsidRDefault="00A206AC" w:rsidP="00A206AC">
      <w:pPr>
        <w:pStyle w:val="LI-BodyTextParaa"/>
        <w:numPr>
          <w:ilvl w:val="1"/>
          <w:numId w:val="2"/>
        </w:numPr>
        <w:rPr>
          <w:iCs/>
        </w:rPr>
      </w:pPr>
      <w:r w:rsidRPr="003C0BCB">
        <w:rPr>
          <w:i/>
        </w:rPr>
        <w:t>ASIC Derivative Transaction Rules (ADI Foreign Subsidiaries) Class Exemption 2021/51</w:t>
      </w:r>
      <w:r w:rsidR="00472CA3">
        <w:rPr>
          <w:iCs/>
        </w:rPr>
        <w:t xml:space="preserve"> (</w:t>
      </w:r>
      <w:r w:rsidR="00472CA3">
        <w:rPr>
          <w:b/>
          <w:bCs/>
          <w:i/>
        </w:rPr>
        <w:t>ADI Foreign Subsidiaries Exemption</w:t>
      </w:r>
      <w:proofErr w:type="gramStart"/>
      <w:r w:rsidR="00472CA3">
        <w:rPr>
          <w:iCs/>
        </w:rPr>
        <w:t>)</w:t>
      </w:r>
      <w:r w:rsidR="00EA41ED">
        <w:rPr>
          <w:iCs/>
        </w:rPr>
        <w:t>;</w:t>
      </w:r>
      <w:proofErr w:type="gramEnd"/>
    </w:p>
    <w:p w14:paraId="02C8BE6F" w14:textId="6BC8A0E7" w:rsidR="00A206AC" w:rsidRDefault="000A3DD5" w:rsidP="00A206AC">
      <w:pPr>
        <w:pStyle w:val="LI-BodyTextParaa"/>
        <w:numPr>
          <w:ilvl w:val="1"/>
          <w:numId w:val="2"/>
        </w:numPr>
        <w:rPr>
          <w:iCs/>
        </w:rPr>
      </w:pPr>
      <w:r w:rsidRPr="003C0BCB">
        <w:rPr>
          <w:i/>
        </w:rPr>
        <w:t>ASIC Derivative Transaction Rules (Reporting) Determination 2018/1096</w:t>
      </w:r>
      <w:r w:rsidR="00472CA3">
        <w:rPr>
          <w:iCs/>
        </w:rPr>
        <w:t xml:space="preserve"> (</w:t>
      </w:r>
      <w:r w:rsidR="00B00B96">
        <w:rPr>
          <w:b/>
          <w:bCs/>
          <w:i/>
        </w:rPr>
        <w:t>Excluded Derivative Determination)</w:t>
      </w:r>
      <w:r w:rsidR="00A206AC">
        <w:rPr>
          <w:iCs/>
        </w:rPr>
        <w:t>; and</w:t>
      </w:r>
    </w:p>
    <w:p w14:paraId="6A3E6AA2" w14:textId="47146C8C" w:rsidR="00A206AC" w:rsidRPr="00BE2F64" w:rsidRDefault="00A206AC" w:rsidP="00A206AC">
      <w:pPr>
        <w:pStyle w:val="LI-BodyTextParaa"/>
        <w:numPr>
          <w:ilvl w:val="1"/>
          <w:numId w:val="2"/>
        </w:numPr>
        <w:rPr>
          <w:iCs/>
        </w:rPr>
      </w:pPr>
      <w:r w:rsidRPr="003C0BCB">
        <w:rPr>
          <w:i/>
        </w:rPr>
        <w:t>ASIC Regulated Foreign Markets Determination [OTC DET 13/1145]</w:t>
      </w:r>
      <w:r w:rsidR="00B00B96">
        <w:rPr>
          <w:iCs/>
        </w:rPr>
        <w:t xml:space="preserve"> (</w:t>
      </w:r>
      <w:r w:rsidR="00B00B96">
        <w:rPr>
          <w:b/>
          <w:bCs/>
          <w:i/>
        </w:rPr>
        <w:t>Foreign Markets Determination</w:t>
      </w:r>
      <w:r w:rsidR="00593D7B">
        <w:rPr>
          <w:iCs/>
        </w:rPr>
        <w:t>),</w:t>
      </w:r>
    </w:p>
    <w:p w14:paraId="40334BAA" w14:textId="11022765" w:rsidR="001F2612" w:rsidRPr="001F2612" w:rsidRDefault="001F2612" w:rsidP="001F2612">
      <w:pPr>
        <w:pStyle w:val="LI-BodyTextParaa"/>
        <w:ind w:left="567" w:firstLine="0"/>
        <w:rPr>
          <w:iCs/>
        </w:rPr>
      </w:pPr>
      <w:r>
        <w:rPr>
          <w:iCs/>
        </w:rPr>
        <w:t xml:space="preserve">noting that </w:t>
      </w:r>
      <w:r w:rsidRPr="001F2612">
        <w:rPr>
          <w:iCs/>
        </w:rPr>
        <w:t xml:space="preserve">s10 of the </w:t>
      </w:r>
      <w:r w:rsidRPr="003C0BCB">
        <w:rPr>
          <w:i/>
        </w:rPr>
        <w:t>Acts Interpretation Act 1901</w:t>
      </w:r>
      <w:r w:rsidRPr="001F2612">
        <w:rPr>
          <w:iCs/>
        </w:rPr>
        <w:t xml:space="preserve"> and s</w:t>
      </w:r>
      <w:r w:rsidR="00632A9B">
        <w:rPr>
          <w:iCs/>
        </w:rPr>
        <w:t xml:space="preserve">ubparagraph </w:t>
      </w:r>
      <w:r w:rsidRPr="001F2612">
        <w:rPr>
          <w:iCs/>
        </w:rPr>
        <w:t xml:space="preserve">13(1)(a) of the </w:t>
      </w:r>
      <w:r w:rsidRPr="003C0BCB">
        <w:rPr>
          <w:i/>
        </w:rPr>
        <w:t>Legislation Act 2003</w:t>
      </w:r>
      <w:r w:rsidR="00632A9B">
        <w:rPr>
          <w:iCs/>
        </w:rPr>
        <w:t xml:space="preserve"> </w:t>
      </w:r>
      <w:r w:rsidR="000B6DE8">
        <w:rPr>
          <w:iCs/>
        </w:rPr>
        <w:t xml:space="preserve">have </w:t>
      </w:r>
      <w:r w:rsidR="00632A9B">
        <w:rPr>
          <w:iCs/>
        </w:rPr>
        <w:t xml:space="preserve">the </w:t>
      </w:r>
      <w:r w:rsidRPr="001F2612">
        <w:rPr>
          <w:iCs/>
        </w:rPr>
        <w:t>effect that, unless a contrary intention appears:</w:t>
      </w:r>
    </w:p>
    <w:p w14:paraId="0AEA7DFF" w14:textId="15AE352B" w:rsidR="001F2612" w:rsidRDefault="001F2612" w:rsidP="002A2737">
      <w:pPr>
        <w:pStyle w:val="LI-BodyTextParaa"/>
        <w:numPr>
          <w:ilvl w:val="1"/>
          <w:numId w:val="2"/>
        </w:numPr>
        <w:rPr>
          <w:iCs/>
        </w:rPr>
      </w:pPr>
      <w:r w:rsidRPr="001F2612">
        <w:rPr>
          <w:iCs/>
        </w:rPr>
        <w:t>where a legislative instrument contains a reference to a legislative instrument that has been repealed and remade, the reference to the repealed instrument is construed as including a reference to the remade instrument</w:t>
      </w:r>
      <w:r w:rsidR="00B0375A">
        <w:rPr>
          <w:iCs/>
        </w:rPr>
        <w:t>;</w:t>
      </w:r>
      <w:r w:rsidRPr="001F2612">
        <w:rPr>
          <w:iCs/>
        </w:rPr>
        <w:t xml:space="preserve"> and</w:t>
      </w:r>
    </w:p>
    <w:p w14:paraId="58945AEA" w14:textId="459A8EC6" w:rsidR="009A1539" w:rsidRPr="002A2737" w:rsidRDefault="001F2612" w:rsidP="005444EA">
      <w:pPr>
        <w:pStyle w:val="LI-BodyTextParaa"/>
        <w:numPr>
          <w:ilvl w:val="1"/>
          <w:numId w:val="2"/>
        </w:numPr>
        <w:rPr>
          <w:iCs/>
        </w:rPr>
      </w:pPr>
      <w:r w:rsidRPr="002A2737">
        <w:rPr>
          <w:iCs/>
        </w:rPr>
        <w:t>where references to particular provisions of a repealed instrument correspond to the provisions of a remade instrument, those references to the repealed instrument provisions are construed as a reference to the corresponding remade provisions.</w:t>
      </w:r>
    </w:p>
    <w:p w14:paraId="5ED053BF" w14:textId="3EE8281A" w:rsidR="0032180A" w:rsidRDefault="005705B6" w:rsidP="00676F5A">
      <w:pPr>
        <w:pStyle w:val="LI-BodyTextParaa"/>
        <w:numPr>
          <w:ilvl w:val="0"/>
          <w:numId w:val="2"/>
        </w:numPr>
      </w:pPr>
      <w:r w:rsidRPr="00B24D1C">
        <w:rPr>
          <w:iCs/>
        </w:rPr>
        <w:t xml:space="preserve">With the Minister’s consent, ASIC made the </w:t>
      </w:r>
      <w:r w:rsidR="00CD5817" w:rsidRPr="00B24D1C">
        <w:rPr>
          <w:iCs/>
        </w:rPr>
        <w:t>2013 Rules</w:t>
      </w:r>
      <w:r w:rsidRPr="00B24D1C">
        <w:rPr>
          <w:iCs/>
        </w:rPr>
        <w:t xml:space="preserve"> </w:t>
      </w:r>
      <w:r w:rsidR="00E17784">
        <w:rPr>
          <w:iCs/>
        </w:rPr>
        <w:t>on 9 July 2013</w:t>
      </w:r>
      <w:r w:rsidR="008718D7">
        <w:rPr>
          <w:iCs/>
        </w:rPr>
        <w:t>. The 2013 Rules</w:t>
      </w:r>
      <w:r w:rsidRPr="00B24D1C">
        <w:rPr>
          <w:iCs/>
        </w:rPr>
        <w:t xml:space="preserve"> </w:t>
      </w:r>
      <w:r w:rsidR="00C75C60">
        <w:rPr>
          <w:iCs/>
        </w:rPr>
        <w:t>mandate the</w:t>
      </w:r>
      <w:r w:rsidRPr="00B24D1C">
        <w:rPr>
          <w:iCs/>
        </w:rPr>
        <w:t xml:space="preserve"> reporting of OTC derivatives transactions by businesses licensed by ASIC or otherwise authorised to deal in derivatives in Australia. Mandatory reporting of OTC derivatives transactions to trade repositories was a key component of the comprehensive OTC derivatives reform agenda agreed by the G20 </w:t>
      </w:r>
      <w:r w:rsidR="0032180A" w:rsidRPr="00B24D1C">
        <w:rPr>
          <w:iCs/>
        </w:rPr>
        <w:t>l</w:t>
      </w:r>
      <w:r w:rsidRPr="00B24D1C">
        <w:rPr>
          <w:iCs/>
        </w:rPr>
        <w:t>eaders in response to the global financial crisis given the significant economic and social damage that was experienced. The OTC derivatives market</w:t>
      </w:r>
      <w:r w:rsidRPr="005705B6">
        <w:t xml:space="preserve"> reform agenda was developed with the objectives of improving transparency</w:t>
      </w:r>
      <w:r w:rsidR="00D54E61">
        <w:t xml:space="preserve"> to regulators</w:t>
      </w:r>
      <w:r w:rsidRPr="005705B6">
        <w:t>, mitigating systemic risk, and protecting against market abuse.</w:t>
      </w:r>
    </w:p>
    <w:p w14:paraId="26138C3F" w14:textId="19FD1F4E" w:rsidR="008565F4" w:rsidRPr="00FE33D8" w:rsidRDefault="009100DE" w:rsidP="00676F5A">
      <w:pPr>
        <w:pStyle w:val="LI-BodyTextParaa"/>
        <w:numPr>
          <w:ilvl w:val="0"/>
          <w:numId w:val="2"/>
        </w:numPr>
      </w:pPr>
      <w:r w:rsidRPr="009100DE">
        <w:lastRenderedPageBreak/>
        <w:t>Between 2012 and 2018, in various multi-jurisdictional fora, international standards were developed for legal entity identifiers</w:t>
      </w:r>
      <w:r w:rsidR="00A825F2">
        <w:t xml:space="preserve"> (</w:t>
      </w:r>
      <w:r w:rsidR="00A825F2" w:rsidRPr="002E724F">
        <w:rPr>
          <w:b/>
          <w:bCs/>
          <w:i/>
          <w:iCs/>
        </w:rPr>
        <w:t>LEI</w:t>
      </w:r>
      <w:r w:rsidR="00A825F2">
        <w:t>)</w:t>
      </w:r>
      <w:r w:rsidRPr="009100DE">
        <w:t xml:space="preserve">, transaction identifiers, product identifiers and critical data elements for reporting with a view to common adoption across G20 and </w:t>
      </w:r>
      <w:r w:rsidR="008F1192">
        <w:t xml:space="preserve">Financial Stability Board </w:t>
      </w:r>
      <w:r w:rsidR="008C4561">
        <w:t xml:space="preserve">member </w:t>
      </w:r>
      <w:r w:rsidRPr="009100DE">
        <w:t>jurisdictions. Th</w:t>
      </w:r>
      <w:r w:rsidR="005C4CA7">
        <w:t>ese standards were developed</w:t>
      </w:r>
      <w:r w:rsidRPr="009100DE">
        <w:t xml:space="preserve"> to streamline and simplify reporting requirements for businesses and to enable regulatory authorities to more readily aggregate information about internationally traded OTC derivatives and better understand the multiple cross-border connections between counterparties.</w:t>
      </w:r>
    </w:p>
    <w:p w14:paraId="0C994D0C" w14:textId="45F2B7F6" w:rsidR="00736244" w:rsidRDefault="00F94FD5" w:rsidP="00676F5A">
      <w:pPr>
        <w:pStyle w:val="LI-BodyTextParaa"/>
        <w:numPr>
          <w:ilvl w:val="0"/>
          <w:numId w:val="2"/>
        </w:numPr>
      </w:pPr>
      <w:r>
        <w:t xml:space="preserve">In keeping with </w:t>
      </w:r>
      <w:r w:rsidR="000925C6">
        <w:t>steps taken by other jurisdictions s</w:t>
      </w:r>
      <w:r w:rsidR="00AE09EC" w:rsidRPr="00AE09EC">
        <w:t>ince 2020</w:t>
      </w:r>
      <w:r w:rsidR="000925C6">
        <w:t xml:space="preserve"> – the </w:t>
      </w:r>
      <w:r w:rsidR="00C033D6">
        <w:t>United States</w:t>
      </w:r>
      <w:r w:rsidR="0069191D">
        <w:t xml:space="preserve"> (</w:t>
      </w:r>
      <w:r w:rsidR="0069191D" w:rsidRPr="002E724F">
        <w:rPr>
          <w:b/>
          <w:bCs/>
          <w:i/>
          <w:iCs/>
        </w:rPr>
        <w:t>US</w:t>
      </w:r>
      <w:r w:rsidR="0069191D">
        <w:t>)</w:t>
      </w:r>
      <w:r w:rsidR="00C033D6">
        <w:t>, European Union,</w:t>
      </w:r>
      <w:r w:rsidR="00BB0C86">
        <w:t xml:space="preserve"> Hong Kong, </w:t>
      </w:r>
      <w:r w:rsidR="00AE09EC" w:rsidRPr="00AE09EC">
        <w:t>Singapore</w:t>
      </w:r>
      <w:r w:rsidR="00BB0C86">
        <w:t xml:space="preserve">, </w:t>
      </w:r>
      <w:r w:rsidR="00AE09EC" w:rsidRPr="00AE09EC">
        <w:t>the</w:t>
      </w:r>
      <w:r w:rsidR="00C033D6">
        <w:t xml:space="preserve"> United Kingdom</w:t>
      </w:r>
      <w:r w:rsidR="00410507">
        <w:t>,</w:t>
      </w:r>
      <w:r w:rsidR="00AE09EC" w:rsidRPr="00AE09EC">
        <w:t xml:space="preserve"> </w:t>
      </w:r>
      <w:proofErr w:type="gramStart"/>
      <w:r w:rsidR="00AE09EC" w:rsidRPr="00AE09EC">
        <w:t>Canada</w:t>
      </w:r>
      <w:proofErr w:type="gramEnd"/>
      <w:r w:rsidR="00410507">
        <w:t xml:space="preserve"> and Japan</w:t>
      </w:r>
      <w:r w:rsidR="00BB0C86">
        <w:t xml:space="preserve"> </w:t>
      </w:r>
      <w:r w:rsidR="000A1018">
        <w:t>– o</w:t>
      </w:r>
      <w:r w:rsidR="000A1018" w:rsidRPr="000A1018">
        <w:rPr>
          <w:iCs/>
        </w:rPr>
        <w:t xml:space="preserve">ver two rounds of consultation, in November 2020 and May 2022, ASIC made proposals to </w:t>
      </w:r>
      <w:r w:rsidR="009772FE">
        <w:t>implement signific</w:t>
      </w:r>
      <w:r w:rsidR="00B257CD">
        <w:t xml:space="preserve">ant changes to the 2013 Rules, </w:t>
      </w:r>
      <w:r w:rsidR="00696504">
        <w:t>including</w:t>
      </w:r>
      <w:r w:rsidR="002C6459">
        <w:t xml:space="preserve"> to implement the international standards.</w:t>
      </w:r>
    </w:p>
    <w:p w14:paraId="1C899FF5" w14:textId="35133E93" w:rsidR="009D5837" w:rsidRPr="009D5837" w:rsidRDefault="00EB6170" w:rsidP="00676F5A">
      <w:pPr>
        <w:pStyle w:val="LI-BodyTextParaa"/>
        <w:numPr>
          <w:ilvl w:val="0"/>
          <w:numId w:val="2"/>
        </w:numPr>
        <w:rPr>
          <w:iCs/>
        </w:rPr>
      </w:pPr>
      <w:r>
        <w:t>ASIC’s propos</w:t>
      </w:r>
      <w:r w:rsidR="000F6C58">
        <w:t xml:space="preserve">als involved a two-stage </w:t>
      </w:r>
      <w:r w:rsidR="00DB6C2C">
        <w:t xml:space="preserve">rules </w:t>
      </w:r>
      <w:r w:rsidR="00063D99">
        <w:t>change process</w:t>
      </w:r>
      <w:r w:rsidR="00DB6C2C">
        <w:t>.</w:t>
      </w:r>
      <w:r w:rsidR="00063D99">
        <w:t xml:space="preserve"> </w:t>
      </w:r>
      <w:r w:rsidR="00793D3A" w:rsidRPr="00B24D1C">
        <w:rPr>
          <w:iCs/>
        </w:rPr>
        <w:t>The first stage would commence from the 1 October 2023 sunsetting of the 2013 Rules and the second stage would commence six months later</w:t>
      </w:r>
      <w:r w:rsidR="009D5837">
        <w:t>.</w:t>
      </w:r>
    </w:p>
    <w:p w14:paraId="16EE0EC7" w14:textId="52440C07" w:rsidR="001A6FA6" w:rsidRDefault="001A6FA6" w:rsidP="00676F5A">
      <w:pPr>
        <w:pStyle w:val="LI-BodyTextParaa"/>
        <w:numPr>
          <w:ilvl w:val="0"/>
          <w:numId w:val="2"/>
        </w:numPr>
        <w:rPr>
          <w:iCs/>
        </w:rPr>
      </w:pPr>
      <w:r w:rsidRPr="00B24D1C">
        <w:rPr>
          <w:iCs/>
        </w:rPr>
        <w:t>Submissions to the May 2022 consultation strongly favoured that there be only one stage of significant changes to the 2013 Rules and that the changes be appropriately sequenced with the similar changes being made in other major jurisdictions.</w:t>
      </w:r>
      <w:r w:rsidR="007C2649">
        <w:rPr>
          <w:iCs/>
        </w:rPr>
        <w:t xml:space="preserve"> The 2024 Rules implement</w:t>
      </w:r>
      <w:r w:rsidR="00275B99">
        <w:rPr>
          <w:iCs/>
        </w:rPr>
        <w:t>s</w:t>
      </w:r>
      <w:r w:rsidR="007C2649">
        <w:rPr>
          <w:iCs/>
        </w:rPr>
        <w:t xml:space="preserve"> one stage of significant changes, commencing 21 October 2024.</w:t>
      </w:r>
    </w:p>
    <w:p w14:paraId="28D02F1D" w14:textId="18AB0EDE" w:rsidR="00914CC2" w:rsidRPr="00F12D33" w:rsidRDefault="00914CC2" w:rsidP="00914CC2">
      <w:pPr>
        <w:pStyle w:val="LI-BodyTextParaa"/>
        <w:numPr>
          <w:ilvl w:val="0"/>
          <w:numId w:val="2"/>
        </w:numPr>
        <w:rPr>
          <w:bCs/>
        </w:rPr>
      </w:pPr>
      <w:r>
        <w:rPr>
          <w:iCs/>
        </w:rPr>
        <w:t xml:space="preserve">Accordingly, this instrument ensures that, in the interim, </w:t>
      </w:r>
      <w:r w:rsidRPr="00B24D1C">
        <w:rPr>
          <w:iCs/>
        </w:rPr>
        <w:t xml:space="preserve">the requirements for the reporting of OTC derivatives transactions under the 2013 Rules </w:t>
      </w:r>
      <w:r>
        <w:rPr>
          <w:iCs/>
        </w:rPr>
        <w:t xml:space="preserve">are </w:t>
      </w:r>
      <w:r w:rsidR="008340FE">
        <w:rPr>
          <w:iCs/>
        </w:rPr>
        <w:t>remade</w:t>
      </w:r>
      <w:r>
        <w:rPr>
          <w:iCs/>
        </w:rPr>
        <w:t xml:space="preserve"> in </w:t>
      </w:r>
      <w:r w:rsidR="008340FE">
        <w:rPr>
          <w:iCs/>
        </w:rPr>
        <w:t xml:space="preserve">the </w:t>
      </w:r>
      <w:r w:rsidR="00573C14">
        <w:rPr>
          <w:iCs/>
        </w:rPr>
        <w:t>same</w:t>
      </w:r>
      <w:r w:rsidR="008340FE">
        <w:rPr>
          <w:iCs/>
        </w:rPr>
        <w:t xml:space="preserve"> form</w:t>
      </w:r>
      <w:r>
        <w:rPr>
          <w:iCs/>
        </w:rPr>
        <w:t xml:space="preserve"> </w:t>
      </w:r>
      <w:r w:rsidR="008340FE">
        <w:rPr>
          <w:iCs/>
        </w:rPr>
        <w:t xml:space="preserve">under the 2022 Rules, </w:t>
      </w:r>
      <w:r w:rsidRPr="00B24D1C">
        <w:rPr>
          <w:iCs/>
        </w:rPr>
        <w:t>until the commencement of the 2024 Rules</w:t>
      </w:r>
      <w:r>
        <w:rPr>
          <w:iCs/>
        </w:rPr>
        <w:t>.</w:t>
      </w:r>
    </w:p>
    <w:p w14:paraId="2B08BD7F" w14:textId="77777777" w:rsidR="009A3F74" w:rsidRDefault="009A3F74" w:rsidP="009A3F74">
      <w:pPr>
        <w:pStyle w:val="LI-BodyTextNumbered"/>
        <w:ind w:hanging="1134"/>
        <w:rPr>
          <w:b/>
        </w:rPr>
      </w:pPr>
      <w:bookmarkStart w:id="1" w:name="_Hlk534291624"/>
      <w:r>
        <w:rPr>
          <w:b/>
        </w:rPr>
        <w:t>Consultation</w:t>
      </w:r>
    </w:p>
    <w:p w14:paraId="0B29C3F5" w14:textId="1D0E8D2D" w:rsidR="007755D3" w:rsidRDefault="00A669EB" w:rsidP="00676F5A">
      <w:pPr>
        <w:pStyle w:val="LI-BodyTextParaa"/>
        <w:numPr>
          <w:ilvl w:val="0"/>
          <w:numId w:val="2"/>
        </w:numPr>
      </w:pPr>
      <w:r>
        <w:t xml:space="preserve">On </w:t>
      </w:r>
      <w:r w:rsidR="00A45BA3">
        <w:t>27 Nove</w:t>
      </w:r>
      <w:r w:rsidR="000D0A6D">
        <w:t xml:space="preserve">mber 2020, </w:t>
      </w:r>
      <w:r w:rsidR="00046F2A" w:rsidRPr="00046F2A">
        <w:t>ASIC released</w:t>
      </w:r>
      <w:r w:rsidR="007755D3">
        <w:t xml:space="preserve"> </w:t>
      </w:r>
      <w:hyperlink r:id="rId15" w:history="1">
        <w:r w:rsidR="003C5F41" w:rsidRPr="00345239">
          <w:rPr>
            <w:rStyle w:val="Hyperlink"/>
          </w:rPr>
          <w:t>Consultation Paper 334</w:t>
        </w:r>
      </w:hyperlink>
      <w:r w:rsidR="003C5F41">
        <w:rPr>
          <w:i/>
          <w:iCs/>
        </w:rPr>
        <w:t xml:space="preserve"> </w:t>
      </w:r>
      <w:r w:rsidR="00216A33" w:rsidRPr="002A145D">
        <w:rPr>
          <w:i/>
          <w:iCs/>
        </w:rPr>
        <w:t>Proposed changes to simplify the ASIC Derivative Transaction Rules (Reporting): First consultation</w:t>
      </w:r>
      <w:r w:rsidR="00216A33" w:rsidRPr="00216A33">
        <w:t xml:space="preserve"> </w:t>
      </w:r>
      <w:r w:rsidR="007755D3">
        <w:t>(</w:t>
      </w:r>
      <w:r w:rsidR="007755D3" w:rsidRPr="000D0A6D">
        <w:rPr>
          <w:b/>
          <w:bCs/>
          <w:i/>
          <w:iCs/>
        </w:rPr>
        <w:t>CP 334</w:t>
      </w:r>
      <w:r w:rsidR="007755D3">
        <w:t>)</w:t>
      </w:r>
      <w:r w:rsidR="001242AF">
        <w:t>.</w:t>
      </w:r>
    </w:p>
    <w:p w14:paraId="7283E112" w14:textId="50B58CC8" w:rsidR="0031372F" w:rsidRDefault="0031372F" w:rsidP="00676F5A">
      <w:pPr>
        <w:pStyle w:val="LI-BodyTextParaa"/>
        <w:numPr>
          <w:ilvl w:val="0"/>
          <w:numId w:val="2"/>
        </w:numPr>
      </w:pPr>
      <w:r>
        <w:t>CP 334 set out a two-stage consultation process and made a mix of specific and in-</w:t>
      </w:r>
      <w:proofErr w:type="gramStart"/>
      <w:r>
        <w:t>principle</w:t>
      </w:r>
      <w:proofErr w:type="gramEnd"/>
      <w:r>
        <w:t xml:space="preserve"> proposals in relation to</w:t>
      </w:r>
      <w:r w:rsidR="0040290E">
        <w:t xml:space="preserve"> </w:t>
      </w:r>
      <w:r w:rsidR="009E2CED">
        <w:t xml:space="preserve">our </w:t>
      </w:r>
      <w:r w:rsidR="009E2CED">
        <w:rPr>
          <w:iCs/>
        </w:rPr>
        <w:t xml:space="preserve">harmonisation, simplification and </w:t>
      </w:r>
      <w:r w:rsidR="0000382A">
        <w:rPr>
          <w:iCs/>
        </w:rPr>
        <w:t>fit for purpose</w:t>
      </w:r>
      <w:r w:rsidR="009E2CED">
        <w:rPr>
          <w:iCs/>
        </w:rPr>
        <w:t xml:space="preserve"> rules </w:t>
      </w:r>
      <w:r w:rsidR="009E2CED" w:rsidRPr="00B24D1C">
        <w:rPr>
          <w:iCs/>
        </w:rPr>
        <w:t>changes</w:t>
      </w:r>
      <w:r w:rsidR="009E2CED">
        <w:rPr>
          <w:iCs/>
        </w:rPr>
        <w:t xml:space="preserve"> objectives.</w:t>
      </w:r>
    </w:p>
    <w:p w14:paraId="485E5870" w14:textId="4B20A358" w:rsidR="0031372F" w:rsidRDefault="008D71F1" w:rsidP="00676F5A">
      <w:pPr>
        <w:pStyle w:val="LI-BodyTextParaa"/>
        <w:numPr>
          <w:ilvl w:val="0"/>
          <w:numId w:val="2"/>
        </w:numPr>
      </w:pPr>
      <w:r>
        <w:t xml:space="preserve">ASIC </w:t>
      </w:r>
      <w:r w:rsidR="0031372F">
        <w:t>received 40 written submissions to CP 334 from stakeholders including reporting entities (</w:t>
      </w:r>
      <w:r w:rsidR="00852C87" w:rsidRPr="002A2915">
        <w:rPr>
          <w:bCs/>
        </w:rPr>
        <w:t>contracts for difference (</w:t>
      </w:r>
      <w:proofErr w:type="spellStart"/>
      <w:r w:rsidR="00852C87" w:rsidRPr="00AE360F">
        <w:rPr>
          <w:b/>
          <w:i/>
          <w:iCs/>
        </w:rPr>
        <w:t>CFD</w:t>
      </w:r>
      <w:proofErr w:type="spellEnd"/>
      <w:r w:rsidR="00852C87" w:rsidRPr="002A2915">
        <w:rPr>
          <w:bCs/>
        </w:rPr>
        <w:t>)</w:t>
      </w:r>
      <w:r w:rsidR="0031372F">
        <w:t xml:space="preserve"> providers, investment managers </w:t>
      </w:r>
      <w:r w:rsidR="007765ED">
        <w:t xml:space="preserve">and </w:t>
      </w:r>
      <w:r w:rsidR="0031372F">
        <w:t xml:space="preserve">derivatives dealers), industry associations, LEI system entities, a </w:t>
      </w:r>
      <w:r w:rsidR="00423857">
        <w:t xml:space="preserve">derivatives </w:t>
      </w:r>
      <w:r w:rsidR="0031372F">
        <w:t>market operator, a reporting services provider, and a central counterparty.</w:t>
      </w:r>
    </w:p>
    <w:p w14:paraId="6673A5EA" w14:textId="17C85C90" w:rsidR="0031372F" w:rsidRDefault="0031372F" w:rsidP="00676F5A">
      <w:pPr>
        <w:pStyle w:val="LI-BodyTextParaa"/>
        <w:numPr>
          <w:ilvl w:val="0"/>
          <w:numId w:val="2"/>
        </w:numPr>
      </w:pPr>
      <w:r>
        <w:t xml:space="preserve">The submissions were broadly supportive of many of </w:t>
      </w:r>
      <w:r w:rsidR="00CD410D">
        <w:t>the</w:t>
      </w:r>
      <w:r>
        <w:t xml:space="preserve"> proposals, especially to harmonise to the international standards, but there were a number of important concerns raised by stakeholders</w:t>
      </w:r>
      <w:r w:rsidR="0045134C">
        <w:t>.</w:t>
      </w:r>
    </w:p>
    <w:p w14:paraId="7DB0EB0E" w14:textId="1E61745F" w:rsidR="0031372F" w:rsidRDefault="0045134C" w:rsidP="00676F5A">
      <w:pPr>
        <w:pStyle w:val="LI-BodyTextParaa"/>
        <w:numPr>
          <w:ilvl w:val="0"/>
          <w:numId w:val="2"/>
        </w:numPr>
      </w:pPr>
      <w:r>
        <w:lastRenderedPageBreak/>
        <w:t>ASIC</w:t>
      </w:r>
      <w:r w:rsidR="00494DD6">
        <w:t xml:space="preserve"> </w:t>
      </w:r>
      <w:r w:rsidR="0031372F">
        <w:t xml:space="preserve">responded to these concerns and proposed the updated text of the rules in </w:t>
      </w:r>
      <w:r w:rsidR="00BB3F9E">
        <w:fldChar w:fldCharType="begin"/>
      </w:r>
      <w:r w:rsidR="00BB3F9E">
        <w:fldChar w:fldCharType="separate"/>
      </w:r>
      <w:r w:rsidR="00BB3F9E">
        <w:rPr>
          <w:rStyle w:val="Hyperlink"/>
        </w:rPr>
        <w:t>Consultation Paper 361</w:t>
      </w:r>
      <w:r w:rsidR="00BB3F9E">
        <w:rPr>
          <w:rStyle w:val="Hyperlink"/>
        </w:rPr>
        <w:fldChar w:fldCharType="end"/>
      </w:r>
      <w:hyperlink r:id="rId16" w:history="1">
        <w:r w:rsidR="003C5F41" w:rsidRPr="00345239">
          <w:rPr>
            <w:rStyle w:val="Hyperlink"/>
          </w:rPr>
          <w:t>Consultation Paper 361</w:t>
        </w:r>
      </w:hyperlink>
      <w:r w:rsidR="003C5F41" w:rsidRPr="00363C31">
        <w:rPr>
          <w:i/>
        </w:rPr>
        <w:t xml:space="preserve"> </w:t>
      </w:r>
      <w:r w:rsidR="00BB3F9E" w:rsidRPr="00FA4873">
        <w:rPr>
          <w:i/>
          <w:iCs/>
        </w:rPr>
        <w:t>Proposed changes to simplify the ASIC Derivative Transaction Rules (Reporting): Second consultation</w:t>
      </w:r>
      <w:r w:rsidR="00BB3F9E" w:rsidRPr="00BB3F9E">
        <w:t xml:space="preserve"> </w:t>
      </w:r>
      <w:r w:rsidR="0031372F">
        <w:t>(</w:t>
      </w:r>
      <w:r w:rsidR="0031372F" w:rsidRPr="00E26437">
        <w:rPr>
          <w:b/>
          <w:bCs/>
          <w:i/>
          <w:iCs/>
        </w:rPr>
        <w:t>CP 361</w:t>
      </w:r>
      <w:r w:rsidR="0031372F">
        <w:t>), which was released on 1</w:t>
      </w:r>
      <w:r w:rsidR="007C2649">
        <w:t>6</w:t>
      </w:r>
      <w:r w:rsidR="0031372F">
        <w:t xml:space="preserve"> May 2022</w:t>
      </w:r>
      <w:r w:rsidR="005C2CFC">
        <w:t>.</w:t>
      </w:r>
    </w:p>
    <w:p w14:paraId="180ADF05" w14:textId="4374C86D" w:rsidR="00657A2A" w:rsidRDefault="005613B7" w:rsidP="00676F5A">
      <w:pPr>
        <w:pStyle w:val="LI-BodyTextParaa"/>
        <w:numPr>
          <w:ilvl w:val="0"/>
          <w:numId w:val="2"/>
        </w:numPr>
      </w:pPr>
      <w:r>
        <w:t xml:space="preserve">CP 361 </w:t>
      </w:r>
      <w:r w:rsidR="0031372F">
        <w:t xml:space="preserve">set out </w:t>
      </w:r>
      <w:r w:rsidR="00AD2A58">
        <w:t>the</w:t>
      </w:r>
      <w:r w:rsidR="0031372F">
        <w:t xml:space="preserve"> proposed two-stage rules update and implementation process</w:t>
      </w:r>
      <w:r w:rsidR="000F5127">
        <w:t xml:space="preserve"> of:</w:t>
      </w:r>
    </w:p>
    <w:p w14:paraId="6D752D81" w14:textId="5E1B204E" w:rsidR="006B4789" w:rsidRDefault="000F5127" w:rsidP="00676F5A">
      <w:pPr>
        <w:pStyle w:val="LI-BodyTextParaa"/>
        <w:numPr>
          <w:ilvl w:val="1"/>
          <w:numId w:val="2"/>
        </w:numPr>
      </w:pPr>
      <w:r w:rsidRPr="000F5127">
        <w:rPr>
          <w:u w:val="single"/>
        </w:rPr>
        <w:t>Stage 1</w:t>
      </w:r>
      <w:r>
        <w:t xml:space="preserve">: </w:t>
      </w:r>
      <w:r w:rsidR="00CD1933">
        <w:t>w</w:t>
      </w:r>
      <w:r w:rsidR="00A53CED">
        <w:t xml:space="preserve">ith effect from the </w:t>
      </w:r>
      <w:r w:rsidR="00CD0A19">
        <w:t xml:space="preserve">1 October </w:t>
      </w:r>
      <w:r w:rsidR="006B4789">
        <w:t xml:space="preserve">2023 </w:t>
      </w:r>
      <w:r w:rsidR="00A53CED">
        <w:t xml:space="preserve">sunsetting of the </w:t>
      </w:r>
      <w:r w:rsidR="000855D0">
        <w:t xml:space="preserve">2013 </w:t>
      </w:r>
      <w:r w:rsidR="00A53CED">
        <w:t>Rules</w:t>
      </w:r>
      <w:r w:rsidR="00EA62AA">
        <w:t>,</w:t>
      </w:r>
      <w:r w:rsidR="0032245F">
        <w:t xml:space="preserve"> the rules would implement the </w:t>
      </w:r>
      <w:r w:rsidR="004C302D">
        <w:t>LEI</w:t>
      </w:r>
      <w:r w:rsidR="0032245F">
        <w:t xml:space="preserve"> and unique transaction identifier international standards;</w:t>
      </w:r>
      <w:r w:rsidR="0023075B">
        <w:t xml:space="preserve"> make limited </w:t>
      </w:r>
      <w:r w:rsidR="006522B2">
        <w:t xml:space="preserve">functional </w:t>
      </w:r>
      <w:r w:rsidR="0023075B">
        <w:t xml:space="preserve">changes to </w:t>
      </w:r>
      <w:r w:rsidR="00756E29">
        <w:t>the data elements</w:t>
      </w:r>
      <w:r w:rsidR="006522B2">
        <w:t xml:space="preserve"> and </w:t>
      </w:r>
      <w:r w:rsidR="00A56A17">
        <w:t xml:space="preserve">make </w:t>
      </w:r>
      <w:r w:rsidR="000E44A7">
        <w:t xml:space="preserve">some </w:t>
      </w:r>
      <w:r w:rsidR="004144BE">
        <w:t xml:space="preserve">reporting practices </w:t>
      </w:r>
      <w:r w:rsidR="00846D68">
        <w:t>changes</w:t>
      </w:r>
      <w:r w:rsidR="006B4789">
        <w:t>; and</w:t>
      </w:r>
    </w:p>
    <w:p w14:paraId="52EC4C72" w14:textId="51B33BC8" w:rsidR="007461BD" w:rsidRDefault="006B4789" w:rsidP="00676F5A">
      <w:pPr>
        <w:pStyle w:val="LI-BodyTextParaa"/>
        <w:numPr>
          <w:ilvl w:val="1"/>
          <w:numId w:val="2"/>
        </w:numPr>
      </w:pPr>
      <w:r>
        <w:rPr>
          <w:u w:val="single"/>
        </w:rPr>
        <w:t>Stage 2</w:t>
      </w:r>
      <w:r w:rsidRPr="006B4789">
        <w:t>:</w:t>
      </w:r>
      <w:r>
        <w:t xml:space="preserve"> with effect from 1 April 2024</w:t>
      </w:r>
      <w:r w:rsidR="00AF7AE8">
        <w:t xml:space="preserve">, the rules would implement the significant </w:t>
      </w:r>
      <w:r w:rsidR="00A56A17">
        <w:t xml:space="preserve">data element </w:t>
      </w:r>
      <w:r w:rsidR="00805B2E">
        <w:t>changes and new technical formats of reporting.</w:t>
      </w:r>
    </w:p>
    <w:p w14:paraId="7CB829D5" w14:textId="640953A0" w:rsidR="0031372F" w:rsidRDefault="005F606A" w:rsidP="00676F5A">
      <w:pPr>
        <w:pStyle w:val="LI-BodyTextParaa"/>
        <w:numPr>
          <w:ilvl w:val="0"/>
          <w:numId w:val="2"/>
        </w:numPr>
      </w:pPr>
      <w:r>
        <w:t>ASIC</w:t>
      </w:r>
      <w:r w:rsidR="0031372F">
        <w:t xml:space="preserve"> received 10 written submissions to CP 361 from stakeholders including reporting entities (</w:t>
      </w:r>
      <w:proofErr w:type="spellStart"/>
      <w:r w:rsidR="0031372F">
        <w:t>CFD</w:t>
      </w:r>
      <w:proofErr w:type="spellEnd"/>
      <w:r w:rsidR="0031372F">
        <w:t xml:space="preserve"> providers </w:t>
      </w:r>
      <w:r w:rsidR="0057044B">
        <w:t>and</w:t>
      </w:r>
      <w:r w:rsidR="0031372F">
        <w:t xml:space="preserve"> derivatives dealers), industry associations, LEI system entities, a derivative trade repository and trading and reporting services providers.</w:t>
      </w:r>
    </w:p>
    <w:p w14:paraId="4029CD36" w14:textId="2C1CD6BA" w:rsidR="0031372F" w:rsidRDefault="0031372F" w:rsidP="00676F5A">
      <w:pPr>
        <w:pStyle w:val="LI-BodyTextParaa"/>
        <w:numPr>
          <w:ilvl w:val="0"/>
          <w:numId w:val="2"/>
        </w:numPr>
      </w:pPr>
      <w:r>
        <w:t>The submissions were broadly supportive of the technical nature of our proposals but raised concerns about the costs and complexities of a two-stage rules update process</w:t>
      </w:r>
      <w:r w:rsidR="003A003B">
        <w:t xml:space="preserve"> and </w:t>
      </w:r>
      <w:r>
        <w:t xml:space="preserve">the practical implementation of the </w:t>
      </w:r>
      <w:r w:rsidR="008947DC">
        <w:t>unique transaction identifier requirements</w:t>
      </w:r>
      <w:r w:rsidR="00525083">
        <w:t>.</w:t>
      </w:r>
      <w:r w:rsidR="0010187B">
        <w:t xml:space="preserve"> Submissions also </w:t>
      </w:r>
      <w:r w:rsidR="003C50A7">
        <w:t xml:space="preserve">stressed the importance of maximising alignment of the proposed </w:t>
      </w:r>
      <w:r w:rsidR="003A003B">
        <w:t>r</w:t>
      </w:r>
      <w:r w:rsidR="003C50A7">
        <w:t>ules changes with those of other jurisdictions</w:t>
      </w:r>
      <w:r w:rsidR="00541CF2">
        <w:t>,</w:t>
      </w:r>
      <w:r w:rsidR="003C50A7">
        <w:t xml:space="preserve"> as well as appropriately sequencing the timing of implementation to minimise </w:t>
      </w:r>
      <w:r w:rsidR="00F46EBF">
        <w:t>the complexity of making system changes to comply with rules in multiple jurisdictions</w:t>
      </w:r>
      <w:r w:rsidR="0010187B">
        <w:t>.</w:t>
      </w:r>
    </w:p>
    <w:p w14:paraId="54801878" w14:textId="4DC4D621" w:rsidR="00192252" w:rsidRDefault="00A46416" w:rsidP="00676F5A">
      <w:pPr>
        <w:pStyle w:val="LI-BodyTextParaa"/>
        <w:numPr>
          <w:ilvl w:val="0"/>
          <w:numId w:val="2"/>
        </w:numPr>
      </w:pPr>
      <w:r>
        <w:t xml:space="preserve">Our </w:t>
      </w:r>
      <w:r w:rsidR="00213572">
        <w:t xml:space="preserve">conclusions from the CP 361 consultation process </w:t>
      </w:r>
      <w:r w:rsidR="000270AE">
        <w:t>were</w:t>
      </w:r>
      <w:r w:rsidR="00661B7B">
        <w:t xml:space="preserve"> that </w:t>
      </w:r>
      <w:r w:rsidR="007974D3">
        <w:t>the</w:t>
      </w:r>
      <w:r w:rsidR="00B53E3B">
        <w:t xml:space="preserve"> rule changes should </w:t>
      </w:r>
      <w:r w:rsidR="00E42DF5">
        <w:t xml:space="preserve">only </w:t>
      </w:r>
      <w:r w:rsidR="00B94158">
        <w:t xml:space="preserve">be implemented in one stage commencing </w:t>
      </w:r>
      <w:r w:rsidR="00867BD0">
        <w:t>21 October</w:t>
      </w:r>
      <w:r w:rsidR="00B94158">
        <w:t xml:space="preserve"> 2024 </w:t>
      </w:r>
      <w:r w:rsidR="006764AE">
        <w:t>as the 2024 Rules</w:t>
      </w:r>
      <w:r w:rsidR="00192252">
        <w:t>.</w:t>
      </w:r>
    </w:p>
    <w:p w14:paraId="779B336C" w14:textId="698BB886" w:rsidR="0031372F" w:rsidRDefault="00192252" w:rsidP="00676F5A">
      <w:pPr>
        <w:pStyle w:val="LI-BodyTextParaa"/>
        <w:numPr>
          <w:ilvl w:val="0"/>
          <w:numId w:val="2"/>
        </w:numPr>
      </w:pPr>
      <w:r>
        <w:t>I</w:t>
      </w:r>
      <w:r>
        <w:rPr>
          <w:iCs/>
        </w:rPr>
        <w:t>n the interim, t</w:t>
      </w:r>
      <w:r w:rsidRPr="00B24D1C">
        <w:rPr>
          <w:iCs/>
        </w:rPr>
        <w:t xml:space="preserve">his instrument ensures that the requirements for the reporting of OTC derivatives transactions under the 2013 Rules </w:t>
      </w:r>
      <w:r>
        <w:rPr>
          <w:iCs/>
        </w:rPr>
        <w:t xml:space="preserve">are </w:t>
      </w:r>
      <w:r w:rsidRPr="00B24D1C">
        <w:rPr>
          <w:iCs/>
        </w:rPr>
        <w:t>continue</w:t>
      </w:r>
      <w:r>
        <w:rPr>
          <w:iCs/>
        </w:rPr>
        <w:t xml:space="preserve">d in </w:t>
      </w:r>
      <w:r w:rsidR="00F70EC8">
        <w:rPr>
          <w:iCs/>
        </w:rPr>
        <w:t>the same form</w:t>
      </w:r>
      <w:r>
        <w:rPr>
          <w:iCs/>
        </w:rPr>
        <w:t xml:space="preserve"> </w:t>
      </w:r>
      <w:r w:rsidRPr="00B24D1C">
        <w:rPr>
          <w:iCs/>
        </w:rPr>
        <w:t>until the commencement of the 2024 Rules</w:t>
      </w:r>
      <w:r w:rsidR="00191C1D">
        <w:rPr>
          <w:iCs/>
        </w:rPr>
        <w:t>.</w:t>
      </w:r>
    </w:p>
    <w:p w14:paraId="0D85EF3E" w14:textId="7E16DE1B" w:rsidR="0031372F" w:rsidRPr="00C35F6B" w:rsidRDefault="00536AA9" w:rsidP="007755D3">
      <w:pPr>
        <w:pStyle w:val="LI-BodyTextParaa"/>
        <w:ind w:left="567"/>
        <w:rPr>
          <w:u w:val="single"/>
        </w:rPr>
      </w:pPr>
      <w:bookmarkStart w:id="2" w:name="_Hlk119584641"/>
      <w:r w:rsidRPr="00C35F6B">
        <w:rPr>
          <w:u w:val="single"/>
        </w:rPr>
        <w:t>Other consultation</w:t>
      </w:r>
    </w:p>
    <w:p w14:paraId="235CB67D" w14:textId="3AF361B3" w:rsidR="00602B64" w:rsidRPr="00602B64" w:rsidRDefault="0000768D" w:rsidP="00676F5A">
      <w:pPr>
        <w:pStyle w:val="LI-BodyTextParaa"/>
        <w:numPr>
          <w:ilvl w:val="0"/>
          <w:numId w:val="2"/>
        </w:numPr>
        <w:rPr>
          <w:bCs/>
        </w:rPr>
      </w:pPr>
      <w:r>
        <w:t xml:space="preserve">ASIC has </w:t>
      </w:r>
      <w:r w:rsidR="00C35F6B" w:rsidRPr="00C35F6B">
        <w:t xml:space="preserve">consulted with the </w:t>
      </w:r>
      <w:r w:rsidR="00E44CFF">
        <w:t>Reserve Bank of Australia (</w:t>
      </w:r>
      <w:r w:rsidR="00C35F6B" w:rsidRPr="00AE360F">
        <w:rPr>
          <w:b/>
          <w:i/>
          <w:iCs/>
        </w:rPr>
        <w:t>RBA</w:t>
      </w:r>
      <w:r w:rsidR="00E44CFF">
        <w:t>)</w:t>
      </w:r>
      <w:r w:rsidR="00C35F6B" w:rsidRPr="00C35F6B">
        <w:t xml:space="preserve"> and </w:t>
      </w:r>
      <w:r w:rsidR="00E44CFF">
        <w:t>the Australian Prudential Regulat</w:t>
      </w:r>
      <w:r w:rsidR="003908C8">
        <w:t>ion</w:t>
      </w:r>
      <w:r w:rsidR="00E44CFF">
        <w:t xml:space="preserve"> Authority</w:t>
      </w:r>
      <w:r w:rsidR="00C35F6B" w:rsidRPr="00C35F6B">
        <w:t xml:space="preserve"> </w:t>
      </w:r>
      <w:r w:rsidR="00E44CFF">
        <w:t>(</w:t>
      </w:r>
      <w:r w:rsidR="00C35F6B" w:rsidRPr="00AE360F">
        <w:rPr>
          <w:b/>
          <w:i/>
          <w:iCs/>
        </w:rPr>
        <w:t>APRA</w:t>
      </w:r>
      <w:r w:rsidR="00E44CFF">
        <w:t>)</w:t>
      </w:r>
      <w:r w:rsidR="00C35F6B" w:rsidRPr="00C35F6B">
        <w:t xml:space="preserve"> in accordance with the requirements of s</w:t>
      </w:r>
      <w:r w:rsidR="008464B8">
        <w:t xml:space="preserve">ection </w:t>
      </w:r>
      <w:r w:rsidR="00C35F6B" w:rsidRPr="00C35F6B">
        <w:t xml:space="preserve">901J of the </w:t>
      </w:r>
      <w:r w:rsidR="00C35F6B" w:rsidRPr="00AE360F">
        <w:rPr>
          <w:i/>
          <w:iCs/>
        </w:rPr>
        <w:t>Corporations Act</w:t>
      </w:r>
      <w:r w:rsidR="00C2344C" w:rsidRPr="00AE360F">
        <w:rPr>
          <w:i/>
          <w:iCs/>
        </w:rPr>
        <w:t xml:space="preserve"> </w:t>
      </w:r>
      <w:r w:rsidR="00855E6D" w:rsidRPr="00AE360F">
        <w:rPr>
          <w:i/>
          <w:iCs/>
        </w:rPr>
        <w:t>2001</w:t>
      </w:r>
      <w:r w:rsidR="00855E6D">
        <w:t xml:space="preserve"> </w:t>
      </w:r>
      <w:r w:rsidR="00C2344C">
        <w:t xml:space="preserve">(the </w:t>
      </w:r>
      <w:r w:rsidR="009006E5" w:rsidRPr="00AE360F">
        <w:rPr>
          <w:b/>
          <w:bCs/>
          <w:i/>
          <w:iCs/>
        </w:rPr>
        <w:t xml:space="preserve">Corporations </w:t>
      </w:r>
      <w:r w:rsidR="00C2344C" w:rsidRPr="00AE360F">
        <w:rPr>
          <w:b/>
          <w:bCs/>
          <w:i/>
          <w:iCs/>
        </w:rPr>
        <w:t>Act</w:t>
      </w:r>
      <w:r w:rsidR="00C2344C">
        <w:t>)</w:t>
      </w:r>
      <w:r w:rsidR="00C35F6B" w:rsidRPr="00C35F6B">
        <w:t>. The RBA and APRA support</w:t>
      </w:r>
      <w:r w:rsidR="00602B64">
        <w:t>:</w:t>
      </w:r>
    </w:p>
    <w:p w14:paraId="262C7E9D" w14:textId="20A877AE" w:rsidR="007A78D7" w:rsidRPr="007A78D7" w:rsidRDefault="00651B7D" w:rsidP="00676F5A">
      <w:pPr>
        <w:pStyle w:val="LI-BodyTextParaa"/>
        <w:numPr>
          <w:ilvl w:val="1"/>
          <w:numId w:val="2"/>
        </w:numPr>
        <w:rPr>
          <w:bCs/>
        </w:rPr>
      </w:pPr>
      <w:r>
        <w:t xml:space="preserve">the repeal and </w:t>
      </w:r>
      <w:r w:rsidR="0006108A">
        <w:t xml:space="preserve">remake </w:t>
      </w:r>
      <w:r w:rsidR="00BB3279">
        <w:t>of the 2013 Rules with this instrument</w:t>
      </w:r>
      <w:r w:rsidR="00602B64">
        <w:t>; and</w:t>
      </w:r>
    </w:p>
    <w:p w14:paraId="095A7746" w14:textId="7A041AEF" w:rsidR="009A3F74" w:rsidRPr="00FE2FB8" w:rsidRDefault="007A78D7" w:rsidP="00676F5A">
      <w:pPr>
        <w:pStyle w:val="LI-BodyTextParaa"/>
        <w:numPr>
          <w:ilvl w:val="1"/>
          <w:numId w:val="2"/>
        </w:numPr>
        <w:rPr>
          <w:bCs/>
        </w:rPr>
      </w:pPr>
      <w:r>
        <w:t xml:space="preserve">the repeal and replacement of this instrument with the </w:t>
      </w:r>
      <w:r w:rsidR="00BB3279" w:rsidRPr="00BB3279">
        <w:t>2024 Rules</w:t>
      </w:r>
      <w:r>
        <w:t xml:space="preserve"> </w:t>
      </w:r>
      <w:r w:rsidR="00AE2614">
        <w:t>comm</w:t>
      </w:r>
      <w:r w:rsidR="00BB3279" w:rsidRPr="00BB3279">
        <w:t xml:space="preserve">encing </w:t>
      </w:r>
      <w:r w:rsidR="00C86590">
        <w:t>21 October</w:t>
      </w:r>
      <w:r w:rsidR="00BB3279" w:rsidRPr="00BB3279">
        <w:t xml:space="preserve"> 2024.</w:t>
      </w:r>
    </w:p>
    <w:bookmarkEnd w:id="2"/>
    <w:p w14:paraId="57BD332F" w14:textId="77777777" w:rsidR="00C35C59" w:rsidRDefault="00C35C59">
      <w:pPr>
        <w:spacing w:line="240" w:lineRule="auto"/>
        <w:rPr>
          <w:rFonts w:eastAsia="Times New Roman"/>
          <w:b/>
          <w:sz w:val="24"/>
          <w:szCs w:val="24"/>
          <w:lang w:eastAsia="en-AU"/>
        </w:rPr>
      </w:pPr>
      <w:r>
        <w:rPr>
          <w:b/>
        </w:rPr>
        <w:br w:type="page"/>
      </w:r>
    </w:p>
    <w:p w14:paraId="6E9E6C81" w14:textId="044EA283" w:rsidR="005D1FEA" w:rsidRDefault="005D1FEA" w:rsidP="00CE541A">
      <w:pPr>
        <w:pStyle w:val="LI-BodyTextNumbered"/>
        <w:ind w:hanging="1134"/>
        <w:rPr>
          <w:b/>
        </w:rPr>
      </w:pPr>
      <w:r>
        <w:rPr>
          <w:b/>
        </w:rPr>
        <w:lastRenderedPageBreak/>
        <w:t>Operation of the instrument</w:t>
      </w:r>
    </w:p>
    <w:p w14:paraId="667CA7CD" w14:textId="67766771" w:rsidR="00153BB0" w:rsidRPr="00AE7A69" w:rsidRDefault="00153BB0" w:rsidP="00EA66D8">
      <w:pPr>
        <w:pStyle w:val="LI-BodyTextParaa"/>
        <w:tabs>
          <w:tab w:val="left" w:pos="1134"/>
        </w:tabs>
        <w:ind w:left="0" w:firstLine="0"/>
        <w:rPr>
          <w:u w:val="single"/>
        </w:rPr>
      </w:pPr>
      <w:bookmarkStart w:id="3" w:name="_Toc290981880"/>
      <w:bookmarkStart w:id="4" w:name="_Toc306261282"/>
      <w:bookmarkStart w:id="5" w:name="_Toc111610211"/>
      <w:bookmarkStart w:id="6" w:name="_Hlk114832739"/>
      <w:r w:rsidRPr="00AE7A69">
        <w:rPr>
          <w:u w:val="single"/>
        </w:rPr>
        <w:t xml:space="preserve">Chapter </w:t>
      </w:r>
      <w:r w:rsidR="00EC050A" w:rsidRPr="00AE7A69">
        <w:rPr>
          <w:u w:val="single"/>
        </w:rPr>
        <w:t>1:</w:t>
      </w:r>
      <w:r w:rsidRPr="00AE7A69">
        <w:rPr>
          <w:u w:val="single"/>
        </w:rPr>
        <w:t xml:space="preserve"> Introduction</w:t>
      </w:r>
      <w:bookmarkEnd w:id="3"/>
      <w:bookmarkEnd w:id="4"/>
      <w:bookmarkEnd w:id="5"/>
    </w:p>
    <w:p w14:paraId="573E4BEC" w14:textId="43DAFA8D" w:rsidR="00153BB0" w:rsidRPr="00AE7A69" w:rsidRDefault="00153BB0" w:rsidP="00EA66D8">
      <w:pPr>
        <w:pStyle w:val="LI-BodyTextParaa"/>
        <w:ind w:left="0" w:firstLine="0"/>
        <w:rPr>
          <w:u w:val="single"/>
        </w:rPr>
      </w:pPr>
      <w:bookmarkStart w:id="7" w:name="_Toc290981881"/>
      <w:bookmarkStart w:id="8" w:name="_Toc111610212"/>
      <w:bookmarkEnd w:id="6"/>
      <w:r w:rsidRPr="00AE7A69">
        <w:rPr>
          <w:u w:val="single"/>
        </w:rPr>
        <w:t>Part 1.1</w:t>
      </w:r>
      <w:r w:rsidR="00AE7A69" w:rsidRPr="00AE7A69">
        <w:rPr>
          <w:u w:val="single"/>
        </w:rPr>
        <w:t xml:space="preserve"> </w:t>
      </w:r>
      <w:r w:rsidRPr="00AE7A69">
        <w:rPr>
          <w:u w:val="single"/>
        </w:rPr>
        <w:t>Preliminary</w:t>
      </w:r>
      <w:bookmarkEnd w:id="7"/>
      <w:bookmarkEnd w:id="8"/>
    </w:p>
    <w:p w14:paraId="64CE3390" w14:textId="28894106" w:rsidR="00CA769E" w:rsidRDefault="00CA769E" w:rsidP="00676F5A">
      <w:pPr>
        <w:pStyle w:val="LI-BodyTextParaa"/>
        <w:numPr>
          <w:ilvl w:val="0"/>
          <w:numId w:val="2"/>
        </w:numPr>
      </w:pPr>
      <w:r>
        <w:t xml:space="preserve">Rule 1.1.1 provides that ASIC makes the instrument under section 901A of the </w:t>
      </w:r>
      <w:r w:rsidR="008464B8">
        <w:t xml:space="preserve">Corporations </w:t>
      </w:r>
      <w:r>
        <w:t xml:space="preserve">Act. Section 901A of the </w:t>
      </w:r>
      <w:r w:rsidR="008464B8">
        <w:t xml:space="preserve">Corporations </w:t>
      </w:r>
      <w:r>
        <w:t>Act empowers ASIC to make derivative transaction rules imposing reporting requirements.</w:t>
      </w:r>
    </w:p>
    <w:p w14:paraId="0458699B" w14:textId="01A1FACB" w:rsidR="00CA769E" w:rsidRDefault="00CA769E" w:rsidP="00676F5A">
      <w:pPr>
        <w:pStyle w:val="LI-BodyTextParaa"/>
        <w:numPr>
          <w:ilvl w:val="0"/>
          <w:numId w:val="2"/>
        </w:numPr>
      </w:pPr>
      <w:r>
        <w:t xml:space="preserve">Rule 1.1.2 provides that the instrument is the </w:t>
      </w:r>
      <w:r w:rsidRPr="00082022">
        <w:rPr>
          <w:i/>
          <w:iCs/>
        </w:rPr>
        <w:t xml:space="preserve">ASIC Derivative Transaction Rules (Reporting) </w:t>
      </w:r>
      <w:r w:rsidR="00DA1150">
        <w:rPr>
          <w:i/>
          <w:iCs/>
        </w:rPr>
        <w:t>2022</w:t>
      </w:r>
      <w:r>
        <w:t>.</w:t>
      </w:r>
    </w:p>
    <w:p w14:paraId="5858E2CC" w14:textId="690FDBC2" w:rsidR="00515D7E" w:rsidRDefault="00CA769E" w:rsidP="00676F5A">
      <w:pPr>
        <w:pStyle w:val="LI-BodyTextParaa"/>
        <w:numPr>
          <w:ilvl w:val="0"/>
          <w:numId w:val="2"/>
        </w:numPr>
      </w:pPr>
      <w:r>
        <w:t xml:space="preserve">Rule 1.1.3 </w:t>
      </w:r>
      <w:r w:rsidR="007069AD" w:rsidRPr="00191870">
        <w:rPr>
          <w:sz w:val="23"/>
          <w:szCs w:val="23"/>
        </w:rPr>
        <w:t>provides that the instrument commence</w:t>
      </w:r>
      <w:r w:rsidR="00833601">
        <w:rPr>
          <w:sz w:val="23"/>
          <w:szCs w:val="23"/>
        </w:rPr>
        <w:t>s</w:t>
      </w:r>
      <w:r w:rsidR="007069AD" w:rsidRPr="00191870">
        <w:rPr>
          <w:sz w:val="23"/>
          <w:szCs w:val="23"/>
        </w:rPr>
        <w:t xml:space="preserve"> on the day after the instrument is registered </w:t>
      </w:r>
      <w:r w:rsidR="00833601" w:rsidRPr="00515D7E">
        <w:t>on the Federal Register of Legislation</w:t>
      </w:r>
      <w:r w:rsidR="00833601">
        <w:t>.</w:t>
      </w:r>
    </w:p>
    <w:p w14:paraId="55CC129A" w14:textId="5B702DE1" w:rsidR="00364A37" w:rsidRPr="00364A37" w:rsidRDefault="00C64E78" w:rsidP="00676F5A">
      <w:pPr>
        <w:pStyle w:val="LI-BodyTextParaa"/>
        <w:numPr>
          <w:ilvl w:val="0"/>
          <w:numId w:val="2"/>
        </w:numPr>
      </w:pPr>
      <w:r>
        <w:t xml:space="preserve">Rule 1.1.3A provides that the instrument </w:t>
      </w:r>
      <w:r w:rsidRPr="000C3234">
        <w:rPr>
          <w:i/>
          <w:iCs/>
        </w:rPr>
        <w:t>ASIC Derivative Transaction Rules (Reporting) 2013</w:t>
      </w:r>
      <w:r>
        <w:t xml:space="preserve"> is repealed.</w:t>
      </w:r>
    </w:p>
    <w:p w14:paraId="474A354F" w14:textId="19F0E006" w:rsidR="0066174E" w:rsidRPr="00C40F71" w:rsidRDefault="007C284C" w:rsidP="00F43554">
      <w:pPr>
        <w:pStyle w:val="LI-BodyTextParaa"/>
        <w:numPr>
          <w:ilvl w:val="0"/>
          <w:numId w:val="2"/>
        </w:numPr>
        <w:rPr>
          <w:bCs/>
        </w:rPr>
      </w:pPr>
      <w:r>
        <w:t>Rule 1.1.4 provides that t</w:t>
      </w:r>
      <w:r w:rsidRPr="00364A37">
        <w:t xml:space="preserve">he maximum pecuniary penalty payable for a contravention of a provision of the </w:t>
      </w:r>
      <w:r w:rsidR="008A4A33">
        <w:t xml:space="preserve">2022 </w:t>
      </w:r>
      <w:r>
        <w:t>R</w:t>
      </w:r>
      <w:r w:rsidRPr="00364A37">
        <w:t>ules is an amount determined by the Court under section 1317G of the Corporations Act.</w:t>
      </w:r>
      <w:r w:rsidR="00CE7E98">
        <w:t xml:space="preserve"> </w:t>
      </w:r>
    </w:p>
    <w:p w14:paraId="677CEC17" w14:textId="77777777" w:rsidR="006C07A5" w:rsidRPr="000A494E" w:rsidRDefault="006C07A5" w:rsidP="00F43554">
      <w:pPr>
        <w:pStyle w:val="LI-BodyTextParaa"/>
        <w:ind w:left="0" w:firstLine="0"/>
        <w:rPr>
          <w:bCs/>
          <w:u w:val="single"/>
        </w:rPr>
      </w:pPr>
      <w:r w:rsidRPr="000A494E">
        <w:rPr>
          <w:bCs/>
          <w:u w:val="single"/>
        </w:rPr>
        <w:t>Part 1.2 Interpretation</w:t>
      </w:r>
    </w:p>
    <w:p w14:paraId="40F1FB1E" w14:textId="4B6E441C" w:rsidR="004B32AE" w:rsidRPr="00730187" w:rsidRDefault="004B32AE" w:rsidP="004B32AE">
      <w:pPr>
        <w:pStyle w:val="LI-BodyTextParaa"/>
        <w:numPr>
          <w:ilvl w:val="0"/>
          <w:numId w:val="2"/>
        </w:numPr>
      </w:pPr>
      <w:r w:rsidRPr="00730187">
        <w:t xml:space="preserve">Rule 1.2.1 provides that, in the </w:t>
      </w:r>
      <w:r w:rsidR="000601BA">
        <w:t>2022 R</w:t>
      </w:r>
      <w:r w:rsidRPr="00730187">
        <w:t>ules, unless the contrary intention appears, a reference to time is to Australian Eastern Standard Time (AEST) or Australian Eastern Daylight Time (AEDT), as applicable, in Sydney, Australia.</w:t>
      </w:r>
    </w:p>
    <w:p w14:paraId="180E75C6" w14:textId="11C48344" w:rsidR="00455A74" w:rsidRPr="008F2C09" w:rsidRDefault="00455A74" w:rsidP="00676F5A">
      <w:pPr>
        <w:pStyle w:val="LI-BodyTextParaa"/>
        <w:numPr>
          <w:ilvl w:val="0"/>
          <w:numId w:val="2"/>
        </w:numPr>
      </w:pPr>
      <w:r w:rsidRPr="008F2C09">
        <w:rPr>
          <w:bCs/>
        </w:rPr>
        <w:t xml:space="preserve">Rule 1.2.2 provides that words and expressions defined in the </w:t>
      </w:r>
      <w:r w:rsidR="00D02F79">
        <w:rPr>
          <w:bCs/>
        </w:rPr>
        <w:t xml:space="preserve">Corporations </w:t>
      </w:r>
      <w:r w:rsidRPr="008F2C09">
        <w:rPr>
          <w:bCs/>
        </w:rPr>
        <w:t xml:space="preserve">Act will, unless otherwise defined or specified in the </w:t>
      </w:r>
      <w:r w:rsidR="000601BA">
        <w:rPr>
          <w:bCs/>
        </w:rPr>
        <w:t xml:space="preserve">2022 </w:t>
      </w:r>
      <w:r w:rsidRPr="008F2C09">
        <w:rPr>
          <w:bCs/>
        </w:rPr>
        <w:t xml:space="preserve">Rules or the contrary intention appears, have the same meaning in the </w:t>
      </w:r>
      <w:r w:rsidR="000601BA">
        <w:rPr>
          <w:bCs/>
        </w:rPr>
        <w:t xml:space="preserve">2022 </w:t>
      </w:r>
      <w:r w:rsidRPr="008F2C09">
        <w:rPr>
          <w:bCs/>
        </w:rPr>
        <w:t xml:space="preserve">Rules. For convenience, some words and expressions defined in the </w:t>
      </w:r>
      <w:r w:rsidR="00D02F79">
        <w:rPr>
          <w:bCs/>
        </w:rPr>
        <w:t xml:space="preserve">Corporations </w:t>
      </w:r>
      <w:r w:rsidRPr="008F2C09">
        <w:rPr>
          <w:bCs/>
        </w:rPr>
        <w:t>Act are cross-referenced in Rule 1.2.3.</w:t>
      </w:r>
    </w:p>
    <w:p w14:paraId="200D93AB" w14:textId="74FE227D" w:rsidR="00455A74" w:rsidRDefault="00455A74" w:rsidP="00676F5A">
      <w:pPr>
        <w:pStyle w:val="LI-BodyTextParaa"/>
        <w:numPr>
          <w:ilvl w:val="0"/>
          <w:numId w:val="2"/>
        </w:numPr>
        <w:rPr>
          <w:bCs/>
        </w:rPr>
      </w:pPr>
      <w:r w:rsidRPr="007D6FE5">
        <w:rPr>
          <w:bCs/>
        </w:rPr>
        <w:t xml:space="preserve">Rule 1.2.3 provides definitions for terms used in the </w:t>
      </w:r>
      <w:r w:rsidR="000601BA">
        <w:rPr>
          <w:bCs/>
        </w:rPr>
        <w:t xml:space="preserve">2022 </w:t>
      </w:r>
      <w:r w:rsidRPr="007D6FE5">
        <w:rPr>
          <w:bCs/>
        </w:rPr>
        <w:t>Rules</w:t>
      </w:r>
      <w:r w:rsidR="0004795E">
        <w:rPr>
          <w:bCs/>
        </w:rPr>
        <w:t>. This includes but is not limited to</w:t>
      </w:r>
      <w:r w:rsidR="00EE0E94">
        <w:rPr>
          <w:bCs/>
        </w:rPr>
        <w:t xml:space="preserve"> the terms</w:t>
      </w:r>
      <w:r w:rsidR="003E0A20">
        <w:rPr>
          <w:bCs/>
        </w:rPr>
        <w:t xml:space="preserve"> “</w:t>
      </w:r>
      <w:r w:rsidR="00270EEB">
        <w:rPr>
          <w:bCs/>
        </w:rPr>
        <w:t>p</w:t>
      </w:r>
      <w:r w:rsidR="003E0A20">
        <w:rPr>
          <w:bCs/>
        </w:rPr>
        <w:t xml:space="preserve">rescribed </w:t>
      </w:r>
      <w:r w:rsidR="00270EEB">
        <w:rPr>
          <w:bCs/>
        </w:rPr>
        <w:t>c</w:t>
      </w:r>
      <w:r w:rsidR="003E0A20">
        <w:rPr>
          <w:bCs/>
        </w:rPr>
        <w:t>lass” and “</w:t>
      </w:r>
      <w:r w:rsidR="00270EEB">
        <w:rPr>
          <w:bCs/>
        </w:rPr>
        <w:t>p</w:t>
      </w:r>
      <w:r w:rsidR="003E0A20">
        <w:rPr>
          <w:bCs/>
        </w:rPr>
        <w:t xml:space="preserve">rescribed </w:t>
      </w:r>
      <w:r w:rsidR="00270EEB">
        <w:rPr>
          <w:bCs/>
        </w:rPr>
        <w:t>r</w:t>
      </w:r>
      <w:r w:rsidR="003E0A20">
        <w:rPr>
          <w:bCs/>
        </w:rPr>
        <w:t>epository”</w:t>
      </w:r>
      <w:r w:rsidR="00EE0E94">
        <w:rPr>
          <w:bCs/>
        </w:rPr>
        <w:t>.</w:t>
      </w:r>
    </w:p>
    <w:p w14:paraId="5C7BF830" w14:textId="660DBCEC" w:rsidR="0065157D" w:rsidRPr="00F43554" w:rsidRDefault="00EE0E94" w:rsidP="00AE360F">
      <w:pPr>
        <w:pStyle w:val="LI-BodyTextParaa"/>
        <w:numPr>
          <w:ilvl w:val="0"/>
          <w:numId w:val="2"/>
        </w:numPr>
        <w:rPr>
          <w:bCs/>
        </w:rPr>
      </w:pPr>
      <w:r>
        <w:rPr>
          <w:bCs/>
        </w:rPr>
        <w:t xml:space="preserve">Rule </w:t>
      </w:r>
      <w:r w:rsidR="0065157D">
        <w:rPr>
          <w:bCs/>
        </w:rPr>
        <w:t xml:space="preserve">1.2.3 defines </w:t>
      </w:r>
      <w:r w:rsidR="0004795E" w:rsidRPr="00AE360F">
        <w:rPr>
          <w:bCs/>
        </w:rPr>
        <w:t>“</w:t>
      </w:r>
      <w:r w:rsidR="00270EEB">
        <w:rPr>
          <w:bCs/>
        </w:rPr>
        <w:t>p</w:t>
      </w:r>
      <w:r w:rsidR="000F396A" w:rsidRPr="00AE360F">
        <w:rPr>
          <w:bCs/>
        </w:rPr>
        <w:t xml:space="preserve">rescribed </w:t>
      </w:r>
      <w:r w:rsidR="00270EEB">
        <w:rPr>
          <w:bCs/>
        </w:rPr>
        <w:t>c</w:t>
      </w:r>
      <w:r w:rsidR="000F396A" w:rsidRPr="00AE360F">
        <w:rPr>
          <w:bCs/>
        </w:rPr>
        <w:t>lass</w:t>
      </w:r>
      <w:r w:rsidR="0065157D">
        <w:rPr>
          <w:bCs/>
        </w:rPr>
        <w:t>” as</w:t>
      </w:r>
      <w:r w:rsidR="000F396A" w:rsidRPr="00EE0E94">
        <w:rPr>
          <w:bCs/>
        </w:rPr>
        <w:t xml:space="preserve"> a class of </w:t>
      </w:r>
      <w:r w:rsidR="0065157D">
        <w:rPr>
          <w:bCs/>
        </w:rPr>
        <w:t>d</w:t>
      </w:r>
      <w:r w:rsidR="000F396A" w:rsidRPr="003C5F41">
        <w:rPr>
          <w:bCs/>
        </w:rPr>
        <w:t>erivatives that the Minister has determined, under section 901B of the</w:t>
      </w:r>
      <w:r w:rsidR="0065157D">
        <w:rPr>
          <w:bCs/>
        </w:rPr>
        <w:t xml:space="preserve"> Corporations</w:t>
      </w:r>
      <w:r w:rsidR="000F396A" w:rsidRPr="00F43554">
        <w:rPr>
          <w:bCs/>
        </w:rPr>
        <w:t xml:space="preserve"> Act, as a class of </w:t>
      </w:r>
      <w:r w:rsidR="0065157D">
        <w:rPr>
          <w:bCs/>
        </w:rPr>
        <w:t>d</w:t>
      </w:r>
      <w:r w:rsidR="000F396A" w:rsidRPr="00F43554">
        <w:rPr>
          <w:bCs/>
        </w:rPr>
        <w:t xml:space="preserve">erivatives in relation to which </w:t>
      </w:r>
      <w:r w:rsidR="0065157D">
        <w:rPr>
          <w:bCs/>
        </w:rPr>
        <w:t>r</w:t>
      </w:r>
      <w:r w:rsidR="000F396A" w:rsidRPr="003C5F41">
        <w:rPr>
          <w:bCs/>
        </w:rPr>
        <w:t xml:space="preserve">eporting </w:t>
      </w:r>
      <w:r w:rsidR="0065157D">
        <w:rPr>
          <w:bCs/>
        </w:rPr>
        <w:t>r</w:t>
      </w:r>
      <w:r w:rsidR="000F396A" w:rsidRPr="003C5F41">
        <w:rPr>
          <w:bCs/>
        </w:rPr>
        <w:t>equirements may be imposed (and that determination has not been revoked).</w:t>
      </w:r>
    </w:p>
    <w:p w14:paraId="1D42233F" w14:textId="43A7C5DB" w:rsidR="00841CEC" w:rsidRPr="00072219" w:rsidRDefault="00E33B2D" w:rsidP="00AE360F">
      <w:pPr>
        <w:pStyle w:val="LI-BodyTextParaa"/>
        <w:numPr>
          <w:ilvl w:val="0"/>
          <w:numId w:val="2"/>
        </w:numPr>
      </w:pPr>
      <w:r w:rsidRPr="00072219">
        <w:t xml:space="preserve">On 2 May 2013, </w:t>
      </w:r>
      <w:r w:rsidR="007A5D15" w:rsidRPr="00072219">
        <w:t xml:space="preserve">the Minister made </w:t>
      </w:r>
      <w:r w:rsidR="007A5D15" w:rsidRPr="00072219">
        <w:rPr>
          <w:i/>
          <w:iCs/>
        </w:rPr>
        <w:t>Corporations (Derivatives) Determination 2013</w:t>
      </w:r>
      <w:r w:rsidR="00954C29" w:rsidRPr="00072219">
        <w:t xml:space="preserve"> that sets out</w:t>
      </w:r>
      <w:r w:rsidR="003555E9" w:rsidRPr="00072219">
        <w:t>,</w:t>
      </w:r>
      <w:r w:rsidR="00954C29" w:rsidRPr="00072219">
        <w:t xml:space="preserve"> for subsection 901B(2) of the </w:t>
      </w:r>
      <w:r w:rsidR="00794848" w:rsidRPr="00072219">
        <w:t>Corporation</w:t>
      </w:r>
      <w:r w:rsidR="000502A3" w:rsidRPr="00072219">
        <w:t>s</w:t>
      </w:r>
      <w:r w:rsidR="00794848" w:rsidRPr="00072219">
        <w:t xml:space="preserve"> </w:t>
      </w:r>
      <w:r w:rsidR="00954C29" w:rsidRPr="00072219">
        <w:t>Act</w:t>
      </w:r>
      <w:r w:rsidR="003555E9" w:rsidRPr="00072219">
        <w:t xml:space="preserve">, </w:t>
      </w:r>
      <w:r w:rsidR="005E0527" w:rsidRPr="00072219">
        <w:t xml:space="preserve">the </w:t>
      </w:r>
      <w:r w:rsidR="003555E9" w:rsidRPr="00072219">
        <w:t xml:space="preserve">classes of derivatives in relation to which </w:t>
      </w:r>
      <w:r w:rsidR="00841CEC" w:rsidRPr="00072219">
        <w:t>reporting requirements may be imposed as:</w:t>
      </w:r>
    </w:p>
    <w:p w14:paraId="1A65938C" w14:textId="0D2004B7" w:rsidR="003C7DF7" w:rsidRDefault="003C7DF7" w:rsidP="003C7DF7">
      <w:pPr>
        <w:pStyle w:val="LI-BodyTextParaa"/>
        <w:numPr>
          <w:ilvl w:val="1"/>
          <w:numId w:val="2"/>
        </w:numPr>
      </w:pPr>
      <w:r>
        <w:t xml:space="preserve">commodity derivatives that are not electricity </w:t>
      </w:r>
      <w:proofErr w:type="gramStart"/>
      <w:r>
        <w:t>derivatives;</w:t>
      </w:r>
      <w:proofErr w:type="gramEnd"/>
    </w:p>
    <w:p w14:paraId="5A68B64D" w14:textId="23D8B4F5" w:rsidR="003C7DF7" w:rsidRDefault="003C7DF7" w:rsidP="003C7DF7">
      <w:pPr>
        <w:pStyle w:val="LI-BodyTextParaa"/>
        <w:numPr>
          <w:ilvl w:val="1"/>
          <w:numId w:val="2"/>
        </w:numPr>
      </w:pPr>
      <w:r>
        <w:t xml:space="preserve">credit </w:t>
      </w:r>
      <w:proofErr w:type="gramStart"/>
      <w:r>
        <w:t>derivatives;</w:t>
      </w:r>
      <w:proofErr w:type="gramEnd"/>
    </w:p>
    <w:p w14:paraId="2817E5AC" w14:textId="5C22377C" w:rsidR="003C7DF7" w:rsidRDefault="003C7DF7" w:rsidP="003C7DF7">
      <w:pPr>
        <w:pStyle w:val="LI-BodyTextParaa"/>
        <w:numPr>
          <w:ilvl w:val="1"/>
          <w:numId w:val="2"/>
        </w:numPr>
      </w:pPr>
      <w:r>
        <w:t xml:space="preserve">equity </w:t>
      </w:r>
      <w:proofErr w:type="gramStart"/>
      <w:r>
        <w:t>derivatives;</w:t>
      </w:r>
      <w:proofErr w:type="gramEnd"/>
    </w:p>
    <w:p w14:paraId="68720311" w14:textId="6C672BA7" w:rsidR="00FD0658" w:rsidRDefault="003C7DF7" w:rsidP="00AB3E59">
      <w:pPr>
        <w:pStyle w:val="LI-BodyTextParaa"/>
        <w:numPr>
          <w:ilvl w:val="1"/>
          <w:numId w:val="2"/>
        </w:numPr>
      </w:pPr>
      <w:r>
        <w:lastRenderedPageBreak/>
        <w:t xml:space="preserve">foreign exchange </w:t>
      </w:r>
      <w:proofErr w:type="gramStart"/>
      <w:r>
        <w:t>derivatives;</w:t>
      </w:r>
      <w:proofErr w:type="gramEnd"/>
    </w:p>
    <w:p w14:paraId="2C74DD62" w14:textId="702660F0" w:rsidR="005E0527" w:rsidRPr="003C7DF7" w:rsidRDefault="003C7DF7" w:rsidP="00AB3E59">
      <w:pPr>
        <w:pStyle w:val="LI-BodyTextParaa"/>
        <w:numPr>
          <w:ilvl w:val="1"/>
          <w:numId w:val="2"/>
        </w:numPr>
        <w:rPr>
          <w:bCs/>
        </w:rPr>
      </w:pPr>
      <w:r>
        <w:t>interest rate derivatives.</w:t>
      </w:r>
    </w:p>
    <w:p w14:paraId="51598363" w14:textId="441A0775" w:rsidR="00FA4CCF" w:rsidRPr="00AE360F" w:rsidRDefault="00CB5478" w:rsidP="00AE360F">
      <w:pPr>
        <w:pStyle w:val="MIRBodyText"/>
        <w:numPr>
          <w:ilvl w:val="0"/>
          <w:numId w:val="2"/>
        </w:numPr>
        <w:tabs>
          <w:tab w:val="clear" w:pos="851"/>
        </w:tabs>
        <w:rPr>
          <w:sz w:val="24"/>
          <w:szCs w:val="24"/>
        </w:rPr>
      </w:pPr>
      <w:r>
        <w:rPr>
          <w:bCs/>
          <w:iCs/>
          <w:sz w:val="24"/>
          <w:szCs w:val="24"/>
        </w:rPr>
        <w:t>Rule 1.</w:t>
      </w:r>
      <w:r w:rsidR="001D67D4">
        <w:rPr>
          <w:bCs/>
          <w:iCs/>
          <w:sz w:val="24"/>
          <w:szCs w:val="24"/>
        </w:rPr>
        <w:t>2.3</w:t>
      </w:r>
      <w:r>
        <w:rPr>
          <w:bCs/>
          <w:iCs/>
          <w:sz w:val="24"/>
          <w:szCs w:val="24"/>
        </w:rPr>
        <w:t xml:space="preserve"> defines </w:t>
      </w:r>
      <w:r w:rsidRPr="00F43554">
        <w:rPr>
          <w:bCs/>
          <w:iCs/>
          <w:sz w:val="24"/>
          <w:szCs w:val="24"/>
        </w:rPr>
        <w:t>“</w:t>
      </w:r>
      <w:r w:rsidR="00270EEB">
        <w:rPr>
          <w:bCs/>
          <w:iCs/>
          <w:sz w:val="24"/>
          <w:szCs w:val="24"/>
        </w:rPr>
        <w:t>p</w:t>
      </w:r>
      <w:r w:rsidR="00FA4CCF" w:rsidRPr="00AE360F">
        <w:rPr>
          <w:bCs/>
          <w:iCs/>
          <w:sz w:val="24"/>
          <w:szCs w:val="24"/>
        </w:rPr>
        <w:t xml:space="preserve">rescribed </w:t>
      </w:r>
      <w:r w:rsidR="00270EEB">
        <w:rPr>
          <w:bCs/>
          <w:iCs/>
          <w:sz w:val="24"/>
          <w:szCs w:val="24"/>
        </w:rPr>
        <w:t>r</w:t>
      </w:r>
      <w:r w:rsidR="00FA4CCF" w:rsidRPr="00AE360F">
        <w:rPr>
          <w:bCs/>
          <w:iCs/>
          <w:sz w:val="24"/>
          <w:szCs w:val="24"/>
        </w:rPr>
        <w:t>epository</w:t>
      </w:r>
      <w:r w:rsidRPr="00AE360F">
        <w:rPr>
          <w:bCs/>
          <w:iCs/>
          <w:sz w:val="24"/>
          <w:szCs w:val="24"/>
        </w:rPr>
        <w:t>”</w:t>
      </w:r>
      <w:r>
        <w:rPr>
          <w:b/>
          <w:i/>
          <w:sz w:val="24"/>
          <w:szCs w:val="24"/>
        </w:rPr>
        <w:t xml:space="preserve"> </w:t>
      </w:r>
      <w:r>
        <w:rPr>
          <w:bCs/>
          <w:iCs/>
          <w:sz w:val="24"/>
          <w:szCs w:val="24"/>
        </w:rPr>
        <w:t xml:space="preserve">as </w:t>
      </w:r>
      <w:r w:rsidR="00FA4CCF" w:rsidRPr="00AE360F">
        <w:rPr>
          <w:sz w:val="24"/>
          <w:szCs w:val="24"/>
        </w:rPr>
        <w:t xml:space="preserve">a prescribed derivative trade repository as defined in section 761A of the </w:t>
      </w:r>
      <w:r w:rsidR="00794848" w:rsidRPr="00F43554">
        <w:rPr>
          <w:sz w:val="24"/>
          <w:szCs w:val="24"/>
        </w:rPr>
        <w:t xml:space="preserve">Corporations </w:t>
      </w:r>
      <w:r w:rsidR="00FA4CCF" w:rsidRPr="00AE360F">
        <w:rPr>
          <w:sz w:val="24"/>
          <w:szCs w:val="24"/>
        </w:rPr>
        <w:t>Act.</w:t>
      </w:r>
    </w:p>
    <w:p w14:paraId="0F3A79A6" w14:textId="175DAF8F" w:rsidR="00FA4CCF" w:rsidRPr="00C01A84" w:rsidRDefault="00C74B27" w:rsidP="00AE360F">
      <w:pPr>
        <w:pStyle w:val="MIRBodyText"/>
        <w:numPr>
          <w:ilvl w:val="0"/>
          <w:numId w:val="2"/>
        </w:numPr>
        <w:tabs>
          <w:tab w:val="clear" w:pos="851"/>
        </w:tabs>
        <w:rPr>
          <w:bCs/>
          <w:iCs/>
        </w:rPr>
      </w:pPr>
      <w:r w:rsidRPr="00AE360F">
        <w:rPr>
          <w:bCs/>
          <w:iCs/>
          <w:sz w:val="24"/>
          <w:szCs w:val="24"/>
        </w:rPr>
        <w:t xml:space="preserve">Section 761A of the </w:t>
      </w:r>
      <w:r w:rsidR="00794848" w:rsidRPr="00AE360F">
        <w:rPr>
          <w:bCs/>
          <w:iCs/>
          <w:sz w:val="24"/>
          <w:szCs w:val="24"/>
        </w:rPr>
        <w:t xml:space="preserve">Corporations </w:t>
      </w:r>
      <w:r w:rsidRPr="00AE360F">
        <w:rPr>
          <w:bCs/>
          <w:iCs/>
          <w:sz w:val="24"/>
          <w:szCs w:val="24"/>
        </w:rPr>
        <w:t xml:space="preserve">Act defines a </w:t>
      </w:r>
      <w:r w:rsidR="00CB5478">
        <w:rPr>
          <w:bCs/>
          <w:iCs/>
          <w:sz w:val="24"/>
          <w:szCs w:val="24"/>
        </w:rPr>
        <w:t>“</w:t>
      </w:r>
      <w:r w:rsidRPr="00AE360F">
        <w:rPr>
          <w:bCs/>
          <w:iCs/>
          <w:sz w:val="24"/>
          <w:szCs w:val="24"/>
        </w:rPr>
        <w:t>pre</w:t>
      </w:r>
      <w:r w:rsidR="007355BC" w:rsidRPr="00AE360F">
        <w:rPr>
          <w:bCs/>
          <w:iCs/>
          <w:sz w:val="24"/>
          <w:szCs w:val="24"/>
        </w:rPr>
        <w:t>scribed derivative trade repository</w:t>
      </w:r>
      <w:r w:rsidR="00CB5478">
        <w:rPr>
          <w:bCs/>
          <w:iCs/>
          <w:sz w:val="24"/>
          <w:szCs w:val="24"/>
        </w:rPr>
        <w:t>”</w:t>
      </w:r>
      <w:r w:rsidR="007355BC" w:rsidRPr="00AE360F">
        <w:rPr>
          <w:bCs/>
          <w:iCs/>
          <w:sz w:val="24"/>
          <w:szCs w:val="24"/>
        </w:rPr>
        <w:t xml:space="preserve"> as a </w:t>
      </w:r>
      <w:r w:rsidR="00E94BDE" w:rsidRPr="00AE360F">
        <w:rPr>
          <w:bCs/>
          <w:iCs/>
          <w:sz w:val="24"/>
          <w:szCs w:val="24"/>
        </w:rPr>
        <w:t>facility that is (or that is in a class that is) prescribed by the regulations for the purpose of paragraph 901A(6)(b).</w:t>
      </w:r>
    </w:p>
    <w:p w14:paraId="2B36053A" w14:textId="1ABC420D" w:rsidR="007E45CB" w:rsidRPr="00C01A84" w:rsidRDefault="00E94BDE" w:rsidP="00AE360F">
      <w:pPr>
        <w:pStyle w:val="MIRBodyText"/>
        <w:numPr>
          <w:ilvl w:val="0"/>
          <w:numId w:val="2"/>
        </w:numPr>
        <w:tabs>
          <w:tab w:val="clear" w:pos="851"/>
        </w:tabs>
        <w:rPr>
          <w:bCs/>
          <w:iCs/>
        </w:rPr>
      </w:pPr>
      <w:r w:rsidRPr="00AE360F">
        <w:rPr>
          <w:bCs/>
          <w:iCs/>
          <w:sz w:val="24"/>
          <w:szCs w:val="24"/>
        </w:rPr>
        <w:t xml:space="preserve">Regulation </w:t>
      </w:r>
      <w:r w:rsidR="00B4412A" w:rsidRPr="00AE360F">
        <w:rPr>
          <w:bCs/>
          <w:iCs/>
          <w:sz w:val="24"/>
          <w:szCs w:val="24"/>
        </w:rPr>
        <w:t>7.5A.30</w:t>
      </w:r>
      <w:r w:rsidR="003A2FBD" w:rsidRPr="00AE360F">
        <w:rPr>
          <w:bCs/>
          <w:iCs/>
          <w:sz w:val="24"/>
          <w:szCs w:val="24"/>
        </w:rPr>
        <w:t xml:space="preserve"> </w:t>
      </w:r>
      <w:r w:rsidR="004C4789">
        <w:rPr>
          <w:bCs/>
          <w:iCs/>
          <w:sz w:val="24"/>
          <w:szCs w:val="24"/>
        </w:rPr>
        <w:t xml:space="preserve">of the </w:t>
      </w:r>
      <w:r w:rsidR="004C4789" w:rsidRPr="00AE360F">
        <w:rPr>
          <w:bCs/>
          <w:i/>
          <w:sz w:val="24"/>
          <w:szCs w:val="24"/>
        </w:rPr>
        <w:t>Corporations Regulations 2001</w:t>
      </w:r>
      <w:r w:rsidR="004C4789">
        <w:rPr>
          <w:bCs/>
          <w:iCs/>
          <w:sz w:val="24"/>
          <w:szCs w:val="24"/>
        </w:rPr>
        <w:t xml:space="preserve"> (</w:t>
      </w:r>
      <w:r w:rsidR="004C4789" w:rsidRPr="00AE360F">
        <w:rPr>
          <w:b/>
          <w:i/>
          <w:sz w:val="24"/>
          <w:szCs w:val="24"/>
        </w:rPr>
        <w:t>Corporations Regulations</w:t>
      </w:r>
      <w:r w:rsidR="004C4789">
        <w:rPr>
          <w:bCs/>
          <w:iCs/>
          <w:sz w:val="24"/>
          <w:szCs w:val="24"/>
        </w:rPr>
        <w:t xml:space="preserve">) </w:t>
      </w:r>
      <w:r w:rsidR="00101FC7" w:rsidRPr="00AE360F">
        <w:rPr>
          <w:bCs/>
          <w:iCs/>
          <w:sz w:val="24"/>
          <w:szCs w:val="24"/>
        </w:rPr>
        <w:t xml:space="preserve">sets out that, after 30 June 2015, </w:t>
      </w:r>
      <w:r w:rsidR="004173CA" w:rsidRPr="00AE360F">
        <w:rPr>
          <w:bCs/>
          <w:iCs/>
          <w:sz w:val="24"/>
          <w:szCs w:val="24"/>
        </w:rPr>
        <w:t xml:space="preserve">a prescribed facility is only </w:t>
      </w:r>
      <w:r w:rsidR="00E566A7" w:rsidRPr="00AE360F">
        <w:rPr>
          <w:bCs/>
          <w:iCs/>
          <w:sz w:val="24"/>
          <w:szCs w:val="24"/>
        </w:rPr>
        <w:t>a facility determined by ASIC</w:t>
      </w:r>
      <w:r w:rsidR="00B72FF0" w:rsidRPr="00AE360F">
        <w:rPr>
          <w:bCs/>
          <w:iCs/>
          <w:sz w:val="24"/>
          <w:szCs w:val="24"/>
        </w:rPr>
        <w:t>.</w:t>
      </w:r>
    </w:p>
    <w:p w14:paraId="3F485DA6" w14:textId="5C819C87" w:rsidR="00710871" w:rsidRPr="00C01A84" w:rsidRDefault="00FD2248" w:rsidP="00AE360F">
      <w:pPr>
        <w:pStyle w:val="MIRBodyText"/>
        <w:numPr>
          <w:ilvl w:val="0"/>
          <w:numId w:val="2"/>
        </w:numPr>
        <w:tabs>
          <w:tab w:val="clear" w:pos="851"/>
        </w:tabs>
        <w:rPr>
          <w:bCs/>
          <w:iCs/>
        </w:rPr>
      </w:pPr>
      <w:r w:rsidRPr="00AE360F">
        <w:rPr>
          <w:bCs/>
          <w:iCs/>
          <w:sz w:val="24"/>
          <w:szCs w:val="24"/>
        </w:rPr>
        <w:t xml:space="preserve">On 25 June 2015, </w:t>
      </w:r>
      <w:r w:rsidR="006E6BEA" w:rsidRPr="00AE360F">
        <w:rPr>
          <w:bCs/>
          <w:iCs/>
          <w:sz w:val="24"/>
          <w:szCs w:val="24"/>
        </w:rPr>
        <w:t xml:space="preserve">ASIC made </w:t>
      </w:r>
      <w:hyperlink r:id="rId17" w:history="1">
        <w:r w:rsidR="006E6BEA" w:rsidRPr="000A63A9">
          <w:rPr>
            <w:rStyle w:val="Hyperlink"/>
            <w:i/>
            <w:sz w:val="24"/>
            <w:szCs w:val="24"/>
          </w:rPr>
          <w:t>ASIC Prescribed Trade Repositories Determination [15-0591]</w:t>
        </w:r>
      </w:hyperlink>
      <w:r w:rsidR="005D3281" w:rsidRPr="000A63A9">
        <w:rPr>
          <w:sz w:val="24"/>
          <w:szCs w:val="24"/>
        </w:rPr>
        <w:t>,</w:t>
      </w:r>
      <w:r w:rsidR="005D3281" w:rsidRPr="005A3D96">
        <w:rPr>
          <w:sz w:val="28"/>
          <w:szCs w:val="28"/>
        </w:rPr>
        <w:t xml:space="preserve"> </w:t>
      </w:r>
      <w:r w:rsidR="005D3281">
        <w:rPr>
          <w:bCs/>
          <w:iCs/>
          <w:sz w:val="24"/>
          <w:szCs w:val="24"/>
        </w:rPr>
        <w:t>which</w:t>
      </w:r>
      <w:r w:rsidR="006E6BEA" w:rsidRPr="00AE360F">
        <w:rPr>
          <w:bCs/>
          <w:iCs/>
          <w:sz w:val="24"/>
          <w:szCs w:val="24"/>
        </w:rPr>
        <w:t xml:space="preserve"> </w:t>
      </w:r>
      <w:r w:rsidR="000E6A7D" w:rsidRPr="00AE360F">
        <w:rPr>
          <w:bCs/>
          <w:iCs/>
          <w:sz w:val="24"/>
          <w:szCs w:val="24"/>
        </w:rPr>
        <w:t>determi</w:t>
      </w:r>
      <w:r w:rsidR="005D3281">
        <w:rPr>
          <w:bCs/>
          <w:iCs/>
          <w:sz w:val="24"/>
          <w:szCs w:val="24"/>
        </w:rPr>
        <w:t>nes</w:t>
      </w:r>
      <w:r w:rsidR="000E6A7D" w:rsidRPr="00AE360F">
        <w:rPr>
          <w:bCs/>
          <w:iCs/>
          <w:sz w:val="24"/>
          <w:szCs w:val="24"/>
        </w:rPr>
        <w:t xml:space="preserve"> the following </w:t>
      </w:r>
      <w:r w:rsidR="006E6BEA" w:rsidRPr="00AE360F">
        <w:rPr>
          <w:bCs/>
          <w:iCs/>
          <w:sz w:val="24"/>
          <w:szCs w:val="24"/>
        </w:rPr>
        <w:t xml:space="preserve">overseas </w:t>
      </w:r>
      <w:r w:rsidR="00B61982" w:rsidRPr="00AE360F">
        <w:rPr>
          <w:bCs/>
          <w:iCs/>
          <w:sz w:val="24"/>
          <w:szCs w:val="24"/>
        </w:rPr>
        <w:t xml:space="preserve">derivative </w:t>
      </w:r>
      <w:r w:rsidR="006E6BEA" w:rsidRPr="00AE360F">
        <w:rPr>
          <w:bCs/>
          <w:iCs/>
          <w:sz w:val="24"/>
          <w:szCs w:val="24"/>
        </w:rPr>
        <w:t xml:space="preserve">trade repositories </w:t>
      </w:r>
      <w:r w:rsidR="00B61982" w:rsidRPr="00AE360F">
        <w:rPr>
          <w:bCs/>
          <w:iCs/>
          <w:sz w:val="24"/>
          <w:szCs w:val="24"/>
        </w:rPr>
        <w:t>as pre</w:t>
      </w:r>
      <w:r w:rsidR="00710871" w:rsidRPr="00AE360F">
        <w:rPr>
          <w:bCs/>
          <w:iCs/>
          <w:sz w:val="24"/>
          <w:szCs w:val="24"/>
        </w:rPr>
        <w:t>scribed repositories</w:t>
      </w:r>
      <w:r w:rsidR="007E45CB" w:rsidRPr="00AE360F">
        <w:rPr>
          <w:bCs/>
          <w:iCs/>
          <w:sz w:val="24"/>
          <w:szCs w:val="24"/>
        </w:rPr>
        <w:t xml:space="preserve"> commencing 1 July 2015</w:t>
      </w:r>
      <w:r w:rsidR="00710871" w:rsidRPr="00AE360F">
        <w:rPr>
          <w:bCs/>
          <w:iCs/>
          <w:sz w:val="24"/>
          <w:szCs w:val="24"/>
        </w:rPr>
        <w:t>:</w:t>
      </w:r>
    </w:p>
    <w:p w14:paraId="2D5C4F31" w14:textId="36AE7524" w:rsidR="00315B50" w:rsidRPr="00315B50" w:rsidRDefault="00315B50" w:rsidP="00824DC0">
      <w:pPr>
        <w:pStyle w:val="LI-BodyTextParaa"/>
        <w:numPr>
          <w:ilvl w:val="1"/>
          <w:numId w:val="22"/>
        </w:numPr>
      </w:pPr>
      <w:r w:rsidRPr="00315B50">
        <w:t xml:space="preserve">DTCC Data Repository (U.S.) </w:t>
      </w:r>
      <w:proofErr w:type="gramStart"/>
      <w:r w:rsidRPr="00315B50">
        <w:t>LLC</w:t>
      </w:r>
      <w:r w:rsidR="003E201A">
        <w:t>;</w:t>
      </w:r>
      <w:proofErr w:type="gramEnd"/>
    </w:p>
    <w:p w14:paraId="4956D3A1" w14:textId="5DD0A551" w:rsidR="00315B50" w:rsidRPr="007E0236" w:rsidRDefault="007E0236" w:rsidP="00824DC0">
      <w:pPr>
        <w:pStyle w:val="LI-BodyTextParaa"/>
        <w:numPr>
          <w:ilvl w:val="1"/>
          <w:numId w:val="22"/>
        </w:numPr>
      </w:pPr>
      <w:r>
        <w:t xml:space="preserve">DTCC </w:t>
      </w:r>
      <w:r w:rsidR="00315B50" w:rsidRPr="007E0236">
        <w:t xml:space="preserve">Derivatives Repository </w:t>
      </w:r>
      <w:proofErr w:type="gramStart"/>
      <w:r w:rsidR="00315B50" w:rsidRPr="007E0236">
        <w:t>Ltd</w:t>
      </w:r>
      <w:r w:rsidR="003E201A">
        <w:t>;</w:t>
      </w:r>
      <w:proofErr w:type="gramEnd"/>
    </w:p>
    <w:p w14:paraId="2301B69C" w14:textId="2862F9F5" w:rsidR="00315B50" w:rsidRPr="007E0236" w:rsidRDefault="00315B50" w:rsidP="00824DC0">
      <w:pPr>
        <w:pStyle w:val="LI-BodyTextParaa"/>
        <w:numPr>
          <w:ilvl w:val="1"/>
          <w:numId w:val="22"/>
        </w:numPr>
      </w:pPr>
      <w:r w:rsidRPr="007E0236">
        <w:t xml:space="preserve">DTCC Data Repository (Japan) </w:t>
      </w:r>
      <w:proofErr w:type="gramStart"/>
      <w:r w:rsidRPr="007E0236">
        <w:t>KK</w:t>
      </w:r>
      <w:r w:rsidR="003E201A">
        <w:t>;</w:t>
      </w:r>
      <w:proofErr w:type="gramEnd"/>
    </w:p>
    <w:p w14:paraId="13C74076" w14:textId="781BE432" w:rsidR="00315B50" w:rsidRDefault="00315B50" w:rsidP="007E0236">
      <w:pPr>
        <w:pStyle w:val="LI-BodyTextParaa"/>
        <w:numPr>
          <w:ilvl w:val="1"/>
          <w:numId w:val="22"/>
        </w:numPr>
      </w:pPr>
      <w:r w:rsidRPr="007E0236">
        <w:t xml:space="preserve">DTCC Data Repository (Singapore) Pte </w:t>
      </w:r>
      <w:proofErr w:type="gramStart"/>
      <w:r w:rsidRPr="007E0236">
        <w:t>Ltd</w:t>
      </w:r>
      <w:r w:rsidR="003E201A">
        <w:t>;</w:t>
      </w:r>
      <w:proofErr w:type="gramEnd"/>
    </w:p>
    <w:p w14:paraId="26B4B395" w14:textId="03DA0361" w:rsidR="007E45CB" w:rsidRPr="0092606F" w:rsidRDefault="007E45CB" w:rsidP="007E45CB">
      <w:pPr>
        <w:pStyle w:val="LI-BodyTextParaa"/>
        <w:numPr>
          <w:ilvl w:val="1"/>
          <w:numId w:val="22"/>
        </w:numPr>
      </w:pPr>
      <w:proofErr w:type="spellStart"/>
      <w:r w:rsidRPr="0092606F">
        <w:t>UnaVista</w:t>
      </w:r>
      <w:proofErr w:type="spellEnd"/>
      <w:r w:rsidRPr="0092606F">
        <w:t xml:space="preserve"> Limited</w:t>
      </w:r>
      <w:r w:rsidR="003E201A">
        <w:t>;</w:t>
      </w:r>
      <w:r w:rsidRPr="0092606F">
        <w:t xml:space="preserve"> and</w:t>
      </w:r>
    </w:p>
    <w:p w14:paraId="42981099" w14:textId="7D5A2993" w:rsidR="007E45CB" w:rsidRDefault="007E45CB" w:rsidP="007E45CB">
      <w:pPr>
        <w:pStyle w:val="LI-BodyTextParaa"/>
        <w:numPr>
          <w:ilvl w:val="1"/>
          <w:numId w:val="22"/>
        </w:numPr>
      </w:pPr>
      <w:r w:rsidRPr="0092606F">
        <w:t>the Monetary Authority appointed under section 5A of the Exchange Fund Ordinance of Hong Kong.</w:t>
      </w:r>
    </w:p>
    <w:p w14:paraId="54C01126" w14:textId="6241C19B" w:rsidR="00824DC0" w:rsidRPr="00C01A84" w:rsidRDefault="00824DC0" w:rsidP="00AE360F">
      <w:pPr>
        <w:pStyle w:val="MIRBodyText"/>
        <w:numPr>
          <w:ilvl w:val="0"/>
          <w:numId w:val="2"/>
        </w:numPr>
        <w:tabs>
          <w:tab w:val="clear" w:pos="851"/>
        </w:tabs>
        <w:rPr>
          <w:bCs/>
          <w:iCs/>
        </w:rPr>
      </w:pPr>
      <w:r w:rsidRPr="00AE360F">
        <w:rPr>
          <w:bCs/>
          <w:iCs/>
          <w:sz w:val="24"/>
          <w:szCs w:val="24"/>
        </w:rPr>
        <w:t xml:space="preserve">On 9 April </w:t>
      </w:r>
      <w:r w:rsidR="003E06D5" w:rsidRPr="00AE360F">
        <w:rPr>
          <w:bCs/>
          <w:iCs/>
          <w:sz w:val="24"/>
          <w:szCs w:val="24"/>
        </w:rPr>
        <w:t xml:space="preserve">2019, </w:t>
      </w:r>
      <w:r w:rsidRPr="00AE360F">
        <w:rPr>
          <w:bCs/>
          <w:iCs/>
          <w:sz w:val="24"/>
          <w:szCs w:val="24"/>
        </w:rPr>
        <w:t xml:space="preserve">ASIC </w:t>
      </w:r>
      <w:hyperlink r:id="rId18" w:history="1">
        <w:r w:rsidR="003E06D5" w:rsidRPr="00AC7762">
          <w:rPr>
            <w:rStyle w:val="Hyperlink"/>
            <w:bCs/>
            <w:iCs/>
            <w:sz w:val="24"/>
            <w:szCs w:val="24"/>
          </w:rPr>
          <w:t xml:space="preserve">amended the </w:t>
        </w:r>
        <w:r w:rsidRPr="00AC7762">
          <w:rPr>
            <w:rStyle w:val="Hyperlink"/>
            <w:bCs/>
            <w:iCs/>
            <w:sz w:val="24"/>
            <w:szCs w:val="24"/>
          </w:rPr>
          <w:t>determination</w:t>
        </w:r>
      </w:hyperlink>
      <w:r w:rsidRPr="00AE360F">
        <w:rPr>
          <w:bCs/>
          <w:iCs/>
          <w:sz w:val="24"/>
          <w:szCs w:val="24"/>
        </w:rPr>
        <w:t xml:space="preserve"> </w:t>
      </w:r>
      <w:r w:rsidR="00340046" w:rsidRPr="00AE360F">
        <w:rPr>
          <w:bCs/>
          <w:iCs/>
          <w:sz w:val="24"/>
          <w:szCs w:val="24"/>
        </w:rPr>
        <w:t xml:space="preserve">to add </w:t>
      </w:r>
      <w:r w:rsidRPr="00AE360F">
        <w:rPr>
          <w:bCs/>
          <w:iCs/>
          <w:sz w:val="24"/>
          <w:szCs w:val="24"/>
        </w:rPr>
        <w:t xml:space="preserve">the following overseas derivative trade repositories as prescribed repositories commencing </w:t>
      </w:r>
      <w:r w:rsidR="00340046" w:rsidRPr="00AE360F">
        <w:rPr>
          <w:bCs/>
          <w:iCs/>
          <w:sz w:val="24"/>
          <w:szCs w:val="24"/>
        </w:rPr>
        <w:t>9 April 2019</w:t>
      </w:r>
      <w:r w:rsidRPr="00AE360F">
        <w:rPr>
          <w:bCs/>
          <w:iCs/>
          <w:sz w:val="24"/>
          <w:szCs w:val="24"/>
        </w:rPr>
        <w:t>:</w:t>
      </w:r>
    </w:p>
    <w:p w14:paraId="5E00B4C6" w14:textId="390AB2D8" w:rsidR="00315B50" w:rsidRPr="007E0236" w:rsidRDefault="00315B50" w:rsidP="00824DC0">
      <w:pPr>
        <w:pStyle w:val="LI-BodyTextParaa"/>
        <w:numPr>
          <w:ilvl w:val="1"/>
          <w:numId w:val="22"/>
        </w:numPr>
      </w:pPr>
      <w:r w:rsidRPr="007E0236">
        <w:t>DTCC Data Repository (Ireland) Plc</w:t>
      </w:r>
      <w:r w:rsidR="00340046">
        <w:t>; and</w:t>
      </w:r>
    </w:p>
    <w:p w14:paraId="5C23FBD3" w14:textId="77777777" w:rsidR="00315B50" w:rsidRPr="007E45CB" w:rsidRDefault="00315B50" w:rsidP="00824DC0">
      <w:pPr>
        <w:pStyle w:val="LI-BodyTextParaa"/>
        <w:numPr>
          <w:ilvl w:val="1"/>
          <w:numId w:val="22"/>
        </w:numPr>
      </w:pPr>
      <w:proofErr w:type="spellStart"/>
      <w:r w:rsidRPr="007E45CB">
        <w:t>UnaVista</w:t>
      </w:r>
      <w:proofErr w:type="spellEnd"/>
      <w:r w:rsidRPr="007E45CB">
        <w:t xml:space="preserve"> </w:t>
      </w:r>
      <w:proofErr w:type="spellStart"/>
      <w:r w:rsidRPr="007E45CB">
        <w:t>TRADEcho</w:t>
      </w:r>
      <w:proofErr w:type="spellEnd"/>
      <w:r w:rsidRPr="007E45CB">
        <w:t xml:space="preserve"> B.V.</w:t>
      </w:r>
    </w:p>
    <w:p w14:paraId="09CFFB03" w14:textId="2103AB39" w:rsidR="0027042A" w:rsidRPr="000A494E" w:rsidRDefault="00D67D15" w:rsidP="00A152BE">
      <w:pPr>
        <w:pStyle w:val="LI-BodyTextParaa"/>
        <w:ind w:left="0" w:firstLine="0"/>
        <w:rPr>
          <w:bCs/>
          <w:u w:val="single"/>
        </w:rPr>
      </w:pPr>
      <w:r>
        <w:rPr>
          <w:bCs/>
          <w:u w:val="single"/>
        </w:rPr>
        <w:t xml:space="preserve">Rule 1.2.4 OTC </w:t>
      </w:r>
      <w:r w:rsidR="00B34BB8">
        <w:rPr>
          <w:bCs/>
          <w:u w:val="single"/>
        </w:rPr>
        <w:t>d</w:t>
      </w:r>
      <w:r>
        <w:rPr>
          <w:bCs/>
          <w:u w:val="single"/>
        </w:rPr>
        <w:t>erivative</w:t>
      </w:r>
    </w:p>
    <w:p w14:paraId="1640316C" w14:textId="56FE71B9" w:rsidR="003E201A" w:rsidRDefault="00B7540B" w:rsidP="00091619">
      <w:pPr>
        <w:pStyle w:val="LI-BodyTextParaa"/>
        <w:numPr>
          <w:ilvl w:val="0"/>
          <w:numId w:val="2"/>
        </w:numPr>
        <w:rPr>
          <w:bCs/>
        </w:rPr>
      </w:pPr>
      <w:r w:rsidRPr="00B7540B">
        <w:rPr>
          <w:bCs/>
        </w:rPr>
        <w:t xml:space="preserve">Rule 1.2.4 provides a definition of </w:t>
      </w:r>
      <w:r w:rsidR="003E201A">
        <w:rPr>
          <w:bCs/>
        </w:rPr>
        <w:t xml:space="preserve">an </w:t>
      </w:r>
      <w:r w:rsidR="00744B94">
        <w:rPr>
          <w:bCs/>
        </w:rPr>
        <w:t>“</w:t>
      </w:r>
      <w:r w:rsidRPr="00B7540B">
        <w:rPr>
          <w:bCs/>
        </w:rPr>
        <w:t xml:space="preserve">OTC </w:t>
      </w:r>
      <w:r w:rsidR="001B1EA5">
        <w:rPr>
          <w:bCs/>
        </w:rPr>
        <w:t>d</w:t>
      </w:r>
      <w:r w:rsidRPr="00B7540B">
        <w:rPr>
          <w:bCs/>
        </w:rPr>
        <w:t>erivative</w:t>
      </w:r>
      <w:r w:rsidR="00744B94">
        <w:rPr>
          <w:bCs/>
        </w:rPr>
        <w:t>”</w:t>
      </w:r>
      <w:r w:rsidRPr="00B7540B">
        <w:rPr>
          <w:bCs/>
        </w:rPr>
        <w:t xml:space="preserve"> for the purposes of the </w:t>
      </w:r>
      <w:r w:rsidR="000601BA">
        <w:rPr>
          <w:bCs/>
        </w:rPr>
        <w:t xml:space="preserve">2022 </w:t>
      </w:r>
      <w:r w:rsidRPr="00B7540B">
        <w:rPr>
          <w:bCs/>
        </w:rPr>
        <w:t xml:space="preserve">Rules. </w:t>
      </w:r>
    </w:p>
    <w:p w14:paraId="71ED9434" w14:textId="32C64D05" w:rsidR="00B7540B" w:rsidRDefault="00B7540B" w:rsidP="00091619">
      <w:pPr>
        <w:pStyle w:val="LI-BodyTextParaa"/>
        <w:numPr>
          <w:ilvl w:val="0"/>
          <w:numId w:val="2"/>
        </w:numPr>
        <w:rPr>
          <w:bCs/>
        </w:rPr>
      </w:pPr>
      <w:r w:rsidRPr="00B7540B">
        <w:rPr>
          <w:bCs/>
        </w:rPr>
        <w:t xml:space="preserve">Under the </w:t>
      </w:r>
      <w:r w:rsidR="000601BA">
        <w:rPr>
          <w:bCs/>
        </w:rPr>
        <w:t xml:space="preserve">2022 </w:t>
      </w:r>
      <w:r w:rsidRPr="00B7540B">
        <w:rPr>
          <w:bCs/>
        </w:rPr>
        <w:t xml:space="preserve">Rules, </w:t>
      </w:r>
      <w:r w:rsidR="00A73294">
        <w:rPr>
          <w:bCs/>
        </w:rPr>
        <w:t>r</w:t>
      </w:r>
      <w:r w:rsidRPr="00B7540B">
        <w:rPr>
          <w:bCs/>
        </w:rPr>
        <w:t xml:space="preserve">eporting </w:t>
      </w:r>
      <w:r w:rsidR="00A73294">
        <w:rPr>
          <w:bCs/>
        </w:rPr>
        <w:t>e</w:t>
      </w:r>
      <w:r w:rsidRPr="00B7540B">
        <w:rPr>
          <w:bCs/>
        </w:rPr>
        <w:t xml:space="preserve">ntities are required to report information about their </w:t>
      </w:r>
      <w:r w:rsidR="00A73294">
        <w:rPr>
          <w:bCs/>
        </w:rPr>
        <w:t>d</w:t>
      </w:r>
      <w:r w:rsidRPr="00B7540B">
        <w:rPr>
          <w:bCs/>
        </w:rPr>
        <w:t xml:space="preserve">erivative </w:t>
      </w:r>
      <w:r w:rsidR="00A73294">
        <w:rPr>
          <w:bCs/>
        </w:rPr>
        <w:t>t</w:t>
      </w:r>
      <w:r w:rsidRPr="00B7540B">
        <w:rPr>
          <w:bCs/>
        </w:rPr>
        <w:t xml:space="preserve">ransactions in OTC </w:t>
      </w:r>
      <w:r w:rsidR="001B1EA5">
        <w:rPr>
          <w:bCs/>
        </w:rPr>
        <w:t>d</w:t>
      </w:r>
      <w:r w:rsidRPr="00B7540B">
        <w:rPr>
          <w:bCs/>
        </w:rPr>
        <w:t xml:space="preserve">erivatives (referred to in the </w:t>
      </w:r>
      <w:r w:rsidR="00CA20EE">
        <w:rPr>
          <w:bCs/>
        </w:rPr>
        <w:t xml:space="preserve">2022 </w:t>
      </w:r>
      <w:r w:rsidRPr="00B7540B">
        <w:rPr>
          <w:bCs/>
        </w:rPr>
        <w:t xml:space="preserve">Rules as </w:t>
      </w:r>
      <w:r w:rsidR="00744B94">
        <w:rPr>
          <w:bCs/>
        </w:rPr>
        <w:t>“</w:t>
      </w:r>
      <w:r w:rsidR="00F341A3">
        <w:rPr>
          <w:bCs/>
        </w:rPr>
        <w:t>r</w:t>
      </w:r>
      <w:r w:rsidR="00F341A3" w:rsidRPr="00B7540B">
        <w:rPr>
          <w:bCs/>
        </w:rPr>
        <w:t xml:space="preserve">eportable </w:t>
      </w:r>
      <w:r w:rsidR="00F341A3">
        <w:rPr>
          <w:bCs/>
        </w:rPr>
        <w:t>t</w:t>
      </w:r>
      <w:r w:rsidR="00F341A3" w:rsidRPr="00B7540B">
        <w:rPr>
          <w:bCs/>
        </w:rPr>
        <w:t>ransactions</w:t>
      </w:r>
      <w:r w:rsidR="00744B94">
        <w:rPr>
          <w:bCs/>
        </w:rPr>
        <w:t>”</w:t>
      </w:r>
      <w:r w:rsidRPr="00B7540B">
        <w:rPr>
          <w:bCs/>
        </w:rPr>
        <w:t xml:space="preserve">), and positions in relation to OTC </w:t>
      </w:r>
      <w:r w:rsidR="003E201A">
        <w:rPr>
          <w:bCs/>
        </w:rPr>
        <w:t>d</w:t>
      </w:r>
      <w:r w:rsidR="003E201A" w:rsidRPr="00B7540B">
        <w:rPr>
          <w:bCs/>
        </w:rPr>
        <w:t xml:space="preserve">erivatives </w:t>
      </w:r>
      <w:r w:rsidRPr="00B7540B">
        <w:rPr>
          <w:bCs/>
        </w:rPr>
        <w:t xml:space="preserve">(referred to in the </w:t>
      </w:r>
      <w:r w:rsidR="00A73294">
        <w:rPr>
          <w:bCs/>
        </w:rPr>
        <w:t>r</w:t>
      </w:r>
      <w:r w:rsidRPr="00B7540B">
        <w:rPr>
          <w:bCs/>
        </w:rPr>
        <w:t xml:space="preserve">ules as </w:t>
      </w:r>
      <w:r w:rsidR="00744B94">
        <w:rPr>
          <w:bCs/>
        </w:rPr>
        <w:t>“</w:t>
      </w:r>
      <w:r w:rsidR="001B1EA5">
        <w:rPr>
          <w:bCs/>
        </w:rPr>
        <w:t>r</w:t>
      </w:r>
      <w:r w:rsidRPr="00B7540B">
        <w:rPr>
          <w:bCs/>
        </w:rPr>
        <w:t xml:space="preserve">eportable </w:t>
      </w:r>
      <w:r w:rsidR="001B1EA5">
        <w:rPr>
          <w:bCs/>
        </w:rPr>
        <w:t>p</w:t>
      </w:r>
      <w:r w:rsidRPr="00B7540B">
        <w:rPr>
          <w:bCs/>
        </w:rPr>
        <w:t>ositions</w:t>
      </w:r>
      <w:r w:rsidR="00744B94">
        <w:rPr>
          <w:bCs/>
        </w:rPr>
        <w:t>”</w:t>
      </w:r>
      <w:r w:rsidRPr="00B7540B">
        <w:rPr>
          <w:bCs/>
        </w:rPr>
        <w:t>) (see Rule 1.2.5).</w:t>
      </w:r>
    </w:p>
    <w:p w14:paraId="3AD2971E" w14:textId="706E5E66" w:rsidR="00186931" w:rsidRPr="00186931" w:rsidRDefault="00A152BE" w:rsidP="00186931">
      <w:pPr>
        <w:pStyle w:val="LI-BodyTextParaa"/>
        <w:ind w:left="1134" w:firstLine="0"/>
        <w:rPr>
          <w:bCs/>
          <w:sz w:val="18"/>
          <w:szCs w:val="18"/>
        </w:rPr>
      </w:pPr>
      <w:bookmarkStart w:id="9" w:name="_Hlk114895704"/>
      <w:r>
        <w:rPr>
          <w:bCs/>
          <w:sz w:val="18"/>
          <w:szCs w:val="18"/>
        </w:rPr>
        <w:t xml:space="preserve">Note: a </w:t>
      </w:r>
      <w:r w:rsidR="00744B94">
        <w:rPr>
          <w:bCs/>
          <w:sz w:val="18"/>
          <w:szCs w:val="18"/>
        </w:rPr>
        <w:t>“</w:t>
      </w:r>
      <w:r w:rsidR="001B1EA5">
        <w:rPr>
          <w:bCs/>
          <w:sz w:val="18"/>
          <w:szCs w:val="18"/>
        </w:rPr>
        <w:t>r</w:t>
      </w:r>
      <w:r>
        <w:rPr>
          <w:bCs/>
          <w:sz w:val="18"/>
          <w:szCs w:val="18"/>
        </w:rPr>
        <w:t xml:space="preserve">eportable </w:t>
      </w:r>
      <w:r w:rsidR="001B1EA5">
        <w:rPr>
          <w:bCs/>
          <w:sz w:val="18"/>
          <w:szCs w:val="18"/>
        </w:rPr>
        <w:t>p</w:t>
      </w:r>
      <w:r>
        <w:rPr>
          <w:bCs/>
          <w:sz w:val="18"/>
          <w:szCs w:val="18"/>
        </w:rPr>
        <w:t>osition</w:t>
      </w:r>
      <w:r w:rsidR="00744B94">
        <w:rPr>
          <w:bCs/>
          <w:sz w:val="18"/>
          <w:szCs w:val="18"/>
        </w:rPr>
        <w:t>”</w:t>
      </w:r>
      <w:r>
        <w:rPr>
          <w:bCs/>
          <w:sz w:val="18"/>
          <w:szCs w:val="18"/>
        </w:rPr>
        <w:t xml:space="preserve"> is an outstanding position as of the dates when </w:t>
      </w:r>
      <w:r w:rsidR="00744B94">
        <w:rPr>
          <w:bCs/>
          <w:sz w:val="18"/>
          <w:szCs w:val="18"/>
        </w:rPr>
        <w:t>“</w:t>
      </w:r>
      <w:r w:rsidR="001B1EA5">
        <w:rPr>
          <w:bCs/>
          <w:sz w:val="18"/>
          <w:szCs w:val="18"/>
        </w:rPr>
        <w:t>r</w:t>
      </w:r>
      <w:r>
        <w:rPr>
          <w:bCs/>
          <w:sz w:val="18"/>
          <w:szCs w:val="18"/>
        </w:rPr>
        <w:t xml:space="preserve">eportable </w:t>
      </w:r>
      <w:r w:rsidR="001B1EA5">
        <w:rPr>
          <w:bCs/>
          <w:sz w:val="18"/>
          <w:szCs w:val="18"/>
        </w:rPr>
        <w:t>t</w:t>
      </w:r>
      <w:r>
        <w:rPr>
          <w:bCs/>
          <w:sz w:val="18"/>
          <w:szCs w:val="18"/>
        </w:rPr>
        <w:t>ransactions</w:t>
      </w:r>
      <w:r w:rsidR="00744B94">
        <w:rPr>
          <w:bCs/>
          <w:sz w:val="18"/>
          <w:szCs w:val="18"/>
        </w:rPr>
        <w:t>”</w:t>
      </w:r>
      <w:r>
        <w:rPr>
          <w:bCs/>
          <w:sz w:val="18"/>
          <w:szCs w:val="18"/>
        </w:rPr>
        <w:t xml:space="preserve"> were required to be reported for each of the phases set out in Table S1.2. A </w:t>
      </w:r>
      <w:r w:rsidR="005555D2">
        <w:rPr>
          <w:bCs/>
          <w:sz w:val="18"/>
          <w:szCs w:val="18"/>
        </w:rPr>
        <w:lastRenderedPageBreak/>
        <w:t>“</w:t>
      </w:r>
      <w:r w:rsidR="008003D4">
        <w:rPr>
          <w:bCs/>
          <w:sz w:val="18"/>
          <w:szCs w:val="18"/>
        </w:rPr>
        <w:t>r</w:t>
      </w:r>
      <w:r>
        <w:rPr>
          <w:bCs/>
          <w:sz w:val="18"/>
          <w:szCs w:val="18"/>
        </w:rPr>
        <w:t xml:space="preserve">eportable </w:t>
      </w:r>
      <w:r w:rsidR="008003D4">
        <w:rPr>
          <w:bCs/>
          <w:sz w:val="18"/>
          <w:szCs w:val="18"/>
        </w:rPr>
        <w:t>p</w:t>
      </w:r>
      <w:r>
        <w:rPr>
          <w:bCs/>
          <w:sz w:val="18"/>
          <w:szCs w:val="18"/>
        </w:rPr>
        <w:t>osition</w:t>
      </w:r>
      <w:r w:rsidR="005555D2">
        <w:rPr>
          <w:bCs/>
          <w:sz w:val="18"/>
          <w:szCs w:val="18"/>
        </w:rPr>
        <w:t>”</w:t>
      </w:r>
      <w:r>
        <w:rPr>
          <w:bCs/>
          <w:sz w:val="18"/>
          <w:szCs w:val="18"/>
        </w:rPr>
        <w:t xml:space="preserve"> was required to be reported by a date – the </w:t>
      </w:r>
      <w:r w:rsidR="005555D2">
        <w:rPr>
          <w:bCs/>
          <w:sz w:val="18"/>
          <w:szCs w:val="18"/>
        </w:rPr>
        <w:t>“</w:t>
      </w:r>
      <w:r w:rsidR="008003D4">
        <w:rPr>
          <w:bCs/>
          <w:sz w:val="18"/>
          <w:szCs w:val="18"/>
        </w:rPr>
        <w:t>p</w:t>
      </w:r>
      <w:r>
        <w:rPr>
          <w:bCs/>
          <w:sz w:val="18"/>
          <w:szCs w:val="18"/>
        </w:rPr>
        <w:t xml:space="preserve">osition </w:t>
      </w:r>
      <w:r w:rsidR="008003D4">
        <w:rPr>
          <w:bCs/>
          <w:sz w:val="18"/>
          <w:szCs w:val="18"/>
        </w:rPr>
        <w:t>r</w:t>
      </w:r>
      <w:r>
        <w:rPr>
          <w:bCs/>
          <w:sz w:val="18"/>
          <w:szCs w:val="18"/>
        </w:rPr>
        <w:t xml:space="preserve">eporting </w:t>
      </w:r>
      <w:r w:rsidR="008003D4">
        <w:rPr>
          <w:bCs/>
          <w:sz w:val="18"/>
          <w:szCs w:val="18"/>
        </w:rPr>
        <w:t>d</w:t>
      </w:r>
      <w:r>
        <w:rPr>
          <w:bCs/>
          <w:sz w:val="18"/>
          <w:szCs w:val="18"/>
        </w:rPr>
        <w:t>ate</w:t>
      </w:r>
      <w:r w:rsidR="005555D2">
        <w:rPr>
          <w:bCs/>
          <w:sz w:val="18"/>
          <w:szCs w:val="18"/>
        </w:rPr>
        <w:t>”</w:t>
      </w:r>
      <w:r>
        <w:rPr>
          <w:bCs/>
          <w:sz w:val="18"/>
          <w:szCs w:val="18"/>
        </w:rPr>
        <w:t xml:space="preserve"> –  that was 6 – 12 months after the date when </w:t>
      </w:r>
      <w:r w:rsidR="005555D2">
        <w:rPr>
          <w:bCs/>
          <w:sz w:val="18"/>
          <w:szCs w:val="18"/>
        </w:rPr>
        <w:t>“</w:t>
      </w:r>
      <w:r w:rsidR="008003D4">
        <w:rPr>
          <w:bCs/>
          <w:sz w:val="18"/>
          <w:szCs w:val="18"/>
        </w:rPr>
        <w:t>r</w:t>
      </w:r>
      <w:r>
        <w:rPr>
          <w:bCs/>
          <w:sz w:val="18"/>
          <w:szCs w:val="18"/>
        </w:rPr>
        <w:t xml:space="preserve">eportable </w:t>
      </w:r>
      <w:r w:rsidR="008003D4">
        <w:rPr>
          <w:bCs/>
          <w:sz w:val="18"/>
          <w:szCs w:val="18"/>
        </w:rPr>
        <w:t>t</w:t>
      </w:r>
      <w:r>
        <w:rPr>
          <w:bCs/>
          <w:sz w:val="18"/>
          <w:szCs w:val="18"/>
        </w:rPr>
        <w:t>ransactions</w:t>
      </w:r>
      <w:r w:rsidR="005555D2">
        <w:rPr>
          <w:bCs/>
          <w:sz w:val="18"/>
          <w:szCs w:val="18"/>
        </w:rPr>
        <w:t>”</w:t>
      </w:r>
      <w:r>
        <w:rPr>
          <w:bCs/>
          <w:sz w:val="18"/>
          <w:szCs w:val="18"/>
        </w:rPr>
        <w:t xml:space="preserve"> were first required to be reported for each phase and the latest </w:t>
      </w:r>
      <w:r w:rsidR="005555D2">
        <w:rPr>
          <w:bCs/>
          <w:sz w:val="18"/>
          <w:szCs w:val="18"/>
        </w:rPr>
        <w:t>“</w:t>
      </w:r>
      <w:r w:rsidR="008003D4">
        <w:rPr>
          <w:bCs/>
          <w:sz w:val="18"/>
          <w:szCs w:val="18"/>
        </w:rPr>
        <w:t>p</w:t>
      </w:r>
      <w:r>
        <w:rPr>
          <w:bCs/>
          <w:sz w:val="18"/>
          <w:szCs w:val="18"/>
        </w:rPr>
        <w:t xml:space="preserve">osition </w:t>
      </w:r>
      <w:r w:rsidR="008003D4">
        <w:rPr>
          <w:bCs/>
          <w:sz w:val="18"/>
          <w:szCs w:val="18"/>
        </w:rPr>
        <w:t>r</w:t>
      </w:r>
      <w:r>
        <w:rPr>
          <w:bCs/>
          <w:sz w:val="18"/>
          <w:szCs w:val="18"/>
        </w:rPr>
        <w:t xml:space="preserve">eporting </w:t>
      </w:r>
      <w:r w:rsidR="008003D4">
        <w:rPr>
          <w:bCs/>
          <w:sz w:val="18"/>
          <w:szCs w:val="18"/>
        </w:rPr>
        <w:t>d</w:t>
      </w:r>
      <w:r>
        <w:rPr>
          <w:bCs/>
          <w:sz w:val="18"/>
          <w:szCs w:val="18"/>
        </w:rPr>
        <w:t>ate</w:t>
      </w:r>
      <w:r w:rsidR="005555D2">
        <w:rPr>
          <w:bCs/>
          <w:sz w:val="18"/>
          <w:szCs w:val="18"/>
        </w:rPr>
        <w:t>”</w:t>
      </w:r>
      <w:r>
        <w:rPr>
          <w:bCs/>
          <w:sz w:val="18"/>
          <w:szCs w:val="18"/>
        </w:rPr>
        <w:t xml:space="preserve"> in Table S1.2 is 1 October 2015. Only a minority of outstanding positions as of the commencement of the 2022 Rules would have been first reported as </w:t>
      </w:r>
      <w:r w:rsidR="005555D2">
        <w:rPr>
          <w:bCs/>
          <w:sz w:val="18"/>
          <w:szCs w:val="18"/>
        </w:rPr>
        <w:t>“</w:t>
      </w:r>
      <w:r w:rsidR="008003D4">
        <w:rPr>
          <w:bCs/>
          <w:sz w:val="18"/>
          <w:szCs w:val="18"/>
        </w:rPr>
        <w:t>r</w:t>
      </w:r>
      <w:r>
        <w:rPr>
          <w:bCs/>
          <w:sz w:val="18"/>
          <w:szCs w:val="18"/>
        </w:rPr>
        <w:t xml:space="preserve">eportable </w:t>
      </w:r>
      <w:r w:rsidR="008003D4">
        <w:rPr>
          <w:bCs/>
          <w:sz w:val="18"/>
          <w:szCs w:val="18"/>
        </w:rPr>
        <w:t>p</w:t>
      </w:r>
      <w:r>
        <w:rPr>
          <w:bCs/>
          <w:sz w:val="18"/>
          <w:szCs w:val="18"/>
        </w:rPr>
        <w:t>ositions</w:t>
      </w:r>
      <w:r w:rsidR="005555D2">
        <w:rPr>
          <w:bCs/>
          <w:sz w:val="18"/>
          <w:szCs w:val="18"/>
        </w:rPr>
        <w:t>”</w:t>
      </w:r>
      <w:r>
        <w:rPr>
          <w:bCs/>
          <w:sz w:val="18"/>
          <w:szCs w:val="18"/>
        </w:rPr>
        <w:t xml:space="preserve"> and, in this Explanatory Statement, unless the context requires otherwise, references to </w:t>
      </w:r>
      <w:r w:rsidR="005555D2">
        <w:rPr>
          <w:bCs/>
          <w:sz w:val="18"/>
          <w:szCs w:val="18"/>
        </w:rPr>
        <w:t>“</w:t>
      </w:r>
      <w:r w:rsidR="008003D4">
        <w:rPr>
          <w:bCs/>
          <w:sz w:val="18"/>
          <w:szCs w:val="18"/>
        </w:rPr>
        <w:t>r</w:t>
      </w:r>
      <w:r>
        <w:rPr>
          <w:bCs/>
          <w:sz w:val="18"/>
          <w:szCs w:val="18"/>
        </w:rPr>
        <w:t xml:space="preserve">eportable </w:t>
      </w:r>
      <w:r w:rsidR="008003D4">
        <w:rPr>
          <w:bCs/>
          <w:sz w:val="18"/>
          <w:szCs w:val="18"/>
        </w:rPr>
        <w:t>p</w:t>
      </w:r>
      <w:r>
        <w:rPr>
          <w:bCs/>
          <w:sz w:val="18"/>
          <w:szCs w:val="18"/>
        </w:rPr>
        <w:t>ositions</w:t>
      </w:r>
      <w:r w:rsidR="005555D2">
        <w:rPr>
          <w:bCs/>
          <w:sz w:val="18"/>
          <w:szCs w:val="18"/>
        </w:rPr>
        <w:t>”</w:t>
      </w:r>
      <w:r>
        <w:rPr>
          <w:bCs/>
          <w:sz w:val="18"/>
          <w:szCs w:val="18"/>
        </w:rPr>
        <w:t xml:space="preserve"> are disregarded.</w:t>
      </w:r>
    </w:p>
    <w:bookmarkEnd w:id="9"/>
    <w:p w14:paraId="0502A3C6" w14:textId="4FD352ED" w:rsidR="008D660A" w:rsidRDefault="00B7540B" w:rsidP="00091619">
      <w:pPr>
        <w:pStyle w:val="LI-BodyTextParaa"/>
        <w:numPr>
          <w:ilvl w:val="0"/>
          <w:numId w:val="2"/>
        </w:numPr>
        <w:rPr>
          <w:bCs/>
        </w:rPr>
      </w:pPr>
      <w:r w:rsidRPr="00B7540B">
        <w:rPr>
          <w:bCs/>
        </w:rPr>
        <w:t xml:space="preserve">Subrule 1.2.4(1) provides that, subject to subrule 1.2.4(2), in the </w:t>
      </w:r>
      <w:r w:rsidR="00CA20EE">
        <w:rPr>
          <w:bCs/>
        </w:rPr>
        <w:t xml:space="preserve">2022 </w:t>
      </w:r>
      <w:r w:rsidRPr="00B7540B">
        <w:rPr>
          <w:bCs/>
        </w:rPr>
        <w:t xml:space="preserve">Rules a </w:t>
      </w:r>
      <w:r w:rsidR="00CA20EE">
        <w:rPr>
          <w:bCs/>
        </w:rPr>
        <w:t>d</w:t>
      </w:r>
      <w:r w:rsidRPr="00B7540B">
        <w:rPr>
          <w:bCs/>
        </w:rPr>
        <w:t xml:space="preserve">erivative is an </w:t>
      </w:r>
      <w:r w:rsidR="005555D2">
        <w:rPr>
          <w:bCs/>
        </w:rPr>
        <w:t>“</w:t>
      </w:r>
      <w:r w:rsidRPr="00B7540B">
        <w:rPr>
          <w:bCs/>
        </w:rPr>
        <w:t xml:space="preserve">OTC </w:t>
      </w:r>
      <w:r w:rsidR="008003D4">
        <w:rPr>
          <w:bCs/>
        </w:rPr>
        <w:t>d</w:t>
      </w:r>
      <w:r w:rsidRPr="00B7540B">
        <w:rPr>
          <w:bCs/>
        </w:rPr>
        <w:t>erivative</w:t>
      </w:r>
      <w:r w:rsidR="005555D2">
        <w:rPr>
          <w:bCs/>
        </w:rPr>
        <w:t>”</w:t>
      </w:r>
      <w:r w:rsidRPr="00B7540B">
        <w:rPr>
          <w:bCs/>
        </w:rPr>
        <w:t xml:space="preserve"> if the </w:t>
      </w:r>
      <w:r w:rsidR="00CA20EE">
        <w:rPr>
          <w:bCs/>
        </w:rPr>
        <w:t>d</w:t>
      </w:r>
      <w:r w:rsidRPr="00B7540B">
        <w:rPr>
          <w:bCs/>
        </w:rPr>
        <w:t xml:space="preserve">erivative is in a </w:t>
      </w:r>
      <w:r w:rsidR="00CA20EE">
        <w:rPr>
          <w:bCs/>
        </w:rPr>
        <w:t>p</w:t>
      </w:r>
      <w:r w:rsidRPr="00B7540B">
        <w:rPr>
          <w:bCs/>
        </w:rPr>
        <w:t xml:space="preserve">rescribed </w:t>
      </w:r>
      <w:r w:rsidR="00CA20EE">
        <w:rPr>
          <w:bCs/>
        </w:rPr>
        <w:t>c</w:t>
      </w:r>
      <w:r w:rsidRPr="00B7540B">
        <w:rPr>
          <w:bCs/>
        </w:rPr>
        <w:t xml:space="preserve">lass. </w:t>
      </w:r>
    </w:p>
    <w:p w14:paraId="43CCC467" w14:textId="373872AB" w:rsidR="00EE77B7" w:rsidRDefault="00B7540B" w:rsidP="00091619">
      <w:pPr>
        <w:pStyle w:val="LI-BodyTextParaa"/>
        <w:numPr>
          <w:ilvl w:val="0"/>
          <w:numId w:val="2"/>
        </w:numPr>
        <w:rPr>
          <w:bCs/>
        </w:rPr>
      </w:pPr>
      <w:r w:rsidRPr="00B7540B">
        <w:rPr>
          <w:bCs/>
        </w:rPr>
        <w:t xml:space="preserve">Subrule 1.2.4(1) therefore ensures the scope of the </w:t>
      </w:r>
      <w:r w:rsidR="00EF7164">
        <w:rPr>
          <w:bCs/>
        </w:rPr>
        <w:t>r</w:t>
      </w:r>
      <w:r w:rsidRPr="00B7540B">
        <w:rPr>
          <w:bCs/>
        </w:rPr>
        <w:t xml:space="preserve">eporting </w:t>
      </w:r>
      <w:r w:rsidR="00EF7164">
        <w:rPr>
          <w:bCs/>
        </w:rPr>
        <w:t>r</w:t>
      </w:r>
      <w:r w:rsidRPr="00B7540B">
        <w:rPr>
          <w:bCs/>
        </w:rPr>
        <w:t xml:space="preserve">equirements is consistent with the limitations on ASIC’s rule-making power provided for in subsection 901B(2) of the </w:t>
      </w:r>
      <w:r w:rsidR="00EF7164">
        <w:rPr>
          <w:bCs/>
        </w:rPr>
        <w:t xml:space="preserve">Corporations </w:t>
      </w:r>
      <w:r w:rsidRPr="00B7540B">
        <w:rPr>
          <w:bCs/>
        </w:rPr>
        <w:t xml:space="preserve">Act, and the relevant Ministerial </w:t>
      </w:r>
      <w:r w:rsidR="00C74787">
        <w:rPr>
          <w:bCs/>
        </w:rPr>
        <w:t>d</w:t>
      </w:r>
      <w:r w:rsidRPr="00B7540B">
        <w:rPr>
          <w:bCs/>
        </w:rPr>
        <w:t xml:space="preserve">etermination. </w:t>
      </w:r>
    </w:p>
    <w:p w14:paraId="425B70AC" w14:textId="3FD4719F" w:rsidR="00B7540B" w:rsidRPr="00B7540B" w:rsidRDefault="00B7540B" w:rsidP="00091619">
      <w:pPr>
        <w:pStyle w:val="LI-BodyTextParaa"/>
        <w:numPr>
          <w:ilvl w:val="0"/>
          <w:numId w:val="2"/>
        </w:numPr>
        <w:rPr>
          <w:bCs/>
        </w:rPr>
      </w:pPr>
      <w:r w:rsidRPr="00B7540B">
        <w:rPr>
          <w:bCs/>
        </w:rPr>
        <w:t xml:space="preserve">As at the date of making the </w:t>
      </w:r>
      <w:r w:rsidR="00EF7164">
        <w:rPr>
          <w:bCs/>
        </w:rPr>
        <w:t xml:space="preserve">2022 </w:t>
      </w:r>
      <w:r w:rsidRPr="00B7540B">
        <w:rPr>
          <w:bCs/>
        </w:rPr>
        <w:t xml:space="preserve">Rules, the </w:t>
      </w:r>
      <w:r w:rsidR="00291653">
        <w:rPr>
          <w:bCs/>
        </w:rPr>
        <w:t>p</w:t>
      </w:r>
      <w:r w:rsidRPr="00B7540B">
        <w:rPr>
          <w:bCs/>
        </w:rPr>
        <w:t xml:space="preserve">rescribed </w:t>
      </w:r>
      <w:r w:rsidR="00291653">
        <w:rPr>
          <w:bCs/>
        </w:rPr>
        <w:t>c</w:t>
      </w:r>
      <w:r w:rsidRPr="00B7540B">
        <w:rPr>
          <w:bCs/>
        </w:rPr>
        <w:t>lasses are:</w:t>
      </w:r>
    </w:p>
    <w:p w14:paraId="48FE51F9" w14:textId="77777777" w:rsidR="00B7540B" w:rsidRPr="00B7540B" w:rsidRDefault="00B7540B" w:rsidP="00091619">
      <w:pPr>
        <w:pStyle w:val="LI-BodyTextParaa"/>
        <w:numPr>
          <w:ilvl w:val="1"/>
          <w:numId w:val="2"/>
        </w:numPr>
        <w:rPr>
          <w:bCs/>
        </w:rPr>
      </w:pPr>
      <w:r w:rsidRPr="00B7540B">
        <w:rPr>
          <w:bCs/>
        </w:rPr>
        <w:t xml:space="preserve">commodity derivatives that are not electricity </w:t>
      </w:r>
      <w:proofErr w:type="gramStart"/>
      <w:r w:rsidRPr="00B7540B">
        <w:rPr>
          <w:bCs/>
        </w:rPr>
        <w:t>derivatives;</w:t>
      </w:r>
      <w:proofErr w:type="gramEnd"/>
    </w:p>
    <w:p w14:paraId="5F9B8EFA" w14:textId="77777777" w:rsidR="00B7540B" w:rsidRPr="00B7540B" w:rsidRDefault="00B7540B" w:rsidP="00091619">
      <w:pPr>
        <w:pStyle w:val="LI-BodyTextParaa"/>
        <w:numPr>
          <w:ilvl w:val="1"/>
          <w:numId w:val="2"/>
        </w:numPr>
        <w:rPr>
          <w:bCs/>
        </w:rPr>
      </w:pPr>
      <w:r w:rsidRPr="00B7540B">
        <w:rPr>
          <w:bCs/>
        </w:rPr>
        <w:t xml:space="preserve">credit </w:t>
      </w:r>
      <w:proofErr w:type="gramStart"/>
      <w:r w:rsidRPr="00B7540B">
        <w:rPr>
          <w:bCs/>
        </w:rPr>
        <w:t>derivatives;</w:t>
      </w:r>
      <w:proofErr w:type="gramEnd"/>
    </w:p>
    <w:p w14:paraId="6DC8FEA2" w14:textId="77777777" w:rsidR="00B7540B" w:rsidRPr="00B7540B" w:rsidRDefault="00B7540B" w:rsidP="00091619">
      <w:pPr>
        <w:pStyle w:val="LI-BodyTextParaa"/>
        <w:numPr>
          <w:ilvl w:val="1"/>
          <w:numId w:val="2"/>
        </w:numPr>
        <w:rPr>
          <w:bCs/>
        </w:rPr>
      </w:pPr>
      <w:r w:rsidRPr="00B7540B">
        <w:rPr>
          <w:bCs/>
        </w:rPr>
        <w:t xml:space="preserve">equity </w:t>
      </w:r>
      <w:proofErr w:type="gramStart"/>
      <w:r w:rsidRPr="00B7540B">
        <w:rPr>
          <w:bCs/>
        </w:rPr>
        <w:t>derivatives;</w:t>
      </w:r>
      <w:proofErr w:type="gramEnd"/>
    </w:p>
    <w:p w14:paraId="52DD89AE" w14:textId="77777777" w:rsidR="00B7540B" w:rsidRPr="00B7540B" w:rsidRDefault="00B7540B" w:rsidP="00091619">
      <w:pPr>
        <w:pStyle w:val="LI-BodyTextParaa"/>
        <w:numPr>
          <w:ilvl w:val="1"/>
          <w:numId w:val="2"/>
        </w:numPr>
        <w:rPr>
          <w:bCs/>
        </w:rPr>
      </w:pPr>
      <w:r w:rsidRPr="00B7540B">
        <w:rPr>
          <w:bCs/>
        </w:rPr>
        <w:t>foreign exchange derivatives; and</w:t>
      </w:r>
    </w:p>
    <w:p w14:paraId="17F7C9BB" w14:textId="77777777" w:rsidR="00B7540B" w:rsidRPr="00B7540B" w:rsidRDefault="00B7540B" w:rsidP="00091619">
      <w:pPr>
        <w:pStyle w:val="LI-BodyTextParaa"/>
        <w:numPr>
          <w:ilvl w:val="1"/>
          <w:numId w:val="2"/>
        </w:numPr>
        <w:rPr>
          <w:bCs/>
        </w:rPr>
      </w:pPr>
      <w:r w:rsidRPr="00B7540B">
        <w:rPr>
          <w:bCs/>
        </w:rPr>
        <w:t>interest rate derivatives.</w:t>
      </w:r>
    </w:p>
    <w:p w14:paraId="3D60A788" w14:textId="03972081" w:rsidR="00B7540B" w:rsidRPr="00B7540B" w:rsidRDefault="00B7540B" w:rsidP="00091619">
      <w:pPr>
        <w:pStyle w:val="LI-BodyTextParaa"/>
        <w:numPr>
          <w:ilvl w:val="0"/>
          <w:numId w:val="2"/>
        </w:numPr>
        <w:rPr>
          <w:bCs/>
        </w:rPr>
      </w:pPr>
      <w:r w:rsidRPr="00B7540B">
        <w:rPr>
          <w:bCs/>
        </w:rPr>
        <w:t xml:space="preserve">Subrule 1.2.4(2) of the </w:t>
      </w:r>
      <w:r w:rsidR="00EF7164">
        <w:rPr>
          <w:bCs/>
        </w:rPr>
        <w:t xml:space="preserve">2022 </w:t>
      </w:r>
      <w:r w:rsidRPr="00B7540B">
        <w:rPr>
          <w:bCs/>
        </w:rPr>
        <w:t xml:space="preserve">Rules carves out certain exchange-traded </w:t>
      </w:r>
      <w:r w:rsidR="00EF7164">
        <w:rPr>
          <w:bCs/>
        </w:rPr>
        <w:t>d</w:t>
      </w:r>
      <w:r w:rsidRPr="00B7540B">
        <w:rPr>
          <w:bCs/>
        </w:rPr>
        <w:t xml:space="preserve">erivatives from the definition of </w:t>
      </w:r>
      <w:r w:rsidR="003418F9">
        <w:rPr>
          <w:bCs/>
        </w:rPr>
        <w:t>“</w:t>
      </w:r>
      <w:r w:rsidRPr="00B7540B">
        <w:rPr>
          <w:bCs/>
        </w:rPr>
        <w:t xml:space="preserve">OTC </w:t>
      </w:r>
      <w:r w:rsidR="00EE77B7">
        <w:rPr>
          <w:bCs/>
        </w:rPr>
        <w:t>d</w:t>
      </w:r>
      <w:r w:rsidRPr="00B7540B">
        <w:rPr>
          <w:bCs/>
        </w:rPr>
        <w:t>erivative</w:t>
      </w:r>
      <w:r w:rsidR="003418F9">
        <w:rPr>
          <w:bCs/>
        </w:rPr>
        <w:t>”</w:t>
      </w:r>
      <w:r w:rsidRPr="00B7540B">
        <w:rPr>
          <w:bCs/>
        </w:rPr>
        <w:t xml:space="preserve"> for the purposes of the </w:t>
      </w:r>
      <w:r w:rsidR="00EF7164">
        <w:rPr>
          <w:bCs/>
        </w:rPr>
        <w:t xml:space="preserve">2022 </w:t>
      </w:r>
      <w:r w:rsidRPr="00B7540B">
        <w:rPr>
          <w:bCs/>
        </w:rPr>
        <w:t xml:space="preserve">Rules. Under </w:t>
      </w:r>
      <w:r w:rsidR="00E647AA">
        <w:rPr>
          <w:bCs/>
        </w:rPr>
        <w:t>this</w:t>
      </w:r>
      <w:r w:rsidR="00E647AA" w:rsidRPr="00B7540B">
        <w:rPr>
          <w:bCs/>
        </w:rPr>
        <w:t xml:space="preserve"> </w:t>
      </w:r>
      <w:r w:rsidRPr="00B7540B">
        <w:rPr>
          <w:bCs/>
        </w:rPr>
        <w:t xml:space="preserve">subrule, a </w:t>
      </w:r>
      <w:r w:rsidR="00EF7164">
        <w:rPr>
          <w:bCs/>
        </w:rPr>
        <w:t>d</w:t>
      </w:r>
      <w:r w:rsidRPr="00B7540B">
        <w:rPr>
          <w:bCs/>
        </w:rPr>
        <w:t xml:space="preserve">erivative is not an OTC </w:t>
      </w:r>
      <w:r w:rsidR="00291653">
        <w:rPr>
          <w:bCs/>
        </w:rPr>
        <w:t>d</w:t>
      </w:r>
      <w:r w:rsidRPr="00B7540B">
        <w:rPr>
          <w:bCs/>
        </w:rPr>
        <w:t>erivative if:</w:t>
      </w:r>
    </w:p>
    <w:p w14:paraId="4007DDEE" w14:textId="11895F29" w:rsidR="00B7540B" w:rsidRPr="00B7540B" w:rsidRDefault="00B7540B" w:rsidP="00091619">
      <w:pPr>
        <w:pStyle w:val="LI-BodyTextParaa"/>
        <w:numPr>
          <w:ilvl w:val="1"/>
          <w:numId w:val="2"/>
        </w:numPr>
        <w:rPr>
          <w:bCs/>
        </w:rPr>
      </w:pPr>
      <w:r w:rsidRPr="00B7540B">
        <w:rPr>
          <w:bCs/>
        </w:rPr>
        <w:t xml:space="preserve">it is able to be traded (within the meaning of section 761A of the </w:t>
      </w:r>
      <w:r w:rsidR="00EF7164">
        <w:rPr>
          <w:bCs/>
        </w:rPr>
        <w:t xml:space="preserve">Corporations </w:t>
      </w:r>
      <w:r w:rsidRPr="00B7540B">
        <w:rPr>
          <w:bCs/>
        </w:rPr>
        <w:t xml:space="preserve">Act) on a </w:t>
      </w:r>
      <w:r w:rsidR="003418F9">
        <w:rPr>
          <w:bCs/>
        </w:rPr>
        <w:t>“</w:t>
      </w:r>
      <w:r w:rsidRPr="00B7540B">
        <w:rPr>
          <w:bCs/>
        </w:rPr>
        <w:t xml:space="preserve">Part 7.2A </w:t>
      </w:r>
      <w:r w:rsidR="00EF7164">
        <w:rPr>
          <w:bCs/>
        </w:rPr>
        <w:t>m</w:t>
      </w:r>
      <w:r w:rsidRPr="00B7540B">
        <w:rPr>
          <w:bCs/>
        </w:rPr>
        <w:t>arket</w:t>
      </w:r>
      <w:r w:rsidR="003418F9">
        <w:rPr>
          <w:bCs/>
        </w:rPr>
        <w:t>”</w:t>
      </w:r>
      <w:r w:rsidRPr="00B7540B">
        <w:rPr>
          <w:bCs/>
        </w:rPr>
        <w:t xml:space="preserve"> and the entry into the arrangement that is the </w:t>
      </w:r>
      <w:r w:rsidR="00EF7164">
        <w:rPr>
          <w:bCs/>
        </w:rPr>
        <w:t>d</w:t>
      </w:r>
      <w:r w:rsidRPr="00B7540B">
        <w:rPr>
          <w:bCs/>
        </w:rPr>
        <w:t xml:space="preserve">erivative takes place on the Part 7.2A </w:t>
      </w:r>
      <w:proofErr w:type="gramStart"/>
      <w:r w:rsidR="00EF7164">
        <w:rPr>
          <w:bCs/>
        </w:rPr>
        <w:t>m</w:t>
      </w:r>
      <w:r w:rsidRPr="00B7540B">
        <w:rPr>
          <w:bCs/>
        </w:rPr>
        <w:t>arket, or</w:t>
      </w:r>
      <w:proofErr w:type="gramEnd"/>
      <w:r w:rsidRPr="00B7540B">
        <w:rPr>
          <w:bCs/>
        </w:rPr>
        <w:t xml:space="preserve"> is reported to the operator of the Part 7.2A </w:t>
      </w:r>
      <w:r w:rsidR="00694211">
        <w:rPr>
          <w:bCs/>
        </w:rPr>
        <w:t>m</w:t>
      </w:r>
      <w:r w:rsidRPr="00B7540B">
        <w:rPr>
          <w:bCs/>
        </w:rPr>
        <w:t xml:space="preserve">arket in its capacity as operator of the Part 7.2A </w:t>
      </w:r>
      <w:r w:rsidR="00694211">
        <w:rPr>
          <w:bCs/>
        </w:rPr>
        <w:t>m</w:t>
      </w:r>
      <w:r w:rsidRPr="00B7540B">
        <w:rPr>
          <w:bCs/>
        </w:rPr>
        <w:t xml:space="preserve">arket, in accordance with the </w:t>
      </w:r>
      <w:r w:rsidR="00694211">
        <w:rPr>
          <w:bCs/>
        </w:rPr>
        <w:t>o</w:t>
      </w:r>
      <w:r w:rsidRPr="00B7540B">
        <w:rPr>
          <w:bCs/>
        </w:rPr>
        <w:t xml:space="preserve">perating </w:t>
      </w:r>
      <w:r w:rsidR="00694211">
        <w:rPr>
          <w:bCs/>
        </w:rPr>
        <w:t>r</w:t>
      </w:r>
      <w:r w:rsidRPr="00B7540B">
        <w:rPr>
          <w:bCs/>
        </w:rPr>
        <w:t xml:space="preserve">ules of the Part 7.2A </w:t>
      </w:r>
      <w:r w:rsidR="00694211">
        <w:rPr>
          <w:bCs/>
        </w:rPr>
        <w:t>m</w:t>
      </w:r>
      <w:r w:rsidRPr="00B7540B">
        <w:rPr>
          <w:bCs/>
        </w:rPr>
        <w:t>arket; or</w:t>
      </w:r>
    </w:p>
    <w:p w14:paraId="08D9BEEB" w14:textId="517D3518" w:rsidR="00B7540B" w:rsidRPr="00B7540B" w:rsidRDefault="00B7540B" w:rsidP="00091619">
      <w:pPr>
        <w:pStyle w:val="LI-BodyTextParaa"/>
        <w:numPr>
          <w:ilvl w:val="1"/>
          <w:numId w:val="2"/>
        </w:numPr>
        <w:rPr>
          <w:bCs/>
        </w:rPr>
      </w:pPr>
      <w:r w:rsidRPr="00B7540B">
        <w:rPr>
          <w:bCs/>
        </w:rPr>
        <w:t xml:space="preserve">it is able to be traded on a </w:t>
      </w:r>
      <w:r w:rsidR="003418F9">
        <w:rPr>
          <w:bCs/>
        </w:rPr>
        <w:t>“</w:t>
      </w:r>
      <w:r w:rsidR="00694211">
        <w:rPr>
          <w:bCs/>
        </w:rPr>
        <w:t>r</w:t>
      </w:r>
      <w:r w:rsidRPr="00B7540B">
        <w:rPr>
          <w:bCs/>
        </w:rPr>
        <w:t xml:space="preserve">egulated </w:t>
      </w:r>
      <w:r w:rsidR="00694211">
        <w:rPr>
          <w:bCs/>
        </w:rPr>
        <w:t>f</w:t>
      </w:r>
      <w:r w:rsidRPr="00B7540B">
        <w:rPr>
          <w:bCs/>
        </w:rPr>
        <w:t xml:space="preserve">oreign </w:t>
      </w:r>
      <w:r w:rsidR="00694211">
        <w:rPr>
          <w:bCs/>
        </w:rPr>
        <w:t>m</w:t>
      </w:r>
      <w:r w:rsidRPr="00B7540B">
        <w:rPr>
          <w:bCs/>
        </w:rPr>
        <w:t>arket</w:t>
      </w:r>
      <w:r w:rsidR="003418F9">
        <w:rPr>
          <w:bCs/>
        </w:rPr>
        <w:t>”</w:t>
      </w:r>
      <w:r w:rsidRPr="00B7540B">
        <w:rPr>
          <w:bCs/>
        </w:rPr>
        <w:t xml:space="preserve"> and the entry into of the arrangement that is the </w:t>
      </w:r>
      <w:r w:rsidR="00694211">
        <w:rPr>
          <w:bCs/>
        </w:rPr>
        <w:t>d</w:t>
      </w:r>
      <w:r w:rsidRPr="00B7540B">
        <w:rPr>
          <w:bCs/>
        </w:rPr>
        <w:t xml:space="preserve">erivative takes place on the </w:t>
      </w:r>
      <w:r w:rsidR="00694211">
        <w:rPr>
          <w:bCs/>
        </w:rPr>
        <w:t>r</w:t>
      </w:r>
      <w:r w:rsidRPr="00B7540B">
        <w:rPr>
          <w:bCs/>
        </w:rPr>
        <w:t xml:space="preserve">egulated </w:t>
      </w:r>
      <w:r w:rsidR="00694211">
        <w:rPr>
          <w:bCs/>
        </w:rPr>
        <w:t>f</w:t>
      </w:r>
      <w:r w:rsidRPr="00B7540B">
        <w:rPr>
          <w:bCs/>
        </w:rPr>
        <w:t xml:space="preserve">oreign </w:t>
      </w:r>
      <w:r w:rsidR="00694211">
        <w:rPr>
          <w:bCs/>
        </w:rPr>
        <w:t>m</w:t>
      </w:r>
      <w:r w:rsidRPr="00B7540B">
        <w:rPr>
          <w:bCs/>
        </w:rPr>
        <w:t>arket.</w:t>
      </w:r>
    </w:p>
    <w:p w14:paraId="247DED7A" w14:textId="229B07A2" w:rsidR="00B7540B" w:rsidRPr="00E24D7D" w:rsidRDefault="00B7540B" w:rsidP="00184988">
      <w:pPr>
        <w:pStyle w:val="LI-BodyTextParaa"/>
        <w:ind w:left="0" w:firstLine="0"/>
        <w:rPr>
          <w:bCs/>
          <w:i/>
          <w:iCs/>
        </w:rPr>
      </w:pPr>
      <w:r w:rsidRPr="00E24D7D">
        <w:rPr>
          <w:bCs/>
          <w:i/>
          <w:iCs/>
        </w:rPr>
        <w:t xml:space="preserve">Part 7.2A </w:t>
      </w:r>
      <w:r w:rsidR="00B34BB8">
        <w:rPr>
          <w:bCs/>
          <w:i/>
          <w:iCs/>
        </w:rPr>
        <w:t>m</w:t>
      </w:r>
      <w:r w:rsidRPr="00E24D7D">
        <w:rPr>
          <w:bCs/>
          <w:i/>
          <w:iCs/>
        </w:rPr>
        <w:t>arkets</w:t>
      </w:r>
    </w:p>
    <w:p w14:paraId="0E0C2C54" w14:textId="55AB5B50" w:rsidR="00B7540B" w:rsidRPr="00B7540B" w:rsidRDefault="003418F9" w:rsidP="00091619">
      <w:pPr>
        <w:pStyle w:val="LI-BodyTextParaa"/>
        <w:numPr>
          <w:ilvl w:val="0"/>
          <w:numId w:val="2"/>
        </w:numPr>
        <w:rPr>
          <w:bCs/>
        </w:rPr>
      </w:pPr>
      <w:r>
        <w:rPr>
          <w:bCs/>
        </w:rPr>
        <w:t>”</w:t>
      </w:r>
      <w:r w:rsidR="00B7540B" w:rsidRPr="00B7540B">
        <w:rPr>
          <w:bCs/>
        </w:rPr>
        <w:t xml:space="preserve">Part 7.2A </w:t>
      </w:r>
      <w:r w:rsidR="004C4789">
        <w:rPr>
          <w:bCs/>
        </w:rPr>
        <w:t>m</w:t>
      </w:r>
      <w:r w:rsidR="00B7540B" w:rsidRPr="00B7540B">
        <w:rPr>
          <w:bCs/>
        </w:rPr>
        <w:t>arket</w:t>
      </w:r>
      <w:r>
        <w:rPr>
          <w:bCs/>
        </w:rPr>
        <w:t>”</w:t>
      </w:r>
      <w:r w:rsidR="00B7540B" w:rsidRPr="00B7540B">
        <w:rPr>
          <w:bCs/>
        </w:rPr>
        <w:t xml:space="preserve"> is defined in Rule 1.2.3 as </w:t>
      </w:r>
      <w:r w:rsidR="00B7540B" w:rsidRPr="00AE360F">
        <w:rPr>
          <w:bCs/>
        </w:rPr>
        <w:t xml:space="preserve">a financial market the operator of which is licensed under subsection 795B(1) of the </w:t>
      </w:r>
      <w:r w:rsidR="004C4789" w:rsidRPr="00AE360F">
        <w:rPr>
          <w:bCs/>
        </w:rPr>
        <w:t xml:space="preserve">Corporations </w:t>
      </w:r>
      <w:proofErr w:type="gramStart"/>
      <w:r w:rsidR="00B7540B" w:rsidRPr="00AE360F">
        <w:rPr>
          <w:bCs/>
        </w:rPr>
        <w:t>Act, but</w:t>
      </w:r>
      <w:proofErr w:type="gramEnd"/>
      <w:r w:rsidR="00B7540B" w:rsidRPr="00AE360F">
        <w:rPr>
          <w:bCs/>
        </w:rPr>
        <w:t xml:space="preserve"> does not include a financial market operated by an operator specified in regulation 10.15.02 of the </w:t>
      </w:r>
      <w:r w:rsidR="004C4789" w:rsidRPr="00AE360F">
        <w:rPr>
          <w:bCs/>
        </w:rPr>
        <w:t xml:space="preserve">Corporations </w:t>
      </w:r>
      <w:r w:rsidR="00B7540B" w:rsidRPr="00AE360F">
        <w:rPr>
          <w:bCs/>
        </w:rPr>
        <w:t>Regulations</w:t>
      </w:r>
      <w:r>
        <w:rPr>
          <w:bCs/>
        </w:rPr>
        <w:t>,</w:t>
      </w:r>
      <w:r w:rsidR="00B7540B" w:rsidRPr="00AE360F">
        <w:rPr>
          <w:bCs/>
        </w:rPr>
        <w:t xml:space="preserve"> or any other financial market that ASIC does not have the function of supervising under section 798F of the </w:t>
      </w:r>
      <w:r w:rsidR="004C4789" w:rsidRPr="00AE360F">
        <w:rPr>
          <w:bCs/>
        </w:rPr>
        <w:t xml:space="preserve">Corporations </w:t>
      </w:r>
      <w:r w:rsidR="00B7540B" w:rsidRPr="00AE360F">
        <w:rPr>
          <w:bCs/>
        </w:rPr>
        <w:t>Act.</w:t>
      </w:r>
    </w:p>
    <w:p w14:paraId="08EDCE36" w14:textId="77777777" w:rsidR="00C35C59" w:rsidRDefault="00C35C59">
      <w:pPr>
        <w:spacing w:line="240" w:lineRule="auto"/>
        <w:rPr>
          <w:rFonts w:eastAsia="Times New Roman"/>
          <w:bCs/>
          <w:i/>
          <w:iCs/>
          <w:sz w:val="24"/>
          <w:szCs w:val="24"/>
          <w:lang w:eastAsia="en-AU"/>
        </w:rPr>
      </w:pPr>
      <w:r>
        <w:rPr>
          <w:bCs/>
          <w:i/>
          <w:iCs/>
        </w:rPr>
        <w:br w:type="page"/>
      </w:r>
    </w:p>
    <w:p w14:paraId="4610B51C" w14:textId="106189BD" w:rsidR="00B7540B" w:rsidRPr="00A34D6D" w:rsidRDefault="00B7540B" w:rsidP="00A34D6D">
      <w:pPr>
        <w:pStyle w:val="LI-BodyTextParaa"/>
        <w:ind w:left="0" w:firstLine="0"/>
        <w:rPr>
          <w:bCs/>
          <w:i/>
          <w:iCs/>
        </w:rPr>
      </w:pPr>
      <w:r w:rsidRPr="00A34D6D">
        <w:rPr>
          <w:bCs/>
          <w:i/>
          <w:iCs/>
        </w:rPr>
        <w:lastRenderedPageBreak/>
        <w:t xml:space="preserve">Regulated </w:t>
      </w:r>
      <w:r w:rsidR="00B34BB8">
        <w:rPr>
          <w:bCs/>
          <w:i/>
          <w:iCs/>
        </w:rPr>
        <w:t>f</w:t>
      </w:r>
      <w:r w:rsidRPr="00A34D6D">
        <w:rPr>
          <w:bCs/>
          <w:i/>
          <w:iCs/>
        </w:rPr>
        <w:t xml:space="preserve">oreign </w:t>
      </w:r>
      <w:r w:rsidR="00B34BB8">
        <w:rPr>
          <w:bCs/>
          <w:i/>
          <w:iCs/>
        </w:rPr>
        <w:t>m</w:t>
      </w:r>
      <w:r w:rsidRPr="00A34D6D">
        <w:rPr>
          <w:bCs/>
          <w:i/>
          <w:iCs/>
        </w:rPr>
        <w:t>arkets</w:t>
      </w:r>
    </w:p>
    <w:p w14:paraId="72439A28" w14:textId="14F80751" w:rsidR="00147B6E" w:rsidRDefault="00147B6E" w:rsidP="00091619">
      <w:pPr>
        <w:pStyle w:val="LI-BodyTextParaa"/>
        <w:numPr>
          <w:ilvl w:val="0"/>
          <w:numId w:val="2"/>
        </w:numPr>
        <w:rPr>
          <w:bCs/>
        </w:rPr>
      </w:pPr>
      <w:r>
        <w:rPr>
          <w:bCs/>
        </w:rPr>
        <w:t>Under subrule 1.2.4(2A)</w:t>
      </w:r>
      <w:r w:rsidR="00DC3C81">
        <w:rPr>
          <w:bCs/>
        </w:rPr>
        <w:t xml:space="preserve">, a </w:t>
      </w:r>
      <w:r w:rsidR="003418F9">
        <w:rPr>
          <w:bCs/>
        </w:rPr>
        <w:t>“</w:t>
      </w:r>
      <w:r w:rsidR="00DC3C81">
        <w:rPr>
          <w:bCs/>
        </w:rPr>
        <w:t>Regulated Foreign Market</w:t>
      </w:r>
      <w:r w:rsidR="003418F9">
        <w:rPr>
          <w:bCs/>
        </w:rPr>
        <w:t>”</w:t>
      </w:r>
      <w:r w:rsidR="00DC3C81">
        <w:rPr>
          <w:bCs/>
        </w:rPr>
        <w:t xml:space="preserve"> means </w:t>
      </w:r>
      <w:r w:rsidR="00DB353D">
        <w:rPr>
          <w:bCs/>
        </w:rPr>
        <w:t xml:space="preserve">a </w:t>
      </w:r>
      <w:r w:rsidR="00BE150B">
        <w:rPr>
          <w:bCs/>
        </w:rPr>
        <w:t>d</w:t>
      </w:r>
      <w:r w:rsidR="00DB353D">
        <w:rPr>
          <w:bCs/>
        </w:rPr>
        <w:t xml:space="preserve">esignated </w:t>
      </w:r>
      <w:r w:rsidR="00BE150B">
        <w:rPr>
          <w:bCs/>
        </w:rPr>
        <w:t>c</w:t>
      </w:r>
      <w:r w:rsidR="005D49E9">
        <w:rPr>
          <w:bCs/>
        </w:rPr>
        <w:t xml:space="preserve">ontract </w:t>
      </w:r>
      <w:r w:rsidR="00BE150B">
        <w:rPr>
          <w:bCs/>
        </w:rPr>
        <w:t>m</w:t>
      </w:r>
      <w:r w:rsidR="005D49E9">
        <w:rPr>
          <w:bCs/>
        </w:rPr>
        <w:t>arket registered by the CFTC</w:t>
      </w:r>
      <w:r w:rsidR="00C5231F">
        <w:rPr>
          <w:bCs/>
        </w:rPr>
        <w:t xml:space="preserve">, a </w:t>
      </w:r>
      <w:r w:rsidR="00BE150B">
        <w:rPr>
          <w:bCs/>
        </w:rPr>
        <w:t>r</w:t>
      </w:r>
      <w:r w:rsidR="00C5231F">
        <w:rPr>
          <w:bCs/>
        </w:rPr>
        <w:t>egulated market</w:t>
      </w:r>
      <w:r w:rsidR="00A01200">
        <w:rPr>
          <w:bCs/>
        </w:rPr>
        <w:t xml:space="preserve"> under a specified directive </w:t>
      </w:r>
      <w:r w:rsidR="00357BA4">
        <w:rPr>
          <w:bCs/>
        </w:rPr>
        <w:t xml:space="preserve">of the European </w:t>
      </w:r>
      <w:r w:rsidR="00A818DE">
        <w:rPr>
          <w:bCs/>
        </w:rPr>
        <w:t>Parliament</w:t>
      </w:r>
      <w:r w:rsidR="00357BA4">
        <w:rPr>
          <w:bCs/>
        </w:rPr>
        <w:t xml:space="preserve"> and of the Council or is a financial m</w:t>
      </w:r>
      <w:r w:rsidR="00A818DE">
        <w:rPr>
          <w:bCs/>
        </w:rPr>
        <w:t>arket</w:t>
      </w:r>
      <w:r w:rsidR="004F626D">
        <w:rPr>
          <w:bCs/>
        </w:rPr>
        <w:t>,</w:t>
      </w:r>
      <w:r w:rsidR="00A818DE">
        <w:rPr>
          <w:bCs/>
        </w:rPr>
        <w:t xml:space="preserve"> or </w:t>
      </w:r>
      <w:r w:rsidR="004F626D">
        <w:rPr>
          <w:bCs/>
        </w:rPr>
        <w:t xml:space="preserve">is </w:t>
      </w:r>
      <w:r w:rsidR="00A818DE">
        <w:rPr>
          <w:bCs/>
        </w:rPr>
        <w:t>in a class of financial markets</w:t>
      </w:r>
      <w:r w:rsidR="004F626D">
        <w:rPr>
          <w:bCs/>
        </w:rPr>
        <w:t xml:space="preserve">, </w:t>
      </w:r>
      <w:r w:rsidR="00B24607">
        <w:rPr>
          <w:bCs/>
        </w:rPr>
        <w:t xml:space="preserve">that has been determined by ASIC as a </w:t>
      </w:r>
      <w:r w:rsidR="00BE150B">
        <w:rPr>
          <w:bCs/>
        </w:rPr>
        <w:t>r</w:t>
      </w:r>
      <w:r w:rsidR="00B24607">
        <w:rPr>
          <w:bCs/>
        </w:rPr>
        <w:t xml:space="preserve">egulated </w:t>
      </w:r>
      <w:r w:rsidR="00BE150B">
        <w:rPr>
          <w:bCs/>
        </w:rPr>
        <w:t>f</w:t>
      </w:r>
      <w:r w:rsidR="00B24607">
        <w:rPr>
          <w:bCs/>
        </w:rPr>
        <w:t xml:space="preserve">oreign </w:t>
      </w:r>
      <w:r w:rsidR="00BE150B">
        <w:rPr>
          <w:bCs/>
        </w:rPr>
        <w:t>m</w:t>
      </w:r>
      <w:r w:rsidR="00B24607">
        <w:rPr>
          <w:bCs/>
        </w:rPr>
        <w:t>arket</w:t>
      </w:r>
      <w:r w:rsidR="001C2F63">
        <w:rPr>
          <w:bCs/>
        </w:rPr>
        <w:t xml:space="preserve"> under subrule 1.2.4(3).</w:t>
      </w:r>
    </w:p>
    <w:p w14:paraId="0A00D375" w14:textId="0B75A880" w:rsidR="00B7540B" w:rsidRPr="00B7540B" w:rsidRDefault="00B7540B" w:rsidP="00091619">
      <w:pPr>
        <w:pStyle w:val="LI-BodyTextParaa"/>
        <w:numPr>
          <w:ilvl w:val="0"/>
          <w:numId w:val="2"/>
        </w:numPr>
        <w:rPr>
          <w:bCs/>
        </w:rPr>
      </w:pPr>
      <w:r w:rsidRPr="00B7540B">
        <w:rPr>
          <w:bCs/>
        </w:rPr>
        <w:t xml:space="preserve">Under subrule 1.2.4(3), ASIC may determine that a financial market in a foreign jurisdiction is a </w:t>
      </w:r>
      <w:r w:rsidR="00EC0542">
        <w:rPr>
          <w:bCs/>
        </w:rPr>
        <w:t>r</w:t>
      </w:r>
      <w:r w:rsidRPr="00B7540B">
        <w:rPr>
          <w:bCs/>
        </w:rPr>
        <w:t xml:space="preserve">egulated </w:t>
      </w:r>
      <w:r w:rsidR="00EC0542">
        <w:rPr>
          <w:bCs/>
        </w:rPr>
        <w:t>f</w:t>
      </w:r>
      <w:r w:rsidRPr="00B7540B">
        <w:rPr>
          <w:bCs/>
        </w:rPr>
        <w:t xml:space="preserve">oreign </w:t>
      </w:r>
      <w:r w:rsidR="00EC0542">
        <w:rPr>
          <w:bCs/>
        </w:rPr>
        <w:t>m</w:t>
      </w:r>
      <w:r w:rsidRPr="00B7540B">
        <w:rPr>
          <w:bCs/>
        </w:rPr>
        <w:t xml:space="preserve">arket for the purposes of subrule 1.2.4(2), where, in the opinion of ASIC, the operation of the financial market in the foreign jurisdiction is subject to requirements and supervision that are sufficiently equivalent, in relation to market integrity and market transparency, to the requirements and supervision to which a </w:t>
      </w:r>
      <w:r w:rsidR="00FF601C">
        <w:rPr>
          <w:bCs/>
        </w:rPr>
        <w:t>d</w:t>
      </w:r>
      <w:r w:rsidR="00F13201">
        <w:rPr>
          <w:bCs/>
        </w:rPr>
        <w:t xml:space="preserve">esignated </w:t>
      </w:r>
      <w:r w:rsidR="00FF601C">
        <w:rPr>
          <w:bCs/>
        </w:rPr>
        <w:t>c</w:t>
      </w:r>
      <w:r w:rsidR="00F13201">
        <w:rPr>
          <w:bCs/>
        </w:rPr>
        <w:t xml:space="preserve">ontract </w:t>
      </w:r>
      <w:r w:rsidR="00FF601C">
        <w:rPr>
          <w:bCs/>
        </w:rPr>
        <w:t>m</w:t>
      </w:r>
      <w:r w:rsidR="00F13201">
        <w:rPr>
          <w:bCs/>
        </w:rPr>
        <w:t xml:space="preserve">arket, a </w:t>
      </w:r>
      <w:r w:rsidR="00FF601C">
        <w:rPr>
          <w:bCs/>
        </w:rPr>
        <w:t>r</w:t>
      </w:r>
      <w:r w:rsidR="0033743B">
        <w:rPr>
          <w:bCs/>
        </w:rPr>
        <w:t xml:space="preserve">egulated market or a </w:t>
      </w:r>
      <w:r w:rsidRPr="00B7540B">
        <w:rPr>
          <w:bCs/>
        </w:rPr>
        <w:t xml:space="preserve">Part 7.2A </w:t>
      </w:r>
      <w:r w:rsidR="001A389F">
        <w:rPr>
          <w:bCs/>
        </w:rPr>
        <w:t>m</w:t>
      </w:r>
      <w:r w:rsidRPr="00B7540B">
        <w:rPr>
          <w:bCs/>
        </w:rPr>
        <w:t xml:space="preserve">arket is subject in </w:t>
      </w:r>
      <w:r w:rsidR="0033743B">
        <w:rPr>
          <w:bCs/>
        </w:rPr>
        <w:t>their respective</w:t>
      </w:r>
      <w:r w:rsidR="0033743B" w:rsidRPr="00B7540B">
        <w:rPr>
          <w:bCs/>
        </w:rPr>
        <w:t xml:space="preserve"> </w:t>
      </w:r>
      <w:r w:rsidRPr="00B7540B">
        <w:rPr>
          <w:bCs/>
        </w:rPr>
        <w:t>jurisdiction</w:t>
      </w:r>
      <w:r w:rsidR="0033743B">
        <w:rPr>
          <w:bCs/>
        </w:rPr>
        <w:t>s</w:t>
      </w:r>
      <w:r w:rsidRPr="00B7540B">
        <w:rPr>
          <w:bCs/>
        </w:rPr>
        <w:t xml:space="preserve">. A determination by ASIC for the purposes of subrule 1.2.4(3) will be published on ASIC’s website and takes effect on the </w:t>
      </w:r>
      <w:r w:rsidR="000E7B62">
        <w:rPr>
          <w:bCs/>
        </w:rPr>
        <w:t>date</w:t>
      </w:r>
      <w:r w:rsidR="000E7B62" w:rsidRPr="00B7540B">
        <w:rPr>
          <w:bCs/>
        </w:rPr>
        <w:t xml:space="preserve"> </w:t>
      </w:r>
      <w:r w:rsidR="00F61064">
        <w:rPr>
          <w:bCs/>
        </w:rPr>
        <w:t>specified in the determination</w:t>
      </w:r>
      <w:r w:rsidRPr="00B7540B">
        <w:rPr>
          <w:bCs/>
        </w:rPr>
        <w:t xml:space="preserve"> (see subrule 1.2.4(4)). A determination may be withdrawn by ASIC by notice published on ASIC’s website, from a date specified in the notification that is not less than 1 calendar month after the date the notice is </w:t>
      </w:r>
      <w:bookmarkStart w:id="10" w:name="_Hlk120624060"/>
      <w:r w:rsidR="00F61064">
        <w:rPr>
          <w:bCs/>
        </w:rPr>
        <w:t xml:space="preserve">registered under the </w:t>
      </w:r>
      <w:r w:rsidR="00F61064" w:rsidRPr="00907E08">
        <w:rPr>
          <w:bCs/>
          <w:i/>
          <w:iCs/>
        </w:rPr>
        <w:t>Legislative Instrument Act 2003</w:t>
      </w:r>
      <w:bookmarkEnd w:id="10"/>
      <w:r w:rsidRPr="00B7540B">
        <w:rPr>
          <w:bCs/>
        </w:rPr>
        <w:t>, and once withdrawn ceases to have effect (see subrule 1.2.4(5)).</w:t>
      </w:r>
    </w:p>
    <w:p w14:paraId="57B54DD3" w14:textId="437C6D48" w:rsidR="00B7540B" w:rsidRPr="00B7540B" w:rsidRDefault="008A1FD2" w:rsidP="00091619">
      <w:pPr>
        <w:pStyle w:val="LI-BodyTextParaa"/>
        <w:numPr>
          <w:ilvl w:val="0"/>
          <w:numId w:val="2"/>
        </w:numPr>
        <w:rPr>
          <w:bCs/>
        </w:rPr>
      </w:pPr>
      <w:r>
        <w:rPr>
          <w:bCs/>
        </w:rPr>
        <w:t xml:space="preserve">Subrule </w:t>
      </w:r>
      <w:r w:rsidR="00E66A15">
        <w:rPr>
          <w:bCs/>
        </w:rPr>
        <w:t>1.2.4(2A) identifies</w:t>
      </w:r>
      <w:r w:rsidR="00E15DFF">
        <w:rPr>
          <w:bCs/>
        </w:rPr>
        <w:t xml:space="preserve"> </w:t>
      </w:r>
      <w:r w:rsidR="00EA6190">
        <w:rPr>
          <w:bCs/>
        </w:rPr>
        <w:t>kinds of US and European</w:t>
      </w:r>
      <w:r w:rsidR="00F9063E">
        <w:rPr>
          <w:bCs/>
        </w:rPr>
        <w:t xml:space="preserve"> markets whose </w:t>
      </w:r>
      <w:r w:rsidR="002E4D38">
        <w:rPr>
          <w:bCs/>
        </w:rPr>
        <w:t xml:space="preserve">derivatives traded on those markets are not OTC </w:t>
      </w:r>
      <w:r w:rsidR="009531EC">
        <w:rPr>
          <w:bCs/>
        </w:rPr>
        <w:t>d</w:t>
      </w:r>
      <w:r w:rsidR="002E4D38">
        <w:rPr>
          <w:bCs/>
        </w:rPr>
        <w:t>erivatives</w:t>
      </w:r>
      <w:r w:rsidR="005E6D41">
        <w:rPr>
          <w:bCs/>
        </w:rPr>
        <w:t xml:space="preserve"> and</w:t>
      </w:r>
      <w:r w:rsidR="00EA6190">
        <w:rPr>
          <w:bCs/>
        </w:rPr>
        <w:t xml:space="preserve"> </w:t>
      </w:r>
      <w:r w:rsidR="005E6D41">
        <w:rPr>
          <w:bCs/>
        </w:rPr>
        <w:t>s</w:t>
      </w:r>
      <w:r w:rsidR="005E6D41" w:rsidRPr="00B7540B">
        <w:rPr>
          <w:bCs/>
        </w:rPr>
        <w:t xml:space="preserve">ubrules </w:t>
      </w:r>
      <w:r w:rsidR="00B7540B" w:rsidRPr="00B7540B">
        <w:rPr>
          <w:bCs/>
        </w:rPr>
        <w:t xml:space="preserve">1.2.4(3), (4) and (5) provide ASIC with flexibility to carve foreign exchange-traded </w:t>
      </w:r>
      <w:r w:rsidR="001F4EDE">
        <w:rPr>
          <w:bCs/>
        </w:rPr>
        <w:t>d</w:t>
      </w:r>
      <w:r w:rsidR="00B7540B" w:rsidRPr="00B7540B">
        <w:rPr>
          <w:bCs/>
        </w:rPr>
        <w:t xml:space="preserve">erivatives out of the scope of the </w:t>
      </w:r>
      <w:r w:rsidR="001F4EDE">
        <w:rPr>
          <w:bCs/>
        </w:rPr>
        <w:t>r</w:t>
      </w:r>
      <w:r w:rsidR="00B7540B" w:rsidRPr="00B7540B">
        <w:rPr>
          <w:bCs/>
        </w:rPr>
        <w:t xml:space="preserve">eporting </w:t>
      </w:r>
      <w:r w:rsidR="001F4EDE">
        <w:rPr>
          <w:bCs/>
        </w:rPr>
        <w:t>r</w:t>
      </w:r>
      <w:r w:rsidR="00B7540B" w:rsidRPr="00B7540B">
        <w:rPr>
          <w:bCs/>
        </w:rPr>
        <w:t>equirements in appropriate circumstances.</w:t>
      </w:r>
    </w:p>
    <w:p w14:paraId="61778618" w14:textId="19387D4A" w:rsidR="00B7540B" w:rsidRPr="00303364" w:rsidRDefault="00DB6498" w:rsidP="00091619">
      <w:pPr>
        <w:pStyle w:val="LI-BodyTextParaa"/>
        <w:numPr>
          <w:ilvl w:val="0"/>
          <w:numId w:val="2"/>
        </w:numPr>
        <w:rPr>
          <w:bCs/>
        </w:rPr>
      </w:pPr>
      <w:bookmarkStart w:id="11" w:name="_Hlk120624094"/>
      <w:r>
        <w:rPr>
          <w:bCs/>
        </w:rPr>
        <w:t>As at the date of making the 2022 Rules,</w:t>
      </w:r>
      <w:bookmarkEnd w:id="11"/>
      <w:r w:rsidR="00954A81">
        <w:rPr>
          <w:bCs/>
        </w:rPr>
        <w:t xml:space="preserve"> </w:t>
      </w:r>
      <w:r w:rsidR="00B00B96">
        <w:rPr>
          <w:iCs/>
        </w:rPr>
        <w:t>the</w:t>
      </w:r>
      <w:r w:rsidR="00E23FE7" w:rsidRPr="00FB58AF">
        <w:rPr>
          <w:iCs/>
        </w:rPr>
        <w:t xml:space="preserve"> Foreign Markets Determination </w:t>
      </w:r>
      <w:r w:rsidR="00A84C65">
        <w:rPr>
          <w:iCs/>
        </w:rPr>
        <w:t>determines</w:t>
      </w:r>
      <w:r w:rsidR="00303364">
        <w:rPr>
          <w:iCs/>
        </w:rPr>
        <w:t xml:space="preserve"> as </w:t>
      </w:r>
      <w:r w:rsidR="009531EC">
        <w:rPr>
          <w:iCs/>
        </w:rPr>
        <w:t>r</w:t>
      </w:r>
      <w:r w:rsidR="00303364">
        <w:rPr>
          <w:iCs/>
        </w:rPr>
        <w:t xml:space="preserve">egulated </w:t>
      </w:r>
      <w:r w:rsidR="009531EC">
        <w:rPr>
          <w:iCs/>
        </w:rPr>
        <w:t>f</w:t>
      </w:r>
      <w:r w:rsidR="00303364">
        <w:rPr>
          <w:iCs/>
        </w:rPr>
        <w:t xml:space="preserve">oreign </w:t>
      </w:r>
      <w:r w:rsidR="009531EC">
        <w:rPr>
          <w:iCs/>
        </w:rPr>
        <w:t>m</w:t>
      </w:r>
      <w:r w:rsidR="00303364">
        <w:rPr>
          <w:iCs/>
        </w:rPr>
        <w:t>arkets:</w:t>
      </w:r>
    </w:p>
    <w:p w14:paraId="53502F68" w14:textId="1BBA3482" w:rsidR="00CE3283" w:rsidRPr="00CE3283" w:rsidRDefault="00CD002A" w:rsidP="00091619">
      <w:pPr>
        <w:pStyle w:val="LI-BodyTextParaa"/>
        <w:numPr>
          <w:ilvl w:val="1"/>
          <w:numId w:val="2"/>
        </w:numPr>
        <w:rPr>
          <w:bCs/>
        </w:rPr>
      </w:pPr>
      <w:r>
        <w:rPr>
          <w:bCs/>
        </w:rPr>
        <w:t xml:space="preserve">a national securities exchange </w:t>
      </w:r>
      <w:r w:rsidR="00F9282D">
        <w:rPr>
          <w:bCs/>
        </w:rPr>
        <w:t>registered with the US Securi</w:t>
      </w:r>
      <w:r w:rsidR="00CE3283" w:rsidRPr="00CE3283">
        <w:rPr>
          <w:bCs/>
        </w:rPr>
        <w:t xml:space="preserve">ties and </w:t>
      </w:r>
      <w:r w:rsidR="00F9282D">
        <w:rPr>
          <w:bCs/>
        </w:rPr>
        <w:t>E</w:t>
      </w:r>
      <w:r w:rsidR="00CE3283" w:rsidRPr="00CE3283">
        <w:rPr>
          <w:bCs/>
        </w:rPr>
        <w:t xml:space="preserve">xchange Commission of the United States of </w:t>
      </w:r>
      <w:proofErr w:type="gramStart"/>
      <w:r w:rsidR="00CE3283" w:rsidRPr="00CE3283">
        <w:rPr>
          <w:bCs/>
        </w:rPr>
        <w:t>America</w:t>
      </w:r>
      <w:r w:rsidR="00F9282D">
        <w:rPr>
          <w:bCs/>
        </w:rPr>
        <w:t>;</w:t>
      </w:r>
      <w:proofErr w:type="gramEnd"/>
    </w:p>
    <w:p w14:paraId="46377967" w14:textId="36EC727C" w:rsidR="00CE3283" w:rsidRDefault="00F9282D" w:rsidP="00091619">
      <w:pPr>
        <w:pStyle w:val="LI-BodyTextParaa"/>
        <w:numPr>
          <w:ilvl w:val="1"/>
          <w:numId w:val="2"/>
        </w:numPr>
        <w:rPr>
          <w:bCs/>
        </w:rPr>
      </w:pPr>
      <w:r>
        <w:rPr>
          <w:bCs/>
        </w:rPr>
        <w:t xml:space="preserve">a </w:t>
      </w:r>
      <w:r w:rsidR="008E1A85">
        <w:rPr>
          <w:bCs/>
        </w:rPr>
        <w:t xml:space="preserve">recognised investment exchange </w:t>
      </w:r>
      <w:r w:rsidR="007D10F4" w:rsidRPr="00CE3283">
        <w:rPr>
          <w:bCs/>
        </w:rPr>
        <w:t xml:space="preserve">under section 285 of </w:t>
      </w:r>
      <w:r w:rsidR="007D10F4" w:rsidRPr="00587AFF">
        <w:rPr>
          <w:bCs/>
          <w:i/>
          <w:iCs/>
        </w:rPr>
        <w:t>the United Kingdom Financial Services and Markets Act 2000</w:t>
      </w:r>
      <w:r w:rsidR="007D10F4" w:rsidRPr="00CE3283">
        <w:rPr>
          <w:bCs/>
        </w:rPr>
        <w:t>, but not an overseas investment exchange within the meaning of section 313(1) of that Act</w:t>
      </w:r>
      <w:r w:rsidR="007D10F4">
        <w:rPr>
          <w:bCs/>
        </w:rPr>
        <w:t>; and</w:t>
      </w:r>
    </w:p>
    <w:p w14:paraId="712AA50C" w14:textId="272B37EE" w:rsidR="008F629A" w:rsidRDefault="008F629A" w:rsidP="00091619">
      <w:pPr>
        <w:pStyle w:val="LI-BodyTextParaa"/>
        <w:numPr>
          <w:ilvl w:val="1"/>
          <w:numId w:val="2"/>
        </w:numPr>
        <w:rPr>
          <w:bCs/>
        </w:rPr>
      </w:pPr>
      <w:r>
        <w:rPr>
          <w:bCs/>
        </w:rPr>
        <w:t xml:space="preserve">a further </w:t>
      </w:r>
      <w:r w:rsidR="00F61064">
        <w:rPr>
          <w:bCs/>
        </w:rPr>
        <w:t xml:space="preserve">35 </w:t>
      </w:r>
      <w:r>
        <w:rPr>
          <w:bCs/>
        </w:rPr>
        <w:t>named foreign financial markets</w:t>
      </w:r>
      <w:r w:rsidR="00224D6C">
        <w:rPr>
          <w:bCs/>
        </w:rPr>
        <w:t>.</w:t>
      </w:r>
    </w:p>
    <w:p w14:paraId="59C3C1DE" w14:textId="400D7A35" w:rsidR="00BA1A24" w:rsidRPr="00CE3283" w:rsidRDefault="00BA1A24" w:rsidP="00091619">
      <w:pPr>
        <w:pStyle w:val="LI-BodyTextParaa"/>
        <w:numPr>
          <w:ilvl w:val="0"/>
          <w:numId w:val="2"/>
        </w:numPr>
        <w:rPr>
          <w:bCs/>
        </w:rPr>
      </w:pPr>
      <w:r>
        <w:rPr>
          <w:bCs/>
        </w:rPr>
        <w:t>Exemption 1 (Exchange</w:t>
      </w:r>
      <w:r w:rsidR="00F61064">
        <w:rPr>
          <w:bCs/>
        </w:rPr>
        <w:t>-</w:t>
      </w:r>
      <w:r>
        <w:rPr>
          <w:bCs/>
        </w:rPr>
        <w:t>trade</w:t>
      </w:r>
      <w:r w:rsidR="00F61064">
        <w:rPr>
          <w:bCs/>
        </w:rPr>
        <w:t>d</w:t>
      </w:r>
      <w:r>
        <w:rPr>
          <w:bCs/>
        </w:rPr>
        <w:t xml:space="preserve"> derivatives) of </w:t>
      </w:r>
      <w:r w:rsidRPr="00BA1A24">
        <w:rPr>
          <w:bCs/>
        </w:rPr>
        <w:t>Instrument 2015/844</w:t>
      </w:r>
      <w:r>
        <w:rPr>
          <w:bCs/>
        </w:rPr>
        <w:t xml:space="preserve"> also provides a generic definition of a</w:t>
      </w:r>
      <w:r w:rsidR="00F16CA4">
        <w:rPr>
          <w:bCs/>
        </w:rPr>
        <w:t xml:space="preserve"> foreign financial market </w:t>
      </w:r>
      <w:r>
        <w:rPr>
          <w:bCs/>
        </w:rPr>
        <w:t xml:space="preserve">exchange-traded derivative </w:t>
      </w:r>
      <w:r w:rsidR="00F16CA4">
        <w:rPr>
          <w:bCs/>
        </w:rPr>
        <w:t xml:space="preserve">that is in terms of it being made available in one or more series, with the terms of a trade in that derivative being the same as for every other derivative in the same series (with the exception of price), and the terms of, and the trade in, the derivative are in accordance with the operating rules of the financial market. A transaction in such a derivative is not required to be reported, provided that certain information about the financial market, set out in </w:t>
      </w:r>
      <w:r w:rsidR="00F16CA4">
        <w:rPr>
          <w:bCs/>
        </w:rPr>
        <w:lastRenderedPageBreak/>
        <w:t>Exemption 1</w:t>
      </w:r>
      <w:r w:rsidR="00297269">
        <w:rPr>
          <w:bCs/>
        </w:rPr>
        <w:t xml:space="preserve"> and not previously notified to ASIC</w:t>
      </w:r>
      <w:r w:rsidR="00F16CA4">
        <w:rPr>
          <w:bCs/>
        </w:rPr>
        <w:t xml:space="preserve">, is notified to ASIC within 10 business days </w:t>
      </w:r>
      <w:r w:rsidR="00297269">
        <w:rPr>
          <w:bCs/>
        </w:rPr>
        <w:t>of the trade in the derivative.</w:t>
      </w:r>
    </w:p>
    <w:p w14:paraId="240C6EBD" w14:textId="7EA91080" w:rsidR="00B7540B" w:rsidRPr="00832E63" w:rsidRDefault="00B7540B" w:rsidP="00832E63">
      <w:pPr>
        <w:pStyle w:val="LI-BodyTextParaa"/>
        <w:ind w:left="0" w:firstLine="0"/>
        <w:rPr>
          <w:bCs/>
          <w:i/>
          <w:iCs/>
        </w:rPr>
      </w:pPr>
      <w:r w:rsidRPr="00832E63">
        <w:rPr>
          <w:bCs/>
          <w:i/>
          <w:iCs/>
        </w:rPr>
        <w:t>Cleared and uncleared trades</w:t>
      </w:r>
    </w:p>
    <w:p w14:paraId="1F09030B" w14:textId="4FCD6066" w:rsidR="00B7540B" w:rsidRPr="00E455B3" w:rsidRDefault="00B7540B" w:rsidP="00091619">
      <w:pPr>
        <w:pStyle w:val="LI-BodyTextParaa"/>
        <w:numPr>
          <w:ilvl w:val="0"/>
          <w:numId w:val="2"/>
        </w:numPr>
        <w:rPr>
          <w:bCs/>
        </w:rPr>
      </w:pPr>
      <w:r w:rsidRPr="00B7540B">
        <w:rPr>
          <w:bCs/>
        </w:rPr>
        <w:t xml:space="preserve">A </w:t>
      </w:r>
      <w:r w:rsidR="00ED6BB2">
        <w:rPr>
          <w:bCs/>
        </w:rPr>
        <w:t>d</w:t>
      </w:r>
      <w:r w:rsidRPr="00B7540B">
        <w:rPr>
          <w:bCs/>
        </w:rPr>
        <w:t xml:space="preserve">erivative is an OTC </w:t>
      </w:r>
      <w:r w:rsidR="0020596B">
        <w:rPr>
          <w:bCs/>
        </w:rPr>
        <w:t>d</w:t>
      </w:r>
      <w:r w:rsidRPr="00B7540B">
        <w:rPr>
          <w:bCs/>
        </w:rPr>
        <w:t xml:space="preserve">erivative under Rule 1.2.4 regardless of whether it is cleared through a </w:t>
      </w:r>
      <w:r w:rsidR="00ED6BB2">
        <w:rPr>
          <w:bCs/>
        </w:rPr>
        <w:t>l</w:t>
      </w:r>
      <w:r w:rsidRPr="00B7540B">
        <w:rPr>
          <w:bCs/>
        </w:rPr>
        <w:t xml:space="preserve">icensed </w:t>
      </w:r>
      <w:r w:rsidR="00ED6BB2">
        <w:rPr>
          <w:bCs/>
        </w:rPr>
        <w:t>clearing and settlement</w:t>
      </w:r>
      <w:r w:rsidR="00CA3404">
        <w:rPr>
          <w:bCs/>
        </w:rPr>
        <w:t xml:space="preserve"> (</w:t>
      </w:r>
      <w:r w:rsidR="00CA3404" w:rsidRPr="00AE360F">
        <w:rPr>
          <w:b/>
          <w:i/>
          <w:iCs/>
        </w:rPr>
        <w:t>CS</w:t>
      </w:r>
      <w:r w:rsidR="00CA3404">
        <w:rPr>
          <w:bCs/>
        </w:rPr>
        <w:t>)</w:t>
      </w:r>
      <w:r w:rsidRPr="00B7540B">
        <w:rPr>
          <w:bCs/>
        </w:rPr>
        <w:t xml:space="preserve"> </w:t>
      </w:r>
      <w:r w:rsidR="00ED6BB2">
        <w:rPr>
          <w:bCs/>
        </w:rPr>
        <w:t>f</w:t>
      </w:r>
      <w:r w:rsidRPr="00B7540B">
        <w:rPr>
          <w:bCs/>
        </w:rPr>
        <w:t xml:space="preserve">acility. This means that both cleared and uncleared </w:t>
      </w:r>
      <w:r w:rsidR="00ED6BB2">
        <w:rPr>
          <w:bCs/>
        </w:rPr>
        <w:t>d</w:t>
      </w:r>
      <w:r w:rsidRPr="00B7540B">
        <w:rPr>
          <w:bCs/>
        </w:rPr>
        <w:t xml:space="preserve">erivative </w:t>
      </w:r>
      <w:r w:rsidR="00ED6BB2">
        <w:rPr>
          <w:bCs/>
        </w:rPr>
        <w:t>t</w:t>
      </w:r>
      <w:r w:rsidRPr="00B7540B">
        <w:rPr>
          <w:bCs/>
        </w:rPr>
        <w:t xml:space="preserve">ransactions in OTC </w:t>
      </w:r>
      <w:r w:rsidR="0020596B">
        <w:rPr>
          <w:bCs/>
        </w:rPr>
        <w:t>d</w:t>
      </w:r>
      <w:r w:rsidRPr="00B7540B">
        <w:rPr>
          <w:bCs/>
        </w:rPr>
        <w:t xml:space="preserve">erivatives are reportable under the </w:t>
      </w:r>
      <w:r w:rsidR="00ED6BB2">
        <w:rPr>
          <w:bCs/>
        </w:rPr>
        <w:t xml:space="preserve">2022 </w:t>
      </w:r>
      <w:r w:rsidRPr="00B7540B">
        <w:rPr>
          <w:bCs/>
        </w:rPr>
        <w:t xml:space="preserve">Rules. Where an OTC </w:t>
      </w:r>
      <w:r w:rsidR="0020596B">
        <w:rPr>
          <w:bCs/>
        </w:rPr>
        <w:t>d</w:t>
      </w:r>
      <w:r w:rsidRPr="00B7540B">
        <w:rPr>
          <w:bCs/>
        </w:rPr>
        <w:t xml:space="preserve">erivative is, for example, novated to a </w:t>
      </w:r>
      <w:r w:rsidR="00ED6BB2">
        <w:rPr>
          <w:bCs/>
        </w:rPr>
        <w:t>l</w:t>
      </w:r>
      <w:r w:rsidRPr="00B7540B">
        <w:rPr>
          <w:bCs/>
        </w:rPr>
        <w:t xml:space="preserve">icensed CS facility, this may give rise to separate </w:t>
      </w:r>
      <w:r w:rsidR="0020596B">
        <w:rPr>
          <w:bCs/>
        </w:rPr>
        <w:t>r</w:t>
      </w:r>
      <w:r w:rsidRPr="00B7540B">
        <w:rPr>
          <w:bCs/>
        </w:rPr>
        <w:t xml:space="preserve">eportable </w:t>
      </w:r>
      <w:r w:rsidR="0020596B">
        <w:rPr>
          <w:bCs/>
        </w:rPr>
        <w:t>t</w:t>
      </w:r>
      <w:r w:rsidRPr="00B7540B">
        <w:rPr>
          <w:bCs/>
        </w:rPr>
        <w:t xml:space="preserve">ransactions for the purposes of the </w:t>
      </w:r>
      <w:r w:rsidR="00ED6BB2">
        <w:rPr>
          <w:bCs/>
        </w:rPr>
        <w:t xml:space="preserve">2022 </w:t>
      </w:r>
      <w:r w:rsidRPr="00B7540B">
        <w:rPr>
          <w:bCs/>
        </w:rPr>
        <w:t>Rules.</w:t>
      </w:r>
    </w:p>
    <w:p w14:paraId="76806F22" w14:textId="7CCE73B6" w:rsidR="00AE7A69" w:rsidRDefault="00B7540B" w:rsidP="00091619">
      <w:pPr>
        <w:pStyle w:val="LI-BodyTextParaa"/>
        <w:numPr>
          <w:ilvl w:val="0"/>
          <w:numId w:val="2"/>
        </w:numPr>
        <w:rPr>
          <w:bCs/>
        </w:rPr>
      </w:pPr>
      <w:r w:rsidRPr="00B7540B">
        <w:rPr>
          <w:bCs/>
        </w:rPr>
        <w:t xml:space="preserve">The information that must be reported about a </w:t>
      </w:r>
      <w:r w:rsidR="0020596B">
        <w:rPr>
          <w:bCs/>
        </w:rPr>
        <w:t>r</w:t>
      </w:r>
      <w:r w:rsidRPr="00B7540B">
        <w:rPr>
          <w:bCs/>
        </w:rPr>
        <w:t xml:space="preserve">eportable </w:t>
      </w:r>
      <w:r w:rsidR="0020596B">
        <w:rPr>
          <w:bCs/>
        </w:rPr>
        <w:t>t</w:t>
      </w:r>
      <w:r w:rsidRPr="00B7540B">
        <w:rPr>
          <w:bCs/>
        </w:rPr>
        <w:t xml:space="preserve">ransaction includes information about whether the OTC </w:t>
      </w:r>
      <w:r w:rsidR="0020596B">
        <w:rPr>
          <w:bCs/>
        </w:rPr>
        <w:t>d</w:t>
      </w:r>
      <w:r w:rsidRPr="00B7540B">
        <w:rPr>
          <w:bCs/>
        </w:rPr>
        <w:t xml:space="preserve">erivative has been subject to </w:t>
      </w:r>
      <w:proofErr w:type="gramStart"/>
      <w:r w:rsidRPr="00B7540B">
        <w:rPr>
          <w:bCs/>
        </w:rPr>
        <w:t>clearing:</w:t>
      </w:r>
      <w:proofErr w:type="gramEnd"/>
      <w:r w:rsidRPr="00B7540B">
        <w:rPr>
          <w:bCs/>
        </w:rPr>
        <w:t xml:space="preserve"> see items 17 to 20 and 38 in Table S2.1(1) in Rule S2.1.1 (Derivative Transaction Information).</w:t>
      </w:r>
    </w:p>
    <w:p w14:paraId="1CB09F5F" w14:textId="5AEF2650" w:rsidR="00944F4A" w:rsidRPr="000A494E" w:rsidRDefault="00944F4A" w:rsidP="00944F4A">
      <w:pPr>
        <w:pStyle w:val="LI-BodyTextParaa"/>
        <w:ind w:left="0" w:firstLine="0"/>
        <w:rPr>
          <w:bCs/>
          <w:u w:val="single"/>
        </w:rPr>
      </w:pPr>
      <w:r>
        <w:rPr>
          <w:bCs/>
          <w:u w:val="single"/>
        </w:rPr>
        <w:t>Rule 1.2.</w:t>
      </w:r>
      <w:r w:rsidR="007244DD" w:rsidRPr="007244DD">
        <w:rPr>
          <w:bCs/>
          <w:u w:val="single"/>
        </w:rPr>
        <w:t xml:space="preserve">5 Reporting </w:t>
      </w:r>
      <w:r w:rsidR="00B34BB8">
        <w:rPr>
          <w:bCs/>
          <w:u w:val="single"/>
        </w:rPr>
        <w:t>e</w:t>
      </w:r>
      <w:r w:rsidR="007244DD" w:rsidRPr="007244DD">
        <w:rPr>
          <w:bCs/>
          <w:u w:val="single"/>
        </w:rPr>
        <w:t xml:space="preserve">ntities and </w:t>
      </w:r>
      <w:r w:rsidR="00B34BB8">
        <w:rPr>
          <w:bCs/>
          <w:u w:val="single"/>
        </w:rPr>
        <w:t>r</w:t>
      </w:r>
      <w:r w:rsidR="007244DD" w:rsidRPr="007244DD">
        <w:rPr>
          <w:bCs/>
          <w:u w:val="single"/>
        </w:rPr>
        <w:t xml:space="preserve">eportable </w:t>
      </w:r>
      <w:r w:rsidR="00B34BB8">
        <w:rPr>
          <w:bCs/>
          <w:u w:val="single"/>
        </w:rPr>
        <w:t>t</w:t>
      </w:r>
      <w:r w:rsidR="007244DD" w:rsidRPr="007244DD">
        <w:rPr>
          <w:bCs/>
          <w:u w:val="single"/>
        </w:rPr>
        <w:t>ransactions</w:t>
      </w:r>
    </w:p>
    <w:p w14:paraId="00FC5F6A" w14:textId="5EF80278" w:rsidR="00801567" w:rsidRPr="007621F4" w:rsidRDefault="00801567" w:rsidP="00091619">
      <w:pPr>
        <w:pStyle w:val="LI-BodyTextParaa"/>
        <w:numPr>
          <w:ilvl w:val="0"/>
          <w:numId w:val="2"/>
        </w:numPr>
        <w:rPr>
          <w:bCs/>
        </w:rPr>
      </w:pPr>
      <w:r w:rsidRPr="00801567">
        <w:rPr>
          <w:bCs/>
        </w:rPr>
        <w:t xml:space="preserve">Rule 1.2.5 and Table 1 define the scope of the </w:t>
      </w:r>
      <w:r w:rsidR="00391175">
        <w:rPr>
          <w:bCs/>
        </w:rPr>
        <w:t>r</w:t>
      </w:r>
      <w:r w:rsidRPr="00801567">
        <w:rPr>
          <w:bCs/>
        </w:rPr>
        <w:t xml:space="preserve">eporting </w:t>
      </w:r>
      <w:r w:rsidR="00391175">
        <w:rPr>
          <w:bCs/>
        </w:rPr>
        <w:t>r</w:t>
      </w:r>
      <w:r w:rsidRPr="00801567">
        <w:rPr>
          <w:bCs/>
        </w:rPr>
        <w:t xml:space="preserve">equirements by defining </w:t>
      </w:r>
      <w:r w:rsidR="007B3A6A">
        <w:rPr>
          <w:bCs/>
        </w:rPr>
        <w:t>“</w:t>
      </w:r>
      <w:r w:rsidR="000660EB">
        <w:rPr>
          <w:bCs/>
        </w:rPr>
        <w:t>r</w:t>
      </w:r>
      <w:r w:rsidRPr="00801567">
        <w:rPr>
          <w:bCs/>
        </w:rPr>
        <w:t xml:space="preserve">eporting </w:t>
      </w:r>
      <w:r w:rsidR="000660EB">
        <w:rPr>
          <w:bCs/>
        </w:rPr>
        <w:t>e</w:t>
      </w:r>
      <w:r w:rsidRPr="00801567">
        <w:rPr>
          <w:bCs/>
        </w:rPr>
        <w:t>ntity</w:t>
      </w:r>
      <w:r w:rsidR="007B3A6A">
        <w:rPr>
          <w:bCs/>
        </w:rPr>
        <w:t>”</w:t>
      </w:r>
      <w:r w:rsidRPr="00801567">
        <w:rPr>
          <w:bCs/>
        </w:rPr>
        <w:t xml:space="preserve">, and </w:t>
      </w:r>
      <w:r w:rsidR="007B3A6A">
        <w:rPr>
          <w:bCs/>
        </w:rPr>
        <w:t>“</w:t>
      </w:r>
      <w:r w:rsidR="000660EB">
        <w:rPr>
          <w:bCs/>
        </w:rPr>
        <w:t>r</w:t>
      </w:r>
      <w:r w:rsidRPr="00801567">
        <w:rPr>
          <w:bCs/>
        </w:rPr>
        <w:t xml:space="preserve">eportable </w:t>
      </w:r>
      <w:r w:rsidR="000660EB">
        <w:rPr>
          <w:bCs/>
        </w:rPr>
        <w:t>t</w:t>
      </w:r>
      <w:r w:rsidRPr="00801567">
        <w:rPr>
          <w:bCs/>
        </w:rPr>
        <w:t>ransaction</w:t>
      </w:r>
      <w:r w:rsidR="007B3A6A">
        <w:rPr>
          <w:bCs/>
        </w:rPr>
        <w:t>”</w:t>
      </w:r>
      <w:r w:rsidRPr="00801567">
        <w:rPr>
          <w:bCs/>
        </w:rPr>
        <w:t xml:space="preserve"> in relation to each kind of </w:t>
      </w:r>
      <w:r w:rsidR="0066174E">
        <w:rPr>
          <w:bCs/>
        </w:rPr>
        <w:t>r</w:t>
      </w:r>
      <w:r w:rsidRPr="00801567">
        <w:rPr>
          <w:bCs/>
        </w:rPr>
        <w:t xml:space="preserve">eporting </w:t>
      </w:r>
      <w:r w:rsidR="0066174E">
        <w:rPr>
          <w:bCs/>
        </w:rPr>
        <w:t>e</w:t>
      </w:r>
      <w:r w:rsidRPr="00801567">
        <w:rPr>
          <w:bCs/>
        </w:rPr>
        <w:t xml:space="preserve">ntity, for the purposes of the </w:t>
      </w:r>
      <w:r w:rsidR="00391175">
        <w:rPr>
          <w:bCs/>
        </w:rPr>
        <w:t xml:space="preserve">2022 </w:t>
      </w:r>
      <w:r w:rsidRPr="00801567">
        <w:rPr>
          <w:bCs/>
        </w:rPr>
        <w:t>Rules.</w:t>
      </w:r>
    </w:p>
    <w:p w14:paraId="4099B7BD" w14:textId="649F56AF" w:rsidR="000660EB" w:rsidRDefault="00801567" w:rsidP="00091619">
      <w:pPr>
        <w:pStyle w:val="LI-BodyTextParaa"/>
        <w:numPr>
          <w:ilvl w:val="0"/>
          <w:numId w:val="2"/>
        </w:numPr>
        <w:rPr>
          <w:bCs/>
        </w:rPr>
      </w:pPr>
      <w:r w:rsidRPr="00801567">
        <w:rPr>
          <w:bCs/>
        </w:rPr>
        <w:t xml:space="preserve">The </w:t>
      </w:r>
      <w:r w:rsidR="007B3A6A">
        <w:rPr>
          <w:bCs/>
        </w:rPr>
        <w:t>“</w:t>
      </w:r>
      <w:r w:rsidR="0066174E">
        <w:rPr>
          <w:bCs/>
        </w:rPr>
        <w:t>r</w:t>
      </w:r>
      <w:r w:rsidRPr="00801567">
        <w:rPr>
          <w:bCs/>
        </w:rPr>
        <w:t xml:space="preserve">eporting </w:t>
      </w:r>
      <w:r w:rsidR="0066174E">
        <w:rPr>
          <w:bCs/>
        </w:rPr>
        <w:t>e</w:t>
      </w:r>
      <w:r w:rsidRPr="00801567">
        <w:rPr>
          <w:bCs/>
        </w:rPr>
        <w:t>ntity</w:t>
      </w:r>
      <w:r w:rsidR="007B3A6A">
        <w:rPr>
          <w:bCs/>
        </w:rPr>
        <w:t>”</w:t>
      </w:r>
      <w:r w:rsidRPr="00801567">
        <w:rPr>
          <w:bCs/>
        </w:rPr>
        <w:t xml:space="preserve"> is the person who is required to comply with the </w:t>
      </w:r>
      <w:r w:rsidR="00A40C03">
        <w:rPr>
          <w:bCs/>
        </w:rPr>
        <w:t>r</w:t>
      </w:r>
      <w:r w:rsidRPr="00801567">
        <w:rPr>
          <w:bCs/>
        </w:rPr>
        <w:t xml:space="preserve">eporting </w:t>
      </w:r>
      <w:r w:rsidR="00A40C03">
        <w:rPr>
          <w:bCs/>
        </w:rPr>
        <w:t>r</w:t>
      </w:r>
      <w:r w:rsidRPr="00801567">
        <w:rPr>
          <w:bCs/>
        </w:rPr>
        <w:t xml:space="preserve">equirements imposed by the </w:t>
      </w:r>
      <w:r w:rsidR="00A40C03">
        <w:rPr>
          <w:bCs/>
        </w:rPr>
        <w:t xml:space="preserve">2022 </w:t>
      </w:r>
      <w:r w:rsidRPr="00801567">
        <w:rPr>
          <w:bCs/>
        </w:rPr>
        <w:t xml:space="preserve">Rules (see paragraph 901A(3)(e) of the </w:t>
      </w:r>
      <w:r w:rsidR="00A40C03">
        <w:rPr>
          <w:bCs/>
        </w:rPr>
        <w:t xml:space="preserve">Corporations </w:t>
      </w:r>
      <w:r w:rsidRPr="00801567">
        <w:rPr>
          <w:bCs/>
        </w:rPr>
        <w:t>Act).</w:t>
      </w:r>
    </w:p>
    <w:p w14:paraId="2C0AAC93" w14:textId="2C634435" w:rsidR="00801567" w:rsidRDefault="00801567" w:rsidP="00091619">
      <w:pPr>
        <w:pStyle w:val="LI-BodyTextParaa"/>
        <w:numPr>
          <w:ilvl w:val="0"/>
          <w:numId w:val="2"/>
        </w:numPr>
        <w:rPr>
          <w:bCs/>
        </w:rPr>
      </w:pPr>
      <w:r w:rsidRPr="00801567">
        <w:rPr>
          <w:bCs/>
        </w:rPr>
        <w:t xml:space="preserve">A </w:t>
      </w:r>
      <w:r w:rsidR="007B3A6A">
        <w:rPr>
          <w:bCs/>
        </w:rPr>
        <w:t>“</w:t>
      </w:r>
      <w:r w:rsidR="000660EB">
        <w:rPr>
          <w:bCs/>
        </w:rPr>
        <w:t>r</w:t>
      </w:r>
      <w:r w:rsidRPr="00801567">
        <w:rPr>
          <w:bCs/>
        </w:rPr>
        <w:t xml:space="preserve">eportable </w:t>
      </w:r>
      <w:r w:rsidR="000660EB">
        <w:rPr>
          <w:bCs/>
        </w:rPr>
        <w:t>t</w:t>
      </w:r>
      <w:r w:rsidRPr="00801567">
        <w:rPr>
          <w:bCs/>
        </w:rPr>
        <w:t>ransaction</w:t>
      </w:r>
      <w:r w:rsidR="007B3A6A">
        <w:rPr>
          <w:bCs/>
        </w:rPr>
        <w:t>”</w:t>
      </w:r>
      <w:r w:rsidRPr="00801567">
        <w:rPr>
          <w:bCs/>
        </w:rPr>
        <w:t xml:space="preserve"> in relation to a </w:t>
      </w:r>
      <w:r w:rsidR="000660EB">
        <w:rPr>
          <w:bCs/>
        </w:rPr>
        <w:t>r</w:t>
      </w:r>
      <w:r w:rsidRPr="00801567">
        <w:rPr>
          <w:bCs/>
        </w:rPr>
        <w:t xml:space="preserve">eporting </w:t>
      </w:r>
      <w:r w:rsidR="000660EB">
        <w:rPr>
          <w:bCs/>
        </w:rPr>
        <w:t>e</w:t>
      </w:r>
      <w:r w:rsidRPr="00801567">
        <w:rPr>
          <w:bCs/>
        </w:rPr>
        <w:t xml:space="preserve">ntity referred to in column 2 of Table 1, is a </w:t>
      </w:r>
      <w:r w:rsidR="007B3A6A">
        <w:rPr>
          <w:bCs/>
        </w:rPr>
        <w:t>“</w:t>
      </w:r>
      <w:r w:rsidR="000660EB">
        <w:rPr>
          <w:bCs/>
        </w:rPr>
        <w:t>d</w:t>
      </w:r>
      <w:r w:rsidRPr="00801567">
        <w:rPr>
          <w:bCs/>
        </w:rPr>
        <w:t xml:space="preserve">erivative </w:t>
      </w:r>
      <w:r w:rsidR="000660EB">
        <w:rPr>
          <w:bCs/>
        </w:rPr>
        <w:t>t</w:t>
      </w:r>
      <w:r w:rsidRPr="00801567">
        <w:rPr>
          <w:bCs/>
        </w:rPr>
        <w:t>ransaction</w:t>
      </w:r>
      <w:r w:rsidR="007B3A6A">
        <w:rPr>
          <w:bCs/>
        </w:rPr>
        <w:t>”</w:t>
      </w:r>
      <w:r w:rsidRPr="00801567">
        <w:rPr>
          <w:bCs/>
        </w:rPr>
        <w:t xml:space="preserve"> (as defined in Rule 1.2.3 and section 761A of the </w:t>
      </w:r>
      <w:r w:rsidR="00A40C03">
        <w:rPr>
          <w:bCs/>
        </w:rPr>
        <w:t xml:space="preserve">Corporations </w:t>
      </w:r>
      <w:r w:rsidRPr="00801567">
        <w:rPr>
          <w:bCs/>
        </w:rPr>
        <w:t xml:space="preserve">Act) in an OTC </w:t>
      </w:r>
      <w:r w:rsidR="000660EB">
        <w:rPr>
          <w:bCs/>
        </w:rPr>
        <w:t>d</w:t>
      </w:r>
      <w:r w:rsidRPr="00801567">
        <w:rPr>
          <w:bCs/>
        </w:rPr>
        <w:t>erivative (as defined in Rule 1.2.5) of the kind referred to in column 3 of Table 1.</w:t>
      </w:r>
    </w:p>
    <w:p w14:paraId="5C0FC938" w14:textId="307B9E68" w:rsidR="004E0E9D" w:rsidRDefault="00801567" w:rsidP="00091619">
      <w:pPr>
        <w:pStyle w:val="LI-BodyTextParaa"/>
        <w:numPr>
          <w:ilvl w:val="0"/>
          <w:numId w:val="2"/>
        </w:numPr>
        <w:rPr>
          <w:bCs/>
        </w:rPr>
      </w:pPr>
      <w:r w:rsidRPr="00801567">
        <w:rPr>
          <w:bCs/>
        </w:rPr>
        <w:t xml:space="preserve">The definition of </w:t>
      </w:r>
      <w:r w:rsidR="007B3A6A">
        <w:rPr>
          <w:bCs/>
        </w:rPr>
        <w:t>“</w:t>
      </w:r>
      <w:r w:rsidR="000660EB">
        <w:rPr>
          <w:bCs/>
        </w:rPr>
        <w:t>d</w:t>
      </w:r>
      <w:r w:rsidRPr="00801567">
        <w:rPr>
          <w:bCs/>
        </w:rPr>
        <w:t xml:space="preserve">erivative </w:t>
      </w:r>
      <w:r w:rsidR="000660EB">
        <w:rPr>
          <w:bCs/>
        </w:rPr>
        <w:t>t</w:t>
      </w:r>
      <w:r w:rsidRPr="00801567">
        <w:rPr>
          <w:bCs/>
        </w:rPr>
        <w:t>ransaction</w:t>
      </w:r>
      <w:r w:rsidR="007B3A6A">
        <w:rPr>
          <w:bCs/>
        </w:rPr>
        <w:t>”</w:t>
      </w:r>
      <w:r w:rsidRPr="00801567">
        <w:rPr>
          <w:bCs/>
        </w:rPr>
        <w:t xml:space="preserve"> in the </w:t>
      </w:r>
      <w:r w:rsidR="00A40C03">
        <w:rPr>
          <w:bCs/>
        </w:rPr>
        <w:t xml:space="preserve">2022 </w:t>
      </w:r>
      <w:r w:rsidRPr="00801567">
        <w:rPr>
          <w:bCs/>
        </w:rPr>
        <w:t xml:space="preserve">Rules and </w:t>
      </w:r>
      <w:r w:rsidR="00A40C03">
        <w:rPr>
          <w:bCs/>
        </w:rPr>
        <w:t xml:space="preserve">Corporations </w:t>
      </w:r>
      <w:r w:rsidRPr="00801567">
        <w:rPr>
          <w:bCs/>
        </w:rPr>
        <w:t xml:space="preserve">Act covers entry into an arrangement that is a </w:t>
      </w:r>
      <w:r w:rsidR="007B3A6A">
        <w:rPr>
          <w:bCs/>
        </w:rPr>
        <w:t>”</w:t>
      </w:r>
      <w:r w:rsidR="000660EB">
        <w:rPr>
          <w:bCs/>
        </w:rPr>
        <w:t>d</w:t>
      </w:r>
      <w:r w:rsidRPr="00801567">
        <w:rPr>
          <w:bCs/>
        </w:rPr>
        <w:t>erivative</w:t>
      </w:r>
      <w:r w:rsidR="007B3A6A">
        <w:rPr>
          <w:bCs/>
        </w:rPr>
        <w:t>”</w:t>
      </w:r>
      <w:r w:rsidRPr="00801567">
        <w:rPr>
          <w:bCs/>
        </w:rPr>
        <w:t xml:space="preserve"> (as defined in Rule 1.2.3 and section 761D of the </w:t>
      </w:r>
      <w:r w:rsidR="009C185C">
        <w:rPr>
          <w:bCs/>
        </w:rPr>
        <w:t xml:space="preserve">Corporations </w:t>
      </w:r>
      <w:r w:rsidRPr="00801567">
        <w:rPr>
          <w:bCs/>
        </w:rPr>
        <w:t xml:space="preserve">Act), and modification, </w:t>
      </w:r>
      <w:proofErr w:type="gramStart"/>
      <w:r w:rsidRPr="00801567">
        <w:rPr>
          <w:bCs/>
        </w:rPr>
        <w:t>assignment</w:t>
      </w:r>
      <w:proofErr w:type="gramEnd"/>
      <w:r w:rsidRPr="00801567">
        <w:rPr>
          <w:bCs/>
        </w:rPr>
        <w:t xml:space="preserve"> or termination of such an arrangement. However, under subparagraph 1.2.5(1)(b)(iii), an assignment of an OTC </w:t>
      </w:r>
      <w:r w:rsidR="000660EB">
        <w:rPr>
          <w:bCs/>
        </w:rPr>
        <w:t>d</w:t>
      </w:r>
      <w:r w:rsidRPr="00801567">
        <w:rPr>
          <w:bCs/>
        </w:rPr>
        <w:t xml:space="preserve">erivative will only be a </w:t>
      </w:r>
      <w:r w:rsidR="000660EB">
        <w:rPr>
          <w:bCs/>
        </w:rPr>
        <w:t>r</w:t>
      </w:r>
      <w:r w:rsidRPr="00801567">
        <w:rPr>
          <w:bCs/>
        </w:rPr>
        <w:t xml:space="preserve">eportable </w:t>
      </w:r>
      <w:r w:rsidR="000660EB">
        <w:rPr>
          <w:bCs/>
        </w:rPr>
        <w:t>t</w:t>
      </w:r>
      <w:r w:rsidRPr="00801567">
        <w:rPr>
          <w:bCs/>
        </w:rPr>
        <w:t xml:space="preserve">ransaction in relation to a </w:t>
      </w:r>
      <w:r w:rsidR="000660EB">
        <w:rPr>
          <w:bCs/>
        </w:rPr>
        <w:t>r</w:t>
      </w:r>
      <w:r w:rsidRPr="00801567">
        <w:rPr>
          <w:bCs/>
        </w:rPr>
        <w:t xml:space="preserve">eporting </w:t>
      </w:r>
      <w:r w:rsidR="000660EB">
        <w:rPr>
          <w:bCs/>
        </w:rPr>
        <w:t>e</w:t>
      </w:r>
      <w:r w:rsidRPr="00801567">
        <w:rPr>
          <w:bCs/>
        </w:rPr>
        <w:t xml:space="preserve">ntity if the </w:t>
      </w:r>
      <w:r w:rsidR="000660EB">
        <w:rPr>
          <w:bCs/>
        </w:rPr>
        <w:t>r</w:t>
      </w:r>
      <w:r w:rsidRPr="00801567">
        <w:rPr>
          <w:bCs/>
        </w:rPr>
        <w:t xml:space="preserve">eporting </w:t>
      </w:r>
      <w:r w:rsidR="000660EB">
        <w:rPr>
          <w:bCs/>
        </w:rPr>
        <w:t>e</w:t>
      </w:r>
      <w:r w:rsidRPr="00801567">
        <w:rPr>
          <w:bCs/>
        </w:rPr>
        <w:t>ntity has actual knowledge of the assignment.</w:t>
      </w:r>
    </w:p>
    <w:p w14:paraId="68A6612A" w14:textId="6B3905B6" w:rsidR="008C61E1" w:rsidRDefault="00801567" w:rsidP="00091619">
      <w:pPr>
        <w:pStyle w:val="LI-BodyTextParaa"/>
        <w:numPr>
          <w:ilvl w:val="0"/>
          <w:numId w:val="2"/>
        </w:numPr>
        <w:rPr>
          <w:bCs/>
        </w:rPr>
      </w:pPr>
      <w:r w:rsidRPr="007D1089">
        <w:rPr>
          <w:bCs/>
        </w:rPr>
        <w:t xml:space="preserve">Paragraph (d) of the definition of </w:t>
      </w:r>
      <w:r w:rsidR="007B3A6A">
        <w:rPr>
          <w:bCs/>
        </w:rPr>
        <w:t>“</w:t>
      </w:r>
      <w:r w:rsidRPr="007D1089">
        <w:rPr>
          <w:bCs/>
        </w:rPr>
        <w:t>derivative transaction</w:t>
      </w:r>
      <w:r w:rsidR="007B3A6A">
        <w:rPr>
          <w:bCs/>
        </w:rPr>
        <w:t>”</w:t>
      </w:r>
      <w:r w:rsidRPr="007D1089">
        <w:rPr>
          <w:bCs/>
        </w:rPr>
        <w:t xml:space="preserve"> in section 761A</w:t>
      </w:r>
      <w:r w:rsidR="009C185C">
        <w:rPr>
          <w:bCs/>
        </w:rPr>
        <w:t xml:space="preserve"> of the Corporations Act</w:t>
      </w:r>
      <w:r w:rsidRPr="007D1089">
        <w:rPr>
          <w:bCs/>
        </w:rPr>
        <w:t xml:space="preserve"> also allows for other types of transaction to be included through the </w:t>
      </w:r>
      <w:r w:rsidR="000660EB">
        <w:rPr>
          <w:bCs/>
        </w:rPr>
        <w:t>Corporations R</w:t>
      </w:r>
      <w:r w:rsidRPr="007D1089">
        <w:rPr>
          <w:bCs/>
        </w:rPr>
        <w:t xml:space="preserve">egulations. As at the date of making the </w:t>
      </w:r>
      <w:r w:rsidR="003739BF">
        <w:rPr>
          <w:bCs/>
        </w:rPr>
        <w:t xml:space="preserve">2022 </w:t>
      </w:r>
      <w:r w:rsidRPr="007D1089">
        <w:rPr>
          <w:bCs/>
        </w:rPr>
        <w:t xml:space="preserve">Rules, there are no regulations under paragraph (d) of the definition of </w:t>
      </w:r>
      <w:r w:rsidR="007B3A6A">
        <w:rPr>
          <w:bCs/>
        </w:rPr>
        <w:t>“</w:t>
      </w:r>
      <w:r w:rsidRPr="007D1089">
        <w:rPr>
          <w:bCs/>
        </w:rPr>
        <w:t>derivative transaction</w:t>
      </w:r>
      <w:r w:rsidR="009F01E6">
        <w:rPr>
          <w:bCs/>
        </w:rPr>
        <w:t>”</w:t>
      </w:r>
      <w:r w:rsidRPr="007D1089">
        <w:rPr>
          <w:bCs/>
        </w:rPr>
        <w:t xml:space="preserve"> in section 761A</w:t>
      </w:r>
      <w:r w:rsidR="003739BF">
        <w:rPr>
          <w:bCs/>
        </w:rPr>
        <w:t xml:space="preserve"> of the Corporations Act</w:t>
      </w:r>
      <w:r w:rsidRPr="007D1089">
        <w:rPr>
          <w:bCs/>
        </w:rPr>
        <w:t>.</w:t>
      </w:r>
    </w:p>
    <w:p w14:paraId="6668F052" w14:textId="77777777" w:rsidR="0030766A" w:rsidRPr="003739BF" w:rsidRDefault="0030766A" w:rsidP="00091619">
      <w:pPr>
        <w:pStyle w:val="LI-BodyTextParaa"/>
        <w:numPr>
          <w:ilvl w:val="0"/>
          <w:numId w:val="2"/>
        </w:numPr>
        <w:rPr>
          <w:bCs/>
        </w:rPr>
      </w:pPr>
      <w:r w:rsidRPr="00AE360F">
        <w:t>Table 1 below summarises the definitions in Rule 1.2.5.</w:t>
      </w:r>
    </w:p>
    <w:p w14:paraId="62D85F9D" w14:textId="77777777" w:rsidR="0030766A" w:rsidRPr="00191870" w:rsidRDefault="0030766A" w:rsidP="0030766A">
      <w:pPr>
        <w:tabs>
          <w:tab w:val="num" w:pos="1276"/>
        </w:tabs>
        <w:jc w:val="both"/>
        <w:rPr>
          <w:sz w:val="23"/>
          <w:szCs w:val="23"/>
        </w:rPr>
      </w:pPr>
    </w:p>
    <w:p w14:paraId="6984DF1D" w14:textId="77777777" w:rsidR="00F6763B" w:rsidRDefault="00F6763B">
      <w:pPr>
        <w:spacing w:line="240" w:lineRule="auto"/>
        <w:rPr>
          <w:rFonts w:ascii="Arial" w:hAnsi="Arial" w:cs="Arial"/>
          <w:b/>
          <w:sz w:val="20"/>
        </w:rPr>
      </w:pPr>
      <w:r>
        <w:rPr>
          <w:rFonts w:ascii="Arial" w:hAnsi="Arial" w:cs="Arial"/>
          <w:b/>
          <w:sz w:val="20"/>
        </w:rPr>
        <w:br w:type="page"/>
      </w:r>
    </w:p>
    <w:p w14:paraId="21D90478" w14:textId="0257487F" w:rsidR="0030766A" w:rsidRDefault="0030766A" w:rsidP="0030766A">
      <w:pPr>
        <w:tabs>
          <w:tab w:val="num" w:pos="1276"/>
        </w:tabs>
        <w:jc w:val="both"/>
        <w:rPr>
          <w:rFonts w:ascii="Arial" w:hAnsi="Arial" w:cs="Arial"/>
          <w:b/>
          <w:sz w:val="20"/>
        </w:rPr>
      </w:pPr>
      <w:r w:rsidRPr="00152E48">
        <w:rPr>
          <w:rFonts w:ascii="Arial" w:hAnsi="Arial" w:cs="Arial"/>
          <w:b/>
          <w:sz w:val="20"/>
        </w:rPr>
        <w:lastRenderedPageBreak/>
        <w:t xml:space="preserve">Table 1 – </w:t>
      </w:r>
      <w:r w:rsidR="000660EB">
        <w:rPr>
          <w:rFonts w:ascii="Arial" w:hAnsi="Arial" w:cs="Arial"/>
          <w:b/>
          <w:sz w:val="20"/>
        </w:rPr>
        <w:t>R</w:t>
      </w:r>
      <w:r w:rsidRPr="00152E48">
        <w:rPr>
          <w:rFonts w:ascii="Arial" w:hAnsi="Arial" w:cs="Arial"/>
          <w:b/>
          <w:sz w:val="20"/>
        </w:rPr>
        <w:t xml:space="preserve">eporting </w:t>
      </w:r>
      <w:r w:rsidR="000660EB">
        <w:rPr>
          <w:rFonts w:ascii="Arial" w:hAnsi="Arial" w:cs="Arial"/>
          <w:b/>
          <w:sz w:val="20"/>
        </w:rPr>
        <w:t>e</w:t>
      </w:r>
      <w:r w:rsidRPr="00152E48">
        <w:rPr>
          <w:rFonts w:ascii="Arial" w:hAnsi="Arial" w:cs="Arial"/>
          <w:b/>
          <w:sz w:val="20"/>
        </w:rPr>
        <w:t xml:space="preserve">ntities and </w:t>
      </w:r>
      <w:r w:rsidR="000660EB">
        <w:rPr>
          <w:rFonts w:ascii="Arial" w:hAnsi="Arial" w:cs="Arial"/>
          <w:b/>
          <w:sz w:val="20"/>
        </w:rPr>
        <w:t>r</w:t>
      </w:r>
      <w:r w:rsidRPr="00152E48">
        <w:rPr>
          <w:rFonts w:ascii="Arial" w:hAnsi="Arial" w:cs="Arial"/>
          <w:b/>
          <w:sz w:val="20"/>
        </w:rPr>
        <w:t xml:space="preserve">eportable </w:t>
      </w:r>
      <w:r w:rsidR="000660EB">
        <w:rPr>
          <w:rFonts w:ascii="Arial" w:hAnsi="Arial" w:cs="Arial"/>
          <w:b/>
          <w:sz w:val="20"/>
        </w:rPr>
        <w:t>t</w:t>
      </w:r>
      <w:r w:rsidRPr="00152E48">
        <w:rPr>
          <w:rFonts w:ascii="Arial" w:hAnsi="Arial" w:cs="Arial"/>
          <w:b/>
          <w:sz w:val="20"/>
        </w:rPr>
        <w:t>ransactions</w:t>
      </w:r>
    </w:p>
    <w:p w14:paraId="1D8D41CB" w14:textId="77777777" w:rsidR="0030766A" w:rsidRPr="00152E48" w:rsidRDefault="0030766A" w:rsidP="0030766A">
      <w:pPr>
        <w:tabs>
          <w:tab w:val="num" w:pos="1276"/>
        </w:tabs>
        <w:jc w:val="both"/>
        <w:rPr>
          <w:rFonts w:ascii="Arial" w:hAnsi="Arial" w:cs="Arial"/>
          <w:b/>
          <w:sz w:val="20"/>
        </w:rPr>
      </w:pPr>
    </w:p>
    <w:tbl>
      <w:tblPr>
        <w:tblW w:w="0" w:type="auto"/>
        <w:tblBorders>
          <w:top w:val="single" w:sz="4" w:space="0" w:color="999999"/>
          <w:bottom w:val="single" w:sz="4" w:space="0" w:color="999999"/>
          <w:insideH w:val="single" w:sz="4" w:space="0" w:color="999999"/>
        </w:tblBorders>
        <w:tblCellMar>
          <w:bottom w:w="113" w:type="dxa"/>
        </w:tblCellMar>
        <w:tblLook w:val="04A0" w:firstRow="1" w:lastRow="0" w:firstColumn="1" w:lastColumn="0" w:noHBand="0" w:noVBand="1"/>
      </w:tblPr>
      <w:tblGrid>
        <w:gridCol w:w="4273"/>
        <w:gridCol w:w="4040"/>
      </w:tblGrid>
      <w:tr w:rsidR="0030766A" w:rsidRPr="00191870" w14:paraId="35636E16" w14:textId="77777777" w:rsidTr="003C77E7">
        <w:trPr>
          <w:cantSplit/>
          <w:tblHeader/>
        </w:trPr>
        <w:tc>
          <w:tcPr>
            <w:tcW w:w="0" w:type="auto"/>
            <w:tcBorders>
              <w:top w:val="single" w:sz="4" w:space="0" w:color="999999"/>
              <w:left w:val="nil"/>
              <w:bottom w:val="single" w:sz="4" w:space="0" w:color="999999"/>
              <w:right w:val="nil"/>
            </w:tcBorders>
            <w:shd w:val="clear" w:color="auto" w:fill="C2E3FA"/>
            <w:tcMar>
              <w:top w:w="108" w:type="dxa"/>
            </w:tcMar>
            <w:hideMark/>
          </w:tcPr>
          <w:p w14:paraId="4F21C630" w14:textId="447650CB" w:rsidR="0030766A" w:rsidRPr="0077760F" w:rsidRDefault="0030766A" w:rsidP="003C77E7">
            <w:pPr>
              <w:tabs>
                <w:tab w:val="num" w:pos="1276"/>
              </w:tabs>
              <w:jc w:val="both"/>
              <w:rPr>
                <w:rFonts w:ascii="Arial" w:hAnsi="Arial" w:cs="Arial"/>
                <w:b/>
                <w:sz w:val="20"/>
              </w:rPr>
            </w:pPr>
            <w:r w:rsidRPr="0077760F">
              <w:rPr>
                <w:rFonts w:ascii="Arial" w:hAnsi="Arial" w:cs="Arial"/>
                <w:b/>
                <w:sz w:val="20"/>
              </w:rPr>
              <w:t xml:space="preserve">Reporting </w:t>
            </w:r>
            <w:r w:rsidR="00844BF5">
              <w:rPr>
                <w:rFonts w:ascii="Arial" w:hAnsi="Arial" w:cs="Arial"/>
                <w:b/>
                <w:sz w:val="20"/>
              </w:rPr>
              <w:t>e</w:t>
            </w:r>
            <w:r w:rsidRPr="0077760F">
              <w:rPr>
                <w:rFonts w:ascii="Arial" w:hAnsi="Arial" w:cs="Arial"/>
                <w:b/>
                <w:sz w:val="20"/>
              </w:rPr>
              <w:t>ntity</w:t>
            </w:r>
          </w:p>
        </w:tc>
        <w:tc>
          <w:tcPr>
            <w:tcW w:w="0" w:type="auto"/>
            <w:tcBorders>
              <w:top w:val="single" w:sz="4" w:space="0" w:color="999999"/>
              <w:left w:val="nil"/>
              <w:bottom w:val="single" w:sz="4" w:space="0" w:color="999999"/>
              <w:right w:val="nil"/>
            </w:tcBorders>
            <w:shd w:val="clear" w:color="auto" w:fill="C2E3FA"/>
            <w:tcMar>
              <w:top w:w="108" w:type="dxa"/>
            </w:tcMar>
            <w:hideMark/>
          </w:tcPr>
          <w:p w14:paraId="5DBCF72D" w14:textId="0A065417" w:rsidR="0030766A" w:rsidRPr="0077760F" w:rsidRDefault="0030766A" w:rsidP="003C77E7">
            <w:pPr>
              <w:tabs>
                <w:tab w:val="num" w:pos="1276"/>
              </w:tabs>
              <w:jc w:val="both"/>
              <w:rPr>
                <w:rFonts w:ascii="Arial" w:hAnsi="Arial" w:cs="Arial"/>
                <w:b/>
                <w:sz w:val="20"/>
              </w:rPr>
            </w:pPr>
            <w:r w:rsidRPr="0077760F">
              <w:rPr>
                <w:rFonts w:ascii="Arial" w:hAnsi="Arial" w:cs="Arial"/>
                <w:b/>
                <w:sz w:val="20"/>
              </w:rPr>
              <w:t xml:space="preserve">Reportable </w:t>
            </w:r>
            <w:r w:rsidR="00844BF5">
              <w:rPr>
                <w:rFonts w:ascii="Arial" w:hAnsi="Arial" w:cs="Arial"/>
                <w:b/>
                <w:sz w:val="20"/>
              </w:rPr>
              <w:t>t</w:t>
            </w:r>
            <w:r w:rsidRPr="0077760F">
              <w:rPr>
                <w:rFonts w:ascii="Arial" w:hAnsi="Arial" w:cs="Arial"/>
                <w:b/>
                <w:sz w:val="20"/>
              </w:rPr>
              <w:t>ransaction</w:t>
            </w:r>
          </w:p>
        </w:tc>
      </w:tr>
      <w:tr w:rsidR="0030766A" w:rsidRPr="00191870" w14:paraId="76718E5A" w14:textId="77777777" w:rsidTr="003C77E7">
        <w:trPr>
          <w:cantSplit/>
        </w:trPr>
        <w:tc>
          <w:tcPr>
            <w:tcW w:w="0" w:type="auto"/>
            <w:tcBorders>
              <w:top w:val="single" w:sz="4" w:space="0" w:color="999999"/>
              <w:left w:val="nil"/>
              <w:bottom w:val="single" w:sz="4" w:space="0" w:color="999999"/>
              <w:right w:val="nil"/>
            </w:tcBorders>
            <w:tcMar>
              <w:top w:w="108" w:type="dxa"/>
            </w:tcMar>
            <w:hideMark/>
          </w:tcPr>
          <w:p w14:paraId="42831BAE" w14:textId="75EDBE09" w:rsidR="0030766A" w:rsidRPr="00130A3A" w:rsidRDefault="0030766A" w:rsidP="003C77E7">
            <w:pPr>
              <w:tabs>
                <w:tab w:val="num" w:pos="1276"/>
              </w:tabs>
              <w:rPr>
                <w:rFonts w:ascii="Arial" w:hAnsi="Arial" w:cs="Arial"/>
                <w:b/>
                <w:sz w:val="20"/>
                <w:u w:val="single"/>
              </w:rPr>
            </w:pPr>
            <w:r w:rsidRPr="0077760F">
              <w:rPr>
                <w:rFonts w:ascii="Arial" w:hAnsi="Arial" w:cs="Arial"/>
                <w:sz w:val="20"/>
              </w:rPr>
              <w:t xml:space="preserve">An </w:t>
            </w:r>
            <w:r w:rsidR="00D82031">
              <w:rPr>
                <w:rFonts w:ascii="Arial" w:hAnsi="Arial" w:cs="Arial"/>
                <w:sz w:val="20"/>
              </w:rPr>
              <w:t>“</w:t>
            </w:r>
            <w:r w:rsidR="00CB2714">
              <w:rPr>
                <w:rFonts w:ascii="Arial" w:hAnsi="Arial" w:cs="Arial"/>
                <w:sz w:val="20"/>
              </w:rPr>
              <w:t>A</w:t>
            </w:r>
            <w:r w:rsidRPr="0077760F">
              <w:rPr>
                <w:rFonts w:ascii="Arial" w:hAnsi="Arial" w:cs="Arial"/>
                <w:sz w:val="20"/>
              </w:rPr>
              <w:t xml:space="preserve">ustralian </w:t>
            </w:r>
            <w:r w:rsidR="00CB2714">
              <w:rPr>
                <w:rFonts w:ascii="Arial" w:hAnsi="Arial" w:cs="Arial"/>
                <w:sz w:val="20"/>
              </w:rPr>
              <w:t>e</w:t>
            </w:r>
            <w:r w:rsidRPr="0077760F">
              <w:rPr>
                <w:rFonts w:ascii="Arial" w:hAnsi="Arial" w:cs="Arial"/>
                <w:sz w:val="20"/>
              </w:rPr>
              <w:t>ntity</w:t>
            </w:r>
            <w:r w:rsidR="00D82031">
              <w:rPr>
                <w:rFonts w:ascii="Arial" w:hAnsi="Arial" w:cs="Arial"/>
                <w:sz w:val="20"/>
              </w:rPr>
              <w:t>”</w:t>
            </w:r>
            <w:r>
              <w:rPr>
                <w:rFonts w:ascii="Arial" w:hAnsi="Arial" w:cs="Arial"/>
                <w:sz w:val="20"/>
              </w:rPr>
              <w:t xml:space="preserve"> (defined in Rule 1.2.3 as </w:t>
            </w:r>
            <w:r w:rsidRPr="00130A3A">
              <w:rPr>
                <w:rFonts w:ascii="Arial" w:hAnsi="Arial" w:cs="Arial"/>
                <w:sz w:val="20"/>
              </w:rPr>
              <w:t>an entity (including a corporation, partnership, managed investment scheme or trust) that is incorporated or formed in this jurisdiction</w:t>
            </w:r>
            <w:r>
              <w:rPr>
                <w:rFonts w:ascii="Arial" w:hAnsi="Arial" w:cs="Arial"/>
                <w:sz w:val="20"/>
              </w:rPr>
              <w:t>)</w:t>
            </w:r>
            <w:r w:rsidRPr="00130A3A">
              <w:rPr>
                <w:rFonts w:ascii="Arial" w:hAnsi="Arial" w:cs="Arial"/>
                <w:sz w:val="20"/>
              </w:rPr>
              <w:t>.</w:t>
            </w:r>
          </w:p>
          <w:p w14:paraId="3AC9CC4F" w14:textId="77777777" w:rsidR="0030766A" w:rsidRPr="0077760F" w:rsidRDefault="0030766A" w:rsidP="003C77E7">
            <w:pPr>
              <w:tabs>
                <w:tab w:val="num" w:pos="1276"/>
              </w:tabs>
              <w:rPr>
                <w:rFonts w:ascii="Arial" w:hAnsi="Arial" w:cs="Arial"/>
                <w:sz w:val="20"/>
              </w:rPr>
            </w:pPr>
          </w:p>
        </w:tc>
        <w:tc>
          <w:tcPr>
            <w:tcW w:w="0" w:type="auto"/>
            <w:tcBorders>
              <w:top w:val="single" w:sz="4" w:space="0" w:color="999999"/>
              <w:left w:val="nil"/>
              <w:bottom w:val="single" w:sz="4" w:space="0" w:color="999999"/>
              <w:right w:val="nil"/>
            </w:tcBorders>
            <w:tcMar>
              <w:top w:w="108" w:type="dxa"/>
            </w:tcMar>
            <w:hideMark/>
          </w:tcPr>
          <w:p w14:paraId="6AAFD454" w14:textId="0CC6DE88" w:rsidR="0030766A" w:rsidRPr="0077760F" w:rsidRDefault="0030766A" w:rsidP="003C77E7">
            <w:pPr>
              <w:tabs>
                <w:tab w:val="num" w:pos="1276"/>
              </w:tabs>
              <w:rPr>
                <w:rFonts w:ascii="Arial" w:hAnsi="Arial" w:cs="Arial"/>
                <w:sz w:val="20"/>
              </w:rPr>
            </w:pPr>
            <w:r w:rsidRPr="0077760F">
              <w:rPr>
                <w:rFonts w:ascii="Arial" w:hAnsi="Arial" w:cs="Arial"/>
                <w:sz w:val="20"/>
              </w:rPr>
              <w:t xml:space="preserve">Entry into, modification, </w:t>
            </w:r>
            <w:proofErr w:type="gramStart"/>
            <w:r w:rsidRPr="0077760F">
              <w:rPr>
                <w:rFonts w:ascii="Arial" w:hAnsi="Arial" w:cs="Arial"/>
                <w:sz w:val="20"/>
              </w:rPr>
              <w:t>termination</w:t>
            </w:r>
            <w:proofErr w:type="gramEnd"/>
            <w:r w:rsidRPr="0077760F">
              <w:rPr>
                <w:rFonts w:ascii="Arial" w:hAnsi="Arial" w:cs="Arial"/>
                <w:sz w:val="20"/>
              </w:rPr>
              <w:t xml:space="preserve"> or assignment of an OTC </w:t>
            </w:r>
            <w:r w:rsidR="00CB2714">
              <w:rPr>
                <w:rFonts w:ascii="Arial" w:hAnsi="Arial" w:cs="Arial"/>
                <w:sz w:val="20"/>
              </w:rPr>
              <w:t>d</w:t>
            </w:r>
            <w:r w:rsidRPr="0077760F">
              <w:rPr>
                <w:rFonts w:ascii="Arial" w:hAnsi="Arial" w:cs="Arial"/>
                <w:sz w:val="20"/>
              </w:rPr>
              <w:t xml:space="preserve">erivative to which the </w:t>
            </w:r>
            <w:r w:rsidR="00CB2714">
              <w:rPr>
                <w:rFonts w:ascii="Arial" w:hAnsi="Arial" w:cs="Arial"/>
                <w:sz w:val="20"/>
              </w:rPr>
              <w:t>r</w:t>
            </w:r>
            <w:r w:rsidRPr="0077760F">
              <w:rPr>
                <w:rFonts w:ascii="Arial" w:hAnsi="Arial" w:cs="Arial"/>
                <w:sz w:val="20"/>
              </w:rPr>
              <w:t xml:space="preserve">eporting </w:t>
            </w:r>
            <w:r w:rsidR="00CB2714">
              <w:rPr>
                <w:rFonts w:ascii="Arial" w:hAnsi="Arial" w:cs="Arial"/>
                <w:sz w:val="20"/>
              </w:rPr>
              <w:t>e</w:t>
            </w:r>
            <w:r w:rsidRPr="0077760F">
              <w:rPr>
                <w:rFonts w:ascii="Arial" w:hAnsi="Arial" w:cs="Arial"/>
                <w:sz w:val="20"/>
              </w:rPr>
              <w:t xml:space="preserve">ntity is a counterparty, regardless of where the OTC </w:t>
            </w:r>
            <w:r w:rsidR="00CB2714">
              <w:rPr>
                <w:rFonts w:ascii="Arial" w:hAnsi="Arial" w:cs="Arial"/>
                <w:sz w:val="20"/>
              </w:rPr>
              <w:t>d</w:t>
            </w:r>
            <w:r w:rsidRPr="0077760F">
              <w:rPr>
                <w:rFonts w:ascii="Arial" w:hAnsi="Arial" w:cs="Arial"/>
                <w:sz w:val="20"/>
              </w:rPr>
              <w:t>erivative is entered into</w:t>
            </w:r>
            <w:r w:rsidR="00E647AA">
              <w:rPr>
                <w:rFonts w:ascii="Arial" w:hAnsi="Arial" w:cs="Arial"/>
                <w:sz w:val="20"/>
              </w:rPr>
              <w:t>.</w:t>
            </w:r>
          </w:p>
        </w:tc>
      </w:tr>
      <w:tr w:rsidR="0030766A" w:rsidRPr="00191870" w14:paraId="1AE0EBE2" w14:textId="77777777" w:rsidTr="003C77E7">
        <w:trPr>
          <w:cantSplit/>
        </w:trPr>
        <w:tc>
          <w:tcPr>
            <w:tcW w:w="0" w:type="auto"/>
            <w:tcBorders>
              <w:top w:val="single" w:sz="4" w:space="0" w:color="999999"/>
              <w:left w:val="nil"/>
              <w:bottom w:val="single" w:sz="4" w:space="0" w:color="999999"/>
              <w:right w:val="nil"/>
            </w:tcBorders>
            <w:tcMar>
              <w:top w:w="108" w:type="dxa"/>
            </w:tcMar>
            <w:hideMark/>
          </w:tcPr>
          <w:p w14:paraId="7D6F0BDA" w14:textId="182133CE" w:rsidR="0030766A" w:rsidRDefault="0030766A" w:rsidP="003C77E7">
            <w:pPr>
              <w:tabs>
                <w:tab w:val="num" w:pos="1276"/>
              </w:tabs>
              <w:spacing w:after="120"/>
              <w:rPr>
                <w:rFonts w:ascii="Arial" w:hAnsi="Arial" w:cs="Arial"/>
                <w:sz w:val="20"/>
              </w:rPr>
            </w:pPr>
            <w:r w:rsidRPr="0077760F">
              <w:rPr>
                <w:rFonts w:ascii="Arial" w:hAnsi="Arial" w:cs="Arial"/>
                <w:sz w:val="20"/>
              </w:rPr>
              <w:t xml:space="preserve">A foreign subsidiary of an Australian </w:t>
            </w:r>
            <w:r w:rsidR="00CB2714">
              <w:rPr>
                <w:rFonts w:ascii="Arial" w:hAnsi="Arial" w:cs="Arial"/>
                <w:sz w:val="20"/>
              </w:rPr>
              <w:t>e</w:t>
            </w:r>
            <w:r w:rsidRPr="0077760F">
              <w:rPr>
                <w:rFonts w:ascii="Arial" w:hAnsi="Arial" w:cs="Arial"/>
                <w:sz w:val="20"/>
              </w:rPr>
              <w:t xml:space="preserve">ntity where that Australian </w:t>
            </w:r>
            <w:r w:rsidR="00CB2714">
              <w:rPr>
                <w:rFonts w:ascii="Arial" w:hAnsi="Arial" w:cs="Arial"/>
                <w:sz w:val="20"/>
              </w:rPr>
              <w:t>e</w:t>
            </w:r>
            <w:r w:rsidRPr="0077760F">
              <w:rPr>
                <w:rFonts w:ascii="Arial" w:hAnsi="Arial" w:cs="Arial"/>
                <w:sz w:val="20"/>
              </w:rPr>
              <w:t>ntity is</w:t>
            </w:r>
            <w:r>
              <w:rPr>
                <w:rFonts w:ascii="Arial" w:hAnsi="Arial" w:cs="Arial"/>
                <w:sz w:val="20"/>
              </w:rPr>
              <w:t>:</w:t>
            </w:r>
          </w:p>
          <w:p w14:paraId="28269F76" w14:textId="59A73013" w:rsidR="0030766A" w:rsidRDefault="0030766A" w:rsidP="00676F5A">
            <w:pPr>
              <w:numPr>
                <w:ilvl w:val="0"/>
                <w:numId w:val="3"/>
              </w:numPr>
              <w:spacing w:after="120" w:line="240" w:lineRule="auto"/>
              <w:ind w:left="454" w:hanging="284"/>
              <w:rPr>
                <w:rFonts w:ascii="Arial" w:hAnsi="Arial" w:cs="Arial"/>
                <w:sz w:val="20"/>
              </w:rPr>
            </w:pPr>
            <w:r w:rsidRPr="0077760F">
              <w:rPr>
                <w:rFonts w:ascii="Arial" w:hAnsi="Arial" w:cs="Arial"/>
                <w:sz w:val="20"/>
              </w:rPr>
              <w:t xml:space="preserve">an </w:t>
            </w:r>
            <w:r w:rsidR="00D82031">
              <w:rPr>
                <w:rFonts w:ascii="Arial" w:hAnsi="Arial" w:cs="Arial"/>
                <w:sz w:val="20"/>
              </w:rPr>
              <w:t>“</w:t>
            </w:r>
            <w:r w:rsidRPr="0077760F">
              <w:rPr>
                <w:rFonts w:ascii="Arial" w:hAnsi="Arial" w:cs="Arial"/>
                <w:sz w:val="20"/>
              </w:rPr>
              <w:t>Australian ADI</w:t>
            </w:r>
            <w:r w:rsidR="00D82031">
              <w:rPr>
                <w:rFonts w:ascii="Arial" w:hAnsi="Arial" w:cs="Arial"/>
                <w:sz w:val="20"/>
              </w:rPr>
              <w:t>”</w:t>
            </w:r>
            <w:r>
              <w:rPr>
                <w:rFonts w:ascii="Arial" w:hAnsi="Arial" w:cs="Arial"/>
                <w:sz w:val="20"/>
              </w:rPr>
              <w:t xml:space="preserve"> (defined in Rule 1.2.3 as an Australian </w:t>
            </w:r>
            <w:r w:rsidR="00CB2714">
              <w:rPr>
                <w:rFonts w:ascii="Arial" w:hAnsi="Arial" w:cs="Arial"/>
                <w:sz w:val="20"/>
              </w:rPr>
              <w:t>e</w:t>
            </w:r>
            <w:r>
              <w:rPr>
                <w:rFonts w:ascii="Arial" w:hAnsi="Arial" w:cs="Arial"/>
                <w:sz w:val="20"/>
              </w:rPr>
              <w:t xml:space="preserve">ntity that is an Australian ADI as defined in section 9 of the </w:t>
            </w:r>
            <w:r w:rsidR="0019022B">
              <w:rPr>
                <w:rFonts w:ascii="Arial" w:hAnsi="Arial" w:cs="Arial"/>
                <w:sz w:val="20"/>
              </w:rPr>
              <w:t xml:space="preserve">Corporations </w:t>
            </w:r>
            <w:r>
              <w:rPr>
                <w:rFonts w:ascii="Arial" w:hAnsi="Arial" w:cs="Arial"/>
                <w:sz w:val="20"/>
              </w:rPr>
              <w:t>Act);</w:t>
            </w:r>
            <w:r w:rsidRPr="0077760F">
              <w:rPr>
                <w:rFonts w:ascii="Arial" w:hAnsi="Arial" w:cs="Arial"/>
                <w:sz w:val="20"/>
              </w:rPr>
              <w:t xml:space="preserve"> or</w:t>
            </w:r>
          </w:p>
          <w:p w14:paraId="6CC02FAE" w14:textId="381C72DD" w:rsidR="0030766A" w:rsidRPr="00E9558B" w:rsidRDefault="0030766A" w:rsidP="00676F5A">
            <w:pPr>
              <w:numPr>
                <w:ilvl w:val="0"/>
                <w:numId w:val="3"/>
              </w:numPr>
              <w:spacing w:after="120" w:line="240" w:lineRule="auto"/>
              <w:ind w:left="454" w:hanging="284"/>
              <w:rPr>
                <w:rFonts w:ascii="Arial" w:hAnsi="Arial" w:cs="Arial"/>
                <w:sz w:val="20"/>
              </w:rPr>
            </w:pPr>
            <w:r w:rsidRPr="00E9558B">
              <w:rPr>
                <w:rFonts w:ascii="Arial" w:hAnsi="Arial" w:cs="Arial"/>
                <w:sz w:val="20"/>
              </w:rPr>
              <w:t xml:space="preserve">an </w:t>
            </w:r>
            <w:r w:rsidR="00D82031">
              <w:rPr>
                <w:rFonts w:ascii="Arial" w:hAnsi="Arial" w:cs="Arial"/>
                <w:sz w:val="20"/>
              </w:rPr>
              <w:t>“</w:t>
            </w:r>
            <w:r w:rsidRPr="00E9558B">
              <w:rPr>
                <w:rFonts w:ascii="Arial" w:hAnsi="Arial" w:cs="Arial"/>
                <w:sz w:val="20"/>
              </w:rPr>
              <w:t xml:space="preserve">AFS </w:t>
            </w:r>
            <w:r w:rsidR="00CB2714">
              <w:rPr>
                <w:rFonts w:ascii="Arial" w:hAnsi="Arial" w:cs="Arial"/>
                <w:sz w:val="20"/>
              </w:rPr>
              <w:t>l</w:t>
            </w:r>
            <w:r w:rsidRPr="00E9558B">
              <w:rPr>
                <w:rFonts w:ascii="Arial" w:hAnsi="Arial" w:cs="Arial"/>
                <w:sz w:val="20"/>
              </w:rPr>
              <w:t>icensee</w:t>
            </w:r>
            <w:r w:rsidR="00D82031">
              <w:rPr>
                <w:rFonts w:ascii="Arial" w:hAnsi="Arial" w:cs="Arial"/>
                <w:sz w:val="20"/>
              </w:rPr>
              <w:t>”</w:t>
            </w:r>
            <w:r w:rsidRPr="00E9558B">
              <w:rPr>
                <w:rFonts w:ascii="Arial" w:hAnsi="Arial" w:cs="Arial"/>
                <w:sz w:val="20"/>
              </w:rPr>
              <w:t xml:space="preserve"> (defined in Rule 1.2.3 as a holder of an Australian financial services </w:t>
            </w:r>
            <w:r w:rsidR="00214B43">
              <w:rPr>
                <w:rFonts w:ascii="Arial" w:hAnsi="Arial" w:cs="Arial"/>
                <w:sz w:val="20"/>
              </w:rPr>
              <w:t>(</w:t>
            </w:r>
            <w:r w:rsidR="00214B43" w:rsidRPr="00AE360F">
              <w:rPr>
                <w:rFonts w:ascii="Arial" w:hAnsi="Arial" w:cs="Arial"/>
                <w:b/>
                <w:bCs/>
                <w:i/>
                <w:iCs/>
                <w:sz w:val="20"/>
              </w:rPr>
              <w:t>AFS</w:t>
            </w:r>
            <w:r w:rsidR="00214B43">
              <w:rPr>
                <w:rFonts w:ascii="Arial" w:hAnsi="Arial" w:cs="Arial"/>
                <w:sz w:val="20"/>
              </w:rPr>
              <w:t xml:space="preserve">) </w:t>
            </w:r>
            <w:r w:rsidRPr="00E9558B">
              <w:rPr>
                <w:rFonts w:ascii="Arial" w:hAnsi="Arial" w:cs="Arial"/>
                <w:sz w:val="20"/>
              </w:rPr>
              <w:t xml:space="preserve">licence granted under section 913B of the </w:t>
            </w:r>
            <w:r w:rsidR="008E3F5D">
              <w:rPr>
                <w:rFonts w:ascii="Arial" w:hAnsi="Arial" w:cs="Arial"/>
                <w:sz w:val="20"/>
              </w:rPr>
              <w:t xml:space="preserve">Corporations </w:t>
            </w:r>
            <w:r w:rsidRPr="00E9558B">
              <w:rPr>
                <w:rFonts w:ascii="Arial" w:hAnsi="Arial" w:cs="Arial"/>
                <w:sz w:val="20"/>
              </w:rPr>
              <w:t>Act).</w:t>
            </w:r>
          </w:p>
        </w:tc>
        <w:tc>
          <w:tcPr>
            <w:tcW w:w="0" w:type="auto"/>
            <w:tcBorders>
              <w:top w:val="single" w:sz="4" w:space="0" w:color="999999"/>
              <w:left w:val="nil"/>
              <w:bottom w:val="single" w:sz="4" w:space="0" w:color="999999"/>
              <w:right w:val="nil"/>
            </w:tcBorders>
            <w:tcMar>
              <w:top w:w="108" w:type="dxa"/>
            </w:tcMar>
            <w:hideMark/>
          </w:tcPr>
          <w:p w14:paraId="23F220CC" w14:textId="57C6B96C" w:rsidR="0030766A" w:rsidRPr="0077760F" w:rsidRDefault="0030766A" w:rsidP="003C77E7">
            <w:pPr>
              <w:tabs>
                <w:tab w:val="num" w:pos="1276"/>
              </w:tabs>
              <w:rPr>
                <w:rFonts w:ascii="Arial" w:hAnsi="Arial" w:cs="Arial"/>
                <w:sz w:val="20"/>
              </w:rPr>
            </w:pPr>
            <w:r w:rsidRPr="0077760F">
              <w:rPr>
                <w:rFonts w:ascii="Arial" w:hAnsi="Arial" w:cs="Arial"/>
                <w:sz w:val="20"/>
              </w:rPr>
              <w:t xml:space="preserve">Entry into, modification, </w:t>
            </w:r>
            <w:proofErr w:type="gramStart"/>
            <w:r w:rsidRPr="0077760F">
              <w:rPr>
                <w:rFonts w:ascii="Arial" w:hAnsi="Arial" w:cs="Arial"/>
                <w:sz w:val="20"/>
              </w:rPr>
              <w:t>termination</w:t>
            </w:r>
            <w:proofErr w:type="gramEnd"/>
            <w:r w:rsidRPr="0077760F">
              <w:rPr>
                <w:rFonts w:ascii="Arial" w:hAnsi="Arial" w:cs="Arial"/>
                <w:sz w:val="20"/>
              </w:rPr>
              <w:t xml:space="preserve"> or assignment of an OTC </w:t>
            </w:r>
            <w:r w:rsidR="00214B43">
              <w:rPr>
                <w:rFonts w:ascii="Arial" w:hAnsi="Arial" w:cs="Arial"/>
                <w:sz w:val="20"/>
              </w:rPr>
              <w:t>d</w:t>
            </w:r>
            <w:r w:rsidRPr="0077760F">
              <w:rPr>
                <w:rFonts w:ascii="Arial" w:hAnsi="Arial" w:cs="Arial"/>
                <w:sz w:val="20"/>
              </w:rPr>
              <w:t xml:space="preserve">erivative to which the </w:t>
            </w:r>
            <w:r w:rsidR="00214B43">
              <w:rPr>
                <w:rFonts w:ascii="Arial" w:hAnsi="Arial" w:cs="Arial"/>
                <w:sz w:val="20"/>
              </w:rPr>
              <w:t>r</w:t>
            </w:r>
            <w:r w:rsidRPr="0077760F">
              <w:rPr>
                <w:rFonts w:ascii="Arial" w:hAnsi="Arial" w:cs="Arial"/>
                <w:sz w:val="20"/>
              </w:rPr>
              <w:t xml:space="preserve">eporting </w:t>
            </w:r>
            <w:r w:rsidR="00214B43">
              <w:rPr>
                <w:rFonts w:ascii="Arial" w:hAnsi="Arial" w:cs="Arial"/>
                <w:sz w:val="20"/>
              </w:rPr>
              <w:t>e</w:t>
            </w:r>
            <w:r w:rsidRPr="0077760F">
              <w:rPr>
                <w:rFonts w:ascii="Arial" w:hAnsi="Arial" w:cs="Arial"/>
                <w:sz w:val="20"/>
              </w:rPr>
              <w:t xml:space="preserve">ntity is a counterparty, regardless of where the OTC </w:t>
            </w:r>
            <w:r w:rsidR="00214B43">
              <w:rPr>
                <w:rFonts w:ascii="Arial" w:hAnsi="Arial" w:cs="Arial"/>
                <w:sz w:val="20"/>
              </w:rPr>
              <w:t>d</w:t>
            </w:r>
            <w:r w:rsidRPr="0077760F">
              <w:rPr>
                <w:rFonts w:ascii="Arial" w:hAnsi="Arial" w:cs="Arial"/>
                <w:sz w:val="20"/>
              </w:rPr>
              <w:t xml:space="preserve">erivative is entered </w:t>
            </w:r>
            <w:r w:rsidR="00E647AA" w:rsidRPr="0077760F">
              <w:rPr>
                <w:rFonts w:ascii="Arial" w:hAnsi="Arial" w:cs="Arial"/>
                <w:sz w:val="20"/>
              </w:rPr>
              <w:t>into</w:t>
            </w:r>
            <w:r w:rsidR="00E647AA">
              <w:rPr>
                <w:rFonts w:ascii="Arial" w:hAnsi="Arial" w:cs="Arial"/>
                <w:sz w:val="20"/>
              </w:rPr>
              <w:t>.</w:t>
            </w:r>
          </w:p>
        </w:tc>
      </w:tr>
      <w:tr w:rsidR="0030766A" w:rsidRPr="00191870" w14:paraId="67610A40" w14:textId="77777777" w:rsidTr="003C77E7">
        <w:trPr>
          <w:cantSplit/>
        </w:trPr>
        <w:tc>
          <w:tcPr>
            <w:tcW w:w="0" w:type="auto"/>
            <w:tcBorders>
              <w:top w:val="single" w:sz="4" w:space="0" w:color="999999"/>
              <w:left w:val="nil"/>
              <w:bottom w:val="single" w:sz="4" w:space="0" w:color="999999"/>
              <w:right w:val="nil"/>
            </w:tcBorders>
            <w:tcMar>
              <w:top w:w="108" w:type="dxa"/>
            </w:tcMar>
            <w:hideMark/>
          </w:tcPr>
          <w:p w14:paraId="41C5F24D" w14:textId="7DC445CA" w:rsidR="0030766A" w:rsidRPr="0077760F" w:rsidRDefault="0030766A" w:rsidP="003C77E7">
            <w:pPr>
              <w:tabs>
                <w:tab w:val="num" w:pos="1276"/>
              </w:tabs>
              <w:rPr>
                <w:rFonts w:ascii="Arial" w:hAnsi="Arial" w:cs="Arial"/>
                <w:sz w:val="20"/>
              </w:rPr>
            </w:pPr>
            <w:r w:rsidRPr="0077760F">
              <w:rPr>
                <w:rFonts w:ascii="Arial" w:hAnsi="Arial" w:cs="Arial"/>
                <w:sz w:val="20"/>
              </w:rPr>
              <w:t xml:space="preserve">A </w:t>
            </w:r>
            <w:r w:rsidR="00214B43">
              <w:rPr>
                <w:rFonts w:ascii="Arial" w:hAnsi="Arial" w:cs="Arial"/>
                <w:sz w:val="20"/>
              </w:rPr>
              <w:t>f</w:t>
            </w:r>
            <w:r w:rsidRPr="0077760F">
              <w:rPr>
                <w:rFonts w:ascii="Arial" w:hAnsi="Arial" w:cs="Arial"/>
                <w:sz w:val="20"/>
              </w:rPr>
              <w:t xml:space="preserve">oreign ADI that has a branch located in this </w:t>
            </w:r>
            <w:r w:rsidR="00E647AA" w:rsidRPr="0077760F">
              <w:rPr>
                <w:rFonts w:ascii="Arial" w:hAnsi="Arial" w:cs="Arial"/>
                <w:sz w:val="20"/>
              </w:rPr>
              <w:t>jurisdiction</w:t>
            </w:r>
            <w:r w:rsidR="00E647AA">
              <w:rPr>
                <w:rFonts w:ascii="Arial" w:hAnsi="Arial" w:cs="Arial"/>
                <w:sz w:val="20"/>
              </w:rPr>
              <w:t>.</w:t>
            </w:r>
          </w:p>
        </w:tc>
        <w:tc>
          <w:tcPr>
            <w:tcW w:w="0" w:type="auto"/>
            <w:vMerge w:val="restart"/>
            <w:tcBorders>
              <w:top w:val="single" w:sz="4" w:space="0" w:color="999999"/>
              <w:left w:val="nil"/>
              <w:bottom w:val="single" w:sz="4" w:space="0" w:color="999999"/>
              <w:right w:val="nil"/>
            </w:tcBorders>
            <w:tcMar>
              <w:top w:w="108" w:type="dxa"/>
            </w:tcMar>
            <w:hideMark/>
          </w:tcPr>
          <w:p w14:paraId="61ED4C76" w14:textId="5D893F21" w:rsidR="0030766A" w:rsidRPr="0077760F" w:rsidRDefault="0030766A" w:rsidP="003C77E7">
            <w:pPr>
              <w:tabs>
                <w:tab w:val="num" w:pos="1276"/>
              </w:tabs>
              <w:rPr>
                <w:rFonts w:ascii="Arial" w:hAnsi="Arial" w:cs="Arial"/>
                <w:sz w:val="20"/>
              </w:rPr>
            </w:pPr>
            <w:r w:rsidRPr="0077760F">
              <w:rPr>
                <w:rFonts w:ascii="Arial" w:hAnsi="Arial" w:cs="Arial"/>
                <w:sz w:val="20"/>
              </w:rPr>
              <w:t xml:space="preserve">Entry into, modification, </w:t>
            </w:r>
            <w:proofErr w:type="gramStart"/>
            <w:r w:rsidRPr="0077760F">
              <w:rPr>
                <w:rFonts w:ascii="Arial" w:hAnsi="Arial" w:cs="Arial"/>
                <w:sz w:val="20"/>
              </w:rPr>
              <w:t>termination</w:t>
            </w:r>
            <w:proofErr w:type="gramEnd"/>
            <w:r w:rsidRPr="0077760F">
              <w:rPr>
                <w:rFonts w:ascii="Arial" w:hAnsi="Arial" w:cs="Arial"/>
                <w:sz w:val="20"/>
              </w:rPr>
              <w:t xml:space="preserve"> or </w:t>
            </w:r>
            <w:r>
              <w:rPr>
                <w:rFonts w:ascii="Arial" w:hAnsi="Arial" w:cs="Arial"/>
                <w:sz w:val="20"/>
              </w:rPr>
              <w:t xml:space="preserve">assignment of an OTC </w:t>
            </w:r>
            <w:r w:rsidR="00214B43">
              <w:rPr>
                <w:rFonts w:ascii="Arial" w:hAnsi="Arial" w:cs="Arial"/>
                <w:sz w:val="20"/>
              </w:rPr>
              <w:t>d</w:t>
            </w:r>
            <w:r>
              <w:rPr>
                <w:rFonts w:ascii="Arial" w:hAnsi="Arial" w:cs="Arial"/>
                <w:sz w:val="20"/>
              </w:rPr>
              <w:t>erivative</w:t>
            </w:r>
            <w:r w:rsidRPr="0077760F">
              <w:rPr>
                <w:rFonts w:ascii="Arial" w:hAnsi="Arial" w:cs="Arial"/>
                <w:sz w:val="20"/>
              </w:rPr>
              <w:t>:</w:t>
            </w:r>
          </w:p>
          <w:p w14:paraId="679B388F" w14:textId="77777777" w:rsidR="0030766A" w:rsidRPr="0077760F" w:rsidRDefault="0030766A" w:rsidP="003C77E7">
            <w:pPr>
              <w:tabs>
                <w:tab w:val="num" w:pos="1276"/>
              </w:tabs>
              <w:rPr>
                <w:rFonts w:ascii="Arial" w:hAnsi="Arial" w:cs="Arial"/>
                <w:sz w:val="20"/>
              </w:rPr>
            </w:pPr>
          </w:p>
          <w:p w14:paraId="4BAC9D03" w14:textId="5EB3CE05" w:rsidR="0030766A" w:rsidRPr="00E9558B" w:rsidRDefault="0030766A" w:rsidP="00676F5A">
            <w:pPr>
              <w:numPr>
                <w:ilvl w:val="0"/>
                <w:numId w:val="3"/>
              </w:numPr>
              <w:spacing w:after="120" w:line="240" w:lineRule="auto"/>
              <w:ind w:left="454" w:hanging="284"/>
              <w:rPr>
                <w:rFonts w:ascii="Arial" w:hAnsi="Arial" w:cs="Arial"/>
                <w:sz w:val="20"/>
              </w:rPr>
            </w:pPr>
            <w:r w:rsidRPr="0077760F">
              <w:rPr>
                <w:rFonts w:ascii="Arial" w:hAnsi="Arial" w:cs="Arial"/>
                <w:sz w:val="20"/>
              </w:rPr>
              <w:t xml:space="preserve">booked to the profit or loss account of a branch of the </w:t>
            </w:r>
            <w:r w:rsidR="00214B43">
              <w:rPr>
                <w:rFonts w:ascii="Arial" w:hAnsi="Arial" w:cs="Arial"/>
                <w:sz w:val="20"/>
              </w:rPr>
              <w:t>r</w:t>
            </w:r>
            <w:r w:rsidRPr="0077760F">
              <w:rPr>
                <w:rFonts w:ascii="Arial" w:hAnsi="Arial" w:cs="Arial"/>
                <w:sz w:val="20"/>
              </w:rPr>
              <w:t xml:space="preserve">eporting </w:t>
            </w:r>
            <w:r w:rsidR="00214B43">
              <w:rPr>
                <w:rFonts w:ascii="Arial" w:hAnsi="Arial" w:cs="Arial"/>
                <w:sz w:val="20"/>
              </w:rPr>
              <w:t>e</w:t>
            </w:r>
            <w:r w:rsidRPr="0077760F">
              <w:rPr>
                <w:rFonts w:ascii="Arial" w:hAnsi="Arial" w:cs="Arial"/>
                <w:sz w:val="20"/>
              </w:rPr>
              <w:t>ntity located in this jurisdiction; or</w:t>
            </w:r>
          </w:p>
          <w:p w14:paraId="381060DF" w14:textId="41A21778" w:rsidR="0030766A" w:rsidRPr="0077760F" w:rsidRDefault="0030766A" w:rsidP="00676F5A">
            <w:pPr>
              <w:numPr>
                <w:ilvl w:val="0"/>
                <w:numId w:val="3"/>
              </w:numPr>
              <w:spacing w:after="120" w:line="240" w:lineRule="auto"/>
              <w:ind w:left="454" w:hanging="284"/>
              <w:rPr>
                <w:rFonts w:ascii="Arial" w:hAnsi="Arial" w:cs="Arial"/>
                <w:sz w:val="20"/>
              </w:rPr>
            </w:pPr>
            <w:r w:rsidRPr="0077760F">
              <w:rPr>
                <w:rFonts w:ascii="Arial" w:hAnsi="Arial" w:cs="Arial"/>
                <w:sz w:val="20"/>
              </w:rPr>
              <w:t xml:space="preserve">entered into by the </w:t>
            </w:r>
            <w:r w:rsidR="00214B43">
              <w:rPr>
                <w:rFonts w:ascii="Arial" w:hAnsi="Arial" w:cs="Arial"/>
                <w:sz w:val="20"/>
              </w:rPr>
              <w:t>r</w:t>
            </w:r>
            <w:r w:rsidRPr="0077760F">
              <w:rPr>
                <w:rFonts w:ascii="Arial" w:hAnsi="Arial" w:cs="Arial"/>
                <w:sz w:val="20"/>
              </w:rPr>
              <w:t xml:space="preserve">eporting </w:t>
            </w:r>
            <w:r w:rsidR="00214B43">
              <w:rPr>
                <w:rFonts w:ascii="Arial" w:hAnsi="Arial" w:cs="Arial"/>
                <w:sz w:val="20"/>
              </w:rPr>
              <w:t>e</w:t>
            </w:r>
            <w:r w:rsidRPr="0077760F">
              <w:rPr>
                <w:rFonts w:ascii="Arial" w:hAnsi="Arial" w:cs="Arial"/>
                <w:sz w:val="20"/>
              </w:rPr>
              <w:t>ntity in this jurisdiction</w:t>
            </w:r>
            <w:r w:rsidR="00E647AA">
              <w:rPr>
                <w:rFonts w:ascii="Arial" w:hAnsi="Arial" w:cs="Arial"/>
                <w:sz w:val="20"/>
              </w:rPr>
              <w:t>.</w:t>
            </w:r>
          </w:p>
        </w:tc>
      </w:tr>
      <w:tr w:rsidR="0030766A" w:rsidRPr="00191870" w14:paraId="44B80BE0" w14:textId="77777777" w:rsidTr="003C77E7">
        <w:trPr>
          <w:cantSplit/>
        </w:trPr>
        <w:tc>
          <w:tcPr>
            <w:tcW w:w="0" w:type="auto"/>
            <w:tcBorders>
              <w:top w:val="single" w:sz="4" w:space="0" w:color="999999"/>
              <w:left w:val="nil"/>
              <w:bottom w:val="single" w:sz="4" w:space="0" w:color="999999"/>
              <w:right w:val="nil"/>
            </w:tcBorders>
            <w:tcMar>
              <w:top w:w="108" w:type="dxa"/>
            </w:tcMar>
            <w:hideMark/>
          </w:tcPr>
          <w:p w14:paraId="10D31EC8" w14:textId="2042E6EF" w:rsidR="0030766A" w:rsidRPr="0077760F" w:rsidRDefault="0030766A" w:rsidP="003C77E7">
            <w:pPr>
              <w:tabs>
                <w:tab w:val="num" w:pos="1276"/>
              </w:tabs>
              <w:rPr>
                <w:rFonts w:ascii="Arial" w:hAnsi="Arial" w:cs="Arial"/>
                <w:sz w:val="20"/>
              </w:rPr>
            </w:pPr>
            <w:r w:rsidRPr="0077760F">
              <w:rPr>
                <w:rFonts w:ascii="Arial" w:hAnsi="Arial" w:cs="Arial"/>
                <w:sz w:val="20"/>
              </w:rPr>
              <w:t xml:space="preserve">A foreign company that is required to be registered under Division 2 of Part 5B.2 of the </w:t>
            </w:r>
            <w:r w:rsidR="008E3F5D">
              <w:rPr>
                <w:rFonts w:ascii="Arial" w:hAnsi="Arial" w:cs="Arial"/>
                <w:sz w:val="20"/>
              </w:rPr>
              <w:t xml:space="preserve">Corporations </w:t>
            </w:r>
            <w:r w:rsidRPr="0077760F">
              <w:rPr>
                <w:rFonts w:ascii="Arial" w:hAnsi="Arial" w:cs="Arial"/>
                <w:sz w:val="20"/>
              </w:rPr>
              <w:t>Act</w:t>
            </w:r>
            <w:r w:rsidR="00E647AA">
              <w:rPr>
                <w:rFonts w:ascii="Arial" w:hAnsi="Arial" w:cs="Arial"/>
                <w:sz w:val="20"/>
              </w:rPr>
              <w:t>.</w:t>
            </w:r>
          </w:p>
        </w:tc>
        <w:tc>
          <w:tcPr>
            <w:tcW w:w="0" w:type="auto"/>
            <w:vMerge/>
            <w:tcBorders>
              <w:top w:val="single" w:sz="4" w:space="0" w:color="999999"/>
              <w:left w:val="nil"/>
              <w:bottom w:val="single" w:sz="4" w:space="0" w:color="999999"/>
              <w:right w:val="nil"/>
            </w:tcBorders>
            <w:vAlign w:val="center"/>
            <w:hideMark/>
          </w:tcPr>
          <w:p w14:paraId="0E5096DB" w14:textId="77777777" w:rsidR="0030766A" w:rsidRPr="0077760F" w:rsidRDefault="0030766A" w:rsidP="003C77E7">
            <w:pPr>
              <w:tabs>
                <w:tab w:val="num" w:pos="1276"/>
              </w:tabs>
              <w:rPr>
                <w:rFonts w:ascii="Arial" w:hAnsi="Arial" w:cs="Arial"/>
                <w:sz w:val="20"/>
              </w:rPr>
            </w:pPr>
          </w:p>
        </w:tc>
      </w:tr>
      <w:tr w:rsidR="0030766A" w:rsidRPr="00191870" w14:paraId="61BC4AB3" w14:textId="77777777" w:rsidTr="003C77E7">
        <w:trPr>
          <w:cantSplit/>
        </w:trPr>
        <w:tc>
          <w:tcPr>
            <w:tcW w:w="0" w:type="auto"/>
            <w:tcBorders>
              <w:top w:val="single" w:sz="4" w:space="0" w:color="999999"/>
              <w:left w:val="nil"/>
              <w:bottom w:val="single" w:sz="4" w:space="0" w:color="999999"/>
              <w:right w:val="nil"/>
            </w:tcBorders>
            <w:tcMar>
              <w:top w:w="108" w:type="dxa"/>
            </w:tcMar>
            <w:hideMark/>
          </w:tcPr>
          <w:p w14:paraId="63AC72AE" w14:textId="7783A8AC" w:rsidR="0030766A" w:rsidRPr="0077760F" w:rsidRDefault="0030766A" w:rsidP="003C77E7">
            <w:pPr>
              <w:tabs>
                <w:tab w:val="num" w:pos="1276"/>
              </w:tabs>
              <w:rPr>
                <w:rFonts w:ascii="Arial" w:hAnsi="Arial" w:cs="Arial"/>
                <w:sz w:val="20"/>
              </w:rPr>
            </w:pPr>
            <w:r w:rsidRPr="0077760F">
              <w:rPr>
                <w:rFonts w:ascii="Arial" w:hAnsi="Arial" w:cs="Arial"/>
                <w:sz w:val="20"/>
              </w:rPr>
              <w:t>A</w:t>
            </w:r>
            <w:r>
              <w:rPr>
                <w:rFonts w:ascii="Arial" w:hAnsi="Arial" w:cs="Arial"/>
                <w:sz w:val="20"/>
              </w:rPr>
              <w:t xml:space="preserve">n </w:t>
            </w:r>
            <w:r w:rsidR="00D82031">
              <w:rPr>
                <w:rFonts w:ascii="Arial" w:hAnsi="Arial" w:cs="Arial"/>
                <w:sz w:val="20"/>
              </w:rPr>
              <w:t>”</w:t>
            </w:r>
            <w:r>
              <w:rPr>
                <w:rFonts w:ascii="Arial" w:hAnsi="Arial" w:cs="Arial"/>
                <w:sz w:val="20"/>
              </w:rPr>
              <w:t>RE</w:t>
            </w:r>
            <w:r w:rsidR="00D82031">
              <w:rPr>
                <w:rFonts w:ascii="Arial" w:hAnsi="Arial" w:cs="Arial"/>
                <w:sz w:val="20"/>
              </w:rPr>
              <w:t>”</w:t>
            </w:r>
            <w:r>
              <w:rPr>
                <w:rFonts w:ascii="Arial" w:hAnsi="Arial" w:cs="Arial"/>
                <w:sz w:val="20"/>
              </w:rPr>
              <w:t xml:space="preserve"> (defined in Rule 1.2.3 as a responsible entity of a managed investment scheme) or </w:t>
            </w:r>
            <w:r w:rsidR="00D82031">
              <w:rPr>
                <w:rFonts w:ascii="Arial" w:hAnsi="Arial" w:cs="Arial"/>
                <w:sz w:val="20"/>
              </w:rPr>
              <w:t>”</w:t>
            </w:r>
            <w:r w:rsidR="00214B43">
              <w:rPr>
                <w:rFonts w:ascii="Arial" w:hAnsi="Arial" w:cs="Arial"/>
                <w:sz w:val="20"/>
              </w:rPr>
              <w:t>t</w:t>
            </w:r>
            <w:r>
              <w:rPr>
                <w:rFonts w:ascii="Arial" w:hAnsi="Arial" w:cs="Arial"/>
                <w:sz w:val="20"/>
              </w:rPr>
              <w:t>rustee</w:t>
            </w:r>
            <w:r w:rsidR="00D82031">
              <w:rPr>
                <w:rFonts w:ascii="Arial" w:hAnsi="Arial" w:cs="Arial"/>
                <w:sz w:val="20"/>
              </w:rPr>
              <w:t>”</w:t>
            </w:r>
            <w:r>
              <w:rPr>
                <w:rFonts w:ascii="Arial" w:hAnsi="Arial" w:cs="Arial"/>
                <w:sz w:val="20"/>
              </w:rPr>
              <w:t xml:space="preserve"> (defined in Rule 1.2.3 as a trustee of a trust). </w:t>
            </w:r>
          </w:p>
        </w:tc>
        <w:tc>
          <w:tcPr>
            <w:tcW w:w="0" w:type="auto"/>
            <w:tcBorders>
              <w:top w:val="single" w:sz="4" w:space="0" w:color="999999"/>
              <w:left w:val="nil"/>
              <w:bottom w:val="single" w:sz="4" w:space="0" w:color="999999"/>
              <w:right w:val="nil"/>
            </w:tcBorders>
            <w:hideMark/>
          </w:tcPr>
          <w:p w14:paraId="69B86309" w14:textId="026B3CBA" w:rsidR="0030766A" w:rsidRPr="0077760F" w:rsidRDefault="0030766A" w:rsidP="003C77E7">
            <w:pPr>
              <w:tabs>
                <w:tab w:val="num" w:pos="1276"/>
              </w:tabs>
              <w:rPr>
                <w:rFonts w:ascii="Arial" w:hAnsi="Arial" w:cs="Arial"/>
                <w:sz w:val="20"/>
              </w:rPr>
            </w:pPr>
            <w:r w:rsidRPr="0077760F">
              <w:rPr>
                <w:rFonts w:ascii="Arial" w:hAnsi="Arial" w:cs="Arial"/>
                <w:sz w:val="20"/>
              </w:rPr>
              <w:t xml:space="preserve">Entry into, modification, </w:t>
            </w:r>
            <w:proofErr w:type="gramStart"/>
            <w:r w:rsidRPr="0077760F">
              <w:rPr>
                <w:rFonts w:ascii="Arial" w:hAnsi="Arial" w:cs="Arial"/>
                <w:sz w:val="20"/>
              </w:rPr>
              <w:t>termination</w:t>
            </w:r>
            <w:proofErr w:type="gramEnd"/>
            <w:r w:rsidRPr="0077760F">
              <w:rPr>
                <w:rFonts w:ascii="Arial" w:hAnsi="Arial" w:cs="Arial"/>
                <w:sz w:val="20"/>
              </w:rPr>
              <w:t xml:space="preserve"> or assignment of an OTC </w:t>
            </w:r>
            <w:r w:rsidR="00214B43">
              <w:rPr>
                <w:rFonts w:ascii="Arial" w:hAnsi="Arial" w:cs="Arial"/>
                <w:sz w:val="20"/>
              </w:rPr>
              <w:t>d</w:t>
            </w:r>
            <w:r w:rsidRPr="0077760F">
              <w:rPr>
                <w:rFonts w:ascii="Arial" w:hAnsi="Arial" w:cs="Arial"/>
                <w:sz w:val="20"/>
              </w:rPr>
              <w:t>erivative</w:t>
            </w:r>
            <w:r>
              <w:rPr>
                <w:rFonts w:ascii="Arial" w:hAnsi="Arial" w:cs="Arial"/>
                <w:sz w:val="20"/>
              </w:rPr>
              <w:t xml:space="preserve"> </w:t>
            </w:r>
            <w:r w:rsidRPr="0077760F">
              <w:rPr>
                <w:rFonts w:ascii="Arial" w:hAnsi="Arial" w:cs="Arial"/>
                <w:sz w:val="20"/>
              </w:rPr>
              <w:t xml:space="preserve">in the RE or </w:t>
            </w:r>
            <w:r w:rsidR="00214B43">
              <w:rPr>
                <w:rFonts w:ascii="Arial" w:hAnsi="Arial" w:cs="Arial"/>
                <w:sz w:val="20"/>
              </w:rPr>
              <w:t>t</w:t>
            </w:r>
            <w:r w:rsidRPr="0077760F">
              <w:rPr>
                <w:rFonts w:ascii="Arial" w:hAnsi="Arial" w:cs="Arial"/>
                <w:sz w:val="20"/>
              </w:rPr>
              <w:t xml:space="preserve">rustee’s capacity as RE or </w:t>
            </w:r>
            <w:r w:rsidR="00214B43">
              <w:rPr>
                <w:rFonts w:ascii="Arial" w:hAnsi="Arial" w:cs="Arial"/>
                <w:sz w:val="20"/>
              </w:rPr>
              <w:t>t</w:t>
            </w:r>
            <w:r w:rsidRPr="0077760F">
              <w:rPr>
                <w:rFonts w:ascii="Arial" w:hAnsi="Arial" w:cs="Arial"/>
                <w:sz w:val="20"/>
              </w:rPr>
              <w:t xml:space="preserve">rustee of an Australian </w:t>
            </w:r>
            <w:r w:rsidR="00214B43">
              <w:rPr>
                <w:rFonts w:ascii="Arial" w:hAnsi="Arial" w:cs="Arial"/>
                <w:sz w:val="20"/>
              </w:rPr>
              <w:t>e</w:t>
            </w:r>
            <w:r w:rsidRPr="0077760F">
              <w:rPr>
                <w:rFonts w:ascii="Arial" w:hAnsi="Arial" w:cs="Arial"/>
                <w:sz w:val="20"/>
              </w:rPr>
              <w:t>ntity</w:t>
            </w:r>
            <w:r w:rsidR="00E647AA">
              <w:rPr>
                <w:rFonts w:ascii="Arial" w:hAnsi="Arial" w:cs="Arial"/>
                <w:sz w:val="20"/>
              </w:rPr>
              <w:t>.</w:t>
            </w:r>
          </w:p>
        </w:tc>
      </w:tr>
    </w:tbl>
    <w:p w14:paraId="186177DE" w14:textId="1CA31545" w:rsidR="000B251F" w:rsidRDefault="000B251F" w:rsidP="00091619">
      <w:pPr>
        <w:pStyle w:val="LI-BodyTextParaa"/>
        <w:numPr>
          <w:ilvl w:val="0"/>
          <w:numId w:val="2"/>
        </w:numPr>
        <w:rPr>
          <w:bCs/>
        </w:rPr>
      </w:pPr>
      <w:bookmarkStart w:id="12" w:name="_Hlk119497016"/>
      <w:bookmarkStart w:id="13" w:name="_Hlk119673815"/>
      <w:r>
        <w:rPr>
          <w:bCs/>
        </w:rPr>
        <w:t xml:space="preserve">Regulation 7.5A.50 of the </w:t>
      </w:r>
      <w:r w:rsidRPr="00F43554">
        <w:rPr>
          <w:bCs/>
        </w:rPr>
        <w:t>Corporations Regulations</w:t>
      </w:r>
      <w:r w:rsidRPr="00AE360F">
        <w:rPr>
          <w:bCs/>
          <w:i/>
          <w:iCs/>
        </w:rPr>
        <w:t xml:space="preserve"> </w:t>
      </w:r>
      <w:r>
        <w:rPr>
          <w:bCs/>
        </w:rPr>
        <w:t xml:space="preserve">precludes derivative transaction rules being imposed upon </w:t>
      </w:r>
      <w:r w:rsidR="00D82031">
        <w:rPr>
          <w:bCs/>
        </w:rPr>
        <w:t>“</w:t>
      </w:r>
      <w:r>
        <w:rPr>
          <w:bCs/>
        </w:rPr>
        <w:t>end users</w:t>
      </w:r>
      <w:r w:rsidR="00D82031">
        <w:rPr>
          <w:bCs/>
        </w:rPr>
        <w:t>”</w:t>
      </w:r>
      <w:r>
        <w:rPr>
          <w:bCs/>
        </w:rPr>
        <w:t>, defined as persons who are not:</w:t>
      </w:r>
    </w:p>
    <w:p w14:paraId="44B7C644" w14:textId="2D355B38" w:rsidR="006E5992" w:rsidRDefault="000B251F" w:rsidP="00091619">
      <w:pPr>
        <w:pStyle w:val="LI-BodyTextParaa"/>
        <w:numPr>
          <w:ilvl w:val="1"/>
          <w:numId w:val="2"/>
        </w:numPr>
        <w:rPr>
          <w:bCs/>
        </w:rPr>
      </w:pPr>
      <w:r w:rsidRPr="00122B80">
        <w:rPr>
          <w:bCs/>
        </w:rPr>
        <w:t xml:space="preserve">Australian </w:t>
      </w:r>
      <w:proofErr w:type="spellStart"/>
      <w:r w:rsidRPr="00122B80">
        <w:rPr>
          <w:bCs/>
        </w:rPr>
        <w:t>ADI</w:t>
      </w:r>
      <w:r>
        <w:rPr>
          <w:bCs/>
        </w:rPr>
        <w:t>s</w:t>
      </w:r>
      <w:proofErr w:type="spellEnd"/>
      <w:r w:rsidR="00C25F1E">
        <w:rPr>
          <w:bCs/>
        </w:rPr>
        <w:t>;</w:t>
      </w:r>
      <w:r w:rsidR="006E5992">
        <w:rPr>
          <w:bCs/>
        </w:rPr>
        <w:t xml:space="preserve"> or</w:t>
      </w:r>
    </w:p>
    <w:p w14:paraId="6E404D0C" w14:textId="7CE16ECC" w:rsidR="000B251F" w:rsidRDefault="000B251F" w:rsidP="00091619">
      <w:pPr>
        <w:pStyle w:val="LI-BodyTextParaa"/>
        <w:numPr>
          <w:ilvl w:val="1"/>
          <w:numId w:val="2"/>
        </w:numPr>
        <w:rPr>
          <w:bCs/>
        </w:rPr>
      </w:pPr>
      <w:r>
        <w:rPr>
          <w:bCs/>
        </w:rPr>
        <w:t xml:space="preserve">CS facility </w:t>
      </w:r>
      <w:proofErr w:type="gramStart"/>
      <w:r>
        <w:rPr>
          <w:bCs/>
        </w:rPr>
        <w:t>licensees;</w:t>
      </w:r>
      <w:proofErr w:type="gramEnd"/>
    </w:p>
    <w:p w14:paraId="428A1D18" w14:textId="5256D80A" w:rsidR="000B251F" w:rsidRDefault="000B251F" w:rsidP="00091619">
      <w:pPr>
        <w:pStyle w:val="LI-BodyTextParaa"/>
        <w:numPr>
          <w:ilvl w:val="1"/>
          <w:numId w:val="2"/>
        </w:numPr>
        <w:rPr>
          <w:bCs/>
        </w:rPr>
      </w:pPr>
      <w:r>
        <w:rPr>
          <w:bCs/>
        </w:rPr>
        <w:t>AFS licensees</w:t>
      </w:r>
      <w:r w:rsidR="00242FF0">
        <w:rPr>
          <w:bCs/>
        </w:rPr>
        <w:t xml:space="preserve">; </w:t>
      </w:r>
      <w:r w:rsidR="006E5992">
        <w:rPr>
          <w:bCs/>
        </w:rPr>
        <w:t>or</w:t>
      </w:r>
    </w:p>
    <w:p w14:paraId="7E8D2E5C" w14:textId="60299ADB" w:rsidR="00242FF0" w:rsidRDefault="00104B07" w:rsidP="00091619">
      <w:pPr>
        <w:pStyle w:val="LI-BodyTextParaa"/>
        <w:numPr>
          <w:ilvl w:val="1"/>
          <w:numId w:val="2"/>
        </w:numPr>
        <w:rPr>
          <w:bCs/>
        </w:rPr>
      </w:pPr>
      <w:r>
        <w:rPr>
          <w:bCs/>
        </w:rPr>
        <w:t xml:space="preserve">persons </w:t>
      </w:r>
      <w:r w:rsidRPr="00122B80">
        <w:rPr>
          <w:bCs/>
        </w:rPr>
        <w:t>who, in this jurisdiction, provides financial services relating to derivatives to wholesale clients only and</w:t>
      </w:r>
      <w:r>
        <w:rPr>
          <w:bCs/>
        </w:rPr>
        <w:t xml:space="preserve"> </w:t>
      </w:r>
      <w:r w:rsidRPr="00122B80">
        <w:rPr>
          <w:bCs/>
        </w:rPr>
        <w:t>whose activities, relating to derivatives, are regulated by an overseas regulatory authority</w:t>
      </w:r>
      <w:r w:rsidR="004A0CB5">
        <w:rPr>
          <w:bCs/>
        </w:rPr>
        <w:t>.</w:t>
      </w:r>
    </w:p>
    <w:bookmarkEnd w:id="12"/>
    <w:p w14:paraId="2D30DC12" w14:textId="5B3FD652" w:rsidR="00CF582B" w:rsidRPr="00842559" w:rsidRDefault="00A76349" w:rsidP="00091619">
      <w:pPr>
        <w:pStyle w:val="LI-BodyTextParaa"/>
        <w:numPr>
          <w:ilvl w:val="0"/>
          <w:numId w:val="2"/>
        </w:numPr>
      </w:pPr>
      <w:r>
        <w:lastRenderedPageBreak/>
        <w:t>P</w:t>
      </w:r>
      <w:r w:rsidR="00C566B8">
        <w:t xml:space="preserve">aragraph (2A) </w:t>
      </w:r>
      <w:r w:rsidR="00056C0E">
        <w:t xml:space="preserve">of </w:t>
      </w:r>
      <w:r w:rsidR="00056C0E">
        <w:rPr>
          <w:bCs/>
        </w:rPr>
        <w:t>Regulation 7.5A.50</w:t>
      </w:r>
      <w:r w:rsidR="00EF160B">
        <w:rPr>
          <w:bCs/>
        </w:rPr>
        <w:t xml:space="preserve">, </w:t>
      </w:r>
      <w:r>
        <w:rPr>
          <w:bCs/>
        </w:rPr>
        <w:t xml:space="preserve">also precludes </w:t>
      </w:r>
      <w:r w:rsidR="00EF160B">
        <w:rPr>
          <w:bCs/>
        </w:rPr>
        <w:t>the</w:t>
      </w:r>
      <w:r w:rsidR="00056C0E">
        <w:rPr>
          <w:bCs/>
        </w:rPr>
        <w:t xml:space="preserve"> derivative transaction rule</w:t>
      </w:r>
      <w:r w:rsidR="00EF160B">
        <w:rPr>
          <w:bCs/>
        </w:rPr>
        <w:t xml:space="preserve">s </w:t>
      </w:r>
      <w:r>
        <w:rPr>
          <w:bCs/>
        </w:rPr>
        <w:t>from imposing</w:t>
      </w:r>
      <w:r w:rsidR="00A86A31">
        <w:rPr>
          <w:bCs/>
        </w:rPr>
        <w:t xml:space="preserve"> requirements relating to a class of derivatives on AFS licensees</w:t>
      </w:r>
      <w:r w:rsidR="00842559">
        <w:rPr>
          <w:bCs/>
        </w:rPr>
        <w:t>:</w:t>
      </w:r>
    </w:p>
    <w:p w14:paraId="2B0B3A80" w14:textId="5FCDB94A" w:rsidR="00842559" w:rsidRPr="00B22D05" w:rsidRDefault="00842559" w:rsidP="00842559">
      <w:pPr>
        <w:pStyle w:val="LI-BodyTextParaa"/>
        <w:numPr>
          <w:ilvl w:val="1"/>
          <w:numId w:val="2"/>
        </w:numPr>
      </w:pPr>
      <w:r>
        <w:rPr>
          <w:bCs/>
        </w:rPr>
        <w:t xml:space="preserve">who are taken not to be end users only because </w:t>
      </w:r>
      <w:r w:rsidR="00865FA6">
        <w:rPr>
          <w:bCs/>
        </w:rPr>
        <w:t xml:space="preserve">they are an </w:t>
      </w:r>
      <w:r w:rsidR="00B22D05">
        <w:rPr>
          <w:bCs/>
        </w:rPr>
        <w:t xml:space="preserve">AFS licensee; </w:t>
      </w:r>
      <w:proofErr w:type="gramStart"/>
      <w:r w:rsidR="00B22D05">
        <w:rPr>
          <w:bCs/>
        </w:rPr>
        <w:t>and</w:t>
      </w:r>
      <w:proofErr w:type="gramEnd"/>
    </w:p>
    <w:p w14:paraId="2153DEDB" w14:textId="40A758E5" w:rsidR="00B22D05" w:rsidRPr="003F1B14" w:rsidRDefault="00B22D05" w:rsidP="00AE360F">
      <w:pPr>
        <w:pStyle w:val="LI-BodyTextParaa"/>
        <w:numPr>
          <w:ilvl w:val="1"/>
          <w:numId w:val="2"/>
        </w:numPr>
      </w:pPr>
      <w:r w:rsidRPr="003F1B14">
        <w:rPr>
          <w:bCs/>
        </w:rPr>
        <w:t>whose AFS licence does not authoris</w:t>
      </w:r>
      <w:r w:rsidR="000C7075" w:rsidRPr="003F1B14">
        <w:rPr>
          <w:bCs/>
        </w:rPr>
        <w:t>e t</w:t>
      </w:r>
      <w:r w:rsidR="009560F5" w:rsidRPr="003F1B14">
        <w:rPr>
          <w:bCs/>
        </w:rPr>
        <w:t xml:space="preserve">hem </w:t>
      </w:r>
      <w:r w:rsidR="000D12F0" w:rsidRPr="003F1B14">
        <w:rPr>
          <w:bCs/>
        </w:rPr>
        <w:t xml:space="preserve">to provide financial services in relation to that class </w:t>
      </w:r>
      <w:r w:rsidR="00D17ACF" w:rsidRPr="003F1B14">
        <w:rPr>
          <w:bCs/>
        </w:rPr>
        <w:t xml:space="preserve">of </w:t>
      </w:r>
      <w:r w:rsidR="000D12F0" w:rsidRPr="003F1B14">
        <w:rPr>
          <w:bCs/>
        </w:rPr>
        <w:t>derivatives</w:t>
      </w:r>
      <w:r w:rsidR="005A1F9D" w:rsidRPr="003F1B14">
        <w:rPr>
          <w:bCs/>
        </w:rPr>
        <w:t>.</w:t>
      </w:r>
    </w:p>
    <w:p w14:paraId="7EDD0F94" w14:textId="5654C80F" w:rsidR="00A76349" w:rsidRDefault="00A76349" w:rsidP="00F47F1C">
      <w:pPr>
        <w:pStyle w:val="LI-BodyTextParaa"/>
        <w:numPr>
          <w:ilvl w:val="0"/>
          <w:numId w:val="2"/>
        </w:numPr>
      </w:pPr>
      <w:r>
        <w:t xml:space="preserve">The 2022 Rules do not impose requirements on end users, or AFS licensees which are captured by paragraph (2A). </w:t>
      </w:r>
    </w:p>
    <w:bookmarkEnd w:id="13"/>
    <w:p w14:paraId="5F803659" w14:textId="713B83D9" w:rsidR="0030766A" w:rsidRPr="00AE360F" w:rsidRDefault="0082213C" w:rsidP="00091619">
      <w:pPr>
        <w:pStyle w:val="LI-BodyTextParaa"/>
        <w:numPr>
          <w:ilvl w:val="0"/>
          <w:numId w:val="2"/>
        </w:numPr>
      </w:pPr>
      <w:r w:rsidRPr="00AE360F">
        <w:t>In addition</w:t>
      </w:r>
      <w:r w:rsidR="00182D44" w:rsidRPr="00AE360F">
        <w:t xml:space="preserve">, </w:t>
      </w:r>
      <w:r w:rsidR="00FE78E2" w:rsidRPr="00AE360F">
        <w:t>in Table S1.1</w:t>
      </w:r>
      <w:r w:rsidR="00BC6998" w:rsidRPr="00AE360F">
        <w:t>: Transaction Reporting Requirements</w:t>
      </w:r>
      <w:r w:rsidR="004B4B3A" w:rsidRPr="00AE360F">
        <w:t xml:space="preserve"> </w:t>
      </w:r>
      <w:r w:rsidR="00EB058F" w:rsidRPr="00AE360F">
        <w:t xml:space="preserve">a </w:t>
      </w:r>
      <w:r w:rsidR="004D7EBA" w:rsidRPr="00AE360F">
        <w:t>t</w:t>
      </w:r>
      <w:r w:rsidR="00EB058F" w:rsidRPr="00AE360F">
        <w:t xml:space="preserve">ransaction </w:t>
      </w:r>
      <w:r w:rsidR="004D7EBA" w:rsidRPr="00AE360F">
        <w:t>r</w:t>
      </w:r>
      <w:r w:rsidR="001342B9" w:rsidRPr="00AE360F">
        <w:t xml:space="preserve">eporting </w:t>
      </w:r>
      <w:r w:rsidR="004D7EBA" w:rsidRPr="00AE360F">
        <w:t>r</w:t>
      </w:r>
      <w:r w:rsidR="001342B9" w:rsidRPr="00AE360F">
        <w:t xml:space="preserve">equirement </w:t>
      </w:r>
      <w:r w:rsidR="00913A15" w:rsidRPr="00AE360F">
        <w:t>is</w:t>
      </w:r>
      <w:r w:rsidR="005A7CCA" w:rsidRPr="00AE360F">
        <w:t xml:space="preserve"> not specified for </w:t>
      </w:r>
      <w:r w:rsidR="00655047" w:rsidRPr="00AE360F">
        <w:t xml:space="preserve">a foreign subsidiary of an Australian </w:t>
      </w:r>
      <w:r w:rsidR="002E01B3">
        <w:t>e</w:t>
      </w:r>
      <w:r w:rsidR="00655047" w:rsidRPr="00AE360F">
        <w:t>ntity</w:t>
      </w:r>
      <w:r w:rsidR="00C819BC" w:rsidRPr="00AE360F">
        <w:t xml:space="preserve">. </w:t>
      </w:r>
      <w:r w:rsidR="00DA1C61" w:rsidRPr="00AE360F">
        <w:t>For foreign entities</w:t>
      </w:r>
      <w:r w:rsidR="00673209" w:rsidRPr="00AE360F">
        <w:t>, Table S1.1 only specif</w:t>
      </w:r>
      <w:r w:rsidR="00B11AD3" w:rsidRPr="00AE360F">
        <w:t xml:space="preserve">ies </w:t>
      </w:r>
      <w:r w:rsidR="00673209" w:rsidRPr="00AE360F">
        <w:t>a</w:t>
      </w:r>
      <w:r w:rsidR="00670CCB" w:rsidRPr="00AE360F">
        <w:t xml:space="preserve"> </w:t>
      </w:r>
      <w:r w:rsidR="00E63FE6" w:rsidRPr="00AE360F">
        <w:t>t</w:t>
      </w:r>
      <w:r w:rsidR="00DA1C61" w:rsidRPr="00AE360F">
        <w:t xml:space="preserve">ransaction </w:t>
      </w:r>
      <w:r w:rsidR="00E63FE6" w:rsidRPr="00AE360F">
        <w:t>r</w:t>
      </w:r>
      <w:r w:rsidR="00DA1C61" w:rsidRPr="00AE360F">
        <w:t xml:space="preserve">eporting </w:t>
      </w:r>
      <w:r w:rsidR="00E63FE6" w:rsidRPr="00AE360F">
        <w:t>r</w:t>
      </w:r>
      <w:r w:rsidR="00DA1C61" w:rsidRPr="00AE360F">
        <w:t xml:space="preserve">equirement </w:t>
      </w:r>
      <w:r w:rsidR="00D94C22" w:rsidRPr="00AE360F">
        <w:t xml:space="preserve">for </w:t>
      </w:r>
      <w:r w:rsidR="00221A80" w:rsidRPr="00AE360F">
        <w:t xml:space="preserve">a </w:t>
      </w:r>
      <w:r w:rsidR="002E01B3">
        <w:t>f</w:t>
      </w:r>
      <w:r w:rsidR="00221A80" w:rsidRPr="00AE360F">
        <w:t xml:space="preserve">oreign ADI </w:t>
      </w:r>
      <w:r w:rsidR="002E275A" w:rsidRPr="00AE360F">
        <w:t xml:space="preserve">and an </w:t>
      </w:r>
      <w:r w:rsidR="00E63FE6" w:rsidRPr="00AE360F">
        <w:t>e</w:t>
      </w:r>
      <w:r w:rsidR="002E275A" w:rsidRPr="00AE360F">
        <w:t xml:space="preserve">xempt </w:t>
      </w:r>
      <w:r w:rsidR="00E63FE6" w:rsidRPr="00AE360F">
        <w:t>f</w:t>
      </w:r>
      <w:r w:rsidR="007E7EED" w:rsidRPr="00AE360F">
        <w:t xml:space="preserve">oreign </w:t>
      </w:r>
      <w:r w:rsidR="00E63FE6" w:rsidRPr="00AE360F">
        <w:t>l</w:t>
      </w:r>
      <w:r w:rsidR="007E7EED" w:rsidRPr="00AE360F">
        <w:t xml:space="preserve">icensee </w:t>
      </w:r>
      <w:r w:rsidR="008F45CC" w:rsidRPr="00AE360F">
        <w:t xml:space="preserve">(both of whom are </w:t>
      </w:r>
      <w:r w:rsidR="00D50A9C" w:rsidRPr="00AE360F">
        <w:t xml:space="preserve">generally </w:t>
      </w:r>
      <w:r w:rsidR="008F45CC" w:rsidRPr="00AE360F">
        <w:t xml:space="preserve">required to be registered under Division 2 of Part 5B.2 of the </w:t>
      </w:r>
      <w:r w:rsidR="004D7EBA" w:rsidRPr="00AE360F">
        <w:t xml:space="preserve">Corporations </w:t>
      </w:r>
      <w:r w:rsidR="008F45CC" w:rsidRPr="00AE360F">
        <w:t>Act</w:t>
      </w:r>
      <w:r w:rsidR="00D50A9C" w:rsidRPr="00AE360F">
        <w:t>)</w:t>
      </w:r>
      <w:r w:rsidR="00221A80" w:rsidRPr="00AE360F">
        <w:t>.</w:t>
      </w:r>
    </w:p>
    <w:p w14:paraId="38711E70" w14:textId="28AE05BF" w:rsidR="00E301FC" w:rsidRPr="00555AB9" w:rsidRDefault="00A07983" w:rsidP="00091619">
      <w:pPr>
        <w:pStyle w:val="LI-BodyTextParaa"/>
        <w:numPr>
          <w:ilvl w:val="0"/>
          <w:numId w:val="2"/>
        </w:numPr>
        <w:rPr>
          <w:sz w:val="23"/>
          <w:szCs w:val="23"/>
        </w:rPr>
      </w:pPr>
      <w:r>
        <w:rPr>
          <w:iCs/>
        </w:rPr>
        <w:t xml:space="preserve">As at the date that the </w:t>
      </w:r>
      <w:r w:rsidR="004D7EBA">
        <w:rPr>
          <w:iCs/>
        </w:rPr>
        <w:t xml:space="preserve">2022 </w:t>
      </w:r>
      <w:r>
        <w:rPr>
          <w:iCs/>
        </w:rPr>
        <w:t xml:space="preserve">Rules are made, </w:t>
      </w:r>
      <w:r w:rsidR="00095EA3" w:rsidRPr="00FB58AF">
        <w:rPr>
          <w:iCs/>
        </w:rPr>
        <w:t xml:space="preserve">ADI </w:t>
      </w:r>
      <w:r w:rsidR="00472CA3">
        <w:rPr>
          <w:iCs/>
        </w:rPr>
        <w:t>F</w:t>
      </w:r>
      <w:r w:rsidR="00095EA3" w:rsidRPr="00FB58AF">
        <w:rPr>
          <w:iCs/>
        </w:rPr>
        <w:t>oreign Subsidiaries</w:t>
      </w:r>
      <w:r w:rsidR="00472CA3">
        <w:rPr>
          <w:iCs/>
        </w:rPr>
        <w:t xml:space="preserve"> </w:t>
      </w:r>
      <w:r w:rsidR="00095EA3" w:rsidRPr="00FB58AF">
        <w:rPr>
          <w:iCs/>
        </w:rPr>
        <w:t xml:space="preserve">Exemption </w:t>
      </w:r>
      <w:r w:rsidR="005216CF">
        <w:rPr>
          <w:iCs/>
        </w:rPr>
        <w:t xml:space="preserve">further clarifies that a </w:t>
      </w:r>
      <w:r w:rsidR="00F5148D">
        <w:rPr>
          <w:iCs/>
        </w:rPr>
        <w:t xml:space="preserve">foreign subsidiary of an Australian ADI </w:t>
      </w:r>
      <w:r w:rsidR="00657E97">
        <w:rPr>
          <w:iCs/>
        </w:rPr>
        <w:t xml:space="preserve">is </w:t>
      </w:r>
      <w:r w:rsidR="00FB66E7">
        <w:rPr>
          <w:iCs/>
        </w:rPr>
        <w:t xml:space="preserve">only </w:t>
      </w:r>
      <w:r w:rsidR="00657E97">
        <w:rPr>
          <w:iCs/>
        </w:rPr>
        <w:t xml:space="preserve">required to report a </w:t>
      </w:r>
      <w:r w:rsidR="00E63FE6" w:rsidRPr="00AE360F">
        <w:rPr>
          <w:iCs/>
        </w:rPr>
        <w:t>d</w:t>
      </w:r>
      <w:r w:rsidR="001710DC" w:rsidRPr="00AE360F">
        <w:rPr>
          <w:iCs/>
        </w:rPr>
        <w:t xml:space="preserve">erivative </w:t>
      </w:r>
      <w:r w:rsidR="00E63FE6" w:rsidRPr="00AE360F">
        <w:rPr>
          <w:iCs/>
        </w:rPr>
        <w:t>t</w:t>
      </w:r>
      <w:r w:rsidR="001710DC" w:rsidRPr="00AE360F">
        <w:rPr>
          <w:iCs/>
        </w:rPr>
        <w:t xml:space="preserve">ransaction in an OTC </w:t>
      </w:r>
      <w:r w:rsidR="002E01B3" w:rsidRPr="00AE360F">
        <w:rPr>
          <w:iCs/>
        </w:rPr>
        <w:t>d</w:t>
      </w:r>
      <w:r w:rsidR="001710DC" w:rsidRPr="00AE360F">
        <w:rPr>
          <w:iCs/>
        </w:rPr>
        <w:t>erivative</w:t>
      </w:r>
      <w:r w:rsidR="00657E97">
        <w:rPr>
          <w:iCs/>
        </w:rPr>
        <w:t xml:space="preserve"> </w:t>
      </w:r>
      <w:r w:rsidR="005C5F5F">
        <w:rPr>
          <w:iCs/>
        </w:rPr>
        <w:t xml:space="preserve">which </w:t>
      </w:r>
      <w:r w:rsidR="007D6B36">
        <w:rPr>
          <w:iCs/>
        </w:rPr>
        <w:t xml:space="preserve">is </w:t>
      </w:r>
      <w:r w:rsidR="007D6B36" w:rsidRPr="00AE360F">
        <w:rPr>
          <w:iCs/>
        </w:rPr>
        <w:t>booked to the profit and loss account of a branch of th</w:t>
      </w:r>
      <w:r w:rsidR="00A74A1A" w:rsidRPr="00AE360F">
        <w:rPr>
          <w:iCs/>
        </w:rPr>
        <w:t>at entity lo</w:t>
      </w:r>
      <w:r w:rsidR="007D6B36" w:rsidRPr="00AE360F">
        <w:rPr>
          <w:iCs/>
        </w:rPr>
        <w:t>cated in this jurisdiction</w:t>
      </w:r>
      <w:r w:rsidR="007D6B36">
        <w:rPr>
          <w:iCs/>
        </w:rPr>
        <w:t xml:space="preserve"> </w:t>
      </w:r>
      <w:r w:rsidR="00A74A1A">
        <w:rPr>
          <w:iCs/>
        </w:rPr>
        <w:t xml:space="preserve">or that </w:t>
      </w:r>
      <w:r w:rsidR="005C5F5F">
        <w:rPr>
          <w:iCs/>
        </w:rPr>
        <w:t xml:space="preserve">has a </w:t>
      </w:r>
      <w:r w:rsidR="002150A7">
        <w:rPr>
          <w:iCs/>
        </w:rPr>
        <w:t>“</w:t>
      </w:r>
      <w:r w:rsidR="005C5F5F">
        <w:rPr>
          <w:iCs/>
        </w:rPr>
        <w:t>sales or trader</w:t>
      </w:r>
      <w:r w:rsidR="00A74A1A">
        <w:rPr>
          <w:iCs/>
        </w:rPr>
        <w:t xml:space="preserve"> nexus</w:t>
      </w:r>
      <w:r w:rsidR="002150A7">
        <w:rPr>
          <w:iCs/>
        </w:rPr>
        <w:t>”</w:t>
      </w:r>
      <w:r w:rsidR="00A74A1A">
        <w:rPr>
          <w:iCs/>
        </w:rPr>
        <w:t xml:space="preserve"> </w:t>
      </w:r>
      <w:r w:rsidR="00D73432">
        <w:rPr>
          <w:iCs/>
        </w:rPr>
        <w:t>with Australia.</w:t>
      </w:r>
    </w:p>
    <w:p w14:paraId="7F34795A" w14:textId="13B119FC" w:rsidR="00555AB9" w:rsidRPr="00014895" w:rsidRDefault="0001606A" w:rsidP="00091619">
      <w:pPr>
        <w:pStyle w:val="LI-BodyTextParaa"/>
        <w:numPr>
          <w:ilvl w:val="0"/>
          <w:numId w:val="2"/>
        </w:numPr>
        <w:rPr>
          <w:iCs/>
        </w:rPr>
      </w:pPr>
      <w:r w:rsidRPr="00014895">
        <w:rPr>
          <w:iCs/>
        </w:rPr>
        <w:t xml:space="preserve">Also, as at the date that the </w:t>
      </w:r>
      <w:r w:rsidR="00E63FE6">
        <w:rPr>
          <w:iCs/>
        </w:rPr>
        <w:t xml:space="preserve">2022 </w:t>
      </w:r>
      <w:r w:rsidRPr="00014895">
        <w:rPr>
          <w:iCs/>
        </w:rPr>
        <w:t>Rules are made</w:t>
      </w:r>
      <w:r w:rsidR="00014895" w:rsidRPr="00014895">
        <w:rPr>
          <w:iCs/>
        </w:rPr>
        <w:t xml:space="preserve">, </w:t>
      </w:r>
      <w:hyperlink r:id="rId19" w:history="1">
        <w:r w:rsidR="00EA41ED">
          <w:rPr>
            <w:iCs/>
          </w:rPr>
          <w:t>the</w:t>
        </w:r>
      </w:hyperlink>
      <w:r w:rsidR="00EA41ED">
        <w:rPr>
          <w:iCs/>
        </w:rPr>
        <w:t xml:space="preserve"> Nexus </w:t>
      </w:r>
      <w:r w:rsidR="00472CA3">
        <w:rPr>
          <w:iCs/>
        </w:rPr>
        <w:t>E</w:t>
      </w:r>
      <w:r w:rsidR="00EA41ED">
        <w:rPr>
          <w:iCs/>
        </w:rPr>
        <w:t>xemption</w:t>
      </w:r>
      <w:r w:rsidR="00FA2B4E" w:rsidRPr="00014895">
        <w:rPr>
          <w:iCs/>
        </w:rPr>
        <w:t xml:space="preserve"> </w:t>
      </w:r>
      <w:r w:rsidR="00D96B2B" w:rsidRPr="00014895">
        <w:rPr>
          <w:iCs/>
        </w:rPr>
        <w:t>p</w:t>
      </w:r>
      <w:r w:rsidR="00F01F21" w:rsidRPr="00014895">
        <w:rPr>
          <w:iCs/>
        </w:rPr>
        <w:t xml:space="preserve">rovides that foreign </w:t>
      </w:r>
      <w:r w:rsidR="00925EAC">
        <w:rPr>
          <w:iCs/>
        </w:rPr>
        <w:t>r</w:t>
      </w:r>
      <w:r w:rsidR="00F01F21" w:rsidRPr="00014895">
        <w:rPr>
          <w:iCs/>
        </w:rPr>
        <w:t xml:space="preserve">eporting </w:t>
      </w:r>
      <w:r w:rsidR="00925EAC">
        <w:rPr>
          <w:iCs/>
        </w:rPr>
        <w:t>e</w:t>
      </w:r>
      <w:r w:rsidR="00F01F21" w:rsidRPr="00014895">
        <w:rPr>
          <w:iCs/>
        </w:rPr>
        <w:t xml:space="preserve">ntities may opt in to applying a </w:t>
      </w:r>
      <w:r w:rsidR="002150A7">
        <w:rPr>
          <w:iCs/>
        </w:rPr>
        <w:t>“</w:t>
      </w:r>
      <w:r w:rsidR="00F01F21" w:rsidRPr="00014895">
        <w:rPr>
          <w:iCs/>
        </w:rPr>
        <w:t xml:space="preserve">sales or trader </w:t>
      </w:r>
      <w:r w:rsidR="00FA2B4E" w:rsidRPr="00014895">
        <w:rPr>
          <w:iCs/>
        </w:rPr>
        <w:t>nexus</w:t>
      </w:r>
      <w:r w:rsidR="002150A7">
        <w:rPr>
          <w:iCs/>
        </w:rPr>
        <w:t>”</w:t>
      </w:r>
      <w:r w:rsidR="00F01F21" w:rsidRPr="00014895">
        <w:rPr>
          <w:iCs/>
        </w:rPr>
        <w:t xml:space="preserve"> test to the </w:t>
      </w:r>
      <w:r w:rsidR="002150A7">
        <w:rPr>
          <w:iCs/>
        </w:rPr>
        <w:t>“</w:t>
      </w:r>
      <w:r w:rsidR="00F01F21" w:rsidRPr="00014895">
        <w:rPr>
          <w:iCs/>
        </w:rPr>
        <w:t>entered into</w:t>
      </w:r>
      <w:r w:rsidR="002150A7">
        <w:rPr>
          <w:iCs/>
        </w:rPr>
        <w:t>”</w:t>
      </w:r>
      <w:r w:rsidR="00F01F21" w:rsidRPr="00014895">
        <w:rPr>
          <w:iCs/>
        </w:rPr>
        <w:t xml:space="preserve"> test to determine </w:t>
      </w:r>
      <w:r w:rsidR="00167733" w:rsidRPr="00014895">
        <w:rPr>
          <w:iCs/>
        </w:rPr>
        <w:t xml:space="preserve">the </w:t>
      </w:r>
      <w:r w:rsidR="00925EAC">
        <w:rPr>
          <w:iCs/>
        </w:rPr>
        <w:t>r</w:t>
      </w:r>
      <w:r w:rsidR="00167733" w:rsidRPr="00014895">
        <w:rPr>
          <w:iCs/>
        </w:rPr>
        <w:t xml:space="preserve">eportable </w:t>
      </w:r>
      <w:r w:rsidR="00925EAC">
        <w:rPr>
          <w:iCs/>
        </w:rPr>
        <w:t>t</w:t>
      </w:r>
      <w:r w:rsidR="00167733" w:rsidRPr="00014895">
        <w:rPr>
          <w:iCs/>
        </w:rPr>
        <w:t>ransactions that are required to be reported</w:t>
      </w:r>
      <w:r w:rsidR="00014895">
        <w:rPr>
          <w:iCs/>
        </w:rPr>
        <w:t>.</w:t>
      </w:r>
      <w:r w:rsidR="00A41F4E">
        <w:rPr>
          <w:iCs/>
        </w:rPr>
        <w:t xml:space="preserve"> </w:t>
      </w:r>
      <w:r w:rsidR="00EA68BA">
        <w:rPr>
          <w:iCs/>
        </w:rPr>
        <w:t xml:space="preserve">The </w:t>
      </w:r>
      <w:r w:rsidR="002150A7">
        <w:rPr>
          <w:iCs/>
        </w:rPr>
        <w:t>“</w:t>
      </w:r>
      <w:r w:rsidR="00EA68BA">
        <w:rPr>
          <w:iCs/>
        </w:rPr>
        <w:t>sales or trader nexus</w:t>
      </w:r>
      <w:r w:rsidR="002150A7">
        <w:rPr>
          <w:iCs/>
        </w:rPr>
        <w:t>”</w:t>
      </w:r>
      <w:r w:rsidR="00EA68BA">
        <w:rPr>
          <w:iCs/>
        </w:rPr>
        <w:t xml:space="preserve"> test would be satisfied where</w:t>
      </w:r>
      <w:r w:rsidR="00A41F4E">
        <w:rPr>
          <w:iCs/>
        </w:rPr>
        <w:t xml:space="preserve"> a </w:t>
      </w:r>
      <w:r w:rsidR="00925EAC">
        <w:rPr>
          <w:iCs/>
        </w:rPr>
        <w:t>r</w:t>
      </w:r>
      <w:r w:rsidR="00A41F4E">
        <w:rPr>
          <w:iCs/>
        </w:rPr>
        <w:t xml:space="preserve">eportable </w:t>
      </w:r>
      <w:r w:rsidR="00925EAC">
        <w:rPr>
          <w:iCs/>
        </w:rPr>
        <w:t>t</w:t>
      </w:r>
      <w:r w:rsidR="00A41F4E">
        <w:rPr>
          <w:iCs/>
        </w:rPr>
        <w:t xml:space="preserve">ransaction is entered into in this jurisdiction </w:t>
      </w:r>
      <w:r w:rsidR="00EA68BA">
        <w:rPr>
          <w:iCs/>
        </w:rPr>
        <w:t xml:space="preserve">and </w:t>
      </w:r>
      <w:r w:rsidR="00A41F4E">
        <w:rPr>
          <w:iCs/>
        </w:rPr>
        <w:t xml:space="preserve">functions such as, for example, pricing, </w:t>
      </w:r>
      <w:proofErr w:type="gramStart"/>
      <w:r w:rsidR="00A41F4E">
        <w:rPr>
          <w:iCs/>
        </w:rPr>
        <w:t>sales</w:t>
      </w:r>
      <w:proofErr w:type="gramEnd"/>
      <w:r w:rsidR="00A41F4E">
        <w:rPr>
          <w:iCs/>
        </w:rPr>
        <w:t xml:space="preserve"> or risk management are performed for the relevant reporting entity by a person in this jurisdiction.</w:t>
      </w:r>
    </w:p>
    <w:p w14:paraId="54B1E912" w14:textId="249EA8DE" w:rsidR="0030766A" w:rsidRPr="00AE360F" w:rsidRDefault="0030766A" w:rsidP="00091619">
      <w:pPr>
        <w:pStyle w:val="LI-BodyTextParaa"/>
        <w:numPr>
          <w:ilvl w:val="0"/>
          <w:numId w:val="2"/>
        </w:numPr>
      </w:pPr>
      <w:r w:rsidRPr="00AE360F">
        <w:t xml:space="preserve">It is noted that, under section 900A of the </w:t>
      </w:r>
      <w:r w:rsidR="00C822C7" w:rsidRPr="00AE360F">
        <w:t xml:space="preserve">Corporations </w:t>
      </w:r>
      <w:r w:rsidRPr="00AE360F">
        <w:t xml:space="preserve">Act, Part 7.5A of the </w:t>
      </w:r>
      <w:r w:rsidR="00C822C7">
        <w:t xml:space="preserve">Corporations </w:t>
      </w:r>
      <w:r w:rsidRPr="00AE360F">
        <w:t>Act applies to (among other things) derivatives, derivative transactions and persons located in or otherwise connected with Australia or a place outside Australia. Paragraph 1.96 of the Revised Explanatory Memorandum to the Corporations Legislation Amendment (Derivative Transactions) Bill 2012 notes with regard to section 900A:</w:t>
      </w:r>
    </w:p>
    <w:p w14:paraId="4847313A" w14:textId="77777777" w:rsidR="0030766A" w:rsidRPr="00AE360F" w:rsidRDefault="0030766A" w:rsidP="0030766A">
      <w:pPr>
        <w:tabs>
          <w:tab w:val="num" w:pos="1276"/>
        </w:tabs>
        <w:jc w:val="both"/>
        <w:rPr>
          <w:sz w:val="24"/>
          <w:szCs w:val="24"/>
        </w:rPr>
      </w:pPr>
    </w:p>
    <w:p w14:paraId="6E38682B" w14:textId="5A03EC05" w:rsidR="0030766A" w:rsidRPr="00AE360F" w:rsidRDefault="002150A7" w:rsidP="0030766A">
      <w:pPr>
        <w:tabs>
          <w:tab w:val="num" w:pos="1276"/>
        </w:tabs>
        <w:ind w:left="720"/>
        <w:jc w:val="both"/>
        <w:rPr>
          <w:sz w:val="24"/>
          <w:szCs w:val="24"/>
        </w:rPr>
      </w:pPr>
      <w:r>
        <w:rPr>
          <w:sz w:val="24"/>
          <w:szCs w:val="24"/>
          <w:lang w:val="en-GB"/>
        </w:rPr>
        <w:t>“</w:t>
      </w:r>
      <w:r w:rsidR="0030766A" w:rsidRPr="00AE360F">
        <w:rPr>
          <w:sz w:val="24"/>
          <w:szCs w:val="24"/>
          <w:lang w:val="en-GB"/>
        </w:rPr>
        <w:t>The broad territorial reach of the provision is required to ensure that ASIC is able to coordinate its rule</w:t>
      </w:r>
      <w:r w:rsidR="0030766A" w:rsidRPr="00AE360F">
        <w:rPr>
          <w:sz w:val="24"/>
          <w:szCs w:val="24"/>
          <w:lang w:val="en-GB"/>
        </w:rPr>
        <w:noBreakHyphen/>
        <w:t>making with foreign jurisdictions to aid in consistency of regulatory approaches and to assist in ensuring that international capital markets remain open to cross</w:t>
      </w:r>
      <w:r w:rsidR="0030766A" w:rsidRPr="00AE360F">
        <w:rPr>
          <w:sz w:val="24"/>
          <w:szCs w:val="24"/>
          <w:lang w:val="en-GB"/>
        </w:rPr>
        <w:noBreakHyphen/>
        <w:t>border participation.</w:t>
      </w:r>
      <w:r>
        <w:rPr>
          <w:sz w:val="24"/>
          <w:szCs w:val="24"/>
          <w:lang w:val="en-GB"/>
        </w:rPr>
        <w:t>”</w:t>
      </w:r>
    </w:p>
    <w:p w14:paraId="167F5A2B" w14:textId="78A77EA0" w:rsidR="0030766A" w:rsidRPr="005B0CA6" w:rsidRDefault="0030766A" w:rsidP="00091619">
      <w:pPr>
        <w:pStyle w:val="LI-BodyTextParaa"/>
        <w:numPr>
          <w:ilvl w:val="0"/>
          <w:numId w:val="2"/>
        </w:numPr>
        <w:rPr>
          <w:bCs/>
        </w:rPr>
      </w:pPr>
      <w:r w:rsidRPr="005B0CA6">
        <w:rPr>
          <w:bCs/>
        </w:rPr>
        <w:t xml:space="preserve">The Revised Explanatory Memorandum at paragraph 1.100 also notes that </w:t>
      </w:r>
      <w:r w:rsidR="002150A7">
        <w:rPr>
          <w:bCs/>
        </w:rPr>
        <w:t>”</w:t>
      </w:r>
      <w:r w:rsidRPr="005B0CA6">
        <w:rPr>
          <w:bCs/>
        </w:rPr>
        <w:t>Derivative transaction rules are not limited in their application to the parties to a transaction. For example, a person involved in arranging a transaction may be made subject to a rule.</w:t>
      </w:r>
      <w:r w:rsidR="002150A7">
        <w:rPr>
          <w:bCs/>
        </w:rPr>
        <w:t>”</w:t>
      </w:r>
    </w:p>
    <w:p w14:paraId="69652A16" w14:textId="39E20EC9" w:rsidR="00A4657C" w:rsidRPr="00C76887" w:rsidRDefault="00A4657C" w:rsidP="00C76887">
      <w:pPr>
        <w:pStyle w:val="LI-BodyTextParaa"/>
        <w:ind w:left="0" w:firstLine="0"/>
        <w:rPr>
          <w:bCs/>
          <w:u w:val="single"/>
        </w:rPr>
      </w:pPr>
      <w:r w:rsidRPr="00C76887">
        <w:rPr>
          <w:bCs/>
          <w:u w:val="single"/>
        </w:rPr>
        <w:lastRenderedPageBreak/>
        <w:t xml:space="preserve">Rule 1.2.6 References to </w:t>
      </w:r>
      <w:r w:rsidR="00FD62B3">
        <w:rPr>
          <w:bCs/>
          <w:u w:val="single"/>
        </w:rPr>
        <w:t>l</w:t>
      </w:r>
      <w:r w:rsidRPr="00C76887">
        <w:rPr>
          <w:bCs/>
          <w:u w:val="single"/>
        </w:rPr>
        <w:t xml:space="preserve">icensed </w:t>
      </w:r>
      <w:r w:rsidR="00FD62B3">
        <w:rPr>
          <w:bCs/>
          <w:u w:val="single"/>
        </w:rPr>
        <w:t>r</w:t>
      </w:r>
      <w:r w:rsidRPr="00C76887">
        <w:rPr>
          <w:bCs/>
          <w:u w:val="single"/>
        </w:rPr>
        <w:t xml:space="preserve">epositories and </w:t>
      </w:r>
      <w:r w:rsidR="00FD62B3">
        <w:rPr>
          <w:bCs/>
          <w:u w:val="single"/>
        </w:rPr>
        <w:t>p</w:t>
      </w:r>
      <w:r w:rsidRPr="00C76887">
        <w:rPr>
          <w:bCs/>
          <w:u w:val="single"/>
        </w:rPr>
        <w:t xml:space="preserve">rescribed </w:t>
      </w:r>
      <w:r w:rsidR="00FD62B3">
        <w:rPr>
          <w:bCs/>
          <w:u w:val="single"/>
        </w:rPr>
        <w:t>r</w:t>
      </w:r>
      <w:r w:rsidRPr="00C76887">
        <w:rPr>
          <w:bCs/>
          <w:u w:val="single"/>
        </w:rPr>
        <w:t>epositories</w:t>
      </w:r>
    </w:p>
    <w:p w14:paraId="20F46EA2" w14:textId="0217ABAD" w:rsidR="00A4657C" w:rsidRPr="00B3205E" w:rsidRDefault="00A4657C" w:rsidP="00091619">
      <w:pPr>
        <w:pStyle w:val="LI-BodyTextParaa"/>
        <w:numPr>
          <w:ilvl w:val="0"/>
          <w:numId w:val="2"/>
        </w:numPr>
        <w:rPr>
          <w:bCs/>
        </w:rPr>
      </w:pPr>
      <w:r w:rsidRPr="00B3205E">
        <w:rPr>
          <w:bCs/>
        </w:rPr>
        <w:t xml:space="preserve">Rule 1.2.6 provides that a reference in the </w:t>
      </w:r>
      <w:r w:rsidR="00D14D33">
        <w:rPr>
          <w:bCs/>
        </w:rPr>
        <w:t xml:space="preserve">2022 </w:t>
      </w:r>
      <w:r w:rsidRPr="00B3205E">
        <w:rPr>
          <w:bCs/>
        </w:rPr>
        <w:t xml:space="preserve">Rules to reporting information about a </w:t>
      </w:r>
      <w:r w:rsidR="00B84149">
        <w:rPr>
          <w:bCs/>
        </w:rPr>
        <w:t>r</w:t>
      </w:r>
      <w:r w:rsidRPr="00B3205E">
        <w:rPr>
          <w:bCs/>
        </w:rPr>
        <w:t xml:space="preserve">eportable </w:t>
      </w:r>
      <w:r w:rsidR="00B84149">
        <w:rPr>
          <w:bCs/>
        </w:rPr>
        <w:t>t</w:t>
      </w:r>
      <w:r w:rsidRPr="00B3205E">
        <w:rPr>
          <w:bCs/>
        </w:rPr>
        <w:t>ransaction to:</w:t>
      </w:r>
    </w:p>
    <w:p w14:paraId="5C44FB91" w14:textId="64657F77" w:rsidR="00A4657C" w:rsidRPr="00C76887" w:rsidRDefault="00A4657C" w:rsidP="00091619">
      <w:pPr>
        <w:pStyle w:val="LI-BodyTextParaa"/>
        <w:numPr>
          <w:ilvl w:val="1"/>
          <w:numId w:val="2"/>
        </w:numPr>
        <w:rPr>
          <w:bCs/>
        </w:rPr>
      </w:pPr>
      <w:r w:rsidRPr="00C76887">
        <w:rPr>
          <w:bCs/>
        </w:rPr>
        <w:t xml:space="preserve">a </w:t>
      </w:r>
      <w:r w:rsidR="002E4B45">
        <w:rPr>
          <w:bCs/>
        </w:rPr>
        <w:t>l</w:t>
      </w:r>
      <w:r w:rsidRPr="00C76887">
        <w:rPr>
          <w:bCs/>
        </w:rPr>
        <w:t xml:space="preserve">icensed </w:t>
      </w:r>
      <w:r w:rsidR="002E4B45">
        <w:rPr>
          <w:bCs/>
        </w:rPr>
        <w:t>r</w:t>
      </w:r>
      <w:r w:rsidRPr="00C76887">
        <w:rPr>
          <w:bCs/>
        </w:rPr>
        <w:t xml:space="preserve">epository, is a reference to reporting the information to a </w:t>
      </w:r>
      <w:r w:rsidR="002E4B45">
        <w:rPr>
          <w:bCs/>
        </w:rPr>
        <w:t>l</w:t>
      </w:r>
      <w:r w:rsidRPr="00C76887">
        <w:rPr>
          <w:bCs/>
        </w:rPr>
        <w:t xml:space="preserve">icensed </w:t>
      </w:r>
      <w:r w:rsidR="002E4B45">
        <w:rPr>
          <w:bCs/>
        </w:rPr>
        <w:t>r</w:t>
      </w:r>
      <w:r w:rsidRPr="00C76887">
        <w:rPr>
          <w:bCs/>
        </w:rPr>
        <w:t xml:space="preserve">epository, the </w:t>
      </w:r>
      <w:r w:rsidR="002E4B45">
        <w:rPr>
          <w:bCs/>
        </w:rPr>
        <w:t>l</w:t>
      </w:r>
      <w:r w:rsidRPr="00C76887">
        <w:rPr>
          <w:bCs/>
        </w:rPr>
        <w:t xml:space="preserve">icence for which authorises the </w:t>
      </w:r>
      <w:r w:rsidR="002E4B45">
        <w:rPr>
          <w:bCs/>
        </w:rPr>
        <w:t>l</w:t>
      </w:r>
      <w:r w:rsidRPr="00C76887">
        <w:rPr>
          <w:bCs/>
        </w:rPr>
        <w:t xml:space="preserve">icensed </w:t>
      </w:r>
      <w:r w:rsidR="002E4B45">
        <w:rPr>
          <w:bCs/>
        </w:rPr>
        <w:t>r</w:t>
      </w:r>
      <w:r w:rsidRPr="00C76887">
        <w:rPr>
          <w:bCs/>
        </w:rPr>
        <w:t xml:space="preserve">epository to provide services in respect of a class of </w:t>
      </w:r>
      <w:r w:rsidR="002E4B45">
        <w:rPr>
          <w:bCs/>
        </w:rPr>
        <w:t>d</w:t>
      </w:r>
      <w:r w:rsidRPr="00C76887">
        <w:rPr>
          <w:bCs/>
        </w:rPr>
        <w:t xml:space="preserve">erivatives that includes the </w:t>
      </w:r>
      <w:r w:rsidR="00315150">
        <w:rPr>
          <w:bCs/>
        </w:rPr>
        <w:t>d</w:t>
      </w:r>
      <w:r w:rsidRPr="00C76887">
        <w:rPr>
          <w:bCs/>
        </w:rPr>
        <w:t xml:space="preserve">erivatives to which the </w:t>
      </w:r>
      <w:r w:rsidR="00B84149">
        <w:rPr>
          <w:bCs/>
        </w:rPr>
        <w:t>r</w:t>
      </w:r>
      <w:r w:rsidRPr="00C76887">
        <w:rPr>
          <w:bCs/>
        </w:rPr>
        <w:t xml:space="preserve">eportable </w:t>
      </w:r>
      <w:r w:rsidR="00B84149">
        <w:rPr>
          <w:bCs/>
        </w:rPr>
        <w:t>t</w:t>
      </w:r>
      <w:r w:rsidRPr="00C76887">
        <w:rPr>
          <w:bCs/>
        </w:rPr>
        <w:t xml:space="preserve">ransaction </w:t>
      </w:r>
      <w:proofErr w:type="gramStart"/>
      <w:r w:rsidRPr="00C76887">
        <w:rPr>
          <w:bCs/>
        </w:rPr>
        <w:t>relates;</w:t>
      </w:r>
      <w:proofErr w:type="gramEnd"/>
    </w:p>
    <w:p w14:paraId="5D73C4CA" w14:textId="0AC1BEC0" w:rsidR="00A4657C" w:rsidRPr="00C76887" w:rsidRDefault="00A4657C" w:rsidP="00091619">
      <w:pPr>
        <w:pStyle w:val="LI-BodyTextParaa"/>
        <w:numPr>
          <w:ilvl w:val="1"/>
          <w:numId w:val="2"/>
        </w:numPr>
        <w:rPr>
          <w:bCs/>
        </w:rPr>
      </w:pPr>
      <w:r w:rsidRPr="00C76887">
        <w:rPr>
          <w:bCs/>
        </w:rPr>
        <w:t xml:space="preserve">a </w:t>
      </w:r>
      <w:r w:rsidR="00315150">
        <w:rPr>
          <w:bCs/>
        </w:rPr>
        <w:t>p</w:t>
      </w:r>
      <w:r w:rsidRPr="00C76887">
        <w:rPr>
          <w:bCs/>
        </w:rPr>
        <w:t xml:space="preserve">rescribed </w:t>
      </w:r>
      <w:r w:rsidR="00315150">
        <w:rPr>
          <w:bCs/>
        </w:rPr>
        <w:t>r</w:t>
      </w:r>
      <w:r w:rsidRPr="00C76887">
        <w:rPr>
          <w:bCs/>
        </w:rPr>
        <w:t xml:space="preserve">epository, is a reference to reporting the information to a </w:t>
      </w:r>
      <w:r w:rsidR="00315150">
        <w:rPr>
          <w:bCs/>
        </w:rPr>
        <w:t>p</w:t>
      </w:r>
      <w:r w:rsidRPr="00C76887">
        <w:rPr>
          <w:bCs/>
        </w:rPr>
        <w:t xml:space="preserve">rescribed </w:t>
      </w:r>
      <w:r w:rsidR="00315150">
        <w:rPr>
          <w:bCs/>
        </w:rPr>
        <w:t>r</w:t>
      </w:r>
      <w:r w:rsidRPr="00C76887">
        <w:rPr>
          <w:bCs/>
        </w:rPr>
        <w:t xml:space="preserve">epository that is prescribed in relation to a class of </w:t>
      </w:r>
      <w:r w:rsidR="00315150">
        <w:rPr>
          <w:bCs/>
        </w:rPr>
        <w:t>d</w:t>
      </w:r>
      <w:r w:rsidRPr="00C76887">
        <w:rPr>
          <w:bCs/>
        </w:rPr>
        <w:t xml:space="preserve">erivatives that includes the </w:t>
      </w:r>
      <w:r w:rsidR="00315150">
        <w:rPr>
          <w:bCs/>
        </w:rPr>
        <w:t>d</w:t>
      </w:r>
      <w:r w:rsidRPr="00C76887">
        <w:rPr>
          <w:bCs/>
        </w:rPr>
        <w:t xml:space="preserve">erivatives to which the </w:t>
      </w:r>
      <w:r w:rsidR="00B84149">
        <w:rPr>
          <w:bCs/>
        </w:rPr>
        <w:t>r</w:t>
      </w:r>
      <w:r w:rsidRPr="00C76887">
        <w:rPr>
          <w:bCs/>
        </w:rPr>
        <w:t xml:space="preserve">eportable </w:t>
      </w:r>
      <w:r w:rsidR="00B84149">
        <w:rPr>
          <w:bCs/>
        </w:rPr>
        <w:t>t</w:t>
      </w:r>
      <w:r w:rsidRPr="00C76887">
        <w:rPr>
          <w:bCs/>
        </w:rPr>
        <w:t>ransaction relates.</w:t>
      </w:r>
    </w:p>
    <w:p w14:paraId="733A8BA7" w14:textId="5109AF31" w:rsidR="00A4657C" w:rsidRPr="00AE360F" w:rsidRDefault="00A4657C" w:rsidP="00091619">
      <w:pPr>
        <w:pStyle w:val="LI-BodyTextParaa"/>
        <w:numPr>
          <w:ilvl w:val="0"/>
          <w:numId w:val="2"/>
        </w:numPr>
      </w:pPr>
      <w:r w:rsidRPr="00AE360F">
        <w:t xml:space="preserve">Under subsection 901A(6) of the </w:t>
      </w:r>
      <w:r w:rsidR="00315150">
        <w:t xml:space="preserve">Corporations </w:t>
      </w:r>
      <w:r w:rsidRPr="00AE360F">
        <w:t xml:space="preserve">Act, the </w:t>
      </w:r>
      <w:r w:rsidR="00315150">
        <w:t xml:space="preserve">2022 </w:t>
      </w:r>
      <w:r w:rsidRPr="00AE360F">
        <w:t xml:space="preserve">Rules may require reporting to facilities that are licensed under section 905C of the </w:t>
      </w:r>
      <w:r w:rsidR="00315150">
        <w:t xml:space="preserve">Corporations </w:t>
      </w:r>
      <w:r w:rsidRPr="00AE360F">
        <w:t xml:space="preserve">Act or prescribed under paragraph 901A(6)(b) (defined in the </w:t>
      </w:r>
      <w:r w:rsidR="00DA5388">
        <w:t xml:space="preserve">2022 </w:t>
      </w:r>
      <w:r w:rsidRPr="00AE360F">
        <w:t xml:space="preserve">Rules as </w:t>
      </w:r>
      <w:r w:rsidR="00B84149">
        <w:t>“</w:t>
      </w:r>
      <w:r w:rsidR="003F3B60">
        <w:t>l</w:t>
      </w:r>
      <w:r w:rsidRPr="00AE360F">
        <w:t xml:space="preserve">icensed </w:t>
      </w:r>
      <w:r w:rsidR="003F3B60">
        <w:t>r</w:t>
      </w:r>
      <w:r w:rsidRPr="00AE360F">
        <w:t>epositories</w:t>
      </w:r>
      <w:r w:rsidR="00B84149">
        <w:t>”</w:t>
      </w:r>
      <w:r w:rsidRPr="00AE360F">
        <w:t xml:space="preserve"> and </w:t>
      </w:r>
      <w:r w:rsidR="00B84149">
        <w:t>“</w:t>
      </w:r>
      <w:r w:rsidR="003F3B60">
        <w:t>p</w:t>
      </w:r>
      <w:r w:rsidRPr="00AE360F">
        <w:t xml:space="preserve">rescribed </w:t>
      </w:r>
      <w:r w:rsidR="003F3B60">
        <w:t>r</w:t>
      </w:r>
      <w:r w:rsidRPr="00AE360F">
        <w:t>epositories</w:t>
      </w:r>
      <w:r w:rsidR="00B84149">
        <w:t>”</w:t>
      </w:r>
      <w:r w:rsidRPr="00AE360F">
        <w:t xml:space="preserve"> respectively). Rule 1.2.6 aligns the </w:t>
      </w:r>
      <w:r w:rsidR="00B84149">
        <w:t>r</w:t>
      </w:r>
      <w:r w:rsidRPr="00AE360F">
        <w:t xml:space="preserve">eporting </w:t>
      </w:r>
      <w:r w:rsidR="00B84149">
        <w:t>r</w:t>
      </w:r>
      <w:r w:rsidRPr="00AE360F">
        <w:t xml:space="preserve">equirements set out in the </w:t>
      </w:r>
      <w:r w:rsidR="00315150">
        <w:t xml:space="preserve">2022 </w:t>
      </w:r>
      <w:r w:rsidRPr="00AE360F">
        <w:t xml:space="preserve">Rules with the definition of </w:t>
      </w:r>
      <w:r w:rsidR="00B84149">
        <w:t>“</w:t>
      </w:r>
      <w:r w:rsidRPr="00AE360F">
        <w:t>reporting requirements</w:t>
      </w:r>
      <w:r w:rsidR="00B84149">
        <w:t>”</w:t>
      </w:r>
      <w:r w:rsidRPr="00AE360F">
        <w:t xml:space="preserve"> in subsection 901A(6) of the </w:t>
      </w:r>
      <w:r w:rsidR="00315150">
        <w:t xml:space="preserve">Corporations </w:t>
      </w:r>
      <w:r w:rsidRPr="00AE360F">
        <w:t>Act.</w:t>
      </w:r>
    </w:p>
    <w:p w14:paraId="5544516C" w14:textId="779DA53D" w:rsidR="002474CA" w:rsidRPr="00AE360F" w:rsidRDefault="00A4657C" w:rsidP="00091619">
      <w:pPr>
        <w:pStyle w:val="LI-BodyTextParaa"/>
        <w:numPr>
          <w:ilvl w:val="0"/>
          <w:numId w:val="2"/>
        </w:numPr>
      </w:pPr>
      <w:r w:rsidRPr="00AE360F">
        <w:t>As noted in paragraph 1.109 of the Revised Explanatory Memorandum to the Corporations Legislation Amendment (Derivative Transactions) Bill 2012:</w:t>
      </w:r>
      <w:r w:rsidR="00B94D87" w:rsidRPr="00AE360F">
        <w:br/>
      </w:r>
    </w:p>
    <w:p w14:paraId="39378CA8" w14:textId="05F2A2CF" w:rsidR="00A4657C" w:rsidRPr="00AE360F" w:rsidRDefault="00B84149" w:rsidP="00A4657C">
      <w:pPr>
        <w:ind w:left="720"/>
        <w:jc w:val="both"/>
        <w:rPr>
          <w:sz w:val="24"/>
          <w:szCs w:val="24"/>
        </w:rPr>
      </w:pPr>
      <w:r>
        <w:rPr>
          <w:sz w:val="24"/>
          <w:szCs w:val="24"/>
        </w:rPr>
        <w:t>“</w:t>
      </w:r>
      <w:r w:rsidR="00A4657C" w:rsidRPr="00AE360F">
        <w:rPr>
          <w:sz w:val="24"/>
          <w:szCs w:val="24"/>
        </w:rPr>
        <w:t>The rules may require trade reporting, clearing and execution to or on prescribed facilities (in addition to licensed facilities). The ability to prescribe facilities will provide flexibility to: (a) enable non-licensed domestic facilities to be utilised, such as to enable trade reporting in respect of certain classes of derivatives to a non-licensed government body such as a regulator; and (b) to enable rules to be made to support compliance with foreign trade reporting, clearing or execution laws (where such laws involve non-domestically licensed facilities).</w:t>
      </w:r>
      <w:r>
        <w:rPr>
          <w:sz w:val="24"/>
          <w:szCs w:val="24"/>
        </w:rPr>
        <w:t>”</w:t>
      </w:r>
    </w:p>
    <w:p w14:paraId="5A8C5E02" w14:textId="200A4163" w:rsidR="00B90BB2" w:rsidRPr="00FC5C89" w:rsidRDefault="00B90BB2" w:rsidP="00FC5C89">
      <w:pPr>
        <w:pStyle w:val="LI-BodyTextParaa"/>
        <w:ind w:left="0" w:firstLine="0"/>
        <w:rPr>
          <w:bCs/>
          <w:u w:val="single"/>
        </w:rPr>
      </w:pPr>
      <w:r w:rsidRPr="00B90BB2">
        <w:rPr>
          <w:bCs/>
          <w:u w:val="single"/>
        </w:rPr>
        <w:t>Rule 1.2.7 References to total gross notional outstanding</w:t>
      </w:r>
    </w:p>
    <w:p w14:paraId="55FF4A9E" w14:textId="2479313E" w:rsidR="00B90BB2" w:rsidRPr="00B90BB2" w:rsidRDefault="00B90BB2" w:rsidP="00091619">
      <w:pPr>
        <w:pStyle w:val="LI-BodyTextParaa"/>
        <w:numPr>
          <w:ilvl w:val="0"/>
          <w:numId w:val="2"/>
        </w:numPr>
        <w:rPr>
          <w:bCs/>
        </w:rPr>
      </w:pPr>
      <w:r w:rsidRPr="00B90BB2">
        <w:rPr>
          <w:bCs/>
        </w:rPr>
        <w:t xml:space="preserve">Rule 1.2.7 deals with references in the </w:t>
      </w:r>
      <w:r w:rsidR="00315150">
        <w:rPr>
          <w:bCs/>
        </w:rPr>
        <w:t xml:space="preserve">2022 </w:t>
      </w:r>
      <w:r w:rsidRPr="00B90BB2">
        <w:rPr>
          <w:bCs/>
        </w:rPr>
        <w:t xml:space="preserve">Rules to </w:t>
      </w:r>
      <w:r w:rsidR="00B84149">
        <w:rPr>
          <w:bCs/>
        </w:rPr>
        <w:t>“</w:t>
      </w:r>
      <w:r w:rsidRPr="00B90BB2">
        <w:rPr>
          <w:bCs/>
        </w:rPr>
        <w:t>total gross notional outstanding</w:t>
      </w:r>
      <w:r w:rsidR="00B84149">
        <w:rPr>
          <w:bCs/>
        </w:rPr>
        <w:t>”</w:t>
      </w:r>
      <w:r w:rsidR="00CC5E1C">
        <w:rPr>
          <w:bCs/>
        </w:rPr>
        <w:t xml:space="preserve"> in relation to the phased intro</w:t>
      </w:r>
      <w:r w:rsidR="000009A2">
        <w:rPr>
          <w:bCs/>
        </w:rPr>
        <w:t>duction of the reporting requir</w:t>
      </w:r>
      <w:r w:rsidR="009A6485">
        <w:rPr>
          <w:bCs/>
        </w:rPr>
        <w:t>e</w:t>
      </w:r>
      <w:r w:rsidR="000009A2">
        <w:rPr>
          <w:bCs/>
        </w:rPr>
        <w:t>ments</w:t>
      </w:r>
      <w:r w:rsidRPr="00B90BB2">
        <w:rPr>
          <w:bCs/>
        </w:rPr>
        <w:t xml:space="preserve">. </w:t>
      </w:r>
    </w:p>
    <w:p w14:paraId="3DDE6BB6" w14:textId="5862E406" w:rsidR="00B90BB2" w:rsidRDefault="00B90BB2" w:rsidP="00091619">
      <w:pPr>
        <w:pStyle w:val="LI-BodyTextParaa"/>
        <w:numPr>
          <w:ilvl w:val="0"/>
          <w:numId w:val="2"/>
        </w:numPr>
        <w:rPr>
          <w:bCs/>
        </w:rPr>
      </w:pPr>
      <w:r w:rsidRPr="00B90BB2">
        <w:rPr>
          <w:bCs/>
        </w:rPr>
        <w:t xml:space="preserve">Schedule 1 provides for the </w:t>
      </w:r>
      <w:r w:rsidR="00CA3404">
        <w:rPr>
          <w:bCs/>
        </w:rPr>
        <w:t>t</w:t>
      </w:r>
      <w:r w:rsidRPr="00B90BB2">
        <w:rPr>
          <w:bCs/>
        </w:rPr>
        <w:t xml:space="preserve">ransaction </w:t>
      </w:r>
      <w:r w:rsidR="00CA3404">
        <w:rPr>
          <w:bCs/>
        </w:rPr>
        <w:t>r</w:t>
      </w:r>
      <w:r w:rsidRPr="00B90BB2">
        <w:rPr>
          <w:bCs/>
        </w:rPr>
        <w:t xml:space="preserve">eporting </w:t>
      </w:r>
      <w:r w:rsidR="00CA3404">
        <w:rPr>
          <w:bCs/>
        </w:rPr>
        <w:t>r</w:t>
      </w:r>
      <w:r w:rsidRPr="00B90BB2">
        <w:rPr>
          <w:bCs/>
        </w:rPr>
        <w:t xml:space="preserve">equirements and </w:t>
      </w:r>
      <w:r w:rsidR="00CA3404">
        <w:rPr>
          <w:bCs/>
        </w:rPr>
        <w:t>p</w:t>
      </w:r>
      <w:r w:rsidRPr="00B90BB2">
        <w:rPr>
          <w:bCs/>
        </w:rPr>
        <w:t xml:space="preserve">osition </w:t>
      </w:r>
      <w:r w:rsidR="00CA3404">
        <w:rPr>
          <w:bCs/>
        </w:rPr>
        <w:t>r</w:t>
      </w:r>
      <w:r w:rsidRPr="00B90BB2">
        <w:rPr>
          <w:bCs/>
        </w:rPr>
        <w:t xml:space="preserve">eporting </w:t>
      </w:r>
      <w:r w:rsidR="00CA3404">
        <w:rPr>
          <w:bCs/>
        </w:rPr>
        <w:t>r</w:t>
      </w:r>
      <w:r w:rsidRPr="00B90BB2">
        <w:rPr>
          <w:bCs/>
        </w:rPr>
        <w:t xml:space="preserve">equirements to be implemented in phases. Phase 2 of the </w:t>
      </w:r>
      <w:r w:rsidR="00CA3404">
        <w:rPr>
          <w:bCs/>
        </w:rPr>
        <w:t>r</w:t>
      </w:r>
      <w:r w:rsidRPr="00B90BB2">
        <w:rPr>
          <w:bCs/>
        </w:rPr>
        <w:t xml:space="preserve">eporting </w:t>
      </w:r>
      <w:r w:rsidR="00CA3404">
        <w:rPr>
          <w:bCs/>
        </w:rPr>
        <w:t>r</w:t>
      </w:r>
      <w:r w:rsidRPr="00B90BB2">
        <w:rPr>
          <w:bCs/>
        </w:rPr>
        <w:t xml:space="preserve">equirements applies to Australian </w:t>
      </w:r>
      <w:proofErr w:type="spellStart"/>
      <w:r w:rsidRPr="00B90BB2">
        <w:rPr>
          <w:bCs/>
        </w:rPr>
        <w:t>ADIs</w:t>
      </w:r>
      <w:proofErr w:type="spellEnd"/>
      <w:r w:rsidRPr="00B90BB2">
        <w:rPr>
          <w:bCs/>
        </w:rPr>
        <w:t xml:space="preserve">, AFS </w:t>
      </w:r>
      <w:r w:rsidR="00B84149">
        <w:rPr>
          <w:bCs/>
        </w:rPr>
        <w:t>l</w:t>
      </w:r>
      <w:r w:rsidRPr="00B90BB2">
        <w:rPr>
          <w:bCs/>
        </w:rPr>
        <w:t xml:space="preserve">icensees, CS </w:t>
      </w:r>
      <w:r w:rsidR="00CA3404">
        <w:rPr>
          <w:bCs/>
        </w:rPr>
        <w:t>f</w:t>
      </w:r>
      <w:r w:rsidRPr="00B90BB2">
        <w:rPr>
          <w:bCs/>
        </w:rPr>
        <w:t xml:space="preserve">acility </w:t>
      </w:r>
      <w:r w:rsidR="00CA3404">
        <w:rPr>
          <w:bCs/>
        </w:rPr>
        <w:t>l</w:t>
      </w:r>
      <w:r w:rsidRPr="00B90BB2">
        <w:rPr>
          <w:bCs/>
        </w:rPr>
        <w:t xml:space="preserve">icensees and </w:t>
      </w:r>
      <w:r w:rsidR="00CA3404">
        <w:rPr>
          <w:bCs/>
        </w:rPr>
        <w:t>e</w:t>
      </w:r>
      <w:r w:rsidRPr="00B90BB2">
        <w:rPr>
          <w:bCs/>
        </w:rPr>
        <w:t xml:space="preserve">xempt </w:t>
      </w:r>
      <w:r w:rsidR="00CA3404">
        <w:rPr>
          <w:bCs/>
        </w:rPr>
        <w:t>f</w:t>
      </w:r>
      <w:r w:rsidRPr="00B90BB2">
        <w:rPr>
          <w:bCs/>
        </w:rPr>
        <w:t xml:space="preserve">oreign </w:t>
      </w:r>
      <w:r w:rsidR="00CA3404">
        <w:rPr>
          <w:bCs/>
        </w:rPr>
        <w:t>l</w:t>
      </w:r>
      <w:r w:rsidRPr="00B90BB2">
        <w:rPr>
          <w:bCs/>
        </w:rPr>
        <w:t xml:space="preserve">icensees that, as </w:t>
      </w:r>
      <w:proofErr w:type="gramStart"/>
      <w:r w:rsidRPr="00B90BB2">
        <w:rPr>
          <w:bCs/>
        </w:rPr>
        <w:t>at</w:t>
      </w:r>
      <w:proofErr w:type="gramEnd"/>
      <w:r w:rsidRPr="00B90BB2">
        <w:rPr>
          <w:bCs/>
        </w:rPr>
        <w:t xml:space="preserve"> 31 December 2013 hold total gross notional outstanding positions of $50 billion or more.</w:t>
      </w:r>
    </w:p>
    <w:p w14:paraId="473BBE8B" w14:textId="29A01153" w:rsidR="00B90BB2" w:rsidRPr="00674503" w:rsidRDefault="0068616F" w:rsidP="00674503">
      <w:pPr>
        <w:pStyle w:val="LI-BodyTextParaa"/>
        <w:numPr>
          <w:ilvl w:val="0"/>
          <w:numId w:val="2"/>
        </w:numPr>
        <w:rPr>
          <w:bCs/>
        </w:rPr>
      </w:pPr>
      <w:r>
        <w:rPr>
          <w:bCs/>
        </w:rPr>
        <w:t>For the 2022 Rules</w:t>
      </w:r>
      <w:r w:rsidR="00DA3559">
        <w:rPr>
          <w:bCs/>
        </w:rPr>
        <w:t xml:space="preserve">, all </w:t>
      </w:r>
      <w:r w:rsidR="00C90FEE">
        <w:rPr>
          <w:bCs/>
        </w:rPr>
        <w:t>of the phase</w:t>
      </w:r>
      <w:r w:rsidR="00EA5FA9">
        <w:rPr>
          <w:bCs/>
        </w:rPr>
        <w:t>d reporting requi</w:t>
      </w:r>
      <w:r w:rsidR="00970B7B">
        <w:rPr>
          <w:bCs/>
        </w:rPr>
        <w:t xml:space="preserve">rements </w:t>
      </w:r>
      <w:r w:rsidR="00177C43">
        <w:rPr>
          <w:bCs/>
        </w:rPr>
        <w:t xml:space="preserve">have </w:t>
      </w:r>
      <w:r w:rsidR="00B43AE9">
        <w:rPr>
          <w:bCs/>
        </w:rPr>
        <w:t xml:space="preserve">already </w:t>
      </w:r>
      <w:r w:rsidR="00970B7B">
        <w:rPr>
          <w:bCs/>
        </w:rPr>
        <w:t xml:space="preserve">applied </w:t>
      </w:r>
      <w:r w:rsidR="00B43AE9">
        <w:rPr>
          <w:bCs/>
        </w:rPr>
        <w:t>under the 2013 Rules</w:t>
      </w:r>
      <w:r w:rsidR="008D587C">
        <w:rPr>
          <w:bCs/>
        </w:rPr>
        <w:t xml:space="preserve"> </w:t>
      </w:r>
      <w:r w:rsidR="00BD4C5F">
        <w:rPr>
          <w:bCs/>
        </w:rPr>
        <w:t>and th</w:t>
      </w:r>
      <w:r w:rsidR="00782ED3">
        <w:rPr>
          <w:bCs/>
        </w:rPr>
        <w:t xml:space="preserve">ere are </w:t>
      </w:r>
      <w:r w:rsidR="00772C2A">
        <w:rPr>
          <w:bCs/>
        </w:rPr>
        <w:t xml:space="preserve">no </w:t>
      </w:r>
      <w:r w:rsidR="00070B86">
        <w:rPr>
          <w:bCs/>
        </w:rPr>
        <w:t xml:space="preserve">additional </w:t>
      </w:r>
      <w:r w:rsidR="00C75060">
        <w:rPr>
          <w:bCs/>
        </w:rPr>
        <w:t xml:space="preserve">phased </w:t>
      </w:r>
      <w:r w:rsidR="009A6485">
        <w:rPr>
          <w:bCs/>
        </w:rPr>
        <w:t xml:space="preserve">reporting </w:t>
      </w:r>
      <w:r w:rsidR="00772C2A">
        <w:rPr>
          <w:bCs/>
        </w:rPr>
        <w:t>requirem</w:t>
      </w:r>
      <w:r w:rsidR="009A6485">
        <w:rPr>
          <w:bCs/>
        </w:rPr>
        <w:t xml:space="preserve">ents </w:t>
      </w:r>
      <w:r w:rsidR="007C0B06">
        <w:rPr>
          <w:bCs/>
        </w:rPr>
        <w:t>yet to be satisfied under the 2022 Rules.</w:t>
      </w:r>
    </w:p>
    <w:p w14:paraId="55D871B5" w14:textId="77777777" w:rsidR="00F6763B" w:rsidRDefault="00F6763B">
      <w:pPr>
        <w:spacing w:line="240" w:lineRule="auto"/>
        <w:rPr>
          <w:rFonts w:eastAsia="Times New Roman"/>
          <w:sz w:val="24"/>
          <w:szCs w:val="24"/>
          <w:u w:val="single"/>
          <w:lang w:eastAsia="en-AU"/>
        </w:rPr>
      </w:pPr>
      <w:r>
        <w:rPr>
          <w:u w:val="single"/>
        </w:rPr>
        <w:br w:type="page"/>
      </w:r>
    </w:p>
    <w:p w14:paraId="38045FCA" w14:textId="29705778" w:rsidR="00C1220A" w:rsidRPr="00AE7A69" w:rsidRDefault="00C1220A" w:rsidP="00C1220A">
      <w:pPr>
        <w:pStyle w:val="LI-BodyTextParaa"/>
        <w:tabs>
          <w:tab w:val="left" w:pos="1134"/>
        </w:tabs>
        <w:ind w:left="0" w:firstLine="0"/>
        <w:rPr>
          <w:u w:val="single"/>
        </w:rPr>
      </w:pPr>
      <w:r w:rsidRPr="00AE7A69">
        <w:rPr>
          <w:u w:val="single"/>
        </w:rPr>
        <w:lastRenderedPageBreak/>
        <w:t xml:space="preserve">Chapter </w:t>
      </w:r>
      <w:r w:rsidR="008D7D4A">
        <w:rPr>
          <w:u w:val="single"/>
        </w:rPr>
        <w:t>2</w:t>
      </w:r>
      <w:r w:rsidRPr="00AE7A69">
        <w:rPr>
          <w:u w:val="single"/>
        </w:rPr>
        <w:t xml:space="preserve">: </w:t>
      </w:r>
      <w:r w:rsidR="008D7D4A">
        <w:rPr>
          <w:u w:val="single"/>
        </w:rPr>
        <w:t xml:space="preserve">Reporting </w:t>
      </w:r>
      <w:r w:rsidR="00FD62B3">
        <w:rPr>
          <w:u w:val="single"/>
        </w:rPr>
        <w:t>r</w:t>
      </w:r>
      <w:r w:rsidR="008D7D4A">
        <w:rPr>
          <w:u w:val="single"/>
        </w:rPr>
        <w:t>equirements</w:t>
      </w:r>
    </w:p>
    <w:p w14:paraId="0550399B" w14:textId="4CBFC4DF" w:rsidR="0026773C" w:rsidRPr="00881C51" w:rsidRDefault="0026773C" w:rsidP="00091619">
      <w:pPr>
        <w:pStyle w:val="LI-BodyTextParaa"/>
        <w:numPr>
          <w:ilvl w:val="0"/>
          <w:numId w:val="2"/>
        </w:numPr>
        <w:rPr>
          <w:bCs/>
        </w:rPr>
      </w:pPr>
      <w:r w:rsidRPr="00881C51">
        <w:rPr>
          <w:bCs/>
        </w:rPr>
        <w:t xml:space="preserve">Chapter 2 of the </w:t>
      </w:r>
      <w:r w:rsidR="00CA3404">
        <w:rPr>
          <w:bCs/>
        </w:rPr>
        <w:t xml:space="preserve">2022 </w:t>
      </w:r>
      <w:r w:rsidRPr="00881C51">
        <w:rPr>
          <w:bCs/>
        </w:rPr>
        <w:t>Rules, along with the Schedules:</w:t>
      </w:r>
    </w:p>
    <w:p w14:paraId="71BEA182" w14:textId="3E81D0C8" w:rsidR="0026773C" w:rsidRPr="00A46055" w:rsidRDefault="0026773C" w:rsidP="00091619">
      <w:pPr>
        <w:pStyle w:val="LI-BodyTextParaa"/>
        <w:numPr>
          <w:ilvl w:val="1"/>
          <w:numId w:val="2"/>
        </w:numPr>
        <w:rPr>
          <w:bCs/>
        </w:rPr>
      </w:pPr>
      <w:r w:rsidRPr="00A46055">
        <w:rPr>
          <w:bCs/>
        </w:rPr>
        <w:t xml:space="preserve">imposes reporting requirements as permitted by paragraph 901A(2)(b) and subsection 901A(6) of the </w:t>
      </w:r>
      <w:r w:rsidR="00CA3404">
        <w:rPr>
          <w:bCs/>
        </w:rPr>
        <w:t xml:space="preserve">Corporations </w:t>
      </w:r>
      <w:proofErr w:type="gramStart"/>
      <w:r w:rsidRPr="00A46055">
        <w:rPr>
          <w:bCs/>
        </w:rPr>
        <w:t>Act;</w:t>
      </w:r>
      <w:proofErr w:type="gramEnd"/>
    </w:p>
    <w:p w14:paraId="3946ECE4" w14:textId="77C30546" w:rsidR="0026773C" w:rsidRPr="00A46055" w:rsidRDefault="0026773C" w:rsidP="00091619">
      <w:pPr>
        <w:pStyle w:val="LI-BodyTextParaa"/>
        <w:numPr>
          <w:ilvl w:val="1"/>
          <w:numId w:val="2"/>
        </w:numPr>
        <w:rPr>
          <w:bCs/>
        </w:rPr>
      </w:pPr>
      <w:r w:rsidRPr="00A46055">
        <w:rPr>
          <w:bCs/>
        </w:rPr>
        <w:t xml:space="preserve">specifies the persons who are required to comply with the reporting requirements imposed by the </w:t>
      </w:r>
      <w:r w:rsidR="00CA3404">
        <w:rPr>
          <w:bCs/>
        </w:rPr>
        <w:t xml:space="preserve">2022 </w:t>
      </w:r>
      <w:r w:rsidRPr="00A46055">
        <w:rPr>
          <w:bCs/>
        </w:rPr>
        <w:t xml:space="preserve">Rules as permitted by paragraph 901A(3)(e) of the </w:t>
      </w:r>
      <w:r w:rsidR="00CA3404">
        <w:rPr>
          <w:bCs/>
        </w:rPr>
        <w:t xml:space="preserve">Corporations </w:t>
      </w:r>
      <w:proofErr w:type="gramStart"/>
      <w:r w:rsidRPr="00A46055">
        <w:rPr>
          <w:bCs/>
        </w:rPr>
        <w:t>Act;</w:t>
      </w:r>
      <w:proofErr w:type="gramEnd"/>
    </w:p>
    <w:p w14:paraId="70FAB99F" w14:textId="3B6C449E" w:rsidR="0026773C" w:rsidRDefault="0026773C" w:rsidP="00091619">
      <w:pPr>
        <w:pStyle w:val="LI-BodyTextParaa"/>
        <w:numPr>
          <w:ilvl w:val="1"/>
          <w:numId w:val="2"/>
        </w:numPr>
        <w:rPr>
          <w:bCs/>
        </w:rPr>
      </w:pPr>
      <w:r w:rsidRPr="00A46055">
        <w:rPr>
          <w:bCs/>
        </w:rPr>
        <w:t xml:space="preserve">deals with the manner and form in which persons are required to comply with the reporting requirement imposed by the </w:t>
      </w:r>
      <w:r w:rsidR="00CA3404">
        <w:rPr>
          <w:bCs/>
        </w:rPr>
        <w:t>2022</w:t>
      </w:r>
      <w:r w:rsidR="007969F1">
        <w:rPr>
          <w:bCs/>
        </w:rPr>
        <w:t xml:space="preserve"> </w:t>
      </w:r>
      <w:r w:rsidRPr="00A46055">
        <w:rPr>
          <w:bCs/>
        </w:rPr>
        <w:t xml:space="preserve">Rules as permitted by paragraph 901A(3)(f) of the </w:t>
      </w:r>
      <w:r w:rsidR="00CA3404">
        <w:rPr>
          <w:bCs/>
        </w:rPr>
        <w:t xml:space="preserve">Corporations </w:t>
      </w:r>
      <w:r w:rsidRPr="00A46055">
        <w:rPr>
          <w:bCs/>
        </w:rPr>
        <w:t>Act; and</w:t>
      </w:r>
    </w:p>
    <w:p w14:paraId="5DAFFDF3" w14:textId="0CACA616" w:rsidR="0026773C" w:rsidRPr="00C20A24" w:rsidRDefault="0026773C" w:rsidP="00091619">
      <w:pPr>
        <w:pStyle w:val="LI-BodyTextParaa"/>
        <w:numPr>
          <w:ilvl w:val="1"/>
          <w:numId w:val="2"/>
        </w:numPr>
        <w:rPr>
          <w:bCs/>
        </w:rPr>
      </w:pPr>
      <w:r w:rsidRPr="00C20A24">
        <w:rPr>
          <w:bCs/>
        </w:rPr>
        <w:t xml:space="preserve">deals with the circumstances in which persons are relieved from complying with the reporting requirements in the </w:t>
      </w:r>
      <w:r w:rsidR="00CA3404">
        <w:rPr>
          <w:bCs/>
        </w:rPr>
        <w:t xml:space="preserve">2022 </w:t>
      </w:r>
      <w:r w:rsidRPr="00C20A24">
        <w:rPr>
          <w:bCs/>
        </w:rPr>
        <w:t xml:space="preserve">Rules that would otherwise apply to them as permitted by paragraph 901A(3)(g) of the </w:t>
      </w:r>
      <w:r w:rsidR="00CA3404">
        <w:rPr>
          <w:bCs/>
        </w:rPr>
        <w:t xml:space="preserve">Corporations </w:t>
      </w:r>
      <w:r w:rsidRPr="00C20A24">
        <w:rPr>
          <w:bCs/>
        </w:rPr>
        <w:t>Act.</w:t>
      </w:r>
    </w:p>
    <w:p w14:paraId="0C8423E2" w14:textId="77777777" w:rsidR="0026773C" w:rsidRPr="008E0176" w:rsidRDefault="0026773C" w:rsidP="0026773C">
      <w:pPr>
        <w:pStyle w:val="LI-BodyTextNumbered"/>
        <w:ind w:hanging="1134"/>
        <w:rPr>
          <w:u w:val="single"/>
        </w:rPr>
      </w:pPr>
      <w:r w:rsidRPr="008E0176">
        <w:rPr>
          <w:u w:val="single"/>
        </w:rPr>
        <w:t>Part 2.1 Application</w:t>
      </w:r>
    </w:p>
    <w:p w14:paraId="28B541AA" w14:textId="7DEFA736" w:rsidR="0026773C" w:rsidRPr="00412A23" w:rsidRDefault="0026773C" w:rsidP="00091619">
      <w:pPr>
        <w:pStyle w:val="LI-BodyTextParaa"/>
        <w:numPr>
          <w:ilvl w:val="0"/>
          <w:numId w:val="2"/>
        </w:numPr>
        <w:rPr>
          <w:bCs/>
        </w:rPr>
      </w:pPr>
      <w:r w:rsidRPr="00412A23">
        <w:rPr>
          <w:bCs/>
        </w:rPr>
        <w:t xml:space="preserve">Rule 2.1.1 provides that Chapter 2 imposes obligations on </w:t>
      </w:r>
      <w:r w:rsidR="00FF77BA">
        <w:rPr>
          <w:bCs/>
        </w:rPr>
        <w:t>r</w:t>
      </w:r>
      <w:r w:rsidRPr="00412A23">
        <w:rPr>
          <w:bCs/>
        </w:rPr>
        <w:t xml:space="preserve">eporting </w:t>
      </w:r>
      <w:r w:rsidR="00FF77BA">
        <w:rPr>
          <w:bCs/>
        </w:rPr>
        <w:t>e</w:t>
      </w:r>
      <w:r w:rsidRPr="00412A23">
        <w:rPr>
          <w:bCs/>
        </w:rPr>
        <w:t xml:space="preserve">ntities to report their </w:t>
      </w:r>
      <w:r w:rsidR="00FF77BA">
        <w:rPr>
          <w:bCs/>
        </w:rPr>
        <w:t>r</w:t>
      </w:r>
      <w:r w:rsidRPr="00412A23">
        <w:rPr>
          <w:bCs/>
        </w:rPr>
        <w:t xml:space="preserve">eportable </w:t>
      </w:r>
      <w:r w:rsidR="00FF77BA">
        <w:rPr>
          <w:bCs/>
        </w:rPr>
        <w:t>t</w:t>
      </w:r>
      <w:r w:rsidRPr="00412A23">
        <w:rPr>
          <w:bCs/>
        </w:rPr>
        <w:t xml:space="preserve">ransactions and </w:t>
      </w:r>
      <w:r w:rsidR="00FF77BA">
        <w:rPr>
          <w:bCs/>
        </w:rPr>
        <w:t>r</w:t>
      </w:r>
      <w:r w:rsidRPr="00412A23">
        <w:rPr>
          <w:bCs/>
        </w:rPr>
        <w:t xml:space="preserve">eportable </w:t>
      </w:r>
      <w:r w:rsidR="00FF77BA">
        <w:rPr>
          <w:bCs/>
        </w:rPr>
        <w:t>p</w:t>
      </w:r>
      <w:r w:rsidRPr="00412A23">
        <w:rPr>
          <w:bCs/>
        </w:rPr>
        <w:t xml:space="preserve">ositions to </w:t>
      </w:r>
      <w:r w:rsidR="00FF77BA">
        <w:rPr>
          <w:bCs/>
        </w:rPr>
        <w:t>l</w:t>
      </w:r>
      <w:r w:rsidRPr="00412A23">
        <w:rPr>
          <w:bCs/>
        </w:rPr>
        <w:t xml:space="preserve">icensed </w:t>
      </w:r>
      <w:r w:rsidR="00FF77BA">
        <w:rPr>
          <w:bCs/>
        </w:rPr>
        <w:t>r</w:t>
      </w:r>
      <w:r w:rsidRPr="00412A23">
        <w:rPr>
          <w:bCs/>
        </w:rPr>
        <w:t xml:space="preserve">epositories and </w:t>
      </w:r>
      <w:r w:rsidR="00FF77BA">
        <w:rPr>
          <w:bCs/>
        </w:rPr>
        <w:t>p</w:t>
      </w:r>
      <w:r w:rsidRPr="00412A23">
        <w:rPr>
          <w:bCs/>
        </w:rPr>
        <w:t xml:space="preserve">rescribed </w:t>
      </w:r>
      <w:r w:rsidR="00FF77BA">
        <w:rPr>
          <w:bCs/>
        </w:rPr>
        <w:t>r</w:t>
      </w:r>
      <w:r w:rsidRPr="00412A23">
        <w:rPr>
          <w:bCs/>
        </w:rPr>
        <w:t xml:space="preserve">epositories. It is noted that Schedule 1 deals with phased implementation of the </w:t>
      </w:r>
      <w:r w:rsidR="00FF77BA">
        <w:rPr>
          <w:bCs/>
        </w:rPr>
        <w:t>r</w:t>
      </w:r>
      <w:r w:rsidR="00FF77BA" w:rsidRPr="00412A23">
        <w:rPr>
          <w:bCs/>
        </w:rPr>
        <w:t xml:space="preserve">eporting </w:t>
      </w:r>
      <w:r w:rsidR="00FF77BA">
        <w:rPr>
          <w:bCs/>
        </w:rPr>
        <w:t>r</w:t>
      </w:r>
      <w:r w:rsidR="00FF77BA" w:rsidRPr="00412A23">
        <w:rPr>
          <w:bCs/>
        </w:rPr>
        <w:t xml:space="preserve">equirements </w:t>
      </w:r>
      <w:r w:rsidRPr="00412A23">
        <w:rPr>
          <w:bCs/>
        </w:rPr>
        <w:t>and Schedule 2 sets out the information to be reported.</w:t>
      </w:r>
    </w:p>
    <w:p w14:paraId="6AD7DB7B" w14:textId="6DEECCC8" w:rsidR="0026773C" w:rsidRPr="00FE6041" w:rsidRDefault="0026773C" w:rsidP="0026773C">
      <w:pPr>
        <w:pStyle w:val="LI-BodyTextNumbered"/>
        <w:ind w:hanging="1134"/>
        <w:rPr>
          <w:u w:val="single"/>
        </w:rPr>
      </w:pPr>
      <w:r w:rsidRPr="00FE6041">
        <w:rPr>
          <w:u w:val="single"/>
        </w:rPr>
        <w:t xml:space="preserve">Part 2.2 Reporting </w:t>
      </w:r>
      <w:r w:rsidR="00715225">
        <w:rPr>
          <w:u w:val="single"/>
        </w:rPr>
        <w:t>r</w:t>
      </w:r>
      <w:r w:rsidRPr="00FE6041">
        <w:rPr>
          <w:u w:val="single"/>
        </w:rPr>
        <w:t>equirements</w:t>
      </w:r>
    </w:p>
    <w:p w14:paraId="43855151" w14:textId="7D3312C2" w:rsidR="0026773C" w:rsidRPr="00FE6041" w:rsidRDefault="0026773C" w:rsidP="0026773C">
      <w:pPr>
        <w:pStyle w:val="LI-BodyTextNumbered"/>
        <w:ind w:hanging="1134"/>
        <w:rPr>
          <w:u w:val="single"/>
        </w:rPr>
      </w:pPr>
      <w:r w:rsidRPr="00FE6041">
        <w:rPr>
          <w:u w:val="single"/>
        </w:rPr>
        <w:t xml:space="preserve">Rule 2.2.1 Reporting </w:t>
      </w:r>
      <w:r w:rsidR="00715225">
        <w:rPr>
          <w:u w:val="single"/>
        </w:rPr>
        <w:t>r</w:t>
      </w:r>
      <w:r w:rsidRPr="00FE6041">
        <w:rPr>
          <w:u w:val="single"/>
        </w:rPr>
        <w:t>equirements</w:t>
      </w:r>
    </w:p>
    <w:p w14:paraId="0968F669" w14:textId="713DAADE" w:rsidR="0026773C" w:rsidRPr="00C8303B" w:rsidRDefault="0026773C" w:rsidP="00C8303B">
      <w:pPr>
        <w:pStyle w:val="LI-BodyTextNumbered"/>
        <w:ind w:left="0" w:firstLine="0"/>
        <w:rPr>
          <w:i/>
          <w:iCs/>
        </w:rPr>
      </w:pPr>
      <w:r w:rsidRPr="00C8303B">
        <w:rPr>
          <w:i/>
          <w:iCs/>
        </w:rPr>
        <w:t xml:space="preserve">Subrule 2.2.1(1) - Transaction </w:t>
      </w:r>
      <w:r w:rsidR="00715225">
        <w:rPr>
          <w:i/>
          <w:iCs/>
        </w:rPr>
        <w:t>r</w:t>
      </w:r>
      <w:r w:rsidRPr="00C8303B">
        <w:rPr>
          <w:i/>
          <w:iCs/>
        </w:rPr>
        <w:t xml:space="preserve">eporting </w:t>
      </w:r>
      <w:r w:rsidR="00715225">
        <w:rPr>
          <w:i/>
          <w:iCs/>
        </w:rPr>
        <w:t>r</w:t>
      </w:r>
      <w:r w:rsidRPr="00C8303B">
        <w:rPr>
          <w:i/>
          <w:iCs/>
        </w:rPr>
        <w:t xml:space="preserve">equirements and </w:t>
      </w:r>
      <w:r w:rsidR="00715225">
        <w:rPr>
          <w:i/>
          <w:iCs/>
        </w:rPr>
        <w:t>p</w:t>
      </w:r>
      <w:r w:rsidRPr="00C8303B">
        <w:rPr>
          <w:i/>
          <w:iCs/>
        </w:rPr>
        <w:t xml:space="preserve">osition </w:t>
      </w:r>
      <w:r w:rsidR="00715225">
        <w:rPr>
          <w:i/>
          <w:iCs/>
        </w:rPr>
        <w:t>r</w:t>
      </w:r>
      <w:r w:rsidRPr="00C8303B">
        <w:rPr>
          <w:i/>
          <w:iCs/>
        </w:rPr>
        <w:t xml:space="preserve">eporting </w:t>
      </w:r>
      <w:r w:rsidR="00715225">
        <w:rPr>
          <w:i/>
          <w:iCs/>
        </w:rPr>
        <w:t>r</w:t>
      </w:r>
      <w:r w:rsidRPr="00C8303B">
        <w:rPr>
          <w:i/>
          <w:iCs/>
        </w:rPr>
        <w:t>equirements</w:t>
      </w:r>
    </w:p>
    <w:p w14:paraId="1A390492" w14:textId="502C448E" w:rsidR="0026773C" w:rsidRPr="00E43B62" w:rsidRDefault="0026773C" w:rsidP="00091619">
      <w:pPr>
        <w:pStyle w:val="LI-BodyTextParaa"/>
        <w:numPr>
          <w:ilvl w:val="0"/>
          <w:numId w:val="2"/>
        </w:numPr>
        <w:rPr>
          <w:bCs/>
        </w:rPr>
      </w:pPr>
      <w:r w:rsidRPr="00E43B62">
        <w:rPr>
          <w:bCs/>
        </w:rPr>
        <w:t xml:space="preserve">Under subrule 2.2.1(1) and subject to exceptions set out in subrules 2.2.1(2) and (3) and Part 2.4, </w:t>
      </w:r>
      <w:r w:rsidR="00415C4F">
        <w:rPr>
          <w:bCs/>
        </w:rPr>
        <w:t>r</w:t>
      </w:r>
      <w:r w:rsidR="00415C4F" w:rsidRPr="00E43B62">
        <w:rPr>
          <w:bCs/>
        </w:rPr>
        <w:t xml:space="preserve">eporting </w:t>
      </w:r>
      <w:r w:rsidR="00415C4F">
        <w:rPr>
          <w:bCs/>
        </w:rPr>
        <w:t>e</w:t>
      </w:r>
      <w:r w:rsidR="00415C4F" w:rsidRPr="00E43B62">
        <w:rPr>
          <w:bCs/>
        </w:rPr>
        <w:t xml:space="preserve">ntities </w:t>
      </w:r>
      <w:r w:rsidRPr="00E43B62">
        <w:rPr>
          <w:bCs/>
        </w:rPr>
        <w:t xml:space="preserve">must report information about their </w:t>
      </w:r>
      <w:r w:rsidR="00415C4F">
        <w:rPr>
          <w:bCs/>
        </w:rPr>
        <w:t>r</w:t>
      </w:r>
      <w:r w:rsidR="00415C4F" w:rsidRPr="00E43B62">
        <w:rPr>
          <w:bCs/>
        </w:rPr>
        <w:t xml:space="preserve">eportable </w:t>
      </w:r>
      <w:r w:rsidR="00415C4F">
        <w:rPr>
          <w:bCs/>
        </w:rPr>
        <w:t>t</w:t>
      </w:r>
      <w:r w:rsidR="00415C4F" w:rsidRPr="00E43B62">
        <w:rPr>
          <w:bCs/>
        </w:rPr>
        <w:t xml:space="preserve">ransactions </w:t>
      </w:r>
      <w:r w:rsidRPr="00E43B62">
        <w:rPr>
          <w:bCs/>
        </w:rPr>
        <w:t xml:space="preserve">and </w:t>
      </w:r>
      <w:r w:rsidR="00415C4F">
        <w:rPr>
          <w:bCs/>
        </w:rPr>
        <w:t>r</w:t>
      </w:r>
      <w:r w:rsidR="00415C4F" w:rsidRPr="00E43B62">
        <w:rPr>
          <w:bCs/>
        </w:rPr>
        <w:t xml:space="preserve">eportable </w:t>
      </w:r>
      <w:r w:rsidR="00415C4F">
        <w:rPr>
          <w:bCs/>
        </w:rPr>
        <w:t>p</w:t>
      </w:r>
      <w:r w:rsidR="00415C4F" w:rsidRPr="00E43B62">
        <w:rPr>
          <w:bCs/>
        </w:rPr>
        <w:t xml:space="preserve">ositions </w:t>
      </w:r>
      <w:r w:rsidRPr="00E43B62">
        <w:rPr>
          <w:bCs/>
        </w:rPr>
        <w:t xml:space="preserve">in accordance with the </w:t>
      </w:r>
      <w:r w:rsidR="00415C4F">
        <w:rPr>
          <w:bCs/>
        </w:rPr>
        <w:t>r</w:t>
      </w:r>
      <w:r w:rsidR="00415C4F" w:rsidRPr="00E43B62">
        <w:rPr>
          <w:bCs/>
        </w:rPr>
        <w:t xml:space="preserve">eporting </w:t>
      </w:r>
      <w:r w:rsidR="00415C4F">
        <w:rPr>
          <w:bCs/>
        </w:rPr>
        <w:t>r</w:t>
      </w:r>
      <w:r w:rsidR="00415C4F" w:rsidRPr="00E43B62">
        <w:rPr>
          <w:bCs/>
        </w:rPr>
        <w:t xml:space="preserve">equirements </w:t>
      </w:r>
      <w:r w:rsidRPr="00E43B62">
        <w:rPr>
          <w:bCs/>
        </w:rPr>
        <w:t xml:space="preserve">set out in the Schedules to the </w:t>
      </w:r>
      <w:r w:rsidR="00DC6F1C">
        <w:rPr>
          <w:bCs/>
        </w:rPr>
        <w:t xml:space="preserve">2022 </w:t>
      </w:r>
      <w:r w:rsidRPr="00E43B62">
        <w:rPr>
          <w:bCs/>
        </w:rPr>
        <w:t>Rules, and in accordance with the other requirements of Part 2.2 concerning:</w:t>
      </w:r>
    </w:p>
    <w:p w14:paraId="17796FBE" w14:textId="637B810C" w:rsidR="004A5181" w:rsidRDefault="004A5181" w:rsidP="00091619">
      <w:pPr>
        <w:pStyle w:val="LI-BodyTextParaa"/>
        <w:numPr>
          <w:ilvl w:val="1"/>
          <w:numId w:val="2"/>
        </w:numPr>
        <w:rPr>
          <w:bCs/>
        </w:rPr>
      </w:pPr>
      <w:r>
        <w:rPr>
          <w:bCs/>
        </w:rPr>
        <w:t xml:space="preserve">changes to </w:t>
      </w:r>
      <w:r w:rsidR="00A922F8">
        <w:rPr>
          <w:bCs/>
        </w:rPr>
        <w:t>information reported (see Rule 2.2.2</w:t>
      </w:r>
      <w:proofErr w:type="gramStart"/>
      <w:r w:rsidR="00A922F8">
        <w:rPr>
          <w:bCs/>
        </w:rPr>
        <w:t>);</w:t>
      </w:r>
      <w:proofErr w:type="gramEnd"/>
    </w:p>
    <w:p w14:paraId="18711BD9" w14:textId="40DADA57" w:rsidR="0026773C" w:rsidRPr="004A5181" w:rsidRDefault="0026773C" w:rsidP="00091619">
      <w:pPr>
        <w:pStyle w:val="LI-BodyTextParaa"/>
        <w:numPr>
          <w:ilvl w:val="1"/>
          <w:numId w:val="2"/>
        </w:numPr>
        <w:rPr>
          <w:bCs/>
        </w:rPr>
      </w:pPr>
      <w:r w:rsidRPr="004A5181">
        <w:rPr>
          <w:bCs/>
        </w:rPr>
        <w:t>timing of reporting (generally, T+1) (see Rule 2.2.3</w:t>
      </w:r>
      <w:proofErr w:type="gramStart"/>
      <w:r w:rsidRPr="004A5181">
        <w:rPr>
          <w:bCs/>
        </w:rPr>
        <w:t>);</w:t>
      </w:r>
      <w:proofErr w:type="gramEnd"/>
    </w:p>
    <w:p w14:paraId="46462042" w14:textId="26F718D1" w:rsidR="0026773C" w:rsidRPr="004A5181" w:rsidRDefault="0026773C" w:rsidP="00091619">
      <w:pPr>
        <w:pStyle w:val="LI-BodyTextParaa"/>
        <w:numPr>
          <w:ilvl w:val="1"/>
          <w:numId w:val="2"/>
        </w:numPr>
        <w:rPr>
          <w:bCs/>
        </w:rPr>
      </w:pPr>
      <w:r w:rsidRPr="004A5181">
        <w:rPr>
          <w:bCs/>
        </w:rPr>
        <w:t>format of reporting (see Rule 2.2.4</w:t>
      </w:r>
      <w:proofErr w:type="gramStart"/>
      <w:r w:rsidRPr="004A5181">
        <w:rPr>
          <w:bCs/>
        </w:rPr>
        <w:t>);</w:t>
      </w:r>
      <w:proofErr w:type="gramEnd"/>
    </w:p>
    <w:p w14:paraId="0B50684F" w14:textId="707FE243" w:rsidR="0026773C" w:rsidRPr="004A5181" w:rsidRDefault="0026773C" w:rsidP="00091619">
      <w:pPr>
        <w:pStyle w:val="LI-BodyTextParaa"/>
        <w:numPr>
          <w:ilvl w:val="1"/>
          <w:numId w:val="2"/>
        </w:numPr>
        <w:rPr>
          <w:bCs/>
        </w:rPr>
      </w:pPr>
      <w:r w:rsidRPr="004A5181">
        <w:rPr>
          <w:bCs/>
        </w:rPr>
        <w:t>continuity of reporting (see Rule 2.2.5</w:t>
      </w:r>
      <w:proofErr w:type="gramStart"/>
      <w:r w:rsidRPr="004A5181">
        <w:rPr>
          <w:bCs/>
        </w:rPr>
        <w:t>);</w:t>
      </w:r>
      <w:proofErr w:type="gramEnd"/>
    </w:p>
    <w:p w14:paraId="26BE5A7E" w14:textId="75182A75" w:rsidR="0026773C" w:rsidRPr="004A5181" w:rsidRDefault="0026773C" w:rsidP="00091619">
      <w:pPr>
        <w:pStyle w:val="LI-BodyTextParaa"/>
        <w:numPr>
          <w:ilvl w:val="1"/>
          <w:numId w:val="2"/>
        </w:numPr>
        <w:rPr>
          <w:bCs/>
        </w:rPr>
      </w:pPr>
      <w:r w:rsidRPr="004A5181">
        <w:rPr>
          <w:bCs/>
        </w:rPr>
        <w:t>accuracy of reporting (see Rule 2.2.6</w:t>
      </w:r>
      <w:proofErr w:type="gramStart"/>
      <w:r w:rsidRPr="004A5181">
        <w:rPr>
          <w:bCs/>
        </w:rPr>
        <w:t>);</w:t>
      </w:r>
      <w:proofErr w:type="gramEnd"/>
    </w:p>
    <w:p w14:paraId="6FA26BA9" w14:textId="4D4EC8A6" w:rsidR="0026773C" w:rsidRDefault="0026773C" w:rsidP="00091619">
      <w:pPr>
        <w:pStyle w:val="LI-BodyTextParaa"/>
        <w:numPr>
          <w:ilvl w:val="1"/>
          <w:numId w:val="2"/>
        </w:numPr>
        <w:rPr>
          <w:bCs/>
        </w:rPr>
      </w:pPr>
      <w:r w:rsidRPr="004A5181">
        <w:rPr>
          <w:bCs/>
        </w:rPr>
        <w:t>delegation of reporting (see Rule 2.2.7)</w:t>
      </w:r>
      <w:r w:rsidR="0024730F">
        <w:rPr>
          <w:bCs/>
        </w:rPr>
        <w:t>; and</w:t>
      </w:r>
    </w:p>
    <w:p w14:paraId="5BA1255F" w14:textId="327C91FB" w:rsidR="0024730F" w:rsidRDefault="007C728E" w:rsidP="00091619">
      <w:pPr>
        <w:pStyle w:val="LI-BodyTextParaa"/>
        <w:numPr>
          <w:ilvl w:val="1"/>
          <w:numId w:val="2"/>
        </w:numPr>
        <w:rPr>
          <w:bCs/>
        </w:rPr>
      </w:pPr>
      <w:r>
        <w:rPr>
          <w:bCs/>
        </w:rPr>
        <w:lastRenderedPageBreak/>
        <w:t>lifecycl</w:t>
      </w:r>
      <w:r w:rsidR="004D059C">
        <w:rPr>
          <w:bCs/>
        </w:rPr>
        <w:t>e</w:t>
      </w:r>
      <w:r>
        <w:rPr>
          <w:bCs/>
        </w:rPr>
        <w:t xml:space="preserve"> or snapshot reporting (see Rule 2.2.8)</w:t>
      </w:r>
      <w:r w:rsidR="004D059C">
        <w:rPr>
          <w:bCs/>
        </w:rPr>
        <w:t>.</w:t>
      </w:r>
    </w:p>
    <w:p w14:paraId="55A57918" w14:textId="4F8C78C0" w:rsidR="00446A6E" w:rsidRDefault="0084768B" w:rsidP="00091619">
      <w:pPr>
        <w:pStyle w:val="LI-BodyTextParaa"/>
        <w:numPr>
          <w:ilvl w:val="0"/>
          <w:numId w:val="2"/>
        </w:numPr>
        <w:rPr>
          <w:bCs/>
        </w:rPr>
      </w:pPr>
      <w:bookmarkStart w:id="14" w:name="_Hlk120624573"/>
      <w:r>
        <w:rPr>
          <w:bCs/>
        </w:rPr>
        <w:t xml:space="preserve">As at the date the </w:t>
      </w:r>
      <w:r w:rsidR="00415C4F">
        <w:rPr>
          <w:bCs/>
        </w:rPr>
        <w:t xml:space="preserve">2022 </w:t>
      </w:r>
      <w:r>
        <w:rPr>
          <w:bCs/>
        </w:rPr>
        <w:t>Rules are made</w:t>
      </w:r>
      <w:r w:rsidR="00446A6E">
        <w:rPr>
          <w:bCs/>
        </w:rPr>
        <w:t>, t</w:t>
      </w:r>
      <w:r w:rsidR="002E5D7D">
        <w:rPr>
          <w:bCs/>
        </w:rPr>
        <w:t xml:space="preserve">he reporting requirements are </w:t>
      </w:r>
      <w:r w:rsidR="00512A72">
        <w:rPr>
          <w:bCs/>
        </w:rPr>
        <w:t xml:space="preserve">affected by regulations </w:t>
      </w:r>
      <w:r>
        <w:rPr>
          <w:bCs/>
        </w:rPr>
        <w:t xml:space="preserve">under </w:t>
      </w:r>
      <w:r w:rsidR="00E04D84">
        <w:rPr>
          <w:bCs/>
        </w:rPr>
        <w:t xml:space="preserve">the </w:t>
      </w:r>
      <w:r w:rsidR="00512A72" w:rsidRPr="00433832">
        <w:rPr>
          <w:bCs/>
        </w:rPr>
        <w:t>Corporations Regulations</w:t>
      </w:r>
      <w:r>
        <w:rPr>
          <w:bCs/>
        </w:rPr>
        <w:t xml:space="preserve"> and </w:t>
      </w:r>
      <w:r w:rsidR="00446A6E">
        <w:rPr>
          <w:bCs/>
        </w:rPr>
        <w:t>exemptions instruments</w:t>
      </w:r>
      <w:r w:rsidR="00833417">
        <w:rPr>
          <w:bCs/>
        </w:rPr>
        <w:t>:</w:t>
      </w:r>
    </w:p>
    <w:p w14:paraId="39509FEF" w14:textId="77777777" w:rsidR="00C14A44" w:rsidRPr="001272EF" w:rsidRDefault="00C14A44" w:rsidP="00C14A44">
      <w:pPr>
        <w:pStyle w:val="LI-BodyTextParaa"/>
        <w:numPr>
          <w:ilvl w:val="1"/>
          <w:numId w:val="2"/>
        </w:numPr>
        <w:rPr>
          <w:bCs/>
        </w:rPr>
      </w:pPr>
      <w:r>
        <w:rPr>
          <w:bCs/>
        </w:rPr>
        <w:t>regulations 7.5A.71</w:t>
      </w:r>
      <w:r>
        <w:t xml:space="preserve">–7.5A.74 exempts reporting entities with small-scale gross notional outstanding positions from reporting transactions where their counterparty reports the </w:t>
      </w:r>
      <w:proofErr w:type="gramStart"/>
      <w:r>
        <w:t>transactions;</w:t>
      </w:r>
      <w:proofErr w:type="gramEnd"/>
    </w:p>
    <w:p w14:paraId="65145469" w14:textId="5B01502A" w:rsidR="00C14A44" w:rsidRDefault="00C14A44" w:rsidP="00C14A44">
      <w:pPr>
        <w:pStyle w:val="LI-BodyTextParaa"/>
        <w:numPr>
          <w:ilvl w:val="1"/>
          <w:numId w:val="2"/>
        </w:numPr>
        <w:rPr>
          <w:bCs/>
        </w:rPr>
      </w:pPr>
      <w:r w:rsidRPr="00761A8D">
        <w:rPr>
          <w:bCs/>
        </w:rPr>
        <w:t>Instrument 2016/0688, having regard to the agency OTC clearing model of ASX Clear (Futures) Pty Ltd</w:t>
      </w:r>
      <w:r>
        <w:rPr>
          <w:bCs/>
        </w:rPr>
        <w:t xml:space="preserve"> (</w:t>
      </w:r>
      <w:r w:rsidRPr="00212C1F">
        <w:rPr>
          <w:b/>
          <w:i/>
          <w:iCs/>
        </w:rPr>
        <w:t>ASX Clear (Futures)</w:t>
      </w:r>
      <w:r>
        <w:rPr>
          <w:bCs/>
        </w:rPr>
        <w:t>)</w:t>
      </w:r>
      <w:r w:rsidRPr="00761A8D">
        <w:rPr>
          <w:bCs/>
        </w:rPr>
        <w:t xml:space="preserve"> for affiliates and clients, </w:t>
      </w:r>
      <w:r>
        <w:rPr>
          <w:bCs/>
        </w:rPr>
        <w:t xml:space="preserve">exempts the </w:t>
      </w:r>
      <w:r w:rsidRPr="00761A8D">
        <w:rPr>
          <w:bCs/>
        </w:rPr>
        <w:t>clearing participant from reporting cleared transactions with ASX Clear (Futures) that are entered into by an affiliate or client</w:t>
      </w:r>
      <w:r>
        <w:rPr>
          <w:bCs/>
        </w:rPr>
        <w:t>; and</w:t>
      </w:r>
    </w:p>
    <w:p w14:paraId="4DC522AD" w14:textId="153F5F01" w:rsidR="00A81EF6" w:rsidRPr="00C14A44" w:rsidRDefault="00C14A44" w:rsidP="00C92D8F">
      <w:pPr>
        <w:pStyle w:val="LI-BodyTextParaa"/>
        <w:numPr>
          <w:ilvl w:val="1"/>
          <w:numId w:val="2"/>
        </w:numPr>
        <w:rPr>
          <w:bCs/>
        </w:rPr>
      </w:pPr>
      <w:r>
        <w:rPr>
          <w:bCs/>
        </w:rPr>
        <w:t xml:space="preserve">Instrument 2015/844 provides conditional exemptions from the reporting of certain entity name information, entity identifiers, transaction identifiers and </w:t>
      </w:r>
      <w:r>
        <w:t>short-dated foreign exchange transactions.</w:t>
      </w:r>
    </w:p>
    <w:bookmarkEnd w:id="14"/>
    <w:p w14:paraId="0D45C4FD" w14:textId="3DC3A38A" w:rsidR="0026773C" w:rsidRDefault="0026773C" w:rsidP="00091619">
      <w:pPr>
        <w:pStyle w:val="LI-BodyTextParaa"/>
        <w:numPr>
          <w:ilvl w:val="0"/>
          <w:numId w:val="2"/>
        </w:numPr>
        <w:rPr>
          <w:bCs/>
        </w:rPr>
      </w:pPr>
      <w:r w:rsidRPr="000B6663">
        <w:rPr>
          <w:bCs/>
        </w:rPr>
        <w:t xml:space="preserve">Paragraph 2.2.1(1)(a) provides that </w:t>
      </w:r>
      <w:r w:rsidR="00415C4F">
        <w:rPr>
          <w:bCs/>
        </w:rPr>
        <w:t>r</w:t>
      </w:r>
      <w:r w:rsidR="00415C4F" w:rsidRPr="000B6663">
        <w:rPr>
          <w:bCs/>
        </w:rPr>
        <w:t xml:space="preserve">eporting </w:t>
      </w:r>
      <w:r w:rsidR="00415C4F">
        <w:rPr>
          <w:bCs/>
        </w:rPr>
        <w:t>e</w:t>
      </w:r>
      <w:r w:rsidR="00415C4F" w:rsidRPr="000B6663">
        <w:rPr>
          <w:bCs/>
        </w:rPr>
        <w:t xml:space="preserve">ntities </w:t>
      </w:r>
      <w:r w:rsidRPr="000B6663">
        <w:rPr>
          <w:bCs/>
        </w:rPr>
        <w:t xml:space="preserve">must report each of their </w:t>
      </w:r>
      <w:r w:rsidR="00415C4F">
        <w:rPr>
          <w:bCs/>
        </w:rPr>
        <w:t>r</w:t>
      </w:r>
      <w:r w:rsidR="00415C4F" w:rsidRPr="000B6663">
        <w:rPr>
          <w:bCs/>
        </w:rPr>
        <w:t xml:space="preserve">eportable </w:t>
      </w:r>
      <w:r w:rsidR="00415C4F">
        <w:rPr>
          <w:bCs/>
        </w:rPr>
        <w:t>t</w:t>
      </w:r>
      <w:r w:rsidR="00415C4F" w:rsidRPr="000B6663">
        <w:rPr>
          <w:bCs/>
        </w:rPr>
        <w:t xml:space="preserve">ransactions </w:t>
      </w:r>
      <w:r w:rsidRPr="000B6663">
        <w:rPr>
          <w:bCs/>
        </w:rPr>
        <w:t xml:space="preserve">in accordance with the </w:t>
      </w:r>
      <w:r w:rsidR="00415C4F">
        <w:rPr>
          <w:bCs/>
        </w:rPr>
        <w:t>t</w:t>
      </w:r>
      <w:r w:rsidR="00415C4F" w:rsidRPr="000B6663">
        <w:rPr>
          <w:bCs/>
        </w:rPr>
        <w:t xml:space="preserve">ransaction </w:t>
      </w:r>
      <w:r w:rsidR="00415C4F">
        <w:rPr>
          <w:bCs/>
        </w:rPr>
        <w:t>r</w:t>
      </w:r>
      <w:r w:rsidR="00415C4F" w:rsidRPr="000B6663">
        <w:rPr>
          <w:bCs/>
        </w:rPr>
        <w:t xml:space="preserve">eporting </w:t>
      </w:r>
      <w:r w:rsidR="00415C4F">
        <w:rPr>
          <w:bCs/>
        </w:rPr>
        <w:t>r</w:t>
      </w:r>
      <w:r w:rsidR="00415C4F" w:rsidRPr="000B6663">
        <w:rPr>
          <w:bCs/>
        </w:rPr>
        <w:t xml:space="preserve">equirements </w:t>
      </w:r>
      <w:r w:rsidRPr="000B6663">
        <w:rPr>
          <w:bCs/>
        </w:rPr>
        <w:t xml:space="preserve">in Part S1.1 of Schedule 1, during the applicable </w:t>
      </w:r>
      <w:r w:rsidR="00415C4F">
        <w:rPr>
          <w:bCs/>
        </w:rPr>
        <w:t>r</w:t>
      </w:r>
      <w:r w:rsidR="00415C4F" w:rsidRPr="000B6663">
        <w:rPr>
          <w:bCs/>
        </w:rPr>
        <w:t xml:space="preserve">eporting </w:t>
      </w:r>
      <w:r w:rsidR="00415C4F">
        <w:rPr>
          <w:bCs/>
        </w:rPr>
        <w:t>p</w:t>
      </w:r>
      <w:r w:rsidR="00415C4F" w:rsidRPr="000B6663">
        <w:rPr>
          <w:bCs/>
        </w:rPr>
        <w:t xml:space="preserve">eriods </w:t>
      </w:r>
      <w:r w:rsidRPr="000B6663">
        <w:rPr>
          <w:bCs/>
        </w:rPr>
        <w:t xml:space="preserve">set out in that Part, other than a modification, termination or assignment referred to in paragraph 2.2.1(1)(c). Part S1.1 of Schedule 1 provides for phased implementation of the </w:t>
      </w:r>
      <w:r w:rsidR="00415C4F">
        <w:rPr>
          <w:bCs/>
        </w:rPr>
        <w:t>t</w:t>
      </w:r>
      <w:r w:rsidR="00415C4F" w:rsidRPr="000B6663">
        <w:rPr>
          <w:bCs/>
        </w:rPr>
        <w:t xml:space="preserve">ransaction </w:t>
      </w:r>
      <w:r w:rsidR="00415C4F">
        <w:rPr>
          <w:bCs/>
        </w:rPr>
        <w:t>r</w:t>
      </w:r>
      <w:r w:rsidR="00415C4F" w:rsidRPr="000B6663">
        <w:rPr>
          <w:bCs/>
        </w:rPr>
        <w:t xml:space="preserve">eporting </w:t>
      </w:r>
      <w:r w:rsidR="00415C4F">
        <w:rPr>
          <w:bCs/>
        </w:rPr>
        <w:t>r</w:t>
      </w:r>
      <w:r w:rsidR="00415C4F" w:rsidRPr="000B6663">
        <w:rPr>
          <w:bCs/>
        </w:rPr>
        <w:t xml:space="preserve">equirements </w:t>
      </w:r>
      <w:r w:rsidRPr="000B6663">
        <w:rPr>
          <w:bCs/>
        </w:rPr>
        <w:t xml:space="preserve">for different kinds of </w:t>
      </w:r>
      <w:r w:rsidR="0024686F">
        <w:rPr>
          <w:bCs/>
        </w:rPr>
        <w:t>r</w:t>
      </w:r>
      <w:r w:rsidRPr="000B6663">
        <w:rPr>
          <w:bCs/>
        </w:rPr>
        <w:t xml:space="preserve">eporting </w:t>
      </w:r>
      <w:r w:rsidR="0024686F">
        <w:rPr>
          <w:bCs/>
        </w:rPr>
        <w:t>e</w:t>
      </w:r>
      <w:r w:rsidRPr="000B6663">
        <w:rPr>
          <w:bCs/>
        </w:rPr>
        <w:t>ntities and Part S2</w:t>
      </w:r>
      <w:r w:rsidR="009437EB">
        <w:rPr>
          <w:bCs/>
        </w:rPr>
        <w:t>.1</w:t>
      </w:r>
      <w:r w:rsidRPr="000B6663">
        <w:rPr>
          <w:bCs/>
        </w:rPr>
        <w:t xml:space="preserve"> of Schedule 2 provides for the </w:t>
      </w:r>
      <w:r w:rsidR="00415C4F">
        <w:rPr>
          <w:bCs/>
        </w:rPr>
        <w:t>d</w:t>
      </w:r>
      <w:r w:rsidR="00415C4F" w:rsidRPr="000B6663">
        <w:rPr>
          <w:bCs/>
        </w:rPr>
        <w:t xml:space="preserve">erivative </w:t>
      </w:r>
      <w:r w:rsidR="00415C4F">
        <w:rPr>
          <w:bCs/>
        </w:rPr>
        <w:t>t</w:t>
      </w:r>
      <w:r w:rsidR="00415C4F" w:rsidRPr="000B6663">
        <w:rPr>
          <w:bCs/>
        </w:rPr>
        <w:t xml:space="preserve">ransaction </w:t>
      </w:r>
      <w:r w:rsidR="00415C4F">
        <w:rPr>
          <w:bCs/>
        </w:rPr>
        <w:t>i</w:t>
      </w:r>
      <w:r w:rsidR="00415C4F" w:rsidRPr="000B6663">
        <w:rPr>
          <w:bCs/>
        </w:rPr>
        <w:t xml:space="preserve">nformation </w:t>
      </w:r>
      <w:r w:rsidRPr="000B6663">
        <w:rPr>
          <w:bCs/>
        </w:rPr>
        <w:t>to be reported.</w:t>
      </w:r>
    </w:p>
    <w:p w14:paraId="74D7C118" w14:textId="0D80AEE2" w:rsidR="00CA71F3" w:rsidRPr="00F94428" w:rsidRDefault="00CA71F3" w:rsidP="00091619">
      <w:pPr>
        <w:pStyle w:val="LI-BodyTextParaa"/>
        <w:numPr>
          <w:ilvl w:val="0"/>
          <w:numId w:val="2"/>
        </w:numPr>
        <w:rPr>
          <w:bCs/>
        </w:rPr>
      </w:pPr>
      <w:r>
        <w:rPr>
          <w:bCs/>
        </w:rPr>
        <w:t xml:space="preserve">For the 2022 Rules, all of the </w:t>
      </w:r>
      <w:r w:rsidR="00415C4F">
        <w:rPr>
          <w:bCs/>
        </w:rPr>
        <w:t>r</w:t>
      </w:r>
      <w:r>
        <w:rPr>
          <w:bCs/>
        </w:rPr>
        <w:t xml:space="preserve">eporting </w:t>
      </w:r>
      <w:r w:rsidR="00415C4F">
        <w:rPr>
          <w:bCs/>
        </w:rPr>
        <w:t>p</w:t>
      </w:r>
      <w:r>
        <w:rPr>
          <w:bCs/>
        </w:rPr>
        <w:t xml:space="preserve">eriods </w:t>
      </w:r>
      <w:r w:rsidR="002060AF">
        <w:rPr>
          <w:bCs/>
        </w:rPr>
        <w:t xml:space="preserve">set out in Part S1.1 </w:t>
      </w:r>
      <w:r w:rsidR="005E6F0E">
        <w:rPr>
          <w:bCs/>
        </w:rPr>
        <w:t xml:space="preserve">of Schedule 1 have commenced and there are no </w:t>
      </w:r>
      <w:r w:rsidR="00415C4F">
        <w:rPr>
          <w:bCs/>
        </w:rPr>
        <w:t>r</w:t>
      </w:r>
      <w:r w:rsidR="005E6F0E">
        <w:rPr>
          <w:bCs/>
        </w:rPr>
        <w:t xml:space="preserve">eporting </w:t>
      </w:r>
      <w:r w:rsidR="00415C4F">
        <w:rPr>
          <w:bCs/>
        </w:rPr>
        <w:t>p</w:t>
      </w:r>
      <w:r w:rsidR="005E6F0E">
        <w:rPr>
          <w:bCs/>
        </w:rPr>
        <w:t xml:space="preserve">eriods </w:t>
      </w:r>
      <w:r w:rsidR="00F94428">
        <w:rPr>
          <w:bCs/>
        </w:rPr>
        <w:t xml:space="preserve">yet to commence under the </w:t>
      </w:r>
      <w:r>
        <w:rPr>
          <w:bCs/>
        </w:rPr>
        <w:t>2022 Rules.</w:t>
      </w:r>
    </w:p>
    <w:p w14:paraId="028DEFCA" w14:textId="1565C51E" w:rsidR="0026773C" w:rsidRPr="00140A4C" w:rsidRDefault="00B37F14" w:rsidP="00091619">
      <w:pPr>
        <w:pStyle w:val="LI-BodyTextParaa"/>
        <w:numPr>
          <w:ilvl w:val="0"/>
          <w:numId w:val="2"/>
        </w:numPr>
        <w:rPr>
          <w:bCs/>
        </w:rPr>
      </w:pPr>
      <w:r w:rsidRPr="00B37F14">
        <w:rPr>
          <w:bCs/>
        </w:rPr>
        <w:t xml:space="preserve">Paragraph 2.2.1(1)(b) </w:t>
      </w:r>
      <w:r>
        <w:rPr>
          <w:bCs/>
        </w:rPr>
        <w:t xml:space="preserve">provides that </w:t>
      </w:r>
      <w:r w:rsidR="00415C4F">
        <w:rPr>
          <w:bCs/>
        </w:rPr>
        <w:t>r</w:t>
      </w:r>
      <w:r w:rsidR="00415C4F" w:rsidRPr="00140A4C">
        <w:rPr>
          <w:bCs/>
        </w:rPr>
        <w:t xml:space="preserve">eporting </w:t>
      </w:r>
      <w:r w:rsidR="00415C4F">
        <w:rPr>
          <w:bCs/>
        </w:rPr>
        <w:t>e</w:t>
      </w:r>
      <w:r w:rsidR="00415C4F" w:rsidRPr="00140A4C">
        <w:rPr>
          <w:bCs/>
        </w:rPr>
        <w:t xml:space="preserve">ntities </w:t>
      </w:r>
      <w:r w:rsidR="0026773C" w:rsidRPr="00140A4C">
        <w:rPr>
          <w:bCs/>
        </w:rPr>
        <w:t xml:space="preserve">must report their </w:t>
      </w:r>
      <w:r w:rsidR="00415C4F">
        <w:rPr>
          <w:bCs/>
        </w:rPr>
        <w:t>r</w:t>
      </w:r>
      <w:r w:rsidR="00415C4F" w:rsidRPr="00140A4C">
        <w:rPr>
          <w:bCs/>
        </w:rPr>
        <w:t xml:space="preserve">eportable </w:t>
      </w:r>
      <w:r w:rsidR="00415C4F">
        <w:rPr>
          <w:bCs/>
        </w:rPr>
        <w:t>p</w:t>
      </w:r>
      <w:r w:rsidR="00415C4F" w:rsidRPr="00140A4C">
        <w:rPr>
          <w:bCs/>
        </w:rPr>
        <w:t xml:space="preserve">ositions </w:t>
      </w:r>
      <w:r w:rsidR="0026773C" w:rsidRPr="00140A4C">
        <w:rPr>
          <w:bCs/>
        </w:rPr>
        <w:t xml:space="preserve">in accordance with the </w:t>
      </w:r>
      <w:r w:rsidR="00415C4F">
        <w:rPr>
          <w:bCs/>
        </w:rPr>
        <w:t>p</w:t>
      </w:r>
      <w:r w:rsidR="00415C4F" w:rsidRPr="00140A4C">
        <w:rPr>
          <w:bCs/>
        </w:rPr>
        <w:t xml:space="preserve">osition </w:t>
      </w:r>
      <w:r w:rsidR="00415C4F">
        <w:rPr>
          <w:bCs/>
        </w:rPr>
        <w:t>r</w:t>
      </w:r>
      <w:r w:rsidR="00415C4F" w:rsidRPr="00140A4C">
        <w:rPr>
          <w:bCs/>
        </w:rPr>
        <w:t xml:space="preserve">eporting </w:t>
      </w:r>
      <w:r w:rsidR="00415C4F">
        <w:rPr>
          <w:bCs/>
        </w:rPr>
        <w:t>r</w:t>
      </w:r>
      <w:r w:rsidR="00415C4F" w:rsidRPr="00140A4C">
        <w:rPr>
          <w:bCs/>
        </w:rPr>
        <w:t xml:space="preserve">equirements </w:t>
      </w:r>
      <w:r w:rsidR="0026773C" w:rsidRPr="00140A4C">
        <w:rPr>
          <w:bCs/>
        </w:rPr>
        <w:t xml:space="preserve">in Part S1.2 of Schedule 1, by the applicable </w:t>
      </w:r>
      <w:r w:rsidR="00415C4F">
        <w:rPr>
          <w:bCs/>
        </w:rPr>
        <w:t>p</w:t>
      </w:r>
      <w:r w:rsidR="00415C4F" w:rsidRPr="00140A4C">
        <w:rPr>
          <w:bCs/>
        </w:rPr>
        <w:t xml:space="preserve">osition </w:t>
      </w:r>
      <w:r w:rsidR="00415C4F">
        <w:rPr>
          <w:bCs/>
        </w:rPr>
        <w:t>r</w:t>
      </w:r>
      <w:r w:rsidR="00415C4F" w:rsidRPr="00140A4C">
        <w:rPr>
          <w:bCs/>
        </w:rPr>
        <w:t xml:space="preserve">eporting </w:t>
      </w:r>
      <w:r w:rsidR="00415C4F">
        <w:rPr>
          <w:bCs/>
        </w:rPr>
        <w:t>d</w:t>
      </w:r>
      <w:r w:rsidR="00415C4F" w:rsidRPr="00140A4C">
        <w:rPr>
          <w:bCs/>
        </w:rPr>
        <w:t xml:space="preserve">ate </w:t>
      </w:r>
      <w:r w:rsidR="0026773C" w:rsidRPr="00140A4C">
        <w:rPr>
          <w:bCs/>
        </w:rPr>
        <w:t xml:space="preserve">set out in that Part. Part S1.2 of Schedule 1 provides for phased implementation of the </w:t>
      </w:r>
      <w:r w:rsidR="00415C4F">
        <w:rPr>
          <w:bCs/>
        </w:rPr>
        <w:t>p</w:t>
      </w:r>
      <w:r w:rsidR="00415C4F" w:rsidRPr="00140A4C">
        <w:rPr>
          <w:bCs/>
        </w:rPr>
        <w:t xml:space="preserve">osition </w:t>
      </w:r>
      <w:r w:rsidR="00415C4F">
        <w:rPr>
          <w:bCs/>
        </w:rPr>
        <w:t>r</w:t>
      </w:r>
      <w:r w:rsidR="00415C4F" w:rsidRPr="00140A4C">
        <w:rPr>
          <w:bCs/>
        </w:rPr>
        <w:t xml:space="preserve">eporting </w:t>
      </w:r>
      <w:r w:rsidR="00415C4F">
        <w:rPr>
          <w:bCs/>
        </w:rPr>
        <w:t>r</w:t>
      </w:r>
      <w:r w:rsidR="00415C4F" w:rsidRPr="00140A4C">
        <w:rPr>
          <w:bCs/>
        </w:rPr>
        <w:t xml:space="preserve">equirements </w:t>
      </w:r>
      <w:r w:rsidR="0026773C" w:rsidRPr="00140A4C">
        <w:rPr>
          <w:bCs/>
        </w:rPr>
        <w:t xml:space="preserve">for different kinds of </w:t>
      </w:r>
      <w:r w:rsidR="00415C4F">
        <w:rPr>
          <w:bCs/>
        </w:rPr>
        <w:t>r</w:t>
      </w:r>
      <w:r w:rsidR="00415C4F" w:rsidRPr="00140A4C">
        <w:rPr>
          <w:bCs/>
        </w:rPr>
        <w:t xml:space="preserve">eporting </w:t>
      </w:r>
      <w:r w:rsidR="00415C4F">
        <w:rPr>
          <w:bCs/>
        </w:rPr>
        <w:t>e</w:t>
      </w:r>
      <w:r w:rsidR="00415C4F" w:rsidRPr="00140A4C">
        <w:rPr>
          <w:bCs/>
        </w:rPr>
        <w:t xml:space="preserve">ntities </w:t>
      </w:r>
      <w:r w:rsidR="0026773C" w:rsidRPr="00140A4C">
        <w:rPr>
          <w:bCs/>
        </w:rPr>
        <w:t xml:space="preserve">and Part S2.2 of Schedule 2 provides for the </w:t>
      </w:r>
      <w:r w:rsidR="00415C4F">
        <w:rPr>
          <w:bCs/>
        </w:rPr>
        <w:t>d</w:t>
      </w:r>
      <w:r w:rsidR="00415C4F" w:rsidRPr="00140A4C">
        <w:rPr>
          <w:bCs/>
        </w:rPr>
        <w:t xml:space="preserve">erivative </w:t>
      </w:r>
      <w:r w:rsidR="00415C4F">
        <w:rPr>
          <w:bCs/>
        </w:rPr>
        <w:t>p</w:t>
      </w:r>
      <w:r w:rsidR="00415C4F" w:rsidRPr="00140A4C">
        <w:rPr>
          <w:bCs/>
        </w:rPr>
        <w:t xml:space="preserve">osition </w:t>
      </w:r>
      <w:r w:rsidR="00415C4F">
        <w:rPr>
          <w:bCs/>
        </w:rPr>
        <w:t>i</w:t>
      </w:r>
      <w:r w:rsidR="00415C4F" w:rsidRPr="00140A4C">
        <w:rPr>
          <w:bCs/>
        </w:rPr>
        <w:t xml:space="preserve">nformation </w:t>
      </w:r>
      <w:r w:rsidR="0026773C" w:rsidRPr="00140A4C">
        <w:rPr>
          <w:bCs/>
        </w:rPr>
        <w:t>to be reported.</w:t>
      </w:r>
    </w:p>
    <w:p w14:paraId="67C03981" w14:textId="7C47DD85" w:rsidR="0026773C" w:rsidRPr="00757607" w:rsidRDefault="00FB24EC" w:rsidP="00091619">
      <w:pPr>
        <w:pStyle w:val="LI-BodyTextParaa"/>
        <w:numPr>
          <w:ilvl w:val="0"/>
          <w:numId w:val="2"/>
        </w:numPr>
        <w:rPr>
          <w:bCs/>
        </w:rPr>
      </w:pPr>
      <w:r w:rsidRPr="00B37F14">
        <w:rPr>
          <w:bCs/>
        </w:rPr>
        <w:t>Paragraph 2.2.1(1)(</w:t>
      </w:r>
      <w:r>
        <w:rPr>
          <w:bCs/>
        </w:rPr>
        <w:t>c</w:t>
      </w:r>
      <w:r w:rsidRPr="00B37F14">
        <w:rPr>
          <w:bCs/>
        </w:rPr>
        <w:t xml:space="preserve">) </w:t>
      </w:r>
      <w:r>
        <w:rPr>
          <w:bCs/>
        </w:rPr>
        <w:t xml:space="preserve">provides that </w:t>
      </w:r>
      <w:r w:rsidR="00B00D54">
        <w:rPr>
          <w:bCs/>
        </w:rPr>
        <w:t>r</w:t>
      </w:r>
      <w:r w:rsidR="00415C4F" w:rsidRPr="00757607">
        <w:rPr>
          <w:bCs/>
        </w:rPr>
        <w:t xml:space="preserve">eporting </w:t>
      </w:r>
      <w:r w:rsidR="00415C4F">
        <w:rPr>
          <w:bCs/>
        </w:rPr>
        <w:t>e</w:t>
      </w:r>
      <w:r w:rsidR="00415C4F" w:rsidRPr="00757607">
        <w:rPr>
          <w:bCs/>
        </w:rPr>
        <w:t xml:space="preserve">ntities </w:t>
      </w:r>
      <w:r w:rsidR="0026773C" w:rsidRPr="00757607">
        <w:rPr>
          <w:bCs/>
        </w:rPr>
        <w:t xml:space="preserve">must report a </w:t>
      </w:r>
      <w:r w:rsidR="00415C4F">
        <w:rPr>
          <w:bCs/>
        </w:rPr>
        <w:t>r</w:t>
      </w:r>
      <w:r w:rsidR="00415C4F" w:rsidRPr="00757607">
        <w:rPr>
          <w:bCs/>
        </w:rPr>
        <w:t xml:space="preserve">eportable </w:t>
      </w:r>
      <w:r w:rsidR="00415C4F">
        <w:rPr>
          <w:bCs/>
        </w:rPr>
        <w:t>t</w:t>
      </w:r>
      <w:r w:rsidR="00415C4F" w:rsidRPr="00757607">
        <w:rPr>
          <w:bCs/>
        </w:rPr>
        <w:t xml:space="preserve">ransaction </w:t>
      </w:r>
      <w:r w:rsidR="0026773C" w:rsidRPr="00757607">
        <w:rPr>
          <w:bCs/>
        </w:rPr>
        <w:t xml:space="preserve">that is a modification, </w:t>
      </w:r>
      <w:proofErr w:type="gramStart"/>
      <w:r w:rsidR="0026773C" w:rsidRPr="00757607">
        <w:rPr>
          <w:bCs/>
        </w:rPr>
        <w:t>termination</w:t>
      </w:r>
      <w:proofErr w:type="gramEnd"/>
      <w:r w:rsidR="0026773C" w:rsidRPr="00757607">
        <w:rPr>
          <w:bCs/>
        </w:rPr>
        <w:t xml:space="preserve"> or assignment of a </w:t>
      </w:r>
      <w:r w:rsidR="00415C4F">
        <w:rPr>
          <w:bCs/>
        </w:rPr>
        <w:t>r</w:t>
      </w:r>
      <w:r w:rsidR="00415C4F" w:rsidRPr="00757607">
        <w:rPr>
          <w:bCs/>
        </w:rPr>
        <w:t xml:space="preserve">eportable </w:t>
      </w:r>
      <w:r w:rsidR="00415C4F">
        <w:rPr>
          <w:bCs/>
        </w:rPr>
        <w:t>p</w:t>
      </w:r>
      <w:r w:rsidR="00415C4F" w:rsidRPr="00757607">
        <w:rPr>
          <w:bCs/>
        </w:rPr>
        <w:t xml:space="preserve">osition </w:t>
      </w:r>
      <w:r w:rsidR="0026773C" w:rsidRPr="00757607">
        <w:rPr>
          <w:bCs/>
        </w:rPr>
        <w:t xml:space="preserve">and that occurs before the applicable </w:t>
      </w:r>
      <w:r w:rsidR="00415C4F">
        <w:rPr>
          <w:bCs/>
        </w:rPr>
        <w:t>p</w:t>
      </w:r>
      <w:r w:rsidR="00415C4F" w:rsidRPr="00757607">
        <w:rPr>
          <w:bCs/>
        </w:rPr>
        <w:t xml:space="preserve">osition </w:t>
      </w:r>
      <w:r w:rsidR="00415C4F">
        <w:rPr>
          <w:bCs/>
        </w:rPr>
        <w:t>r</w:t>
      </w:r>
      <w:r w:rsidR="00415C4F" w:rsidRPr="00757607">
        <w:rPr>
          <w:bCs/>
        </w:rPr>
        <w:t xml:space="preserve">eporting </w:t>
      </w:r>
      <w:r w:rsidR="00415C4F">
        <w:rPr>
          <w:bCs/>
        </w:rPr>
        <w:t>d</w:t>
      </w:r>
      <w:r w:rsidR="00415C4F" w:rsidRPr="00757607">
        <w:rPr>
          <w:bCs/>
        </w:rPr>
        <w:t xml:space="preserve">ate </w:t>
      </w:r>
      <w:r w:rsidR="0026773C" w:rsidRPr="00757607">
        <w:rPr>
          <w:bCs/>
        </w:rPr>
        <w:t xml:space="preserve">for that </w:t>
      </w:r>
      <w:r w:rsidR="00415C4F">
        <w:rPr>
          <w:bCs/>
        </w:rPr>
        <w:t>r</w:t>
      </w:r>
      <w:r w:rsidR="00415C4F" w:rsidRPr="00757607">
        <w:rPr>
          <w:bCs/>
        </w:rPr>
        <w:t xml:space="preserve">eportable </w:t>
      </w:r>
      <w:r w:rsidR="00415C4F">
        <w:rPr>
          <w:bCs/>
        </w:rPr>
        <w:t>p</w:t>
      </w:r>
      <w:r w:rsidR="00415C4F" w:rsidRPr="00757607">
        <w:rPr>
          <w:bCs/>
        </w:rPr>
        <w:t>osition</w:t>
      </w:r>
      <w:r w:rsidR="0026773C" w:rsidRPr="00757607">
        <w:rPr>
          <w:bCs/>
        </w:rPr>
        <w:t>, in accordance with Rule 2.4.4. See the explanatory material on Rule 2.4.4 below, for further information.</w:t>
      </w:r>
    </w:p>
    <w:p w14:paraId="546AEE0B" w14:textId="1680AD99" w:rsidR="0026773C" w:rsidRPr="000C154B" w:rsidRDefault="00024E81" w:rsidP="00091619">
      <w:pPr>
        <w:pStyle w:val="LI-BodyTextParaa"/>
        <w:numPr>
          <w:ilvl w:val="0"/>
          <w:numId w:val="2"/>
        </w:numPr>
        <w:rPr>
          <w:bCs/>
        </w:rPr>
      </w:pPr>
      <w:r>
        <w:rPr>
          <w:bCs/>
        </w:rPr>
        <w:t xml:space="preserve">For the 2022 Rules, all of the </w:t>
      </w:r>
      <w:r w:rsidR="00415C4F">
        <w:rPr>
          <w:bCs/>
        </w:rPr>
        <w:t>p</w:t>
      </w:r>
      <w:r w:rsidR="00720EB7">
        <w:rPr>
          <w:bCs/>
        </w:rPr>
        <w:t xml:space="preserve">osition </w:t>
      </w:r>
      <w:r w:rsidR="00415C4F">
        <w:rPr>
          <w:bCs/>
        </w:rPr>
        <w:t>r</w:t>
      </w:r>
      <w:r w:rsidR="00720EB7">
        <w:rPr>
          <w:bCs/>
        </w:rPr>
        <w:t xml:space="preserve">eporting </w:t>
      </w:r>
      <w:r w:rsidR="00415C4F">
        <w:rPr>
          <w:bCs/>
        </w:rPr>
        <w:t>d</w:t>
      </w:r>
      <w:r w:rsidR="00720EB7">
        <w:rPr>
          <w:bCs/>
        </w:rPr>
        <w:t xml:space="preserve">ates </w:t>
      </w:r>
      <w:r w:rsidR="009437EB">
        <w:rPr>
          <w:bCs/>
        </w:rPr>
        <w:t xml:space="preserve">set out in Part S1.2 of Schedule 1 </w:t>
      </w:r>
      <w:r>
        <w:rPr>
          <w:bCs/>
        </w:rPr>
        <w:t xml:space="preserve">have already </w:t>
      </w:r>
      <w:r w:rsidR="008A2E5E">
        <w:rPr>
          <w:bCs/>
        </w:rPr>
        <w:t xml:space="preserve">occurred and there are no </w:t>
      </w:r>
      <w:r>
        <w:rPr>
          <w:bCs/>
        </w:rPr>
        <w:t xml:space="preserve">additional phased </w:t>
      </w:r>
      <w:r w:rsidR="00415C4F">
        <w:rPr>
          <w:bCs/>
        </w:rPr>
        <w:t>p</w:t>
      </w:r>
      <w:r w:rsidR="008A2E5E">
        <w:rPr>
          <w:bCs/>
        </w:rPr>
        <w:t xml:space="preserve">osition </w:t>
      </w:r>
      <w:r w:rsidR="00415C4F">
        <w:rPr>
          <w:bCs/>
        </w:rPr>
        <w:t>r</w:t>
      </w:r>
      <w:r w:rsidR="008A2E5E">
        <w:rPr>
          <w:bCs/>
        </w:rPr>
        <w:t xml:space="preserve">eporting </w:t>
      </w:r>
      <w:r w:rsidR="00415C4F">
        <w:rPr>
          <w:bCs/>
        </w:rPr>
        <w:t>r</w:t>
      </w:r>
      <w:r>
        <w:rPr>
          <w:bCs/>
        </w:rPr>
        <w:t>equirements yet to be satisfied under the 2022 Rules.</w:t>
      </w:r>
    </w:p>
    <w:p w14:paraId="6844CF2A" w14:textId="77777777" w:rsidR="00F6763B" w:rsidRDefault="00F6763B">
      <w:pPr>
        <w:spacing w:line="240" w:lineRule="auto"/>
        <w:rPr>
          <w:rFonts w:eastAsia="Times New Roman"/>
          <w:i/>
          <w:iCs/>
          <w:sz w:val="24"/>
          <w:szCs w:val="24"/>
          <w:lang w:eastAsia="en-AU"/>
        </w:rPr>
      </w:pPr>
      <w:r>
        <w:rPr>
          <w:i/>
          <w:iCs/>
        </w:rPr>
        <w:br w:type="page"/>
      </w:r>
    </w:p>
    <w:p w14:paraId="4CE592CD" w14:textId="6B8F01CC" w:rsidR="0026773C" w:rsidRPr="004309E7" w:rsidRDefault="0026773C" w:rsidP="004309E7">
      <w:pPr>
        <w:pStyle w:val="LI-BodyTextNumbered"/>
        <w:ind w:left="0" w:firstLine="0"/>
        <w:rPr>
          <w:i/>
          <w:iCs/>
        </w:rPr>
      </w:pPr>
      <w:r w:rsidRPr="004309E7">
        <w:rPr>
          <w:i/>
          <w:iCs/>
        </w:rPr>
        <w:lastRenderedPageBreak/>
        <w:t xml:space="preserve">Subrule 2.2.1(2) - Exception where no </w:t>
      </w:r>
      <w:r w:rsidR="00715225">
        <w:rPr>
          <w:i/>
          <w:iCs/>
        </w:rPr>
        <w:t>l</w:t>
      </w:r>
      <w:r w:rsidRPr="004309E7">
        <w:rPr>
          <w:i/>
          <w:iCs/>
        </w:rPr>
        <w:t xml:space="preserve">icensed </w:t>
      </w:r>
      <w:r w:rsidR="00715225">
        <w:rPr>
          <w:i/>
          <w:iCs/>
        </w:rPr>
        <w:t>r</w:t>
      </w:r>
      <w:r w:rsidRPr="004309E7">
        <w:rPr>
          <w:i/>
          <w:iCs/>
        </w:rPr>
        <w:t xml:space="preserve">epository and no </w:t>
      </w:r>
      <w:r w:rsidR="00715225">
        <w:rPr>
          <w:i/>
          <w:iCs/>
        </w:rPr>
        <w:t>p</w:t>
      </w:r>
      <w:r w:rsidRPr="004309E7">
        <w:rPr>
          <w:i/>
          <w:iCs/>
        </w:rPr>
        <w:t xml:space="preserve">rescribed </w:t>
      </w:r>
      <w:r w:rsidR="00715225">
        <w:rPr>
          <w:i/>
          <w:iCs/>
        </w:rPr>
        <w:t>r</w:t>
      </w:r>
      <w:r w:rsidRPr="004309E7">
        <w:rPr>
          <w:i/>
          <w:iCs/>
        </w:rPr>
        <w:t>epository</w:t>
      </w:r>
    </w:p>
    <w:p w14:paraId="1E3D8EFA" w14:textId="272BF32D" w:rsidR="0026773C" w:rsidRPr="0062359E" w:rsidRDefault="0026773C" w:rsidP="00091619">
      <w:pPr>
        <w:pStyle w:val="LI-BodyTextParaa"/>
        <w:numPr>
          <w:ilvl w:val="0"/>
          <w:numId w:val="2"/>
        </w:numPr>
        <w:rPr>
          <w:bCs/>
        </w:rPr>
      </w:pPr>
      <w:r w:rsidRPr="0062359E">
        <w:rPr>
          <w:bCs/>
        </w:rPr>
        <w:t xml:space="preserve">Subrule 2.2.1(2) provides for a general, ongoing exception to the requirements of subrule 2.2.1(1) and Part 2.2, for all </w:t>
      </w:r>
      <w:r w:rsidR="00B76B9B">
        <w:rPr>
          <w:bCs/>
        </w:rPr>
        <w:t>r</w:t>
      </w:r>
      <w:r w:rsidRPr="0062359E">
        <w:rPr>
          <w:bCs/>
        </w:rPr>
        <w:t xml:space="preserve">eporting </w:t>
      </w:r>
      <w:r w:rsidR="00B76B9B">
        <w:rPr>
          <w:bCs/>
        </w:rPr>
        <w:t>e</w:t>
      </w:r>
      <w:r w:rsidRPr="0062359E">
        <w:rPr>
          <w:bCs/>
        </w:rPr>
        <w:t>ntities.</w:t>
      </w:r>
    </w:p>
    <w:p w14:paraId="3AA2D1C1" w14:textId="16129DBA" w:rsidR="0026773C" w:rsidRPr="001625E1" w:rsidRDefault="0026773C" w:rsidP="00091619">
      <w:pPr>
        <w:pStyle w:val="LI-BodyTextParaa"/>
        <w:numPr>
          <w:ilvl w:val="0"/>
          <w:numId w:val="2"/>
        </w:numPr>
        <w:rPr>
          <w:bCs/>
        </w:rPr>
      </w:pPr>
      <w:r w:rsidRPr="001625E1">
        <w:rPr>
          <w:bCs/>
        </w:rPr>
        <w:t xml:space="preserve">Subrule 2.2.1(2) provides that a </w:t>
      </w:r>
      <w:r w:rsidR="00B76B9B">
        <w:rPr>
          <w:bCs/>
        </w:rPr>
        <w:t>r</w:t>
      </w:r>
      <w:r w:rsidRPr="001625E1">
        <w:rPr>
          <w:bCs/>
        </w:rPr>
        <w:t xml:space="preserve">eporting </w:t>
      </w:r>
      <w:r w:rsidR="00B76B9B">
        <w:rPr>
          <w:bCs/>
        </w:rPr>
        <w:t>e</w:t>
      </w:r>
      <w:r w:rsidRPr="001625E1">
        <w:rPr>
          <w:bCs/>
        </w:rPr>
        <w:t xml:space="preserve">ntity is not required to comply with the requirements of subrule 2.2.1(1) and Part 2.2 that would otherwise apply to the </w:t>
      </w:r>
      <w:r w:rsidR="00B76B9B">
        <w:rPr>
          <w:bCs/>
        </w:rPr>
        <w:t>r</w:t>
      </w:r>
      <w:r w:rsidR="00B76B9B" w:rsidRPr="001625E1">
        <w:rPr>
          <w:bCs/>
        </w:rPr>
        <w:t xml:space="preserve">eporting </w:t>
      </w:r>
      <w:r w:rsidR="00B76B9B">
        <w:rPr>
          <w:bCs/>
        </w:rPr>
        <w:t>e</w:t>
      </w:r>
      <w:r w:rsidR="00B76B9B" w:rsidRPr="001625E1">
        <w:rPr>
          <w:bCs/>
        </w:rPr>
        <w:t xml:space="preserve">ntity </w:t>
      </w:r>
      <w:r w:rsidRPr="001625E1">
        <w:rPr>
          <w:bCs/>
        </w:rPr>
        <w:t xml:space="preserve">in relation to a </w:t>
      </w:r>
      <w:r w:rsidR="00B76B9B">
        <w:rPr>
          <w:bCs/>
        </w:rPr>
        <w:t>r</w:t>
      </w:r>
      <w:r w:rsidR="00B76B9B" w:rsidRPr="001625E1">
        <w:rPr>
          <w:bCs/>
        </w:rPr>
        <w:t xml:space="preserve">eportable </w:t>
      </w:r>
      <w:r w:rsidR="00B76B9B">
        <w:rPr>
          <w:bCs/>
        </w:rPr>
        <w:t>t</w:t>
      </w:r>
      <w:r w:rsidR="00B76B9B" w:rsidRPr="001625E1">
        <w:rPr>
          <w:bCs/>
        </w:rPr>
        <w:t xml:space="preserve">ransaction </w:t>
      </w:r>
      <w:r w:rsidRPr="001625E1">
        <w:rPr>
          <w:bCs/>
        </w:rPr>
        <w:t xml:space="preserve">or a </w:t>
      </w:r>
      <w:r w:rsidR="00B76B9B">
        <w:rPr>
          <w:bCs/>
        </w:rPr>
        <w:t>r</w:t>
      </w:r>
      <w:r w:rsidR="00B76B9B" w:rsidRPr="001625E1">
        <w:rPr>
          <w:bCs/>
        </w:rPr>
        <w:t>eportable</w:t>
      </w:r>
      <w:r w:rsidR="00BF185B">
        <w:rPr>
          <w:bCs/>
        </w:rPr>
        <w:t xml:space="preserve"> p</w:t>
      </w:r>
      <w:r w:rsidRPr="001625E1">
        <w:rPr>
          <w:bCs/>
        </w:rPr>
        <w:t xml:space="preserve">osition if, at the time the </w:t>
      </w:r>
      <w:r w:rsidR="00B76B9B">
        <w:rPr>
          <w:bCs/>
        </w:rPr>
        <w:t>r</w:t>
      </w:r>
      <w:r w:rsidR="00B76B9B" w:rsidRPr="001625E1">
        <w:rPr>
          <w:bCs/>
        </w:rPr>
        <w:t xml:space="preserve">eporting </w:t>
      </w:r>
      <w:r w:rsidR="00B76B9B">
        <w:rPr>
          <w:bCs/>
        </w:rPr>
        <w:t>e</w:t>
      </w:r>
      <w:r w:rsidR="00B76B9B" w:rsidRPr="001625E1">
        <w:rPr>
          <w:bCs/>
        </w:rPr>
        <w:t xml:space="preserve">ntity </w:t>
      </w:r>
      <w:r w:rsidRPr="001625E1">
        <w:rPr>
          <w:bCs/>
        </w:rPr>
        <w:t>is required to comply with the requirements:</w:t>
      </w:r>
    </w:p>
    <w:p w14:paraId="1355B727" w14:textId="7D25403C" w:rsidR="0026773C" w:rsidRPr="001625E1" w:rsidRDefault="0026773C" w:rsidP="00091619">
      <w:pPr>
        <w:pStyle w:val="LI-BodyTextParaa"/>
        <w:numPr>
          <w:ilvl w:val="1"/>
          <w:numId w:val="2"/>
        </w:numPr>
        <w:rPr>
          <w:bCs/>
        </w:rPr>
      </w:pPr>
      <w:r w:rsidRPr="001625E1">
        <w:rPr>
          <w:bCs/>
        </w:rPr>
        <w:t xml:space="preserve">there is no </w:t>
      </w:r>
      <w:r w:rsidR="00B76B9B">
        <w:rPr>
          <w:bCs/>
        </w:rPr>
        <w:t>l</w:t>
      </w:r>
      <w:r w:rsidR="00B76B9B" w:rsidRPr="001625E1">
        <w:rPr>
          <w:bCs/>
        </w:rPr>
        <w:t xml:space="preserve">icensed </w:t>
      </w:r>
      <w:r w:rsidR="00B76B9B">
        <w:rPr>
          <w:bCs/>
        </w:rPr>
        <w:t>r</w:t>
      </w:r>
      <w:r w:rsidR="00B76B9B" w:rsidRPr="001625E1">
        <w:rPr>
          <w:bCs/>
        </w:rPr>
        <w:t xml:space="preserve">epository </w:t>
      </w:r>
      <w:r w:rsidRPr="001625E1">
        <w:rPr>
          <w:bCs/>
        </w:rPr>
        <w:t xml:space="preserve">authorised to provide services in respect of the class of </w:t>
      </w:r>
      <w:r w:rsidR="00B76B9B">
        <w:rPr>
          <w:bCs/>
        </w:rPr>
        <w:t>d</w:t>
      </w:r>
      <w:r w:rsidR="00B76B9B" w:rsidRPr="001625E1">
        <w:rPr>
          <w:bCs/>
        </w:rPr>
        <w:t xml:space="preserve">erivatives </w:t>
      </w:r>
      <w:r w:rsidRPr="001625E1">
        <w:rPr>
          <w:bCs/>
        </w:rPr>
        <w:t xml:space="preserve">that includes the </w:t>
      </w:r>
      <w:r w:rsidR="00B76B9B">
        <w:rPr>
          <w:bCs/>
        </w:rPr>
        <w:t>d</w:t>
      </w:r>
      <w:r w:rsidR="00B76B9B" w:rsidRPr="001625E1">
        <w:rPr>
          <w:bCs/>
        </w:rPr>
        <w:t xml:space="preserve">erivatives </w:t>
      </w:r>
      <w:r w:rsidRPr="001625E1">
        <w:rPr>
          <w:bCs/>
        </w:rPr>
        <w:t xml:space="preserve">to which the </w:t>
      </w:r>
      <w:r w:rsidR="00B76B9B">
        <w:rPr>
          <w:bCs/>
        </w:rPr>
        <w:t>r</w:t>
      </w:r>
      <w:r w:rsidR="00B76B9B" w:rsidRPr="001625E1">
        <w:rPr>
          <w:bCs/>
        </w:rPr>
        <w:t xml:space="preserve">eportable </w:t>
      </w:r>
      <w:r w:rsidR="00B76B9B">
        <w:rPr>
          <w:bCs/>
        </w:rPr>
        <w:t>t</w:t>
      </w:r>
      <w:r w:rsidR="00B76B9B" w:rsidRPr="001625E1">
        <w:rPr>
          <w:bCs/>
        </w:rPr>
        <w:t xml:space="preserve">ransaction </w:t>
      </w:r>
      <w:r w:rsidRPr="001625E1">
        <w:rPr>
          <w:bCs/>
        </w:rPr>
        <w:t xml:space="preserve">or </w:t>
      </w:r>
      <w:r w:rsidR="00B76B9B">
        <w:rPr>
          <w:bCs/>
        </w:rPr>
        <w:t>r</w:t>
      </w:r>
      <w:r w:rsidR="00B76B9B" w:rsidRPr="001625E1">
        <w:rPr>
          <w:bCs/>
        </w:rPr>
        <w:t xml:space="preserve">eportable </w:t>
      </w:r>
      <w:r w:rsidR="00B76B9B">
        <w:rPr>
          <w:bCs/>
        </w:rPr>
        <w:t>p</w:t>
      </w:r>
      <w:r w:rsidR="00B76B9B" w:rsidRPr="001625E1">
        <w:rPr>
          <w:bCs/>
        </w:rPr>
        <w:t xml:space="preserve">osition </w:t>
      </w:r>
      <w:r w:rsidRPr="001625E1">
        <w:rPr>
          <w:bCs/>
        </w:rPr>
        <w:t>relates; and</w:t>
      </w:r>
    </w:p>
    <w:p w14:paraId="5A600512" w14:textId="6BBBB2C8" w:rsidR="0026773C" w:rsidRPr="001625E1" w:rsidRDefault="0026773C" w:rsidP="00091619">
      <w:pPr>
        <w:pStyle w:val="LI-BodyTextParaa"/>
        <w:numPr>
          <w:ilvl w:val="1"/>
          <w:numId w:val="2"/>
        </w:numPr>
        <w:rPr>
          <w:bCs/>
        </w:rPr>
      </w:pPr>
      <w:r w:rsidRPr="001625E1">
        <w:rPr>
          <w:bCs/>
        </w:rPr>
        <w:t xml:space="preserve">there is no </w:t>
      </w:r>
      <w:r w:rsidR="00B76B9B">
        <w:rPr>
          <w:bCs/>
        </w:rPr>
        <w:t>p</w:t>
      </w:r>
      <w:r w:rsidR="00B76B9B" w:rsidRPr="001625E1">
        <w:rPr>
          <w:bCs/>
        </w:rPr>
        <w:t xml:space="preserve">rescribed </w:t>
      </w:r>
      <w:r w:rsidR="00B76B9B">
        <w:rPr>
          <w:bCs/>
        </w:rPr>
        <w:t>r</w:t>
      </w:r>
      <w:r w:rsidR="00B76B9B" w:rsidRPr="001625E1">
        <w:rPr>
          <w:bCs/>
        </w:rPr>
        <w:t xml:space="preserve">epository </w:t>
      </w:r>
      <w:r w:rsidRPr="001625E1">
        <w:rPr>
          <w:bCs/>
        </w:rPr>
        <w:t xml:space="preserve">that is prescribed in relation to the class of </w:t>
      </w:r>
      <w:r w:rsidR="00B76B9B">
        <w:rPr>
          <w:bCs/>
        </w:rPr>
        <w:t>d</w:t>
      </w:r>
      <w:r w:rsidR="00B76B9B" w:rsidRPr="001625E1">
        <w:rPr>
          <w:bCs/>
        </w:rPr>
        <w:t xml:space="preserve">erivatives </w:t>
      </w:r>
      <w:r w:rsidRPr="001625E1">
        <w:rPr>
          <w:bCs/>
        </w:rPr>
        <w:t xml:space="preserve">that includes the </w:t>
      </w:r>
      <w:r w:rsidR="00B76B9B">
        <w:rPr>
          <w:bCs/>
        </w:rPr>
        <w:t>d</w:t>
      </w:r>
      <w:r w:rsidR="00B76B9B" w:rsidRPr="001625E1">
        <w:rPr>
          <w:bCs/>
        </w:rPr>
        <w:t xml:space="preserve">erivatives </w:t>
      </w:r>
      <w:r w:rsidRPr="001625E1">
        <w:rPr>
          <w:bCs/>
        </w:rPr>
        <w:t xml:space="preserve">to which the </w:t>
      </w:r>
      <w:r w:rsidR="00B76B9B">
        <w:rPr>
          <w:bCs/>
        </w:rPr>
        <w:t>r</w:t>
      </w:r>
      <w:r w:rsidR="00B76B9B" w:rsidRPr="001625E1">
        <w:rPr>
          <w:bCs/>
        </w:rPr>
        <w:t xml:space="preserve">eportable </w:t>
      </w:r>
      <w:r w:rsidR="00B76B9B">
        <w:rPr>
          <w:bCs/>
        </w:rPr>
        <w:t>t</w:t>
      </w:r>
      <w:r w:rsidR="00B76B9B" w:rsidRPr="001625E1">
        <w:rPr>
          <w:bCs/>
        </w:rPr>
        <w:t xml:space="preserve">ransaction </w:t>
      </w:r>
      <w:r w:rsidRPr="001625E1">
        <w:rPr>
          <w:bCs/>
        </w:rPr>
        <w:t xml:space="preserve">or </w:t>
      </w:r>
      <w:r w:rsidR="00B76B9B">
        <w:rPr>
          <w:bCs/>
        </w:rPr>
        <w:t>r</w:t>
      </w:r>
      <w:r w:rsidR="00B76B9B" w:rsidRPr="001625E1">
        <w:rPr>
          <w:bCs/>
        </w:rPr>
        <w:t xml:space="preserve">eportable </w:t>
      </w:r>
      <w:r w:rsidR="00B76B9B">
        <w:rPr>
          <w:bCs/>
        </w:rPr>
        <w:t>p</w:t>
      </w:r>
      <w:r w:rsidR="00B76B9B" w:rsidRPr="001625E1">
        <w:rPr>
          <w:bCs/>
        </w:rPr>
        <w:t xml:space="preserve">osition </w:t>
      </w:r>
      <w:r w:rsidRPr="001625E1">
        <w:rPr>
          <w:bCs/>
        </w:rPr>
        <w:t>relates.</w:t>
      </w:r>
    </w:p>
    <w:p w14:paraId="30AF5C55" w14:textId="7C4B2139" w:rsidR="0026773C" w:rsidRPr="001625E1" w:rsidRDefault="0026773C" w:rsidP="00091619">
      <w:pPr>
        <w:pStyle w:val="LI-BodyTextParaa"/>
        <w:numPr>
          <w:ilvl w:val="0"/>
          <w:numId w:val="2"/>
        </w:numPr>
        <w:rPr>
          <w:bCs/>
        </w:rPr>
      </w:pPr>
      <w:r w:rsidRPr="001625E1">
        <w:rPr>
          <w:bCs/>
        </w:rPr>
        <w:t xml:space="preserve">Subrule 2.2.1(2) is included to make it clear that a </w:t>
      </w:r>
      <w:r w:rsidR="00B76B9B">
        <w:rPr>
          <w:bCs/>
        </w:rPr>
        <w:t>r</w:t>
      </w:r>
      <w:r w:rsidR="00B76B9B" w:rsidRPr="001625E1">
        <w:rPr>
          <w:bCs/>
        </w:rPr>
        <w:t xml:space="preserve">eporting </w:t>
      </w:r>
      <w:r w:rsidR="00B76B9B">
        <w:rPr>
          <w:bCs/>
        </w:rPr>
        <w:t>e</w:t>
      </w:r>
      <w:r w:rsidR="00B76B9B" w:rsidRPr="001625E1">
        <w:rPr>
          <w:bCs/>
        </w:rPr>
        <w:t xml:space="preserve">ntity </w:t>
      </w:r>
      <w:r w:rsidRPr="001625E1">
        <w:rPr>
          <w:bCs/>
        </w:rPr>
        <w:t xml:space="preserve">will not breach its reporting obligations where there is no </w:t>
      </w:r>
      <w:r w:rsidR="00B76B9B">
        <w:rPr>
          <w:bCs/>
        </w:rPr>
        <w:t>l</w:t>
      </w:r>
      <w:r w:rsidR="00B76B9B" w:rsidRPr="001625E1">
        <w:rPr>
          <w:bCs/>
        </w:rPr>
        <w:t xml:space="preserve">icensed </w:t>
      </w:r>
      <w:r w:rsidR="00B76B9B">
        <w:rPr>
          <w:bCs/>
        </w:rPr>
        <w:t>r</w:t>
      </w:r>
      <w:r w:rsidR="00B76B9B" w:rsidRPr="001625E1">
        <w:rPr>
          <w:bCs/>
        </w:rPr>
        <w:t xml:space="preserve">epository </w:t>
      </w:r>
      <w:r w:rsidRPr="001625E1">
        <w:rPr>
          <w:bCs/>
        </w:rPr>
        <w:t xml:space="preserve">and no </w:t>
      </w:r>
      <w:r w:rsidR="00B76B9B">
        <w:rPr>
          <w:bCs/>
        </w:rPr>
        <w:t>p</w:t>
      </w:r>
      <w:r w:rsidR="00B76B9B" w:rsidRPr="001625E1">
        <w:rPr>
          <w:bCs/>
        </w:rPr>
        <w:t xml:space="preserve">rescribed </w:t>
      </w:r>
      <w:r w:rsidR="00B76B9B">
        <w:rPr>
          <w:bCs/>
        </w:rPr>
        <w:t>r</w:t>
      </w:r>
      <w:r w:rsidR="00B76B9B" w:rsidRPr="001625E1">
        <w:rPr>
          <w:bCs/>
        </w:rPr>
        <w:t xml:space="preserve">epository </w:t>
      </w:r>
      <w:r w:rsidRPr="001625E1">
        <w:rPr>
          <w:bCs/>
        </w:rPr>
        <w:t xml:space="preserve">that can accept reports in relation to a particular </w:t>
      </w:r>
      <w:r w:rsidR="00B76B9B">
        <w:rPr>
          <w:bCs/>
        </w:rPr>
        <w:t>r</w:t>
      </w:r>
      <w:r w:rsidR="00B76B9B" w:rsidRPr="001625E1">
        <w:rPr>
          <w:bCs/>
        </w:rPr>
        <w:t xml:space="preserve">eportable </w:t>
      </w:r>
      <w:r w:rsidR="00B76B9B">
        <w:rPr>
          <w:bCs/>
        </w:rPr>
        <w:t>t</w:t>
      </w:r>
      <w:r w:rsidR="00B76B9B" w:rsidRPr="001625E1">
        <w:rPr>
          <w:bCs/>
        </w:rPr>
        <w:t xml:space="preserve">ransaction </w:t>
      </w:r>
      <w:r w:rsidRPr="001625E1">
        <w:rPr>
          <w:bCs/>
        </w:rPr>
        <w:t xml:space="preserve">or </w:t>
      </w:r>
      <w:r w:rsidR="00B76B9B">
        <w:rPr>
          <w:bCs/>
        </w:rPr>
        <w:t>r</w:t>
      </w:r>
      <w:r w:rsidR="00B76B9B" w:rsidRPr="001625E1">
        <w:rPr>
          <w:bCs/>
        </w:rPr>
        <w:t xml:space="preserve">eportable </w:t>
      </w:r>
      <w:r w:rsidR="00B76B9B">
        <w:rPr>
          <w:bCs/>
        </w:rPr>
        <w:t>p</w:t>
      </w:r>
      <w:r w:rsidR="00B76B9B" w:rsidRPr="001625E1">
        <w:rPr>
          <w:bCs/>
        </w:rPr>
        <w:t>osition</w:t>
      </w:r>
      <w:r w:rsidRPr="001625E1">
        <w:rPr>
          <w:bCs/>
        </w:rPr>
        <w:t>.</w:t>
      </w:r>
    </w:p>
    <w:p w14:paraId="5275E5B8" w14:textId="77777777" w:rsidR="0026773C" w:rsidRPr="001625E1" w:rsidRDefault="0026773C" w:rsidP="001625E1">
      <w:pPr>
        <w:pStyle w:val="LI-BodyTextNumbered"/>
        <w:ind w:left="0" w:firstLine="0"/>
        <w:rPr>
          <w:i/>
          <w:iCs/>
        </w:rPr>
      </w:pPr>
      <w:r w:rsidRPr="001625E1">
        <w:rPr>
          <w:i/>
          <w:iCs/>
        </w:rPr>
        <w:t>Subrule 2.2.1(3) - Alternative reporting exception for foreign entities</w:t>
      </w:r>
    </w:p>
    <w:p w14:paraId="0FFAB091" w14:textId="3EF57F98" w:rsidR="0026773C" w:rsidRPr="001625E1" w:rsidRDefault="0026773C" w:rsidP="00091619">
      <w:pPr>
        <w:pStyle w:val="LI-BodyTextParaa"/>
        <w:numPr>
          <w:ilvl w:val="0"/>
          <w:numId w:val="2"/>
        </w:numPr>
        <w:rPr>
          <w:bCs/>
        </w:rPr>
      </w:pPr>
      <w:r w:rsidRPr="001625E1">
        <w:rPr>
          <w:bCs/>
        </w:rPr>
        <w:t xml:space="preserve">Subrule 2.2.1(3) provides for a specific, ongoing, exception to the requirements of subrule 2.2.1(1) and Part 2.2, for all </w:t>
      </w:r>
      <w:r w:rsidR="00BF185B">
        <w:rPr>
          <w:bCs/>
        </w:rPr>
        <w:t>r</w:t>
      </w:r>
      <w:r w:rsidR="00BF185B" w:rsidRPr="001625E1">
        <w:rPr>
          <w:bCs/>
        </w:rPr>
        <w:t xml:space="preserve">eporting </w:t>
      </w:r>
      <w:r w:rsidR="00BF185B">
        <w:rPr>
          <w:bCs/>
        </w:rPr>
        <w:t>e</w:t>
      </w:r>
      <w:r w:rsidR="00BF185B" w:rsidRPr="001625E1">
        <w:rPr>
          <w:bCs/>
        </w:rPr>
        <w:t xml:space="preserve">ntities </w:t>
      </w:r>
      <w:r w:rsidRPr="001625E1">
        <w:rPr>
          <w:bCs/>
        </w:rPr>
        <w:t xml:space="preserve">other than Australian </w:t>
      </w:r>
      <w:r w:rsidR="00BF185B">
        <w:rPr>
          <w:bCs/>
        </w:rPr>
        <w:t>e</w:t>
      </w:r>
      <w:r w:rsidR="00BF185B" w:rsidRPr="001625E1">
        <w:rPr>
          <w:bCs/>
        </w:rPr>
        <w:t xml:space="preserve">ntities </w:t>
      </w:r>
      <w:r w:rsidRPr="001625E1">
        <w:rPr>
          <w:bCs/>
        </w:rPr>
        <w:t xml:space="preserve">or an RE or </w:t>
      </w:r>
      <w:r w:rsidR="00BF185B">
        <w:rPr>
          <w:bCs/>
        </w:rPr>
        <w:t>t</w:t>
      </w:r>
      <w:r w:rsidR="00BF185B" w:rsidRPr="001625E1">
        <w:rPr>
          <w:bCs/>
        </w:rPr>
        <w:t xml:space="preserve">rustee </w:t>
      </w:r>
      <w:r w:rsidRPr="001625E1">
        <w:rPr>
          <w:bCs/>
        </w:rPr>
        <w:t xml:space="preserve">acting in its capacity as RE or </w:t>
      </w:r>
      <w:r w:rsidR="00BF185B">
        <w:rPr>
          <w:bCs/>
        </w:rPr>
        <w:t>t</w:t>
      </w:r>
      <w:r w:rsidR="00BF185B" w:rsidRPr="001625E1">
        <w:rPr>
          <w:bCs/>
        </w:rPr>
        <w:t xml:space="preserve">rustee </w:t>
      </w:r>
      <w:r w:rsidRPr="001625E1">
        <w:rPr>
          <w:bCs/>
        </w:rPr>
        <w:t xml:space="preserve">of an Australian </w:t>
      </w:r>
      <w:r w:rsidR="00BF185B">
        <w:rPr>
          <w:bCs/>
        </w:rPr>
        <w:t>e</w:t>
      </w:r>
      <w:r w:rsidR="00BF185B" w:rsidRPr="001625E1">
        <w:rPr>
          <w:bCs/>
        </w:rPr>
        <w:t>ntity</w:t>
      </w:r>
      <w:r w:rsidRPr="001625E1">
        <w:rPr>
          <w:bCs/>
        </w:rPr>
        <w:t xml:space="preserve">. Subrule 2.2.1(3) is designed to ensure that foreign </w:t>
      </w:r>
      <w:r w:rsidR="00BF185B">
        <w:rPr>
          <w:bCs/>
        </w:rPr>
        <w:t>r</w:t>
      </w:r>
      <w:r w:rsidR="00BF185B" w:rsidRPr="001625E1">
        <w:rPr>
          <w:bCs/>
        </w:rPr>
        <w:t xml:space="preserve">eporting </w:t>
      </w:r>
      <w:r w:rsidR="00BF185B">
        <w:rPr>
          <w:bCs/>
        </w:rPr>
        <w:t>e</w:t>
      </w:r>
      <w:r w:rsidR="00BF185B" w:rsidRPr="001625E1">
        <w:rPr>
          <w:bCs/>
        </w:rPr>
        <w:t xml:space="preserve">ntities </w:t>
      </w:r>
      <w:r w:rsidRPr="001625E1">
        <w:rPr>
          <w:bCs/>
        </w:rPr>
        <w:t>are not subject to duplicate reporting requirements, where they are subject to a reporting obligation in another jurisdiction.</w:t>
      </w:r>
    </w:p>
    <w:p w14:paraId="1F5473A9" w14:textId="60092F2A" w:rsidR="0026773C" w:rsidRPr="00A810B8" w:rsidRDefault="0026773C" w:rsidP="00091619">
      <w:pPr>
        <w:pStyle w:val="LI-BodyTextParaa"/>
        <w:numPr>
          <w:ilvl w:val="0"/>
          <w:numId w:val="2"/>
        </w:numPr>
        <w:rPr>
          <w:bCs/>
        </w:rPr>
      </w:pPr>
      <w:r w:rsidRPr="00A810B8">
        <w:rPr>
          <w:bCs/>
        </w:rPr>
        <w:t xml:space="preserve">Subrule 2.2.1(3) provides that a </w:t>
      </w:r>
      <w:r w:rsidR="00BF185B">
        <w:rPr>
          <w:bCs/>
        </w:rPr>
        <w:t>r</w:t>
      </w:r>
      <w:r w:rsidR="00BF185B" w:rsidRPr="00A810B8">
        <w:rPr>
          <w:bCs/>
        </w:rPr>
        <w:t xml:space="preserve">eporting </w:t>
      </w:r>
      <w:r w:rsidR="00BF185B">
        <w:rPr>
          <w:bCs/>
        </w:rPr>
        <w:t>e</w:t>
      </w:r>
      <w:r w:rsidR="00BF185B" w:rsidRPr="00A810B8">
        <w:rPr>
          <w:bCs/>
        </w:rPr>
        <w:t xml:space="preserve">ntity </w:t>
      </w:r>
      <w:r w:rsidRPr="00A810B8">
        <w:rPr>
          <w:bCs/>
        </w:rPr>
        <w:t xml:space="preserve">other than an Australian </w:t>
      </w:r>
      <w:r w:rsidR="00BF185B">
        <w:rPr>
          <w:bCs/>
        </w:rPr>
        <w:t>e</w:t>
      </w:r>
      <w:r w:rsidR="00BF185B" w:rsidRPr="00A810B8">
        <w:rPr>
          <w:bCs/>
        </w:rPr>
        <w:t xml:space="preserve">ntity </w:t>
      </w:r>
      <w:r w:rsidRPr="00A810B8">
        <w:rPr>
          <w:bCs/>
        </w:rPr>
        <w:t xml:space="preserve">or an RE or </w:t>
      </w:r>
      <w:r w:rsidR="00BF185B">
        <w:rPr>
          <w:bCs/>
        </w:rPr>
        <w:t>t</w:t>
      </w:r>
      <w:r w:rsidR="00BF185B" w:rsidRPr="00A810B8">
        <w:rPr>
          <w:bCs/>
        </w:rPr>
        <w:t xml:space="preserve">rustee </w:t>
      </w:r>
      <w:r w:rsidRPr="00A810B8">
        <w:rPr>
          <w:bCs/>
        </w:rPr>
        <w:t xml:space="preserve">acting in its capacity as RE or </w:t>
      </w:r>
      <w:r w:rsidR="00BA52EB">
        <w:rPr>
          <w:bCs/>
        </w:rPr>
        <w:t>t</w:t>
      </w:r>
      <w:r w:rsidRPr="00A810B8">
        <w:rPr>
          <w:bCs/>
        </w:rPr>
        <w:t xml:space="preserve">rustee of an Australian </w:t>
      </w:r>
      <w:r w:rsidR="00BA52EB">
        <w:rPr>
          <w:bCs/>
        </w:rPr>
        <w:t>e</w:t>
      </w:r>
      <w:r w:rsidRPr="00A810B8">
        <w:rPr>
          <w:bCs/>
        </w:rPr>
        <w:t xml:space="preserve">ntity, is not required to comply with the requirements of subrule 2.2.1(1) and Part 2.2 that would otherwise apply to the </w:t>
      </w:r>
      <w:r w:rsidR="00854ADC">
        <w:rPr>
          <w:bCs/>
        </w:rPr>
        <w:t>r</w:t>
      </w:r>
      <w:r w:rsidR="00854ADC" w:rsidRPr="00A810B8">
        <w:rPr>
          <w:bCs/>
        </w:rPr>
        <w:t xml:space="preserve">eporting </w:t>
      </w:r>
      <w:r w:rsidR="00854ADC">
        <w:rPr>
          <w:bCs/>
        </w:rPr>
        <w:t>e</w:t>
      </w:r>
      <w:r w:rsidR="00854ADC" w:rsidRPr="00A810B8">
        <w:rPr>
          <w:bCs/>
        </w:rPr>
        <w:t xml:space="preserve">ntity </w:t>
      </w:r>
      <w:r w:rsidRPr="00A810B8">
        <w:rPr>
          <w:bCs/>
        </w:rPr>
        <w:t xml:space="preserve">in relation to a </w:t>
      </w:r>
      <w:r w:rsidR="00854ADC">
        <w:rPr>
          <w:bCs/>
        </w:rPr>
        <w:t>r</w:t>
      </w:r>
      <w:r w:rsidR="00854ADC" w:rsidRPr="00A810B8">
        <w:rPr>
          <w:bCs/>
        </w:rPr>
        <w:t xml:space="preserve">eportable </w:t>
      </w:r>
      <w:r w:rsidR="00854ADC">
        <w:rPr>
          <w:bCs/>
        </w:rPr>
        <w:t>t</w:t>
      </w:r>
      <w:r w:rsidR="00854ADC" w:rsidRPr="00A810B8">
        <w:rPr>
          <w:bCs/>
        </w:rPr>
        <w:t xml:space="preserve">ransaction </w:t>
      </w:r>
      <w:r w:rsidRPr="00A810B8">
        <w:rPr>
          <w:bCs/>
        </w:rPr>
        <w:t xml:space="preserve">or a </w:t>
      </w:r>
      <w:r w:rsidR="00854ADC">
        <w:rPr>
          <w:bCs/>
        </w:rPr>
        <w:t>r</w:t>
      </w:r>
      <w:r w:rsidR="00854ADC" w:rsidRPr="00A810B8">
        <w:rPr>
          <w:bCs/>
        </w:rPr>
        <w:t xml:space="preserve">eportable </w:t>
      </w:r>
      <w:r w:rsidR="00854ADC">
        <w:rPr>
          <w:bCs/>
        </w:rPr>
        <w:t>p</w:t>
      </w:r>
      <w:r w:rsidR="00854ADC" w:rsidRPr="00A810B8">
        <w:rPr>
          <w:bCs/>
        </w:rPr>
        <w:t xml:space="preserve">osition </w:t>
      </w:r>
      <w:r w:rsidRPr="00A810B8">
        <w:rPr>
          <w:bCs/>
        </w:rPr>
        <w:t xml:space="preserve">if, at the time the </w:t>
      </w:r>
      <w:r w:rsidR="00854ADC">
        <w:rPr>
          <w:bCs/>
        </w:rPr>
        <w:t>r</w:t>
      </w:r>
      <w:r w:rsidR="00854ADC" w:rsidRPr="00A810B8">
        <w:rPr>
          <w:bCs/>
        </w:rPr>
        <w:t xml:space="preserve">eporting </w:t>
      </w:r>
      <w:r w:rsidR="00854ADC">
        <w:rPr>
          <w:bCs/>
        </w:rPr>
        <w:t>e</w:t>
      </w:r>
      <w:r w:rsidR="00854ADC" w:rsidRPr="00A810B8">
        <w:rPr>
          <w:bCs/>
        </w:rPr>
        <w:t xml:space="preserve">ntity </w:t>
      </w:r>
      <w:r w:rsidRPr="00A810B8">
        <w:rPr>
          <w:bCs/>
        </w:rPr>
        <w:t>is required to comply with the requirements:</w:t>
      </w:r>
    </w:p>
    <w:p w14:paraId="05E5CABA" w14:textId="6F45D23D" w:rsidR="0026773C" w:rsidRPr="00A810B8" w:rsidRDefault="008A3065" w:rsidP="00091619">
      <w:pPr>
        <w:pStyle w:val="LI-BodyTextParaa"/>
        <w:numPr>
          <w:ilvl w:val="1"/>
          <w:numId w:val="2"/>
        </w:numPr>
        <w:rPr>
          <w:bCs/>
        </w:rPr>
      </w:pPr>
      <w:r w:rsidRPr="00AE46B3">
        <w:t xml:space="preserve">the </w:t>
      </w:r>
      <w:r w:rsidR="00854ADC">
        <w:t>r</w:t>
      </w:r>
      <w:r w:rsidRPr="00AE46B3">
        <w:t xml:space="preserve">eporting </w:t>
      </w:r>
      <w:r w:rsidR="00854ADC">
        <w:t>e</w:t>
      </w:r>
      <w:r w:rsidRPr="00AE46B3">
        <w:t>ntity is</w:t>
      </w:r>
      <w:r>
        <w:t xml:space="preserve"> subject </w:t>
      </w:r>
      <w:r w:rsidRPr="00AE46B3">
        <w:t xml:space="preserve">to reporting requirements </w:t>
      </w:r>
      <w:r>
        <w:t>(</w:t>
      </w:r>
      <w:r w:rsidRPr="00C176E6">
        <w:rPr>
          <w:b/>
          <w:i/>
        </w:rPr>
        <w:t>Alternative Reporting Requirements</w:t>
      </w:r>
      <w:r>
        <w:t>)</w:t>
      </w:r>
      <w:r w:rsidRPr="00AE46B3">
        <w:t xml:space="preserve"> in </w:t>
      </w:r>
      <w:r>
        <w:t xml:space="preserve">one or more </w:t>
      </w:r>
      <w:r w:rsidRPr="00A80FA1">
        <w:t>foreign jurisdiction</w:t>
      </w:r>
      <w:r>
        <w:t>s</w:t>
      </w:r>
      <w:r w:rsidRPr="00AE46B3">
        <w:t xml:space="preserve"> (in this Rule, </w:t>
      </w:r>
      <w:r>
        <w:t>each, a</w:t>
      </w:r>
      <w:r w:rsidRPr="00AE46B3">
        <w:t xml:space="preserve"> </w:t>
      </w:r>
      <w:r w:rsidRPr="00C176E6">
        <w:rPr>
          <w:b/>
          <w:i/>
        </w:rPr>
        <w:t>Foreign Jurisdiction</w:t>
      </w:r>
      <w:r w:rsidRPr="00AE46B3">
        <w:t xml:space="preserve">) that are substantially equivalent to the </w:t>
      </w:r>
      <w:r w:rsidR="00854ADC">
        <w:t>r</w:t>
      </w:r>
      <w:r w:rsidRPr="00AE46B3">
        <w:t xml:space="preserve">eporting </w:t>
      </w:r>
      <w:r w:rsidR="00854ADC">
        <w:t>r</w:t>
      </w:r>
      <w:r w:rsidRPr="00AE46B3">
        <w:t>equirements under the</w:t>
      </w:r>
      <w:r w:rsidR="00854ADC">
        <w:t xml:space="preserve"> 2022</w:t>
      </w:r>
      <w:r w:rsidRPr="00AE46B3">
        <w:t xml:space="preserve"> </w:t>
      </w:r>
      <w:proofErr w:type="gramStart"/>
      <w:r w:rsidRPr="00AE46B3">
        <w:t>Rules</w:t>
      </w:r>
      <w:r w:rsidR="0026773C" w:rsidRPr="00A810B8">
        <w:rPr>
          <w:bCs/>
        </w:rPr>
        <w:t>;</w:t>
      </w:r>
      <w:proofErr w:type="gramEnd"/>
      <w:r w:rsidR="0026773C" w:rsidRPr="00A810B8">
        <w:rPr>
          <w:bCs/>
        </w:rPr>
        <w:t xml:space="preserve"> and</w:t>
      </w:r>
    </w:p>
    <w:p w14:paraId="5B9EFB1D" w14:textId="66B7C188" w:rsidR="0026773C" w:rsidRPr="00A810B8" w:rsidRDefault="0026773C" w:rsidP="00091619">
      <w:pPr>
        <w:pStyle w:val="LI-BodyTextParaa"/>
        <w:numPr>
          <w:ilvl w:val="1"/>
          <w:numId w:val="2"/>
        </w:numPr>
        <w:rPr>
          <w:bCs/>
        </w:rPr>
      </w:pPr>
      <w:r w:rsidRPr="00A810B8">
        <w:rPr>
          <w:bCs/>
        </w:rPr>
        <w:t>either:</w:t>
      </w:r>
    </w:p>
    <w:p w14:paraId="07BE9CEF" w14:textId="732CA58D" w:rsidR="008A3065" w:rsidRDefault="0026773C" w:rsidP="00091619">
      <w:pPr>
        <w:pStyle w:val="LI-BodyTextParaa"/>
        <w:numPr>
          <w:ilvl w:val="2"/>
          <w:numId w:val="2"/>
        </w:numPr>
        <w:rPr>
          <w:bCs/>
        </w:rPr>
      </w:pPr>
      <w:r w:rsidRPr="00F22F30">
        <w:rPr>
          <w:bCs/>
        </w:rPr>
        <w:t xml:space="preserve">the </w:t>
      </w:r>
      <w:r w:rsidR="00854ADC">
        <w:rPr>
          <w:bCs/>
        </w:rPr>
        <w:t>r</w:t>
      </w:r>
      <w:r w:rsidR="00854ADC" w:rsidRPr="00F22F30">
        <w:rPr>
          <w:bCs/>
        </w:rPr>
        <w:t xml:space="preserve">eporting </w:t>
      </w:r>
      <w:r w:rsidR="00854ADC">
        <w:rPr>
          <w:bCs/>
        </w:rPr>
        <w:t>e</w:t>
      </w:r>
      <w:r w:rsidR="00854ADC" w:rsidRPr="00F22F30">
        <w:rPr>
          <w:bCs/>
        </w:rPr>
        <w:t xml:space="preserve">ntity </w:t>
      </w:r>
      <w:r w:rsidRPr="00F22F30">
        <w:rPr>
          <w:bCs/>
        </w:rPr>
        <w:t>or another entity has</w:t>
      </w:r>
      <w:r w:rsidR="008A3065">
        <w:rPr>
          <w:bCs/>
        </w:rPr>
        <w:t>:</w:t>
      </w:r>
    </w:p>
    <w:p w14:paraId="7D14748D" w14:textId="0A15559E" w:rsidR="0026773C" w:rsidRDefault="0026773C" w:rsidP="00091619">
      <w:pPr>
        <w:pStyle w:val="LI-BodyTextParaa"/>
        <w:numPr>
          <w:ilvl w:val="3"/>
          <w:numId w:val="2"/>
        </w:numPr>
        <w:rPr>
          <w:bCs/>
        </w:rPr>
      </w:pPr>
      <w:r w:rsidRPr="00F22F30">
        <w:rPr>
          <w:bCs/>
        </w:rPr>
        <w:t xml:space="preserve">reported information about the </w:t>
      </w:r>
      <w:r w:rsidR="00854ADC">
        <w:rPr>
          <w:bCs/>
        </w:rPr>
        <w:t>r</w:t>
      </w:r>
      <w:r w:rsidR="00854ADC" w:rsidRPr="00F22F30">
        <w:rPr>
          <w:bCs/>
        </w:rPr>
        <w:t xml:space="preserve">eportable </w:t>
      </w:r>
      <w:r w:rsidR="00854ADC">
        <w:rPr>
          <w:bCs/>
        </w:rPr>
        <w:t>t</w:t>
      </w:r>
      <w:r w:rsidR="00854ADC" w:rsidRPr="00F22F30">
        <w:rPr>
          <w:bCs/>
        </w:rPr>
        <w:t xml:space="preserve">ransaction </w:t>
      </w:r>
      <w:r w:rsidRPr="00F22F30">
        <w:rPr>
          <w:bCs/>
        </w:rPr>
        <w:t xml:space="preserve">or the </w:t>
      </w:r>
      <w:r w:rsidR="00854ADC">
        <w:rPr>
          <w:bCs/>
        </w:rPr>
        <w:t>r</w:t>
      </w:r>
      <w:r w:rsidR="00854ADC" w:rsidRPr="00F22F30">
        <w:rPr>
          <w:bCs/>
        </w:rPr>
        <w:t xml:space="preserve">eportable </w:t>
      </w:r>
      <w:r w:rsidR="00854ADC">
        <w:rPr>
          <w:bCs/>
        </w:rPr>
        <w:t>p</w:t>
      </w:r>
      <w:r w:rsidR="00854ADC" w:rsidRPr="00F22F30">
        <w:rPr>
          <w:bCs/>
        </w:rPr>
        <w:t xml:space="preserve">osition </w:t>
      </w:r>
      <w:r w:rsidRPr="00F22F30">
        <w:rPr>
          <w:bCs/>
        </w:rPr>
        <w:t xml:space="preserve">to </w:t>
      </w:r>
      <w:r w:rsidR="009437EB">
        <w:rPr>
          <w:bCs/>
        </w:rPr>
        <w:t>a</w:t>
      </w:r>
      <w:r w:rsidR="009437EB" w:rsidRPr="00F22F30">
        <w:rPr>
          <w:bCs/>
        </w:rPr>
        <w:t xml:space="preserve"> </w:t>
      </w:r>
      <w:r w:rsidR="00854ADC">
        <w:rPr>
          <w:bCs/>
        </w:rPr>
        <w:t>p</w:t>
      </w:r>
      <w:r w:rsidR="00854ADC" w:rsidRPr="00F22F30">
        <w:rPr>
          <w:bCs/>
        </w:rPr>
        <w:t xml:space="preserve">rescribed </w:t>
      </w:r>
      <w:r w:rsidR="00854ADC">
        <w:rPr>
          <w:bCs/>
        </w:rPr>
        <w:t>r</w:t>
      </w:r>
      <w:r w:rsidR="00854ADC" w:rsidRPr="00F22F30">
        <w:rPr>
          <w:bCs/>
        </w:rPr>
        <w:t>epository</w:t>
      </w:r>
      <w:r w:rsidRPr="00F22F30">
        <w:rPr>
          <w:bCs/>
        </w:rPr>
        <w:t xml:space="preserve">, in compliance with </w:t>
      </w:r>
      <w:r w:rsidR="004D1B74" w:rsidRPr="00AE46B3">
        <w:lastRenderedPageBreak/>
        <w:t xml:space="preserve">the </w:t>
      </w:r>
      <w:r w:rsidR="004D1B74">
        <w:t>Alternative R</w:t>
      </w:r>
      <w:r w:rsidR="004D1B74" w:rsidRPr="00AE46B3">
        <w:t xml:space="preserve">eporting </w:t>
      </w:r>
      <w:r w:rsidR="004D1B74">
        <w:t>R</w:t>
      </w:r>
      <w:r w:rsidR="004D1B74" w:rsidRPr="00AE46B3">
        <w:t xml:space="preserve">equirements in </w:t>
      </w:r>
      <w:r w:rsidR="004D1B74">
        <w:t>at least one</w:t>
      </w:r>
      <w:r w:rsidR="004D1B74" w:rsidRPr="00AE46B3">
        <w:t xml:space="preserve"> Foreign Jurisdiction</w:t>
      </w:r>
      <w:r w:rsidR="00C33309">
        <w:t>; and</w:t>
      </w:r>
    </w:p>
    <w:p w14:paraId="13174BEA" w14:textId="20CA3549" w:rsidR="00C33309" w:rsidRPr="00F22F30" w:rsidRDefault="00E81DB7" w:rsidP="00091619">
      <w:pPr>
        <w:pStyle w:val="LI-BodyTextParaa"/>
        <w:numPr>
          <w:ilvl w:val="3"/>
          <w:numId w:val="2"/>
        </w:numPr>
        <w:rPr>
          <w:bCs/>
        </w:rPr>
      </w:pPr>
      <w:r w:rsidRPr="00AE46B3">
        <w:t xml:space="preserve">designated the information reported under paragraph (a) as information that </w:t>
      </w:r>
      <w:r w:rsidRPr="006726BF">
        <w:t xml:space="preserve">has been reported under the </w:t>
      </w:r>
      <w:r w:rsidR="00854ADC">
        <w:t xml:space="preserve">2022 </w:t>
      </w:r>
      <w:proofErr w:type="gramStart"/>
      <w:r w:rsidRPr="006726BF">
        <w:t>Rules</w:t>
      </w:r>
      <w:r w:rsidRPr="00AE46B3">
        <w:t>;</w:t>
      </w:r>
      <w:proofErr w:type="gramEnd"/>
      <w:r w:rsidRPr="00AE46B3">
        <w:t xml:space="preserve"> or</w:t>
      </w:r>
    </w:p>
    <w:p w14:paraId="63C2C568" w14:textId="3F00A782" w:rsidR="0026773C" w:rsidRPr="00CB40C8" w:rsidRDefault="0026773C" w:rsidP="00CB40C8">
      <w:pPr>
        <w:pStyle w:val="LI-BodyTextParaa"/>
        <w:numPr>
          <w:ilvl w:val="2"/>
          <w:numId w:val="2"/>
        </w:numPr>
        <w:rPr>
          <w:bCs/>
        </w:rPr>
      </w:pPr>
      <w:r w:rsidRPr="00F22F30">
        <w:rPr>
          <w:bCs/>
        </w:rPr>
        <w:t xml:space="preserve">the </w:t>
      </w:r>
      <w:r w:rsidR="00854ADC">
        <w:rPr>
          <w:bCs/>
        </w:rPr>
        <w:t>r</w:t>
      </w:r>
      <w:r w:rsidR="00854ADC" w:rsidRPr="00F22F30">
        <w:rPr>
          <w:bCs/>
        </w:rPr>
        <w:t xml:space="preserve">eporting </w:t>
      </w:r>
      <w:r w:rsidR="00854ADC">
        <w:rPr>
          <w:bCs/>
        </w:rPr>
        <w:t>e</w:t>
      </w:r>
      <w:r w:rsidR="00854ADC" w:rsidRPr="00F22F30">
        <w:rPr>
          <w:bCs/>
        </w:rPr>
        <w:t xml:space="preserve">ntity </w:t>
      </w:r>
      <w:r w:rsidRPr="00F22F30">
        <w:rPr>
          <w:bCs/>
        </w:rPr>
        <w:t xml:space="preserve">is exempt from the requirement in </w:t>
      </w:r>
      <w:r w:rsidR="00E81DB7">
        <w:rPr>
          <w:bCs/>
        </w:rPr>
        <w:t xml:space="preserve">all of </w:t>
      </w:r>
      <w:r w:rsidRPr="00F22F30">
        <w:rPr>
          <w:bCs/>
        </w:rPr>
        <w:t>the Foreign Jurisdiction</w:t>
      </w:r>
      <w:r w:rsidR="00AB7B2D">
        <w:rPr>
          <w:bCs/>
        </w:rPr>
        <w:t>s</w:t>
      </w:r>
      <w:r w:rsidRPr="00F22F30">
        <w:rPr>
          <w:bCs/>
        </w:rPr>
        <w:t xml:space="preserve"> to report information about the </w:t>
      </w:r>
      <w:r w:rsidR="00AB7B2D">
        <w:rPr>
          <w:bCs/>
        </w:rPr>
        <w:t>r</w:t>
      </w:r>
      <w:r w:rsidR="00AB7B2D" w:rsidRPr="00F22F30">
        <w:rPr>
          <w:bCs/>
        </w:rPr>
        <w:t xml:space="preserve">eportable </w:t>
      </w:r>
      <w:r w:rsidR="00AB7B2D">
        <w:rPr>
          <w:bCs/>
        </w:rPr>
        <w:t>t</w:t>
      </w:r>
      <w:r w:rsidR="00AB7B2D" w:rsidRPr="00F22F30">
        <w:rPr>
          <w:bCs/>
        </w:rPr>
        <w:t xml:space="preserve">ransaction </w:t>
      </w:r>
      <w:r w:rsidRPr="00F22F30">
        <w:rPr>
          <w:bCs/>
        </w:rPr>
        <w:t xml:space="preserve">or the </w:t>
      </w:r>
      <w:r w:rsidR="00AB7B2D">
        <w:rPr>
          <w:bCs/>
        </w:rPr>
        <w:t>r</w:t>
      </w:r>
      <w:r w:rsidR="00AB7B2D" w:rsidRPr="00F22F30">
        <w:rPr>
          <w:bCs/>
        </w:rPr>
        <w:t xml:space="preserve">eportable </w:t>
      </w:r>
      <w:r w:rsidR="00AB7B2D">
        <w:rPr>
          <w:bCs/>
        </w:rPr>
        <w:t>p</w:t>
      </w:r>
      <w:r w:rsidR="00AB7B2D" w:rsidRPr="00F22F30">
        <w:rPr>
          <w:bCs/>
        </w:rPr>
        <w:t>osition</w:t>
      </w:r>
      <w:r w:rsidRPr="00F22F30">
        <w:rPr>
          <w:bCs/>
        </w:rPr>
        <w:t xml:space="preserve">, or </w:t>
      </w:r>
      <w:r w:rsidR="001D7E3A" w:rsidRPr="00F22F30">
        <w:rPr>
          <w:bCs/>
        </w:rPr>
        <w:t xml:space="preserve">there is no requirement in the Foreign Jurisdiction to report information about the </w:t>
      </w:r>
      <w:r w:rsidR="00AB7B2D">
        <w:rPr>
          <w:bCs/>
        </w:rPr>
        <w:t>r</w:t>
      </w:r>
      <w:r w:rsidR="001D7E3A" w:rsidRPr="00F22F30">
        <w:rPr>
          <w:bCs/>
        </w:rPr>
        <w:t xml:space="preserve">eportable </w:t>
      </w:r>
      <w:r w:rsidR="00AB7B2D">
        <w:rPr>
          <w:bCs/>
        </w:rPr>
        <w:t>t</w:t>
      </w:r>
      <w:r w:rsidR="001D7E3A" w:rsidRPr="00F22F30">
        <w:rPr>
          <w:bCs/>
        </w:rPr>
        <w:t xml:space="preserve">ransaction or </w:t>
      </w:r>
      <w:r w:rsidR="00AB7B2D">
        <w:rPr>
          <w:bCs/>
        </w:rPr>
        <w:t>r</w:t>
      </w:r>
      <w:r w:rsidR="001D7E3A" w:rsidRPr="00F22F30">
        <w:rPr>
          <w:bCs/>
        </w:rPr>
        <w:t xml:space="preserve">eportable </w:t>
      </w:r>
      <w:r w:rsidR="00AB7B2D">
        <w:rPr>
          <w:bCs/>
        </w:rPr>
        <w:t>p</w:t>
      </w:r>
      <w:r w:rsidR="001D7E3A" w:rsidRPr="00F22F30">
        <w:rPr>
          <w:bCs/>
        </w:rPr>
        <w:t>osition</w:t>
      </w:r>
      <w:r w:rsidR="001A2989">
        <w:rPr>
          <w:bCs/>
        </w:rPr>
        <w:t>.</w:t>
      </w:r>
    </w:p>
    <w:p w14:paraId="27C06F0E" w14:textId="221156E5" w:rsidR="00F46512" w:rsidRPr="001D4BA7" w:rsidRDefault="001D4BA7" w:rsidP="00091619">
      <w:pPr>
        <w:pStyle w:val="LI-BodyTextParaa"/>
        <w:numPr>
          <w:ilvl w:val="0"/>
          <w:numId w:val="2"/>
        </w:numPr>
        <w:rPr>
          <w:bCs/>
        </w:rPr>
      </w:pPr>
      <w:bookmarkStart w:id="15" w:name="_Hlk120624764"/>
      <w:r w:rsidRPr="001D4BA7">
        <w:rPr>
          <w:bCs/>
        </w:rPr>
        <w:t>This allows</w:t>
      </w:r>
      <w:r w:rsidR="00F46512" w:rsidRPr="001D4BA7">
        <w:rPr>
          <w:bCs/>
        </w:rPr>
        <w:t xml:space="preserve"> foreign </w:t>
      </w:r>
      <w:r w:rsidR="000B7D30">
        <w:rPr>
          <w:bCs/>
        </w:rPr>
        <w:t>r</w:t>
      </w:r>
      <w:r w:rsidR="00F46512" w:rsidRPr="001D4BA7">
        <w:rPr>
          <w:bCs/>
        </w:rPr>
        <w:t xml:space="preserve">eporting </w:t>
      </w:r>
      <w:r w:rsidR="000B7D30">
        <w:rPr>
          <w:bCs/>
        </w:rPr>
        <w:t>e</w:t>
      </w:r>
      <w:r w:rsidR="00F46512" w:rsidRPr="001D4BA7">
        <w:rPr>
          <w:bCs/>
        </w:rPr>
        <w:t xml:space="preserve">ntities to rely on subrule 2.2.1(3) where the foreign </w:t>
      </w:r>
      <w:r w:rsidR="000B7D30">
        <w:rPr>
          <w:bCs/>
        </w:rPr>
        <w:t>r</w:t>
      </w:r>
      <w:r w:rsidR="00F46512" w:rsidRPr="001D4BA7">
        <w:rPr>
          <w:bCs/>
        </w:rPr>
        <w:t xml:space="preserve">eporting </w:t>
      </w:r>
      <w:r w:rsidR="000B7D30">
        <w:rPr>
          <w:bCs/>
        </w:rPr>
        <w:t>e</w:t>
      </w:r>
      <w:r w:rsidR="00F46512" w:rsidRPr="001D4BA7">
        <w:rPr>
          <w:bCs/>
        </w:rPr>
        <w:t xml:space="preserve">ntity reports to a </w:t>
      </w:r>
      <w:r w:rsidR="000B7D30">
        <w:rPr>
          <w:bCs/>
        </w:rPr>
        <w:t>p</w:t>
      </w:r>
      <w:r w:rsidR="00F46512" w:rsidRPr="001D4BA7">
        <w:rPr>
          <w:bCs/>
        </w:rPr>
        <w:t xml:space="preserve">rescribed </w:t>
      </w:r>
      <w:r w:rsidR="000B7D30">
        <w:rPr>
          <w:bCs/>
        </w:rPr>
        <w:t>t</w:t>
      </w:r>
      <w:r w:rsidR="00F46512" w:rsidRPr="001D4BA7">
        <w:rPr>
          <w:bCs/>
        </w:rPr>
        <w:t xml:space="preserve">rade </w:t>
      </w:r>
      <w:r w:rsidR="000B7D30">
        <w:rPr>
          <w:bCs/>
        </w:rPr>
        <w:t>r</w:t>
      </w:r>
      <w:r w:rsidR="00F46512" w:rsidRPr="001D4BA7">
        <w:rPr>
          <w:bCs/>
        </w:rPr>
        <w:t xml:space="preserve">epository in accordance with Alternative Reporting Requirements in a Foreign Jurisdiction </w:t>
      </w:r>
      <w:r w:rsidR="009437EB">
        <w:rPr>
          <w:bCs/>
        </w:rPr>
        <w:t>as a form of substituted compliance</w:t>
      </w:r>
      <w:r w:rsidR="00A647CF">
        <w:rPr>
          <w:bCs/>
        </w:rPr>
        <w:t xml:space="preserve"> </w:t>
      </w:r>
      <w:r w:rsidR="00A647CF" w:rsidRPr="001D4BA7">
        <w:rPr>
          <w:bCs/>
        </w:rPr>
        <w:t xml:space="preserve">(for example, because the </w:t>
      </w:r>
      <w:r w:rsidR="00A647CF">
        <w:rPr>
          <w:bCs/>
        </w:rPr>
        <w:t>r</w:t>
      </w:r>
      <w:r w:rsidR="00A647CF" w:rsidRPr="001D4BA7">
        <w:rPr>
          <w:bCs/>
        </w:rPr>
        <w:t xml:space="preserve">eporting </w:t>
      </w:r>
      <w:r w:rsidR="00A647CF">
        <w:rPr>
          <w:bCs/>
        </w:rPr>
        <w:t>e</w:t>
      </w:r>
      <w:r w:rsidR="00A647CF" w:rsidRPr="001D4BA7">
        <w:rPr>
          <w:bCs/>
        </w:rPr>
        <w:t xml:space="preserve">ntity is registered as a </w:t>
      </w:r>
      <w:r w:rsidR="00867324">
        <w:rPr>
          <w:bCs/>
        </w:rPr>
        <w:t>“</w:t>
      </w:r>
      <w:r w:rsidR="00A647CF" w:rsidRPr="001D4BA7">
        <w:rPr>
          <w:bCs/>
        </w:rPr>
        <w:t>Swap Dealer</w:t>
      </w:r>
      <w:r w:rsidR="00867324">
        <w:rPr>
          <w:bCs/>
        </w:rPr>
        <w:t>”</w:t>
      </w:r>
      <w:r w:rsidR="00A647CF" w:rsidRPr="001D4BA7">
        <w:rPr>
          <w:bCs/>
        </w:rPr>
        <w:t xml:space="preserve"> in the US and subject to Dodd-Frank reporting requirements)</w:t>
      </w:r>
      <w:r w:rsidR="00F46512" w:rsidRPr="001D4BA7">
        <w:rPr>
          <w:bCs/>
        </w:rPr>
        <w:t>.</w:t>
      </w:r>
    </w:p>
    <w:bookmarkEnd w:id="15"/>
    <w:p w14:paraId="557FED53" w14:textId="0DDA6E5D" w:rsidR="00F46512" w:rsidRPr="00D551D8" w:rsidRDefault="003F3B60" w:rsidP="00091619">
      <w:pPr>
        <w:pStyle w:val="LI-BodyTextParaa"/>
        <w:numPr>
          <w:ilvl w:val="0"/>
          <w:numId w:val="2"/>
        </w:numPr>
        <w:rPr>
          <w:bCs/>
        </w:rPr>
      </w:pPr>
      <w:r>
        <w:rPr>
          <w:bCs/>
        </w:rPr>
        <w:t>Subrule 2.2.1(3) requires f</w:t>
      </w:r>
      <w:r w:rsidR="00953226" w:rsidRPr="001D4BA7">
        <w:rPr>
          <w:bCs/>
        </w:rPr>
        <w:t xml:space="preserve">oreign </w:t>
      </w:r>
      <w:r w:rsidR="000B7D30">
        <w:rPr>
          <w:bCs/>
        </w:rPr>
        <w:t>r</w:t>
      </w:r>
      <w:r w:rsidR="00F46512" w:rsidRPr="001D4BA7">
        <w:rPr>
          <w:bCs/>
        </w:rPr>
        <w:t xml:space="preserve">eporting </w:t>
      </w:r>
      <w:r w:rsidR="000B7D30">
        <w:rPr>
          <w:bCs/>
        </w:rPr>
        <w:t>e</w:t>
      </w:r>
      <w:r w:rsidR="00F46512" w:rsidRPr="001D4BA7">
        <w:rPr>
          <w:bCs/>
        </w:rPr>
        <w:t xml:space="preserve">ntities that rely on subrule 2.2.1(3) </w:t>
      </w:r>
      <w:r>
        <w:rPr>
          <w:bCs/>
        </w:rPr>
        <w:t>to</w:t>
      </w:r>
      <w:r w:rsidRPr="001D4BA7">
        <w:rPr>
          <w:bCs/>
        </w:rPr>
        <w:t xml:space="preserve"> </w:t>
      </w:r>
      <w:r w:rsidR="00F46512" w:rsidRPr="001D4BA7">
        <w:rPr>
          <w:bCs/>
        </w:rPr>
        <w:t xml:space="preserve">designate or </w:t>
      </w:r>
      <w:r w:rsidR="00867324">
        <w:rPr>
          <w:bCs/>
        </w:rPr>
        <w:t>”</w:t>
      </w:r>
      <w:r w:rsidR="00F46512" w:rsidRPr="001D4BA7">
        <w:rPr>
          <w:bCs/>
        </w:rPr>
        <w:t>tag</w:t>
      </w:r>
      <w:r w:rsidR="00867324">
        <w:rPr>
          <w:bCs/>
        </w:rPr>
        <w:t>”</w:t>
      </w:r>
      <w:r w:rsidR="00F46512" w:rsidRPr="001D4BA7">
        <w:rPr>
          <w:bCs/>
        </w:rPr>
        <w:t xml:space="preserve"> the information reported to the </w:t>
      </w:r>
      <w:r w:rsidR="000B7D30">
        <w:rPr>
          <w:bCs/>
        </w:rPr>
        <w:t>p</w:t>
      </w:r>
      <w:r w:rsidR="00F46512" w:rsidRPr="001D4BA7">
        <w:rPr>
          <w:bCs/>
        </w:rPr>
        <w:t xml:space="preserve">rescribed </w:t>
      </w:r>
      <w:r w:rsidR="000B7D30">
        <w:rPr>
          <w:bCs/>
        </w:rPr>
        <w:t>r</w:t>
      </w:r>
      <w:r w:rsidR="00F46512" w:rsidRPr="001D4BA7">
        <w:rPr>
          <w:bCs/>
        </w:rPr>
        <w:t xml:space="preserve">epository as information that has been reported under the Australian </w:t>
      </w:r>
      <w:r w:rsidR="000B7D30">
        <w:rPr>
          <w:bCs/>
        </w:rPr>
        <w:t>r</w:t>
      </w:r>
      <w:r w:rsidR="00F46512" w:rsidRPr="001D4BA7">
        <w:rPr>
          <w:bCs/>
        </w:rPr>
        <w:t xml:space="preserve">eporting </w:t>
      </w:r>
      <w:r w:rsidR="000B7D30">
        <w:rPr>
          <w:bCs/>
        </w:rPr>
        <w:t>r</w:t>
      </w:r>
      <w:r w:rsidR="00F46512" w:rsidRPr="001D4BA7">
        <w:rPr>
          <w:bCs/>
        </w:rPr>
        <w:t xml:space="preserve">equirements. This </w:t>
      </w:r>
      <w:r w:rsidR="00837E62">
        <w:rPr>
          <w:bCs/>
        </w:rPr>
        <w:t>en</w:t>
      </w:r>
      <w:r w:rsidR="00F46512" w:rsidRPr="001D4BA7">
        <w:rPr>
          <w:bCs/>
        </w:rPr>
        <w:t xml:space="preserve">sures that </w:t>
      </w:r>
      <w:r w:rsidR="00C97215">
        <w:rPr>
          <w:bCs/>
        </w:rPr>
        <w:t>p</w:t>
      </w:r>
      <w:r w:rsidR="00F46512" w:rsidRPr="001D4BA7">
        <w:rPr>
          <w:bCs/>
        </w:rPr>
        <w:t xml:space="preserve">rescribed </w:t>
      </w:r>
      <w:r w:rsidR="00C97215">
        <w:rPr>
          <w:bCs/>
        </w:rPr>
        <w:t>r</w:t>
      </w:r>
      <w:r w:rsidR="00F46512" w:rsidRPr="001D4BA7">
        <w:rPr>
          <w:bCs/>
        </w:rPr>
        <w:t>epositories are able to provide the</w:t>
      </w:r>
      <w:r w:rsidR="00F46512" w:rsidRPr="00D551D8">
        <w:rPr>
          <w:bCs/>
        </w:rPr>
        <w:t xml:space="preserve"> information to Australian regulators, and that Australian regulators are able to obtain more timely and complete access to information about OTC </w:t>
      </w:r>
      <w:r w:rsidR="00C97215">
        <w:rPr>
          <w:bCs/>
        </w:rPr>
        <w:t>d</w:t>
      </w:r>
      <w:r w:rsidR="00F46512" w:rsidRPr="00D551D8">
        <w:rPr>
          <w:bCs/>
        </w:rPr>
        <w:t>erivatives activity that is relevant to Australian financial markets.</w:t>
      </w:r>
    </w:p>
    <w:p w14:paraId="421C1620" w14:textId="366A34A4" w:rsidR="0026773C" w:rsidRPr="0026773C" w:rsidRDefault="0026773C" w:rsidP="0026773C">
      <w:pPr>
        <w:pStyle w:val="LI-BodyTextNumbered"/>
        <w:ind w:hanging="1134"/>
        <w:rPr>
          <w:u w:val="single"/>
        </w:rPr>
      </w:pPr>
      <w:r w:rsidRPr="0026773C">
        <w:rPr>
          <w:u w:val="single"/>
        </w:rPr>
        <w:t xml:space="preserve">Rule 2.2.2 – Reporting </w:t>
      </w:r>
      <w:r w:rsidR="0098792D">
        <w:rPr>
          <w:u w:val="single"/>
        </w:rPr>
        <w:t>r</w:t>
      </w:r>
      <w:r w:rsidRPr="0026773C">
        <w:rPr>
          <w:u w:val="single"/>
        </w:rPr>
        <w:t xml:space="preserve">equirement – </w:t>
      </w:r>
      <w:r w:rsidR="0098792D">
        <w:rPr>
          <w:u w:val="single"/>
        </w:rPr>
        <w:t>c</w:t>
      </w:r>
      <w:r w:rsidRPr="0026773C">
        <w:rPr>
          <w:u w:val="single"/>
        </w:rPr>
        <w:t>hanges</w:t>
      </w:r>
    </w:p>
    <w:p w14:paraId="4A89A051" w14:textId="0F4617C6" w:rsidR="0026773C" w:rsidRPr="00BA215C" w:rsidRDefault="0026773C" w:rsidP="00091619">
      <w:pPr>
        <w:pStyle w:val="LI-BodyTextParaa"/>
        <w:numPr>
          <w:ilvl w:val="0"/>
          <w:numId w:val="2"/>
        </w:numPr>
        <w:rPr>
          <w:bCs/>
        </w:rPr>
      </w:pPr>
      <w:r w:rsidRPr="00BA215C">
        <w:rPr>
          <w:bCs/>
        </w:rPr>
        <w:t xml:space="preserve">Rule 2.2.2 requires a </w:t>
      </w:r>
      <w:r w:rsidR="00496BFE">
        <w:rPr>
          <w:bCs/>
        </w:rPr>
        <w:t>r</w:t>
      </w:r>
      <w:r w:rsidR="00496BFE" w:rsidRPr="00BA215C">
        <w:rPr>
          <w:bCs/>
        </w:rPr>
        <w:t xml:space="preserve">eporting </w:t>
      </w:r>
      <w:r w:rsidR="00496BFE">
        <w:rPr>
          <w:bCs/>
        </w:rPr>
        <w:t>e</w:t>
      </w:r>
      <w:r w:rsidR="00496BFE" w:rsidRPr="00BA215C">
        <w:rPr>
          <w:bCs/>
        </w:rPr>
        <w:t xml:space="preserve">ntity </w:t>
      </w:r>
      <w:r w:rsidRPr="00BA215C">
        <w:rPr>
          <w:bCs/>
        </w:rPr>
        <w:t xml:space="preserve">to report changes to previously reported information that do not constitute a </w:t>
      </w:r>
      <w:r w:rsidR="007608C4">
        <w:rPr>
          <w:bCs/>
        </w:rPr>
        <w:t>r</w:t>
      </w:r>
      <w:r w:rsidR="007608C4" w:rsidRPr="00BA215C">
        <w:rPr>
          <w:bCs/>
        </w:rPr>
        <w:t xml:space="preserve">eportable </w:t>
      </w:r>
      <w:r w:rsidR="007608C4">
        <w:rPr>
          <w:bCs/>
        </w:rPr>
        <w:t>t</w:t>
      </w:r>
      <w:r w:rsidR="007608C4" w:rsidRPr="00BA215C">
        <w:rPr>
          <w:bCs/>
        </w:rPr>
        <w:t>ransaction</w:t>
      </w:r>
      <w:r w:rsidRPr="00BA215C">
        <w:rPr>
          <w:bCs/>
        </w:rPr>
        <w:t xml:space="preserve">. It is noted that </w:t>
      </w:r>
      <w:r w:rsidR="0030649F">
        <w:rPr>
          <w:bCs/>
        </w:rPr>
        <w:t xml:space="preserve">a </w:t>
      </w:r>
      <w:r w:rsidRPr="00BA215C">
        <w:rPr>
          <w:bCs/>
        </w:rPr>
        <w:t xml:space="preserve">change that does constitute a </w:t>
      </w:r>
      <w:r w:rsidR="007608C4">
        <w:rPr>
          <w:bCs/>
        </w:rPr>
        <w:t>r</w:t>
      </w:r>
      <w:r w:rsidR="007608C4" w:rsidRPr="00BA215C">
        <w:rPr>
          <w:bCs/>
        </w:rPr>
        <w:t xml:space="preserve">eportable </w:t>
      </w:r>
      <w:r w:rsidR="007608C4">
        <w:rPr>
          <w:bCs/>
        </w:rPr>
        <w:t>t</w:t>
      </w:r>
      <w:r w:rsidR="007608C4" w:rsidRPr="00BA215C">
        <w:rPr>
          <w:bCs/>
        </w:rPr>
        <w:t xml:space="preserve">ransaction </w:t>
      </w:r>
      <w:r w:rsidRPr="00BA215C">
        <w:rPr>
          <w:bCs/>
        </w:rPr>
        <w:t>(</w:t>
      </w:r>
      <w:proofErr w:type="gramStart"/>
      <w:r w:rsidRPr="00BA215C">
        <w:rPr>
          <w:bCs/>
        </w:rPr>
        <w:t>e.g.</w:t>
      </w:r>
      <w:proofErr w:type="gramEnd"/>
      <w:r w:rsidRPr="00BA215C">
        <w:rPr>
          <w:bCs/>
        </w:rPr>
        <w:t xml:space="preserve"> a modification, termination or assignment of the OTC </w:t>
      </w:r>
      <w:r w:rsidR="007608C4">
        <w:rPr>
          <w:bCs/>
        </w:rPr>
        <w:t>d</w:t>
      </w:r>
      <w:r w:rsidR="007608C4" w:rsidRPr="00BA215C">
        <w:rPr>
          <w:bCs/>
        </w:rPr>
        <w:t>erivative</w:t>
      </w:r>
      <w:r w:rsidRPr="00BA215C">
        <w:rPr>
          <w:bCs/>
        </w:rPr>
        <w:t>) will be required to be reported under subrule 2.2.1(1).</w:t>
      </w:r>
    </w:p>
    <w:p w14:paraId="1CD82356" w14:textId="4B9785B9" w:rsidR="0026773C" w:rsidRPr="00BA215C" w:rsidRDefault="0026773C" w:rsidP="00091619">
      <w:pPr>
        <w:pStyle w:val="LI-BodyTextParaa"/>
        <w:numPr>
          <w:ilvl w:val="0"/>
          <w:numId w:val="2"/>
        </w:numPr>
        <w:rPr>
          <w:bCs/>
        </w:rPr>
      </w:pPr>
      <w:r w:rsidRPr="00BA215C">
        <w:rPr>
          <w:bCs/>
        </w:rPr>
        <w:t xml:space="preserve">Subrule 2.2.2(1) provides that, where a </w:t>
      </w:r>
      <w:r w:rsidR="007608C4">
        <w:rPr>
          <w:bCs/>
        </w:rPr>
        <w:t>r</w:t>
      </w:r>
      <w:r w:rsidR="007608C4" w:rsidRPr="00BA215C">
        <w:rPr>
          <w:bCs/>
        </w:rPr>
        <w:t xml:space="preserve">eporting </w:t>
      </w:r>
      <w:r w:rsidR="007608C4">
        <w:rPr>
          <w:bCs/>
        </w:rPr>
        <w:t>e</w:t>
      </w:r>
      <w:r w:rsidR="007608C4" w:rsidRPr="00BA215C">
        <w:rPr>
          <w:bCs/>
        </w:rPr>
        <w:t xml:space="preserve">ntity </w:t>
      </w:r>
      <w:r w:rsidRPr="00BA215C">
        <w:rPr>
          <w:bCs/>
        </w:rPr>
        <w:t xml:space="preserve">has reported information about a </w:t>
      </w:r>
      <w:r w:rsidR="007608C4">
        <w:rPr>
          <w:bCs/>
        </w:rPr>
        <w:t>r</w:t>
      </w:r>
      <w:r w:rsidR="007608C4" w:rsidRPr="00BA215C">
        <w:rPr>
          <w:bCs/>
        </w:rPr>
        <w:t xml:space="preserve">eportable </w:t>
      </w:r>
      <w:r w:rsidR="007608C4">
        <w:rPr>
          <w:bCs/>
        </w:rPr>
        <w:t>t</w:t>
      </w:r>
      <w:r w:rsidR="007608C4" w:rsidRPr="00BA215C">
        <w:rPr>
          <w:bCs/>
        </w:rPr>
        <w:t xml:space="preserve">ransaction </w:t>
      </w:r>
      <w:r w:rsidRPr="00BA215C">
        <w:rPr>
          <w:bCs/>
        </w:rPr>
        <w:t xml:space="preserve">or </w:t>
      </w:r>
      <w:r w:rsidR="007608C4">
        <w:rPr>
          <w:bCs/>
        </w:rPr>
        <w:t>r</w:t>
      </w:r>
      <w:r w:rsidR="007608C4" w:rsidRPr="00BA215C">
        <w:rPr>
          <w:bCs/>
        </w:rPr>
        <w:t xml:space="preserve">eportable </w:t>
      </w:r>
      <w:r w:rsidR="007608C4">
        <w:rPr>
          <w:bCs/>
        </w:rPr>
        <w:t>p</w:t>
      </w:r>
      <w:r w:rsidR="007608C4" w:rsidRPr="00BA215C">
        <w:rPr>
          <w:bCs/>
        </w:rPr>
        <w:t xml:space="preserve">osition </w:t>
      </w:r>
      <w:r w:rsidRPr="00BA215C">
        <w:rPr>
          <w:bCs/>
        </w:rPr>
        <w:t xml:space="preserve">in accordance with subrule 2.2.1(1) and there is a change to the information reported that does not constitute a </w:t>
      </w:r>
      <w:r w:rsidR="007608C4">
        <w:rPr>
          <w:bCs/>
        </w:rPr>
        <w:t>r</w:t>
      </w:r>
      <w:r w:rsidR="007608C4" w:rsidRPr="00BA215C">
        <w:rPr>
          <w:bCs/>
        </w:rPr>
        <w:t xml:space="preserve">eportable </w:t>
      </w:r>
      <w:r w:rsidR="007608C4">
        <w:rPr>
          <w:bCs/>
        </w:rPr>
        <w:t>t</w:t>
      </w:r>
      <w:r w:rsidR="007608C4" w:rsidRPr="00BA215C">
        <w:rPr>
          <w:bCs/>
        </w:rPr>
        <w:t>ransaction</w:t>
      </w:r>
      <w:r w:rsidRPr="00BA215C">
        <w:rPr>
          <w:bCs/>
        </w:rPr>
        <w:t xml:space="preserve">, the </w:t>
      </w:r>
      <w:r w:rsidR="007608C4">
        <w:rPr>
          <w:bCs/>
        </w:rPr>
        <w:t>r</w:t>
      </w:r>
      <w:r w:rsidR="007608C4" w:rsidRPr="00BA215C">
        <w:rPr>
          <w:bCs/>
        </w:rPr>
        <w:t xml:space="preserve">eporting </w:t>
      </w:r>
      <w:r w:rsidR="007608C4">
        <w:rPr>
          <w:bCs/>
        </w:rPr>
        <w:t>e</w:t>
      </w:r>
      <w:r w:rsidR="007608C4" w:rsidRPr="00BA215C">
        <w:rPr>
          <w:bCs/>
        </w:rPr>
        <w:t xml:space="preserve">ntity </w:t>
      </w:r>
      <w:r w:rsidRPr="00BA215C">
        <w:rPr>
          <w:bCs/>
        </w:rPr>
        <w:t>must report the change, and also the applicable information about the change set out in item 55 of Table S2.1(1), in accordance with the requirements of Part 2.2. Item 55 of Table S2.1(1) requires an indication of the nature of the change.</w:t>
      </w:r>
    </w:p>
    <w:p w14:paraId="2AD060E7" w14:textId="7005DAB2" w:rsidR="0026773C" w:rsidRPr="00BA215C" w:rsidRDefault="0026773C" w:rsidP="00091619">
      <w:pPr>
        <w:pStyle w:val="LI-BodyTextParaa"/>
        <w:numPr>
          <w:ilvl w:val="0"/>
          <w:numId w:val="2"/>
        </w:numPr>
        <w:rPr>
          <w:bCs/>
        </w:rPr>
      </w:pPr>
      <w:r w:rsidRPr="00BA215C">
        <w:rPr>
          <w:bCs/>
        </w:rPr>
        <w:t xml:space="preserve">Subrule 2.2.2(2) provides that, without limiting subrule 2.2.2(1) and subject to subrule 2.2.2(3), a </w:t>
      </w:r>
      <w:r w:rsidR="007608C4">
        <w:rPr>
          <w:bCs/>
        </w:rPr>
        <w:t>r</w:t>
      </w:r>
      <w:r w:rsidR="007608C4" w:rsidRPr="00BA215C">
        <w:rPr>
          <w:bCs/>
        </w:rPr>
        <w:t xml:space="preserve">eporting </w:t>
      </w:r>
      <w:r w:rsidR="007608C4">
        <w:rPr>
          <w:bCs/>
        </w:rPr>
        <w:t>e</w:t>
      </w:r>
      <w:r w:rsidR="007608C4" w:rsidRPr="00BA215C">
        <w:rPr>
          <w:bCs/>
        </w:rPr>
        <w:t xml:space="preserve">ntity </w:t>
      </w:r>
      <w:r w:rsidRPr="00BA215C">
        <w:rPr>
          <w:bCs/>
        </w:rPr>
        <w:t>must report:</w:t>
      </w:r>
    </w:p>
    <w:p w14:paraId="17223C69" w14:textId="68204631" w:rsidR="0026773C" w:rsidRPr="003B7822" w:rsidRDefault="0026773C" w:rsidP="00091619">
      <w:pPr>
        <w:pStyle w:val="LI-BodyTextParaa"/>
        <w:numPr>
          <w:ilvl w:val="1"/>
          <w:numId w:val="2"/>
        </w:numPr>
        <w:rPr>
          <w:bCs/>
        </w:rPr>
      </w:pPr>
      <w:r w:rsidRPr="003B7822">
        <w:rPr>
          <w:bCs/>
        </w:rPr>
        <w:t xml:space="preserve">each updated mark-to-market, mark-to-model or other valuation of the OTC </w:t>
      </w:r>
      <w:r w:rsidR="00116B5B">
        <w:rPr>
          <w:bCs/>
        </w:rPr>
        <w:t>d</w:t>
      </w:r>
      <w:r w:rsidR="00116B5B" w:rsidRPr="003B7822">
        <w:rPr>
          <w:bCs/>
        </w:rPr>
        <w:t xml:space="preserve">erivative </w:t>
      </w:r>
      <w:r w:rsidRPr="003B7822">
        <w:rPr>
          <w:bCs/>
        </w:rPr>
        <w:t xml:space="preserve">to which the </w:t>
      </w:r>
      <w:r w:rsidR="00116B5B">
        <w:rPr>
          <w:bCs/>
        </w:rPr>
        <w:t>r</w:t>
      </w:r>
      <w:r w:rsidR="00116B5B" w:rsidRPr="003B7822">
        <w:rPr>
          <w:bCs/>
        </w:rPr>
        <w:t xml:space="preserve">eportable </w:t>
      </w:r>
      <w:r w:rsidR="00116B5B">
        <w:rPr>
          <w:bCs/>
        </w:rPr>
        <w:t>t</w:t>
      </w:r>
      <w:r w:rsidR="00116B5B" w:rsidRPr="003B7822">
        <w:rPr>
          <w:bCs/>
        </w:rPr>
        <w:t xml:space="preserve">ransaction </w:t>
      </w:r>
      <w:r w:rsidRPr="003B7822">
        <w:rPr>
          <w:bCs/>
        </w:rPr>
        <w:t xml:space="preserve">or </w:t>
      </w:r>
      <w:r w:rsidR="00116B5B">
        <w:rPr>
          <w:bCs/>
        </w:rPr>
        <w:t>r</w:t>
      </w:r>
      <w:r w:rsidR="00116B5B" w:rsidRPr="003B7822">
        <w:rPr>
          <w:bCs/>
        </w:rPr>
        <w:t xml:space="preserve">eportable </w:t>
      </w:r>
      <w:r w:rsidR="00116B5B">
        <w:rPr>
          <w:bCs/>
        </w:rPr>
        <w:t>p</w:t>
      </w:r>
      <w:r w:rsidR="00116B5B" w:rsidRPr="003B7822">
        <w:rPr>
          <w:bCs/>
        </w:rPr>
        <w:t xml:space="preserve">osition </w:t>
      </w:r>
      <w:r w:rsidRPr="003B7822">
        <w:rPr>
          <w:bCs/>
        </w:rPr>
        <w:t xml:space="preserve">relates, whether performed by the </w:t>
      </w:r>
      <w:r w:rsidR="00E5581E">
        <w:rPr>
          <w:bCs/>
        </w:rPr>
        <w:t>r</w:t>
      </w:r>
      <w:r w:rsidR="00E5581E" w:rsidRPr="003B7822">
        <w:rPr>
          <w:bCs/>
        </w:rPr>
        <w:t xml:space="preserve">eporting </w:t>
      </w:r>
      <w:r w:rsidR="00E5581E">
        <w:rPr>
          <w:bCs/>
        </w:rPr>
        <w:t>e</w:t>
      </w:r>
      <w:r w:rsidR="00E5581E" w:rsidRPr="003B7822">
        <w:rPr>
          <w:bCs/>
        </w:rPr>
        <w:t xml:space="preserve">ntity </w:t>
      </w:r>
      <w:r w:rsidRPr="003B7822">
        <w:rPr>
          <w:bCs/>
        </w:rPr>
        <w:t xml:space="preserve">or by another person on behalf of the </w:t>
      </w:r>
      <w:r w:rsidR="00E5581E">
        <w:rPr>
          <w:bCs/>
        </w:rPr>
        <w:t>r</w:t>
      </w:r>
      <w:r w:rsidR="00E5581E" w:rsidRPr="003B7822">
        <w:rPr>
          <w:bCs/>
        </w:rPr>
        <w:t xml:space="preserve">eporting </w:t>
      </w:r>
      <w:r w:rsidR="00E5581E">
        <w:rPr>
          <w:bCs/>
        </w:rPr>
        <w:t>e</w:t>
      </w:r>
      <w:r w:rsidR="00E5581E" w:rsidRPr="003B7822">
        <w:rPr>
          <w:bCs/>
        </w:rPr>
        <w:t>ntity</w:t>
      </w:r>
      <w:r w:rsidRPr="003B7822">
        <w:rPr>
          <w:bCs/>
        </w:rPr>
        <w:t>; and</w:t>
      </w:r>
    </w:p>
    <w:p w14:paraId="6DB6075A" w14:textId="089A2F59" w:rsidR="00D82F45" w:rsidRDefault="0026773C" w:rsidP="00091619">
      <w:pPr>
        <w:pStyle w:val="LI-BodyTextParaa"/>
        <w:numPr>
          <w:ilvl w:val="1"/>
          <w:numId w:val="2"/>
        </w:numPr>
        <w:rPr>
          <w:bCs/>
        </w:rPr>
      </w:pPr>
      <w:r w:rsidRPr="003B7822">
        <w:rPr>
          <w:bCs/>
        </w:rPr>
        <w:lastRenderedPageBreak/>
        <w:t xml:space="preserve">each change to the collateral held in relation to the OTC </w:t>
      </w:r>
      <w:r w:rsidR="00E4290F">
        <w:rPr>
          <w:bCs/>
        </w:rPr>
        <w:t>d</w:t>
      </w:r>
      <w:r w:rsidR="00E4290F" w:rsidRPr="003B7822">
        <w:rPr>
          <w:bCs/>
        </w:rPr>
        <w:t xml:space="preserve">erivative </w:t>
      </w:r>
      <w:r w:rsidRPr="003B7822">
        <w:rPr>
          <w:bCs/>
        </w:rPr>
        <w:t xml:space="preserve">to which the </w:t>
      </w:r>
      <w:r w:rsidR="00E4290F">
        <w:rPr>
          <w:bCs/>
        </w:rPr>
        <w:t>r</w:t>
      </w:r>
      <w:r w:rsidR="00E4290F" w:rsidRPr="003B7822">
        <w:rPr>
          <w:bCs/>
        </w:rPr>
        <w:t xml:space="preserve">eportable </w:t>
      </w:r>
      <w:r w:rsidR="00E4290F">
        <w:rPr>
          <w:bCs/>
        </w:rPr>
        <w:t>t</w:t>
      </w:r>
      <w:r w:rsidR="00E4290F" w:rsidRPr="003B7822">
        <w:rPr>
          <w:bCs/>
        </w:rPr>
        <w:t xml:space="preserve">ransaction </w:t>
      </w:r>
      <w:r w:rsidRPr="003B7822">
        <w:rPr>
          <w:bCs/>
        </w:rPr>
        <w:t xml:space="preserve">or </w:t>
      </w:r>
      <w:r w:rsidR="00E4290F">
        <w:rPr>
          <w:bCs/>
        </w:rPr>
        <w:t>r</w:t>
      </w:r>
      <w:r w:rsidR="00E4290F" w:rsidRPr="003B7822">
        <w:rPr>
          <w:bCs/>
        </w:rPr>
        <w:t xml:space="preserve">eportable </w:t>
      </w:r>
      <w:r w:rsidR="00E4290F">
        <w:rPr>
          <w:bCs/>
        </w:rPr>
        <w:t>p</w:t>
      </w:r>
      <w:r w:rsidR="00E4290F" w:rsidRPr="003B7822">
        <w:rPr>
          <w:bCs/>
        </w:rPr>
        <w:t xml:space="preserve">osition </w:t>
      </w:r>
      <w:r w:rsidRPr="003B7822">
        <w:rPr>
          <w:bCs/>
        </w:rPr>
        <w:t>relates</w:t>
      </w:r>
      <w:r w:rsidR="00FD7346">
        <w:rPr>
          <w:bCs/>
        </w:rPr>
        <w:t>.</w:t>
      </w:r>
    </w:p>
    <w:p w14:paraId="63EEB41A" w14:textId="5A820648" w:rsidR="0026773C" w:rsidRPr="003B7822" w:rsidRDefault="0026773C" w:rsidP="00091619">
      <w:pPr>
        <w:pStyle w:val="LI-BodyTextParaa"/>
        <w:numPr>
          <w:ilvl w:val="0"/>
          <w:numId w:val="2"/>
        </w:numPr>
        <w:rPr>
          <w:bCs/>
        </w:rPr>
      </w:pPr>
      <w:r w:rsidRPr="003B7822">
        <w:rPr>
          <w:bCs/>
        </w:rPr>
        <w:t xml:space="preserve">Subrule 2.2.2(3) provides that if there is more than one update to the valuation or </w:t>
      </w:r>
      <w:r w:rsidR="00501E3E">
        <w:rPr>
          <w:bCs/>
        </w:rPr>
        <w:t>the</w:t>
      </w:r>
      <w:r w:rsidR="00637B73">
        <w:rPr>
          <w:bCs/>
        </w:rPr>
        <w:t xml:space="preserve"> </w:t>
      </w:r>
      <w:r w:rsidRPr="003B7822">
        <w:rPr>
          <w:bCs/>
        </w:rPr>
        <w:t xml:space="preserve">collateral </w:t>
      </w:r>
      <w:r w:rsidR="001A25B7">
        <w:rPr>
          <w:bCs/>
        </w:rPr>
        <w:t xml:space="preserve">amount </w:t>
      </w:r>
      <w:r w:rsidR="00501E3E">
        <w:rPr>
          <w:bCs/>
        </w:rPr>
        <w:t>(as referred to in para</w:t>
      </w:r>
      <w:r w:rsidR="00637B73">
        <w:rPr>
          <w:bCs/>
        </w:rPr>
        <w:t xml:space="preserve">graphs 2.2.2(2)(a) and 2.2.2(2) (b) respectively) </w:t>
      </w:r>
      <w:r w:rsidRPr="003B7822">
        <w:rPr>
          <w:bCs/>
        </w:rPr>
        <w:t xml:space="preserve">during a </w:t>
      </w:r>
      <w:r w:rsidR="00501E3E">
        <w:rPr>
          <w:bCs/>
        </w:rPr>
        <w:t>b</w:t>
      </w:r>
      <w:r w:rsidRPr="003B7822">
        <w:rPr>
          <w:bCs/>
        </w:rPr>
        <w:t xml:space="preserve">usiness </w:t>
      </w:r>
      <w:r w:rsidR="00501E3E">
        <w:rPr>
          <w:bCs/>
        </w:rPr>
        <w:t>d</w:t>
      </w:r>
      <w:r w:rsidRPr="003B7822">
        <w:rPr>
          <w:bCs/>
        </w:rPr>
        <w:t xml:space="preserve">ay, the </w:t>
      </w:r>
      <w:r w:rsidR="00637B73">
        <w:rPr>
          <w:bCs/>
        </w:rPr>
        <w:t>r</w:t>
      </w:r>
      <w:r w:rsidR="00637B73" w:rsidRPr="003B7822">
        <w:rPr>
          <w:bCs/>
        </w:rPr>
        <w:t xml:space="preserve">eporting </w:t>
      </w:r>
      <w:r w:rsidR="00637B73">
        <w:rPr>
          <w:bCs/>
        </w:rPr>
        <w:t>e</w:t>
      </w:r>
      <w:r w:rsidR="00637B73" w:rsidRPr="003B7822">
        <w:rPr>
          <w:bCs/>
        </w:rPr>
        <w:t xml:space="preserve">ntity </w:t>
      </w:r>
      <w:r w:rsidRPr="003B7822">
        <w:rPr>
          <w:bCs/>
        </w:rPr>
        <w:t xml:space="preserve">is only required to report the update or change that occurs closest to the end of that </w:t>
      </w:r>
      <w:r w:rsidR="00637B73">
        <w:rPr>
          <w:bCs/>
        </w:rPr>
        <w:t>b</w:t>
      </w:r>
      <w:r w:rsidR="00637B73" w:rsidRPr="003B7822">
        <w:rPr>
          <w:bCs/>
        </w:rPr>
        <w:t xml:space="preserve">usiness </w:t>
      </w:r>
      <w:r w:rsidR="00637B73">
        <w:rPr>
          <w:bCs/>
        </w:rPr>
        <w:t>d</w:t>
      </w:r>
      <w:r w:rsidR="00637B73" w:rsidRPr="003B7822">
        <w:rPr>
          <w:bCs/>
        </w:rPr>
        <w:t>ay</w:t>
      </w:r>
      <w:r w:rsidRPr="003B7822">
        <w:rPr>
          <w:bCs/>
        </w:rPr>
        <w:t xml:space="preserve">. Subrule 2.2.2(3) ensures that </w:t>
      </w:r>
      <w:r w:rsidR="00637B73">
        <w:rPr>
          <w:bCs/>
        </w:rPr>
        <w:t>r</w:t>
      </w:r>
      <w:r w:rsidR="00637B73" w:rsidRPr="003B7822">
        <w:rPr>
          <w:bCs/>
        </w:rPr>
        <w:t xml:space="preserve">eporting </w:t>
      </w:r>
      <w:r w:rsidR="00637B73">
        <w:rPr>
          <w:bCs/>
        </w:rPr>
        <w:t>e</w:t>
      </w:r>
      <w:r w:rsidR="00637B73" w:rsidRPr="003B7822">
        <w:rPr>
          <w:bCs/>
        </w:rPr>
        <w:t xml:space="preserve">ntities </w:t>
      </w:r>
      <w:r w:rsidRPr="003B7822">
        <w:rPr>
          <w:bCs/>
        </w:rPr>
        <w:t>are not required to report multiple intra-day mark-to-market valuations and changes to collateral.</w:t>
      </w:r>
    </w:p>
    <w:p w14:paraId="21607EAA" w14:textId="6E69E367" w:rsidR="00AD70BA" w:rsidRDefault="00867324" w:rsidP="00091619">
      <w:pPr>
        <w:pStyle w:val="LI-BodyTextParaa"/>
        <w:numPr>
          <w:ilvl w:val="0"/>
          <w:numId w:val="2"/>
        </w:numPr>
        <w:rPr>
          <w:bCs/>
        </w:rPr>
      </w:pPr>
      <w:r>
        <w:rPr>
          <w:bCs/>
        </w:rPr>
        <w:t>“</w:t>
      </w:r>
      <w:r w:rsidR="0026773C" w:rsidRPr="003B7822">
        <w:rPr>
          <w:bCs/>
        </w:rPr>
        <w:t xml:space="preserve">Business </w:t>
      </w:r>
      <w:r w:rsidR="00637B73">
        <w:rPr>
          <w:bCs/>
        </w:rPr>
        <w:t>d</w:t>
      </w:r>
      <w:r w:rsidR="00637B73" w:rsidRPr="003B7822">
        <w:rPr>
          <w:bCs/>
        </w:rPr>
        <w:t>ay</w:t>
      </w:r>
      <w:r>
        <w:rPr>
          <w:bCs/>
        </w:rPr>
        <w:t>”</w:t>
      </w:r>
      <w:r w:rsidR="00637B73" w:rsidRPr="003B7822">
        <w:rPr>
          <w:bCs/>
        </w:rPr>
        <w:t xml:space="preserve"> </w:t>
      </w:r>
      <w:r w:rsidR="0026773C" w:rsidRPr="003B7822">
        <w:rPr>
          <w:bCs/>
        </w:rPr>
        <w:t xml:space="preserve">is defined in Rule 1.2.3 to mean a day that is not a Saturday, a Sunday, or a public holiday or bank holiday in the </w:t>
      </w:r>
      <w:r w:rsidR="00637B73">
        <w:rPr>
          <w:bCs/>
        </w:rPr>
        <w:t>r</w:t>
      </w:r>
      <w:r w:rsidR="00637B73" w:rsidRPr="003B7822">
        <w:rPr>
          <w:bCs/>
        </w:rPr>
        <w:t xml:space="preserve">elevant </w:t>
      </w:r>
      <w:r w:rsidR="00637B73">
        <w:rPr>
          <w:bCs/>
        </w:rPr>
        <w:t>j</w:t>
      </w:r>
      <w:r w:rsidR="00637B73" w:rsidRPr="003B7822">
        <w:rPr>
          <w:bCs/>
        </w:rPr>
        <w:t>urisdiction</w:t>
      </w:r>
      <w:r w:rsidR="0026773C" w:rsidRPr="003B7822">
        <w:rPr>
          <w:bCs/>
        </w:rPr>
        <w:t>.</w:t>
      </w:r>
    </w:p>
    <w:p w14:paraId="57802861" w14:textId="64D3B9D1" w:rsidR="0026773C" w:rsidRPr="003B7822" w:rsidRDefault="00BE56CE" w:rsidP="00091619">
      <w:pPr>
        <w:pStyle w:val="LI-BodyTextParaa"/>
        <w:numPr>
          <w:ilvl w:val="0"/>
          <w:numId w:val="2"/>
        </w:numPr>
        <w:rPr>
          <w:bCs/>
        </w:rPr>
      </w:pPr>
      <w:r>
        <w:rPr>
          <w:bCs/>
        </w:rPr>
        <w:t>“</w:t>
      </w:r>
      <w:r w:rsidR="0026773C" w:rsidRPr="003B7822">
        <w:rPr>
          <w:bCs/>
        </w:rPr>
        <w:t xml:space="preserve">Relevant </w:t>
      </w:r>
      <w:r w:rsidR="00637B73">
        <w:rPr>
          <w:bCs/>
        </w:rPr>
        <w:t>j</w:t>
      </w:r>
      <w:r w:rsidR="00637B73" w:rsidRPr="003B7822">
        <w:rPr>
          <w:bCs/>
        </w:rPr>
        <w:t>urisdiction</w:t>
      </w:r>
      <w:r>
        <w:rPr>
          <w:bCs/>
        </w:rPr>
        <w:t>”</w:t>
      </w:r>
      <w:r w:rsidR="00637B73" w:rsidRPr="003B7822">
        <w:rPr>
          <w:bCs/>
        </w:rPr>
        <w:t xml:space="preserve"> </w:t>
      </w:r>
      <w:r w:rsidR="0026773C" w:rsidRPr="003B7822">
        <w:rPr>
          <w:bCs/>
        </w:rPr>
        <w:t xml:space="preserve">is also defined in Rule 1.2.3 to mean, in relation to a </w:t>
      </w:r>
      <w:r w:rsidR="00637B73">
        <w:rPr>
          <w:bCs/>
        </w:rPr>
        <w:t>r</w:t>
      </w:r>
      <w:r w:rsidR="00637B73" w:rsidRPr="003B7822">
        <w:rPr>
          <w:bCs/>
        </w:rPr>
        <w:t xml:space="preserve">eportable </w:t>
      </w:r>
      <w:r w:rsidR="00637B73">
        <w:rPr>
          <w:bCs/>
        </w:rPr>
        <w:t>t</w:t>
      </w:r>
      <w:r w:rsidR="00637B73" w:rsidRPr="003B7822">
        <w:rPr>
          <w:bCs/>
        </w:rPr>
        <w:t>ransaction</w:t>
      </w:r>
      <w:r w:rsidR="00CC5EFA">
        <w:rPr>
          <w:bCs/>
        </w:rPr>
        <w:t xml:space="preserve"> </w:t>
      </w:r>
      <w:r w:rsidR="0026773C" w:rsidRPr="003B7822">
        <w:rPr>
          <w:bCs/>
        </w:rPr>
        <w:t xml:space="preserve">or </w:t>
      </w:r>
      <w:r w:rsidR="00CC5EFA">
        <w:rPr>
          <w:bCs/>
        </w:rPr>
        <w:t>r</w:t>
      </w:r>
      <w:r w:rsidR="0026773C" w:rsidRPr="003B7822">
        <w:rPr>
          <w:bCs/>
        </w:rPr>
        <w:t xml:space="preserve">eportable </w:t>
      </w:r>
      <w:r w:rsidR="00CC5EFA">
        <w:rPr>
          <w:bCs/>
        </w:rPr>
        <w:t>p</w:t>
      </w:r>
      <w:r w:rsidR="0026773C" w:rsidRPr="003B7822">
        <w:rPr>
          <w:bCs/>
        </w:rPr>
        <w:t>osition:</w:t>
      </w:r>
    </w:p>
    <w:p w14:paraId="6A99F065" w14:textId="2DB5C43F" w:rsidR="0026773C" w:rsidRPr="000439CE" w:rsidRDefault="0026773C" w:rsidP="00091619">
      <w:pPr>
        <w:pStyle w:val="LI-BodyTextParaa"/>
        <w:numPr>
          <w:ilvl w:val="1"/>
          <w:numId w:val="2"/>
        </w:numPr>
        <w:rPr>
          <w:bCs/>
        </w:rPr>
      </w:pPr>
      <w:r w:rsidRPr="000439CE">
        <w:rPr>
          <w:bCs/>
        </w:rPr>
        <w:t xml:space="preserve">this jurisdiction, if the </w:t>
      </w:r>
      <w:r w:rsidR="00637B73">
        <w:rPr>
          <w:bCs/>
        </w:rPr>
        <w:t>r</w:t>
      </w:r>
      <w:r w:rsidR="00637B73" w:rsidRPr="000439CE">
        <w:rPr>
          <w:bCs/>
        </w:rPr>
        <w:t xml:space="preserve">eportable </w:t>
      </w:r>
      <w:r w:rsidR="00637B73">
        <w:rPr>
          <w:bCs/>
        </w:rPr>
        <w:t>t</w:t>
      </w:r>
      <w:r w:rsidR="00637B73" w:rsidRPr="000439CE">
        <w:rPr>
          <w:bCs/>
        </w:rPr>
        <w:t xml:space="preserve">ransaction </w:t>
      </w:r>
      <w:r w:rsidRPr="000439CE">
        <w:rPr>
          <w:bCs/>
        </w:rPr>
        <w:t xml:space="preserve">or </w:t>
      </w:r>
      <w:r w:rsidR="00CC5EFA">
        <w:rPr>
          <w:bCs/>
        </w:rPr>
        <w:t>r</w:t>
      </w:r>
      <w:r w:rsidRPr="000439CE">
        <w:rPr>
          <w:bCs/>
        </w:rPr>
        <w:t xml:space="preserve">eportable </w:t>
      </w:r>
      <w:r w:rsidR="00CC5EFA">
        <w:rPr>
          <w:bCs/>
        </w:rPr>
        <w:t>p</w:t>
      </w:r>
      <w:r w:rsidRPr="000439CE">
        <w:rPr>
          <w:bCs/>
        </w:rPr>
        <w:t xml:space="preserve">osition was booked to the profit or loss account of a branch of the </w:t>
      </w:r>
      <w:r w:rsidR="00637B73">
        <w:rPr>
          <w:bCs/>
        </w:rPr>
        <w:t>r</w:t>
      </w:r>
      <w:r w:rsidR="00637B73" w:rsidRPr="000439CE">
        <w:rPr>
          <w:bCs/>
        </w:rPr>
        <w:t xml:space="preserve">eporting </w:t>
      </w:r>
      <w:r w:rsidR="00637B73">
        <w:rPr>
          <w:bCs/>
        </w:rPr>
        <w:t>e</w:t>
      </w:r>
      <w:r w:rsidR="00637B73" w:rsidRPr="000439CE">
        <w:rPr>
          <w:bCs/>
        </w:rPr>
        <w:t xml:space="preserve">ntity </w:t>
      </w:r>
      <w:r w:rsidRPr="000439CE">
        <w:rPr>
          <w:bCs/>
        </w:rPr>
        <w:t xml:space="preserve">located in this jurisdiction or was entered into by the </w:t>
      </w:r>
      <w:r w:rsidR="00637B73">
        <w:rPr>
          <w:bCs/>
        </w:rPr>
        <w:t>r</w:t>
      </w:r>
      <w:r w:rsidR="00637B73" w:rsidRPr="000439CE">
        <w:rPr>
          <w:bCs/>
        </w:rPr>
        <w:t xml:space="preserve">eporting </w:t>
      </w:r>
      <w:r w:rsidR="00637B73">
        <w:rPr>
          <w:bCs/>
        </w:rPr>
        <w:t>e</w:t>
      </w:r>
      <w:r w:rsidR="00637B73" w:rsidRPr="000439CE">
        <w:rPr>
          <w:bCs/>
        </w:rPr>
        <w:t xml:space="preserve">ntity </w:t>
      </w:r>
      <w:r w:rsidRPr="000439CE">
        <w:rPr>
          <w:bCs/>
        </w:rPr>
        <w:t>in this jurisdiction; or</w:t>
      </w:r>
    </w:p>
    <w:p w14:paraId="2EA846C2" w14:textId="6E8362D8" w:rsidR="0026773C" w:rsidRPr="000439CE" w:rsidRDefault="0026773C" w:rsidP="00091619">
      <w:pPr>
        <w:pStyle w:val="LI-BodyTextParaa"/>
        <w:numPr>
          <w:ilvl w:val="1"/>
          <w:numId w:val="2"/>
        </w:numPr>
        <w:rPr>
          <w:bCs/>
        </w:rPr>
      </w:pPr>
      <w:r w:rsidRPr="000439CE">
        <w:rPr>
          <w:bCs/>
        </w:rPr>
        <w:t>if</w:t>
      </w:r>
      <w:r w:rsidR="003716AE">
        <w:rPr>
          <w:bCs/>
        </w:rPr>
        <w:t xml:space="preserve"> paragraph (a) doesn’t apply</w:t>
      </w:r>
      <w:r w:rsidRPr="000439CE">
        <w:rPr>
          <w:bCs/>
        </w:rPr>
        <w:t>:</w:t>
      </w:r>
    </w:p>
    <w:p w14:paraId="08AF41D1" w14:textId="0F324E62" w:rsidR="0026773C" w:rsidRPr="000439CE" w:rsidRDefault="0026773C" w:rsidP="00091619">
      <w:pPr>
        <w:pStyle w:val="LI-BodyTextParaa"/>
        <w:numPr>
          <w:ilvl w:val="2"/>
          <w:numId w:val="2"/>
        </w:numPr>
        <w:rPr>
          <w:bCs/>
        </w:rPr>
      </w:pPr>
      <w:r w:rsidRPr="000439CE">
        <w:rPr>
          <w:bCs/>
        </w:rPr>
        <w:t xml:space="preserve">the jurisdiction in which the </w:t>
      </w:r>
      <w:r w:rsidR="00637B73">
        <w:rPr>
          <w:bCs/>
        </w:rPr>
        <w:t>r</w:t>
      </w:r>
      <w:r w:rsidR="00637B73" w:rsidRPr="000439CE">
        <w:rPr>
          <w:bCs/>
        </w:rPr>
        <w:t xml:space="preserve">eportable </w:t>
      </w:r>
      <w:r w:rsidR="00637B73">
        <w:rPr>
          <w:bCs/>
        </w:rPr>
        <w:t>t</w:t>
      </w:r>
      <w:r w:rsidR="00637B73" w:rsidRPr="000439CE">
        <w:rPr>
          <w:bCs/>
        </w:rPr>
        <w:t xml:space="preserve">ransaction </w:t>
      </w:r>
      <w:r w:rsidRPr="000439CE">
        <w:rPr>
          <w:bCs/>
        </w:rPr>
        <w:t xml:space="preserve">or </w:t>
      </w:r>
      <w:r w:rsidR="00CC5EFA">
        <w:rPr>
          <w:bCs/>
        </w:rPr>
        <w:t>r</w:t>
      </w:r>
      <w:r w:rsidRPr="000439CE">
        <w:rPr>
          <w:bCs/>
        </w:rPr>
        <w:t xml:space="preserve">eportable </w:t>
      </w:r>
      <w:r w:rsidR="00CC5EFA">
        <w:rPr>
          <w:bCs/>
        </w:rPr>
        <w:t>p</w:t>
      </w:r>
      <w:r w:rsidRPr="000439CE">
        <w:rPr>
          <w:bCs/>
        </w:rPr>
        <w:t xml:space="preserve">osition was booked to the profit or loss account of a branch of the </w:t>
      </w:r>
      <w:r w:rsidR="00637B73">
        <w:rPr>
          <w:bCs/>
        </w:rPr>
        <w:t>r</w:t>
      </w:r>
      <w:r w:rsidR="00637B73" w:rsidRPr="000439CE">
        <w:rPr>
          <w:bCs/>
        </w:rPr>
        <w:t xml:space="preserve">eporting </w:t>
      </w:r>
      <w:r w:rsidR="00637B73">
        <w:rPr>
          <w:bCs/>
        </w:rPr>
        <w:t>e</w:t>
      </w:r>
      <w:r w:rsidR="00637B73" w:rsidRPr="000439CE">
        <w:rPr>
          <w:bCs/>
        </w:rPr>
        <w:t>ntity</w:t>
      </w:r>
      <w:r w:rsidRPr="000439CE">
        <w:rPr>
          <w:bCs/>
        </w:rPr>
        <w:t>; or</w:t>
      </w:r>
    </w:p>
    <w:p w14:paraId="467CB163" w14:textId="7B8A74EA" w:rsidR="0026773C" w:rsidRPr="000439CE" w:rsidRDefault="00232BDE" w:rsidP="00091619">
      <w:pPr>
        <w:pStyle w:val="LI-BodyTextParaa"/>
        <w:numPr>
          <w:ilvl w:val="2"/>
          <w:numId w:val="2"/>
        </w:numPr>
        <w:rPr>
          <w:bCs/>
        </w:rPr>
      </w:pPr>
      <w:r>
        <w:rPr>
          <w:bCs/>
        </w:rPr>
        <w:t xml:space="preserve">if </w:t>
      </w:r>
      <w:r w:rsidR="003716AE">
        <w:rPr>
          <w:bCs/>
        </w:rPr>
        <w:t xml:space="preserve">subparagraph </w:t>
      </w:r>
      <w:r>
        <w:rPr>
          <w:bCs/>
        </w:rPr>
        <w:t>(</w:t>
      </w:r>
      <w:proofErr w:type="spellStart"/>
      <w:r>
        <w:rPr>
          <w:bCs/>
        </w:rPr>
        <w:t>i</w:t>
      </w:r>
      <w:proofErr w:type="spellEnd"/>
      <w:r>
        <w:rPr>
          <w:bCs/>
        </w:rPr>
        <w:t xml:space="preserve">) does not apply, </w:t>
      </w:r>
      <w:r w:rsidR="0026773C" w:rsidRPr="000439CE">
        <w:rPr>
          <w:bCs/>
        </w:rPr>
        <w:t xml:space="preserve">the jurisdiction in which the </w:t>
      </w:r>
      <w:r w:rsidR="00637B73">
        <w:rPr>
          <w:bCs/>
        </w:rPr>
        <w:t>r</w:t>
      </w:r>
      <w:r w:rsidR="00637B73" w:rsidRPr="000439CE">
        <w:rPr>
          <w:bCs/>
        </w:rPr>
        <w:t xml:space="preserve">eportable </w:t>
      </w:r>
      <w:r w:rsidR="00637B73">
        <w:rPr>
          <w:bCs/>
        </w:rPr>
        <w:t>t</w:t>
      </w:r>
      <w:r w:rsidR="00637B73" w:rsidRPr="000439CE">
        <w:rPr>
          <w:bCs/>
        </w:rPr>
        <w:t xml:space="preserve">ransaction </w:t>
      </w:r>
      <w:r w:rsidR="0026773C" w:rsidRPr="000439CE">
        <w:rPr>
          <w:bCs/>
        </w:rPr>
        <w:t xml:space="preserve">was entered into by the </w:t>
      </w:r>
      <w:r w:rsidR="00637B73">
        <w:rPr>
          <w:bCs/>
        </w:rPr>
        <w:t>r</w:t>
      </w:r>
      <w:r w:rsidR="00637B73" w:rsidRPr="000439CE">
        <w:rPr>
          <w:bCs/>
        </w:rPr>
        <w:t xml:space="preserve">eporting </w:t>
      </w:r>
      <w:r w:rsidR="00637B73">
        <w:rPr>
          <w:bCs/>
        </w:rPr>
        <w:t>e</w:t>
      </w:r>
      <w:r w:rsidR="00637B73" w:rsidRPr="000439CE">
        <w:rPr>
          <w:bCs/>
        </w:rPr>
        <w:t>ntity</w:t>
      </w:r>
      <w:r w:rsidR="0026773C" w:rsidRPr="000439CE">
        <w:rPr>
          <w:bCs/>
        </w:rPr>
        <w:t>.</w:t>
      </w:r>
    </w:p>
    <w:p w14:paraId="38AE013A" w14:textId="5FCF1CC8" w:rsidR="0026773C" w:rsidRPr="0026773C" w:rsidRDefault="0026773C" w:rsidP="0026773C">
      <w:pPr>
        <w:pStyle w:val="LI-BodyTextNumbered"/>
        <w:ind w:hanging="1134"/>
        <w:rPr>
          <w:u w:val="single"/>
        </w:rPr>
      </w:pPr>
      <w:r w:rsidRPr="0026773C">
        <w:rPr>
          <w:u w:val="single"/>
        </w:rPr>
        <w:t xml:space="preserve">Rule 2.2.3 – Reporting </w:t>
      </w:r>
      <w:r w:rsidR="0098792D">
        <w:rPr>
          <w:u w:val="single"/>
        </w:rPr>
        <w:t>r</w:t>
      </w:r>
      <w:r w:rsidRPr="0026773C">
        <w:rPr>
          <w:u w:val="single"/>
        </w:rPr>
        <w:t xml:space="preserve">equirement – </w:t>
      </w:r>
      <w:r w:rsidR="0098792D">
        <w:rPr>
          <w:u w:val="single"/>
        </w:rPr>
        <w:t>t</w:t>
      </w:r>
      <w:r w:rsidRPr="0026773C">
        <w:rPr>
          <w:u w:val="single"/>
        </w:rPr>
        <w:t>iming (generally T+1)</w:t>
      </w:r>
    </w:p>
    <w:p w14:paraId="0671D4E2" w14:textId="5C25A8A8" w:rsidR="0026773C" w:rsidRPr="000439CE" w:rsidRDefault="0026773C" w:rsidP="00091619">
      <w:pPr>
        <w:pStyle w:val="LI-BodyTextParaa"/>
        <w:numPr>
          <w:ilvl w:val="0"/>
          <w:numId w:val="2"/>
        </w:numPr>
        <w:rPr>
          <w:bCs/>
        </w:rPr>
      </w:pPr>
      <w:r w:rsidRPr="000439CE">
        <w:rPr>
          <w:bCs/>
        </w:rPr>
        <w:t xml:space="preserve">Subrule 2.2.3(1) provides that, subject to subrule 2.2.3(2), a </w:t>
      </w:r>
      <w:r w:rsidR="0098792D">
        <w:rPr>
          <w:bCs/>
        </w:rPr>
        <w:t>r</w:t>
      </w:r>
      <w:r w:rsidR="0098792D" w:rsidRPr="000439CE">
        <w:rPr>
          <w:bCs/>
        </w:rPr>
        <w:t xml:space="preserve">eporting </w:t>
      </w:r>
      <w:r w:rsidR="0098792D">
        <w:rPr>
          <w:bCs/>
        </w:rPr>
        <w:t>e</w:t>
      </w:r>
      <w:r w:rsidR="0098792D" w:rsidRPr="000439CE">
        <w:rPr>
          <w:bCs/>
        </w:rPr>
        <w:t xml:space="preserve">ntity </w:t>
      </w:r>
      <w:r w:rsidRPr="000439CE">
        <w:rPr>
          <w:bCs/>
        </w:rPr>
        <w:t>that is required to</w:t>
      </w:r>
      <w:r w:rsidR="0098792D">
        <w:rPr>
          <w:bCs/>
        </w:rPr>
        <w:t xml:space="preserve"> report</w:t>
      </w:r>
      <w:r w:rsidRPr="000439CE">
        <w:rPr>
          <w:bCs/>
        </w:rPr>
        <w:t>:</w:t>
      </w:r>
    </w:p>
    <w:p w14:paraId="5800882A" w14:textId="761EC46E" w:rsidR="0026773C" w:rsidRPr="000439CE" w:rsidRDefault="0026773C" w:rsidP="00091619">
      <w:pPr>
        <w:pStyle w:val="LI-BodyTextParaa"/>
        <w:numPr>
          <w:ilvl w:val="1"/>
          <w:numId w:val="2"/>
        </w:numPr>
        <w:rPr>
          <w:bCs/>
        </w:rPr>
      </w:pPr>
      <w:r w:rsidRPr="000439CE">
        <w:rPr>
          <w:bCs/>
        </w:rPr>
        <w:t xml:space="preserve">information about a </w:t>
      </w:r>
      <w:r w:rsidR="0098792D">
        <w:rPr>
          <w:bCs/>
        </w:rPr>
        <w:t>r</w:t>
      </w:r>
      <w:r w:rsidR="0098792D" w:rsidRPr="000439CE">
        <w:rPr>
          <w:bCs/>
        </w:rPr>
        <w:t xml:space="preserve">eportable </w:t>
      </w:r>
      <w:r w:rsidR="0098792D">
        <w:rPr>
          <w:bCs/>
        </w:rPr>
        <w:t>t</w:t>
      </w:r>
      <w:r w:rsidR="0098792D" w:rsidRPr="000439CE">
        <w:rPr>
          <w:bCs/>
        </w:rPr>
        <w:t xml:space="preserve">ransaction </w:t>
      </w:r>
      <w:r w:rsidRPr="000439CE">
        <w:rPr>
          <w:bCs/>
        </w:rPr>
        <w:t xml:space="preserve">in accordance with paragraph 2.2.1(1)(a) or (c); or </w:t>
      </w:r>
    </w:p>
    <w:p w14:paraId="27749797" w14:textId="20B71201" w:rsidR="0026773C" w:rsidRPr="000439CE" w:rsidRDefault="0026773C" w:rsidP="00091619">
      <w:pPr>
        <w:pStyle w:val="LI-BodyTextParaa"/>
        <w:numPr>
          <w:ilvl w:val="1"/>
          <w:numId w:val="2"/>
        </w:numPr>
        <w:rPr>
          <w:bCs/>
        </w:rPr>
      </w:pPr>
      <w:r w:rsidRPr="000439CE">
        <w:rPr>
          <w:bCs/>
        </w:rPr>
        <w:t xml:space="preserve">a change to information about a </w:t>
      </w:r>
      <w:r w:rsidR="0098792D">
        <w:rPr>
          <w:bCs/>
        </w:rPr>
        <w:t>r</w:t>
      </w:r>
      <w:r w:rsidR="0098792D" w:rsidRPr="000439CE">
        <w:rPr>
          <w:bCs/>
        </w:rPr>
        <w:t xml:space="preserve">eportable </w:t>
      </w:r>
      <w:r w:rsidR="0098792D">
        <w:rPr>
          <w:bCs/>
        </w:rPr>
        <w:t>t</w:t>
      </w:r>
      <w:r w:rsidR="0098792D" w:rsidRPr="000439CE">
        <w:rPr>
          <w:bCs/>
        </w:rPr>
        <w:t xml:space="preserve">ransaction </w:t>
      </w:r>
      <w:r w:rsidRPr="000439CE">
        <w:rPr>
          <w:bCs/>
        </w:rPr>
        <w:t xml:space="preserve">or </w:t>
      </w:r>
      <w:r w:rsidR="0098792D">
        <w:rPr>
          <w:bCs/>
        </w:rPr>
        <w:t>r</w:t>
      </w:r>
      <w:r w:rsidR="0098792D" w:rsidRPr="000439CE">
        <w:rPr>
          <w:bCs/>
        </w:rPr>
        <w:t xml:space="preserve">eportable </w:t>
      </w:r>
      <w:r w:rsidR="0098792D">
        <w:rPr>
          <w:bCs/>
        </w:rPr>
        <w:t>p</w:t>
      </w:r>
      <w:r w:rsidR="0098792D" w:rsidRPr="000439CE">
        <w:rPr>
          <w:bCs/>
        </w:rPr>
        <w:t>osition</w:t>
      </w:r>
      <w:r w:rsidRPr="000439CE">
        <w:rPr>
          <w:bCs/>
        </w:rPr>
        <w:t xml:space="preserve">, in accordance with subrule 2.2.2(1), </w:t>
      </w:r>
    </w:p>
    <w:p w14:paraId="3EE837A6" w14:textId="2108EC9C" w:rsidR="0026773C" w:rsidRPr="000439CE" w:rsidRDefault="0026773C" w:rsidP="000439CE">
      <w:pPr>
        <w:pStyle w:val="LI-BodyTextParaa"/>
        <w:ind w:left="567" w:firstLine="0"/>
        <w:rPr>
          <w:bCs/>
        </w:rPr>
      </w:pPr>
      <w:r w:rsidRPr="000439CE">
        <w:rPr>
          <w:bCs/>
        </w:rPr>
        <w:t xml:space="preserve">must report the information or change by no later than the end of the next </w:t>
      </w:r>
      <w:r w:rsidR="00042823">
        <w:rPr>
          <w:bCs/>
        </w:rPr>
        <w:t>b</w:t>
      </w:r>
      <w:r w:rsidR="00042823" w:rsidRPr="000439CE">
        <w:rPr>
          <w:bCs/>
        </w:rPr>
        <w:t xml:space="preserve">usiness </w:t>
      </w:r>
      <w:r w:rsidR="00042823">
        <w:rPr>
          <w:bCs/>
        </w:rPr>
        <w:t>d</w:t>
      </w:r>
      <w:r w:rsidR="00042823" w:rsidRPr="000439CE">
        <w:rPr>
          <w:bCs/>
        </w:rPr>
        <w:t xml:space="preserve">ay </w:t>
      </w:r>
      <w:r w:rsidRPr="000439CE">
        <w:rPr>
          <w:bCs/>
        </w:rPr>
        <w:t>after the requirement to report the information or change arises.</w:t>
      </w:r>
    </w:p>
    <w:p w14:paraId="4232152F" w14:textId="26AB9F3F" w:rsidR="0026773C" w:rsidRPr="009454DB" w:rsidRDefault="0026773C" w:rsidP="00091619">
      <w:pPr>
        <w:pStyle w:val="LI-BodyTextParaa"/>
        <w:numPr>
          <w:ilvl w:val="0"/>
          <w:numId w:val="2"/>
        </w:numPr>
        <w:rPr>
          <w:bCs/>
        </w:rPr>
      </w:pPr>
      <w:r w:rsidRPr="00124F41">
        <w:rPr>
          <w:bCs/>
        </w:rPr>
        <w:t xml:space="preserve">Subrule 2.2.3(2) provides that if the </w:t>
      </w:r>
      <w:r w:rsidR="00042823">
        <w:rPr>
          <w:bCs/>
        </w:rPr>
        <w:t>l</w:t>
      </w:r>
      <w:r w:rsidR="00042823" w:rsidRPr="00124F41">
        <w:rPr>
          <w:bCs/>
        </w:rPr>
        <w:t xml:space="preserve">icensed </w:t>
      </w:r>
      <w:r w:rsidR="00042823">
        <w:rPr>
          <w:bCs/>
        </w:rPr>
        <w:t>r</w:t>
      </w:r>
      <w:r w:rsidR="00042823" w:rsidRPr="00124F41">
        <w:rPr>
          <w:bCs/>
        </w:rPr>
        <w:t xml:space="preserve">epository </w:t>
      </w:r>
      <w:r w:rsidRPr="00124F41">
        <w:rPr>
          <w:bCs/>
        </w:rPr>
        <w:t xml:space="preserve">or </w:t>
      </w:r>
      <w:r w:rsidR="00042823">
        <w:rPr>
          <w:bCs/>
        </w:rPr>
        <w:t>p</w:t>
      </w:r>
      <w:r w:rsidR="00042823" w:rsidRPr="00124F41">
        <w:rPr>
          <w:bCs/>
        </w:rPr>
        <w:t xml:space="preserve">rescribed </w:t>
      </w:r>
      <w:r w:rsidR="00042823">
        <w:rPr>
          <w:bCs/>
        </w:rPr>
        <w:t>r</w:t>
      </w:r>
      <w:r w:rsidR="00042823" w:rsidRPr="00124F41">
        <w:rPr>
          <w:bCs/>
        </w:rPr>
        <w:t xml:space="preserve">epository </w:t>
      </w:r>
      <w:r w:rsidRPr="00124F41">
        <w:rPr>
          <w:bCs/>
        </w:rPr>
        <w:t xml:space="preserve">to which the information or changes are to be reported is not available to accept the report of information or changes by the time required under subrule 2.2.3(1), the </w:t>
      </w:r>
      <w:r w:rsidR="00042823">
        <w:rPr>
          <w:bCs/>
        </w:rPr>
        <w:t>r</w:t>
      </w:r>
      <w:r w:rsidR="00042823" w:rsidRPr="00124F41">
        <w:rPr>
          <w:bCs/>
        </w:rPr>
        <w:t xml:space="preserve">eporting </w:t>
      </w:r>
      <w:r w:rsidR="00042823">
        <w:rPr>
          <w:bCs/>
        </w:rPr>
        <w:t>e</w:t>
      </w:r>
      <w:r w:rsidR="00042823" w:rsidRPr="00124F41">
        <w:rPr>
          <w:bCs/>
        </w:rPr>
        <w:t xml:space="preserve">ntity </w:t>
      </w:r>
      <w:r w:rsidRPr="00124F41">
        <w:rPr>
          <w:bCs/>
        </w:rPr>
        <w:t xml:space="preserve">must report the information or changes as soon as practicable after the </w:t>
      </w:r>
      <w:r w:rsidR="00042823">
        <w:rPr>
          <w:bCs/>
        </w:rPr>
        <w:t>l</w:t>
      </w:r>
      <w:r w:rsidR="00042823" w:rsidRPr="00124F41">
        <w:rPr>
          <w:bCs/>
        </w:rPr>
        <w:t xml:space="preserve">icensed </w:t>
      </w:r>
      <w:r w:rsidR="00042823">
        <w:rPr>
          <w:bCs/>
        </w:rPr>
        <w:t>r</w:t>
      </w:r>
      <w:r w:rsidR="00042823" w:rsidRPr="00124F41">
        <w:rPr>
          <w:bCs/>
        </w:rPr>
        <w:t xml:space="preserve">epository </w:t>
      </w:r>
      <w:r w:rsidRPr="00124F41">
        <w:rPr>
          <w:bCs/>
        </w:rPr>
        <w:t xml:space="preserve">or </w:t>
      </w:r>
      <w:r w:rsidR="00042823">
        <w:rPr>
          <w:bCs/>
        </w:rPr>
        <w:t>p</w:t>
      </w:r>
      <w:r w:rsidR="00042823" w:rsidRPr="00124F41">
        <w:rPr>
          <w:bCs/>
        </w:rPr>
        <w:t xml:space="preserve">rescribed </w:t>
      </w:r>
      <w:r w:rsidR="00042823">
        <w:rPr>
          <w:bCs/>
        </w:rPr>
        <w:t>r</w:t>
      </w:r>
      <w:r w:rsidR="00042823" w:rsidRPr="00124F41">
        <w:rPr>
          <w:bCs/>
        </w:rPr>
        <w:t xml:space="preserve">epository </w:t>
      </w:r>
      <w:r w:rsidRPr="00124F41">
        <w:rPr>
          <w:bCs/>
        </w:rPr>
        <w:t>becomes available to accept the report.</w:t>
      </w:r>
    </w:p>
    <w:p w14:paraId="16637296" w14:textId="5627AA25" w:rsidR="0026773C" w:rsidRPr="00124F41" w:rsidRDefault="0026773C" w:rsidP="00091619">
      <w:pPr>
        <w:pStyle w:val="LI-BodyTextParaa"/>
        <w:numPr>
          <w:ilvl w:val="0"/>
          <w:numId w:val="2"/>
        </w:numPr>
        <w:rPr>
          <w:bCs/>
        </w:rPr>
      </w:pPr>
      <w:r w:rsidRPr="00124F41">
        <w:rPr>
          <w:bCs/>
        </w:rPr>
        <w:lastRenderedPageBreak/>
        <w:t xml:space="preserve">Subrule 2.2.3(2) of the </w:t>
      </w:r>
      <w:r w:rsidR="00042823">
        <w:rPr>
          <w:bCs/>
        </w:rPr>
        <w:t xml:space="preserve">2022 </w:t>
      </w:r>
      <w:r w:rsidRPr="00124F41">
        <w:rPr>
          <w:bCs/>
        </w:rPr>
        <w:t xml:space="preserve">Rules is designed to ensure a </w:t>
      </w:r>
      <w:r w:rsidR="00042823">
        <w:rPr>
          <w:bCs/>
        </w:rPr>
        <w:t>r</w:t>
      </w:r>
      <w:r w:rsidR="00042823" w:rsidRPr="00124F41">
        <w:rPr>
          <w:bCs/>
        </w:rPr>
        <w:t xml:space="preserve">eporting </w:t>
      </w:r>
      <w:r w:rsidR="00042823">
        <w:rPr>
          <w:bCs/>
        </w:rPr>
        <w:t>e</w:t>
      </w:r>
      <w:r w:rsidR="00042823" w:rsidRPr="00124F41">
        <w:rPr>
          <w:bCs/>
        </w:rPr>
        <w:t xml:space="preserve">ntity </w:t>
      </w:r>
      <w:r w:rsidRPr="00124F41">
        <w:rPr>
          <w:bCs/>
        </w:rPr>
        <w:t xml:space="preserve">does not breach subrule 2.2.3(1) where the </w:t>
      </w:r>
      <w:r w:rsidR="00042823">
        <w:rPr>
          <w:bCs/>
        </w:rPr>
        <w:t>t</w:t>
      </w:r>
      <w:r w:rsidR="00042823" w:rsidRPr="00124F41">
        <w:rPr>
          <w:bCs/>
        </w:rPr>
        <w:t xml:space="preserve">rade </w:t>
      </w:r>
      <w:r w:rsidR="00042823">
        <w:rPr>
          <w:bCs/>
        </w:rPr>
        <w:t>r</w:t>
      </w:r>
      <w:r w:rsidR="00042823" w:rsidRPr="00124F41">
        <w:rPr>
          <w:bCs/>
        </w:rPr>
        <w:t xml:space="preserve">epository’s </w:t>
      </w:r>
      <w:r w:rsidRPr="00124F41">
        <w:rPr>
          <w:bCs/>
        </w:rPr>
        <w:t xml:space="preserve">services are temporarily unavailable. It is noted that paragraph 2.3.1(3)(a) of the ASIC Derivative Trade Repository Rules 2013 requires the </w:t>
      </w:r>
      <w:r w:rsidR="00042823">
        <w:rPr>
          <w:bCs/>
        </w:rPr>
        <w:t>o</w:t>
      </w:r>
      <w:r w:rsidR="00042823" w:rsidRPr="00124F41">
        <w:rPr>
          <w:bCs/>
        </w:rPr>
        <w:t xml:space="preserve">perator </w:t>
      </w:r>
      <w:r w:rsidRPr="00124F41">
        <w:rPr>
          <w:bCs/>
        </w:rPr>
        <w:t xml:space="preserve">of a </w:t>
      </w:r>
      <w:r w:rsidR="00042823">
        <w:rPr>
          <w:bCs/>
        </w:rPr>
        <w:t>l</w:t>
      </w:r>
      <w:r w:rsidR="00042823" w:rsidRPr="00124F41">
        <w:rPr>
          <w:bCs/>
        </w:rPr>
        <w:t xml:space="preserve">icensed </w:t>
      </w:r>
      <w:r w:rsidR="00042823">
        <w:rPr>
          <w:bCs/>
        </w:rPr>
        <w:t>r</w:t>
      </w:r>
      <w:r w:rsidR="00042823" w:rsidRPr="00124F41">
        <w:rPr>
          <w:bCs/>
        </w:rPr>
        <w:t xml:space="preserve">epository </w:t>
      </w:r>
      <w:r w:rsidRPr="00124F41">
        <w:rPr>
          <w:bCs/>
        </w:rPr>
        <w:t xml:space="preserve">to have in place policies, procedures, systems and controls reasonably designed to maintain continuous, reliable and secure connections with </w:t>
      </w:r>
      <w:r w:rsidR="00042823">
        <w:rPr>
          <w:bCs/>
        </w:rPr>
        <w:t>p</w:t>
      </w:r>
      <w:r w:rsidR="00042823" w:rsidRPr="00124F41">
        <w:rPr>
          <w:bCs/>
        </w:rPr>
        <w:t xml:space="preserve">articipants </w:t>
      </w:r>
      <w:r w:rsidRPr="00124F41">
        <w:rPr>
          <w:bCs/>
        </w:rPr>
        <w:t>(</w:t>
      </w:r>
      <w:proofErr w:type="gramStart"/>
      <w:r w:rsidRPr="00124F41">
        <w:rPr>
          <w:bCs/>
        </w:rPr>
        <w:t>i.e.</w:t>
      </w:r>
      <w:proofErr w:type="gramEnd"/>
      <w:r w:rsidRPr="00124F41">
        <w:rPr>
          <w:bCs/>
        </w:rPr>
        <w:t xml:space="preserve"> </w:t>
      </w:r>
      <w:r w:rsidR="00042823">
        <w:rPr>
          <w:bCs/>
        </w:rPr>
        <w:t>r</w:t>
      </w:r>
      <w:r w:rsidR="00042823" w:rsidRPr="00124F41">
        <w:rPr>
          <w:bCs/>
        </w:rPr>
        <w:t xml:space="preserve">eporting </w:t>
      </w:r>
      <w:r w:rsidR="00042823">
        <w:rPr>
          <w:bCs/>
        </w:rPr>
        <w:t>e</w:t>
      </w:r>
      <w:r w:rsidR="00042823" w:rsidRPr="00124F41">
        <w:rPr>
          <w:bCs/>
        </w:rPr>
        <w:t xml:space="preserve">ntities </w:t>
      </w:r>
      <w:r w:rsidRPr="00124F41">
        <w:rPr>
          <w:bCs/>
        </w:rPr>
        <w:t xml:space="preserve">or persons reporting on their behalf) for the purposes of accepting </w:t>
      </w:r>
      <w:r w:rsidR="00042823">
        <w:rPr>
          <w:bCs/>
        </w:rPr>
        <w:t>d</w:t>
      </w:r>
      <w:r w:rsidR="00042823" w:rsidRPr="00124F41">
        <w:rPr>
          <w:bCs/>
        </w:rPr>
        <w:t xml:space="preserve">erivative </w:t>
      </w:r>
      <w:r w:rsidR="00042823">
        <w:rPr>
          <w:bCs/>
        </w:rPr>
        <w:t>t</w:t>
      </w:r>
      <w:r w:rsidR="00042823" w:rsidRPr="00124F41">
        <w:rPr>
          <w:bCs/>
        </w:rPr>
        <w:t xml:space="preserve">rade </w:t>
      </w:r>
      <w:r w:rsidR="00042823">
        <w:rPr>
          <w:bCs/>
        </w:rPr>
        <w:t>d</w:t>
      </w:r>
      <w:r w:rsidR="00042823" w:rsidRPr="00124F41">
        <w:rPr>
          <w:bCs/>
        </w:rPr>
        <w:t>ata</w:t>
      </w:r>
      <w:r w:rsidRPr="00124F41">
        <w:rPr>
          <w:bCs/>
        </w:rPr>
        <w:t xml:space="preserve">. </w:t>
      </w:r>
    </w:p>
    <w:p w14:paraId="3C75BBCF" w14:textId="6F6DA6B2" w:rsidR="0026773C" w:rsidRPr="0026773C" w:rsidRDefault="0026773C" w:rsidP="0026773C">
      <w:pPr>
        <w:pStyle w:val="LI-BodyTextNumbered"/>
        <w:ind w:hanging="1134"/>
        <w:rPr>
          <w:u w:val="single"/>
        </w:rPr>
      </w:pPr>
      <w:r w:rsidRPr="0026773C">
        <w:rPr>
          <w:u w:val="single"/>
        </w:rPr>
        <w:t xml:space="preserve">Rule 2.2.4 – Reporting </w:t>
      </w:r>
      <w:r w:rsidR="00245D37">
        <w:rPr>
          <w:u w:val="single"/>
        </w:rPr>
        <w:t>r</w:t>
      </w:r>
      <w:r w:rsidRPr="0026773C">
        <w:rPr>
          <w:u w:val="single"/>
        </w:rPr>
        <w:t xml:space="preserve">equirement – </w:t>
      </w:r>
      <w:r w:rsidR="00245D37">
        <w:rPr>
          <w:u w:val="single"/>
        </w:rPr>
        <w:t>f</w:t>
      </w:r>
      <w:r w:rsidRPr="0026773C">
        <w:rPr>
          <w:u w:val="single"/>
        </w:rPr>
        <w:t>ormat</w:t>
      </w:r>
    </w:p>
    <w:p w14:paraId="669CC9EC" w14:textId="298C6E2E" w:rsidR="0026773C" w:rsidRPr="00CF7C7D" w:rsidRDefault="0026773C" w:rsidP="00091619">
      <w:pPr>
        <w:pStyle w:val="LI-BodyTextParaa"/>
        <w:numPr>
          <w:ilvl w:val="0"/>
          <w:numId w:val="2"/>
        </w:numPr>
        <w:rPr>
          <w:bCs/>
        </w:rPr>
      </w:pPr>
      <w:r w:rsidRPr="00CF7C7D">
        <w:rPr>
          <w:bCs/>
        </w:rPr>
        <w:t xml:space="preserve">Rule 2.2.4 provides that a </w:t>
      </w:r>
      <w:r w:rsidR="00B80F68">
        <w:rPr>
          <w:bCs/>
        </w:rPr>
        <w:t>r</w:t>
      </w:r>
      <w:r w:rsidR="00B80F68" w:rsidRPr="00CF7C7D">
        <w:rPr>
          <w:bCs/>
        </w:rPr>
        <w:t xml:space="preserve">eporting </w:t>
      </w:r>
      <w:r w:rsidR="00B80F68">
        <w:rPr>
          <w:bCs/>
        </w:rPr>
        <w:t>e</w:t>
      </w:r>
      <w:r w:rsidR="00B80F68" w:rsidRPr="00CF7C7D">
        <w:rPr>
          <w:bCs/>
        </w:rPr>
        <w:t xml:space="preserve">ntity </w:t>
      </w:r>
      <w:r w:rsidRPr="00CF7C7D">
        <w:rPr>
          <w:bCs/>
        </w:rPr>
        <w:t>that is required to report:</w:t>
      </w:r>
    </w:p>
    <w:p w14:paraId="27FB3FF2" w14:textId="7D90A450" w:rsidR="0026773C" w:rsidRPr="00CF7C7D" w:rsidRDefault="00B80F68" w:rsidP="00091619">
      <w:pPr>
        <w:pStyle w:val="LI-BodyTextParaa"/>
        <w:numPr>
          <w:ilvl w:val="1"/>
          <w:numId w:val="2"/>
        </w:numPr>
        <w:rPr>
          <w:bCs/>
        </w:rPr>
      </w:pPr>
      <w:r>
        <w:rPr>
          <w:bCs/>
        </w:rPr>
        <w:t xml:space="preserve">information about </w:t>
      </w:r>
      <w:r w:rsidR="0026773C" w:rsidRPr="00CF7C7D">
        <w:rPr>
          <w:bCs/>
        </w:rPr>
        <w:t xml:space="preserve">a </w:t>
      </w:r>
      <w:r>
        <w:rPr>
          <w:bCs/>
        </w:rPr>
        <w:t>r</w:t>
      </w:r>
      <w:r w:rsidRPr="00CF7C7D">
        <w:rPr>
          <w:bCs/>
        </w:rPr>
        <w:t xml:space="preserve">eportable </w:t>
      </w:r>
      <w:r>
        <w:rPr>
          <w:bCs/>
        </w:rPr>
        <w:t>t</w:t>
      </w:r>
      <w:r w:rsidRPr="00CF7C7D">
        <w:rPr>
          <w:bCs/>
        </w:rPr>
        <w:t>ransaction</w:t>
      </w:r>
      <w:r w:rsidR="0026773C" w:rsidRPr="00CF7C7D">
        <w:rPr>
          <w:bCs/>
        </w:rPr>
        <w:t xml:space="preserve">, or a </w:t>
      </w:r>
      <w:r>
        <w:rPr>
          <w:bCs/>
        </w:rPr>
        <w:t>r</w:t>
      </w:r>
      <w:r w:rsidRPr="00CF7C7D">
        <w:rPr>
          <w:bCs/>
        </w:rPr>
        <w:t xml:space="preserve">eportable </w:t>
      </w:r>
      <w:r>
        <w:rPr>
          <w:bCs/>
        </w:rPr>
        <w:t>p</w:t>
      </w:r>
      <w:r w:rsidRPr="00CF7C7D">
        <w:rPr>
          <w:bCs/>
        </w:rPr>
        <w:t xml:space="preserve">osition </w:t>
      </w:r>
      <w:r w:rsidR="0026773C" w:rsidRPr="00CF7C7D">
        <w:rPr>
          <w:bCs/>
        </w:rPr>
        <w:t>in accordance with subrule 2.2.1(1); or</w:t>
      </w:r>
    </w:p>
    <w:p w14:paraId="6CD0FF41" w14:textId="2A374DAD" w:rsidR="0026773C" w:rsidRPr="00CF7C7D" w:rsidRDefault="0026773C" w:rsidP="00091619">
      <w:pPr>
        <w:pStyle w:val="LI-BodyTextParaa"/>
        <w:numPr>
          <w:ilvl w:val="1"/>
          <w:numId w:val="2"/>
        </w:numPr>
        <w:rPr>
          <w:bCs/>
        </w:rPr>
      </w:pPr>
      <w:r w:rsidRPr="00CF7C7D">
        <w:rPr>
          <w:bCs/>
        </w:rPr>
        <w:t xml:space="preserve">a change to information about a </w:t>
      </w:r>
      <w:r w:rsidR="00B80F68">
        <w:rPr>
          <w:bCs/>
        </w:rPr>
        <w:t>r</w:t>
      </w:r>
      <w:r w:rsidR="00B80F68" w:rsidRPr="00CF7C7D">
        <w:rPr>
          <w:bCs/>
        </w:rPr>
        <w:t xml:space="preserve">eportable </w:t>
      </w:r>
      <w:r w:rsidR="00B80F68">
        <w:rPr>
          <w:bCs/>
        </w:rPr>
        <w:t>t</w:t>
      </w:r>
      <w:r w:rsidR="00B80F68" w:rsidRPr="00CF7C7D">
        <w:rPr>
          <w:bCs/>
        </w:rPr>
        <w:t xml:space="preserve">ransaction </w:t>
      </w:r>
      <w:r w:rsidRPr="00CF7C7D">
        <w:rPr>
          <w:bCs/>
        </w:rPr>
        <w:t xml:space="preserve">or </w:t>
      </w:r>
      <w:r w:rsidR="00B80F68">
        <w:rPr>
          <w:bCs/>
        </w:rPr>
        <w:t>r</w:t>
      </w:r>
      <w:r w:rsidR="00B80F68" w:rsidRPr="00CF7C7D">
        <w:rPr>
          <w:bCs/>
        </w:rPr>
        <w:t xml:space="preserve">eportable </w:t>
      </w:r>
      <w:r w:rsidR="00B80F68">
        <w:rPr>
          <w:bCs/>
        </w:rPr>
        <w:t>p</w:t>
      </w:r>
      <w:r w:rsidR="00B80F68" w:rsidRPr="00CF7C7D">
        <w:rPr>
          <w:bCs/>
        </w:rPr>
        <w:t xml:space="preserve">osition </w:t>
      </w:r>
      <w:r w:rsidRPr="00CF7C7D">
        <w:rPr>
          <w:bCs/>
        </w:rPr>
        <w:t>in accordance with subrule 2.2.2(1),</w:t>
      </w:r>
    </w:p>
    <w:p w14:paraId="28DD4060" w14:textId="77777777" w:rsidR="0026773C" w:rsidRPr="00CF7C7D" w:rsidRDefault="0026773C" w:rsidP="00CF7C7D">
      <w:pPr>
        <w:pStyle w:val="LI-BodyTextParaa"/>
        <w:ind w:left="567" w:firstLine="0"/>
        <w:rPr>
          <w:bCs/>
        </w:rPr>
      </w:pPr>
      <w:r w:rsidRPr="00CF7C7D">
        <w:rPr>
          <w:bCs/>
        </w:rPr>
        <w:t>must report the information or change in an electronic form and in accordance with any format requirements specified:</w:t>
      </w:r>
    </w:p>
    <w:p w14:paraId="4AFB5BBF" w14:textId="4036DF39" w:rsidR="0026773C" w:rsidRPr="006F7B19" w:rsidRDefault="0026773C" w:rsidP="00091619">
      <w:pPr>
        <w:pStyle w:val="LI-BodyTextParaa"/>
        <w:numPr>
          <w:ilvl w:val="1"/>
          <w:numId w:val="2"/>
        </w:numPr>
        <w:rPr>
          <w:bCs/>
        </w:rPr>
      </w:pPr>
      <w:r w:rsidRPr="006F7B19">
        <w:rPr>
          <w:bCs/>
        </w:rPr>
        <w:t xml:space="preserve">in the </w:t>
      </w:r>
      <w:r w:rsidR="005A1FC1">
        <w:rPr>
          <w:bCs/>
        </w:rPr>
        <w:t xml:space="preserve">2022 </w:t>
      </w:r>
      <w:r w:rsidRPr="006F7B19">
        <w:rPr>
          <w:bCs/>
        </w:rPr>
        <w:t xml:space="preserve">Rules; and </w:t>
      </w:r>
    </w:p>
    <w:p w14:paraId="27FB830F" w14:textId="6084481B" w:rsidR="0026773C" w:rsidRPr="006F7B19" w:rsidRDefault="0026773C" w:rsidP="00091619">
      <w:pPr>
        <w:pStyle w:val="LI-BodyTextParaa"/>
        <w:numPr>
          <w:ilvl w:val="1"/>
          <w:numId w:val="2"/>
        </w:numPr>
        <w:rPr>
          <w:bCs/>
        </w:rPr>
      </w:pPr>
      <w:r w:rsidRPr="006F7B19">
        <w:rPr>
          <w:bCs/>
        </w:rPr>
        <w:t xml:space="preserve">by the </w:t>
      </w:r>
      <w:r w:rsidR="005A1FC1">
        <w:rPr>
          <w:bCs/>
        </w:rPr>
        <w:t>l</w:t>
      </w:r>
      <w:r w:rsidR="005A1FC1" w:rsidRPr="006F7B19">
        <w:rPr>
          <w:bCs/>
        </w:rPr>
        <w:t xml:space="preserve">icensed </w:t>
      </w:r>
      <w:r w:rsidR="005A1FC1">
        <w:rPr>
          <w:bCs/>
        </w:rPr>
        <w:t>r</w:t>
      </w:r>
      <w:r w:rsidR="005A1FC1" w:rsidRPr="006F7B19">
        <w:rPr>
          <w:bCs/>
        </w:rPr>
        <w:t xml:space="preserve">epository </w:t>
      </w:r>
      <w:r w:rsidRPr="006F7B19">
        <w:rPr>
          <w:bCs/>
        </w:rPr>
        <w:t xml:space="preserve">or </w:t>
      </w:r>
      <w:r w:rsidR="005A1FC1">
        <w:rPr>
          <w:bCs/>
        </w:rPr>
        <w:t>p</w:t>
      </w:r>
      <w:r w:rsidR="005A1FC1" w:rsidRPr="006F7B19">
        <w:rPr>
          <w:bCs/>
        </w:rPr>
        <w:t xml:space="preserve">rescribed </w:t>
      </w:r>
      <w:r w:rsidR="005A1FC1">
        <w:rPr>
          <w:bCs/>
        </w:rPr>
        <w:t>r</w:t>
      </w:r>
      <w:r w:rsidR="005A1FC1" w:rsidRPr="006F7B19">
        <w:rPr>
          <w:bCs/>
        </w:rPr>
        <w:t xml:space="preserve">epository </w:t>
      </w:r>
      <w:r w:rsidRPr="006F7B19">
        <w:rPr>
          <w:bCs/>
        </w:rPr>
        <w:t xml:space="preserve">to which the information or change is reported, to the extent those format requirements are not inconsistent with any format requirements specified in the </w:t>
      </w:r>
      <w:r w:rsidR="005A1FC1">
        <w:rPr>
          <w:bCs/>
        </w:rPr>
        <w:t xml:space="preserve">2022 </w:t>
      </w:r>
      <w:r w:rsidRPr="006F7B19">
        <w:rPr>
          <w:bCs/>
        </w:rPr>
        <w:t>Rules.</w:t>
      </w:r>
    </w:p>
    <w:p w14:paraId="7A30C9F4" w14:textId="50F83CAA" w:rsidR="0026773C" w:rsidRPr="00860C41" w:rsidRDefault="0026773C" w:rsidP="00091619">
      <w:pPr>
        <w:pStyle w:val="LI-BodyTextParaa"/>
        <w:numPr>
          <w:ilvl w:val="0"/>
          <w:numId w:val="2"/>
        </w:numPr>
        <w:rPr>
          <w:bCs/>
        </w:rPr>
      </w:pPr>
      <w:r w:rsidRPr="00860C41">
        <w:rPr>
          <w:bCs/>
        </w:rPr>
        <w:t xml:space="preserve">Some format requirements are specified in Schedule 2 of the </w:t>
      </w:r>
      <w:r w:rsidR="005A1FC1">
        <w:rPr>
          <w:bCs/>
        </w:rPr>
        <w:t xml:space="preserve">2022 </w:t>
      </w:r>
      <w:r w:rsidRPr="00860C41">
        <w:rPr>
          <w:bCs/>
        </w:rPr>
        <w:t>Rules.</w:t>
      </w:r>
    </w:p>
    <w:p w14:paraId="4363CFAA" w14:textId="1EC682E3" w:rsidR="0026773C" w:rsidRPr="0026773C" w:rsidRDefault="0026773C" w:rsidP="0026773C">
      <w:pPr>
        <w:pStyle w:val="LI-BodyTextNumbered"/>
        <w:ind w:hanging="1134"/>
        <w:rPr>
          <w:u w:val="single"/>
        </w:rPr>
      </w:pPr>
      <w:r w:rsidRPr="0026773C">
        <w:rPr>
          <w:u w:val="single"/>
        </w:rPr>
        <w:t xml:space="preserve">Rule 2.2.5 – Reporting </w:t>
      </w:r>
      <w:r w:rsidR="00CF0367">
        <w:rPr>
          <w:u w:val="single"/>
        </w:rPr>
        <w:t>r</w:t>
      </w:r>
      <w:r w:rsidRPr="0026773C">
        <w:rPr>
          <w:u w:val="single"/>
        </w:rPr>
        <w:t xml:space="preserve">equirement – </w:t>
      </w:r>
      <w:r w:rsidR="00CF0367">
        <w:rPr>
          <w:u w:val="single"/>
        </w:rPr>
        <w:t>c</w:t>
      </w:r>
      <w:r w:rsidRPr="0026773C">
        <w:rPr>
          <w:u w:val="single"/>
        </w:rPr>
        <w:t>ontinuity of reporting</w:t>
      </w:r>
    </w:p>
    <w:p w14:paraId="31E31525" w14:textId="69FAAF26" w:rsidR="0026773C" w:rsidRPr="00F144E3" w:rsidRDefault="0026773C" w:rsidP="00091619">
      <w:pPr>
        <w:pStyle w:val="LI-BodyTextParaa"/>
        <w:numPr>
          <w:ilvl w:val="0"/>
          <w:numId w:val="2"/>
        </w:numPr>
        <w:rPr>
          <w:bCs/>
        </w:rPr>
      </w:pPr>
      <w:r w:rsidRPr="00F144E3">
        <w:rPr>
          <w:bCs/>
        </w:rPr>
        <w:t xml:space="preserve">Subrule 2.2.5(1) provides that, subject to subrule 2.2.5(2) and Rule 2.4.5, a </w:t>
      </w:r>
      <w:r w:rsidR="00782C1F">
        <w:rPr>
          <w:bCs/>
        </w:rPr>
        <w:t>r</w:t>
      </w:r>
      <w:r w:rsidRPr="00F144E3">
        <w:rPr>
          <w:bCs/>
        </w:rPr>
        <w:t xml:space="preserve">eporting </w:t>
      </w:r>
      <w:r w:rsidR="00782C1F">
        <w:rPr>
          <w:bCs/>
        </w:rPr>
        <w:t>e</w:t>
      </w:r>
      <w:r w:rsidRPr="00F144E3">
        <w:rPr>
          <w:bCs/>
        </w:rPr>
        <w:t xml:space="preserve">ntity that reports to a </w:t>
      </w:r>
      <w:r w:rsidR="00782C1F">
        <w:rPr>
          <w:bCs/>
        </w:rPr>
        <w:t>d</w:t>
      </w:r>
      <w:r w:rsidRPr="00F144E3">
        <w:rPr>
          <w:bCs/>
        </w:rPr>
        <w:t xml:space="preserve">erivative </w:t>
      </w:r>
      <w:r w:rsidR="00782C1F">
        <w:rPr>
          <w:bCs/>
        </w:rPr>
        <w:t>t</w:t>
      </w:r>
      <w:r w:rsidRPr="00F144E3">
        <w:rPr>
          <w:bCs/>
        </w:rPr>
        <w:t xml:space="preserve">rade </w:t>
      </w:r>
      <w:r w:rsidR="00782C1F">
        <w:rPr>
          <w:bCs/>
        </w:rPr>
        <w:t>r</w:t>
      </w:r>
      <w:r w:rsidRPr="00F144E3">
        <w:rPr>
          <w:bCs/>
        </w:rPr>
        <w:t xml:space="preserve">epository (in Rule 2.2.5, the </w:t>
      </w:r>
      <w:r w:rsidRPr="00AE360F">
        <w:rPr>
          <w:b/>
          <w:i/>
          <w:iCs/>
        </w:rPr>
        <w:t>Original Trade Repository</w:t>
      </w:r>
      <w:r w:rsidRPr="00F144E3">
        <w:rPr>
          <w:bCs/>
        </w:rPr>
        <w:t>):</w:t>
      </w:r>
    </w:p>
    <w:p w14:paraId="6FAEF4AB" w14:textId="5B69BF6D" w:rsidR="0026773C" w:rsidRPr="00F144E3" w:rsidRDefault="0026773C" w:rsidP="00091619">
      <w:pPr>
        <w:pStyle w:val="LI-BodyTextParaa"/>
        <w:numPr>
          <w:ilvl w:val="1"/>
          <w:numId w:val="2"/>
        </w:numPr>
        <w:rPr>
          <w:bCs/>
        </w:rPr>
      </w:pPr>
      <w:r w:rsidRPr="00F144E3">
        <w:rPr>
          <w:bCs/>
        </w:rPr>
        <w:t xml:space="preserve">information about a </w:t>
      </w:r>
      <w:r w:rsidR="00782C1F">
        <w:rPr>
          <w:bCs/>
        </w:rPr>
        <w:t>r</w:t>
      </w:r>
      <w:r w:rsidRPr="00F144E3">
        <w:rPr>
          <w:bCs/>
        </w:rPr>
        <w:t xml:space="preserve">eportable </w:t>
      </w:r>
      <w:r w:rsidR="00782C1F">
        <w:rPr>
          <w:bCs/>
        </w:rPr>
        <w:t>t</w:t>
      </w:r>
      <w:r w:rsidRPr="00F144E3">
        <w:rPr>
          <w:bCs/>
        </w:rPr>
        <w:t xml:space="preserve">ransaction in an OTC </w:t>
      </w:r>
      <w:r w:rsidR="00BA12F5">
        <w:rPr>
          <w:bCs/>
        </w:rPr>
        <w:t>d</w:t>
      </w:r>
      <w:r w:rsidRPr="00F144E3">
        <w:rPr>
          <w:bCs/>
        </w:rPr>
        <w:t xml:space="preserve">erivative, or a </w:t>
      </w:r>
      <w:r w:rsidR="00BA12F5">
        <w:rPr>
          <w:bCs/>
        </w:rPr>
        <w:t>r</w:t>
      </w:r>
      <w:r w:rsidRPr="00F144E3">
        <w:rPr>
          <w:bCs/>
        </w:rPr>
        <w:t xml:space="preserve">eportable </w:t>
      </w:r>
      <w:r w:rsidR="00BA12F5">
        <w:rPr>
          <w:bCs/>
        </w:rPr>
        <w:t>p</w:t>
      </w:r>
      <w:r w:rsidRPr="00F144E3">
        <w:rPr>
          <w:bCs/>
        </w:rPr>
        <w:t xml:space="preserve">osition in an OTC </w:t>
      </w:r>
      <w:r w:rsidR="00BA12F5">
        <w:rPr>
          <w:bCs/>
        </w:rPr>
        <w:t>d</w:t>
      </w:r>
      <w:r w:rsidRPr="00F144E3">
        <w:rPr>
          <w:bCs/>
        </w:rPr>
        <w:t>erivative, in accordance with subrule 2.2.1(1); or</w:t>
      </w:r>
    </w:p>
    <w:p w14:paraId="25ED4839" w14:textId="36BA57A6" w:rsidR="0026773C" w:rsidRPr="003C1D08" w:rsidRDefault="0026773C" w:rsidP="00091619">
      <w:pPr>
        <w:pStyle w:val="LI-BodyTextParaa"/>
        <w:numPr>
          <w:ilvl w:val="1"/>
          <w:numId w:val="2"/>
        </w:numPr>
        <w:rPr>
          <w:bCs/>
        </w:rPr>
      </w:pPr>
      <w:r w:rsidRPr="003C1D08">
        <w:rPr>
          <w:bCs/>
        </w:rPr>
        <w:t xml:space="preserve">a change to information about a </w:t>
      </w:r>
      <w:r w:rsidR="008808A0">
        <w:rPr>
          <w:bCs/>
        </w:rPr>
        <w:t>r</w:t>
      </w:r>
      <w:r w:rsidRPr="003C1D08">
        <w:rPr>
          <w:bCs/>
        </w:rPr>
        <w:t xml:space="preserve">eportable </w:t>
      </w:r>
      <w:r w:rsidR="008808A0">
        <w:rPr>
          <w:bCs/>
        </w:rPr>
        <w:t>t</w:t>
      </w:r>
      <w:r w:rsidRPr="003C1D08">
        <w:rPr>
          <w:bCs/>
        </w:rPr>
        <w:t xml:space="preserve">ransaction in an OTC </w:t>
      </w:r>
      <w:r w:rsidR="008808A0">
        <w:rPr>
          <w:bCs/>
        </w:rPr>
        <w:t>d</w:t>
      </w:r>
      <w:r w:rsidRPr="003C1D08">
        <w:rPr>
          <w:bCs/>
        </w:rPr>
        <w:t xml:space="preserve">erivative, or a </w:t>
      </w:r>
      <w:r w:rsidR="008808A0">
        <w:rPr>
          <w:bCs/>
        </w:rPr>
        <w:t>r</w:t>
      </w:r>
      <w:r w:rsidRPr="003C1D08">
        <w:rPr>
          <w:bCs/>
        </w:rPr>
        <w:t xml:space="preserve">eportable </w:t>
      </w:r>
      <w:r w:rsidR="008808A0">
        <w:rPr>
          <w:bCs/>
        </w:rPr>
        <w:t>p</w:t>
      </w:r>
      <w:r w:rsidRPr="003C1D08">
        <w:rPr>
          <w:bCs/>
        </w:rPr>
        <w:t xml:space="preserve">osition in an OTC </w:t>
      </w:r>
      <w:r w:rsidR="008808A0">
        <w:rPr>
          <w:bCs/>
        </w:rPr>
        <w:t>d</w:t>
      </w:r>
      <w:r w:rsidRPr="003C1D08">
        <w:rPr>
          <w:bCs/>
        </w:rPr>
        <w:t>erivative, in accordance with subrule 2.2.2(1),</w:t>
      </w:r>
    </w:p>
    <w:p w14:paraId="1AF86F2D" w14:textId="25C13A52" w:rsidR="0026773C" w:rsidRPr="003C1D08" w:rsidRDefault="0026773C" w:rsidP="003C1D08">
      <w:pPr>
        <w:pStyle w:val="LI-BodyTextParaa"/>
        <w:ind w:left="567" w:firstLine="0"/>
        <w:rPr>
          <w:bCs/>
        </w:rPr>
      </w:pPr>
      <w:r w:rsidRPr="003C1D08">
        <w:rPr>
          <w:bCs/>
        </w:rPr>
        <w:t xml:space="preserve">must take all reasonable steps to ensure that it reports further information or changes that relate to the same OTC </w:t>
      </w:r>
      <w:r w:rsidR="008808A0">
        <w:rPr>
          <w:bCs/>
        </w:rPr>
        <w:t>d</w:t>
      </w:r>
      <w:r w:rsidRPr="003C1D08">
        <w:rPr>
          <w:bCs/>
        </w:rPr>
        <w:t>erivative, to the Original Trade Repository.</w:t>
      </w:r>
    </w:p>
    <w:p w14:paraId="3F601DA8" w14:textId="1C42B0FF" w:rsidR="0026773C" w:rsidRPr="0080256E" w:rsidRDefault="0026773C" w:rsidP="00091619">
      <w:pPr>
        <w:pStyle w:val="LI-BodyTextParaa"/>
        <w:numPr>
          <w:ilvl w:val="0"/>
          <w:numId w:val="2"/>
        </w:numPr>
        <w:rPr>
          <w:bCs/>
        </w:rPr>
      </w:pPr>
      <w:r w:rsidRPr="0080256E">
        <w:rPr>
          <w:bCs/>
        </w:rPr>
        <w:t xml:space="preserve">Subrule 2.2.5(2) provides if the </w:t>
      </w:r>
      <w:r w:rsidR="0022186B">
        <w:rPr>
          <w:bCs/>
        </w:rPr>
        <w:t>r</w:t>
      </w:r>
      <w:r w:rsidRPr="0080256E">
        <w:rPr>
          <w:bCs/>
        </w:rPr>
        <w:t xml:space="preserve">eporting </w:t>
      </w:r>
      <w:r w:rsidR="0022186B">
        <w:rPr>
          <w:bCs/>
        </w:rPr>
        <w:t>e</w:t>
      </w:r>
      <w:r w:rsidRPr="0080256E">
        <w:rPr>
          <w:bCs/>
        </w:rPr>
        <w:t xml:space="preserve">ntity or the person that reports on its behalf is no longer a participant of the Original Trade </w:t>
      </w:r>
      <w:proofErr w:type="gramStart"/>
      <w:r w:rsidRPr="0080256E">
        <w:rPr>
          <w:bCs/>
        </w:rPr>
        <w:t>Repository, or</w:t>
      </w:r>
      <w:proofErr w:type="gramEnd"/>
      <w:r w:rsidRPr="0080256E">
        <w:rPr>
          <w:bCs/>
        </w:rPr>
        <w:t xml:space="preserve"> is no longer able to comply with subrule 2.2.1(1) or 2.2.2(1) by reporting the </w:t>
      </w:r>
      <w:r w:rsidRPr="0080256E">
        <w:rPr>
          <w:bCs/>
        </w:rPr>
        <w:lastRenderedPageBreak/>
        <w:t xml:space="preserve">information to the Original Trade Repository, the information must be reported to another </w:t>
      </w:r>
      <w:r w:rsidR="003C073D">
        <w:rPr>
          <w:bCs/>
        </w:rPr>
        <w:t>l</w:t>
      </w:r>
      <w:r w:rsidRPr="0080256E">
        <w:rPr>
          <w:bCs/>
        </w:rPr>
        <w:t xml:space="preserve">icensed </w:t>
      </w:r>
      <w:r w:rsidR="003C073D">
        <w:rPr>
          <w:bCs/>
        </w:rPr>
        <w:t>r</w:t>
      </w:r>
      <w:r w:rsidRPr="0080256E">
        <w:rPr>
          <w:bCs/>
        </w:rPr>
        <w:t>epository or</w:t>
      </w:r>
      <w:r w:rsidR="00E86803">
        <w:rPr>
          <w:bCs/>
        </w:rPr>
        <w:t xml:space="preserve"> p</w:t>
      </w:r>
      <w:r w:rsidRPr="0080256E">
        <w:rPr>
          <w:bCs/>
        </w:rPr>
        <w:t xml:space="preserve">rescribed </w:t>
      </w:r>
      <w:r w:rsidR="004816DF">
        <w:rPr>
          <w:bCs/>
        </w:rPr>
        <w:t>r</w:t>
      </w:r>
      <w:r w:rsidRPr="0080256E">
        <w:rPr>
          <w:bCs/>
        </w:rPr>
        <w:t>epository in accordance with the requirements of Part 2.2.</w:t>
      </w:r>
    </w:p>
    <w:p w14:paraId="77019858" w14:textId="492ACA1A" w:rsidR="0026773C" w:rsidRPr="0026773C" w:rsidRDefault="0026773C" w:rsidP="0026773C">
      <w:pPr>
        <w:pStyle w:val="LI-BodyTextNumbered"/>
        <w:ind w:hanging="1134"/>
        <w:rPr>
          <w:u w:val="single"/>
        </w:rPr>
      </w:pPr>
      <w:bookmarkStart w:id="16" w:name="_Hlk120625201"/>
      <w:r w:rsidRPr="0026773C">
        <w:rPr>
          <w:u w:val="single"/>
        </w:rPr>
        <w:t xml:space="preserve">Rule 2.2.6 Reporting </w:t>
      </w:r>
      <w:r w:rsidR="004816DF">
        <w:rPr>
          <w:u w:val="single"/>
        </w:rPr>
        <w:t>r</w:t>
      </w:r>
      <w:r w:rsidRPr="0026773C">
        <w:rPr>
          <w:u w:val="single"/>
        </w:rPr>
        <w:t>equirement—</w:t>
      </w:r>
      <w:r w:rsidR="004816DF">
        <w:rPr>
          <w:u w:val="single"/>
        </w:rPr>
        <w:t>a</w:t>
      </w:r>
      <w:r w:rsidRPr="0026773C">
        <w:rPr>
          <w:u w:val="single"/>
        </w:rPr>
        <w:t>ccuracy of reporting</w:t>
      </w:r>
    </w:p>
    <w:bookmarkEnd w:id="16"/>
    <w:p w14:paraId="5D404585" w14:textId="42BEF497" w:rsidR="0026773C" w:rsidRPr="002606D6" w:rsidRDefault="0026773C" w:rsidP="00091619">
      <w:pPr>
        <w:pStyle w:val="LI-BodyTextParaa"/>
        <w:numPr>
          <w:ilvl w:val="0"/>
          <w:numId w:val="2"/>
        </w:numPr>
        <w:rPr>
          <w:bCs/>
        </w:rPr>
      </w:pPr>
      <w:r w:rsidRPr="002606D6">
        <w:rPr>
          <w:bCs/>
        </w:rPr>
        <w:t xml:space="preserve">Rule 2.2.6 provides that a </w:t>
      </w:r>
      <w:r w:rsidR="001919B3">
        <w:rPr>
          <w:bCs/>
        </w:rPr>
        <w:t>r</w:t>
      </w:r>
      <w:r w:rsidRPr="002606D6">
        <w:rPr>
          <w:bCs/>
        </w:rPr>
        <w:t xml:space="preserve">eporting </w:t>
      </w:r>
      <w:r w:rsidR="001919B3">
        <w:rPr>
          <w:bCs/>
        </w:rPr>
        <w:t>e</w:t>
      </w:r>
      <w:r w:rsidRPr="002606D6">
        <w:rPr>
          <w:bCs/>
        </w:rPr>
        <w:t xml:space="preserve">ntity must take all reasonable steps to ensure that information reported under subrule 2.2.1(1) and any change to that information reported under subrule 2.2.2(1), whether reported by the </w:t>
      </w:r>
      <w:r w:rsidR="001919B3">
        <w:rPr>
          <w:bCs/>
        </w:rPr>
        <w:t>r</w:t>
      </w:r>
      <w:r w:rsidRPr="002606D6">
        <w:rPr>
          <w:bCs/>
        </w:rPr>
        <w:t xml:space="preserve">eporting </w:t>
      </w:r>
      <w:r w:rsidR="001919B3">
        <w:rPr>
          <w:bCs/>
        </w:rPr>
        <w:t>e</w:t>
      </w:r>
      <w:r w:rsidRPr="002606D6">
        <w:rPr>
          <w:bCs/>
        </w:rPr>
        <w:t xml:space="preserve">ntity on its own behalf </w:t>
      </w:r>
      <w:r w:rsidR="00273725">
        <w:rPr>
          <w:bCs/>
        </w:rPr>
        <w:t xml:space="preserve">or </w:t>
      </w:r>
      <w:r w:rsidRPr="002606D6">
        <w:rPr>
          <w:bCs/>
        </w:rPr>
        <w:t xml:space="preserve">by another person on behalf of the </w:t>
      </w:r>
      <w:r w:rsidR="00BF759D">
        <w:rPr>
          <w:bCs/>
        </w:rPr>
        <w:t>r</w:t>
      </w:r>
      <w:r w:rsidRPr="002606D6">
        <w:rPr>
          <w:bCs/>
        </w:rPr>
        <w:t xml:space="preserve">eporting </w:t>
      </w:r>
      <w:r w:rsidR="002653D2">
        <w:rPr>
          <w:bCs/>
        </w:rPr>
        <w:t>e</w:t>
      </w:r>
      <w:r w:rsidRPr="002606D6">
        <w:rPr>
          <w:bCs/>
        </w:rPr>
        <w:t>ntity, is and remains at all times complete, accurate and current.</w:t>
      </w:r>
    </w:p>
    <w:p w14:paraId="79EA3B80" w14:textId="59A1AB59" w:rsidR="0026773C" w:rsidRPr="002606D6" w:rsidRDefault="0026773C" w:rsidP="00091619">
      <w:pPr>
        <w:pStyle w:val="LI-BodyTextParaa"/>
        <w:numPr>
          <w:ilvl w:val="0"/>
          <w:numId w:val="2"/>
        </w:numPr>
        <w:rPr>
          <w:bCs/>
        </w:rPr>
      </w:pPr>
      <w:r w:rsidRPr="002606D6">
        <w:rPr>
          <w:bCs/>
        </w:rPr>
        <w:t xml:space="preserve">It is noted that under paragraph 2.3.1(3)(b) of the ASIC Derivative Trade Repository Rules 2013, the </w:t>
      </w:r>
      <w:r w:rsidR="002653D2">
        <w:rPr>
          <w:bCs/>
        </w:rPr>
        <w:t>o</w:t>
      </w:r>
      <w:r w:rsidRPr="002606D6">
        <w:rPr>
          <w:bCs/>
        </w:rPr>
        <w:t xml:space="preserve">perator of a </w:t>
      </w:r>
      <w:r w:rsidR="002653D2">
        <w:rPr>
          <w:bCs/>
        </w:rPr>
        <w:t>l</w:t>
      </w:r>
      <w:r w:rsidRPr="002606D6">
        <w:rPr>
          <w:bCs/>
        </w:rPr>
        <w:t xml:space="preserve">icensed </w:t>
      </w:r>
      <w:r w:rsidR="002653D2">
        <w:rPr>
          <w:bCs/>
        </w:rPr>
        <w:t>r</w:t>
      </w:r>
      <w:r w:rsidRPr="002606D6">
        <w:rPr>
          <w:bCs/>
        </w:rPr>
        <w:t xml:space="preserve">epository will be required to establish, </w:t>
      </w:r>
      <w:proofErr w:type="gramStart"/>
      <w:r w:rsidRPr="002606D6">
        <w:rPr>
          <w:bCs/>
        </w:rPr>
        <w:t>implement</w:t>
      </w:r>
      <w:proofErr w:type="gramEnd"/>
      <w:r w:rsidRPr="002606D6">
        <w:rPr>
          <w:bCs/>
        </w:rPr>
        <w:t xml:space="preserve"> and maintain policies, procedures, systems and controls designed to provide reasonable assurance that </w:t>
      </w:r>
      <w:r w:rsidR="00273725">
        <w:rPr>
          <w:bCs/>
        </w:rPr>
        <w:t>d</w:t>
      </w:r>
      <w:r w:rsidRPr="002606D6">
        <w:rPr>
          <w:bCs/>
        </w:rPr>
        <w:t xml:space="preserve">erivative </w:t>
      </w:r>
      <w:r w:rsidR="00273725">
        <w:rPr>
          <w:bCs/>
        </w:rPr>
        <w:t>t</w:t>
      </w:r>
      <w:r w:rsidRPr="002606D6">
        <w:rPr>
          <w:bCs/>
        </w:rPr>
        <w:t xml:space="preserve">rade </w:t>
      </w:r>
      <w:r w:rsidR="00273725">
        <w:rPr>
          <w:bCs/>
        </w:rPr>
        <w:t>d</w:t>
      </w:r>
      <w:r w:rsidRPr="002606D6">
        <w:rPr>
          <w:bCs/>
        </w:rPr>
        <w:t xml:space="preserve">ata reported to the </w:t>
      </w:r>
      <w:r w:rsidR="00782045">
        <w:rPr>
          <w:bCs/>
        </w:rPr>
        <w:t>l</w:t>
      </w:r>
      <w:r w:rsidRPr="002606D6">
        <w:rPr>
          <w:bCs/>
        </w:rPr>
        <w:t xml:space="preserve">icensed </w:t>
      </w:r>
      <w:r w:rsidR="00782045">
        <w:rPr>
          <w:bCs/>
        </w:rPr>
        <w:t>r</w:t>
      </w:r>
      <w:r w:rsidRPr="002606D6">
        <w:rPr>
          <w:bCs/>
        </w:rPr>
        <w:t xml:space="preserve">epository by </w:t>
      </w:r>
      <w:r w:rsidR="00782045">
        <w:rPr>
          <w:bCs/>
        </w:rPr>
        <w:t>p</w:t>
      </w:r>
      <w:r w:rsidRPr="002606D6">
        <w:rPr>
          <w:bCs/>
        </w:rPr>
        <w:t>articipants generally is and remains at all times complete, accurate and current.</w:t>
      </w:r>
    </w:p>
    <w:p w14:paraId="2DEAC908" w14:textId="7690BC9C" w:rsidR="0026773C" w:rsidRDefault="0026773C" w:rsidP="00091619">
      <w:pPr>
        <w:pStyle w:val="LI-BodyTextParaa"/>
        <w:numPr>
          <w:ilvl w:val="0"/>
          <w:numId w:val="2"/>
        </w:numPr>
        <w:rPr>
          <w:bCs/>
        </w:rPr>
      </w:pPr>
      <w:r w:rsidRPr="002606D6">
        <w:rPr>
          <w:bCs/>
        </w:rPr>
        <w:t xml:space="preserve">The </w:t>
      </w:r>
      <w:r w:rsidR="00782045">
        <w:rPr>
          <w:bCs/>
        </w:rPr>
        <w:t>r</w:t>
      </w:r>
      <w:r w:rsidRPr="002606D6">
        <w:rPr>
          <w:bCs/>
        </w:rPr>
        <w:t xml:space="preserve">eporting </w:t>
      </w:r>
      <w:r w:rsidR="00782045">
        <w:rPr>
          <w:bCs/>
        </w:rPr>
        <w:t>e</w:t>
      </w:r>
      <w:r w:rsidRPr="002606D6">
        <w:rPr>
          <w:bCs/>
        </w:rPr>
        <w:t xml:space="preserve">ntity retains primary responsibility under Rule 2.2.6 for the completeness, accuracy and currency of the information reported, regardless of whether the </w:t>
      </w:r>
      <w:r w:rsidR="00F0050F">
        <w:rPr>
          <w:bCs/>
        </w:rPr>
        <w:t>r</w:t>
      </w:r>
      <w:r w:rsidRPr="002606D6">
        <w:rPr>
          <w:bCs/>
        </w:rPr>
        <w:t xml:space="preserve">eporting </w:t>
      </w:r>
      <w:r w:rsidR="00F0050F">
        <w:rPr>
          <w:bCs/>
        </w:rPr>
        <w:t>e</w:t>
      </w:r>
      <w:r w:rsidRPr="002606D6">
        <w:rPr>
          <w:bCs/>
        </w:rPr>
        <w:t xml:space="preserve">ntity reports through another person and regardless of the policies, procedures, systems and controls the </w:t>
      </w:r>
      <w:r w:rsidR="00F0050F">
        <w:rPr>
          <w:bCs/>
        </w:rPr>
        <w:t>o</w:t>
      </w:r>
      <w:r w:rsidRPr="002606D6">
        <w:rPr>
          <w:bCs/>
        </w:rPr>
        <w:t xml:space="preserve">perator of the </w:t>
      </w:r>
      <w:r w:rsidR="00F0050F">
        <w:rPr>
          <w:bCs/>
        </w:rPr>
        <w:t>l</w:t>
      </w:r>
      <w:r w:rsidRPr="002606D6">
        <w:rPr>
          <w:bCs/>
        </w:rPr>
        <w:t xml:space="preserve">icensed </w:t>
      </w:r>
      <w:r w:rsidR="00F0050F">
        <w:rPr>
          <w:bCs/>
        </w:rPr>
        <w:t>r</w:t>
      </w:r>
      <w:r w:rsidRPr="002606D6">
        <w:rPr>
          <w:bCs/>
        </w:rPr>
        <w:t>epository puts in place to comply with paragraph 2.3.1(3)(b) of the ASIC Derivative Trade Repository Rules 2013.</w:t>
      </w:r>
    </w:p>
    <w:p w14:paraId="5C1408BC" w14:textId="7051B6C3" w:rsidR="0026773C" w:rsidRPr="00E620EA" w:rsidRDefault="0026773C" w:rsidP="00E620EA">
      <w:pPr>
        <w:pStyle w:val="LI-BodyTextNumbered"/>
        <w:ind w:hanging="1134"/>
        <w:rPr>
          <w:u w:val="single"/>
        </w:rPr>
      </w:pPr>
      <w:r w:rsidRPr="00E620EA">
        <w:rPr>
          <w:u w:val="single"/>
        </w:rPr>
        <w:t xml:space="preserve">Rule 2.2.7 Derivative </w:t>
      </w:r>
      <w:r w:rsidR="007C5899">
        <w:rPr>
          <w:u w:val="single"/>
        </w:rPr>
        <w:t>t</w:t>
      </w:r>
      <w:r w:rsidRPr="00E620EA">
        <w:rPr>
          <w:u w:val="single"/>
        </w:rPr>
        <w:t xml:space="preserve">ransaction </w:t>
      </w:r>
      <w:r w:rsidR="007C5899">
        <w:rPr>
          <w:u w:val="single"/>
        </w:rPr>
        <w:t>i</w:t>
      </w:r>
      <w:r w:rsidRPr="00E620EA">
        <w:rPr>
          <w:u w:val="single"/>
        </w:rPr>
        <w:t>nformation—</w:t>
      </w:r>
      <w:r w:rsidR="007C5899">
        <w:rPr>
          <w:u w:val="single"/>
        </w:rPr>
        <w:t>d</w:t>
      </w:r>
      <w:r w:rsidRPr="00E620EA">
        <w:rPr>
          <w:u w:val="single"/>
        </w:rPr>
        <w:t>elegation of reporting</w:t>
      </w:r>
    </w:p>
    <w:p w14:paraId="2003696C" w14:textId="0B6B99BB" w:rsidR="0026773C" w:rsidRPr="00612752" w:rsidRDefault="00F9345C" w:rsidP="00091619">
      <w:pPr>
        <w:pStyle w:val="LI-BodyTextParaa"/>
        <w:numPr>
          <w:ilvl w:val="0"/>
          <w:numId w:val="2"/>
        </w:numPr>
        <w:rPr>
          <w:bCs/>
        </w:rPr>
      </w:pPr>
      <w:r>
        <w:rPr>
          <w:bCs/>
        </w:rPr>
        <w:t>Subr</w:t>
      </w:r>
      <w:r w:rsidR="0026773C" w:rsidRPr="002C2B9A">
        <w:rPr>
          <w:bCs/>
        </w:rPr>
        <w:t>ule 2.2.7</w:t>
      </w:r>
      <w:r>
        <w:rPr>
          <w:bCs/>
        </w:rPr>
        <w:t>(1)</w:t>
      </w:r>
      <w:r w:rsidR="0026773C" w:rsidRPr="002C2B9A">
        <w:rPr>
          <w:bCs/>
        </w:rPr>
        <w:t xml:space="preserve"> provides that a </w:t>
      </w:r>
      <w:r w:rsidR="007C5899">
        <w:rPr>
          <w:bCs/>
        </w:rPr>
        <w:t>r</w:t>
      </w:r>
      <w:r w:rsidR="007C5899" w:rsidRPr="002C2B9A">
        <w:rPr>
          <w:bCs/>
        </w:rPr>
        <w:t xml:space="preserve">eporting </w:t>
      </w:r>
      <w:r w:rsidR="007C5899">
        <w:rPr>
          <w:bCs/>
        </w:rPr>
        <w:t>e</w:t>
      </w:r>
      <w:r w:rsidR="007C5899" w:rsidRPr="002C2B9A">
        <w:rPr>
          <w:bCs/>
        </w:rPr>
        <w:t xml:space="preserve">ntity </w:t>
      </w:r>
      <w:r w:rsidR="0026773C" w:rsidRPr="002C2B9A">
        <w:rPr>
          <w:bCs/>
        </w:rPr>
        <w:t xml:space="preserve">may appoint one or more persons </w:t>
      </w:r>
      <w:r w:rsidR="000D1C27">
        <w:rPr>
          <w:bCs/>
        </w:rPr>
        <w:t>(</w:t>
      </w:r>
      <w:r w:rsidR="007555A8">
        <w:rPr>
          <w:bCs/>
        </w:rPr>
        <w:t xml:space="preserve">referred to in the </w:t>
      </w:r>
      <w:r w:rsidR="007C5899">
        <w:rPr>
          <w:bCs/>
        </w:rPr>
        <w:t xml:space="preserve">2022 </w:t>
      </w:r>
      <w:r w:rsidR="007555A8">
        <w:rPr>
          <w:bCs/>
        </w:rPr>
        <w:t xml:space="preserve">Rules as each a </w:t>
      </w:r>
      <w:r w:rsidR="007555A8">
        <w:rPr>
          <w:b/>
          <w:i/>
          <w:iCs/>
        </w:rPr>
        <w:t>Delegate</w:t>
      </w:r>
      <w:r w:rsidR="007555A8">
        <w:rPr>
          <w:bCs/>
        </w:rPr>
        <w:t xml:space="preserve">) </w:t>
      </w:r>
      <w:r w:rsidR="0026773C" w:rsidRPr="002C2B9A">
        <w:rPr>
          <w:bCs/>
        </w:rPr>
        <w:t>to report on behalf</w:t>
      </w:r>
      <w:r w:rsidR="00615755">
        <w:rPr>
          <w:bCs/>
        </w:rPr>
        <w:t xml:space="preserve"> of the </w:t>
      </w:r>
      <w:r w:rsidR="00DB1CC8">
        <w:rPr>
          <w:bCs/>
        </w:rPr>
        <w:t>r</w:t>
      </w:r>
      <w:r w:rsidR="00615755">
        <w:rPr>
          <w:bCs/>
        </w:rPr>
        <w:t xml:space="preserve">eporting </w:t>
      </w:r>
      <w:r w:rsidR="00DB1CC8">
        <w:rPr>
          <w:bCs/>
        </w:rPr>
        <w:t>e</w:t>
      </w:r>
      <w:r w:rsidR="00615755">
        <w:rPr>
          <w:bCs/>
        </w:rPr>
        <w:t>ntity</w:t>
      </w:r>
      <w:r w:rsidR="00DB1CC8">
        <w:rPr>
          <w:bCs/>
        </w:rPr>
        <w:t xml:space="preserve"> </w:t>
      </w:r>
      <w:r w:rsidR="001270D5">
        <w:rPr>
          <w:bCs/>
        </w:rPr>
        <w:t>in accordance with</w:t>
      </w:r>
      <w:r w:rsidR="0026773C" w:rsidRPr="002C2B9A">
        <w:rPr>
          <w:bCs/>
        </w:rPr>
        <w:t xml:space="preserve"> </w:t>
      </w:r>
      <w:r w:rsidR="001270D5">
        <w:rPr>
          <w:bCs/>
        </w:rPr>
        <w:t>R</w:t>
      </w:r>
      <w:r w:rsidR="0026773C" w:rsidRPr="002C2B9A">
        <w:rPr>
          <w:bCs/>
        </w:rPr>
        <w:t>ule</w:t>
      </w:r>
      <w:r w:rsidR="001270D5">
        <w:rPr>
          <w:bCs/>
        </w:rPr>
        <w:t>s</w:t>
      </w:r>
      <w:r w:rsidR="0026773C" w:rsidRPr="002C2B9A">
        <w:rPr>
          <w:bCs/>
        </w:rPr>
        <w:t xml:space="preserve"> 2.2.1</w:t>
      </w:r>
      <w:r w:rsidR="00B400AD">
        <w:rPr>
          <w:bCs/>
        </w:rPr>
        <w:t xml:space="preserve"> to 2.2.5 and 2.2.8.</w:t>
      </w:r>
    </w:p>
    <w:p w14:paraId="3BF767B4" w14:textId="209ACD36" w:rsidR="0026773C" w:rsidRDefault="00F9382C" w:rsidP="00091619">
      <w:pPr>
        <w:pStyle w:val="LI-BodyTextParaa"/>
        <w:numPr>
          <w:ilvl w:val="0"/>
          <w:numId w:val="2"/>
        </w:numPr>
        <w:rPr>
          <w:bCs/>
        </w:rPr>
      </w:pPr>
      <w:r>
        <w:rPr>
          <w:bCs/>
        </w:rPr>
        <w:t>Note 1</w:t>
      </w:r>
      <w:r w:rsidR="00F1069E">
        <w:rPr>
          <w:bCs/>
        </w:rPr>
        <w:t xml:space="preserve"> to Rule 2.2.7 notes by way of example that the</w:t>
      </w:r>
      <w:r w:rsidR="00F1069E" w:rsidRPr="002C2B9A">
        <w:rPr>
          <w:bCs/>
        </w:rPr>
        <w:t xml:space="preserve"> </w:t>
      </w:r>
      <w:r w:rsidR="00DB1CC8">
        <w:rPr>
          <w:bCs/>
        </w:rPr>
        <w:t>r</w:t>
      </w:r>
      <w:r w:rsidR="00DB1CC8" w:rsidRPr="002C2B9A">
        <w:rPr>
          <w:bCs/>
        </w:rPr>
        <w:t xml:space="preserve">eporting </w:t>
      </w:r>
      <w:r w:rsidR="00DB1CC8">
        <w:rPr>
          <w:bCs/>
        </w:rPr>
        <w:t>e</w:t>
      </w:r>
      <w:r w:rsidR="00DB1CC8" w:rsidRPr="002C2B9A">
        <w:rPr>
          <w:bCs/>
        </w:rPr>
        <w:t xml:space="preserve">ntity </w:t>
      </w:r>
      <w:r w:rsidR="0026773C" w:rsidRPr="002C2B9A">
        <w:rPr>
          <w:bCs/>
        </w:rPr>
        <w:t>may appoint</w:t>
      </w:r>
      <w:r w:rsidR="00DC4683">
        <w:rPr>
          <w:bCs/>
        </w:rPr>
        <w:t xml:space="preserve"> as</w:t>
      </w:r>
      <w:r w:rsidR="00DB1CC8">
        <w:rPr>
          <w:bCs/>
        </w:rPr>
        <w:t xml:space="preserve"> </w:t>
      </w:r>
      <w:r w:rsidR="00DC4683">
        <w:rPr>
          <w:bCs/>
        </w:rPr>
        <w:t>a delegate</w:t>
      </w:r>
      <w:r w:rsidR="0026773C" w:rsidRPr="002C2B9A">
        <w:rPr>
          <w:bCs/>
        </w:rPr>
        <w:t xml:space="preserve"> a counterparty of the </w:t>
      </w:r>
      <w:r w:rsidR="00DB1CC8">
        <w:rPr>
          <w:bCs/>
        </w:rPr>
        <w:t>r</w:t>
      </w:r>
      <w:r w:rsidR="00DB1CC8" w:rsidRPr="002C2B9A">
        <w:rPr>
          <w:bCs/>
        </w:rPr>
        <w:t xml:space="preserve">eporting </w:t>
      </w:r>
      <w:r w:rsidR="00DB1CC8">
        <w:rPr>
          <w:bCs/>
        </w:rPr>
        <w:t>e</w:t>
      </w:r>
      <w:r w:rsidR="00DB1CC8" w:rsidRPr="002C2B9A">
        <w:rPr>
          <w:bCs/>
        </w:rPr>
        <w:t>ntity</w:t>
      </w:r>
      <w:r w:rsidR="0026773C" w:rsidRPr="002C2B9A">
        <w:rPr>
          <w:bCs/>
        </w:rPr>
        <w:t>, a central counterparty, a trading platform, a service provider, a broker or any other third party.</w:t>
      </w:r>
    </w:p>
    <w:p w14:paraId="5F3ED40E" w14:textId="60207E7F" w:rsidR="001C1CB1" w:rsidRPr="00D67479" w:rsidRDefault="001C1CB1" w:rsidP="00091619">
      <w:pPr>
        <w:pStyle w:val="LI-BodyTextParaa"/>
        <w:numPr>
          <w:ilvl w:val="0"/>
          <w:numId w:val="2"/>
        </w:numPr>
        <w:rPr>
          <w:bCs/>
        </w:rPr>
      </w:pPr>
      <w:r>
        <w:rPr>
          <w:bCs/>
        </w:rPr>
        <w:t>S</w:t>
      </w:r>
      <w:r w:rsidRPr="00D67479">
        <w:rPr>
          <w:bCs/>
        </w:rPr>
        <w:t xml:space="preserve">ubrule 2.2.7(2) provides that a </w:t>
      </w:r>
      <w:r w:rsidR="001F7E6B">
        <w:rPr>
          <w:bCs/>
        </w:rPr>
        <w:t>r</w:t>
      </w:r>
      <w:r w:rsidRPr="00D67479">
        <w:rPr>
          <w:bCs/>
        </w:rPr>
        <w:t xml:space="preserve">eporting </w:t>
      </w:r>
      <w:r w:rsidR="001F7E6B">
        <w:rPr>
          <w:bCs/>
        </w:rPr>
        <w:t>e</w:t>
      </w:r>
      <w:r w:rsidRPr="00D67479">
        <w:rPr>
          <w:bCs/>
        </w:rPr>
        <w:t xml:space="preserve">ntity that appoints a Delegate in accordance with subrule 2.2.7(1) is taken to have complied with Rules 2.2.1 to 2.2.5 in relation to the </w:t>
      </w:r>
      <w:r w:rsidR="007A773E">
        <w:rPr>
          <w:bCs/>
        </w:rPr>
        <w:t>r</w:t>
      </w:r>
      <w:r w:rsidRPr="00D67479">
        <w:rPr>
          <w:bCs/>
        </w:rPr>
        <w:t xml:space="preserve">eportable </w:t>
      </w:r>
      <w:r w:rsidR="007A773E">
        <w:rPr>
          <w:bCs/>
        </w:rPr>
        <w:t>t</w:t>
      </w:r>
      <w:r w:rsidRPr="00D67479">
        <w:rPr>
          <w:bCs/>
        </w:rPr>
        <w:t xml:space="preserve">ransactions and </w:t>
      </w:r>
      <w:r w:rsidR="007A773E">
        <w:rPr>
          <w:bCs/>
        </w:rPr>
        <w:t>r</w:t>
      </w:r>
      <w:r w:rsidRPr="00D67479">
        <w:rPr>
          <w:bCs/>
        </w:rPr>
        <w:t xml:space="preserve">eportable </w:t>
      </w:r>
      <w:r w:rsidR="007A773E">
        <w:rPr>
          <w:bCs/>
        </w:rPr>
        <w:t>p</w:t>
      </w:r>
      <w:r w:rsidRPr="00D67479">
        <w:rPr>
          <w:bCs/>
        </w:rPr>
        <w:t xml:space="preserve">ositions which the Delegate has been appointed to report, if the terms of the Delegate’s appointment and any related agreements or arrangements are documented in writing and the </w:t>
      </w:r>
      <w:r w:rsidR="007A773E">
        <w:rPr>
          <w:bCs/>
        </w:rPr>
        <w:t>r</w:t>
      </w:r>
      <w:r w:rsidRPr="00D67479">
        <w:rPr>
          <w:bCs/>
        </w:rPr>
        <w:t xml:space="preserve">eporting </w:t>
      </w:r>
      <w:r w:rsidR="007A773E">
        <w:rPr>
          <w:bCs/>
        </w:rPr>
        <w:t>e</w:t>
      </w:r>
      <w:r w:rsidRPr="00D67479">
        <w:rPr>
          <w:bCs/>
        </w:rPr>
        <w:t>ntity makes regular enquiries reasonably designed to determine whether the Delegate is discharging its obligations under the terms of its appointment.</w:t>
      </w:r>
    </w:p>
    <w:p w14:paraId="53170EE7" w14:textId="116C53BA" w:rsidR="00527076" w:rsidRPr="00D67479" w:rsidRDefault="00527076" w:rsidP="00091619">
      <w:pPr>
        <w:pStyle w:val="LI-BodyTextParaa"/>
        <w:numPr>
          <w:ilvl w:val="0"/>
          <w:numId w:val="2"/>
        </w:numPr>
        <w:rPr>
          <w:bCs/>
        </w:rPr>
      </w:pPr>
      <w:r w:rsidRPr="00D67479">
        <w:rPr>
          <w:bCs/>
        </w:rPr>
        <w:t xml:space="preserve">The </w:t>
      </w:r>
      <w:r w:rsidR="007A773E">
        <w:rPr>
          <w:bCs/>
        </w:rPr>
        <w:t>r</w:t>
      </w:r>
      <w:r w:rsidRPr="00D67479">
        <w:rPr>
          <w:bCs/>
        </w:rPr>
        <w:t xml:space="preserve">eporting </w:t>
      </w:r>
      <w:r w:rsidR="007A773E">
        <w:rPr>
          <w:bCs/>
        </w:rPr>
        <w:t>e</w:t>
      </w:r>
      <w:r w:rsidRPr="00D67479">
        <w:rPr>
          <w:bCs/>
        </w:rPr>
        <w:t xml:space="preserve">ntity retains responsibility under Rule 2.2.6 for the completeness, accuracy and currency of the information reported, regardless of whether the </w:t>
      </w:r>
      <w:r w:rsidR="007A773E">
        <w:rPr>
          <w:bCs/>
        </w:rPr>
        <w:t>r</w:t>
      </w:r>
      <w:r w:rsidRPr="00D67479">
        <w:rPr>
          <w:bCs/>
        </w:rPr>
        <w:t xml:space="preserve">eporting </w:t>
      </w:r>
      <w:r w:rsidR="007A773E">
        <w:rPr>
          <w:bCs/>
        </w:rPr>
        <w:t>e</w:t>
      </w:r>
      <w:r w:rsidRPr="00D67479">
        <w:rPr>
          <w:bCs/>
        </w:rPr>
        <w:t xml:space="preserve">ntity reports through another person. Rule </w:t>
      </w:r>
      <w:r w:rsidR="006C2322">
        <w:rPr>
          <w:bCs/>
        </w:rPr>
        <w:t xml:space="preserve">2.2.7 </w:t>
      </w:r>
      <w:r w:rsidRPr="00D67479">
        <w:rPr>
          <w:bCs/>
        </w:rPr>
        <w:t xml:space="preserve">provides a </w:t>
      </w:r>
      <w:r w:rsidR="00BE56CE">
        <w:rPr>
          <w:bCs/>
        </w:rPr>
        <w:t>“</w:t>
      </w:r>
      <w:r w:rsidRPr="00D67479">
        <w:rPr>
          <w:bCs/>
        </w:rPr>
        <w:t>safe harbour</w:t>
      </w:r>
      <w:r w:rsidR="00BE56CE">
        <w:rPr>
          <w:bCs/>
        </w:rPr>
        <w:t>”</w:t>
      </w:r>
      <w:r w:rsidRPr="00D67479">
        <w:rPr>
          <w:bCs/>
        </w:rPr>
        <w:t xml:space="preserve"> for </w:t>
      </w:r>
      <w:r w:rsidR="007A773E">
        <w:rPr>
          <w:bCs/>
        </w:rPr>
        <w:t>r</w:t>
      </w:r>
      <w:r w:rsidRPr="00D67479">
        <w:rPr>
          <w:bCs/>
        </w:rPr>
        <w:t xml:space="preserve">eporting </w:t>
      </w:r>
      <w:r w:rsidR="007A773E">
        <w:rPr>
          <w:bCs/>
        </w:rPr>
        <w:t>e</w:t>
      </w:r>
      <w:r w:rsidRPr="00D67479">
        <w:rPr>
          <w:bCs/>
        </w:rPr>
        <w:t xml:space="preserve">ntities, by stating the conditions under which a </w:t>
      </w:r>
      <w:r w:rsidR="007A773E">
        <w:rPr>
          <w:bCs/>
        </w:rPr>
        <w:lastRenderedPageBreak/>
        <w:t>r</w:t>
      </w:r>
      <w:r w:rsidRPr="00D67479">
        <w:rPr>
          <w:bCs/>
        </w:rPr>
        <w:t xml:space="preserve">eporting </w:t>
      </w:r>
      <w:r w:rsidR="007A773E">
        <w:rPr>
          <w:bCs/>
        </w:rPr>
        <w:t>e</w:t>
      </w:r>
      <w:r w:rsidRPr="00D67479">
        <w:rPr>
          <w:bCs/>
        </w:rPr>
        <w:t>ntity will be taken to have complied with Rule 2.2.1 to 2.2.5 where it delegates reporting</w:t>
      </w:r>
      <w:r w:rsidR="004A6931">
        <w:rPr>
          <w:bCs/>
        </w:rPr>
        <w:t>.</w:t>
      </w:r>
    </w:p>
    <w:p w14:paraId="4D75DBE4" w14:textId="2C578034" w:rsidR="00DC4683" w:rsidRPr="00D67479" w:rsidRDefault="00DC4683" w:rsidP="00091619">
      <w:pPr>
        <w:pStyle w:val="LI-BodyTextParaa"/>
        <w:numPr>
          <w:ilvl w:val="0"/>
          <w:numId w:val="2"/>
        </w:numPr>
        <w:rPr>
          <w:bCs/>
        </w:rPr>
      </w:pPr>
      <w:r w:rsidRPr="00D67479">
        <w:rPr>
          <w:bCs/>
        </w:rPr>
        <w:t xml:space="preserve">Note 2 to Rule 2.2.7 notes that while other forms of delegation are permissible under the </w:t>
      </w:r>
      <w:r w:rsidR="006C2322">
        <w:rPr>
          <w:bCs/>
        </w:rPr>
        <w:t xml:space="preserve">2022 </w:t>
      </w:r>
      <w:r w:rsidRPr="00D67479">
        <w:rPr>
          <w:bCs/>
        </w:rPr>
        <w:t xml:space="preserve">Rules, a </w:t>
      </w:r>
      <w:r w:rsidR="006C2322">
        <w:rPr>
          <w:bCs/>
        </w:rPr>
        <w:t>r</w:t>
      </w:r>
      <w:r w:rsidRPr="00D67479">
        <w:rPr>
          <w:bCs/>
        </w:rPr>
        <w:t xml:space="preserve">eporting </w:t>
      </w:r>
      <w:r w:rsidR="006C2322">
        <w:rPr>
          <w:bCs/>
        </w:rPr>
        <w:t>e</w:t>
      </w:r>
      <w:r w:rsidRPr="00D67479">
        <w:rPr>
          <w:bCs/>
        </w:rPr>
        <w:t xml:space="preserve">ntity may only be taken to have complied with the reporting obligations in Rules 2.2.1 to 2.2.5 for those </w:t>
      </w:r>
      <w:r w:rsidR="006C2322">
        <w:rPr>
          <w:bCs/>
        </w:rPr>
        <w:t>r</w:t>
      </w:r>
      <w:r w:rsidRPr="00D67479">
        <w:rPr>
          <w:bCs/>
        </w:rPr>
        <w:t xml:space="preserve">eportable </w:t>
      </w:r>
      <w:r w:rsidR="006C2322">
        <w:rPr>
          <w:bCs/>
        </w:rPr>
        <w:t>t</w:t>
      </w:r>
      <w:r w:rsidRPr="00D67479">
        <w:rPr>
          <w:bCs/>
        </w:rPr>
        <w:t xml:space="preserve">ransactions and </w:t>
      </w:r>
      <w:r w:rsidR="006C2322">
        <w:rPr>
          <w:bCs/>
        </w:rPr>
        <w:t>r</w:t>
      </w:r>
      <w:r w:rsidRPr="00D67479">
        <w:rPr>
          <w:bCs/>
        </w:rPr>
        <w:t xml:space="preserve">eportable </w:t>
      </w:r>
      <w:r w:rsidR="006C2322">
        <w:rPr>
          <w:bCs/>
        </w:rPr>
        <w:t>p</w:t>
      </w:r>
      <w:r w:rsidRPr="00D67479">
        <w:rPr>
          <w:bCs/>
        </w:rPr>
        <w:t>ositions reported by a Delegate in accordance with Rule 2.2.7.</w:t>
      </w:r>
    </w:p>
    <w:p w14:paraId="07F54768" w14:textId="62624EE4" w:rsidR="009B53A9" w:rsidRDefault="006F0DDC" w:rsidP="006F0DDC">
      <w:pPr>
        <w:pStyle w:val="LI-BodyTextNumbered"/>
        <w:ind w:left="0" w:firstLine="0"/>
        <w:rPr>
          <w:u w:val="single"/>
        </w:rPr>
      </w:pPr>
      <w:r>
        <w:rPr>
          <w:u w:val="single"/>
        </w:rPr>
        <w:t xml:space="preserve">Rule 2.2.8 </w:t>
      </w:r>
      <w:r w:rsidRPr="0026773C">
        <w:rPr>
          <w:u w:val="single"/>
        </w:rPr>
        <w:t>–</w:t>
      </w:r>
      <w:r>
        <w:rPr>
          <w:u w:val="single"/>
        </w:rPr>
        <w:t xml:space="preserve"> </w:t>
      </w:r>
      <w:r w:rsidR="009B53A9" w:rsidRPr="006F0DDC">
        <w:rPr>
          <w:u w:val="single"/>
        </w:rPr>
        <w:t>Lifecycle or snapshot reporting</w:t>
      </w:r>
    </w:p>
    <w:p w14:paraId="56ACAF09" w14:textId="4E7E1709" w:rsidR="00A47C5E" w:rsidRPr="00CE781E" w:rsidRDefault="00A47C5E" w:rsidP="006654AE">
      <w:pPr>
        <w:pStyle w:val="LI-BodyTextParaa"/>
        <w:numPr>
          <w:ilvl w:val="0"/>
          <w:numId w:val="2"/>
        </w:numPr>
        <w:rPr>
          <w:bCs/>
        </w:rPr>
      </w:pPr>
      <w:r w:rsidRPr="00CE781E">
        <w:rPr>
          <w:bCs/>
        </w:rPr>
        <w:t>The reporting of all derivative transactions in an OTC derivative, including intra-day modifications of an OTC derivative</w:t>
      </w:r>
      <w:r w:rsidR="000C1AE8" w:rsidRPr="00CE781E">
        <w:rPr>
          <w:bCs/>
        </w:rPr>
        <w:t xml:space="preserve">, </w:t>
      </w:r>
      <w:r w:rsidRPr="00CE781E">
        <w:rPr>
          <w:bCs/>
        </w:rPr>
        <w:t xml:space="preserve">is commonly referred to as </w:t>
      </w:r>
      <w:r w:rsidR="007062E3">
        <w:rPr>
          <w:bCs/>
        </w:rPr>
        <w:t>“</w:t>
      </w:r>
      <w:r w:rsidRPr="00CE781E">
        <w:rPr>
          <w:bCs/>
        </w:rPr>
        <w:t>lifecycle reporting</w:t>
      </w:r>
      <w:r w:rsidR="007062E3">
        <w:rPr>
          <w:bCs/>
        </w:rPr>
        <w:t>”</w:t>
      </w:r>
      <w:r w:rsidRPr="00CE781E">
        <w:rPr>
          <w:bCs/>
        </w:rPr>
        <w:t>.</w:t>
      </w:r>
      <w:r w:rsidR="000C1AE8" w:rsidRPr="00CE781E">
        <w:rPr>
          <w:bCs/>
        </w:rPr>
        <w:t xml:space="preserve"> </w:t>
      </w:r>
      <w:r w:rsidR="007062E3">
        <w:rPr>
          <w:bCs/>
        </w:rPr>
        <w:t>“</w:t>
      </w:r>
      <w:r w:rsidRPr="00CE781E">
        <w:rPr>
          <w:bCs/>
        </w:rPr>
        <w:t>Snapshot reporting</w:t>
      </w:r>
      <w:r w:rsidR="00CE781E">
        <w:rPr>
          <w:bCs/>
        </w:rPr>
        <w:t>”</w:t>
      </w:r>
      <w:r w:rsidRPr="00CE781E">
        <w:rPr>
          <w:bCs/>
        </w:rPr>
        <w:t xml:space="preserve"> is a form of reporting whereby reporting entities report positions as of each business day.</w:t>
      </w:r>
    </w:p>
    <w:p w14:paraId="1576F1D1" w14:textId="66F0BE6B" w:rsidR="009B53A9" w:rsidRPr="006F0DDC" w:rsidRDefault="00977031" w:rsidP="00091619">
      <w:pPr>
        <w:pStyle w:val="LI-BodyTextParaa"/>
        <w:numPr>
          <w:ilvl w:val="0"/>
          <w:numId w:val="2"/>
        </w:numPr>
        <w:rPr>
          <w:bCs/>
        </w:rPr>
      </w:pPr>
      <w:r>
        <w:rPr>
          <w:bCs/>
        </w:rPr>
        <w:t>S</w:t>
      </w:r>
      <w:r w:rsidR="009B53A9" w:rsidRPr="006F0DDC">
        <w:rPr>
          <w:bCs/>
        </w:rPr>
        <w:t xml:space="preserve">ubrule 2.2.8(1) provides that a </w:t>
      </w:r>
      <w:r w:rsidR="00EF109A">
        <w:rPr>
          <w:bCs/>
        </w:rPr>
        <w:t>r</w:t>
      </w:r>
      <w:r w:rsidR="009B53A9" w:rsidRPr="006F0DDC">
        <w:rPr>
          <w:bCs/>
        </w:rPr>
        <w:t xml:space="preserve">eporting </w:t>
      </w:r>
      <w:r w:rsidR="00EF109A">
        <w:rPr>
          <w:bCs/>
        </w:rPr>
        <w:t>e</w:t>
      </w:r>
      <w:r w:rsidR="009B53A9" w:rsidRPr="006F0DDC">
        <w:rPr>
          <w:bCs/>
        </w:rPr>
        <w:t xml:space="preserve">ntity may comply with Rule 2.2.1 in relation to a </w:t>
      </w:r>
      <w:r w:rsidR="00EF109A">
        <w:rPr>
          <w:bCs/>
        </w:rPr>
        <w:t>r</w:t>
      </w:r>
      <w:r w:rsidR="009B53A9" w:rsidRPr="006F0DDC">
        <w:rPr>
          <w:bCs/>
        </w:rPr>
        <w:t xml:space="preserve">eportable </w:t>
      </w:r>
      <w:r w:rsidR="00EF109A">
        <w:rPr>
          <w:bCs/>
        </w:rPr>
        <w:t>t</w:t>
      </w:r>
      <w:r w:rsidR="009B53A9" w:rsidRPr="006F0DDC">
        <w:rPr>
          <w:bCs/>
        </w:rPr>
        <w:t xml:space="preserve">ransaction in an OTC </w:t>
      </w:r>
      <w:r w:rsidR="00EF109A">
        <w:rPr>
          <w:bCs/>
        </w:rPr>
        <w:t>d</w:t>
      </w:r>
      <w:r w:rsidR="009B53A9" w:rsidRPr="006F0DDC">
        <w:rPr>
          <w:bCs/>
        </w:rPr>
        <w:t>erivative (</w:t>
      </w:r>
      <w:r w:rsidR="00EF109A">
        <w:rPr>
          <w:bCs/>
        </w:rPr>
        <w:t xml:space="preserve">the </w:t>
      </w:r>
      <w:r w:rsidR="009B53A9" w:rsidRPr="00AE360F">
        <w:rPr>
          <w:b/>
          <w:i/>
          <w:iCs/>
        </w:rPr>
        <w:t>Relevant OTC Derivative</w:t>
      </w:r>
      <w:r w:rsidR="009B53A9" w:rsidRPr="006F0DDC">
        <w:rPr>
          <w:bCs/>
        </w:rPr>
        <w:t xml:space="preserve">), other than a </w:t>
      </w:r>
      <w:r w:rsidR="00EF109A">
        <w:rPr>
          <w:bCs/>
        </w:rPr>
        <w:t>d</w:t>
      </w:r>
      <w:r w:rsidR="009B53A9" w:rsidRPr="006F0DDC">
        <w:rPr>
          <w:bCs/>
        </w:rPr>
        <w:t xml:space="preserve">erivative that is an </w:t>
      </w:r>
      <w:r w:rsidR="00EF109A">
        <w:rPr>
          <w:bCs/>
        </w:rPr>
        <w:t>e</w:t>
      </w:r>
      <w:r w:rsidR="009B53A9" w:rsidRPr="006F0DDC">
        <w:rPr>
          <w:bCs/>
        </w:rPr>
        <w:t xml:space="preserve">xcluded </w:t>
      </w:r>
      <w:r w:rsidR="00EF109A">
        <w:rPr>
          <w:bCs/>
        </w:rPr>
        <w:t>d</w:t>
      </w:r>
      <w:r w:rsidR="009B53A9" w:rsidRPr="006F0DDC">
        <w:rPr>
          <w:bCs/>
        </w:rPr>
        <w:t xml:space="preserve">erivative or that is in a class of </w:t>
      </w:r>
      <w:r w:rsidR="00A92ADF">
        <w:rPr>
          <w:bCs/>
        </w:rPr>
        <w:t>e</w:t>
      </w:r>
      <w:r w:rsidR="009B53A9" w:rsidRPr="006F0DDC">
        <w:rPr>
          <w:bCs/>
        </w:rPr>
        <w:t xml:space="preserve">xcluded </w:t>
      </w:r>
      <w:r w:rsidR="00A92ADF">
        <w:rPr>
          <w:bCs/>
        </w:rPr>
        <w:t>d</w:t>
      </w:r>
      <w:r w:rsidR="009B53A9" w:rsidRPr="006F0DDC">
        <w:rPr>
          <w:bCs/>
        </w:rPr>
        <w:t xml:space="preserve">erivatives at the time the </w:t>
      </w:r>
      <w:r w:rsidR="00E13767">
        <w:rPr>
          <w:bCs/>
        </w:rPr>
        <w:t>r</w:t>
      </w:r>
      <w:r w:rsidR="009B53A9" w:rsidRPr="006F0DDC">
        <w:rPr>
          <w:bCs/>
        </w:rPr>
        <w:t xml:space="preserve">eportable </w:t>
      </w:r>
      <w:r w:rsidR="00E13767">
        <w:rPr>
          <w:bCs/>
        </w:rPr>
        <w:t>t</w:t>
      </w:r>
      <w:r w:rsidR="009B53A9" w:rsidRPr="006F0DDC">
        <w:rPr>
          <w:bCs/>
        </w:rPr>
        <w:t>ransaction is entered into, on a day (</w:t>
      </w:r>
      <w:r w:rsidR="009B53A9" w:rsidRPr="00AE360F">
        <w:rPr>
          <w:b/>
          <w:i/>
          <w:iCs/>
        </w:rPr>
        <w:t>Relevant Day</w:t>
      </w:r>
      <w:r w:rsidR="009B53A9" w:rsidRPr="006F0DDC">
        <w:rPr>
          <w:bCs/>
        </w:rPr>
        <w:t>) by:</w:t>
      </w:r>
    </w:p>
    <w:p w14:paraId="0F27903B" w14:textId="1C11A711" w:rsidR="009B53A9" w:rsidRPr="006F0DDC" w:rsidRDefault="009B53A9" w:rsidP="00091619">
      <w:pPr>
        <w:pStyle w:val="LI-BodyTextParaa"/>
        <w:numPr>
          <w:ilvl w:val="1"/>
          <w:numId w:val="2"/>
        </w:numPr>
        <w:rPr>
          <w:bCs/>
        </w:rPr>
      </w:pPr>
      <w:r w:rsidRPr="006F0DDC">
        <w:rPr>
          <w:bCs/>
        </w:rPr>
        <w:t xml:space="preserve">reporting </w:t>
      </w:r>
      <w:r w:rsidR="00365A0A">
        <w:rPr>
          <w:bCs/>
        </w:rPr>
        <w:t>d</w:t>
      </w:r>
      <w:r w:rsidRPr="006F0DDC">
        <w:rPr>
          <w:bCs/>
        </w:rPr>
        <w:t xml:space="preserve">erivative </w:t>
      </w:r>
      <w:r w:rsidR="00365A0A">
        <w:rPr>
          <w:bCs/>
        </w:rPr>
        <w:t>t</w:t>
      </w:r>
      <w:r w:rsidRPr="006F0DDC">
        <w:rPr>
          <w:bCs/>
        </w:rPr>
        <w:t xml:space="preserve">ransaction </w:t>
      </w:r>
      <w:r w:rsidR="00365A0A">
        <w:rPr>
          <w:bCs/>
        </w:rPr>
        <w:t>i</w:t>
      </w:r>
      <w:r w:rsidRPr="006F0DDC">
        <w:rPr>
          <w:bCs/>
        </w:rPr>
        <w:t xml:space="preserve">nformation separately for each </w:t>
      </w:r>
      <w:r w:rsidR="00365A0A">
        <w:rPr>
          <w:bCs/>
        </w:rPr>
        <w:t>r</w:t>
      </w:r>
      <w:r w:rsidRPr="006F0DDC">
        <w:rPr>
          <w:bCs/>
        </w:rPr>
        <w:t xml:space="preserve">eportable </w:t>
      </w:r>
      <w:r w:rsidR="00365A0A">
        <w:rPr>
          <w:bCs/>
        </w:rPr>
        <w:t>t</w:t>
      </w:r>
      <w:r w:rsidRPr="006F0DDC">
        <w:rPr>
          <w:bCs/>
        </w:rPr>
        <w:t>ransaction in the Relevant OTC Derivative</w:t>
      </w:r>
      <w:r w:rsidR="0091288A">
        <w:rPr>
          <w:bCs/>
        </w:rPr>
        <w:t xml:space="preserve"> (</w:t>
      </w:r>
      <w:proofErr w:type="gramStart"/>
      <w:r w:rsidR="00AC6FF3">
        <w:rPr>
          <w:bCs/>
        </w:rPr>
        <w:t>i.e.</w:t>
      </w:r>
      <w:proofErr w:type="gramEnd"/>
      <w:r w:rsidR="00AC6FF3">
        <w:rPr>
          <w:bCs/>
        </w:rPr>
        <w:t xml:space="preserve"> as </w:t>
      </w:r>
      <w:r w:rsidR="0091288A">
        <w:rPr>
          <w:bCs/>
        </w:rPr>
        <w:t>lifecycle</w:t>
      </w:r>
      <w:r w:rsidR="00AC6FF3">
        <w:rPr>
          <w:bCs/>
        </w:rPr>
        <w:t xml:space="preserve"> reporting)</w:t>
      </w:r>
      <w:r w:rsidRPr="006F0DDC">
        <w:rPr>
          <w:bCs/>
        </w:rPr>
        <w:t>; or</w:t>
      </w:r>
    </w:p>
    <w:p w14:paraId="7BD4EED6" w14:textId="67D48C8A" w:rsidR="009B53A9" w:rsidRPr="006F0DDC" w:rsidRDefault="009B53A9" w:rsidP="00091619">
      <w:pPr>
        <w:pStyle w:val="LI-BodyTextParaa"/>
        <w:numPr>
          <w:ilvl w:val="1"/>
          <w:numId w:val="2"/>
        </w:numPr>
        <w:rPr>
          <w:bCs/>
        </w:rPr>
      </w:pPr>
      <w:r w:rsidRPr="006F0DDC">
        <w:rPr>
          <w:bCs/>
        </w:rPr>
        <w:t xml:space="preserve">reporting </w:t>
      </w:r>
      <w:r w:rsidR="00365A0A">
        <w:rPr>
          <w:bCs/>
        </w:rPr>
        <w:t>d</w:t>
      </w:r>
      <w:r w:rsidRPr="006F0DDC">
        <w:rPr>
          <w:bCs/>
        </w:rPr>
        <w:t xml:space="preserve">erivative </w:t>
      </w:r>
      <w:r w:rsidR="00365A0A">
        <w:rPr>
          <w:bCs/>
        </w:rPr>
        <w:t>t</w:t>
      </w:r>
      <w:r w:rsidRPr="006F0DDC">
        <w:rPr>
          <w:bCs/>
        </w:rPr>
        <w:t xml:space="preserve">ransaction </w:t>
      </w:r>
      <w:r w:rsidR="00365A0A">
        <w:rPr>
          <w:bCs/>
        </w:rPr>
        <w:t>i</w:t>
      </w:r>
      <w:r w:rsidRPr="006F0DDC">
        <w:rPr>
          <w:bCs/>
        </w:rPr>
        <w:t>nformation in relation to the Relevant OTC Derivative on its terms as of the Relevant Day</w:t>
      </w:r>
      <w:r w:rsidR="00AC6FF3">
        <w:rPr>
          <w:bCs/>
        </w:rPr>
        <w:t xml:space="preserve"> (</w:t>
      </w:r>
      <w:proofErr w:type="gramStart"/>
      <w:r w:rsidR="00AC6FF3">
        <w:rPr>
          <w:bCs/>
        </w:rPr>
        <w:t>i.e.</w:t>
      </w:r>
      <w:proofErr w:type="gramEnd"/>
      <w:r w:rsidR="00AC6FF3">
        <w:rPr>
          <w:bCs/>
        </w:rPr>
        <w:t xml:space="preserve"> as </w:t>
      </w:r>
      <w:r w:rsidR="00FF41F7">
        <w:rPr>
          <w:bCs/>
        </w:rPr>
        <w:t>snapshot reporting)</w:t>
      </w:r>
      <w:r w:rsidRPr="006F0DDC">
        <w:rPr>
          <w:bCs/>
        </w:rPr>
        <w:t>,</w:t>
      </w:r>
    </w:p>
    <w:p w14:paraId="2B9379BC" w14:textId="1326F29D" w:rsidR="009B53A9" w:rsidRPr="006F0DDC" w:rsidRDefault="00B30EBE" w:rsidP="008F5AD6">
      <w:pPr>
        <w:pStyle w:val="LI-BodyTextParaa"/>
        <w:ind w:left="1134"/>
        <w:rPr>
          <w:bCs/>
        </w:rPr>
      </w:pPr>
      <w:r>
        <w:rPr>
          <w:bCs/>
        </w:rPr>
        <w:t xml:space="preserve">and </w:t>
      </w:r>
      <w:r w:rsidR="009B53A9" w:rsidRPr="006F0DDC">
        <w:rPr>
          <w:bCs/>
        </w:rPr>
        <w:t>otherwise report</w:t>
      </w:r>
      <w:r>
        <w:rPr>
          <w:bCs/>
        </w:rPr>
        <w:t>ing</w:t>
      </w:r>
      <w:r w:rsidR="009B53A9" w:rsidRPr="006F0DDC">
        <w:rPr>
          <w:bCs/>
        </w:rPr>
        <w:t xml:space="preserve"> the information in accordance with the </w:t>
      </w:r>
      <w:r w:rsidR="00365A0A">
        <w:rPr>
          <w:bCs/>
        </w:rPr>
        <w:t xml:space="preserve">2022 </w:t>
      </w:r>
      <w:r w:rsidR="009B53A9" w:rsidRPr="006F0DDC">
        <w:rPr>
          <w:bCs/>
        </w:rPr>
        <w:t>Rules.</w:t>
      </w:r>
    </w:p>
    <w:p w14:paraId="69EE8E12" w14:textId="5D15E979" w:rsidR="009B53A9" w:rsidRPr="006F0DDC" w:rsidRDefault="00713F04" w:rsidP="00091619">
      <w:pPr>
        <w:pStyle w:val="LI-BodyTextParaa"/>
        <w:numPr>
          <w:ilvl w:val="0"/>
          <w:numId w:val="2"/>
        </w:numPr>
        <w:rPr>
          <w:bCs/>
        </w:rPr>
      </w:pPr>
      <w:r>
        <w:rPr>
          <w:bCs/>
        </w:rPr>
        <w:t>S</w:t>
      </w:r>
      <w:r w:rsidR="009B53A9" w:rsidRPr="006F0DDC">
        <w:rPr>
          <w:bCs/>
        </w:rPr>
        <w:t xml:space="preserve">ubrule 2.2.8(2) provides that where a </w:t>
      </w:r>
      <w:r w:rsidR="000B7B44">
        <w:rPr>
          <w:bCs/>
        </w:rPr>
        <w:t>r</w:t>
      </w:r>
      <w:r w:rsidR="009B53A9" w:rsidRPr="006F0DDC">
        <w:rPr>
          <w:bCs/>
        </w:rPr>
        <w:t xml:space="preserve">eporting </w:t>
      </w:r>
      <w:r w:rsidR="000B7B44">
        <w:rPr>
          <w:bCs/>
        </w:rPr>
        <w:t>e</w:t>
      </w:r>
      <w:r w:rsidR="009B53A9" w:rsidRPr="006F0DDC">
        <w:rPr>
          <w:bCs/>
        </w:rPr>
        <w:t xml:space="preserve">ntity complies with Rule 2.2.1 in relation to a </w:t>
      </w:r>
      <w:r w:rsidR="000B7B44">
        <w:rPr>
          <w:bCs/>
        </w:rPr>
        <w:t>r</w:t>
      </w:r>
      <w:r w:rsidR="009B53A9" w:rsidRPr="006F0DDC">
        <w:rPr>
          <w:bCs/>
        </w:rPr>
        <w:t xml:space="preserve">eportable </w:t>
      </w:r>
      <w:r w:rsidR="000B7B44">
        <w:rPr>
          <w:bCs/>
        </w:rPr>
        <w:t>t</w:t>
      </w:r>
      <w:r w:rsidR="009B53A9" w:rsidRPr="006F0DDC">
        <w:rPr>
          <w:bCs/>
        </w:rPr>
        <w:t xml:space="preserve">ransaction that is a modification of an OTC </w:t>
      </w:r>
      <w:r w:rsidR="000B7B44">
        <w:rPr>
          <w:bCs/>
        </w:rPr>
        <w:t>d</w:t>
      </w:r>
      <w:r w:rsidR="009B53A9" w:rsidRPr="006F0DDC">
        <w:rPr>
          <w:bCs/>
        </w:rPr>
        <w:t xml:space="preserve">erivative in accordance with paragraph 2.2.1(1)(b), the </w:t>
      </w:r>
      <w:r w:rsidR="000B7B44">
        <w:rPr>
          <w:bCs/>
        </w:rPr>
        <w:t>r</w:t>
      </w:r>
      <w:r w:rsidR="009B53A9" w:rsidRPr="006F0DDC">
        <w:rPr>
          <w:bCs/>
        </w:rPr>
        <w:t xml:space="preserve">eporting </w:t>
      </w:r>
      <w:r w:rsidR="000B7B44">
        <w:rPr>
          <w:bCs/>
        </w:rPr>
        <w:t>e</w:t>
      </w:r>
      <w:r w:rsidR="009B53A9" w:rsidRPr="006F0DDC">
        <w:rPr>
          <w:bCs/>
        </w:rPr>
        <w:t xml:space="preserve">ntity does not have to comply with Rules 2.2.1 and 2.2.2 in relation to that </w:t>
      </w:r>
      <w:r w:rsidR="000B7B44">
        <w:rPr>
          <w:bCs/>
        </w:rPr>
        <w:t>r</w:t>
      </w:r>
      <w:r w:rsidR="009B53A9" w:rsidRPr="006F0DDC">
        <w:rPr>
          <w:bCs/>
        </w:rPr>
        <w:t xml:space="preserve">eportable </w:t>
      </w:r>
      <w:r w:rsidR="000B7B44">
        <w:rPr>
          <w:bCs/>
        </w:rPr>
        <w:t>t</w:t>
      </w:r>
      <w:r w:rsidR="009B53A9" w:rsidRPr="006F0DDC">
        <w:rPr>
          <w:bCs/>
        </w:rPr>
        <w:t xml:space="preserve">ransaction to the extent those Rules require a </w:t>
      </w:r>
      <w:r w:rsidR="000B7B44">
        <w:rPr>
          <w:bCs/>
        </w:rPr>
        <w:t>r</w:t>
      </w:r>
      <w:r w:rsidR="009B53A9" w:rsidRPr="006F0DDC">
        <w:rPr>
          <w:bCs/>
        </w:rPr>
        <w:t xml:space="preserve">eporting </w:t>
      </w:r>
      <w:r w:rsidR="000B7B44">
        <w:rPr>
          <w:bCs/>
        </w:rPr>
        <w:t>e</w:t>
      </w:r>
      <w:r w:rsidR="009B53A9" w:rsidRPr="006F0DDC">
        <w:rPr>
          <w:bCs/>
        </w:rPr>
        <w:t xml:space="preserve">ntity to report the </w:t>
      </w:r>
      <w:r w:rsidR="000B7B44">
        <w:rPr>
          <w:bCs/>
        </w:rPr>
        <w:t>d</w:t>
      </w:r>
      <w:r w:rsidR="009B53A9" w:rsidRPr="006F0DDC">
        <w:rPr>
          <w:bCs/>
        </w:rPr>
        <w:t xml:space="preserve">erivative </w:t>
      </w:r>
      <w:r w:rsidR="000B7B44">
        <w:rPr>
          <w:bCs/>
        </w:rPr>
        <w:t>t</w:t>
      </w:r>
      <w:r w:rsidR="009B53A9" w:rsidRPr="006F0DDC">
        <w:rPr>
          <w:bCs/>
        </w:rPr>
        <w:t xml:space="preserve">ransaction </w:t>
      </w:r>
      <w:r w:rsidR="000B7B44">
        <w:rPr>
          <w:bCs/>
        </w:rPr>
        <w:t>i</w:t>
      </w:r>
      <w:r w:rsidR="009B53A9" w:rsidRPr="006F0DDC">
        <w:rPr>
          <w:bCs/>
        </w:rPr>
        <w:t xml:space="preserve">nformation in Item 55 of Table S2.1(1) for a </w:t>
      </w:r>
      <w:r w:rsidR="000B7B44">
        <w:rPr>
          <w:bCs/>
        </w:rPr>
        <w:t>r</w:t>
      </w:r>
      <w:r w:rsidR="009B53A9" w:rsidRPr="006F0DDC">
        <w:rPr>
          <w:bCs/>
        </w:rPr>
        <w:t xml:space="preserve">eportable </w:t>
      </w:r>
      <w:r w:rsidR="000B7B44">
        <w:rPr>
          <w:bCs/>
        </w:rPr>
        <w:t>t</w:t>
      </w:r>
      <w:r w:rsidR="009B53A9" w:rsidRPr="006F0DDC">
        <w:rPr>
          <w:bCs/>
        </w:rPr>
        <w:t>ransaction.</w:t>
      </w:r>
    </w:p>
    <w:p w14:paraId="00166217" w14:textId="6E665B96" w:rsidR="009B53A9" w:rsidRPr="006F0DDC" w:rsidRDefault="00FE2D58" w:rsidP="00091619">
      <w:pPr>
        <w:pStyle w:val="LI-BodyTextParaa"/>
        <w:numPr>
          <w:ilvl w:val="0"/>
          <w:numId w:val="2"/>
        </w:numPr>
        <w:rPr>
          <w:bCs/>
        </w:rPr>
      </w:pPr>
      <w:r>
        <w:rPr>
          <w:bCs/>
        </w:rPr>
        <w:t>S</w:t>
      </w:r>
      <w:r w:rsidR="009B53A9" w:rsidRPr="006F0DDC">
        <w:rPr>
          <w:bCs/>
        </w:rPr>
        <w:t xml:space="preserve">ubrule 2.2.8(3) provides that ASIC may determine from time to time that an OTC </w:t>
      </w:r>
      <w:r w:rsidR="000B7B44">
        <w:rPr>
          <w:bCs/>
        </w:rPr>
        <w:t>d</w:t>
      </w:r>
      <w:r w:rsidR="00852C87">
        <w:rPr>
          <w:bCs/>
        </w:rPr>
        <w:t>e</w:t>
      </w:r>
      <w:r w:rsidR="009B53A9" w:rsidRPr="006F0DDC">
        <w:rPr>
          <w:bCs/>
        </w:rPr>
        <w:t xml:space="preserve">rivative, or a derivative product class, is an </w:t>
      </w:r>
      <w:r w:rsidR="000B7B44">
        <w:rPr>
          <w:bCs/>
        </w:rPr>
        <w:t>e</w:t>
      </w:r>
      <w:r w:rsidR="009B53A9" w:rsidRPr="006F0DDC">
        <w:rPr>
          <w:bCs/>
        </w:rPr>
        <w:t xml:space="preserve">xcluded </w:t>
      </w:r>
      <w:r w:rsidR="000B7B44">
        <w:rPr>
          <w:bCs/>
        </w:rPr>
        <w:t>d</w:t>
      </w:r>
      <w:r w:rsidR="009B53A9" w:rsidRPr="006F0DDC">
        <w:rPr>
          <w:bCs/>
        </w:rPr>
        <w:t>erivative for the purposes of subrule 2.2.8(1), where, in the opinion of ASIC, doing so is desirable in order to enhance the transparency of transaction information available to relevant authorities and the public, promote financial stability or support the detection and prevention of market abuse.</w:t>
      </w:r>
    </w:p>
    <w:p w14:paraId="0A27AF0F" w14:textId="4716FB33" w:rsidR="009B53A9" w:rsidRPr="006F0DDC" w:rsidRDefault="00FE2D58" w:rsidP="00091619">
      <w:pPr>
        <w:pStyle w:val="LI-BodyTextParaa"/>
        <w:numPr>
          <w:ilvl w:val="0"/>
          <w:numId w:val="2"/>
        </w:numPr>
        <w:rPr>
          <w:bCs/>
        </w:rPr>
      </w:pPr>
      <w:r>
        <w:rPr>
          <w:bCs/>
        </w:rPr>
        <w:t>S</w:t>
      </w:r>
      <w:r w:rsidR="009B53A9" w:rsidRPr="006F0DDC">
        <w:rPr>
          <w:bCs/>
        </w:rPr>
        <w:t xml:space="preserve">ubrule 2.2.8(4) provides </w:t>
      </w:r>
      <w:r w:rsidR="00DB30CC">
        <w:rPr>
          <w:bCs/>
        </w:rPr>
        <w:t>a</w:t>
      </w:r>
      <w:r w:rsidR="009B53A9" w:rsidRPr="006F0DDC">
        <w:rPr>
          <w:bCs/>
        </w:rPr>
        <w:t xml:space="preserve"> determination by ASIC for the purposes of new subrule 2.2.8(3) will be published on ASIC’s website and takes effect on the day specified in the determination</w:t>
      </w:r>
      <w:r w:rsidR="00966A4D">
        <w:rPr>
          <w:bCs/>
        </w:rPr>
        <w:t xml:space="preserve"> that is not less than 90 calendar days after the date the determination is published on ASIC’s website</w:t>
      </w:r>
      <w:r w:rsidR="009B53A9" w:rsidRPr="006F0DDC">
        <w:rPr>
          <w:bCs/>
        </w:rPr>
        <w:t>.</w:t>
      </w:r>
    </w:p>
    <w:p w14:paraId="7CCBF371" w14:textId="73D86EA8" w:rsidR="009B53A9" w:rsidRPr="006F0DDC" w:rsidRDefault="00DB30CC" w:rsidP="00091619">
      <w:pPr>
        <w:pStyle w:val="LI-BodyTextParaa"/>
        <w:numPr>
          <w:ilvl w:val="0"/>
          <w:numId w:val="2"/>
        </w:numPr>
        <w:rPr>
          <w:bCs/>
        </w:rPr>
      </w:pPr>
      <w:r>
        <w:rPr>
          <w:bCs/>
        </w:rPr>
        <w:lastRenderedPageBreak/>
        <w:t>S</w:t>
      </w:r>
      <w:r w:rsidR="009B53A9" w:rsidRPr="006F0DDC">
        <w:rPr>
          <w:bCs/>
        </w:rPr>
        <w:t xml:space="preserve">ubrule 2.2.8(5) provides that a determination by ASIC for the purposes of subrule 2.2.8(3) may be withdrawn by ASIC, from a date specified in a notice of withdrawal that is not less than 90 calendar days after the date the notice is </w:t>
      </w:r>
      <w:r w:rsidR="00801001">
        <w:rPr>
          <w:bCs/>
        </w:rPr>
        <w:t>p</w:t>
      </w:r>
      <w:r w:rsidR="009B53A9" w:rsidRPr="006F0DDC">
        <w:rPr>
          <w:bCs/>
        </w:rPr>
        <w:t xml:space="preserve">ublished on ASIC's website, and once withdrawn ceases to have effect. </w:t>
      </w:r>
    </w:p>
    <w:p w14:paraId="3F304D6F" w14:textId="3EF19B59" w:rsidR="009B53A9" w:rsidRDefault="00801001" w:rsidP="00091619">
      <w:pPr>
        <w:pStyle w:val="LI-BodyTextParaa"/>
        <w:numPr>
          <w:ilvl w:val="0"/>
          <w:numId w:val="2"/>
        </w:numPr>
        <w:rPr>
          <w:bCs/>
        </w:rPr>
      </w:pPr>
      <w:r>
        <w:rPr>
          <w:bCs/>
        </w:rPr>
        <w:t>S</w:t>
      </w:r>
      <w:r w:rsidR="009B53A9" w:rsidRPr="006F0DDC">
        <w:rPr>
          <w:bCs/>
        </w:rPr>
        <w:t>ubrule 2.2.8(6) provides, for the purposes of s</w:t>
      </w:r>
      <w:r w:rsidR="007062E3">
        <w:rPr>
          <w:bCs/>
        </w:rPr>
        <w:t xml:space="preserve">ection </w:t>
      </w:r>
      <w:r w:rsidR="00333C81">
        <w:rPr>
          <w:bCs/>
        </w:rPr>
        <w:t>8</w:t>
      </w:r>
      <w:r w:rsidR="009B53A9" w:rsidRPr="006F0DDC">
        <w:rPr>
          <w:bCs/>
        </w:rPr>
        <w:t xml:space="preserve"> of the </w:t>
      </w:r>
      <w:r w:rsidR="009B53A9" w:rsidRPr="00AE360F">
        <w:rPr>
          <w:bCs/>
          <w:i/>
          <w:iCs/>
        </w:rPr>
        <w:t>Legislative Instruments Act 2003</w:t>
      </w:r>
      <w:r w:rsidR="009B53A9" w:rsidRPr="006F0DDC">
        <w:rPr>
          <w:bCs/>
        </w:rPr>
        <w:t>, that a determination under subrule 2.2.8(3) is not a legislative instrument.</w:t>
      </w:r>
    </w:p>
    <w:p w14:paraId="02E68531" w14:textId="535AF0C2" w:rsidR="009B53A9" w:rsidRPr="006F0DDC" w:rsidRDefault="009B53A9" w:rsidP="00091619">
      <w:pPr>
        <w:pStyle w:val="LI-BodyTextParaa"/>
        <w:numPr>
          <w:ilvl w:val="0"/>
          <w:numId w:val="2"/>
        </w:numPr>
        <w:rPr>
          <w:bCs/>
        </w:rPr>
      </w:pPr>
      <w:r w:rsidRPr="006F0DDC">
        <w:rPr>
          <w:bCs/>
        </w:rPr>
        <w:t xml:space="preserve">Rule 2.2.8 includes a mechanism (in </w:t>
      </w:r>
      <w:r w:rsidR="00852C87">
        <w:rPr>
          <w:bCs/>
        </w:rPr>
        <w:t xml:space="preserve">Rule </w:t>
      </w:r>
      <w:r w:rsidRPr="006F0DDC">
        <w:rPr>
          <w:bCs/>
        </w:rPr>
        <w:t xml:space="preserve">2.2.8(3) described above) whereby ASIC may determine from time to time that </w:t>
      </w:r>
      <w:r w:rsidR="00852C87">
        <w:rPr>
          <w:bCs/>
        </w:rPr>
        <w:t>d</w:t>
      </w:r>
      <w:r w:rsidRPr="006F0DDC">
        <w:rPr>
          <w:bCs/>
        </w:rPr>
        <w:t xml:space="preserve">erivative </w:t>
      </w:r>
      <w:r w:rsidR="00852C87">
        <w:rPr>
          <w:bCs/>
        </w:rPr>
        <w:t>t</w:t>
      </w:r>
      <w:r w:rsidRPr="006F0DDC">
        <w:rPr>
          <w:bCs/>
        </w:rPr>
        <w:t xml:space="preserve">ransactions in a particular </w:t>
      </w:r>
      <w:r w:rsidR="00852C87">
        <w:rPr>
          <w:bCs/>
        </w:rPr>
        <w:t>d</w:t>
      </w:r>
      <w:r w:rsidRPr="006F0DDC">
        <w:rPr>
          <w:bCs/>
        </w:rPr>
        <w:t xml:space="preserve">erivative (referred to in the </w:t>
      </w:r>
      <w:r w:rsidR="00852C87">
        <w:rPr>
          <w:bCs/>
        </w:rPr>
        <w:t xml:space="preserve">2022 </w:t>
      </w:r>
      <w:r w:rsidRPr="006F0DDC">
        <w:rPr>
          <w:bCs/>
        </w:rPr>
        <w:t xml:space="preserve">Rules as an </w:t>
      </w:r>
      <w:r w:rsidR="00852C87">
        <w:rPr>
          <w:bCs/>
        </w:rPr>
        <w:t>“e</w:t>
      </w:r>
      <w:r w:rsidRPr="006F0DDC">
        <w:rPr>
          <w:bCs/>
        </w:rPr>
        <w:t xml:space="preserve">xcluded </w:t>
      </w:r>
      <w:r w:rsidR="00852C87">
        <w:rPr>
          <w:bCs/>
        </w:rPr>
        <w:t>d</w:t>
      </w:r>
      <w:r w:rsidRPr="006F0DDC">
        <w:rPr>
          <w:bCs/>
        </w:rPr>
        <w:t>erivative</w:t>
      </w:r>
      <w:r w:rsidR="00852C87">
        <w:rPr>
          <w:bCs/>
        </w:rPr>
        <w:t>”</w:t>
      </w:r>
      <w:r w:rsidRPr="006F0DDC">
        <w:rPr>
          <w:bCs/>
        </w:rPr>
        <w:t>) must be reported on lifecycle basis.</w:t>
      </w:r>
    </w:p>
    <w:p w14:paraId="60906245" w14:textId="3C7FD449" w:rsidR="009B53A9" w:rsidRPr="00A52821" w:rsidRDefault="00717BA1" w:rsidP="00091619">
      <w:pPr>
        <w:pStyle w:val="LI-BodyTextParaa"/>
        <w:numPr>
          <w:ilvl w:val="0"/>
          <w:numId w:val="2"/>
        </w:numPr>
        <w:rPr>
          <w:bCs/>
        </w:rPr>
      </w:pPr>
      <w:r w:rsidRPr="00BB383E">
        <w:rPr>
          <w:bCs/>
        </w:rPr>
        <w:t xml:space="preserve">On 30 November 2018, ASIC made </w:t>
      </w:r>
      <w:r w:rsidR="00B00B96">
        <w:rPr>
          <w:bCs/>
        </w:rPr>
        <w:t>the</w:t>
      </w:r>
      <w:r w:rsidRPr="00BB383E">
        <w:rPr>
          <w:bCs/>
        </w:rPr>
        <w:t xml:space="preserve"> Excluded Derivative </w:t>
      </w:r>
      <w:r w:rsidR="00B00B96">
        <w:rPr>
          <w:bCs/>
        </w:rPr>
        <w:t>D</w:t>
      </w:r>
      <w:r w:rsidRPr="00BB383E">
        <w:rPr>
          <w:bCs/>
        </w:rPr>
        <w:t>etermination</w:t>
      </w:r>
      <w:r w:rsidR="00B00B96">
        <w:rPr>
          <w:bCs/>
        </w:rPr>
        <w:t xml:space="preserve"> </w:t>
      </w:r>
      <w:r w:rsidR="00A52246" w:rsidRPr="002A2915">
        <w:rPr>
          <w:bCs/>
        </w:rPr>
        <w:t>req</w:t>
      </w:r>
      <w:r w:rsidRPr="002A2915">
        <w:rPr>
          <w:bCs/>
        </w:rPr>
        <w:t xml:space="preserve">uiring transactions in </w:t>
      </w:r>
      <w:proofErr w:type="spellStart"/>
      <w:r w:rsidRPr="002A2915">
        <w:rPr>
          <w:bCs/>
        </w:rPr>
        <w:t>CFDs</w:t>
      </w:r>
      <w:proofErr w:type="spellEnd"/>
      <w:r w:rsidRPr="002A2915">
        <w:rPr>
          <w:bCs/>
        </w:rPr>
        <w:t xml:space="preserve">, margin FX and equity derivatives to be reported to derivative trade repositories on a </w:t>
      </w:r>
      <w:r w:rsidR="00112CDE">
        <w:rPr>
          <w:bCs/>
        </w:rPr>
        <w:t>“</w:t>
      </w:r>
      <w:r w:rsidRPr="002A2915">
        <w:rPr>
          <w:bCs/>
        </w:rPr>
        <w:t>lifecycle</w:t>
      </w:r>
      <w:r w:rsidR="00112CDE">
        <w:rPr>
          <w:bCs/>
        </w:rPr>
        <w:t>”</w:t>
      </w:r>
      <w:r w:rsidRPr="002A2915">
        <w:rPr>
          <w:bCs/>
        </w:rPr>
        <w:t xml:space="preserve"> method</w:t>
      </w:r>
      <w:r w:rsidR="00A52246" w:rsidRPr="002A2915">
        <w:rPr>
          <w:bCs/>
        </w:rPr>
        <w:t xml:space="preserve">, with effect from </w:t>
      </w:r>
      <w:r w:rsidRPr="00A52821">
        <w:rPr>
          <w:bCs/>
        </w:rPr>
        <w:t>1 July 2019.</w:t>
      </w:r>
    </w:p>
    <w:p w14:paraId="1D5240EE" w14:textId="0965638D" w:rsidR="0026773C" w:rsidRPr="0026773C" w:rsidRDefault="0026773C" w:rsidP="0026773C">
      <w:pPr>
        <w:pStyle w:val="LI-BodyTextNumbered"/>
        <w:ind w:hanging="1134"/>
        <w:rPr>
          <w:u w:val="single"/>
        </w:rPr>
      </w:pPr>
      <w:r w:rsidRPr="0026773C">
        <w:rPr>
          <w:u w:val="single"/>
        </w:rPr>
        <w:t>Part 2.3 Records</w:t>
      </w:r>
    </w:p>
    <w:p w14:paraId="2A44DC43" w14:textId="0FC898E4" w:rsidR="0026773C" w:rsidRPr="003F1B14" w:rsidRDefault="0026773C" w:rsidP="00091619">
      <w:pPr>
        <w:pStyle w:val="LI-BodyTextParaa"/>
        <w:numPr>
          <w:ilvl w:val="0"/>
          <w:numId w:val="2"/>
        </w:numPr>
        <w:rPr>
          <w:bCs/>
        </w:rPr>
      </w:pPr>
      <w:r w:rsidRPr="003F1B14">
        <w:rPr>
          <w:bCs/>
        </w:rPr>
        <w:t xml:space="preserve">Part 2.3 of the </w:t>
      </w:r>
      <w:r w:rsidR="005160D9" w:rsidRPr="003F1B14">
        <w:rPr>
          <w:bCs/>
        </w:rPr>
        <w:t xml:space="preserve">2022 </w:t>
      </w:r>
      <w:r w:rsidRPr="003F1B14">
        <w:rPr>
          <w:bCs/>
        </w:rPr>
        <w:t>Rules deals with the keeping o</w:t>
      </w:r>
      <w:r w:rsidR="00A265F8" w:rsidRPr="003F1B14">
        <w:rPr>
          <w:bCs/>
        </w:rPr>
        <w:t>f</w:t>
      </w:r>
      <w:r w:rsidRPr="003F1B14">
        <w:rPr>
          <w:bCs/>
        </w:rPr>
        <w:t xml:space="preserve"> records, or the provision of records or other information, relating to compliance with (or determining whether there has been compliance with) the </w:t>
      </w:r>
      <w:r w:rsidR="004A394E" w:rsidRPr="003F1B14">
        <w:rPr>
          <w:bCs/>
        </w:rPr>
        <w:t xml:space="preserve">2022 </w:t>
      </w:r>
      <w:r w:rsidRPr="003F1B14">
        <w:rPr>
          <w:bCs/>
        </w:rPr>
        <w:t>Rules, as permitted by paragraph 901A(3)(</w:t>
      </w:r>
      <w:r w:rsidR="00884C31" w:rsidRPr="003F1B14">
        <w:rPr>
          <w:bCs/>
        </w:rPr>
        <w:t>h</w:t>
      </w:r>
      <w:r w:rsidRPr="003F1B14">
        <w:rPr>
          <w:bCs/>
        </w:rPr>
        <w:t xml:space="preserve">) of the </w:t>
      </w:r>
      <w:r w:rsidR="004A394E" w:rsidRPr="003F1B14">
        <w:rPr>
          <w:bCs/>
        </w:rPr>
        <w:t xml:space="preserve">Corporations </w:t>
      </w:r>
      <w:r w:rsidRPr="003F1B14">
        <w:rPr>
          <w:bCs/>
        </w:rPr>
        <w:t>Act.</w:t>
      </w:r>
    </w:p>
    <w:p w14:paraId="064961C7" w14:textId="0E7AC18D" w:rsidR="0026773C" w:rsidRPr="000412DD" w:rsidRDefault="0026773C" w:rsidP="00091619">
      <w:pPr>
        <w:pStyle w:val="LI-BodyTextParaa"/>
        <w:numPr>
          <w:ilvl w:val="0"/>
          <w:numId w:val="2"/>
        </w:numPr>
        <w:rPr>
          <w:bCs/>
        </w:rPr>
      </w:pPr>
      <w:r w:rsidRPr="000412DD">
        <w:rPr>
          <w:bCs/>
        </w:rPr>
        <w:t xml:space="preserve">Subrule 2.3.1(1) provides that a </w:t>
      </w:r>
      <w:r w:rsidR="00884C31">
        <w:rPr>
          <w:bCs/>
        </w:rPr>
        <w:t>r</w:t>
      </w:r>
      <w:r w:rsidRPr="000412DD">
        <w:rPr>
          <w:bCs/>
        </w:rPr>
        <w:t xml:space="preserve">eporting </w:t>
      </w:r>
      <w:r w:rsidR="00884C31">
        <w:rPr>
          <w:bCs/>
        </w:rPr>
        <w:t>e</w:t>
      </w:r>
      <w:r w:rsidRPr="000412DD">
        <w:rPr>
          <w:bCs/>
        </w:rPr>
        <w:t xml:space="preserve">ntity must keep records that enable the </w:t>
      </w:r>
      <w:r w:rsidR="005C146B">
        <w:rPr>
          <w:bCs/>
        </w:rPr>
        <w:t>r</w:t>
      </w:r>
      <w:r w:rsidRPr="000412DD">
        <w:rPr>
          <w:bCs/>
        </w:rPr>
        <w:t xml:space="preserve">eporting </w:t>
      </w:r>
      <w:r w:rsidR="005C146B">
        <w:rPr>
          <w:bCs/>
        </w:rPr>
        <w:t>e</w:t>
      </w:r>
      <w:r w:rsidRPr="000412DD">
        <w:rPr>
          <w:bCs/>
        </w:rPr>
        <w:t xml:space="preserve">ntity to demonstrate it has complied with the requirements of the </w:t>
      </w:r>
      <w:r w:rsidR="005C146B">
        <w:rPr>
          <w:bCs/>
        </w:rPr>
        <w:t xml:space="preserve">2022 </w:t>
      </w:r>
      <w:r w:rsidRPr="000412DD">
        <w:rPr>
          <w:bCs/>
        </w:rPr>
        <w:t xml:space="preserve">Rules. A </w:t>
      </w:r>
      <w:r w:rsidR="005C146B">
        <w:rPr>
          <w:bCs/>
        </w:rPr>
        <w:t>r</w:t>
      </w:r>
      <w:r w:rsidRPr="000412DD">
        <w:rPr>
          <w:bCs/>
        </w:rPr>
        <w:t xml:space="preserve">eporting </w:t>
      </w:r>
      <w:r w:rsidR="005C146B">
        <w:rPr>
          <w:bCs/>
        </w:rPr>
        <w:t>e</w:t>
      </w:r>
      <w:r w:rsidRPr="000412DD">
        <w:rPr>
          <w:bCs/>
        </w:rPr>
        <w:t>ntity must keep the records referred to in subrule 2.3.1(1) for a period of at least five years from the date the record is made or amended (see subrule 2.3.1(2)).</w:t>
      </w:r>
    </w:p>
    <w:p w14:paraId="43B1BB75" w14:textId="79FECF3D" w:rsidR="0026773C" w:rsidRPr="000412DD" w:rsidRDefault="0026773C" w:rsidP="00091619">
      <w:pPr>
        <w:pStyle w:val="LI-BodyTextParaa"/>
        <w:numPr>
          <w:ilvl w:val="0"/>
          <w:numId w:val="2"/>
        </w:numPr>
        <w:rPr>
          <w:bCs/>
        </w:rPr>
      </w:pPr>
      <w:r w:rsidRPr="000412DD">
        <w:rPr>
          <w:bCs/>
        </w:rPr>
        <w:t xml:space="preserve">Subrule 2.3.1(3) provides that, without limiting subrule 2.3.1(1) and subject to subrule 2.3.1(4), a </w:t>
      </w:r>
      <w:r w:rsidR="005C146B">
        <w:rPr>
          <w:bCs/>
        </w:rPr>
        <w:t>r</w:t>
      </w:r>
      <w:r w:rsidRPr="000412DD">
        <w:rPr>
          <w:bCs/>
        </w:rPr>
        <w:t xml:space="preserve">eporting </w:t>
      </w:r>
      <w:r w:rsidR="005C146B">
        <w:rPr>
          <w:bCs/>
        </w:rPr>
        <w:t>e</w:t>
      </w:r>
      <w:r w:rsidRPr="000412DD">
        <w:rPr>
          <w:bCs/>
        </w:rPr>
        <w:t>ntity must keep a record of all information that it is required to report under subrules 2.2.1(1) and 2.2.2(2).</w:t>
      </w:r>
    </w:p>
    <w:p w14:paraId="5745316E" w14:textId="3FBACE1C" w:rsidR="0026773C" w:rsidRPr="000412DD" w:rsidRDefault="0026773C" w:rsidP="00091619">
      <w:pPr>
        <w:pStyle w:val="LI-BodyTextParaa"/>
        <w:numPr>
          <w:ilvl w:val="0"/>
          <w:numId w:val="2"/>
        </w:numPr>
        <w:rPr>
          <w:bCs/>
        </w:rPr>
      </w:pPr>
      <w:r w:rsidRPr="000412DD">
        <w:rPr>
          <w:bCs/>
        </w:rPr>
        <w:t xml:space="preserve">Under subrule 2.3.1(4) a </w:t>
      </w:r>
      <w:r w:rsidR="004449A9">
        <w:rPr>
          <w:bCs/>
        </w:rPr>
        <w:t>r</w:t>
      </w:r>
      <w:r w:rsidRPr="000412DD">
        <w:rPr>
          <w:bCs/>
        </w:rPr>
        <w:t xml:space="preserve">eporting </w:t>
      </w:r>
      <w:r w:rsidR="004449A9">
        <w:rPr>
          <w:bCs/>
        </w:rPr>
        <w:t>e</w:t>
      </w:r>
      <w:r w:rsidRPr="000412DD">
        <w:rPr>
          <w:bCs/>
        </w:rPr>
        <w:t xml:space="preserve">ntity is not required to keep the records referred to in subrule 2.3.1(3) where the </w:t>
      </w:r>
      <w:r w:rsidR="004449A9">
        <w:rPr>
          <w:bCs/>
        </w:rPr>
        <w:t>r</w:t>
      </w:r>
      <w:r w:rsidRPr="000412DD">
        <w:rPr>
          <w:bCs/>
        </w:rPr>
        <w:t xml:space="preserve">eporting </w:t>
      </w:r>
      <w:r w:rsidR="004449A9">
        <w:rPr>
          <w:bCs/>
        </w:rPr>
        <w:t>e</w:t>
      </w:r>
      <w:r w:rsidRPr="000412DD">
        <w:rPr>
          <w:bCs/>
        </w:rPr>
        <w:t xml:space="preserve">ntity has arrangements in place to access to those records in a </w:t>
      </w:r>
      <w:r w:rsidR="004449A9">
        <w:rPr>
          <w:bCs/>
        </w:rPr>
        <w:t>l</w:t>
      </w:r>
      <w:r w:rsidRPr="000412DD">
        <w:rPr>
          <w:bCs/>
        </w:rPr>
        <w:t xml:space="preserve">icensed </w:t>
      </w:r>
      <w:r w:rsidR="004449A9">
        <w:rPr>
          <w:bCs/>
        </w:rPr>
        <w:t>r</w:t>
      </w:r>
      <w:r w:rsidRPr="000412DD">
        <w:rPr>
          <w:bCs/>
        </w:rPr>
        <w:t xml:space="preserve">epository or </w:t>
      </w:r>
      <w:r w:rsidR="004449A9">
        <w:rPr>
          <w:bCs/>
        </w:rPr>
        <w:t>p</w:t>
      </w:r>
      <w:r w:rsidRPr="000412DD">
        <w:rPr>
          <w:bCs/>
        </w:rPr>
        <w:t xml:space="preserve">rescribed </w:t>
      </w:r>
      <w:r w:rsidR="004449A9">
        <w:rPr>
          <w:bCs/>
        </w:rPr>
        <w:t>r</w:t>
      </w:r>
      <w:r w:rsidRPr="000412DD">
        <w:rPr>
          <w:bCs/>
        </w:rPr>
        <w:t>epository, either directly or through another person, for the period set out in subrule 2.3.1(2).</w:t>
      </w:r>
    </w:p>
    <w:p w14:paraId="105C95CB" w14:textId="2018841F" w:rsidR="0026773C" w:rsidRPr="000412DD" w:rsidRDefault="0026773C" w:rsidP="00091619">
      <w:pPr>
        <w:pStyle w:val="LI-BodyTextParaa"/>
        <w:numPr>
          <w:ilvl w:val="0"/>
          <w:numId w:val="2"/>
        </w:numPr>
        <w:rPr>
          <w:bCs/>
        </w:rPr>
      </w:pPr>
      <w:r w:rsidRPr="000412DD">
        <w:rPr>
          <w:bCs/>
        </w:rPr>
        <w:t xml:space="preserve">Subrule 2.3.2(1) provides that a </w:t>
      </w:r>
      <w:r w:rsidR="00835A20">
        <w:rPr>
          <w:bCs/>
        </w:rPr>
        <w:t>r</w:t>
      </w:r>
      <w:r w:rsidRPr="000412DD">
        <w:rPr>
          <w:bCs/>
        </w:rPr>
        <w:t xml:space="preserve">eporting </w:t>
      </w:r>
      <w:r w:rsidR="00835A20">
        <w:rPr>
          <w:bCs/>
        </w:rPr>
        <w:t>e</w:t>
      </w:r>
      <w:r w:rsidRPr="000412DD">
        <w:rPr>
          <w:bCs/>
        </w:rPr>
        <w:t xml:space="preserve">ntity must, on request by ASIC, provide ASIC with records or other information relating to compliance with or determining whether there has been compliance with these </w:t>
      </w:r>
      <w:r w:rsidR="004E4A60">
        <w:rPr>
          <w:bCs/>
        </w:rPr>
        <w:t xml:space="preserve">2022 </w:t>
      </w:r>
      <w:r w:rsidRPr="000412DD">
        <w:rPr>
          <w:bCs/>
        </w:rPr>
        <w:t>Rules.</w:t>
      </w:r>
    </w:p>
    <w:p w14:paraId="406A2117" w14:textId="512A876E" w:rsidR="0026773C" w:rsidRPr="000412DD" w:rsidRDefault="0026773C" w:rsidP="00091619">
      <w:pPr>
        <w:pStyle w:val="LI-BodyTextParaa"/>
        <w:numPr>
          <w:ilvl w:val="0"/>
          <w:numId w:val="2"/>
        </w:numPr>
        <w:rPr>
          <w:bCs/>
        </w:rPr>
      </w:pPr>
      <w:r w:rsidRPr="000412DD">
        <w:rPr>
          <w:bCs/>
        </w:rPr>
        <w:t xml:space="preserve">Subrule 2.3.2(2) provides that a request by ASIC under subrule 2.3.2(1) must be in writing and give the </w:t>
      </w:r>
      <w:r w:rsidR="004E4A60">
        <w:rPr>
          <w:bCs/>
        </w:rPr>
        <w:t>r</w:t>
      </w:r>
      <w:r w:rsidRPr="000412DD">
        <w:rPr>
          <w:bCs/>
        </w:rPr>
        <w:t xml:space="preserve">eporting </w:t>
      </w:r>
      <w:r w:rsidR="004E4A60">
        <w:rPr>
          <w:bCs/>
        </w:rPr>
        <w:t>e</w:t>
      </w:r>
      <w:r w:rsidRPr="000412DD">
        <w:rPr>
          <w:bCs/>
        </w:rPr>
        <w:t>ntity a reasonable time to comply.</w:t>
      </w:r>
    </w:p>
    <w:p w14:paraId="69D31F7F" w14:textId="26E83C83" w:rsidR="0026773C" w:rsidRPr="000412DD" w:rsidRDefault="0026773C" w:rsidP="00091619">
      <w:pPr>
        <w:pStyle w:val="LI-BodyTextParaa"/>
        <w:numPr>
          <w:ilvl w:val="0"/>
          <w:numId w:val="2"/>
        </w:numPr>
        <w:rPr>
          <w:bCs/>
        </w:rPr>
      </w:pPr>
      <w:r w:rsidRPr="000412DD">
        <w:rPr>
          <w:bCs/>
        </w:rPr>
        <w:lastRenderedPageBreak/>
        <w:t xml:space="preserve">Subrule 2.3.2(3) provides that the </w:t>
      </w:r>
      <w:r w:rsidR="004E4A60">
        <w:rPr>
          <w:bCs/>
        </w:rPr>
        <w:t>r</w:t>
      </w:r>
      <w:r w:rsidRPr="000412DD">
        <w:rPr>
          <w:bCs/>
        </w:rPr>
        <w:t xml:space="preserve">eporting </w:t>
      </w:r>
      <w:r w:rsidR="004E4A60">
        <w:rPr>
          <w:bCs/>
        </w:rPr>
        <w:t>e</w:t>
      </w:r>
      <w:r w:rsidRPr="000412DD">
        <w:rPr>
          <w:bCs/>
        </w:rPr>
        <w:t>ntity must comply with a request under subrule 2.3.2(1) within the time specified in the request or if no time is specified, within a reasonable time.</w:t>
      </w:r>
    </w:p>
    <w:p w14:paraId="48576B08" w14:textId="77777777" w:rsidR="0026773C" w:rsidRPr="0026773C" w:rsidRDefault="0026773C" w:rsidP="0026773C">
      <w:pPr>
        <w:pStyle w:val="LI-BodyTextNumbered"/>
        <w:ind w:hanging="1134"/>
        <w:rPr>
          <w:u w:val="single"/>
        </w:rPr>
      </w:pPr>
      <w:r w:rsidRPr="0026773C">
        <w:rPr>
          <w:u w:val="single"/>
        </w:rPr>
        <w:t>Part 2.4 Transitional matters</w:t>
      </w:r>
    </w:p>
    <w:p w14:paraId="33798FDC" w14:textId="6B13D3A4" w:rsidR="0026773C" w:rsidRPr="004333DE" w:rsidRDefault="0026773C" w:rsidP="00091619">
      <w:pPr>
        <w:pStyle w:val="LI-BodyTextParaa"/>
        <w:numPr>
          <w:ilvl w:val="0"/>
          <w:numId w:val="2"/>
        </w:numPr>
        <w:rPr>
          <w:bCs/>
        </w:rPr>
      </w:pPr>
      <w:r w:rsidRPr="004333DE">
        <w:rPr>
          <w:bCs/>
        </w:rPr>
        <w:t xml:space="preserve">Part 2.4 of the </w:t>
      </w:r>
      <w:r w:rsidR="004E4A60">
        <w:rPr>
          <w:bCs/>
        </w:rPr>
        <w:t xml:space="preserve">2022 </w:t>
      </w:r>
      <w:r w:rsidRPr="004333DE">
        <w:rPr>
          <w:bCs/>
        </w:rPr>
        <w:t>Rules:</w:t>
      </w:r>
    </w:p>
    <w:p w14:paraId="5990A79D" w14:textId="36662A5C" w:rsidR="0026773C" w:rsidRPr="004333DE" w:rsidRDefault="0026773C" w:rsidP="00091619">
      <w:pPr>
        <w:pStyle w:val="LI-BodyTextParaa"/>
        <w:numPr>
          <w:ilvl w:val="1"/>
          <w:numId w:val="2"/>
        </w:numPr>
        <w:rPr>
          <w:bCs/>
        </w:rPr>
      </w:pPr>
      <w:r w:rsidRPr="004333DE">
        <w:rPr>
          <w:bCs/>
        </w:rPr>
        <w:t>deals with matters incidental or related to the reporting requirements set out in Part 2.2</w:t>
      </w:r>
      <w:r w:rsidR="00FD5050">
        <w:rPr>
          <w:bCs/>
        </w:rPr>
        <w:t>,</w:t>
      </w:r>
      <w:r w:rsidRPr="004333DE">
        <w:rPr>
          <w:bCs/>
        </w:rPr>
        <w:t xml:space="preserve"> as permitted by </w:t>
      </w:r>
      <w:r w:rsidR="00FD5050">
        <w:rPr>
          <w:bCs/>
        </w:rPr>
        <w:t>paragraph</w:t>
      </w:r>
      <w:r w:rsidR="00FD5050" w:rsidRPr="004333DE">
        <w:rPr>
          <w:bCs/>
        </w:rPr>
        <w:t xml:space="preserve"> </w:t>
      </w:r>
      <w:r w:rsidRPr="004333DE">
        <w:rPr>
          <w:bCs/>
        </w:rPr>
        <w:t>901A(2)</w:t>
      </w:r>
      <w:r w:rsidR="00FD5050">
        <w:rPr>
          <w:bCs/>
        </w:rPr>
        <w:t>(d)</w:t>
      </w:r>
      <w:r w:rsidRPr="004333DE">
        <w:rPr>
          <w:bCs/>
        </w:rPr>
        <w:t xml:space="preserve"> of the </w:t>
      </w:r>
      <w:r w:rsidR="00FD5050">
        <w:rPr>
          <w:bCs/>
        </w:rPr>
        <w:t xml:space="preserve">Corporations </w:t>
      </w:r>
      <w:r w:rsidRPr="004333DE">
        <w:rPr>
          <w:bCs/>
        </w:rPr>
        <w:t>Act; and</w:t>
      </w:r>
    </w:p>
    <w:p w14:paraId="1D7B10D2" w14:textId="7392C77A" w:rsidR="0026773C" w:rsidRDefault="0026773C" w:rsidP="00091619">
      <w:pPr>
        <w:pStyle w:val="LI-BodyTextParaa"/>
        <w:numPr>
          <w:ilvl w:val="1"/>
          <w:numId w:val="2"/>
        </w:numPr>
        <w:rPr>
          <w:bCs/>
        </w:rPr>
      </w:pPr>
      <w:r w:rsidRPr="004333DE">
        <w:rPr>
          <w:bCs/>
        </w:rPr>
        <w:t xml:space="preserve">deals with the circumstances in which persons are relieved from complying with the reporting requirements in the </w:t>
      </w:r>
      <w:r w:rsidR="00FD5050">
        <w:rPr>
          <w:bCs/>
        </w:rPr>
        <w:t xml:space="preserve">2022 </w:t>
      </w:r>
      <w:r w:rsidRPr="004333DE">
        <w:rPr>
          <w:bCs/>
        </w:rPr>
        <w:t>Rules that would otherwise apply to them</w:t>
      </w:r>
      <w:r w:rsidR="00FD5050">
        <w:rPr>
          <w:bCs/>
        </w:rPr>
        <w:t>,</w:t>
      </w:r>
      <w:r w:rsidRPr="004333DE">
        <w:rPr>
          <w:bCs/>
        </w:rPr>
        <w:t xml:space="preserve"> as permitted by paragraph 901A(3)(g)) of the </w:t>
      </w:r>
      <w:r w:rsidR="007834BD">
        <w:rPr>
          <w:bCs/>
        </w:rPr>
        <w:t xml:space="preserve">Corporations </w:t>
      </w:r>
      <w:r w:rsidRPr="004333DE">
        <w:rPr>
          <w:bCs/>
        </w:rPr>
        <w:t>Act.</w:t>
      </w:r>
    </w:p>
    <w:p w14:paraId="3F083E3C" w14:textId="1ED10C47" w:rsidR="00A459B0" w:rsidRPr="000C154B" w:rsidRDefault="00A459B0" w:rsidP="00091619">
      <w:pPr>
        <w:pStyle w:val="LI-BodyTextParaa"/>
        <w:numPr>
          <w:ilvl w:val="0"/>
          <w:numId w:val="2"/>
        </w:numPr>
        <w:rPr>
          <w:bCs/>
        </w:rPr>
      </w:pPr>
      <w:r>
        <w:rPr>
          <w:bCs/>
        </w:rPr>
        <w:t xml:space="preserve">For the 2022 Rules, all of the </w:t>
      </w:r>
      <w:r w:rsidR="00B5737D">
        <w:rPr>
          <w:bCs/>
        </w:rPr>
        <w:t xml:space="preserve">dates </w:t>
      </w:r>
      <w:r w:rsidR="00ED466E">
        <w:rPr>
          <w:bCs/>
        </w:rPr>
        <w:t xml:space="preserve">referred to in Part 2.4 </w:t>
      </w:r>
      <w:r>
        <w:rPr>
          <w:bCs/>
        </w:rPr>
        <w:t xml:space="preserve">have already </w:t>
      </w:r>
      <w:r w:rsidR="00AA3F06">
        <w:rPr>
          <w:bCs/>
        </w:rPr>
        <w:t>passed</w:t>
      </w:r>
      <w:r w:rsidR="00155F84">
        <w:rPr>
          <w:bCs/>
        </w:rPr>
        <w:t>.</w:t>
      </w:r>
      <w:r>
        <w:rPr>
          <w:bCs/>
        </w:rPr>
        <w:t xml:space="preserve"> </w:t>
      </w:r>
      <w:r w:rsidR="00155F84">
        <w:rPr>
          <w:bCs/>
        </w:rPr>
        <w:t>T</w:t>
      </w:r>
      <w:r>
        <w:rPr>
          <w:bCs/>
        </w:rPr>
        <w:t xml:space="preserve">here are no </w:t>
      </w:r>
      <w:r w:rsidR="00D42B6A">
        <w:rPr>
          <w:bCs/>
        </w:rPr>
        <w:t xml:space="preserve">further transitional provisions in effect under </w:t>
      </w:r>
      <w:r>
        <w:rPr>
          <w:bCs/>
        </w:rPr>
        <w:t>the 2022 Rules.</w:t>
      </w:r>
    </w:p>
    <w:p w14:paraId="2C4B5A23" w14:textId="6EE6B1EF" w:rsidR="0026773C" w:rsidRPr="00A2216E" w:rsidRDefault="0026773C" w:rsidP="0026773C">
      <w:pPr>
        <w:pStyle w:val="LI-BodyTextNumbered"/>
        <w:ind w:hanging="1134"/>
        <w:rPr>
          <w:u w:val="single"/>
        </w:rPr>
      </w:pPr>
      <w:r w:rsidRPr="00A2216E">
        <w:rPr>
          <w:u w:val="single"/>
        </w:rPr>
        <w:t>S</w:t>
      </w:r>
      <w:r w:rsidR="000A0B55" w:rsidRPr="00A2216E">
        <w:rPr>
          <w:u w:val="single"/>
        </w:rPr>
        <w:t>chedule 1</w:t>
      </w:r>
      <w:r w:rsidRPr="00A2216E">
        <w:rPr>
          <w:u w:val="single"/>
        </w:rPr>
        <w:t>: R</w:t>
      </w:r>
      <w:r w:rsidR="000A0B55" w:rsidRPr="00A2216E">
        <w:rPr>
          <w:u w:val="single"/>
        </w:rPr>
        <w:t xml:space="preserve">eporting </w:t>
      </w:r>
      <w:r w:rsidR="00C20916">
        <w:rPr>
          <w:u w:val="single"/>
        </w:rPr>
        <w:t>r</w:t>
      </w:r>
      <w:r w:rsidR="00C20916" w:rsidRPr="00A2216E">
        <w:rPr>
          <w:u w:val="single"/>
        </w:rPr>
        <w:t>equirements</w:t>
      </w:r>
      <w:r w:rsidRPr="00A2216E">
        <w:rPr>
          <w:u w:val="single"/>
        </w:rPr>
        <w:t>—</w:t>
      </w:r>
      <w:r w:rsidR="00C20916">
        <w:rPr>
          <w:u w:val="single"/>
        </w:rPr>
        <w:t>p</w:t>
      </w:r>
      <w:r w:rsidR="00C20916" w:rsidRPr="00A2216E">
        <w:rPr>
          <w:u w:val="single"/>
        </w:rPr>
        <w:t>hasing</w:t>
      </w:r>
    </w:p>
    <w:p w14:paraId="304CE2C9" w14:textId="07535BEA" w:rsidR="00C1220A" w:rsidRDefault="0026773C" w:rsidP="00091619">
      <w:pPr>
        <w:pStyle w:val="LI-BodyTextParaa"/>
        <w:numPr>
          <w:ilvl w:val="0"/>
          <w:numId w:val="2"/>
        </w:numPr>
        <w:rPr>
          <w:bCs/>
        </w:rPr>
      </w:pPr>
      <w:r w:rsidRPr="00A2216E">
        <w:rPr>
          <w:bCs/>
        </w:rPr>
        <w:t xml:space="preserve">Schedule 1 provides for the phased implementation of the </w:t>
      </w:r>
      <w:r w:rsidR="00C20916">
        <w:rPr>
          <w:bCs/>
        </w:rPr>
        <w:t>t</w:t>
      </w:r>
      <w:r w:rsidR="00C20916" w:rsidRPr="00A2216E">
        <w:rPr>
          <w:bCs/>
        </w:rPr>
        <w:t xml:space="preserve">ransaction </w:t>
      </w:r>
      <w:r w:rsidR="00C20916">
        <w:rPr>
          <w:bCs/>
        </w:rPr>
        <w:t>r</w:t>
      </w:r>
      <w:r w:rsidR="00C20916" w:rsidRPr="00A2216E">
        <w:rPr>
          <w:bCs/>
        </w:rPr>
        <w:t xml:space="preserve">eporting </w:t>
      </w:r>
      <w:r w:rsidR="00C20916">
        <w:rPr>
          <w:bCs/>
        </w:rPr>
        <w:t>r</w:t>
      </w:r>
      <w:r w:rsidR="00C20916" w:rsidRPr="00A2216E">
        <w:rPr>
          <w:bCs/>
        </w:rPr>
        <w:t xml:space="preserve">equirements </w:t>
      </w:r>
      <w:r w:rsidRPr="00A2216E">
        <w:rPr>
          <w:bCs/>
        </w:rPr>
        <w:t xml:space="preserve">established under paragraph 2.2.1(1)(a) and the </w:t>
      </w:r>
      <w:r w:rsidR="00C20916">
        <w:rPr>
          <w:bCs/>
        </w:rPr>
        <w:t>p</w:t>
      </w:r>
      <w:r w:rsidR="00C20916" w:rsidRPr="00A2216E">
        <w:rPr>
          <w:bCs/>
        </w:rPr>
        <w:t xml:space="preserve">osition </w:t>
      </w:r>
      <w:r w:rsidR="00C20916">
        <w:rPr>
          <w:bCs/>
        </w:rPr>
        <w:t>r</w:t>
      </w:r>
      <w:r w:rsidR="00C20916" w:rsidRPr="00A2216E">
        <w:rPr>
          <w:bCs/>
        </w:rPr>
        <w:t xml:space="preserve">eporting </w:t>
      </w:r>
      <w:r w:rsidR="00C20916">
        <w:rPr>
          <w:bCs/>
        </w:rPr>
        <w:t>r</w:t>
      </w:r>
      <w:r w:rsidR="00C20916" w:rsidRPr="00A2216E">
        <w:rPr>
          <w:bCs/>
        </w:rPr>
        <w:t xml:space="preserve">equirements </w:t>
      </w:r>
      <w:r w:rsidRPr="00A2216E">
        <w:rPr>
          <w:bCs/>
        </w:rPr>
        <w:t>established under paragraph 2.2.1(1)(b).</w:t>
      </w:r>
    </w:p>
    <w:p w14:paraId="125E829F" w14:textId="18EB7F82" w:rsidR="00A7612B" w:rsidRPr="00D556BB" w:rsidRDefault="00202540" w:rsidP="00091619">
      <w:pPr>
        <w:pStyle w:val="LI-BodyTextParaa"/>
        <w:numPr>
          <w:ilvl w:val="0"/>
          <w:numId w:val="2"/>
        </w:numPr>
        <w:rPr>
          <w:bCs/>
        </w:rPr>
      </w:pPr>
      <w:r w:rsidRPr="00D556BB">
        <w:rPr>
          <w:bCs/>
        </w:rPr>
        <w:t xml:space="preserve">Part S1.1 in Schedule 1 provides for the phased implementation of the </w:t>
      </w:r>
      <w:r w:rsidR="00FD1DD0">
        <w:rPr>
          <w:bCs/>
        </w:rPr>
        <w:t>t</w:t>
      </w:r>
      <w:r w:rsidR="00FD1DD0" w:rsidRPr="00D556BB">
        <w:rPr>
          <w:bCs/>
        </w:rPr>
        <w:t xml:space="preserve">ransaction </w:t>
      </w:r>
      <w:r w:rsidR="00FD1DD0">
        <w:rPr>
          <w:bCs/>
        </w:rPr>
        <w:t>r</w:t>
      </w:r>
      <w:r w:rsidR="00FD1DD0" w:rsidRPr="00D556BB">
        <w:rPr>
          <w:bCs/>
        </w:rPr>
        <w:t xml:space="preserve">eporting </w:t>
      </w:r>
      <w:r w:rsidR="00FD1DD0">
        <w:rPr>
          <w:bCs/>
        </w:rPr>
        <w:t>r</w:t>
      </w:r>
      <w:r w:rsidR="00FD1DD0" w:rsidRPr="00D556BB">
        <w:rPr>
          <w:bCs/>
        </w:rPr>
        <w:t>equirements</w:t>
      </w:r>
      <w:r w:rsidR="00FD1DD0">
        <w:rPr>
          <w:bCs/>
        </w:rPr>
        <w:t xml:space="preserve"> </w:t>
      </w:r>
      <w:r w:rsidR="00A7612B">
        <w:rPr>
          <w:bCs/>
        </w:rPr>
        <w:t xml:space="preserve">and </w:t>
      </w:r>
      <w:r w:rsidR="00A7612B" w:rsidRPr="00D556BB">
        <w:rPr>
          <w:bCs/>
        </w:rPr>
        <w:t xml:space="preserve">Part S1.2 in Schedule 1 provides for the phased implementation of the </w:t>
      </w:r>
      <w:r w:rsidR="00FD1DD0">
        <w:rPr>
          <w:bCs/>
        </w:rPr>
        <w:t>p</w:t>
      </w:r>
      <w:r w:rsidR="00A7612B" w:rsidRPr="00D556BB">
        <w:rPr>
          <w:bCs/>
        </w:rPr>
        <w:t xml:space="preserve">osition </w:t>
      </w:r>
      <w:r w:rsidR="00FD1DD0">
        <w:rPr>
          <w:bCs/>
        </w:rPr>
        <w:t>r</w:t>
      </w:r>
      <w:r w:rsidR="00A7612B" w:rsidRPr="00D556BB">
        <w:rPr>
          <w:bCs/>
        </w:rPr>
        <w:t xml:space="preserve">eporting </w:t>
      </w:r>
      <w:r w:rsidR="00FD1DD0">
        <w:rPr>
          <w:bCs/>
        </w:rPr>
        <w:t>r</w:t>
      </w:r>
      <w:r w:rsidR="00A7612B" w:rsidRPr="00D556BB">
        <w:rPr>
          <w:bCs/>
        </w:rPr>
        <w:t>equirements.</w:t>
      </w:r>
    </w:p>
    <w:p w14:paraId="1345880A" w14:textId="7549E9DF" w:rsidR="00202540" w:rsidRPr="0068755E" w:rsidRDefault="00D6046D" w:rsidP="00091619">
      <w:pPr>
        <w:pStyle w:val="LI-BodyTextParaa"/>
        <w:numPr>
          <w:ilvl w:val="0"/>
          <w:numId w:val="2"/>
        </w:numPr>
        <w:rPr>
          <w:bCs/>
        </w:rPr>
      </w:pPr>
      <w:r>
        <w:rPr>
          <w:bCs/>
        </w:rPr>
        <w:t>For the 2022 Rules, all of the phased reporting requirements have already applied under the 2013 Rules and there are no additional phased reporting requirements yet to be satisfied under the 2022 Rules.</w:t>
      </w:r>
    </w:p>
    <w:p w14:paraId="05BC0590" w14:textId="0CB149D8" w:rsidR="00ED0A5B" w:rsidRPr="00ED0A5B" w:rsidRDefault="00ED0A5B" w:rsidP="00ED0A5B">
      <w:pPr>
        <w:pStyle w:val="LI-BodyTextNumbered"/>
        <w:ind w:hanging="1134"/>
        <w:rPr>
          <w:u w:val="single"/>
        </w:rPr>
      </w:pPr>
      <w:bookmarkStart w:id="17" w:name="_Toc358210459"/>
      <w:r w:rsidRPr="00ED0A5B">
        <w:rPr>
          <w:u w:val="single"/>
        </w:rPr>
        <w:t>S</w:t>
      </w:r>
      <w:r>
        <w:rPr>
          <w:u w:val="single"/>
        </w:rPr>
        <w:t>chedule 2</w:t>
      </w:r>
      <w:r w:rsidRPr="00ED0A5B">
        <w:rPr>
          <w:u w:val="single"/>
        </w:rPr>
        <w:t>: I</w:t>
      </w:r>
      <w:r w:rsidR="002E4BBC">
        <w:rPr>
          <w:u w:val="single"/>
        </w:rPr>
        <w:t xml:space="preserve">nformation </w:t>
      </w:r>
      <w:bookmarkEnd w:id="17"/>
      <w:r w:rsidR="00E95249">
        <w:rPr>
          <w:u w:val="single"/>
        </w:rPr>
        <w:t>requirements</w:t>
      </w:r>
    </w:p>
    <w:p w14:paraId="192E1079" w14:textId="605965E8" w:rsidR="00ED0A5B" w:rsidRPr="002E4BBC" w:rsidRDefault="00ED0A5B" w:rsidP="00091619">
      <w:pPr>
        <w:pStyle w:val="LI-BodyTextParaa"/>
        <w:numPr>
          <w:ilvl w:val="0"/>
          <w:numId w:val="2"/>
        </w:numPr>
        <w:rPr>
          <w:bCs/>
        </w:rPr>
      </w:pPr>
      <w:r w:rsidRPr="002E4BBC">
        <w:rPr>
          <w:bCs/>
        </w:rPr>
        <w:t xml:space="preserve">Schedule 2 provides for the information to be reported in accordance with the </w:t>
      </w:r>
      <w:r w:rsidR="006E47F9">
        <w:rPr>
          <w:bCs/>
        </w:rPr>
        <w:t>t</w:t>
      </w:r>
      <w:r w:rsidR="006E47F9" w:rsidRPr="002E4BBC">
        <w:rPr>
          <w:bCs/>
        </w:rPr>
        <w:t xml:space="preserve">ransaction </w:t>
      </w:r>
      <w:r w:rsidR="006E47F9">
        <w:rPr>
          <w:bCs/>
        </w:rPr>
        <w:t>r</w:t>
      </w:r>
      <w:r w:rsidR="006E47F9" w:rsidRPr="002E4BBC">
        <w:rPr>
          <w:bCs/>
        </w:rPr>
        <w:t xml:space="preserve">eporting </w:t>
      </w:r>
      <w:r w:rsidR="006E47F9">
        <w:rPr>
          <w:bCs/>
        </w:rPr>
        <w:t>r</w:t>
      </w:r>
      <w:r w:rsidR="006E47F9" w:rsidRPr="002E4BBC">
        <w:rPr>
          <w:bCs/>
        </w:rPr>
        <w:t xml:space="preserve">equirements </w:t>
      </w:r>
      <w:r w:rsidRPr="002E4BBC">
        <w:rPr>
          <w:bCs/>
        </w:rPr>
        <w:t xml:space="preserve">established under paragraph 2.2.1(1)(a) and the </w:t>
      </w:r>
      <w:r w:rsidR="006E47F9">
        <w:rPr>
          <w:bCs/>
        </w:rPr>
        <w:t>p</w:t>
      </w:r>
      <w:r w:rsidR="006E47F9" w:rsidRPr="002E4BBC">
        <w:rPr>
          <w:bCs/>
        </w:rPr>
        <w:t xml:space="preserve">osition </w:t>
      </w:r>
      <w:r w:rsidR="006E47F9">
        <w:rPr>
          <w:bCs/>
        </w:rPr>
        <w:t>r</w:t>
      </w:r>
      <w:r w:rsidR="006E47F9" w:rsidRPr="002E4BBC">
        <w:rPr>
          <w:bCs/>
        </w:rPr>
        <w:t xml:space="preserve">eporting </w:t>
      </w:r>
      <w:r w:rsidR="006E47F9">
        <w:rPr>
          <w:bCs/>
        </w:rPr>
        <w:t>r</w:t>
      </w:r>
      <w:r w:rsidR="006E47F9" w:rsidRPr="002E4BBC">
        <w:rPr>
          <w:bCs/>
        </w:rPr>
        <w:t xml:space="preserve">equirements </w:t>
      </w:r>
      <w:r w:rsidRPr="002E4BBC">
        <w:rPr>
          <w:bCs/>
        </w:rPr>
        <w:t>established under paragraph 2.2.1(1)(b).</w:t>
      </w:r>
    </w:p>
    <w:p w14:paraId="173ABD6A" w14:textId="77777777" w:rsidR="00ED0A5B" w:rsidRPr="002E4BBC" w:rsidRDefault="00ED0A5B" w:rsidP="002E4BBC">
      <w:pPr>
        <w:pStyle w:val="LI-BodyTextNumbered"/>
        <w:ind w:hanging="1134"/>
        <w:rPr>
          <w:u w:val="single"/>
        </w:rPr>
      </w:pPr>
      <w:bookmarkStart w:id="18" w:name="_Toc358210460"/>
      <w:r w:rsidRPr="002E4BBC">
        <w:rPr>
          <w:u w:val="single"/>
        </w:rPr>
        <w:t>Part S2.1A Definitions</w:t>
      </w:r>
      <w:bookmarkEnd w:id="18"/>
    </w:p>
    <w:p w14:paraId="43813B9D" w14:textId="77777777" w:rsidR="00ED0A5B" w:rsidRPr="002E4BBC" w:rsidRDefault="00ED0A5B" w:rsidP="002E4BBC">
      <w:pPr>
        <w:pStyle w:val="LI-BodyTextNumbered"/>
        <w:ind w:hanging="1134"/>
        <w:rPr>
          <w:u w:val="single"/>
        </w:rPr>
      </w:pPr>
      <w:r w:rsidRPr="002E4BBC">
        <w:rPr>
          <w:u w:val="single"/>
        </w:rPr>
        <w:t>Rule S2.1A.1 Definitions</w:t>
      </w:r>
    </w:p>
    <w:p w14:paraId="4FD8C10A" w14:textId="77777777" w:rsidR="00ED0A5B" w:rsidRPr="002E4BBC" w:rsidRDefault="00ED0A5B" w:rsidP="00091619">
      <w:pPr>
        <w:pStyle w:val="LI-BodyTextParaa"/>
        <w:numPr>
          <w:ilvl w:val="0"/>
          <w:numId w:val="2"/>
        </w:numPr>
        <w:rPr>
          <w:bCs/>
        </w:rPr>
      </w:pPr>
      <w:r w:rsidRPr="002E4BBC">
        <w:rPr>
          <w:bCs/>
        </w:rPr>
        <w:t>Rule S2.1A.1 provides definitions for the following terms used in the Tables in Parts S2.1 and S2.2:</w:t>
      </w:r>
    </w:p>
    <w:p w14:paraId="7446FD64" w14:textId="0B0384BC" w:rsidR="001D04B6" w:rsidRDefault="00CA32BA" w:rsidP="00091619">
      <w:pPr>
        <w:pStyle w:val="LI-BodyTextParaa"/>
        <w:numPr>
          <w:ilvl w:val="1"/>
          <w:numId w:val="2"/>
        </w:numPr>
        <w:rPr>
          <w:bCs/>
        </w:rPr>
      </w:pPr>
      <w:r>
        <w:rPr>
          <w:bCs/>
        </w:rPr>
        <w:t>d</w:t>
      </w:r>
      <w:r w:rsidR="002F5D87">
        <w:rPr>
          <w:bCs/>
        </w:rPr>
        <w:t xml:space="preserve">esignated </w:t>
      </w:r>
      <w:r>
        <w:rPr>
          <w:bCs/>
        </w:rPr>
        <w:t>b</w:t>
      </w:r>
      <w:r w:rsidR="002F5D87">
        <w:rPr>
          <w:bCs/>
        </w:rPr>
        <w:t xml:space="preserve">usiness </w:t>
      </w:r>
      <w:proofErr w:type="gramStart"/>
      <w:r>
        <w:rPr>
          <w:bCs/>
        </w:rPr>
        <w:t>i</w:t>
      </w:r>
      <w:r w:rsidR="002F5D87">
        <w:rPr>
          <w:bCs/>
        </w:rPr>
        <w:t>dentifier;</w:t>
      </w:r>
      <w:proofErr w:type="gramEnd"/>
    </w:p>
    <w:p w14:paraId="49726FA7" w14:textId="11E0B89C" w:rsidR="00ED0A5B" w:rsidRPr="002E4BBC" w:rsidRDefault="00CA32BA" w:rsidP="00091619">
      <w:pPr>
        <w:pStyle w:val="LI-BodyTextParaa"/>
        <w:numPr>
          <w:ilvl w:val="1"/>
          <w:numId w:val="2"/>
        </w:numPr>
        <w:rPr>
          <w:bCs/>
        </w:rPr>
      </w:pPr>
      <w:r>
        <w:rPr>
          <w:bCs/>
        </w:rPr>
        <w:t>n</w:t>
      </w:r>
      <w:r w:rsidRPr="002E4BBC">
        <w:rPr>
          <w:bCs/>
        </w:rPr>
        <w:t>on</w:t>
      </w:r>
      <w:r w:rsidR="00ED0A5B" w:rsidRPr="002E4BBC">
        <w:rPr>
          <w:bCs/>
        </w:rPr>
        <w:t>-</w:t>
      </w:r>
      <w:r>
        <w:rPr>
          <w:bCs/>
        </w:rPr>
        <w:t>r</w:t>
      </w:r>
      <w:r w:rsidR="002F5D87" w:rsidRPr="002E4BBC">
        <w:rPr>
          <w:bCs/>
        </w:rPr>
        <w:t xml:space="preserve">eporting </w:t>
      </w:r>
      <w:r>
        <w:rPr>
          <w:bCs/>
        </w:rPr>
        <w:t>c</w:t>
      </w:r>
      <w:r w:rsidRPr="002E4BBC">
        <w:rPr>
          <w:bCs/>
        </w:rPr>
        <w:t>ounterparty</w:t>
      </w:r>
      <w:r w:rsidR="00ED0A5B" w:rsidRPr="002E4BBC">
        <w:rPr>
          <w:bCs/>
        </w:rPr>
        <w:t>.</w:t>
      </w:r>
    </w:p>
    <w:p w14:paraId="46323D66" w14:textId="0BB33C60" w:rsidR="00ED0A5B" w:rsidRPr="002E4BBC" w:rsidRDefault="00CA32BA" w:rsidP="00091619">
      <w:pPr>
        <w:pStyle w:val="LI-BodyTextParaa"/>
        <w:numPr>
          <w:ilvl w:val="1"/>
          <w:numId w:val="2"/>
        </w:numPr>
        <w:rPr>
          <w:bCs/>
        </w:rPr>
      </w:pPr>
      <w:r>
        <w:rPr>
          <w:bCs/>
        </w:rPr>
        <w:t>p</w:t>
      </w:r>
      <w:r w:rsidRPr="002E4BBC">
        <w:rPr>
          <w:bCs/>
        </w:rPr>
        <w:t xml:space="preserve">ortfolio </w:t>
      </w:r>
      <w:r>
        <w:rPr>
          <w:bCs/>
        </w:rPr>
        <w:t>b</w:t>
      </w:r>
      <w:r w:rsidRPr="002E4BBC">
        <w:rPr>
          <w:bCs/>
        </w:rPr>
        <w:t>asis</w:t>
      </w:r>
      <w:r w:rsidR="00ED0A5B" w:rsidRPr="002E4BBC">
        <w:rPr>
          <w:bCs/>
        </w:rPr>
        <w:t>; and</w:t>
      </w:r>
    </w:p>
    <w:p w14:paraId="106A42D5" w14:textId="429CCCF3" w:rsidR="00ED0A5B" w:rsidRPr="002E4BBC" w:rsidRDefault="00CA32BA" w:rsidP="00091619">
      <w:pPr>
        <w:pStyle w:val="LI-BodyTextParaa"/>
        <w:numPr>
          <w:ilvl w:val="1"/>
          <w:numId w:val="2"/>
        </w:numPr>
        <w:rPr>
          <w:bCs/>
        </w:rPr>
      </w:pPr>
      <w:r>
        <w:rPr>
          <w:bCs/>
        </w:rPr>
        <w:lastRenderedPageBreak/>
        <w:t>r</w:t>
      </w:r>
      <w:r w:rsidRPr="002E4BBC">
        <w:rPr>
          <w:bCs/>
        </w:rPr>
        <w:t xml:space="preserve">eporting </w:t>
      </w:r>
      <w:r>
        <w:rPr>
          <w:bCs/>
        </w:rPr>
        <w:t>c</w:t>
      </w:r>
      <w:r w:rsidRPr="002E4BBC">
        <w:rPr>
          <w:bCs/>
        </w:rPr>
        <w:t>ounterparty</w:t>
      </w:r>
      <w:r w:rsidR="00ED0A5B" w:rsidRPr="002E4BBC">
        <w:rPr>
          <w:bCs/>
        </w:rPr>
        <w:t>.</w:t>
      </w:r>
    </w:p>
    <w:p w14:paraId="57929183" w14:textId="680C1284" w:rsidR="00ED0A5B" w:rsidRPr="002E4BBC" w:rsidRDefault="00ED0A5B" w:rsidP="00630E25">
      <w:pPr>
        <w:pStyle w:val="LI-BodyTextNumbered"/>
        <w:ind w:left="0" w:firstLine="0"/>
        <w:rPr>
          <w:u w:val="single"/>
        </w:rPr>
      </w:pPr>
      <w:bookmarkStart w:id="19" w:name="_Toc358210461"/>
      <w:r w:rsidRPr="002E4BBC">
        <w:rPr>
          <w:u w:val="single"/>
        </w:rPr>
        <w:t xml:space="preserve">Part S2.1 Derivative </w:t>
      </w:r>
      <w:r w:rsidR="00177CB0">
        <w:rPr>
          <w:u w:val="single"/>
        </w:rPr>
        <w:t>t</w:t>
      </w:r>
      <w:r w:rsidR="00177CB0" w:rsidRPr="002E4BBC">
        <w:rPr>
          <w:u w:val="single"/>
        </w:rPr>
        <w:t xml:space="preserve">ransaction </w:t>
      </w:r>
      <w:bookmarkEnd w:id="19"/>
      <w:r w:rsidR="00177CB0">
        <w:rPr>
          <w:u w:val="single"/>
        </w:rPr>
        <w:t>i</w:t>
      </w:r>
      <w:r w:rsidR="00177CB0" w:rsidRPr="002E4BBC">
        <w:rPr>
          <w:u w:val="single"/>
        </w:rPr>
        <w:t xml:space="preserve">nformation </w:t>
      </w:r>
      <w:r w:rsidRPr="002E4BBC">
        <w:rPr>
          <w:u w:val="single"/>
        </w:rPr>
        <w:t xml:space="preserve">and Part S2.2 </w:t>
      </w:r>
      <w:r w:rsidR="00177CB0">
        <w:rPr>
          <w:u w:val="single"/>
        </w:rPr>
        <w:t>d</w:t>
      </w:r>
      <w:r w:rsidR="00177CB0" w:rsidRPr="002E4BBC">
        <w:rPr>
          <w:u w:val="single"/>
        </w:rPr>
        <w:t xml:space="preserve">erivative </w:t>
      </w:r>
      <w:r w:rsidR="00177CB0">
        <w:rPr>
          <w:u w:val="single"/>
        </w:rPr>
        <w:t>p</w:t>
      </w:r>
      <w:r w:rsidR="00177CB0" w:rsidRPr="002E4BBC">
        <w:rPr>
          <w:u w:val="single"/>
        </w:rPr>
        <w:t xml:space="preserve">osition </w:t>
      </w:r>
      <w:r w:rsidR="00177CB0">
        <w:rPr>
          <w:u w:val="single"/>
        </w:rPr>
        <w:t>i</w:t>
      </w:r>
      <w:r w:rsidR="00177CB0" w:rsidRPr="002E4BBC">
        <w:rPr>
          <w:u w:val="single"/>
        </w:rPr>
        <w:t>nformation</w:t>
      </w:r>
    </w:p>
    <w:p w14:paraId="2CE527E8" w14:textId="5F858892" w:rsidR="00ED0A5B" w:rsidRPr="002E4BBC" w:rsidRDefault="00ED0A5B" w:rsidP="00630E25">
      <w:pPr>
        <w:pStyle w:val="LI-BodyTextNumbered"/>
        <w:ind w:left="0" w:firstLine="0"/>
        <w:rPr>
          <w:u w:val="single"/>
        </w:rPr>
      </w:pPr>
      <w:r w:rsidRPr="002E4BBC">
        <w:rPr>
          <w:u w:val="single"/>
        </w:rPr>
        <w:t xml:space="preserve">Rule S2.1.1 Derivative </w:t>
      </w:r>
      <w:r w:rsidR="00177CB0">
        <w:rPr>
          <w:u w:val="single"/>
        </w:rPr>
        <w:t>t</w:t>
      </w:r>
      <w:r w:rsidR="00177CB0" w:rsidRPr="002E4BBC">
        <w:rPr>
          <w:u w:val="single"/>
        </w:rPr>
        <w:t xml:space="preserve">ransaction </w:t>
      </w:r>
      <w:r w:rsidR="00177CB0">
        <w:rPr>
          <w:u w:val="single"/>
        </w:rPr>
        <w:t>i</w:t>
      </w:r>
      <w:r w:rsidR="00177CB0" w:rsidRPr="002E4BBC">
        <w:rPr>
          <w:u w:val="single"/>
        </w:rPr>
        <w:t xml:space="preserve">nformation </w:t>
      </w:r>
      <w:r w:rsidRPr="002E4BBC">
        <w:rPr>
          <w:u w:val="single"/>
        </w:rPr>
        <w:t xml:space="preserve">and Rule S2.2.1 </w:t>
      </w:r>
      <w:r w:rsidR="00177CB0">
        <w:rPr>
          <w:u w:val="single"/>
        </w:rPr>
        <w:t>d</w:t>
      </w:r>
      <w:r w:rsidR="00177CB0" w:rsidRPr="002E4BBC">
        <w:rPr>
          <w:u w:val="single"/>
        </w:rPr>
        <w:t xml:space="preserve">erivative </w:t>
      </w:r>
      <w:r w:rsidR="00177CB0">
        <w:rPr>
          <w:u w:val="single"/>
        </w:rPr>
        <w:t>p</w:t>
      </w:r>
      <w:r w:rsidR="00177CB0" w:rsidRPr="002E4BBC">
        <w:rPr>
          <w:u w:val="single"/>
        </w:rPr>
        <w:t xml:space="preserve">osition </w:t>
      </w:r>
      <w:r w:rsidR="00177CB0">
        <w:rPr>
          <w:u w:val="single"/>
        </w:rPr>
        <w:t>i</w:t>
      </w:r>
      <w:r w:rsidR="00177CB0" w:rsidRPr="002E4BBC">
        <w:rPr>
          <w:u w:val="single"/>
        </w:rPr>
        <w:t>nformation</w:t>
      </w:r>
    </w:p>
    <w:p w14:paraId="6E38B689" w14:textId="32E63E5E" w:rsidR="00ED0A5B" w:rsidRPr="002E4BBC" w:rsidRDefault="00ED0A5B" w:rsidP="00091619">
      <w:pPr>
        <w:pStyle w:val="LI-BodyTextParaa"/>
        <w:numPr>
          <w:ilvl w:val="0"/>
          <w:numId w:val="2"/>
        </w:numPr>
        <w:rPr>
          <w:bCs/>
        </w:rPr>
      </w:pPr>
      <w:r w:rsidRPr="002E4BBC">
        <w:rPr>
          <w:bCs/>
        </w:rPr>
        <w:t xml:space="preserve">Rule S2.1.1 and Tables S2.1(1) to (5) set out the </w:t>
      </w:r>
      <w:r w:rsidR="00177CB0">
        <w:rPr>
          <w:bCs/>
        </w:rPr>
        <w:t>d</w:t>
      </w:r>
      <w:r w:rsidR="00177CB0" w:rsidRPr="002E4BBC">
        <w:rPr>
          <w:bCs/>
        </w:rPr>
        <w:t xml:space="preserve">erivative </w:t>
      </w:r>
      <w:r w:rsidR="00177CB0">
        <w:rPr>
          <w:bCs/>
        </w:rPr>
        <w:t>t</w:t>
      </w:r>
      <w:r w:rsidR="00177CB0" w:rsidRPr="002E4BBC">
        <w:rPr>
          <w:bCs/>
        </w:rPr>
        <w:t xml:space="preserve">ransaction </w:t>
      </w:r>
      <w:r w:rsidR="00177CB0">
        <w:rPr>
          <w:bCs/>
        </w:rPr>
        <w:t>i</w:t>
      </w:r>
      <w:r w:rsidR="00177CB0" w:rsidRPr="002E4BBC">
        <w:rPr>
          <w:bCs/>
        </w:rPr>
        <w:t xml:space="preserve">nformation </w:t>
      </w:r>
      <w:r w:rsidRPr="002E4BBC">
        <w:rPr>
          <w:bCs/>
        </w:rPr>
        <w:t xml:space="preserve">that must be reported in relation to </w:t>
      </w:r>
      <w:r w:rsidR="00177CB0">
        <w:rPr>
          <w:bCs/>
        </w:rPr>
        <w:t>r</w:t>
      </w:r>
      <w:r w:rsidR="00177CB0" w:rsidRPr="002E4BBC">
        <w:rPr>
          <w:bCs/>
        </w:rPr>
        <w:t xml:space="preserve">eportable </w:t>
      </w:r>
      <w:r w:rsidR="00177CB0">
        <w:rPr>
          <w:bCs/>
        </w:rPr>
        <w:t>t</w:t>
      </w:r>
      <w:r w:rsidR="00177CB0" w:rsidRPr="002E4BBC">
        <w:rPr>
          <w:bCs/>
        </w:rPr>
        <w:t xml:space="preserve">ransactions </w:t>
      </w:r>
      <w:r w:rsidRPr="002E4BBC">
        <w:rPr>
          <w:bCs/>
        </w:rPr>
        <w:t xml:space="preserve">for the purposes of paragraph 2.2.1(1)(a) and (c). Table S2.1(1) sets out common data to be reported for all </w:t>
      </w:r>
      <w:r w:rsidR="00177CB0">
        <w:rPr>
          <w:bCs/>
        </w:rPr>
        <w:t>r</w:t>
      </w:r>
      <w:r w:rsidR="00177CB0" w:rsidRPr="002E4BBC">
        <w:rPr>
          <w:bCs/>
        </w:rPr>
        <w:t xml:space="preserve">eportable </w:t>
      </w:r>
      <w:r w:rsidR="00177CB0">
        <w:rPr>
          <w:bCs/>
        </w:rPr>
        <w:t>t</w:t>
      </w:r>
      <w:r w:rsidR="00177CB0" w:rsidRPr="002E4BBC">
        <w:rPr>
          <w:bCs/>
        </w:rPr>
        <w:t>ransactions</w:t>
      </w:r>
      <w:r w:rsidRPr="002E4BBC">
        <w:rPr>
          <w:bCs/>
        </w:rPr>
        <w:t>, while Tables S2.1(2) to (5) set out additional asset-specific data for each asset class.</w:t>
      </w:r>
    </w:p>
    <w:p w14:paraId="10BF9C02" w14:textId="6DB9AC0F" w:rsidR="00ED0A5B" w:rsidRPr="002E4BBC" w:rsidRDefault="00ED0A5B" w:rsidP="00091619">
      <w:pPr>
        <w:pStyle w:val="LI-BodyTextParaa"/>
        <w:numPr>
          <w:ilvl w:val="0"/>
          <w:numId w:val="2"/>
        </w:numPr>
        <w:rPr>
          <w:bCs/>
        </w:rPr>
      </w:pPr>
      <w:r w:rsidRPr="002E4BBC">
        <w:rPr>
          <w:bCs/>
        </w:rPr>
        <w:t xml:space="preserve">Rule S2.2.1 and Tables S2.2(1) to (5) set out the </w:t>
      </w:r>
      <w:r w:rsidR="00177CB0">
        <w:rPr>
          <w:bCs/>
        </w:rPr>
        <w:t>d</w:t>
      </w:r>
      <w:r w:rsidR="00177CB0" w:rsidRPr="002E4BBC">
        <w:rPr>
          <w:bCs/>
        </w:rPr>
        <w:t xml:space="preserve">erivative </w:t>
      </w:r>
      <w:r w:rsidR="00177CB0">
        <w:rPr>
          <w:bCs/>
        </w:rPr>
        <w:t>p</w:t>
      </w:r>
      <w:r w:rsidR="00177CB0" w:rsidRPr="002E4BBC">
        <w:rPr>
          <w:bCs/>
        </w:rPr>
        <w:t xml:space="preserve">osition </w:t>
      </w:r>
      <w:r w:rsidR="00177CB0">
        <w:rPr>
          <w:bCs/>
        </w:rPr>
        <w:t>i</w:t>
      </w:r>
      <w:r w:rsidR="00177CB0" w:rsidRPr="002E4BBC">
        <w:rPr>
          <w:bCs/>
        </w:rPr>
        <w:t xml:space="preserve">nformation </w:t>
      </w:r>
      <w:r w:rsidRPr="002E4BBC">
        <w:rPr>
          <w:bCs/>
        </w:rPr>
        <w:t xml:space="preserve">that must be reported in relation to </w:t>
      </w:r>
      <w:r w:rsidR="00177CB0">
        <w:rPr>
          <w:bCs/>
        </w:rPr>
        <w:t>r</w:t>
      </w:r>
      <w:r w:rsidR="00177CB0" w:rsidRPr="002E4BBC">
        <w:rPr>
          <w:bCs/>
        </w:rPr>
        <w:t xml:space="preserve">eportable </w:t>
      </w:r>
      <w:r w:rsidR="00177CB0">
        <w:rPr>
          <w:bCs/>
        </w:rPr>
        <w:t>p</w:t>
      </w:r>
      <w:r w:rsidR="00177CB0" w:rsidRPr="002E4BBC">
        <w:rPr>
          <w:bCs/>
        </w:rPr>
        <w:t xml:space="preserve">ositions </w:t>
      </w:r>
      <w:r w:rsidRPr="002E4BBC">
        <w:rPr>
          <w:bCs/>
        </w:rPr>
        <w:t xml:space="preserve">for the purposes of paragraph 2.2.1(1)(b). Table S2.2(1) sets out common data to be reported for all </w:t>
      </w:r>
      <w:r w:rsidR="00177CB0">
        <w:rPr>
          <w:bCs/>
        </w:rPr>
        <w:t>r</w:t>
      </w:r>
      <w:r w:rsidR="00177CB0" w:rsidRPr="002E4BBC">
        <w:rPr>
          <w:bCs/>
        </w:rPr>
        <w:t xml:space="preserve">eportable </w:t>
      </w:r>
      <w:r w:rsidR="00177CB0">
        <w:rPr>
          <w:bCs/>
        </w:rPr>
        <w:t>t</w:t>
      </w:r>
      <w:r w:rsidR="00177CB0" w:rsidRPr="002E4BBC">
        <w:rPr>
          <w:bCs/>
        </w:rPr>
        <w:t>ransactions</w:t>
      </w:r>
      <w:r w:rsidRPr="002E4BBC">
        <w:rPr>
          <w:bCs/>
        </w:rPr>
        <w:t>, while Tables S2.2(2) to (5) set out additional asset-specific data for each asset class.</w:t>
      </w:r>
    </w:p>
    <w:p w14:paraId="21D0C47B" w14:textId="4044CE05" w:rsidR="00ED0A5B" w:rsidRDefault="00ED0A5B" w:rsidP="00091619">
      <w:pPr>
        <w:pStyle w:val="LI-BodyTextParaa"/>
        <w:numPr>
          <w:ilvl w:val="0"/>
          <w:numId w:val="2"/>
        </w:numPr>
        <w:rPr>
          <w:bCs/>
        </w:rPr>
      </w:pPr>
      <w:r w:rsidRPr="002E4BBC">
        <w:rPr>
          <w:bCs/>
        </w:rPr>
        <w:t xml:space="preserve">As at the date the </w:t>
      </w:r>
      <w:r w:rsidR="00177CB0">
        <w:rPr>
          <w:bCs/>
        </w:rPr>
        <w:t xml:space="preserve">2022 </w:t>
      </w:r>
      <w:r w:rsidRPr="002E4BBC">
        <w:rPr>
          <w:bCs/>
        </w:rPr>
        <w:t xml:space="preserve">Rules are made, the </w:t>
      </w:r>
      <w:r w:rsidR="00177CB0">
        <w:rPr>
          <w:bCs/>
        </w:rPr>
        <w:t>p</w:t>
      </w:r>
      <w:r w:rsidR="00177CB0" w:rsidRPr="002E4BBC">
        <w:rPr>
          <w:bCs/>
        </w:rPr>
        <w:t xml:space="preserve">rescribed </w:t>
      </w:r>
      <w:r w:rsidR="00177CB0">
        <w:rPr>
          <w:bCs/>
        </w:rPr>
        <w:t>c</w:t>
      </w:r>
      <w:r w:rsidR="00177CB0" w:rsidRPr="002E4BBC">
        <w:rPr>
          <w:bCs/>
        </w:rPr>
        <w:t xml:space="preserve">lasses </w:t>
      </w:r>
      <w:r w:rsidRPr="002E4BBC">
        <w:rPr>
          <w:bCs/>
        </w:rPr>
        <w:t xml:space="preserve">under the </w:t>
      </w:r>
      <w:r w:rsidRPr="002E4BBC">
        <w:rPr>
          <w:bCs/>
          <w:i/>
          <w:iCs/>
        </w:rPr>
        <w:t>Corporations (Derivatives) Determination 2013</w:t>
      </w:r>
      <w:r w:rsidRPr="002E4BBC">
        <w:rPr>
          <w:bCs/>
        </w:rPr>
        <w:t xml:space="preserve"> are commodity derivatives (other than electricity derivatives), credit derivatives, equity derivatives, foreign exchange derivatives and interest rate derivatives. The </w:t>
      </w:r>
      <w:r w:rsidR="007433DC">
        <w:rPr>
          <w:bCs/>
        </w:rPr>
        <w:t>d</w:t>
      </w:r>
      <w:r w:rsidR="007433DC" w:rsidRPr="002E4BBC">
        <w:rPr>
          <w:bCs/>
        </w:rPr>
        <w:t xml:space="preserve">erivative </w:t>
      </w:r>
      <w:r w:rsidR="007433DC">
        <w:rPr>
          <w:bCs/>
        </w:rPr>
        <w:t>t</w:t>
      </w:r>
      <w:r w:rsidR="007433DC" w:rsidRPr="002E4BBC">
        <w:rPr>
          <w:bCs/>
        </w:rPr>
        <w:t xml:space="preserve">ransaction </w:t>
      </w:r>
      <w:r w:rsidR="007433DC">
        <w:rPr>
          <w:bCs/>
        </w:rPr>
        <w:t>i</w:t>
      </w:r>
      <w:r w:rsidR="007433DC" w:rsidRPr="002E4BBC">
        <w:rPr>
          <w:bCs/>
        </w:rPr>
        <w:t xml:space="preserve">nformation </w:t>
      </w:r>
      <w:r w:rsidRPr="002E4BBC">
        <w:rPr>
          <w:bCs/>
        </w:rPr>
        <w:t xml:space="preserve">and </w:t>
      </w:r>
      <w:r w:rsidR="007433DC">
        <w:rPr>
          <w:bCs/>
        </w:rPr>
        <w:t>d</w:t>
      </w:r>
      <w:r w:rsidR="007433DC" w:rsidRPr="002E4BBC">
        <w:rPr>
          <w:bCs/>
        </w:rPr>
        <w:t xml:space="preserve">erivative </w:t>
      </w:r>
      <w:r w:rsidR="007433DC">
        <w:rPr>
          <w:bCs/>
        </w:rPr>
        <w:t>p</w:t>
      </w:r>
      <w:r w:rsidR="007433DC" w:rsidRPr="002E4BBC">
        <w:rPr>
          <w:bCs/>
        </w:rPr>
        <w:t xml:space="preserve">osition </w:t>
      </w:r>
      <w:r w:rsidR="007433DC">
        <w:rPr>
          <w:bCs/>
        </w:rPr>
        <w:t>i</w:t>
      </w:r>
      <w:r w:rsidR="007433DC" w:rsidRPr="002E4BBC">
        <w:rPr>
          <w:bCs/>
        </w:rPr>
        <w:t xml:space="preserve">nformation </w:t>
      </w:r>
      <w:r w:rsidRPr="002E4BBC">
        <w:rPr>
          <w:bCs/>
        </w:rPr>
        <w:t xml:space="preserve">to be reported is therefore categorised according to these </w:t>
      </w:r>
      <w:r w:rsidR="007433DC">
        <w:rPr>
          <w:bCs/>
        </w:rPr>
        <w:t>p</w:t>
      </w:r>
      <w:r w:rsidR="007433DC" w:rsidRPr="002E4BBC">
        <w:rPr>
          <w:bCs/>
        </w:rPr>
        <w:t xml:space="preserve">rescribed </w:t>
      </w:r>
      <w:r w:rsidR="007433DC">
        <w:rPr>
          <w:bCs/>
        </w:rPr>
        <w:t>c</w:t>
      </w:r>
      <w:r w:rsidR="007433DC" w:rsidRPr="002E4BBC">
        <w:rPr>
          <w:bCs/>
        </w:rPr>
        <w:t>lasses</w:t>
      </w:r>
      <w:r w:rsidRPr="002E4BBC">
        <w:rPr>
          <w:bCs/>
        </w:rPr>
        <w:t xml:space="preserve">, as summarised in the </w:t>
      </w:r>
      <w:r w:rsidR="00B329A6">
        <w:rPr>
          <w:bCs/>
        </w:rPr>
        <w:t>t</w:t>
      </w:r>
      <w:r w:rsidR="00B329A6" w:rsidRPr="002E4BBC">
        <w:rPr>
          <w:bCs/>
        </w:rPr>
        <w:t xml:space="preserve">able </w:t>
      </w:r>
      <w:r w:rsidRPr="002E4BBC">
        <w:rPr>
          <w:bCs/>
        </w:rPr>
        <w:t>below.</w:t>
      </w:r>
    </w:p>
    <w:p w14:paraId="09DE06D8" w14:textId="77777777" w:rsidR="00D2518D" w:rsidRPr="002E4BBC" w:rsidRDefault="00D2518D" w:rsidP="00D2518D">
      <w:pPr>
        <w:pStyle w:val="LI-BodyTextParaa"/>
        <w:spacing w:before="0"/>
        <w:ind w:left="0" w:firstLine="0"/>
        <w:rPr>
          <w:bCs/>
        </w:rPr>
      </w:pPr>
    </w:p>
    <w:tbl>
      <w:tblPr>
        <w:tblW w:w="0" w:type="auto"/>
        <w:tblBorders>
          <w:top w:val="single" w:sz="4" w:space="0" w:color="999999"/>
          <w:bottom w:val="single" w:sz="4" w:space="0" w:color="999999"/>
          <w:insideH w:val="single" w:sz="4" w:space="0" w:color="999999"/>
        </w:tblBorders>
        <w:tblCellMar>
          <w:bottom w:w="113" w:type="dxa"/>
        </w:tblCellMar>
        <w:tblLook w:val="04A0" w:firstRow="1" w:lastRow="0" w:firstColumn="1" w:lastColumn="0" w:noHBand="0" w:noVBand="1"/>
      </w:tblPr>
      <w:tblGrid>
        <w:gridCol w:w="2771"/>
        <w:gridCol w:w="2771"/>
        <w:gridCol w:w="2771"/>
      </w:tblGrid>
      <w:tr w:rsidR="00ED0A5B" w:rsidRPr="00191870" w14:paraId="150A64B6" w14:textId="77777777" w:rsidTr="00BC3E9E">
        <w:trPr>
          <w:cantSplit/>
          <w:tblHeader/>
        </w:trPr>
        <w:tc>
          <w:tcPr>
            <w:tcW w:w="2771" w:type="dxa"/>
            <w:tcBorders>
              <w:top w:val="single" w:sz="4" w:space="0" w:color="999999"/>
              <w:left w:val="nil"/>
              <w:bottom w:val="single" w:sz="4" w:space="0" w:color="999999"/>
              <w:right w:val="nil"/>
            </w:tcBorders>
            <w:shd w:val="clear" w:color="auto" w:fill="C2E3FA"/>
            <w:tcMar>
              <w:top w:w="108" w:type="dxa"/>
            </w:tcMar>
            <w:hideMark/>
          </w:tcPr>
          <w:p w14:paraId="610E6EA9" w14:textId="2AA07354" w:rsidR="00ED0A5B" w:rsidRPr="0077760F" w:rsidRDefault="00ED0A5B" w:rsidP="003C77E7">
            <w:pPr>
              <w:tabs>
                <w:tab w:val="num" w:pos="1276"/>
              </w:tabs>
              <w:rPr>
                <w:rFonts w:ascii="Arial" w:hAnsi="Arial" w:cs="Arial"/>
                <w:b/>
                <w:sz w:val="20"/>
              </w:rPr>
            </w:pPr>
            <w:r>
              <w:rPr>
                <w:rFonts w:ascii="Arial" w:hAnsi="Arial" w:cs="Arial"/>
                <w:b/>
                <w:sz w:val="20"/>
              </w:rPr>
              <w:t xml:space="preserve">Reportable </w:t>
            </w:r>
            <w:r w:rsidR="007E2827">
              <w:rPr>
                <w:rFonts w:ascii="Arial" w:hAnsi="Arial" w:cs="Arial"/>
                <w:b/>
                <w:sz w:val="20"/>
              </w:rPr>
              <w:t>transaction</w:t>
            </w:r>
          </w:p>
        </w:tc>
        <w:tc>
          <w:tcPr>
            <w:tcW w:w="2771" w:type="dxa"/>
            <w:tcBorders>
              <w:top w:val="single" w:sz="4" w:space="0" w:color="999999"/>
              <w:left w:val="nil"/>
              <w:bottom w:val="single" w:sz="4" w:space="0" w:color="999999"/>
              <w:right w:val="nil"/>
            </w:tcBorders>
            <w:shd w:val="clear" w:color="auto" w:fill="C2E3FA"/>
            <w:tcMar>
              <w:top w:w="108" w:type="dxa"/>
            </w:tcMar>
            <w:hideMark/>
          </w:tcPr>
          <w:p w14:paraId="01B82A48" w14:textId="720D846B" w:rsidR="00ED0A5B" w:rsidRPr="0077760F" w:rsidRDefault="00ED0A5B" w:rsidP="003C77E7">
            <w:pPr>
              <w:tabs>
                <w:tab w:val="num" w:pos="1276"/>
              </w:tabs>
              <w:rPr>
                <w:rFonts w:ascii="Arial" w:hAnsi="Arial" w:cs="Arial"/>
                <w:b/>
                <w:sz w:val="20"/>
              </w:rPr>
            </w:pPr>
            <w:r>
              <w:rPr>
                <w:rFonts w:ascii="Arial" w:hAnsi="Arial" w:cs="Arial"/>
                <w:b/>
                <w:sz w:val="20"/>
              </w:rPr>
              <w:t xml:space="preserve">Derivative </w:t>
            </w:r>
            <w:r w:rsidR="007433DC">
              <w:rPr>
                <w:rFonts w:ascii="Arial" w:hAnsi="Arial" w:cs="Arial"/>
                <w:b/>
                <w:sz w:val="20"/>
              </w:rPr>
              <w:t>t</w:t>
            </w:r>
            <w:r>
              <w:rPr>
                <w:rFonts w:ascii="Arial" w:hAnsi="Arial" w:cs="Arial"/>
                <w:b/>
                <w:sz w:val="20"/>
              </w:rPr>
              <w:t xml:space="preserve">ransaction </w:t>
            </w:r>
            <w:r w:rsidR="007433DC">
              <w:rPr>
                <w:rFonts w:ascii="Arial" w:hAnsi="Arial" w:cs="Arial"/>
                <w:b/>
                <w:sz w:val="20"/>
              </w:rPr>
              <w:t xml:space="preserve">information </w:t>
            </w:r>
            <w:r>
              <w:rPr>
                <w:rFonts w:ascii="Arial" w:hAnsi="Arial" w:cs="Arial"/>
                <w:b/>
                <w:sz w:val="20"/>
              </w:rPr>
              <w:t>to be reported</w:t>
            </w:r>
          </w:p>
        </w:tc>
        <w:tc>
          <w:tcPr>
            <w:tcW w:w="2771" w:type="dxa"/>
            <w:tcBorders>
              <w:top w:val="single" w:sz="4" w:space="0" w:color="999999"/>
              <w:left w:val="nil"/>
              <w:bottom w:val="single" w:sz="4" w:space="0" w:color="999999"/>
              <w:right w:val="nil"/>
            </w:tcBorders>
            <w:shd w:val="clear" w:color="auto" w:fill="C2E3FA"/>
          </w:tcPr>
          <w:p w14:paraId="113ABA51" w14:textId="48054802" w:rsidR="00ED0A5B" w:rsidRDefault="00ED0A5B" w:rsidP="003C77E7">
            <w:pPr>
              <w:tabs>
                <w:tab w:val="num" w:pos="1276"/>
              </w:tabs>
              <w:rPr>
                <w:rFonts w:ascii="Arial" w:hAnsi="Arial" w:cs="Arial"/>
                <w:b/>
                <w:sz w:val="20"/>
              </w:rPr>
            </w:pPr>
            <w:r>
              <w:rPr>
                <w:rFonts w:ascii="Arial" w:hAnsi="Arial" w:cs="Arial"/>
                <w:b/>
                <w:sz w:val="20"/>
              </w:rPr>
              <w:t xml:space="preserve">Derivative </w:t>
            </w:r>
            <w:r w:rsidR="007433DC">
              <w:rPr>
                <w:rFonts w:ascii="Arial" w:hAnsi="Arial" w:cs="Arial"/>
                <w:b/>
                <w:sz w:val="20"/>
              </w:rPr>
              <w:t>position i</w:t>
            </w:r>
            <w:r>
              <w:rPr>
                <w:rFonts w:ascii="Arial" w:hAnsi="Arial" w:cs="Arial"/>
                <w:b/>
                <w:sz w:val="20"/>
              </w:rPr>
              <w:t>nformation to be reported</w:t>
            </w:r>
          </w:p>
        </w:tc>
      </w:tr>
      <w:tr w:rsidR="00ED0A5B" w:rsidRPr="00191870" w14:paraId="37BDF5E0" w14:textId="77777777" w:rsidTr="00BC3E9E">
        <w:trPr>
          <w:cantSplit/>
        </w:trPr>
        <w:tc>
          <w:tcPr>
            <w:tcW w:w="2771" w:type="dxa"/>
            <w:tcBorders>
              <w:top w:val="single" w:sz="4" w:space="0" w:color="999999"/>
              <w:left w:val="nil"/>
              <w:bottom w:val="single" w:sz="4" w:space="0" w:color="999999"/>
              <w:right w:val="nil"/>
            </w:tcBorders>
            <w:tcMar>
              <w:top w:w="108" w:type="dxa"/>
            </w:tcMar>
            <w:hideMark/>
          </w:tcPr>
          <w:p w14:paraId="4AC655D6" w14:textId="77777777" w:rsidR="00ED0A5B" w:rsidRPr="0077760F" w:rsidRDefault="00ED0A5B" w:rsidP="003C77E7">
            <w:pPr>
              <w:tabs>
                <w:tab w:val="num" w:pos="1276"/>
              </w:tabs>
              <w:rPr>
                <w:rFonts w:ascii="Arial" w:hAnsi="Arial" w:cs="Arial"/>
                <w:sz w:val="20"/>
              </w:rPr>
            </w:pPr>
            <w:r>
              <w:rPr>
                <w:rFonts w:ascii="Arial" w:hAnsi="Arial" w:cs="Arial"/>
                <w:sz w:val="20"/>
              </w:rPr>
              <w:t>Commodity derivatives (other than electricity derivatives)</w:t>
            </w:r>
          </w:p>
        </w:tc>
        <w:tc>
          <w:tcPr>
            <w:tcW w:w="2771" w:type="dxa"/>
            <w:tcBorders>
              <w:top w:val="single" w:sz="4" w:space="0" w:color="999999"/>
              <w:left w:val="nil"/>
              <w:bottom w:val="single" w:sz="4" w:space="0" w:color="999999"/>
              <w:right w:val="nil"/>
            </w:tcBorders>
            <w:tcMar>
              <w:top w:w="108" w:type="dxa"/>
            </w:tcMar>
            <w:hideMark/>
          </w:tcPr>
          <w:p w14:paraId="35D7C3AA" w14:textId="77777777" w:rsidR="00ED0A5B" w:rsidRPr="0077760F" w:rsidRDefault="00ED0A5B" w:rsidP="003C77E7">
            <w:pPr>
              <w:tabs>
                <w:tab w:val="num" w:pos="1276"/>
              </w:tabs>
              <w:rPr>
                <w:rFonts w:ascii="Arial" w:hAnsi="Arial" w:cs="Arial"/>
                <w:sz w:val="20"/>
              </w:rPr>
            </w:pPr>
            <w:r>
              <w:rPr>
                <w:rFonts w:ascii="Arial" w:hAnsi="Arial" w:cs="Arial"/>
                <w:sz w:val="20"/>
              </w:rPr>
              <w:t>Tables S2.1(1) and S2.1(2)</w:t>
            </w:r>
          </w:p>
        </w:tc>
        <w:tc>
          <w:tcPr>
            <w:tcW w:w="2771" w:type="dxa"/>
            <w:tcBorders>
              <w:top w:val="single" w:sz="4" w:space="0" w:color="999999"/>
              <w:left w:val="nil"/>
              <w:bottom w:val="single" w:sz="4" w:space="0" w:color="999999"/>
              <w:right w:val="nil"/>
            </w:tcBorders>
          </w:tcPr>
          <w:p w14:paraId="317A3131" w14:textId="77777777" w:rsidR="00ED0A5B" w:rsidRDefault="00ED0A5B" w:rsidP="003C77E7">
            <w:pPr>
              <w:tabs>
                <w:tab w:val="num" w:pos="1276"/>
              </w:tabs>
              <w:rPr>
                <w:rFonts w:ascii="Arial" w:hAnsi="Arial" w:cs="Arial"/>
                <w:sz w:val="20"/>
              </w:rPr>
            </w:pPr>
            <w:r w:rsidRPr="00C7280F">
              <w:rPr>
                <w:rFonts w:ascii="Arial" w:hAnsi="Arial" w:cs="Arial"/>
                <w:sz w:val="20"/>
              </w:rPr>
              <w:t>Table</w:t>
            </w:r>
            <w:r>
              <w:rPr>
                <w:rFonts w:ascii="Arial" w:hAnsi="Arial" w:cs="Arial"/>
                <w:sz w:val="20"/>
              </w:rPr>
              <w:t>s</w:t>
            </w:r>
            <w:r w:rsidRPr="00C7280F">
              <w:rPr>
                <w:rFonts w:ascii="Arial" w:hAnsi="Arial" w:cs="Arial"/>
                <w:sz w:val="20"/>
              </w:rPr>
              <w:t xml:space="preserve"> S2.</w:t>
            </w:r>
            <w:r>
              <w:rPr>
                <w:rFonts w:ascii="Arial" w:hAnsi="Arial" w:cs="Arial"/>
                <w:sz w:val="20"/>
              </w:rPr>
              <w:t>2</w:t>
            </w:r>
            <w:r w:rsidRPr="00C7280F">
              <w:rPr>
                <w:rFonts w:ascii="Arial" w:hAnsi="Arial" w:cs="Arial"/>
                <w:sz w:val="20"/>
              </w:rPr>
              <w:t>(1) and S2.1(2)</w:t>
            </w:r>
          </w:p>
        </w:tc>
      </w:tr>
      <w:tr w:rsidR="00ED0A5B" w:rsidRPr="00191870" w14:paraId="12E2C06B" w14:textId="77777777" w:rsidTr="00BC3E9E">
        <w:trPr>
          <w:cantSplit/>
        </w:trPr>
        <w:tc>
          <w:tcPr>
            <w:tcW w:w="2771" w:type="dxa"/>
            <w:tcBorders>
              <w:top w:val="single" w:sz="4" w:space="0" w:color="999999"/>
              <w:left w:val="nil"/>
              <w:bottom w:val="single" w:sz="4" w:space="0" w:color="999999"/>
              <w:right w:val="nil"/>
            </w:tcBorders>
            <w:tcMar>
              <w:top w:w="108" w:type="dxa"/>
            </w:tcMar>
            <w:hideMark/>
          </w:tcPr>
          <w:p w14:paraId="0D8E5A62" w14:textId="77777777" w:rsidR="00ED0A5B" w:rsidRPr="0077760F" w:rsidRDefault="00ED0A5B" w:rsidP="003C77E7">
            <w:pPr>
              <w:tabs>
                <w:tab w:val="num" w:pos="1276"/>
              </w:tabs>
              <w:rPr>
                <w:rFonts w:ascii="Arial" w:hAnsi="Arial" w:cs="Arial"/>
                <w:sz w:val="20"/>
              </w:rPr>
            </w:pPr>
            <w:r>
              <w:rPr>
                <w:rFonts w:ascii="Arial" w:hAnsi="Arial" w:cs="Arial"/>
                <w:sz w:val="20"/>
              </w:rPr>
              <w:t>Credit derivatives</w:t>
            </w:r>
          </w:p>
        </w:tc>
        <w:tc>
          <w:tcPr>
            <w:tcW w:w="2771" w:type="dxa"/>
            <w:tcBorders>
              <w:top w:val="single" w:sz="4" w:space="0" w:color="999999"/>
              <w:left w:val="nil"/>
              <w:bottom w:val="single" w:sz="4" w:space="0" w:color="999999"/>
              <w:right w:val="nil"/>
            </w:tcBorders>
            <w:tcMar>
              <w:top w:w="108" w:type="dxa"/>
            </w:tcMar>
            <w:hideMark/>
          </w:tcPr>
          <w:p w14:paraId="292E2A6F" w14:textId="77777777" w:rsidR="00ED0A5B" w:rsidRPr="0077760F" w:rsidRDefault="00ED0A5B" w:rsidP="003C77E7">
            <w:pPr>
              <w:tabs>
                <w:tab w:val="num" w:pos="1276"/>
              </w:tabs>
              <w:rPr>
                <w:rFonts w:ascii="Arial" w:hAnsi="Arial" w:cs="Arial"/>
                <w:sz w:val="20"/>
              </w:rPr>
            </w:pPr>
            <w:r w:rsidRPr="00D55905">
              <w:rPr>
                <w:rFonts w:ascii="Arial" w:hAnsi="Arial" w:cs="Arial"/>
                <w:sz w:val="20"/>
              </w:rPr>
              <w:t>Table</w:t>
            </w:r>
            <w:r>
              <w:rPr>
                <w:rFonts w:ascii="Arial" w:hAnsi="Arial" w:cs="Arial"/>
                <w:sz w:val="20"/>
              </w:rPr>
              <w:t>s</w:t>
            </w:r>
            <w:r w:rsidRPr="00D55905">
              <w:rPr>
                <w:rFonts w:ascii="Arial" w:hAnsi="Arial" w:cs="Arial"/>
                <w:sz w:val="20"/>
              </w:rPr>
              <w:t xml:space="preserve"> S2.1(1) and S2.1(</w:t>
            </w:r>
            <w:r>
              <w:rPr>
                <w:rFonts w:ascii="Arial" w:hAnsi="Arial" w:cs="Arial"/>
                <w:sz w:val="20"/>
              </w:rPr>
              <w:t>3</w:t>
            </w:r>
            <w:r w:rsidRPr="00D55905">
              <w:rPr>
                <w:rFonts w:ascii="Arial" w:hAnsi="Arial" w:cs="Arial"/>
                <w:sz w:val="20"/>
              </w:rPr>
              <w:t>)</w:t>
            </w:r>
          </w:p>
        </w:tc>
        <w:tc>
          <w:tcPr>
            <w:tcW w:w="2771" w:type="dxa"/>
            <w:tcBorders>
              <w:top w:val="single" w:sz="4" w:space="0" w:color="999999"/>
              <w:left w:val="nil"/>
              <w:bottom w:val="single" w:sz="4" w:space="0" w:color="999999"/>
              <w:right w:val="nil"/>
            </w:tcBorders>
          </w:tcPr>
          <w:p w14:paraId="6B1EAD14" w14:textId="77777777" w:rsidR="00ED0A5B" w:rsidRDefault="00ED0A5B" w:rsidP="003C77E7">
            <w:pPr>
              <w:tabs>
                <w:tab w:val="num" w:pos="1276"/>
              </w:tabs>
              <w:rPr>
                <w:rFonts w:ascii="Arial" w:hAnsi="Arial" w:cs="Arial"/>
                <w:sz w:val="20"/>
              </w:rPr>
            </w:pPr>
            <w:r w:rsidRPr="00F313BF">
              <w:rPr>
                <w:rFonts w:ascii="Arial" w:hAnsi="Arial" w:cs="Arial"/>
                <w:sz w:val="20"/>
              </w:rPr>
              <w:t>Table</w:t>
            </w:r>
            <w:r>
              <w:rPr>
                <w:rFonts w:ascii="Arial" w:hAnsi="Arial" w:cs="Arial"/>
                <w:sz w:val="20"/>
              </w:rPr>
              <w:t>s</w:t>
            </w:r>
            <w:r w:rsidRPr="00F313BF">
              <w:rPr>
                <w:rFonts w:ascii="Arial" w:hAnsi="Arial" w:cs="Arial"/>
                <w:sz w:val="20"/>
              </w:rPr>
              <w:t xml:space="preserve"> S2.</w:t>
            </w:r>
            <w:r>
              <w:rPr>
                <w:rFonts w:ascii="Arial" w:hAnsi="Arial" w:cs="Arial"/>
                <w:sz w:val="20"/>
              </w:rPr>
              <w:t>2</w:t>
            </w:r>
            <w:r w:rsidRPr="00F313BF">
              <w:rPr>
                <w:rFonts w:ascii="Arial" w:hAnsi="Arial" w:cs="Arial"/>
                <w:sz w:val="20"/>
              </w:rPr>
              <w:t>(1) and S2.</w:t>
            </w:r>
            <w:r>
              <w:rPr>
                <w:rFonts w:ascii="Arial" w:hAnsi="Arial" w:cs="Arial"/>
                <w:sz w:val="20"/>
              </w:rPr>
              <w:t>2</w:t>
            </w:r>
            <w:r w:rsidRPr="00F313BF">
              <w:rPr>
                <w:rFonts w:ascii="Arial" w:hAnsi="Arial" w:cs="Arial"/>
                <w:sz w:val="20"/>
              </w:rPr>
              <w:t>(3)</w:t>
            </w:r>
          </w:p>
        </w:tc>
      </w:tr>
      <w:tr w:rsidR="00ED0A5B" w:rsidRPr="00191870" w14:paraId="1289E3A1" w14:textId="77777777" w:rsidTr="00BC3E9E">
        <w:trPr>
          <w:cantSplit/>
        </w:trPr>
        <w:tc>
          <w:tcPr>
            <w:tcW w:w="2771" w:type="dxa"/>
            <w:tcBorders>
              <w:top w:val="single" w:sz="4" w:space="0" w:color="999999"/>
              <w:left w:val="nil"/>
              <w:bottom w:val="single" w:sz="4" w:space="0" w:color="999999"/>
              <w:right w:val="nil"/>
            </w:tcBorders>
            <w:tcMar>
              <w:top w:w="108" w:type="dxa"/>
            </w:tcMar>
            <w:hideMark/>
          </w:tcPr>
          <w:p w14:paraId="1FFC8EEE" w14:textId="77777777" w:rsidR="00ED0A5B" w:rsidRPr="0077760F" w:rsidRDefault="00ED0A5B" w:rsidP="003C77E7">
            <w:pPr>
              <w:tabs>
                <w:tab w:val="num" w:pos="1276"/>
              </w:tabs>
              <w:rPr>
                <w:rFonts w:ascii="Arial" w:hAnsi="Arial" w:cs="Arial"/>
                <w:sz w:val="20"/>
              </w:rPr>
            </w:pPr>
            <w:r>
              <w:rPr>
                <w:rFonts w:ascii="Arial" w:hAnsi="Arial" w:cs="Arial"/>
                <w:sz w:val="20"/>
              </w:rPr>
              <w:t>Equity derivatives</w:t>
            </w:r>
          </w:p>
        </w:tc>
        <w:tc>
          <w:tcPr>
            <w:tcW w:w="2771" w:type="dxa"/>
            <w:tcBorders>
              <w:top w:val="single" w:sz="4" w:space="0" w:color="999999"/>
              <w:left w:val="nil"/>
              <w:bottom w:val="single" w:sz="4" w:space="0" w:color="999999"/>
              <w:right w:val="nil"/>
            </w:tcBorders>
            <w:tcMar>
              <w:top w:w="108" w:type="dxa"/>
            </w:tcMar>
            <w:hideMark/>
          </w:tcPr>
          <w:p w14:paraId="370413EF" w14:textId="77777777" w:rsidR="00ED0A5B" w:rsidRPr="0077760F" w:rsidRDefault="00ED0A5B" w:rsidP="003C77E7">
            <w:pPr>
              <w:tabs>
                <w:tab w:val="num" w:pos="1276"/>
              </w:tabs>
              <w:rPr>
                <w:rFonts w:ascii="Arial" w:hAnsi="Arial" w:cs="Arial"/>
                <w:sz w:val="20"/>
              </w:rPr>
            </w:pPr>
            <w:r w:rsidRPr="00E1471C">
              <w:rPr>
                <w:rFonts w:ascii="Arial" w:hAnsi="Arial" w:cs="Arial"/>
                <w:sz w:val="20"/>
              </w:rPr>
              <w:t>Table</w:t>
            </w:r>
            <w:r>
              <w:rPr>
                <w:rFonts w:ascii="Arial" w:hAnsi="Arial" w:cs="Arial"/>
                <w:sz w:val="20"/>
              </w:rPr>
              <w:t>s</w:t>
            </w:r>
            <w:r w:rsidRPr="00E1471C">
              <w:rPr>
                <w:rFonts w:ascii="Arial" w:hAnsi="Arial" w:cs="Arial"/>
                <w:sz w:val="20"/>
              </w:rPr>
              <w:t xml:space="preserve"> S2.1(1) and S2.1(</w:t>
            </w:r>
            <w:r>
              <w:rPr>
                <w:rFonts w:ascii="Arial" w:hAnsi="Arial" w:cs="Arial"/>
                <w:sz w:val="20"/>
              </w:rPr>
              <w:t>3</w:t>
            </w:r>
            <w:r w:rsidRPr="00E1471C">
              <w:rPr>
                <w:rFonts w:ascii="Arial" w:hAnsi="Arial" w:cs="Arial"/>
                <w:sz w:val="20"/>
              </w:rPr>
              <w:t>)</w:t>
            </w:r>
          </w:p>
        </w:tc>
        <w:tc>
          <w:tcPr>
            <w:tcW w:w="2771" w:type="dxa"/>
            <w:tcBorders>
              <w:top w:val="single" w:sz="4" w:space="0" w:color="999999"/>
              <w:left w:val="nil"/>
              <w:bottom w:val="single" w:sz="4" w:space="0" w:color="999999"/>
              <w:right w:val="nil"/>
            </w:tcBorders>
          </w:tcPr>
          <w:p w14:paraId="327D78A3" w14:textId="77777777" w:rsidR="00ED0A5B" w:rsidRPr="00E1471C" w:rsidRDefault="00ED0A5B" w:rsidP="003C77E7">
            <w:pPr>
              <w:tabs>
                <w:tab w:val="num" w:pos="1276"/>
              </w:tabs>
              <w:rPr>
                <w:rFonts w:ascii="Arial" w:hAnsi="Arial" w:cs="Arial"/>
                <w:sz w:val="20"/>
              </w:rPr>
            </w:pPr>
            <w:r w:rsidRPr="00F429D8">
              <w:rPr>
                <w:rFonts w:ascii="Arial" w:hAnsi="Arial" w:cs="Arial"/>
                <w:sz w:val="20"/>
              </w:rPr>
              <w:t>Table</w:t>
            </w:r>
            <w:r>
              <w:rPr>
                <w:rFonts w:ascii="Arial" w:hAnsi="Arial" w:cs="Arial"/>
                <w:sz w:val="20"/>
              </w:rPr>
              <w:t>s</w:t>
            </w:r>
            <w:r w:rsidRPr="00F429D8">
              <w:rPr>
                <w:rFonts w:ascii="Arial" w:hAnsi="Arial" w:cs="Arial"/>
                <w:sz w:val="20"/>
              </w:rPr>
              <w:t xml:space="preserve"> S2.</w:t>
            </w:r>
            <w:r>
              <w:rPr>
                <w:rFonts w:ascii="Arial" w:hAnsi="Arial" w:cs="Arial"/>
                <w:sz w:val="20"/>
              </w:rPr>
              <w:t>2</w:t>
            </w:r>
            <w:r w:rsidRPr="00F429D8">
              <w:rPr>
                <w:rFonts w:ascii="Arial" w:hAnsi="Arial" w:cs="Arial"/>
                <w:sz w:val="20"/>
              </w:rPr>
              <w:t>(1) and S2.</w:t>
            </w:r>
            <w:r>
              <w:rPr>
                <w:rFonts w:ascii="Arial" w:hAnsi="Arial" w:cs="Arial"/>
                <w:sz w:val="20"/>
              </w:rPr>
              <w:t>2</w:t>
            </w:r>
            <w:r w:rsidRPr="00F429D8">
              <w:rPr>
                <w:rFonts w:ascii="Arial" w:hAnsi="Arial" w:cs="Arial"/>
                <w:sz w:val="20"/>
              </w:rPr>
              <w:t>(3)</w:t>
            </w:r>
          </w:p>
        </w:tc>
      </w:tr>
      <w:tr w:rsidR="00ED0A5B" w:rsidRPr="00191870" w14:paraId="08B55CA4" w14:textId="77777777" w:rsidTr="00BC3E9E">
        <w:trPr>
          <w:cantSplit/>
        </w:trPr>
        <w:tc>
          <w:tcPr>
            <w:tcW w:w="2771" w:type="dxa"/>
            <w:tcBorders>
              <w:top w:val="single" w:sz="4" w:space="0" w:color="999999"/>
              <w:left w:val="nil"/>
              <w:bottom w:val="single" w:sz="4" w:space="0" w:color="999999"/>
              <w:right w:val="nil"/>
            </w:tcBorders>
            <w:tcMar>
              <w:top w:w="108" w:type="dxa"/>
            </w:tcMar>
            <w:hideMark/>
          </w:tcPr>
          <w:p w14:paraId="4EEE45DE" w14:textId="77777777" w:rsidR="00ED0A5B" w:rsidRPr="0077760F" w:rsidRDefault="00ED0A5B" w:rsidP="003C77E7">
            <w:pPr>
              <w:tabs>
                <w:tab w:val="num" w:pos="1276"/>
              </w:tabs>
              <w:rPr>
                <w:rFonts w:ascii="Arial" w:hAnsi="Arial" w:cs="Arial"/>
                <w:sz w:val="20"/>
              </w:rPr>
            </w:pPr>
            <w:r>
              <w:rPr>
                <w:rFonts w:ascii="Arial" w:hAnsi="Arial" w:cs="Arial"/>
                <w:sz w:val="20"/>
              </w:rPr>
              <w:t>Foreign exchange derivative</w:t>
            </w:r>
          </w:p>
        </w:tc>
        <w:tc>
          <w:tcPr>
            <w:tcW w:w="2771" w:type="dxa"/>
            <w:tcBorders>
              <w:top w:val="single" w:sz="4" w:space="0" w:color="999999"/>
              <w:left w:val="nil"/>
              <w:bottom w:val="single" w:sz="4" w:space="0" w:color="999999"/>
              <w:right w:val="nil"/>
            </w:tcBorders>
            <w:tcMar>
              <w:top w:w="108" w:type="dxa"/>
            </w:tcMar>
            <w:hideMark/>
          </w:tcPr>
          <w:p w14:paraId="25FB4033" w14:textId="77777777" w:rsidR="00ED0A5B" w:rsidRPr="0077760F" w:rsidRDefault="00ED0A5B" w:rsidP="003C77E7">
            <w:pPr>
              <w:tabs>
                <w:tab w:val="num" w:pos="1276"/>
              </w:tabs>
              <w:rPr>
                <w:rFonts w:ascii="Arial" w:hAnsi="Arial" w:cs="Arial"/>
                <w:sz w:val="20"/>
              </w:rPr>
            </w:pPr>
            <w:r w:rsidRPr="00F45670">
              <w:rPr>
                <w:rFonts w:ascii="Arial" w:hAnsi="Arial" w:cs="Arial"/>
                <w:sz w:val="20"/>
              </w:rPr>
              <w:t>Table</w:t>
            </w:r>
            <w:r>
              <w:rPr>
                <w:rFonts w:ascii="Arial" w:hAnsi="Arial" w:cs="Arial"/>
                <w:sz w:val="20"/>
              </w:rPr>
              <w:t>s</w:t>
            </w:r>
            <w:r w:rsidRPr="00F45670">
              <w:rPr>
                <w:rFonts w:ascii="Arial" w:hAnsi="Arial" w:cs="Arial"/>
                <w:sz w:val="20"/>
              </w:rPr>
              <w:t xml:space="preserve"> S2.1(1) and S2.1(</w:t>
            </w:r>
            <w:r>
              <w:rPr>
                <w:rFonts w:ascii="Arial" w:hAnsi="Arial" w:cs="Arial"/>
                <w:sz w:val="20"/>
              </w:rPr>
              <w:t>4</w:t>
            </w:r>
            <w:r w:rsidRPr="00F45670">
              <w:rPr>
                <w:rFonts w:ascii="Arial" w:hAnsi="Arial" w:cs="Arial"/>
                <w:sz w:val="20"/>
              </w:rPr>
              <w:t>)</w:t>
            </w:r>
          </w:p>
        </w:tc>
        <w:tc>
          <w:tcPr>
            <w:tcW w:w="2771" w:type="dxa"/>
            <w:tcBorders>
              <w:top w:val="single" w:sz="4" w:space="0" w:color="999999"/>
              <w:left w:val="nil"/>
              <w:bottom w:val="single" w:sz="4" w:space="0" w:color="999999"/>
              <w:right w:val="nil"/>
            </w:tcBorders>
          </w:tcPr>
          <w:p w14:paraId="32DAA33E" w14:textId="77777777" w:rsidR="00ED0A5B" w:rsidRPr="00F45670" w:rsidRDefault="00ED0A5B" w:rsidP="003C77E7">
            <w:pPr>
              <w:tabs>
                <w:tab w:val="num" w:pos="1276"/>
              </w:tabs>
              <w:rPr>
                <w:rFonts w:ascii="Arial" w:hAnsi="Arial" w:cs="Arial"/>
                <w:sz w:val="20"/>
              </w:rPr>
            </w:pPr>
            <w:r w:rsidRPr="00F429D8">
              <w:rPr>
                <w:rFonts w:ascii="Arial" w:hAnsi="Arial" w:cs="Arial"/>
                <w:sz w:val="20"/>
              </w:rPr>
              <w:t>Table</w:t>
            </w:r>
            <w:r>
              <w:rPr>
                <w:rFonts w:ascii="Arial" w:hAnsi="Arial" w:cs="Arial"/>
                <w:sz w:val="20"/>
              </w:rPr>
              <w:t>s</w:t>
            </w:r>
            <w:r w:rsidRPr="00F429D8">
              <w:rPr>
                <w:rFonts w:ascii="Arial" w:hAnsi="Arial" w:cs="Arial"/>
                <w:sz w:val="20"/>
              </w:rPr>
              <w:t xml:space="preserve"> S2.</w:t>
            </w:r>
            <w:r>
              <w:rPr>
                <w:rFonts w:ascii="Arial" w:hAnsi="Arial" w:cs="Arial"/>
                <w:sz w:val="20"/>
              </w:rPr>
              <w:t>2</w:t>
            </w:r>
            <w:r w:rsidRPr="00F429D8">
              <w:rPr>
                <w:rFonts w:ascii="Arial" w:hAnsi="Arial" w:cs="Arial"/>
                <w:sz w:val="20"/>
              </w:rPr>
              <w:t>(1) and S2.</w:t>
            </w:r>
            <w:r>
              <w:rPr>
                <w:rFonts w:ascii="Arial" w:hAnsi="Arial" w:cs="Arial"/>
                <w:sz w:val="20"/>
              </w:rPr>
              <w:t>2</w:t>
            </w:r>
            <w:r w:rsidRPr="00F429D8">
              <w:rPr>
                <w:rFonts w:ascii="Arial" w:hAnsi="Arial" w:cs="Arial"/>
                <w:sz w:val="20"/>
              </w:rPr>
              <w:t>(</w:t>
            </w:r>
            <w:r>
              <w:rPr>
                <w:rFonts w:ascii="Arial" w:hAnsi="Arial" w:cs="Arial"/>
                <w:sz w:val="20"/>
              </w:rPr>
              <w:t>4</w:t>
            </w:r>
            <w:r w:rsidRPr="00F429D8">
              <w:rPr>
                <w:rFonts w:ascii="Arial" w:hAnsi="Arial" w:cs="Arial"/>
                <w:sz w:val="20"/>
              </w:rPr>
              <w:t>)</w:t>
            </w:r>
          </w:p>
        </w:tc>
      </w:tr>
      <w:tr w:rsidR="00ED0A5B" w:rsidRPr="00191870" w14:paraId="76F49DE5" w14:textId="77777777" w:rsidTr="00BC3E9E">
        <w:trPr>
          <w:cantSplit/>
        </w:trPr>
        <w:tc>
          <w:tcPr>
            <w:tcW w:w="2771" w:type="dxa"/>
            <w:tcBorders>
              <w:top w:val="single" w:sz="4" w:space="0" w:color="999999"/>
              <w:left w:val="nil"/>
              <w:bottom w:val="single" w:sz="4" w:space="0" w:color="999999"/>
              <w:right w:val="nil"/>
            </w:tcBorders>
            <w:tcMar>
              <w:top w:w="108" w:type="dxa"/>
            </w:tcMar>
            <w:hideMark/>
          </w:tcPr>
          <w:p w14:paraId="30AFAE42" w14:textId="77777777" w:rsidR="00ED0A5B" w:rsidRPr="0077760F" w:rsidRDefault="00ED0A5B" w:rsidP="003C77E7">
            <w:pPr>
              <w:tabs>
                <w:tab w:val="num" w:pos="1276"/>
              </w:tabs>
              <w:rPr>
                <w:rFonts w:ascii="Arial" w:hAnsi="Arial" w:cs="Arial"/>
                <w:sz w:val="20"/>
              </w:rPr>
            </w:pPr>
            <w:r>
              <w:rPr>
                <w:rFonts w:ascii="Arial" w:hAnsi="Arial" w:cs="Arial"/>
                <w:sz w:val="20"/>
              </w:rPr>
              <w:t>Interest rate derivative</w:t>
            </w:r>
          </w:p>
        </w:tc>
        <w:tc>
          <w:tcPr>
            <w:tcW w:w="2771" w:type="dxa"/>
            <w:tcBorders>
              <w:top w:val="single" w:sz="4" w:space="0" w:color="999999"/>
              <w:left w:val="nil"/>
              <w:bottom w:val="single" w:sz="4" w:space="0" w:color="999999"/>
              <w:right w:val="nil"/>
            </w:tcBorders>
            <w:tcMar>
              <w:top w:w="108" w:type="dxa"/>
            </w:tcMar>
            <w:hideMark/>
          </w:tcPr>
          <w:p w14:paraId="5EBCFA08" w14:textId="77777777" w:rsidR="00ED0A5B" w:rsidRPr="0077760F" w:rsidRDefault="00ED0A5B" w:rsidP="003C77E7">
            <w:pPr>
              <w:tabs>
                <w:tab w:val="num" w:pos="1276"/>
              </w:tabs>
              <w:rPr>
                <w:rFonts w:ascii="Arial" w:hAnsi="Arial" w:cs="Arial"/>
                <w:sz w:val="20"/>
              </w:rPr>
            </w:pPr>
            <w:r w:rsidRPr="00401252">
              <w:rPr>
                <w:rFonts w:ascii="Arial" w:hAnsi="Arial" w:cs="Arial"/>
                <w:sz w:val="20"/>
              </w:rPr>
              <w:t>Table</w:t>
            </w:r>
            <w:r>
              <w:rPr>
                <w:rFonts w:ascii="Arial" w:hAnsi="Arial" w:cs="Arial"/>
                <w:sz w:val="20"/>
              </w:rPr>
              <w:t>s</w:t>
            </w:r>
            <w:r w:rsidRPr="00401252">
              <w:rPr>
                <w:rFonts w:ascii="Arial" w:hAnsi="Arial" w:cs="Arial"/>
                <w:sz w:val="20"/>
              </w:rPr>
              <w:t xml:space="preserve"> S2.1(1) and S2.1(</w:t>
            </w:r>
            <w:r>
              <w:rPr>
                <w:rFonts w:ascii="Arial" w:hAnsi="Arial" w:cs="Arial"/>
                <w:sz w:val="20"/>
              </w:rPr>
              <w:t>5</w:t>
            </w:r>
            <w:r w:rsidRPr="00401252">
              <w:rPr>
                <w:rFonts w:ascii="Arial" w:hAnsi="Arial" w:cs="Arial"/>
                <w:sz w:val="20"/>
              </w:rPr>
              <w:t>)</w:t>
            </w:r>
          </w:p>
        </w:tc>
        <w:tc>
          <w:tcPr>
            <w:tcW w:w="2771" w:type="dxa"/>
            <w:tcBorders>
              <w:top w:val="single" w:sz="4" w:space="0" w:color="999999"/>
              <w:left w:val="nil"/>
              <w:bottom w:val="single" w:sz="4" w:space="0" w:color="999999"/>
              <w:right w:val="nil"/>
            </w:tcBorders>
          </w:tcPr>
          <w:p w14:paraId="12D0FFDE" w14:textId="77777777" w:rsidR="00ED0A5B" w:rsidRPr="00401252" w:rsidRDefault="00ED0A5B" w:rsidP="003C77E7">
            <w:pPr>
              <w:tabs>
                <w:tab w:val="num" w:pos="1276"/>
              </w:tabs>
              <w:rPr>
                <w:rFonts w:ascii="Arial" w:hAnsi="Arial" w:cs="Arial"/>
                <w:sz w:val="20"/>
              </w:rPr>
            </w:pPr>
            <w:r w:rsidRPr="00F429D8">
              <w:rPr>
                <w:rFonts w:ascii="Arial" w:hAnsi="Arial" w:cs="Arial"/>
                <w:sz w:val="20"/>
              </w:rPr>
              <w:t>Table</w:t>
            </w:r>
            <w:r>
              <w:rPr>
                <w:rFonts w:ascii="Arial" w:hAnsi="Arial" w:cs="Arial"/>
                <w:sz w:val="20"/>
              </w:rPr>
              <w:t>s</w:t>
            </w:r>
            <w:r w:rsidRPr="00F429D8">
              <w:rPr>
                <w:rFonts w:ascii="Arial" w:hAnsi="Arial" w:cs="Arial"/>
                <w:sz w:val="20"/>
              </w:rPr>
              <w:t xml:space="preserve"> S2.</w:t>
            </w:r>
            <w:r>
              <w:rPr>
                <w:rFonts w:ascii="Arial" w:hAnsi="Arial" w:cs="Arial"/>
                <w:sz w:val="20"/>
              </w:rPr>
              <w:t>2</w:t>
            </w:r>
            <w:r w:rsidRPr="00F429D8">
              <w:rPr>
                <w:rFonts w:ascii="Arial" w:hAnsi="Arial" w:cs="Arial"/>
                <w:sz w:val="20"/>
              </w:rPr>
              <w:t>(1) and S2.</w:t>
            </w:r>
            <w:r>
              <w:rPr>
                <w:rFonts w:ascii="Arial" w:hAnsi="Arial" w:cs="Arial"/>
                <w:sz w:val="20"/>
              </w:rPr>
              <w:t>2</w:t>
            </w:r>
            <w:r w:rsidRPr="00F429D8">
              <w:rPr>
                <w:rFonts w:ascii="Arial" w:hAnsi="Arial" w:cs="Arial"/>
                <w:sz w:val="20"/>
              </w:rPr>
              <w:t>(</w:t>
            </w:r>
            <w:r>
              <w:rPr>
                <w:rFonts w:ascii="Arial" w:hAnsi="Arial" w:cs="Arial"/>
                <w:sz w:val="20"/>
              </w:rPr>
              <w:t>5</w:t>
            </w:r>
            <w:r w:rsidRPr="00F429D8">
              <w:rPr>
                <w:rFonts w:ascii="Arial" w:hAnsi="Arial" w:cs="Arial"/>
                <w:sz w:val="20"/>
              </w:rPr>
              <w:t>)</w:t>
            </w:r>
          </w:p>
        </w:tc>
      </w:tr>
    </w:tbl>
    <w:p w14:paraId="215A4784" w14:textId="23450C32" w:rsidR="00ED0A5B" w:rsidRPr="00D2518D" w:rsidRDefault="00ED0A5B" w:rsidP="00091619">
      <w:pPr>
        <w:pStyle w:val="LI-BodyTextParaa"/>
        <w:numPr>
          <w:ilvl w:val="0"/>
          <w:numId w:val="2"/>
        </w:numPr>
        <w:rPr>
          <w:bCs/>
        </w:rPr>
      </w:pPr>
      <w:r w:rsidRPr="00D2518D">
        <w:rPr>
          <w:bCs/>
        </w:rPr>
        <w:t xml:space="preserve">The </w:t>
      </w:r>
      <w:r w:rsidR="007E2827">
        <w:rPr>
          <w:bCs/>
        </w:rPr>
        <w:t>d</w:t>
      </w:r>
      <w:r w:rsidR="007E2827" w:rsidRPr="00D2518D">
        <w:rPr>
          <w:bCs/>
        </w:rPr>
        <w:t xml:space="preserve">erivative </w:t>
      </w:r>
      <w:r w:rsidR="007E2827">
        <w:rPr>
          <w:bCs/>
        </w:rPr>
        <w:t>t</w:t>
      </w:r>
      <w:r w:rsidR="007E2827" w:rsidRPr="00D2518D">
        <w:rPr>
          <w:bCs/>
        </w:rPr>
        <w:t xml:space="preserve">ransaction </w:t>
      </w:r>
      <w:r w:rsidR="007E2827">
        <w:rPr>
          <w:bCs/>
        </w:rPr>
        <w:t>i</w:t>
      </w:r>
      <w:r w:rsidR="007E2827" w:rsidRPr="00D2518D">
        <w:rPr>
          <w:bCs/>
        </w:rPr>
        <w:t xml:space="preserve">nformation </w:t>
      </w:r>
      <w:r w:rsidRPr="00D2518D">
        <w:rPr>
          <w:bCs/>
        </w:rPr>
        <w:t xml:space="preserve">and </w:t>
      </w:r>
      <w:r w:rsidR="007E2827">
        <w:rPr>
          <w:bCs/>
        </w:rPr>
        <w:t>d</w:t>
      </w:r>
      <w:r w:rsidR="007E2827" w:rsidRPr="00D2518D">
        <w:rPr>
          <w:bCs/>
        </w:rPr>
        <w:t xml:space="preserve">erivative </w:t>
      </w:r>
      <w:r w:rsidR="007E2827">
        <w:rPr>
          <w:bCs/>
        </w:rPr>
        <w:t>p</w:t>
      </w:r>
      <w:r w:rsidR="007E2827" w:rsidRPr="00D2518D">
        <w:rPr>
          <w:bCs/>
        </w:rPr>
        <w:t xml:space="preserve">osition </w:t>
      </w:r>
      <w:r w:rsidR="007E2827">
        <w:rPr>
          <w:bCs/>
        </w:rPr>
        <w:t>i</w:t>
      </w:r>
      <w:r w:rsidR="007E2827" w:rsidRPr="00D2518D">
        <w:rPr>
          <w:bCs/>
        </w:rPr>
        <w:t xml:space="preserve">nformation </w:t>
      </w:r>
      <w:r w:rsidRPr="00D2518D">
        <w:rPr>
          <w:bCs/>
        </w:rPr>
        <w:t xml:space="preserve">set out in Parts S2.1 and S2.2 of Schedule 2 is based on the needs of the Australian </w:t>
      </w:r>
      <w:r w:rsidR="00FA1E34">
        <w:rPr>
          <w:bCs/>
        </w:rPr>
        <w:t>r</w:t>
      </w:r>
      <w:r w:rsidRPr="00D2518D">
        <w:rPr>
          <w:bCs/>
        </w:rPr>
        <w:t xml:space="preserve">egulators to achieve the objectives of the trade reporting regime, and the fields being required to be reported in other jurisdictions, such as Canada, the EU, Hong Kong, Japan, </w:t>
      </w:r>
      <w:proofErr w:type="gramStart"/>
      <w:r w:rsidRPr="00D2518D">
        <w:rPr>
          <w:bCs/>
        </w:rPr>
        <w:t>Singapore</w:t>
      </w:r>
      <w:proofErr w:type="gramEnd"/>
      <w:r w:rsidRPr="00D2518D">
        <w:rPr>
          <w:bCs/>
        </w:rPr>
        <w:t xml:space="preserve"> and the US.</w:t>
      </w:r>
    </w:p>
    <w:p w14:paraId="1F764708" w14:textId="0F86FB45" w:rsidR="00ED0A5B" w:rsidRPr="00D2518D" w:rsidRDefault="00ED0A5B" w:rsidP="00091619">
      <w:pPr>
        <w:pStyle w:val="LI-BodyTextParaa"/>
        <w:numPr>
          <w:ilvl w:val="0"/>
          <w:numId w:val="2"/>
        </w:numPr>
        <w:rPr>
          <w:bCs/>
        </w:rPr>
      </w:pPr>
      <w:r w:rsidRPr="00D2518D">
        <w:rPr>
          <w:bCs/>
        </w:rPr>
        <w:lastRenderedPageBreak/>
        <w:t xml:space="preserve">The </w:t>
      </w:r>
      <w:r w:rsidR="007E2827">
        <w:rPr>
          <w:bCs/>
        </w:rPr>
        <w:t>d</w:t>
      </w:r>
      <w:r w:rsidR="007E2827" w:rsidRPr="00D2518D">
        <w:rPr>
          <w:bCs/>
        </w:rPr>
        <w:t xml:space="preserve">erivative </w:t>
      </w:r>
      <w:r w:rsidR="007E2827">
        <w:rPr>
          <w:bCs/>
        </w:rPr>
        <w:t>t</w:t>
      </w:r>
      <w:r w:rsidR="007E2827" w:rsidRPr="00D2518D">
        <w:rPr>
          <w:bCs/>
        </w:rPr>
        <w:t xml:space="preserve">ransaction </w:t>
      </w:r>
      <w:r w:rsidR="007E2827">
        <w:rPr>
          <w:bCs/>
        </w:rPr>
        <w:t>i</w:t>
      </w:r>
      <w:r w:rsidR="007E2827" w:rsidRPr="00D2518D">
        <w:rPr>
          <w:bCs/>
        </w:rPr>
        <w:t xml:space="preserve">nformation </w:t>
      </w:r>
      <w:r w:rsidRPr="00D2518D">
        <w:rPr>
          <w:bCs/>
        </w:rPr>
        <w:t xml:space="preserve">and </w:t>
      </w:r>
      <w:r w:rsidR="00BA303B">
        <w:rPr>
          <w:bCs/>
        </w:rPr>
        <w:t>d</w:t>
      </w:r>
      <w:r w:rsidR="00BA303B" w:rsidRPr="00D2518D">
        <w:rPr>
          <w:bCs/>
        </w:rPr>
        <w:t xml:space="preserve">erivative </w:t>
      </w:r>
      <w:r w:rsidR="00BA303B">
        <w:rPr>
          <w:bCs/>
        </w:rPr>
        <w:t>p</w:t>
      </w:r>
      <w:r w:rsidR="00BA303B" w:rsidRPr="00D2518D">
        <w:rPr>
          <w:bCs/>
        </w:rPr>
        <w:t xml:space="preserve">osition </w:t>
      </w:r>
      <w:r w:rsidR="00BA303B">
        <w:rPr>
          <w:bCs/>
        </w:rPr>
        <w:t>i</w:t>
      </w:r>
      <w:r w:rsidR="00BA303B" w:rsidRPr="00D2518D">
        <w:rPr>
          <w:bCs/>
        </w:rPr>
        <w:t xml:space="preserve">nformation </w:t>
      </w:r>
      <w:r w:rsidRPr="00D2518D">
        <w:rPr>
          <w:bCs/>
        </w:rPr>
        <w:t>set out in Parts S2.1 and S2.2 of Schedule 2 falls broadly into the following categories</w:t>
      </w:r>
      <w:r w:rsidR="00F119AF">
        <w:rPr>
          <w:bCs/>
        </w:rPr>
        <w:t>:</w:t>
      </w:r>
      <w:r w:rsidRPr="00D2518D">
        <w:rPr>
          <w:bCs/>
        </w:rPr>
        <w:t xml:space="preserve"> </w:t>
      </w:r>
    </w:p>
    <w:p w14:paraId="178FBA9A" w14:textId="071F7970" w:rsidR="00ED0A5B" w:rsidRPr="00D2518D" w:rsidRDefault="00BA303B" w:rsidP="00091619">
      <w:pPr>
        <w:pStyle w:val="LI-BodyTextParaa"/>
        <w:numPr>
          <w:ilvl w:val="1"/>
          <w:numId w:val="2"/>
        </w:numPr>
        <w:rPr>
          <w:bCs/>
        </w:rPr>
      </w:pPr>
      <w:r>
        <w:rPr>
          <w:bCs/>
        </w:rPr>
        <w:t>c</w:t>
      </w:r>
      <w:r w:rsidRPr="00D2518D">
        <w:rPr>
          <w:bCs/>
        </w:rPr>
        <w:t xml:space="preserve">ounterparty </w:t>
      </w:r>
      <w:r w:rsidR="00ED0A5B" w:rsidRPr="00D2518D">
        <w:rPr>
          <w:bCs/>
        </w:rPr>
        <w:t xml:space="preserve">information – such as an identifier for the counterparty to a </w:t>
      </w:r>
      <w:r>
        <w:rPr>
          <w:bCs/>
        </w:rPr>
        <w:t>d</w:t>
      </w:r>
      <w:r w:rsidRPr="00D2518D">
        <w:rPr>
          <w:bCs/>
        </w:rPr>
        <w:t xml:space="preserve">erivative </w:t>
      </w:r>
      <w:r w:rsidR="00ED0A5B" w:rsidRPr="00D2518D">
        <w:rPr>
          <w:bCs/>
        </w:rPr>
        <w:t>(</w:t>
      </w:r>
      <w:proofErr w:type="gramStart"/>
      <w:r w:rsidR="00ED0A5B" w:rsidRPr="00D2518D">
        <w:rPr>
          <w:bCs/>
        </w:rPr>
        <w:t>e.g.</w:t>
      </w:r>
      <w:proofErr w:type="gramEnd"/>
      <w:r w:rsidR="00ED0A5B" w:rsidRPr="00D2518D">
        <w:rPr>
          <w:bCs/>
        </w:rPr>
        <w:t xml:space="preserve"> a</w:t>
      </w:r>
      <w:r w:rsidR="00513076">
        <w:rPr>
          <w:bCs/>
        </w:rPr>
        <w:t>n</w:t>
      </w:r>
      <w:r w:rsidR="00ED0A5B" w:rsidRPr="00D2518D">
        <w:rPr>
          <w:bCs/>
        </w:rPr>
        <w:t xml:space="preserve"> </w:t>
      </w:r>
      <w:r>
        <w:rPr>
          <w:bCs/>
        </w:rPr>
        <w:t>LEI</w:t>
      </w:r>
      <w:r w:rsidR="00ED0A5B" w:rsidRPr="00D2518D">
        <w:rPr>
          <w:bCs/>
        </w:rPr>
        <w:t>)</w:t>
      </w:r>
      <w:r w:rsidR="00F119AF">
        <w:rPr>
          <w:bCs/>
        </w:rPr>
        <w:t>;</w:t>
      </w:r>
    </w:p>
    <w:p w14:paraId="7FF65E5D" w14:textId="048145FB" w:rsidR="00ED0A5B" w:rsidRPr="00D2518D" w:rsidRDefault="00BA303B" w:rsidP="00091619">
      <w:pPr>
        <w:pStyle w:val="LI-BodyTextParaa"/>
        <w:numPr>
          <w:ilvl w:val="1"/>
          <w:numId w:val="2"/>
        </w:numPr>
        <w:rPr>
          <w:bCs/>
        </w:rPr>
      </w:pPr>
      <w:r>
        <w:rPr>
          <w:bCs/>
        </w:rPr>
        <w:t>o</w:t>
      </w:r>
      <w:r w:rsidRPr="00D2518D">
        <w:rPr>
          <w:bCs/>
        </w:rPr>
        <w:t xml:space="preserve">perational </w:t>
      </w:r>
      <w:r w:rsidR="00ED0A5B" w:rsidRPr="00D2518D">
        <w:rPr>
          <w:bCs/>
        </w:rPr>
        <w:t xml:space="preserve">information – such as an identifier for the </w:t>
      </w:r>
      <w:r>
        <w:rPr>
          <w:bCs/>
        </w:rPr>
        <w:t>d</w:t>
      </w:r>
      <w:r w:rsidRPr="00D2518D">
        <w:rPr>
          <w:bCs/>
        </w:rPr>
        <w:t xml:space="preserve">erivative </w:t>
      </w:r>
      <w:r>
        <w:rPr>
          <w:bCs/>
        </w:rPr>
        <w:t>t</w:t>
      </w:r>
      <w:r w:rsidRPr="00D2518D">
        <w:rPr>
          <w:bCs/>
        </w:rPr>
        <w:t>ransaction</w:t>
      </w:r>
      <w:r w:rsidR="00ED0A5B" w:rsidRPr="00D2518D">
        <w:rPr>
          <w:bCs/>
        </w:rPr>
        <w:t xml:space="preserve">, information about the master agreement type and date, and information about whether the </w:t>
      </w:r>
      <w:r>
        <w:rPr>
          <w:bCs/>
        </w:rPr>
        <w:t>d</w:t>
      </w:r>
      <w:r w:rsidRPr="00D2518D">
        <w:rPr>
          <w:bCs/>
        </w:rPr>
        <w:t xml:space="preserve">erivative </w:t>
      </w:r>
      <w:r>
        <w:rPr>
          <w:bCs/>
        </w:rPr>
        <w:t>t</w:t>
      </w:r>
      <w:r w:rsidRPr="00D2518D">
        <w:rPr>
          <w:bCs/>
        </w:rPr>
        <w:t xml:space="preserve">ransaction </w:t>
      </w:r>
      <w:r w:rsidR="00ED0A5B" w:rsidRPr="00D2518D">
        <w:rPr>
          <w:bCs/>
        </w:rPr>
        <w:t xml:space="preserve">was traded on an execution venue, cleared and/or </w:t>
      </w:r>
      <w:proofErr w:type="gramStart"/>
      <w:r w:rsidR="00ED0A5B" w:rsidRPr="00D2518D">
        <w:rPr>
          <w:bCs/>
        </w:rPr>
        <w:t>confirmed</w:t>
      </w:r>
      <w:r w:rsidR="00F119AF">
        <w:rPr>
          <w:bCs/>
        </w:rPr>
        <w:t>;</w:t>
      </w:r>
      <w:proofErr w:type="gramEnd"/>
    </w:p>
    <w:p w14:paraId="298F0D5F" w14:textId="6A869D1F" w:rsidR="00ED0A5B" w:rsidRPr="00D2518D" w:rsidRDefault="00F119AF" w:rsidP="00091619">
      <w:pPr>
        <w:pStyle w:val="LI-BodyTextParaa"/>
        <w:numPr>
          <w:ilvl w:val="1"/>
          <w:numId w:val="2"/>
        </w:numPr>
        <w:rPr>
          <w:bCs/>
        </w:rPr>
      </w:pPr>
      <w:r>
        <w:rPr>
          <w:bCs/>
        </w:rPr>
        <w:t>p</w:t>
      </w:r>
      <w:r w:rsidR="00ED0A5B" w:rsidRPr="00D2518D">
        <w:rPr>
          <w:bCs/>
        </w:rPr>
        <w:t xml:space="preserve">roduct information – such as information about the type of </w:t>
      </w:r>
      <w:r>
        <w:rPr>
          <w:bCs/>
        </w:rPr>
        <w:t>d</w:t>
      </w:r>
      <w:r w:rsidRPr="00D2518D">
        <w:rPr>
          <w:bCs/>
        </w:rPr>
        <w:t xml:space="preserve">erivative </w:t>
      </w:r>
      <w:r w:rsidR="00ED0A5B" w:rsidRPr="00D2518D">
        <w:rPr>
          <w:bCs/>
        </w:rPr>
        <w:t>(</w:t>
      </w:r>
      <w:proofErr w:type="gramStart"/>
      <w:r w:rsidR="00ED0A5B" w:rsidRPr="00D2518D">
        <w:rPr>
          <w:bCs/>
        </w:rPr>
        <w:t>e.g.</w:t>
      </w:r>
      <w:proofErr w:type="gramEnd"/>
      <w:r w:rsidR="00ED0A5B" w:rsidRPr="00D2518D">
        <w:rPr>
          <w:bCs/>
        </w:rPr>
        <w:t xml:space="preserve"> swap, forward, option) and in the case of options, the exercise style (e.g. American, Asian, European or Bermudan)</w:t>
      </w:r>
      <w:r>
        <w:rPr>
          <w:bCs/>
        </w:rPr>
        <w:t>;</w:t>
      </w:r>
    </w:p>
    <w:p w14:paraId="7000CB74" w14:textId="67B5714D" w:rsidR="00ED0A5B" w:rsidRPr="00D2518D" w:rsidRDefault="00F119AF" w:rsidP="00091619">
      <w:pPr>
        <w:pStyle w:val="LI-BodyTextParaa"/>
        <w:numPr>
          <w:ilvl w:val="1"/>
          <w:numId w:val="2"/>
        </w:numPr>
        <w:rPr>
          <w:bCs/>
        </w:rPr>
      </w:pPr>
      <w:r>
        <w:rPr>
          <w:bCs/>
        </w:rPr>
        <w:t>t</w:t>
      </w:r>
      <w:r w:rsidRPr="00D2518D">
        <w:rPr>
          <w:bCs/>
        </w:rPr>
        <w:t xml:space="preserve">ransaction </w:t>
      </w:r>
      <w:r w:rsidR="00ED0A5B" w:rsidRPr="00D2518D">
        <w:rPr>
          <w:bCs/>
        </w:rPr>
        <w:t xml:space="preserve">economics – the material terms of a </w:t>
      </w:r>
      <w:r>
        <w:rPr>
          <w:bCs/>
        </w:rPr>
        <w:t>d</w:t>
      </w:r>
      <w:r w:rsidRPr="00D2518D">
        <w:rPr>
          <w:bCs/>
        </w:rPr>
        <w:t>erivative</w:t>
      </w:r>
      <w:r w:rsidR="00ED0A5B" w:rsidRPr="00D2518D">
        <w:rPr>
          <w:bCs/>
        </w:rPr>
        <w:t xml:space="preserve">, including effective dates, termination dates, notional amounts, coupon amounts and payment </w:t>
      </w:r>
      <w:proofErr w:type="gramStart"/>
      <w:r w:rsidR="00ED0A5B" w:rsidRPr="00D2518D">
        <w:rPr>
          <w:bCs/>
        </w:rPr>
        <w:t>schedules</w:t>
      </w:r>
      <w:r>
        <w:rPr>
          <w:bCs/>
        </w:rPr>
        <w:t>;</w:t>
      </w:r>
      <w:proofErr w:type="gramEnd"/>
    </w:p>
    <w:p w14:paraId="698A0817" w14:textId="2EEDAE19" w:rsidR="00ED0A5B" w:rsidRPr="00D2518D" w:rsidRDefault="00F119AF" w:rsidP="00091619">
      <w:pPr>
        <w:pStyle w:val="LI-BodyTextParaa"/>
        <w:numPr>
          <w:ilvl w:val="1"/>
          <w:numId w:val="2"/>
        </w:numPr>
        <w:rPr>
          <w:bCs/>
        </w:rPr>
      </w:pPr>
      <w:r>
        <w:rPr>
          <w:bCs/>
        </w:rPr>
        <w:t>e</w:t>
      </w:r>
      <w:r w:rsidRPr="00D2518D">
        <w:rPr>
          <w:bCs/>
        </w:rPr>
        <w:t xml:space="preserve">xposures </w:t>
      </w:r>
      <w:r w:rsidR="00ED0A5B" w:rsidRPr="00D2518D">
        <w:rPr>
          <w:bCs/>
        </w:rPr>
        <w:t xml:space="preserve">data – information about the mark-to-market, mark-to-model or other valuation of a </w:t>
      </w:r>
      <w:r>
        <w:rPr>
          <w:bCs/>
        </w:rPr>
        <w:t>d</w:t>
      </w:r>
      <w:r w:rsidRPr="00D2518D">
        <w:rPr>
          <w:bCs/>
        </w:rPr>
        <w:t>erivative</w:t>
      </w:r>
      <w:r w:rsidR="00ED0A5B" w:rsidRPr="00D2518D">
        <w:rPr>
          <w:bCs/>
        </w:rPr>
        <w:t xml:space="preserve">, and information about collateral exchanged on the </w:t>
      </w:r>
      <w:proofErr w:type="gramStart"/>
      <w:r>
        <w:rPr>
          <w:bCs/>
        </w:rPr>
        <w:t>d</w:t>
      </w:r>
      <w:r w:rsidRPr="00D2518D">
        <w:rPr>
          <w:bCs/>
        </w:rPr>
        <w:t>erivative</w:t>
      </w:r>
      <w:r>
        <w:rPr>
          <w:bCs/>
        </w:rPr>
        <w:t>;</w:t>
      </w:r>
      <w:proofErr w:type="gramEnd"/>
      <w:r w:rsidR="00ED0A5B" w:rsidRPr="00D2518D">
        <w:rPr>
          <w:bCs/>
        </w:rPr>
        <w:t xml:space="preserve"> </w:t>
      </w:r>
    </w:p>
    <w:p w14:paraId="6991ED65" w14:textId="6F3CC002" w:rsidR="007C7B28" w:rsidRDefault="00F119AF" w:rsidP="00091619">
      <w:pPr>
        <w:pStyle w:val="LI-BodyTextParaa"/>
        <w:numPr>
          <w:ilvl w:val="1"/>
          <w:numId w:val="2"/>
        </w:numPr>
        <w:rPr>
          <w:bCs/>
        </w:rPr>
      </w:pPr>
      <w:r>
        <w:rPr>
          <w:bCs/>
        </w:rPr>
        <w:t>e</w:t>
      </w:r>
      <w:r w:rsidRPr="00D2518D">
        <w:rPr>
          <w:bCs/>
        </w:rPr>
        <w:t xml:space="preserve">vent </w:t>
      </w:r>
      <w:r w:rsidR="00ED0A5B" w:rsidRPr="00D2518D">
        <w:rPr>
          <w:bCs/>
        </w:rPr>
        <w:t>data – information that records the occurrence of an event and includes a timestamp, such as a confirmation, clearing, execution or reporting timestamp.</w:t>
      </w:r>
    </w:p>
    <w:p w14:paraId="0C6B9C36" w14:textId="2AF1A312" w:rsidR="006068FE" w:rsidRDefault="00BB6CAE" w:rsidP="00091619">
      <w:pPr>
        <w:pStyle w:val="LI-BodyTextParaa"/>
        <w:numPr>
          <w:ilvl w:val="0"/>
          <w:numId w:val="2"/>
        </w:numPr>
        <w:rPr>
          <w:bCs/>
        </w:rPr>
      </w:pPr>
      <w:r>
        <w:rPr>
          <w:bCs/>
        </w:rPr>
        <w:t xml:space="preserve">As at the date the </w:t>
      </w:r>
      <w:r w:rsidR="00F119AF">
        <w:rPr>
          <w:bCs/>
        </w:rPr>
        <w:t xml:space="preserve">2022 </w:t>
      </w:r>
      <w:r>
        <w:rPr>
          <w:bCs/>
        </w:rPr>
        <w:t xml:space="preserve">Rules are made, </w:t>
      </w:r>
      <w:r w:rsidR="003B0C75">
        <w:rPr>
          <w:bCs/>
        </w:rPr>
        <w:t xml:space="preserve">exemption instruments modify the </w:t>
      </w:r>
      <w:r w:rsidR="009254E7">
        <w:rPr>
          <w:bCs/>
        </w:rPr>
        <w:t xml:space="preserve">information </w:t>
      </w:r>
      <w:r w:rsidR="003B0C75">
        <w:rPr>
          <w:bCs/>
        </w:rPr>
        <w:t xml:space="preserve">requirements, </w:t>
      </w:r>
      <w:r w:rsidR="00B329A6" w:rsidRPr="002E4BBC">
        <w:rPr>
          <w:bCs/>
        </w:rPr>
        <w:t xml:space="preserve">as summarised in the </w:t>
      </w:r>
      <w:r w:rsidR="00B329A6">
        <w:rPr>
          <w:bCs/>
        </w:rPr>
        <w:t>t</w:t>
      </w:r>
      <w:r w:rsidR="00B329A6" w:rsidRPr="002E4BBC">
        <w:rPr>
          <w:bCs/>
        </w:rPr>
        <w:t>able below.</w:t>
      </w:r>
    </w:p>
    <w:p w14:paraId="7A8993EA" w14:textId="77777777" w:rsidR="008D65A0" w:rsidRDefault="008D65A0" w:rsidP="00D12CBA">
      <w:pPr>
        <w:pStyle w:val="LI-BodyTextParaa"/>
        <w:spacing w:before="0"/>
        <w:ind w:left="0" w:firstLine="0"/>
        <w:rPr>
          <w:bCs/>
        </w:rPr>
      </w:pPr>
    </w:p>
    <w:tbl>
      <w:tblPr>
        <w:tblW w:w="0" w:type="auto"/>
        <w:tblBorders>
          <w:top w:val="single" w:sz="4" w:space="0" w:color="999999"/>
          <w:bottom w:val="single" w:sz="4" w:space="0" w:color="999999"/>
          <w:insideH w:val="single" w:sz="4" w:space="0" w:color="999999"/>
        </w:tblBorders>
        <w:tblCellMar>
          <w:bottom w:w="113" w:type="dxa"/>
        </w:tblCellMar>
        <w:tblLook w:val="0620" w:firstRow="1" w:lastRow="0" w:firstColumn="0" w:lastColumn="0" w:noHBand="1" w:noVBand="1"/>
      </w:tblPr>
      <w:tblGrid>
        <w:gridCol w:w="3625"/>
        <w:gridCol w:w="4688"/>
      </w:tblGrid>
      <w:tr w:rsidR="007C6DC7" w:rsidRPr="000540E1" w14:paraId="20135051" w14:textId="77777777" w:rsidTr="007C6DC7">
        <w:trPr>
          <w:cantSplit/>
          <w:tblHeader/>
        </w:trPr>
        <w:tc>
          <w:tcPr>
            <w:tcW w:w="0" w:type="auto"/>
            <w:shd w:val="clear" w:color="auto" w:fill="C2E3FA"/>
          </w:tcPr>
          <w:p w14:paraId="2374BB6A" w14:textId="47961F0B" w:rsidR="007C6DC7" w:rsidRDefault="007C6DC7" w:rsidP="007C6DC7">
            <w:pPr>
              <w:pStyle w:val="tablehead"/>
            </w:pPr>
            <w:r>
              <w:t>Legislative instrument</w:t>
            </w:r>
          </w:p>
        </w:tc>
        <w:tc>
          <w:tcPr>
            <w:tcW w:w="0" w:type="auto"/>
            <w:shd w:val="clear" w:color="auto" w:fill="C2E3FA"/>
          </w:tcPr>
          <w:p w14:paraId="4733048E" w14:textId="2611AE48" w:rsidR="007C6DC7" w:rsidRDefault="007C6DC7" w:rsidP="007C6DC7">
            <w:pPr>
              <w:pStyle w:val="tablehead"/>
            </w:pPr>
            <w:r>
              <w:t>Effect of legislative instrument</w:t>
            </w:r>
          </w:p>
        </w:tc>
      </w:tr>
      <w:tr w:rsidR="007C6DC7" w14:paraId="03E697C0" w14:textId="77777777" w:rsidTr="007C6DC7">
        <w:trPr>
          <w:cantSplit/>
        </w:trPr>
        <w:tc>
          <w:tcPr>
            <w:tcW w:w="0" w:type="auto"/>
            <w:tcBorders>
              <w:bottom w:val="nil"/>
            </w:tcBorders>
          </w:tcPr>
          <w:p w14:paraId="63849309" w14:textId="1D9E11A9" w:rsidR="007C6DC7" w:rsidRPr="001B717C" w:rsidRDefault="00AC7762" w:rsidP="007C6DC7">
            <w:pPr>
              <w:pStyle w:val="tbltext"/>
              <w:rPr>
                <w:i/>
                <w:iCs/>
              </w:rPr>
            </w:pPr>
            <w:r w:rsidRPr="001B717C">
              <w:rPr>
                <w:i/>
                <w:iCs/>
              </w:rPr>
              <w:t>ASIC Corporations (Derivative Transaction Reporting Exemption) Instrument 2015/844</w:t>
            </w:r>
          </w:p>
        </w:tc>
        <w:tc>
          <w:tcPr>
            <w:tcW w:w="0" w:type="auto"/>
            <w:tcBorders>
              <w:bottom w:val="nil"/>
            </w:tcBorders>
          </w:tcPr>
          <w:p w14:paraId="67A369AC" w14:textId="17E5BCB1" w:rsidR="007C6DC7" w:rsidRDefault="007C6DC7" w:rsidP="007C6DC7">
            <w:pPr>
              <w:pStyle w:val="tbltext"/>
            </w:pPr>
            <w:r>
              <w:t>Exemptions for:</w:t>
            </w:r>
          </w:p>
          <w:p w14:paraId="0319E639" w14:textId="77777777" w:rsidR="007C6DC7" w:rsidRDefault="007C6DC7" w:rsidP="00676F5A">
            <w:pPr>
              <w:pStyle w:val="tablebullet"/>
              <w:numPr>
                <w:ilvl w:val="0"/>
                <w:numId w:val="10"/>
              </w:numPr>
              <w:tabs>
                <w:tab w:val="num" w:pos="170"/>
              </w:tabs>
              <w:ind w:left="170" w:hanging="170"/>
            </w:pPr>
            <w:r>
              <w:t>entity name information where entity identifiers of certain types are reported</w:t>
            </w:r>
          </w:p>
        </w:tc>
      </w:tr>
      <w:tr w:rsidR="007C6DC7" w14:paraId="60893325" w14:textId="77777777" w:rsidTr="007C6DC7">
        <w:trPr>
          <w:cantSplit/>
        </w:trPr>
        <w:tc>
          <w:tcPr>
            <w:tcW w:w="0" w:type="auto"/>
            <w:tcBorders>
              <w:top w:val="nil"/>
              <w:bottom w:val="nil"/>
            </w:tcBorders>
          </w:tcPr>
          <w:p w14:paraId="40CDB7C5" w14:textId="77777777" w:rsidR="007C6DC7" w:rsidRPr="001B717C" w:rsidRDefault="007C6DC7" w:rsidP="007C6DC7">
            <w:pPr>
              <w:pStyle w:val="tablebullet"/>
              <w:numPr>
                <w:ilvl w:val="0"/>
                <w:numId w:val="0"/>
              </w:numPr>
              <w:rPr>
                <w:i/>
                <w:iCs/>
              </w:rPr>
            </w:pPr>
          </w:p>
        </w:tc>
        <w:tc>
          <w:tcPr>
            <w:tcW w:w="0" w:type="auto"/>
            <w:tcBorders>
              <w:top w:val="nil"/>
              <w:bottom w:val="nil"/>
            </w:tcBorders>
          </w:tcPr>
          <w:p w14:paraId="40584F35" w14:textId="7009BE12" w:rsidR="007C6DC7" w:rsidRDefault="007C6DC7" w:rsidP="00676F5A">
            <w:pPr>
              <w:pStyle w:val="tablebullet"/>
              <w:numPr>
                <w:ilvl w:val="0"/>
                <w:numId w:val="10"/>
              </w:numPr>
              <w:tabs>
                <w:tab w:val="num" w:pos="170"/>
              </w:tabs>
              <w:ind w:left="170" w:hanging="170"/>
            </w:pPr>
            <w:r>
              <w:t>entity identifiers where entity identifiers of certain types are applied for within two business days</w:t>
            </w:r>
          </w:p>
        </w:tc>
      </w:tr>
      <w:tr w:rsidR="007C6DC7" w14:paraId="2512BA51" w14:textId="77777777" w:rsidTr="007C6DC7">
        <w:trPr>
          <w:cantSplit/>
        </w:trPr>
        <w:tc>
          <w:tcPr>
            <w:tcW w:w="0" w:type="auto"/>
            <w:tcBorders>
              <w:top w:val="nil"/>
              <w:bottom w:val="nil"/>
            </w:tcBorders>
          </w:tcPr>
          <w:p w14:paraId="0AF33F38" w14:textId="77777777" w:rsidR="007C6DC7" w:rsidRDefault="007C6DC7" w:rsidP="007C6DC7">
            <w:pPr>
              <w:pStyle w:val="tablebullet"/>
              <w:numPr>
                <w:ilvl w:val="0"/>
                <w:numId w:val="0"/>
              </w:numPr>
            </w:pPr>
          </w:p>
        </w:tc>
        <w:tc>
          <w:tcPr>
            <w:tcW w:w="0" w:type="auto"/>
            <w:tcBorders>
              <w:top w:val="nil"/>
              <w:bottom w:val="nil"/>
            </w:tcBorders>
          </w:tcPr>
          <w:p w14:paraId="0A7C0A55" w14:textId="2F0FC487" w:rsidR="007C6DC7" w:rsidRDefault="007C6DC7" w:rsidP="00676F5A">
            <w:pPr>
              <w:pStyle w:val="tablebullet"/>
              <w:numPr>
                <w:ilvl w:val="0"/>
                <w:numId w:val="10"/>
              </w:numPr>
              <w:tabs>
                <w:tab w:val="num" w:pos="170"/>
              </w:tabs>
              <w:ind w:left="170" w:hanging="170"/>
            </w:pPr>
            <w:r>
              <w:t>entity identifiers for certain types of foreign counterparties in transactions entered into by NZ registered banks</w:t>
            </w:r>
          </w:p>
        </w:tc>
      </w:tr>
      <w:tr w:rsidR="007C6DC7" w14:paraId="36DEF5AE" w14:textId="77777777" w:rsidTr="007C6DC7">
        <w:trPr>
          <w:cantSplit/>
        </w:trPr>
        <w:tc>
          <w:tcPr>
            <w:tcW w:w="0" w:type="auto"/>
            <w:tcBorders>
              <w:top w:val="nil"/>
              <w:bottom w:val="nil"/>
            </w:tcBorders>
          </w:tcPr>
          <w:p w14:paraId="44CA446C" w14:textId="77777777" w:rsidR="007C6DC7" w:rsidRDefault="007C6DC7" w:rsidP="007C6DC7">
            <w:pPr>
              <w:pStyle w:val="tablebullet"/>
              <w:numPr>
                <w:ilvl w:val="0"/>
                <w:numId w:val="0"/>
              </w:numPr>
            </w:pPr>
          </w:p>
        </w:tc>
        <w:tc>
          <w:tcPr>
            <w:tcW w:w="0" w:type="auto"/>
            <w:tcBorders>
              <w:top w:val="nil"/>
              <w:bottom w:val="nil"/>
            </w:tcBorders>
          </w:tcPr>
          <w:p w14:paraId="5A828885" w14:textId="30CD0875" w:rsidR="007C6DC7" w:rsidRDefault="007C6DC7" w:rsidP="00676F5A">
            <w:pPr>
              <w:pStyle w:val="tablebullet"/>
              <w:numPr>
                <w:ilvl w:val="0"/>
                <w:numId w:val="10"/>
              </w:numPr>
              <w:tabs>
                <w:tab w:val="num" w:pos="170"/>
              </w:tabs>
              <w:ind w:left="170" w:hanging="170"/>
            </w:pPr>
            <w:r>
              <w:t>entity identifiers for counterparties who have entered into transactions as joint or joint and several counterparties</w:t>
            </w:r>
          </w:p>
        </w:tc>
      </w:tr>
      <w:tr w:rsidR="007C6DC7" w14:paraId="33591EE8" w14:textId="77777777" w:rsidTr="007C6DC7">
        <w:trPr>
          <w:cantSplit/>
        </w:trPr>
        <w:tc>
          <w:tcPr>
            <w:tcW w:w="0" w:type="auto"/>
            <w:tcBorders>
              <w:top w:val="nil"/>
              <w:bottom w:val="nil"/>
            </w:tcBorders>
          </w:tcPr>
          <w:p w14:paraId="5979369B" w14:textId="77777777" w:rsidR="007C6DC7" w:rsidRDefault="007C6DC7" w:rsidP="007C6DC7">
            <w:pPr>
              <w:pStyle w:val="tablebullet"/>
              <w:numPr>
                <w:ilvl w:val="0"/>
                <w:numId w:val="0"/>
              </w:numPr>
            </w:pPr>
          </w:p>
        </w:tc>
        <w:tc>
          <w:tcPr>
            <w:tcW w:w="0" w:type="auto"/>
            <w:tcBorders>
              <w:top w:val="nil"/>
              <w:bottom w:val="nil"/>
            </w:tcBorders>
          </w:tcPr>
          <w:p w14:paraId="2283EA02" w14:textId="1EAFCDDC" w:rsidR="007C6DC7" w:rsidRDefault="007C6DC7" w:rsidP="00676F5A">
            <w:pPr>
              <w:pStyle w:val="tablebullet"/>
              <w:numPr>
                <w:ilvl w:val="0"/>
                <w:numId w:val="10"/>
              </w:numPr>
              <w:tabs>
                <w:tab w:val="num" w:pos="170"/>
              </w:tabs>
              <w:ind w:left="170" w:hanging="170"/>
            </w:pPr>
            <w:r>
              <w:t>reference entity identifiers for certain types of credit derivatives where an identifier of a certain type is reported</w:t>
            </w:r>
          </w:p>
        </w:tc>
      </w:tr>
      <w:tr w:rsidR="007C6DC7" w14:paraId="32089DC6" w14:textId="77777777" w:rsidTr="007C6DC7">
        <w:trPr>
          <w:cantSplit/>
        </w:trPr>
        <w:tc>
          <w:tcPr>
            <w:tcW w:w="0" w:type="auto"/>
            <w:tcBorders>
              <w:top w:val="nil"/>
              <w:bottom w:val="nil"/>
            </w:tcBorders>
          </w:tcPr>
          <w:p w14:paraId="58C1F264" w14:textId="77777777" w:rsidR="007C6DC7" w:rsidRDefault="007C6DC7" w:rsidP="007C6DC7">
            <w:pPr>
              <w:pStyle w:val="tablebullet"/>
              <w:numPr>
                <w:ilvl w:val="0"/>
                <w:numId w:val="0"/>
              </w:numPr>
              <w:ind w:left="170" w:hanging="170"/>
            </w:pPr>
          </w:p>
        </w:tc>
        <w:tc>
          <w:tcPr>
            <w:tcW w:w="0" w:type="auto"/>
            <w:tcBorders>
              <w:top w:val="nil"/>
              <w:bottom w:val="nil"/>
            </w:tcBorders>
          </w:tcPr>
          <w:p w14:paraId="7D037488" w14:textId="1A30AF4E" w:rsidR="007C6DC7" w:rsidRDefault="007C6DC7" w:rsidP="00676F5A">
            <w:pPr>
              <w:pStyle w:val="tablebullet"/>
              <w:numPr>
                <w:ilvl w:val="0"/>
                <w:numId w:val="10"/>
              </w:numPr>
              <w:tabs>
                <w:tab w:val="num" w:pos="170"/>
              </w:tabs>
              <w:ind w:left="170" w:hanging="170"/>
            </w:pPr>
            <w:proofErr w:type="spellStart"/>
            <w:r>
              <w:t>UTIs</w:t>
            </w:r>
            <w:proofErr w:type="spellEnd"/>
            <w:r>
              <w:t xml:space="preserve"> other than identifiers generated under foreign rules or by certain trading platforms or confirmation platforms</w:t>
            </w:r>
          </w:p>
        </w:tc>
      </w:tr>
      <w:tr w:rsidR="007C6DC7" w14:paraId="4B8F9AC1" w14:textId="77777777" w:rsidTr="007C6DC7">
        <w:trPr>
          <w:cantSplit/>
        </w:trPr>
        <w:tc>
          <w:tcPr>
            <w:tcW w:w="0" w:type="auto"/>
            <w:tcBorders>
              <w:top w:val="nil"/>
            </w:tcBorders>
          </w:tcPr>
          <w:p w14:paraId="044C7EA4" w14:textId="77777777" w:rsidR="007C6DC7" w:rsidRDefault="007C6DC7" w:rsidP="007C6DC7">
            <w:pPr>
              <w:pStyle w:val="tablebullet"/>
              <w:numPr>
                <w:ilvl w:val="0"/>
                <w:numId w:val="0"/>
              </w:numPr>
              <w:ind w:left="170" w:hanging="170"/>
            </w:pPr>
          </w:p>
        </w:tc>
        <w:tc>
          <w:tcPr>
            <w:tcW w:w="0" w:type="auto"/>
            <w:tcBorders>
              <w:top w:val="nil"/>
            </w:tcBorders>
          </w:tcPr>
          <w:p w14:paraId="0F997C0A" w14:textId="237CC2DE" w:rsidR="007C6DC7" w:rsidRDefault="007C6DC7" w:rsidP="00676F5A">
            <w:pPr>
              <w:pStyle w:val="tablebullet"/>
              <w:numPr>
                <w:ilvl w:val="0"/>
                <w:numId w:val="10"/>
              </w:numPr>
              <w:tabs>
                <w:tab w:val="num" w:pos="170"/>
              </w:tabs>
              <w:ind w:left="170" w:hanging="170"/>
            </w:pPr>
            <w:r>
              <w:t>short-dated foreign exchange transactions facilitating foreign currency securities settlement</w:t>
            </w:r>
          </w:p>
        </w:tc>
      </w:tr>
    </w:tbl>
    <w:p w14:paraId="55F6DF8D" w14:textId="7EE46545" w:rsidR="00C52E7C" w:rsidRPr="00C52E7C" w:rsidRDefault="00C52E7C" w:rsidP="00863657">
      <w:pPr>
        <w:pStyle w:val="LI-BodyTextParaa"/>
        <w:ind w:left="567"/>
        <w:rPr>
          <w:u w:val="single"/>
        </w:rPr>
      </w:pPr>
      <w:r>
        <w:rPr>
          <w:u w:val="single"/>
        </w:rPr>
        <w:t xml:space="preserve">Legislative instrument </w:t>
      </w:r>
      <w:r w:rsidR="00610709">
        <w:rPr>
          <w:u w:val="single"/>
        </w:rPr>
        <w:t xml:space="preserve">and </w:t>
      </w:r>
      <w:r>
        <w:rPr>
          <w:u w:val="single"/>
        </w:rPr>
        <w:t>p</w:t>
      </w:r>
      <w:r w:rsidRPr="00C52E7C">
        <w:rPr>
          <w:u w:val="single"/>
        </w:rPr>
        <w:t>rimary legislation</w:t>
      </w:r>
    </w:p>
    <w:p w14:paraId="0EDD6BE0" w14:textId="686B75C9" w:rsidR="00961436" w:rsidRPr="00E950BE" w:rsidRDefault="00961436" w:rsidP="00091619">
      <w:pPr>
        <w:pStyle w:val="LI-BodyTextParaa"/>
        <w:numPr>
          <w:ilvl w:val="0"/>
          <w:numId w:val="2"/>
        </w:numPr>
        <w:rPr>
          <w:bCs/>
        </w:rPr>
      </w:pPr>
      <w:bookmarkStart w:id="20" w:name="_Hlk95918436"/>
      <w:r w:rsidRPr="00E950BE">
        <w:rPr>
          <w:bCs/>
        </w:rPr>
        <w:t>The</w:t>
      </w:r>
      <w:r w:rsidR="00E950BE">
        <w:rPr>
          <w:bCs/>
        </w:rPr>
        <w:t xml:space="preserve"> </w:t>
      </w:r>
      <w:r w:rsidRPr="00E950BE">
        <w:rPr>
          <w:bCs/>
        </w:rPr>
        <w:t>subject</w:t>
      </w:r>
      <w:r w:rsidR="00E950BE">
        <w:rPr>
          <w:bCs/>
        </w:rPr>
        <w:t xml:space="preserve"> </w:t>
      </w:r>
      <w:r w:rsidRPr="00E950BE">
        <w:rPr>
          <w:bCs/>
        </w:rPr>
        <w:t>matter</w:t>
      </w:r>
      <w:r w:rsidR="00E950BE">
        <w:rPr>
          <w:bCs/>
        </w:rPr>
        <w:t xml:space="preserve"> </w:t>
      </w:r>
      <w:r w:rsidRPr="00E950BE">
        <w:rPr>
          <w:bCs/>
        </w:rPr>
        <w:t>and</w:t>
      </w:r>
      <w:r w:rsidR="00E950BE">
        <w:rPr>
          <w:bCs/>
        </w:rPr>
        <w:t xml:space="preserve"> </w:t>
      </w:r>
      <w:r w:rsidRPr="00E950BE">
        <w:rPr>
          <w:bCs/>
        </w:rPr>
        <w:t>policy</w:t>
      </w:r>
      <w:r w:rsidR="00E950BE">
        <w:rPr>
          <w:bCs/>
        </w:rPr>
        <w:t xml:space="preserve"> </w:t>
      </w:r>
      <w:r w:rsidRPr="00E950BE">
        <w:rPr>
          <w:bCs/>
        </w:rPr>
        <w:t>implemented</w:t>
      </w:r>
      <w:r w:rsidR="00E950BE">
        <w:rPr>
          <w:bCs/>
        </w:rPr>
        <w:t xml:space="preserve"> </w:t>
      </w:r>
      <w:r w:rsidRPr="00E950BE">
        <w:rPr>
          <w:bCs/>
        </w:rPr>
        <w:t>by</w:t>
      </w:r>
      <w:r w:rsidR="00E950BE">
        <w:rPr>
          <w:bCs/>
        </w:rPr>
        <w:t xml:space="preserve"> </w:t>
      </w:r>
      <w:r w:rsidRPr="00E950BE">
        <w:rPr>
          <w:bCs/>
        </w:rPr>
        <w:t>this</w:t>
      </w:r>
      <w:r w:rsidR="00E950BE">
        <w:rPr>
          <w:bCs/>
        </w:rPr>
        <w:t xml:space="preserve"> </w:t>
      </w:r>
      <w:r w:rsidRPr="00E950BE">
        <w:rPr>
          <w:bCs/>
        </w:rPr>
        <w:t>instrument</w:t>
      </w:r>
      <w:r w:rsidR="00E950BE">
        <w:rPr>
          <w:bCs/>
        </w:rPr>
        <w:t xml:space="preserve"> </w:t>
      </w:r>
      <w:r w:rsidRPr="00E950BE">
        <w:rPr>
          <w:bCs/>
        </w:rPr>
        <w:t>is</w:t>
      </w:r>
      <w:r w:rsidR="00E950BE">
        <w:rPr>
          <w:bCs/>
        </w:rPr>
        <w:t xml:space="preserve"> </w:t>
      </w:r>
      <w:r w:rsidRPr="00E950BE">
        <w:rPr>
          <w:bCs/>
        </w:rPr>
        <w:t>more</w:t>
      </w:r>
      <w:r w:rsidR="00E950BE">
        <w:rPr>
          <w:bCs/>
        </w:rPr>
        <w:t xml:space="preserve"> </w:t>
      </w:r>
      <w:r w:rsidRPr="00E950BE">
        <w:rPr>
          <w:bCs/>
        </w:rPr>
        <w:t>appropriate</w:t>
      </w:r>
      <w:r w:rsidR="00E950BE">
        <w:rPr>
          <w:bCs/>
        </w:rPr>
        <w:t xml:space="preserve"> </w:t>
      </w:r>
      <w:r w:rsidRPr="00E950BE">
        <w:rPr>
          <w:bCs/>
        </w:rPr>
        <w:t>for</w:t>
      </w:r>
      <w:r w:rsidR="00E950BE">
        <w:rPr>
          <w:bCs/>
        </w:rPr>
        <w:t xml:space="preserve"> </w:t>
      </w:r>
      <w:r w:rsidRPr="00E950BE">
        <w:rPr>
          <w:bCs/>
        </w:rPr>
        <w:t>a</w:t>
      </w:r>
      <w:r w:rsidR="00E950BE">
        <w:rPr>
          <w:bCs/>
        </w:rPr>
        <w:t xml:space="preserve"> </w:t>
      </w:r>
      <w:r w:rsidRPr="00E950BE">
        <w:rPr>
          <w:bCs/>
        </w:rPr>
        <w:t>legislative</w:t>
      </w:r>
      <w:r w:rsidR="00E950BE">
        <w:rPr>
          <w:bCs/>
        </w:rPr>
        <w:t xml:space="preserve"> </w:t>
      </w:r>
      <w:r w:rsidRPr="00E950BE">
        <w:rPr>
          <w:bCs/>
        </w:rPr>
        <w:t>instrument</w:t>
      </w:r>
      <w:r w:rsidR="00E950BE">
        <w:rPr>
          <w:bCs/>
        </w:rPr>
        <w:t xml:space="preserve"> </w:t>
      </w:r>
      <w:r w:rsidRPr="00E950BE">
        <w:rPr>
          <w:bCs/>
        </w:rPr>
        <w:t>rather</w:t>
      </w:r>
      <w:r w:rsidR="00E950BE">
        <w:rPr>
          <w:bCs/>
        </w:rPr>
        <w:t xml:space="preserve"> </w:t>
      </w:r>
      <w:r w:rsidRPr="00E950BE">
        <w:rPr>
          <w:bCs/>
        </w:rPr>
        <w:t>than</w:t>
      </w:r>
      <w:r w:rsidR="00E950BE">
        <w:rPr>
          <w:bCs/>
        </w:rPr>
        <w:t xml:space="preserve"> </w:t>
      </w:r>
      <w:r w:rsidRPr="00E950BE">
        <w:rPr>
          <w:bCs/>
        </w:rPr>
        <w:t>primary</w:t>
      </w:r>
      <w:r w:rsidR="00E950BE">
        <w:rPr>
          <w:bCs/>
        </w:rPr>
        <w:t xml:space="preserve"> </w:t>
      </w:r>
      <w:r w:rsidRPr="00E950BE">
        <w:rPr>
          <w:bCs/>
        </w:rPr>
        <w:t>legislation</w:t>
      </w:r>
      <w:r w:rsidR="00E950BE">
        <w:rPr>
          <w:bCs/>
        </w:rPr>
        <w:t xml:space="preserve"> </w:t>
      </w:r>
      <w:r w:rsidRPr="00E950BE">
        <w:rPr>
          <w:bCs/>
        </w:rPr>
        <w:t>because:</w:t>
      </w:r>
      <w:bookmarkEnd w:id="20"/>
    </w:p>
    <w:p w14:paraId="5F8038D4" w14:textId="429000E5" w:rsidR="00961436" w:rsidRPr="00E950BE" w:rsidRDefault="00B32C1D" w:rsidP="00091619">
      <w:pPr>
        <w:pStyle w:val="LI-BodyTextParaa"/>
        <w:numPr>
          <w:ilvl w:val="1"/>
          <w:numId w:val="2"/>
        </w:numPr>
        <w:rPr>
          <w:bCs/>
        </w:rPr>
      </w:pPr>
      <w:r>
        <w:rPr>
          <w:bCs/>
        </w:rPr>
        <w:t>t</w:t>
      </w:r>
      <w:r w:rsidR="00961436" w:rsidRPr="00E950BE">
        <w:rPr>
          <w:bCs/>
        </w:rPr>
        <w:t>he</w:t>
      </w:r>
      <w:r w:rsidR="00E950BE">
        <w:rPr>
          <w:bCs/>
        </w:rPr>
        <w:t xml:space="preserve"> 2022 </w:t>
      </w:r>
      <w:r w:rsidR="00961436" w:rsidRPr="00E950BE">
        <w:rPr>
          <w:bCs/>
        </w:rPr>
        <w:t>Rules</w:t>
      </w:r>
      <w:r w:rsidR="00E950BE">
        <w:rPr>
          <w:bCs/>
        </w:rPr>
        <w:t xml:space="preserve"> </w:t>
      </w:r>
      <w:r w:rsidR="00961436" w:rsidRPr="00E950BE">
        <w:rPr>
          <w:bCs/>
        </w:rPr>
        <w:t>are</w:t>
      </w:r>
      <w:r w:rsidR="00E950BE">
        <w:rPr>
          <w:bCs/>
        </w:rPr>
        <w:t xml:space="preserve"> </w:t>
      </w:r>
      <w:r w:rsidR="00961436" w:rsidRPr="00E950BE">
        <w:rPr>
          <w:bCs/>
        </w:rPr>
        <w:t>made</w:t>
      </w:r>
      <w:r w:rsidR="00E950BE">
        <w:rPr>
          <w:bCs/>
        </w:rPr>
        <w:t xml:space="preserve"> </w:t>
      </w:r>
      <w:r w:rsidR="00961436" w:rsidRPr="00E950BE">
        <w:rPr>
          <w:bCs/>
        </w:rPr>
        <w:t>by</w:t>
      </w:r>
      <w:r w:rsidR="00E950BE">
        <w:rPr>
          <w:bCs/>
        </w:rPr>
        <w:t xml:space="preserve"> </w:t>
      </w:r>
      <w:r w:rsidR="00961436" w:rsidRPr="00E950BE">
        <w:rPr>
          <w:bCs/>
        </w:rPr>
        <w:t>ASIC</w:t>
      </w:r>
      <w:r w:rsidR="00E950BE">
        <w:rPr>
          <w:bCs/>
        </w:rPr>
        <w:t xml:space="preserve"> </w:t>
      </w:r>
      <w:r w:rsidR="00961436" w:rsidRPr="00E950BE">
        <w:rPr>
          <w:bCs/>
        </w:rPr>
        <w:t>utilising</w:t>
      </w:r>
      <w:r w:rsidR="00E950BE">
        <w:rPr>
          <w:bCs/>
        </w:rPr>
        <w:t xml:space="preserve"> </w:t>
      </w:r>
      <w:r w:rsidR="00961436" w:rsidRPr="00E950BE">
        <w:rPr>
          <w:bCs/>
        </w:rPr>
        <w:t>powers</w:t>
      </w:r>
      <w:r w:rsidR="00E950BE">
        <w:rPr>
          <w:bCs/>
        </w:rPr>
        <w:t xml:space="preserve"> </w:t>
      </w:r>
      <w:r w:rsidR="00961436" w:rsidRPr="00E950BE">
        <w:rPr>
          <w:bCs/>
        </w:rPr>
        <w:t>given</w:t>
      </w:r>
      <w:r w:rsidR="00E950BE">
        <w:rPr>
          <w:bCs/>
        </w:rPr>
        <w:t xml:space="preserve"> </w:t>
      </w:r>
      <w:r w:rsidR="00961436" w:rsidRPr="00E950BE">
        <w:rPr>
          <w:bCs/>
        </w:rPr>
        <w:t>by</w:t>
      </w:r>
      <w:r w:rsidR="00E950BE">
        <w:rPr>
          <w:bCs/>
        </w:rPr>
        <w:t xml:space="preserve"> </w:t>
      </w:r>
      <w:r w:rsidR="00961436" w:rsidRPr="00E950BE">
        <w:rPr>
          <w:bCs/>
        </w:rPr>
        <w:t>Parliament</w:t>
      </w:r>
      <w:r w:rsidR="00E950BE">
        <w:rPr>
          <w:bCs/>
        </w:rPr>
        <w:t xml:space="preserve"> </w:t>
      </w:r>
      <w:r w:rsidR="00961436" w:rsidRPr="00E950BE">
        <w:rPr>
          <w:bCs/>
        </w:rPr>
        <w:t>to</w:t>
      </w:r>
      <w:r w:rsidR="00E950BE">
        <w:rPr>
          <w:bCs/>
        </w:rPr>
        <w:t xml:space="preserve"> </w:t>
      </w:r>
      <w:r w:rsidR="00961436" w:rsidRPr="00E950BE">
        <w:rPr>
          <w:bCs/>
        </w:rPr>
        <w:t>ASIC</w:t>
      </w:r>
      <w:r w:rsidR="00E950BE">
        <w:rPr>
          <w:bCs/>
        </w:rPr>
        <w:t xml:space="preserve"> </w:t>
      </w:r>
      <w:r w:rsidR="00961436" w:rsidRPr="00E950BE">
        <w:rPr>
          <w:bCs/>
        </w:rPr>
        <w:t>that</w:t>
      </w:r>
      <w:r w:rsidR="00E950BE">
        <w:rPr>
          <w:bCs/>
        </w:rPr>
        <w:t xml:space="preserve"> </w:t>
      </w:r>
      <w:r w:rsidR="00961436" w:rsidRPr="00E950BE">
        <w:rPr>
          <w:bCs/>
        </w:rPr>
        <w:t>allow</w:t>
      </w:r>
      <w:r w:rsidR="00E950BE">
        <w:rPr>
          <w:bCs/>
        </w:rPr>
        <w:t xml:space="preserve"> </w:t>
      </w:r>
      <w:r w:rsidR="00961436" w:rsidRPr="00E950BE">
        <w:rPr>
          <w:bCs/>
        </w:rPr>
        <w:t>ASIC</w:t>
      </w:r>
      <w:r w:rsidR="00E950BE">
        <w:rPr>
          <w:bCs/>
        </w:rPr>
        <w:t xml:space="preserve"> </w:t>
      </w:r>
      <w:r w:rsidR="00961436" w:rsidRPr="00E950BE">
        <w:rPr>
          <w:bCs/>
        </w:rPr>
        <w:t>to</w:t>
      </w:r>
      <w:r w:rsidR="00E950BE">
        <w:rPr>
          <w:bCs/>
        </w:rPr>
        <w:t xml:space="preserve"> </w:t>
      </w:r>
      <w:r w:rsidR="00961436" w:rsidRPr="00E950BE">
        <w:rPr>
          <w:bCs/>
        </w:rPr>
        <w:t>make</w:t>
      </w:r>
      <w:r w:rsidR="00E950BE">
        <w:rPr>
          <w:bCs/>
        </w:rPr>
        <w:t xml:space="preserve"> derivative transaction </w:t>
      </w:r>
      <w:r w:rsidR="00961436" w:rsidRPr="00E950BE">
        <w:rPr>
          <w:bCs/>
        </w:rPr>
        <w:t>rules</w:t>
      </w:r>
      <w:r w:rsidR="00E950BE">
        <w:rPr>
          <w:bCs/>
        </w:rPr>
        <w:t xml:space="preserve"> </w:t>
      </w:r>
      <w:r w:rsidR="00961436" w:rsidRPr="00E950BE">
        <w:rPr>
          <w:bCs/>
        </w:rPr>
        <w:t>that</w:t>
      </w:r>
      <w:r w:rsidR="00E950BE">
        <w:rPr>
          <w:bCs/>
        </w:rPr>
        <w:t xml:space="preserve"> impose reporting requirements </w:t>
      </w:r>
      <w:r w:rsidR="001008CD">
        <w:rPr>
          <w:bCs/>
        </w:rPr>
        <w:t xml:space="preserve">upon persons to report information about derivative transactions to a derivative trade </w:t>
      </w:r>
      <w:proofErr w:type="gramStart"/>
      <w:r w:rsidR="001008CD">
        <w:rPr>
          <w:bCs/>
        </w:rPr>
        <w:t>repository</w:t>
      </w:r>
      <w:r>
        <w:rPr>
          <w:bCs/>
        </w:rPr>
        <w:t>;</w:t>
      </w:r>
      <w:proofErr w:type="gramEnd"/>
      <w:r>
        <w:rPr>
          <w:bCs/>
        </w:rPr>
        <w:t xml:space="preserve"> and</w:t>
      </w:r>
    </w:p>
    <w:p w14:paraId="55110FA8" w14:textId="297F2E8E" w:rsidR="00961436" w:rsidRPr="00E950BE" w:rsidRDefault="00B32C1D" w:rsidP="00091619">
      <w:pPr>
        <w:pStyle w:val="LI-BodyTextParaa"/>
        <w:numPr>
          <w:ilvl w:val="1"/>
          <w:numId w:val="2"/>
        </w:numPr>
        <w:rPr>
          <w:bCs/>
        </w:rPr>
      </w:pPr>
      <w:r>
        <w:rPr>
          <w:bCs/>
        </w:rPr>
        <w:t>t</w:t>
      </w:r>
      <w:r w:rsidR="00961436" w:rsidRPr="00E950BE">
        <w:rPr>
          <w:bCs/>
        </w:rPr>
        <w:t>he</w:t>
      </w:r>
      <w:r w:rsidR="00E950BE">
        <w:rPr>
          <w:bCs/>
        </w:rPr>
        <w:t xml:space="preserve"> </w:t>
      </w:r>
      <w:bookmarkStart w:id="21" w:name="_Hlk87970799"/>
      <w:r w:rsidR="001008CD">
        <w:rPr>
          <w:bCs/>
        </w:rPr>
        <w:t>2022</w:t>
      </w:r>
      <w:r w:rsidR="00E950BE">
        <w:rPr>
          <w:bCs/>
        </w:rPr>
        <w:t xml:space="preserve"> </w:t>
      </w:r>
      <w:r w:rsidR="00961436" w:rsidRPr="00E950BE">
        <w:rPr>
          <w:bCs/>
        </w:rPr>
        <w:t>Rules</w:t>
      </w:r>
      <w:r w:rsidR="00E950BE">
        <w:rPr>
          <w:bCs/>
        </w:rPr>
        <w:t xml:space="preserve"> </w:t>
      </w:r>
      <w:r w:rsidR="00961436" w:rsidRPr="00E950BE">
        <w:rPr>
          <w:bCs/>
        </w:rPr>
        <w:t>contain</w:t>
      </w:r>
      <w:r w:rsidR="00E950BE">
        <w:rPr>
          <w:bCs/>
        </w:rPr>
        <w:t xml:space="preserve"> </w:t>
      </w:r>
      <w:r w:rsidR="00961436" w:rsidRPr="00E950BE">
        <w:rPr>
          <w:bCs/>
        </w:rPr>
        <w:t>technical</w:t>
      </w:r>
      <w:r w:rsidR="00E950BE">
        <w:rPr>
          <w:bCs/>
        </w:rPr>
        <w:t xml:space="preserve"> </w:t>
      </w:r>
      <w:r w:rsidR="00961436" w:rsidRPr="00E950BE">
        <w:rPr>
          <w:bCs/>
        </w:rPr>
        <w:t>detail</w:t>
      </w:r>
      <w:r w:rsidR="00E950BE">
        <w:rPr>
          <w:bCs/>
        </w:rPr>
        <w:t xml:space="preserve"> </w:t>
      </w:r>
      <w:r w:rsidR="00961436" w:rsidRPr="00E950BE">
        <w:rPr>
          <w:bCs/>
        </w:rPr>
        <w:t>which</w:t>
      </w:r>
      <w:r w:rsidR="00E950BE">
        <w:rPr>
          <w:bCs/>
        </w:rPr>
        <w:t xml:space="preserve"> </w:t>
      </w:r>
      <w:r w:rsidR="00961436" w:rsidRPr="00E950BE">
        <w:rPr>
          <w:bCs/>
        </w:rPr>
        <w:t>would</w:t>
      </w:r>
      <w:r w:rsidR="00E950BE">
        <w:rPr>
          <w:bCs/>
        </w:rPr>
        <w:t xml:space="preserve"> </w:t>
      </w:r>
      <w:r w:rsidR="00961436" w:rsidRPr="00E950BE">
        <w:rPr>
          <w:bCs/>
        </w:rPr>
        <w:t>otherwise</w:t>
      </w:r>
      <w:r w:rsidR="00E950BE">
        <w:rPr>
          <w:bCs/>
        </w:rPr>
        <w:t xml:space="preserve"> </w:t>
      </w:r>
      <w:r w:rsidR="00961436" w:rsidRPr="00E950BE">
        <w:rPr>
          <w:bCs/>
        </w:rPr>
        <w:t>introduce</w:t>
      </w:r>
      <w:r w:rsidR="00E950BE">
        <w:rPr>
          <w:bCs/>
        </w:rPr>
        <w:t xml:space="preserve"> </w:t>
      </w:r>
      <w:r w:rsidR="00961436" w:rsidRPr="00E950BE">
        <w:rPr>
          <w:bCs/>
        </w:rPr>
        <w:t>unnecessary</w:t>
      </w:r>
      <w:r w:rsidR="00E950BE">
        <w:rPr>
          <w:bCs/>
        </w:rPr>
        <w:t xml:space="preserve"> </w:t>
      </w:r>
      <w:r w:rsidR="00961436" w:rsidRPr="00E950BE">
        <w:rPr>
          <w:bCs/>
        </w:rPr>
        <w:t>complexity</w:t>
      </w:r>
      <w:r w:rsidR="00E950BE">
        <w:rPr>
          <w:bCs/>
        </w:rPr>
        <w:t xml:space="preserve"> </w:t>
      </w:r>
      <w:r w:rsidR="00961436" w:rsidRPr="00E950BE">
        <w:rPr>
          <w:bCs/>
        </w:rPr>
        <w:t>to</w:t>
      </w:r>
      <w:r w:rsidR="00E950BE">
        <w:rPr>
          <w:bCs/>
        </w:rPr>
        <w:t xml:space="preserve"> </w:t>
      </w:r>
      <w:r w:rsidR="00961436" w:rsidRPr="00E950BE">
        <w:rPr>
          <w:bCs/>
        </w:rPr>
        <w:t>the</w:t>
      </w:r>
      <w:r w:rsidR="00E950BE">
        <w:rPr>
          <w:bCs/>
        </w:rPr>
        <w:t xml:space="preserve"> </w:t>
      </w:r>
      <w:r w:rsidR="00961436" w:rsidRPr="00E950BE">
        <w:rPr>
          <w:bCs/>
        </w:rPr>
        <w:t>primary</w:t>
      </w:r>
      <w:r w:rsidR="00E950BE">
        <w:rPr>
          <w:bCs/>
        </w:rPr>
        <w:t xml:space="preserve"> </w:t>
      </w:r>
      <w:r w:rsidR="00961436" w:rsidRPr="00E950BE">
        <w:rPr>
          <w:bCs/>
        </w:rPr>
        <w:t>legislation</w:t>
      </w:r>
      <w:bookmarkEnd w:id="21"/>
      <w:r w:rsidR="00961436" w:rsidRPr="00E950BE">
        <w:rPr>
          <w:bCs/>
        </w:rPr>
        <w:t>.</w:t>
      </w:r>
      <w:r w:rsidR="00E950BE">
        <w:rPr>
          <w:bCs/>
        </w:rPr>
        <w:t xml:space="preserve"> </w:t>
      </w:r>
      <w:r w:rsidR="00961436" w:rsidRPr="00E950BE">
        <w:rPr>
          <w:bCs/>
        </w:rPr>
        <w:t>As</w:t>
      </w:r>
      <w:r w:rsidR="00E950BE">
        <w:rPr>
          <w:bCs/>
        </w:rPr>
        <w:t xml:space="preserve"> </w:t>
      </w:r>
      <w:r w:rsidR="00961436" w:rsidRPr="00E950BE">
        <w:rPr>
          <w:bCs/>
        </w:rPr>
        <w:t>a</w:t>
      </w:r>
      <w:r w:rsidR="00E950BE">
        <w:rPr>
          <w:bCs/>
        </w:rPr>
        <w:t xml:space="preserve"> </w:t>
      </w:r>
      <w:r w:rsidR="00961436" w:rsidRPr="00E950BE">
        <w:rPr>
          <w:bCs/>
        </w:rPr>
        <w:t>consequence,</w:t>
      </w:r>
      <w:r w:rsidR="00E950BE">
        <w:rPr>
          <w:bCs/>
        </w:rPr>
        <w:t xml:space="preserve"> </w:t>
      </w:r>
      <w:r w:rsidR="00961436" w:rsidRPr="00E950BE">
        <w:rPr>
          <w:bCs/>
        </w:rPr>
        <w:t>if</w:t>
      </w:r>
      <w:r w:rsidR="00E950BE">
        <w:rPr>
          <w:bCs/>
        </w:rPr>
        <w:t xml:space="preserve"> </w:t>
      </w:r>
      <w:r w:rsidR="00961436" w:rsidRPr="00E950BE">
        <w:rPr>
          <w:bCs/>
        </w:rPr>
        <w:t>the</w:t>
      </w:r>
      <w:r w:rsidR="00E950BE">
        <w:rPr>
          <w:bCs/>
        </w:rPr>
        <w:t xml:space="preserve"> </w:t>
      </w:r>
      <w:r w:rsidR="00961436" w:rsidRPr="00E950BE">
        <w:rPr>
          <w:bCs/>
        </w:rPr>
        <w:t>matters</w:t>
      </w:r>
      <w:r w:rsidR="00E950BE">
        <w:rPr>
          <w:bCs/>
        </w:rPr>
        <w:t xml:space="preserve"> </w:t>
      </w:r>
      <w:r w:rsidR="00961436" w:rsidRPr="00E950BE">
        <w:rPr>
          <w:bCs/>
        </w:rPr>
        <w:t>in</w:t>
      </w:r>
      <w:r w:rsidR="00E950BE">
        <w:rPr>
          <w:bCs/>
        </w:rPr>
        <w:t xml:space="preserve"> </w:t>
      </w:r>
      <w:r w:rsidR="00961436" w:rsidRPr="00E950BE">
        <w:rPr>
          <w:bCs/>
        </w:rPr>
        <w:t>the</w:t>
      </w:r>
      <w:r w:rsidR="00E950BE">
        <w:rPr>
          <w:bCs/>
        </w:rPr>
        <w:t xml:space="preserve"> </w:t>
      </w:r>
      <w:r w:rsidR="001008CD">
        <w:rPr>
          <w:bCs/>
        </w:rPr>
        <w:t>2022</w:t>
      </w:r>
      <w:r w:rsidR="00E950BE">
        <w:rPr>
          <w:bCs/>
        </w:rPr>
        <w:t xml:space="preserve"> </w:t>
      </w:r>
      <w:r w:rsidR="00961436" w:rsidRPr="00E950BE">
        <w:rPr>
          <w:bCs/>
        </w:rPr>
        <w:t>Rules</w:t>
      </w:r>
      <w:r w:rsidR="00E950BE">
        <w:rPr>
          <w:bCs/>
        </w:rPr>
        <w:t xml:space="preserve"> </w:t>
      </w:r>
      <w:r w:rsidR="00961436" w:rsidRPr="00E950BE">
        <w:rPr>
          <w:bCs/>
        </w:rPr>
        <w:t>were</w:t>
      </w:r>
      <w:r w:rsidR="00E950BE">
        <w:rPr>
          <w:bCs/>
        </w:rPr>
        <w:t xml:space="preserve"> </w:t>
      </w:r>
      <w:r w:rsidR="00961436" w:rsidRPr="00E950BE">
        <w:rPr>
          <w:bCs/>
        </w:rPr>
        <w:t>to</w:t>
      </w:r>
      <w:r w:rsidR="00E950BE">
        <w:rPr>
          <w:bCs/>
        </w:rPr>
        <w:t xml:space="preserve"> </w:t>
      </w:r>
      <w:r w:rsidR="00961436" w:rsidRPr="00E950BE">
        <w:rPr>
          <w:bCs/>
        </w:rPr>
        <w:t>be</w:t>
      </w:r>
      <w:r w:rsidR="00E950BE">
        <w:rPr>
          <w:bCs/>
        </w:rPr>
        <w:t xml:space="preserve"> </w:t>
      </w:r>
      <w:r w:rsidR="00961436" w:rsidRPr="00E950BE">
        <w:rPr>
          <w:bCs/>
        </w:rPr>
        <w:t>inserted</w:t>
      </w:r>
      <w:r w:rsidR="00E950BE">
        <w:rPr>
          <w:bCs/>
        </w:rPr>
        <w:t xml:space="preserve"> </w:t>
      </w:r>
      <w:r w:rsidR="00961436" w:rsidRPr="00E950BE">
        <w:rPr>
          <w:bCs/>
        </w:rPr>
        <w:t>into</w:t>
      </w:r>
      <w:r w:rsidR="00E950BE">
        <w:rPr>
          <w:bCs/>
        </w:rPr>
        <w:t xml:space="preserve"> </w:t>
      </w:r>
      <w:r w:rsidR="00961436" w:rsidRPr="00E950BE">
        <w:rPr>
          <w:bCs/>
        </w:rPr>
        <w:t>the</w:t>
      </w:r>
      <w:r w:rsidR="00E950BE">
        <w:rPr>
          <w:bCs/>
        </w:rPr>
        <w:t xml:space="preserve"> </w:t>
      </w:r>
      <w:r w:rsidR="00961436" w:rsidRPr="00E950BE">
        <w:rPr>
          <w:bCs/>
        </w:rPr>
        <w:t>primary</w:t>
      </w:r>
      <w:r w:rsidR="00E950BE">
        <w:rPr>
          <w:bCs/>
        </w:rPr>
        <w:t xml:space="preserve"> </w:t>
      </w:r>
      <w:r w:rsidR="00961436" w:rsidRPr="00E950BE">
        <w:rPr>
          <w:bCs/>
        </w:rPr>
        <w:t>legislation,</w:t>
      </w:r>
      <w:r w:rsidR="00E950BE">
        <w:rPr>
          <w:bCs/>
        </w:rPr>
        <w:t xml:space="preserve"> </w:t>
      </w:r>
      <w:r w:rsidR="00961436" w:rsidRPr="00E950BE">
        <w:rPr>
          <w:bCs/>
        </w:rPr>
        <w:t>they</w:t>
      </w:r>
      <w:r w:rsidR="00E950BE">
        <w:rPr>
          <w:bCs/>
        </w:rPr>
        <w:t xml:space="preserve"> </w:t>
      </w:r>
      <w:r w:rsidR="00961436" w:rsidRPr="00E950BE">
        <w:rPr>
          <w:bCs/>
        </w:rPr>
        <w:t>would</w:t>
      </w:r>
      <w:r w:rsidR="00E950BE">
        <w:rPr>
          <w:bCs/>
        </w:rPr>
        <w:t xml:space="preserve"> </w:t>
      </w:r>
      <w:r w:rsidR="00961436" w:rsidRPr="00E950BE">
        <w:rPr>
          <w:bCs/>
        </w:rPr>
        <w:t>insert,</w:t>
      </w:r>
      <w:r w:rsidR="00E950BE">
        <w:rPr>
          <w:bCs/>
        </w:rPr>
        <w:t xml:space="preserve"> </w:t>
      </w:r>
      <w:r w:rsidR="00961436" w:rsidRPr="00E950BE">
        <w:rPr>
          <w:bCs/>
        </w:rPr>
        <w:t>into</w:t>
      </w:r>
      <w:r w:rsidR="00E950BE">
        <w:rPr>
          <w:bCs/>
        </w:rPr>
        <w:t xml:space="preserve"> </w:t>
      </w:r>
      <w:r w:rsidR="00961436" w:rsidRPr="00E950BE">
        <w:rPr>
          <w:bCs/>
        </w:rPr>
        <w:t>an</w:t>
      </w:r>
      <w:r w:rsidR="00E950BE">
        <w:rPr>
          <w:bCs/>
        </w:rPr>
        <w:t xml:space="preserve"> </w:t>
      </w:r>
      <w:r w:rsidR="00961436" w:rsidRPr="00E950BE">
        <w:rPr>
          <w:bCs/>
        </w:rPr>
        <w:t>already</w:t>
      </w:r>
      <w:r w:rsidR="00E950BE">
        <w:rPr>
          <w:bCs/>
        </w:rPr>
        <w:t xml:space="preserve"> </w:t>
      </w:r>
      <w:r w:rsidR="00961436" w:rsidRPr="00E950BE">
        <w:rPr>
          <w:bCs/>
        </w:rPr>
        <w:t>complex</w:t>
      </w:r>
      <w:r w:rsidR="00E950BE">
        <w:rPr>
          <w:bCs/>
        </w:rPr>
        <w:t xml:space="preserve"> </w:t>
      </w:r>
      <w:r w:rsidR="00961436" w:rsidRPr="00E950BE">
        <w:rPr>
          <w:bCs/>
        </w:rPr>
        <w:t>statutory</w:t>
      </w:r>
      <w:r w:rsidR="00E950BE">
        <w:rPr>
          <w:bCs/>
        </w:rPr>
        <w:t xml:space="preserve"> </w:t>
      </w:r>
      <w:r w:rsidR="00961436" w:rsidRPr="00E950BE">
        <w:rPr>
          <w:bCs/>
        </w:rPr>
        <w:t>framework,</w:t>
      </w:r>
      <w:r w:rsidR="00E950BE">
        <w:rPr>
          <w:bCs/>
        </w:rPr>
        <w:t xml:space="preserve"> </w:t>
      </w:r>
      <w:r w:rsidR="00961436" w:rsidRPr="00E950BE">
        <w:rPr>
          <w:bCs/>
        </w:rPr>
        <w:t>a</w:t>
      </w:r>
      <w:r w:rsidR="00E950BE">
        <w:rPr>
          <w:bCs/>
        </w:rPr>
        <w:t xml:space="preserve"> </w:t>
      </w:r>
      <w:r w:rsidR="00961436" w:rsidRPr="00E950BE">
        <w:rPr>
          <w:bCs/>
        </w:rPr>
        <w:t>set</w:t>
      </w:r>
      <w:r w:rsidR="00E950BE">
        <w:rPr>
          <w:bCs/>
        </w:rPr>
        <w:t xml:space="preserve"> </w:t>
      </w:r>
      <w:r w:rsidR="00961436" w:rsidRPr="00E950BE">
        <w:rPr>
          <w:bCs/>
        </w:rPr>
        <w:t>of</w:t>
      </w:r>
      <w:r w:rsidR="00E950BE">
        <w:rPr>
          <w:bCs/>
        </w:rPr>
        <w:t xml:space="preserve"> </w:t>
      </w:r>
      <w:r w:rsidR="00961436" w:rsidRPr="00E950BE">
        <w:rPr>
          <w:bCs/>
        </w:rPr>
        <w:t>provisions</w:t>
      </w:r>
      <w:r w:rsidR="00E950BE">
        <w:rPr>
          <w:bCs/>
        </w:rPr>
        <w:t xml:space="preserve"> </w:t>
      </w:r>
      <w:r w:rsidR="00961436" w:rsidRPr="00E950BE">
        <w:rPr>
          <w:bCs/>
        </w:rPr>
        <w:t>that</w:t>
      </w:r>
      <w:r w:rsidR="00E950BE">
        <w:rPr>
          <w:bCs/>
        </w:rPr>
        <w:t xml:space="preserve"> </w:t>
      </w:r>
      <w:r w:rsidR="00961436" w:rsidRPr="00E950BE">
        <w:rPr>
          <w:bCs/>
        </w:rPr>
        <w:t>are</w:t>
      </w:r>
      <w:r w:rsidR="00E950BE">
        <w:rPr>
          <w:bCs/>
        </w:rPr>
        <w:t xml:space="preserve"> </w:t>
      </w:r>
      <w:r w:rsidR="00961436" w:rsidRPr="00E950BE">
        <w:rPr>
          <w:bCs/>
        </w:rPr>
        <w:t>highly</w:t>
      </w:r>
      <w:r w:rsidR="00E950BE">
        <w:rPr>
          <w:bCs/>
        </w:rPr>
        <w:t xml:space="preserve"> </w:t>
      </w:r>
      <w:r w:rsidR="00961436" w:rsidRPr="00E950BE">
        <w:rPr>
          <w:bCs/>
        </w:rPr>
        <w:t>specific</w:t>
      </w:r>
      <w:r w:rsidR="00E950BE">
        <w:rPr>
          <w:bCs/>
        </w:rPr>
        <w:t xml:space="preserve"> </w:t>
      </w:r>
      <w:r w:rsidR="00961436" w:rsidRPr="00E950BE">
        <w:rPr>
          <w:bCs/>
        </w:rPr>
        <w:t>in</w:t>
      </w:r>
      <w:r w:rsidR="00E950BE">
        <w:rPr>
          <w:bCs/>
        </w:rPr>
        <w:t xml:space="preserve"> </w:t>
      </w:r>
      <w:r w:rsidR="00961436" w:rsidRPr="00E950BE">
        <w:rPr>
          <w:bCs/>
        </w:rPr>
        <w:t>nature</w:t>
      </w:r>
      <w:r w:rsidR="00E950BE">
        <w:rPr>
          <w:bCs/>
        </w:rPr>
        <w:t xml:space="preserve"> </w:t>
      </w:r>
      <w:r w:rsidR="00961436" w:rsidRPr="00E950BE">
        <w:rPr>
          <w:bCs/>
        </w:rPr>
        <w:t>and</w:t>
      </w:r>
      <w:r w:rsidR="00E950BE">
        <w:rPr>
          <w:bCs/>
        </w:rPr>
        <w:t xml:space="preserve"> </w:t>
      </w:r>
      <w:r w:rsidR="00961436" w:rsidRPr="00E950BE">
        <w:rPr>
          <w:bCs/>
        </w:rPr>
        <w:t>may</w:t>
      </w:r>
      <w:r w:rsidR="00E950BE">
        <w:rPr>
          <w:bCs/>
        </w:rPr>
        <w:t xml:space="preserve"> </w:t>
      </w:r>
      <w:r w:rsidR="00142B22">
        <w:rPr>
          <w:bCs/>
        </w:rPr>
        <w:t>unduly lag behind developments in derivative products for which additional or different information should be required to be reported, changes in the nature of persons from whom information should be required to be reported or changes in the manner or form by which reporting should occur.</w:t>
      </w:r>
    </w:p>
    <w:p w14:paraId="4081312A" w14:textId="77777777" w:rsidR="00012DD9" w:rsidRDefault="00012DD9" w:rsidP="00012DD9">
      <w:pPr>
        <w:pStyle w:val="LI-BodyTextParaa"/>
        <w:keepNext/>
        <w:ind w:left="0" w:firstLine="0"/>
        <w:rPr>
          <w:u w:val="single"/>
        </w:rPr>
      </w:pPr>
      <w:r w:rsidRPr="006D6079">
        <w:rPr>
          <w:b/>
          <w:bCs/>
        </w:rPr>
        <w:t>Duration of the instrument</w:t>
      </w:r>
      <w:r>
        <w:rPr>
          <w:u w:val="single"/>
        </w:rPr>
        <w:t xml:space="preserve"> </w:t>
      </w:r>
    </w:p>
    <w:p w14:paraId="53B23B75" w14:textId="2BB92365" w:rsidR="002F0ACB" w:rsidRPr="00B66967" w:rsidRDefault="00B66967" w:rsidP="00B66967">
      <w:pPr>
        <w:pStyle w:val="LI-BodyTextParaa"/>
        <w:numPr>
          <w:ilvl w:val="0"/>
          <w:numId w:val="2"/>
        </w:numPr>
        <w:rPr>
          <w:bCs/>
        </w:rPr>
      </w:pPr>
      <w:r w:rsidRPr="00B66967">
        <w:rPr>
          <w:bCs/>
        </w:rPr>
        <w:t>This instrument is repealed on 21 October 2024, by the 2024 Rules.</w:t>
      </w:r>
    </w:p>
    <w:bookmarkEnd w:id="1"/>
    <w:p w14:paraId="09267C50" w14:textId="77777777" w:rsidR="00F03BB5" w:rsidRDefault="00474B52" w:rsidP="009A3F74">
      <w:pPr>
        <w:pStyle w:val="LI-BodyTextParaa"/>
        <w:ind w:left="0" w:firstLine="0"/>
        <w:rPr>
          <w:b/>
        </w:rPr>
      </w:pPr>
      <w:r>
        <w:rPr>
          <w:b/>
        </w:rPr>
        <w:t>Legislative authority</w:t>
      </w:r>
    </w:p>
    <w:p w14:paraId="720A1C2E" w14:textId="725B181E" w:rsidR="007C6DC7" w:rsidRPr="00564D29" w:rsidRDefault="007C6DC7" w:rsidP="00091619">
      <w:pPr>
        <w:pStyle w:val="LI-BodyTextParaa"/>
        <w:numPr>
          <w:ilvl w:val="0"/>
          <w:numId w:val="2"/>
        </w:numPr>
        <w:rPr>
          <w:bCs/>
        </w:rPr>
      </w:pPr>
      <w:r w:rsidRPr="00564D29">
        <w:rPr>
          <w:bCs/>
        </w:rPr>
        <w:t xml:space="preserve">The </w:t>
      </w:r>
      <w:r w:rsidR="00A66C95">
        <w:rPr>
          <w:bCs/>
        </w:rPr>
        <w:t>instrument is made</w:t>
      </w:r>
      <w:r w:rsidRPr="00564D29">
        <w:rPr>
          <w:bCs/>
        </w:rPr>
        <w:t xml:space="preserve"> under section 901A of the </w:t>
      </w:r>
      <w:r w:rsidR="00316598">
        <w:rPr>
          <w:bCs/>
        </w:rPr>
        <w:t xml:space="preserve">Corporations </w:t>
      </w:r>
      <w:r w:rsidRPr="00564D29">
        <w:rPr>
          <w:bCs/>
        </w:rPr>
        <w:t>Act.</w:t>
      </w:r>
    </w:p>
    <w:p w14:paraId="68083CB1" w14:textId="13116574" w:rsidR="00B822AC" w:rsidRPr="00AD371E" w:rsidRDefault="001E6D57" w:rsidP="00B822AC">
      <w:pPr>
        <w:pStyle w:val="LI-BodyTextParaa"/>
        <w:numPr>
          <w:ilvl w:val="0"/>
          <w:numId w:val="2"/>
        </w:numPr>
        <w:rPr>
          <w:bCs/>
        </w:rPr>
      </w:pPr>
      <w:r>
        <w:rPr>
          <w:color w:val="000000"/>
          <w:shd w:val="clear" w:color="auto" w:fill="FFFFFF"/>
        </w:rPr>
        <w:t>S</w:t>
      </w:r>
      <w:r w:rsidR="00A66C95">
        <w:rPr>
          <w:color w:val="000000"/>
          <w:shd w:val="clear" w:color="auto" w:fill="FFFFFF"/>
        </w:rPr>
        <w:t xml:space="preserve">ection </w:t>
      </w:r>
      <w:r>
        <w:rPr>
          <w:color w:val="000000"/>
          <w:shd w:val="clear" w:color="auto" w:fill="FFFFFF"/>
        </w:rPr>
        <w:t xml:space="preserve">901A </w:t>
      </w:r>
      <w:r w:rsidR="00A66C95">
        <w:rPr>
          <w:color w:val="000000"/>
          <w:shd w:val="clear" w:color="auto" w:fill="FFFFFF"/>
        </w:rPr>
        <w:t xml:space="preserve">of the </w:t>
      </w:r>
      <w:r w:rsidR="00316598">
        <w:rPr>
          <w:color w:val="000000"/>
          <w:shd w:val="clear" w:color="auto" w:fill="FFFFFF"/>
        </w:rPr>
        <w:t xml:space="preserve">Corporations </w:t>
      </w:r>
      <w:r w:rsidR="00A66C95">
        <w:rPr>
          <w:color w:val="000000"/>
          <w:shd w:val="clear" w:color="auto" w:fill="FFFFFF"/>
        </w:rPr>
        <w:t>Act provides that rules made under this section are by way of legislative instrument. This means that such rules are subject to disallowance in accordance with section 42 of the </w:t>
      </w:r>
      <w:r w:rsidR="00A66C95">
        <w:rPr>
          <w:i/>
          <w:iCs/>
          <w:color w:val="000000"/>
          <w:shd w:val="clear" w:color="auto" w:fill="FFFFFF"/>
        </w:rPr>
        <w:t>Legislation Act 2003</w:t>
      </w:r>
      <w:r w:rsidR="00A66C95">
        <w:rPr>
          <w:color w:val="000000"/>
          <w:shd w:val="clear" w:color="auto" w:fill="FFFFFF"/>
        </w:rPr>
        <w:t>. Section 44 of the </w:t>
      </w:r>
      <w:r w:rsidR="00A66C95">
        <w:rPr>
          <w:i/>
          <w:iCs/>
          <w:color w:val="000000"/>
          <w:shd w:val="clear" w:color="auto" w:fill="FFFFFF"/>
        </w:rPr>
        <w:t>Legislation Act 2003 </w:t>
      </w:r>
      <w:r w:rsidR="00A66C95">
        <w:rPr>
          <w:color w:val="000000"/>
          <w:shd w:val="clear" w:color="auto" w:fill="FFFFFF"/>
        </w:rPr>
        <w:t>does not apply to this instrument. This instrument is subject to disallowance.</w:t>
      </w:r>
    </w:p>
    <w:p w14:paraId="1D6DC738" w14:textId="3DA100F0" w:rsidR="00B822AC" w:rsidRPr="00B822AC" w:rsidRDefault="00B822AC" w:rsidP="00B822AC">
      <w:pPr>
        <w:pStyle w:val="LI-BodyTextParaa"/>
        <w:numPr>
          <w:ilvl w:val="0"/>
          <w:numId w:val="2"/>
        </w:numPr>
        <w:rPr>
          <w:bCs/>
        </w:rPr>
      </w:pPr>
      <w:r>
        <w:rPr>
          <w:bCs/>
        </w:rPr>
        <w:t>Section 901K</w:t>
      </w:r>
      <w:r w:rsidRPr="00B822AC">
        <w:rPr>
          <w:bCs/>
        </w:rPr>
        <w:t xml:space="preserve"> of the </w:t>
      </w:r>
      <w:r w:rsidR="00C300AD">
        <w:rPr>
          <w:bCs/>
        </w:rPr>
        <w:t xml:space="preserve">Corporations </w:t>
      </w:r>
      <w:r w:rsidRPr="00B822AC">
        <w:rPr>
          <w:bCs/>
        </w:rPr>
        <w:t xml:space="preserve">Act provides that ASIC must not make a </w:t>
      </w:r>
      <w:r>
        <w:rPr>
          <w:bCs/>
        </w:rPr>
        <w:t>derivative transaction rule</w:t>
      </w:r>
      <w:r w:rsidRPr="00B822AC">
        <w:rPr>
          <w:bCs/>
        </w:rPr>
        <w:t xml:space="preserve"> unless the Minister has consented, in writing, to the making of the rule. The Minister consented to the making of this instrument by written notice to ASIC dated </w:t>
      </w:r>
      <w:r w:rsidR="00756876">
        <w:rPr>
          <w:bCs/>
        </w:rPr>
        <w:t>4 De</w:t>
      </w:r>
      <w:r w:rsidR="00556A43">
        <w:rPr>
          <w:bCs/>
        </w:rPr>
        <w:t>cember 2022</w:t>
      </w:r>
      <w:r>
        <w:rPr>
          <w:bCs/>
        </w:rPr>
        <w:t>.</w:t>
      </w:r>
    </w:p>
    <w:p w14:paraId="700D027B" w14:textId="77777777" w:rsidR="00A12D56" w:rsidRDefault="00A12D56">
      <w:pPr>
        <w:spacing w:line="240" w:lineRule="auto"/>
        <w:rPr>
          <w:rFonts w:eastAsia="Times New Roman"/>
          <w:sz w:val="24"/>
          <w:szCs w:val="24"/>
          <w:u w:val="single"/>
          <w:lang w:eastAsia="en-AU"/>
        </w:rPr>
      </w:pPr>
      <w:r>
        <w:rPr>
          <w:u w:val="single"/>
        </w:rPr>
        <w:br w:type="page"/>
      </w:r>
    </w:p>
    <w:p w14:paraId="13B560CB" w14:textId="77C8DE81" w:rsidR="007C6DC7" w:rsidRPr="001E6D57" w:rsidRDefault="007C6DC7" w:rsidP="001E6D57">
      <w:pPr>
        <w:pStyle w:val="LI-BodyTextParaa"/>
        <w:ind w:left="0" w:firstLine="0"/>
        <w:rPr>
          <w:u w:val="single"/>
        </w:rPr>
      </w:pPr>
      <w:r w:rsidRPr="001E6D57">
        <w:rPr>
          <w:u w:val="single"/>
        </w:rPr>
        <w:lastRenderedPageBreak/>
        <w:t>Matters that may be dealt with in the derivative transaction rules – reporting requirements</w:t>
      </w:r>
    </w:p>
    <w:p w14:paraId="644860DB" w14:textId="458C2D5C" w:rsidR="007C6DC7" w:rsidRPr="00564D29" w:rsidRDefault="007C6DC7" w:rsidP="00091619">
      <w:pPr>
        <w:pStyle w:val="LI-BodyTextParaa"/>
        <w:numPr>
          <w:ilvl w:val="0"/>
          <w:numId w:val="2"/>
        </w:numPr>
        <w:rPr>
          <w:bCs/>
        </w:rPr>
      </w:pPr>
      <w:r w:rsidRPr="00564D29">
        <w:rPr>
          <w:bCs/>
        </w:rPr>
        <w:t>Under paragraph 901A(2)(</w:t>
      </w:r>
      <w:r w:rsidR="00F634D8">
        <w:rPr>
          <w:bCs/>
        </w:rPr>
        <w:t>b</w:t>
      </w:r>
      <w:r w:rsidRPr="00564D29">
        <w:rPr>
          <w:bCs/>
        </w:rPr>
        <w:t xml:space="preserve">) and (d) of the </w:t>
      </w:r>
      <w:r w:rsidR="00622EC8">
        <w:rPr>
          <w:bCs/>
        </w:rPr>
        <w:t xml:space="preserve">Corporations </w:t>
      </w:r>
      <w:r w:rsidRPr="00564D29">
        <w:rPr>
          <w:bCs/>
        </w:rPr>
        <w:t xml:space="preserve">Act, the derivative transaction rules may, subject to Division 2 of Part 7.5A of the </w:t>
      </w:r>
      <w:r w:rsidR="00622EC8">
        <w:rPr>
          <w:bCs/>
        </w:rPr>
        <w:t xml:space="preserve">Corporations </w:t>
      </w:r>
      <w:r w:rsidRPr="00564D29">
        <w:rPr>
          <w:bCs/>
        </w:rPr>
        <w:t xml:space="preserve">Act, impose reporting requirements, and requirements that are incidental or related to reporting requirements. </w:t>
      </w:r>
      <w:r w:rsidR="00FB710B">
        <w:rPr>
          <w:bCs/>
        </w:rPr>
        <w:t>“</w:t>
      </w:r>
      <w:r w:rsidRPr="00564D29">
        <w:rPr>
          <w:bCs/>
        </w:rPr>
        <w:t>Reporting requirements</w:t>
      </w:r>
      <w:r w:rsidR="00FB710B">
        <w:rPr>
          <w:bCs/>
        </w:rPr>
        <w:t>”</w:t>
      </w:r>
      <w:r w:rsidRPr="00564D29">
        <w:rPr>
          <w:bCs/>
        </w:rPr>
        <w:t xml:space="preserve"> is defined in subsection 901A(6) as requirements for information about derivative transactions, or about positions relating to derivative transactions, to be reported to:</w:t>
      </w:r>
    </w:p>
    <w:p w14:paraId="47B8A3D3" w14:textId="77777777" w:rsidR="007C6DC7" w:rsidRPr="00564D29" w:rsidRDefault="007C6DC7" w:rsidP="00091619">
      <w:pPr>
        <w:pStyle w:val="LI-BodyTextParaa"/>
        <w:numPr>
          <w:ilvl w:val="1"/>
          <w:numId w:val="2"/>
        </w:numPr>
        <w:rPr>
          <w:bCs/>
        </w:rPr>
      </w:pPr>
      <w:r w:rsidRPr="00564D29">
        <w:rPr>
          <w:bCs/>
        </w:rPr>
        <w:t>a licensed derivative trade repository, the licence for which authorises the repository to provide services in respect of a class of derivatives that includes the derivatives to which the transactions relate (see paragraph 901A(6)(a)); or</w:t>
      </w:r>
    </w:p>
    <w:p w14:paraId="1171AF92" w14:textId="77777777" w:rsidR="007C6DC7" w:rsidRPr="00564D29" w:rsidRDefault="007C6DC7" w:rsidP="00091619">
      <w:pPr>
        <w:pStyle w:val="LI-BodyTextParaa"/>
        <w:numPr>
          <w:ilvl w:val="1"/>
          <w:numId w:val="2"/>
        </w:numPr>
        <w:rPr>
          <w:bCs/>
        </w:rPr>
      </w:pPr>
      <w:r w:rsidRPr="00564D29">
        <w:rPr>
          <w:bCs/>
        </w:rPr>
        <w:t>a facility that is (or that is in a class of facilities that is) prescribed by the regulations for the purpose of this paragraph in relation to a class of derivatives that includes the derivatives to which the transactions relate (see paragraph 901A(6)(b)).</w:t>
      </w:r>
    </w:p>
    <w:p w14:paraId="6C6648E1" w14:textId="77777777" w:rsidR="00851967" w:rsidRDefault="00D95F7C" w:rsidP="00091619">
      <w:pPr>
        <w:pStyle w:val="LI-BodyTextParaa"/>
        <w:numPr>
          <w:ilvl w:val="0"/>
          <w:numId w:val="2"/>
        </w:numPr>
        <w:rPr>
          <w:bCs/>
        </w:rPr>
      </w:pPr>
      <w:r w:rsidRPr="000F7276">
        <w:rPr>
          <w:bCs/>
        </w:rPr>
        <w:t>Regulation 7.5A.30 sets out that, after 30 June 2015, a prescribed facility is only a facility determined by ASIC.</w:t>
      </w:r>
      <w:r w:rsidR="004702DF" w:rsidRPr="000F7276">
        <w:rPr>
          <w:bCs/>
        </w:rPr>
        <w:t xml:space="preserve"> </w:t>
      </w:r>
      <w:r w:rsidR="00A52EA6">
        <w:rPr>
          <w:bCs/>
        </w:rPr>
        <w:t xml:space="preserve">Paragraph (2A) of the regulation </w:t>
      </w:r>
      <w:r w:rsidR="009B6A1D">
        <w:rPr>
          <w:bCs/>
        </w:rPr>
        <w:t xml:space="preserve">states that ASIC must not determine a </w:t>
      </w:r>
      <w:r w:rsidR="0047673A">
        <w:rPr>
          <w:bCs/>
        </w:rPr>
        <w:t>facility unless ASIC is satisfied that:</w:t>
      </w:r>
    </w:p>
    <w:p w14:paraId="23E30D05" w14:textId="3F9003D0" w:rsidR="00AE082D" w:rsidRDefault="00A06921" w:rsidP="00091619">
      <w:pPr>
        <w:pStyle w:val="LI-BodyTextParaa"/>
        <w:numPr>
          <w:ilvl w:val="1"/>
          <w:numId w:val="2"/>
        </w:numPr>
        <w:rPr>
          <w:bCs/>
        </w:rPr>
      </w:pPr>
      <w:r>
        <w:rPr>
          <w:bCs/>
        </w:rPr>
        <w:t>e</w:t>
      </w:r>
      <w:r w:rsidR="00851967" w:rsidRPr="00AE082D">
        <w:rPr>
          <w:bCs/>
        </w:rPr>
        <w:t xml:space="preserve">ither the facility has adopted rules, procedures or processes that substantially implement the </w:t>
      </w:r>
      <w:proofErr w:type="spellStart"/>
      <w:r w:rsidR="00851967" w:rsidRPr="00AE082D">
        <w:rPr>
          <w:bCs/>
        </w:rPr>
        <w:t>CPSS‑IOSCO</w:t>
      </w:r>
      <w:proofErr w:type="spellEnd"/>
      <w:r w:rsidR="00851967" w:rsidRPr="00AE082D">
        <w:rPr>
          <w:bCs/>
        </w:rPr>
        <w:t xml:space="preserve"> Principles applicable to the regulation of derivative trade repositories or</w:t>
      </w:r>
      <w:r w:rsidR="00AE082D" w:rsidRPr="00AE082D">
        <w:rPr>
          <w:bCs/>
        </w:rPr>
        <w:t xml:space="preserve"> </w:t>
      </w:r>
      <w:r w:rsidR="00851967" w:rsidRPr="00AE082D">
        <w:rPr>
          <w:bCs/>
        </w:rPr>
        <w:t xml:space="preserve">the foreign jurisdiction concerned has adopted legislation, policies, </w:t>
      </w:r>
      <w:proofErr w:type="gramStart"/>
      <w:r w:rsidR="00851967" w:rsidRPr="00AE082D">
        <w:rPr>
          <w:bCs/>
        </w:rPr>
        <w:t>standards</w:t>
      </w:r>
      <w:proofErr w:type="gramEnd"/>
      <w:r w:rsidR="00851967" w:rsidRPr="00AE082D">
        <w:rPr>
          <w:bCs/>
        </w:rPr>
        <w:t xml:space="preserve"> or practices that substantially implement the </w:t>
      </w:r>
      <w:proofErr w:type="spellStart"/>
      <w:r w:rsidR="00851967" w:rsidRPr="00AE082D">
        <w:rPr>
          <w:bCs/>
        </w:rPr>
        <w:t>CPSS‑IOSCO</w:t>
      </w:r>
      <w:proofErr w:type="spellEnd"/>
      <w:r w:rsidR="00851967" w:rsidRPr="00AE082D">
        <w:rPr>
          <w:bCs/>
        </w:rPr>
        <w:t xml:space="preserve"> Principles applicable to the regulation of derivative trade repositories; and</w:t>
      </w:r>
    </w:p>
    <w:p w14:paraId="082C5D01" w14:textId="77777777" w:rsidR="00DA682C" w:rsidRDefault="00DA682C" w:rsidP="00091619">
      <w:pPr>
        <w:pStyle w:val="LI-BodyTextParaa"/>
        <w:numPr>
          <w:ilvl w:val="1"/>
          <w:numId w:val="2"/>
        </w:numPr>
        <w:rPr>
          <w:bCs/>
        </w:rPr>
      </w:pPr>
      <w:r w:rsidRPr="00DA682C">
        <w:rPr>
          <w:bCs/>
        </w:rPr>
        <w:t xml:space="preserve">adequate arrangements exist for cooperation between ASIC and an appropriate authority responsible for licensing, </w:t>
      </w:r>
      <w:proofErr w:type="gramStart"/>
      <w:r w:rsidRPr="00DA682C">
        <w:rPr>
          <w:bCs/>
        </w:rPr>
        <w:t>authorising</w:t>
      </w:r>
      <w:proofErr w:type="gramEnd"/>
      <w:r w:rsidRPr="00DA682C">
        <w:rPr>
          <w:bCs/>
        </w:rPr>
        <w:t xml:space="preserve"> or registering the facility as a derivative trade repository in the foreign jurisdiction.</w:t>
      </w:r>
    </w:p>
    <w:p w14:paraId="1A43746D" w14:textId="12EF0939" w:rsidR="00D95F7C" w:rsidRPr="00DA682C" w:rsidRDefault="004702DF" w:rsidP="00091619">
      <w:pPr>
        <w:pStyle w:val="LI-BodyTextParaa"/>
        <w:numPr>
          <w:ilvl w:val="0"/>
          <w:numId w:val="2"/>
        </w:numPr>
        <w:rPr>
          <w:bCs/>
        </w:rPr>
      </w:pPr>
      <w:r w:rsidRPr="00DA682C">
        <w:rPr>
          <w:bCs/>
        </w:rPr>
        <w:t>As at the time of making</w:t>
      </w:r>
      <w:r w:rsidRPr="00633FF7">
        <w:rPr>
          <w:bCs/>
        </w:rPr>
        <w:t xml:space="preserve"> of </w:t>
      </w:r>
      <w:r w:rsidRPr="00D8790C">
        <w:rPr>
          <w:bCs/>
        </w:rPr>
        <w:t xml:space="preserve">the </w:t>
      </w:r>
      <w:r w:rsidR="00033DD1">
        <w:rPr>
          <w:bCs/>
        </w:rPr>
        <w:t>2022 R</w:t>
      </w:r>
      <w:r w:rsidR="000F7276" w:rsidRPr="00DE4C5B">
        <w:rPr>
          <w:bCs/>
        </w:rPr>
        <w:t xml:space="preserve">ules, </w:t>
      </w:r>
      <w:r w:rsidR="00D95F7C" w:rsidRPr="003F1B14">
        <w:rPr>
          <w:bCs/>
          <w:i/>
          <w:iCs/>
        </w:rPr>
        <w:t>ASIC Prescribed Trade Repositories Determination [15-0591]</w:t>
      </w:r>
      <w:r w:rsidR="000F7276" w:rsidRPr="00966156">
        <w:rPr>
          <w:bCs/>
        </w:rPr>
        <w:t xml:space="preserve"> pres</w:t>
      </w:r>
      <w:r w:rsidR="00975E21" w:rsidRPr="00966156">
        <w:rPr>
          <w:bCs/>
        </w:rPr>
        <w:t xml:space="preserve">cribes </w:t>
      </w:r>
      <w:r w:rsidR="00975E21" w:rsidRPr="003C3060">
        <w:rPr>
          <w:bCs/>
        </w:rPr>
        <w:t>eight</w:t>
      </w:r>
      <w:r w:rsidR="00D95F7C" w:rsidRPr="003C3060">
        <w:rPr>
          <w:bCs/>
        </w:rPr>
        <w:t xml:space="preserve"> overseas derivative trade repositories as prescribed repositories</w:t>
      </w:r>
      <w:r w:rsidR="00975E21" w:rsidRPr="00DA682C">
        <w:rPr>
          <w:bCs/>
        </w:rPr>
        <w:t>.</w:t>
      </w:r>
    </w:p>
    <w:p w14:paraId="21211DF0" w14:textId="56ECD7E6" w:rsidR="007C6DC7" w:rsidRPr="00A66C95" w:rsidRDefault="007C6DC7" w:rsidP="00091619">
      <w:pPr>
        <w:pStyle w:val="LI-BodyTextParaa"/>
        <w:numPr>
          <w:ilvl w:val="0"/>
          <w:numId w:val="2"/>
        </w:numPr>
        <w:rPr>
          <w:bCs/>
        </w:rPr>
      </w:pPr>
      <w:r w:rsidRPr="00A66C95">
        <w:rPr>
          <w:bCs/>
        </w:rPr>
        <w:t xml:space="preserve">Under subsection 901A(3) of the </w:t>
      </w:r>
      <w:r w:rsidR="00A06921">
        <w:rPr>
          <w:bCs/>
        </w:rPr>
        <w:t xml:space="preserve">Corporations </w:t>
      </w:r>
      <w:r w:rsidRPr="00A66C95">
        <w:rPr>
          <w:bCs/>
        </w:rPr>
        <w:t xml:space="preserve">Act, the derivative transaction rules may also, subject to Division 2 of Part 7.5A of the </w:t>
      </w:r>
      <w:r w:rsidR="00A06921">
        <w:rPr>
          <w:bCs/>
        </w:rPr>
        <w:t xml:space="preserve">Corporations </w:t>
      </w:r>
      <w:r w:rsidRPr="00A66C95">
        <w:rPr>
          <w:bCs/>
        </w:rPr>
        <w:t>Act, deal with matters incidental to or related to requirements referred to in subsection</w:t>
      </w:r>
      <w:r w:rsidR="00633FF7">
        <w:rPr>
          <w:bCs/>
        </w:rPr>
        <w:t xml:space="preserve"> </w:t>
      </w:r>
      <w:r w:rsidRPr="00A66C95">
        <w:rPr>
          <w:bCs/>
        </w:rPr>
        <w:t xml:space="preserve">901A(2) of the </w:t>
      </w:r>
      <w:r w:rsidR="00A06921">
        <w:rPr>
          <w:bCs/>
        </w:rPr>
        <w:t xml:space="preserve">Corporations </w:t>
      </w:r>
      <w:r w:rsidRPr="00A66C95">
        <w:rPr>
          <w:bCs/>
        </w:rPr>
        <w:t>Act, including any of the following:</w:t>
      </w:r>
    </w:p>
    <w:p w14:paraId="463AE862" w14:textId="29D68F1E" w:rsidR="002C6B1B" w:rsidRPr="00A66C95" w:rsidRDefault="007C6DC7" w:rsidP="00091619">
      <w:pPr>
        <w:pStyle w:val="LI-BodyTextParaa"/>
        <w:numPr>
          <w:ilvl w:val="1"/>
          <w:numId w:val="2"/>
        </w:numPr>
        <w:rPr>
          <w:bCs/>
        </w:rPr>
      </w:pPr>
      <w:r w:rsidRPr="00A66C95">
        <w:rPr>
          <w:bCs/>
        </w:rPr>
        <w:t xml:space="preserve">specifying the classes of derivative transactions in relation to which particular requirements apply (see paragraph 901A(3)(a) of the </w:t>
      </w:r>
      <w:r w:rsidR="00A06921">
        <w:rPr>
          <w:bCs/>
        </w:rPr>
        <w:t xml:space="preserve">Corporations </w:t>
      </w:r>
      <w:r w:rsidRPr="00A66C95">
        <w:rPr>
          <w:bCs/>
        </w:rPr>
        <w:t>Act</w:t>
      </w:r>
      <w:proofErr w:type="gramStart"/>
      <w:r w:rsidRPr="00A66C95">
        <w:rPr>
          <w:bCs/>
        </w:rPr>
        <w:t>);</w:t>
      </w:r>
      <w:proofErr w:type="gramEnd"/>
    </w:p>
    <w:p w14:paraId="4E0E4BB4" w14:textId="04912A62" w:rsidR="007C6DC7" w:rsidRPr="00A66C95" w:rsidRDefault="007C6DC7" w:rsidP="00091619">
      <w:pPr>
        <w:pStyle w:val="LI-BodyTextParaa"/>
        <w:numPr>
          <w:ilvl w:val="1"/>
          <w:numId w:val="2"/>
        </w:numPr>
        <w:rPr>
          <w:bCs/>
        </w:rPr>
      </w:pPr>
      <w:r w:rsidRPr="00A66C95">
        <w:rPr>
          <w:bCs/>
        </w:rPr>
        <w:t>for reporting requirements:</w:t>
      </w:r>
    </w:p>
    <w:p w14:paraId="50139724" w14:textId="45FB5C5C" w:rsidR="00A66C95" w:rsidRPr="00A66C95" w:rsidRDefault="00A66C95" w:rsidP="00091619">
      <w:pPr>
        <w:pStyle w:val="LI-BodyTextParaa"/>
        <w:numPr>
          <w:ilvl w:val="2"/>
          <w:numId w:val="2"/>
        </w:numPr>
        <w:rPr>
          <w:bCs/>
        </w:rPr>
      </w:pPr>
      <w:r w:rsidRPr="00A66C95">
        <w:lastRenderedPageBreak/>
        <w:t>specifying the licensed derivative trade repository or prescribed derivative trade repository (or the class of licensed derivative trade repository or prescribed derivative trade repository),</w:t>
      </w:r>
      <w:r w:rsidRPr="00A66C95">
        <w:rPr>
          <w:i/>
          <w:iCs/>
        </w:rPr>
        <w:t xml:space="preserve"> </w:t>
      </w:r>
      <w:r w:rsidRPr="00A66C95">
        <w:t>to which information about derivative transactions, or positions, in a particular class must be reported; and</w:t>
      </w:r>
    </w:p>
    <w:p w14:paraId="57131B2C" w14:textId="2A448093" w:rsidR="00A66C95" w:rsidRPr="00A66C95" w:rsidRDefault="00A66C95" w:rsidP="00091619">
      <w:pPr>
        <w:pStyle w:val="LI-BodyTextParaa"/>
        <w:numPr>
          <w:ilvl w:val="2"/>
          <w:numId w:val="2"/>
        </w:numPr>
        <w:rPr>
          <w:bCs/>
        </w:rPr>
      </w:pPr>
      <w:r w:rsidRPr="00A66C95">
        <w:t xml:space="preserve">specifying the information that is required to be reported (see paragraph 901A(3)(c) of the </w:t>
      </w:r>
      <w:r w:rsidR="00A06921">
        <w:t xml:space="preserve">Corporations </w:t>
      </w:r>
      <w:r w:rsidRPr="00A66C95">
        <w:t>Act</w:t>
      </w:r>
      <w:proofErr w:type="gramStart"/>
      <w:r w:rsidRPr="00A66C95">
        <w:t>);</w:t>
      </w:r>
      <w:proofErr w:type="gramEnd"/>
    </w:p>
    <w:p w14:paraId="0D99A1AE" w14:textId="104FA6F8" w:rsidR="007C6DC7" w:rsidRPr="00A66C95" w:rsidRDefault="007C6DC7" w:rsidP="00091619">
      <w:pPr>
        <w:pStyle w:val="LI-BodyTextParaa"/>
        <w:numPr>
          <w:ilvl w:val="1"/>
          <w:numId w:val="2"/>
        </w:numPr>
        <w:rPr>
          <w:bCs/>
        </w:rPr>
      </w:pPr>
      <w:r w:rsidRPr="00A66C95">
        <w:rPr>
          <w:bCs/>
        </w:rPr>
        <w:t>specifying the persons who are required to comply with requirements imposed by the</w:t>
      </w:r>
      <w:r w:rsidR="00D27F5F">
        <w:rPr>
          <w:bCs/>
        </w:rPr>
        <w:t xml:space="preserve"> 2022</w:t>
      </w:r>
      <w:r w:rsidRPr="00A66C95">
        <w:rPr>
          <w:bCs/>
        </w:rPr>
        <w:t xml:space="preserve"> </w:t>
      </w:r>
      <w:r w:rsidR="00D27F5F">
        <w:rPr>
          <w:bCs/>
        </w:rPr>
        <w:t>R</w:t>
      </w:r>
      <w:r w:rsidRPr="00A66C95">
        <w:rPr>
          <w:bCs/>
        </w:rPr>
        <w:t xml:space="preserve">ules (see paragraph 901A(3)(e) of the </w:t>
      </w:r>
      <w:r w:rsidR="00A06921">
        <w:rPr>
          <w:bCs/>
        </w:rPr>
        <w:t xml:space="preserve">Corporations </w:t>
      </w:r>
      <w:r w:rsidRPr="00A66C95">
        <w:rPr>
          <w:bCs/>
        </w:rPr>
        <w:t>Act</w:t>
      </w:r>
      <w:proofErr w:type="gramStart"/>
      <w:r w:rsidRPr="00A66C95">
        <w:rPr>
          <w:bCs/>
        </w:rPr>
        <w:t>);</w:t>
      </w:r>
      <w:proofErr w:type="gramEnd"/>
    </w:p>
    <w:p w14:paraId="59DC3885" w14:textId="5AC5360F" w:rsidR="007C6DC7" w:rsidRPr="00A66C95" w:rsidRDefault="007C6DC7" w:rsidP="00091619">
      <w:pPr>
        <w:pStyle w:val="LI-BodyTextParaa"/>
        <w:numPr>
          <w:ilvl w:val="1"/>
          <w:numId w:val="2"/>
        </w:numPr>
        <w:rPr>
          <w:bCs/>
        </w:rPr>
      </w:pPr>
      <w:r w:rsidRPr="00A66C95">
        <w:rPr>
          <w:bCs/>
        </w:rPr>
        <w:t xml:space="preserve">the manner and form in which persons must comply with requirements imposed by the </w:t>
      </w:r>
      <w:r w:rsidR="00D27F5F">
        <w:rPr>
          <w:bCs/>
        </w:rPr>
        <w:t>2022 R</w:t>
      </w:r>
      <w:r w:rsidRPr="00A66C95">
        <w:rPr>
          <w:bCs/>
        </w:rPr>
        <w:t xml:space="preserve">ules (see paragraph 901A(3)(f) of the </w:t>
      </w:r>
      <w:r w:rsidR="00A06921">
        <w:rPr>
          <w:bCs/>
        </w:rPr>
        <w:t xml:space="preserve">Corporations </w:t>
      </w:r>
      <w:r w:rsidRPr="00A66C95">
        <w:rPr>
          <w:bCs/>
        </w:rPr>
        <w:t>Act</w:t>
      </w:r>
      <w:proofErr w:type="gramStart"/>
      <w:r w:rsidRPr="00A66C95">
        <w:rPr>
          <w:bCs/>
        </w:rPr>
        <w:t>);</w:t>
      </w:r>
      <w:proofErr w:type="gramEnd"/>
    </w:p>
    <w:p w14:paraId="3AB4FD6F" w14:textId="5AB7BF9B" w:rsidR="00A66C95" w:rsidRPr="00A66C95" w:rsidRDefault="00A66C95" w:rsidP="00091619">
      <w:pPr>
        <w:pStyle w:val="LI-BodyTextParaa"/>
        <w:numPr>
          <w:ilvl w:val="1"/>
          <w:numId w:val="2"/>
        </w:numPr>
        <w:rPr>
          <w:bCs/>
        </w:rPr>
      </w:pPr>
      <w:r w:rsidRPr="00A66C95">
        <w:t xml:space="preserve">the circumstances in which persons are, or may be, relieved from complying with requirements in the </w:t>
      </w:r>
      <w:r w:rsidR="00234C7E">
        <w:t>2022 Rules</w:t>
      </w:r>
      <w:r w:rsidR="00234C7E" w:rsidRPr="00A66C95">
        <w:t xml:space="preserve"> </w:t>
      </w:r>
      <w:r w:rsidRPr="00A66C95">
        <w:t xml:space="preserve">that would otherwise apply to them (see paragraph 901A(3)(g) of the </w:t>
      </w:r>
      <w:r w:rsidR="00A06921">
        <w:t xml:space="preserve">Corporations </w:t>
      </w:r>
      <w:r w:rsidRPr="00A66C95">
        <w:t>Act</w:t>
      </w:r>
      <w:proofErr w:type="gramStart"/>
      <w:r w:rsidRPr="00A66C95">
        <w:t>);</w:t>
      </w:r>
      <w:proofErr w:type="gramEnd"/>
    </w:p>
    <w:p w14:paraId="2D3191D6" w14:textId="563E7533" w:rsidR="00A66C95" w:rsidRPr="00A66C95" w:rsidRDefault="00A66C95" w:rsidP="00091619">
      <w:pPr>
        <w:pStyle w:val="LI-BodyTextParaa"/>
        <w:numPr>
          <w:ilvl w:val="1"/>
          <w:numId w:val="2"/>
        </w:numPr>
        <w:rPr>
          <w:bCs/>
        </w:rPr>
      </w:pPr>
      <w:r w:rsidRPr="00A66C95">
        <w:t>the keeping of records, or the provision of records or other information, relating to compliance with (or determining whether there has been compliance with) the</w:t>
      </w:r>
      <w:r w:rsidR="00234C7E">
        <w:t xml:space="preserve"> 2022</w:t>
      </w:r>
      <w:r w:rsidRPr="00A66C95">
        <w:t xml:space="preserve"> </w:t>
      </w:r>
      <w:r w:rsidR="00234C7E">
        <w:t>R</w:t>
      </w:r>
      <w:r w:rsidRPr="00A66C95">
        <w:t xml:space="preserve">ules (see paragraph 901A(3)(h) of the </w:t>
      </w:r>
      <w:r w:rsidR="00A06921">
        <w:t xml:space="preserve">Corporations </w:t>
      </w:r>
      <w:r w:rsidRPr="00A66C95">
        <w:t>Act</w:t>
      </w:r>
      <w:proofErr w:type="gramStart"/>
      <w:r w:rsidRPr="00A66C95">
        <w:t>);</w:t>
      </w:r>
      <w:proofErr w:type="gramEnd"/>
    </w:p>
    <w:p w14:paraId="4B015FD3" w14:textId="5093D8CA" w:rsidR="007C6DC7" w:rsidRPr="00A66C95" w:rsidRDefault="00A66C95" w:rsidP="00091619">
      <w:pPr>
        <w:pStyle w:val="LI-BodyTextParaa"/>
        <w:numPr>
          <w:ilvl w:val="1"/>
          <w:numId w:val="2"/>
        </w:numPr>
        <w:rPr>
          <w:bCs/>
        </w:rPr>
      </w:pPr>
      <w:r w:rsidRPr="00A66C95">
        <w:t xml:space="preserve">any other matters that the provisions of the </w:t>
      </w:r>
      <w:r w:rsidR="00234C7E">
        <w:t xml:space="preserve">Corporations </w:t>
      </w:r>
      <w:r w:rsidRPr="00A66C95">
        <w:t>Act provide may be dealt with in the derivative transaction rules (see paragraph 901A(3)(</w:t>
      </w:r>
      <w:proofErr w:type="spellStart"/>
      <w:r w:rsidRPr="00A66C95">
        <w:t>i</w:t>
      </w:r>
      <w:proofErr w:type="spellEnd"/>
      <w:r w:rsidRPr="00A66C95">
        <w:t xml:space="preserve">) of the </w:t>
      </w:r>
      <w:r w:rsidR="00A06921">
        <w:t xml:space="preserve">Corporations </w:t>
      </w:r>
      <w:r w:rsidRPr="00A66C95">
        <w:t>Act).</w:t>
      </w:r>
    </w:p>
    <w:p w14:paraId="5E16EDE2" w14:textId="77777777" w:rsidR="007C6DC7" w:rsidRPr="00633FF7" w:rsidRDefault="007C6DC7" w:rsidP="00633FF7">
      <w:pPr>
        <w:pStyle w:val="LI-BodyTextParaa"/>
        <w:ind w:left="0" w:firstLine="0"/>
        <w:rPr>
          <w:u w:val="single"/>
        </w:rPr>
      </w:pPr>
      <w:r w:rsidRPr="00633FF7">
        <w:rPr>
          <w:u w:val="single"/>
        </w:rPr>
        <w:t>Limitations on rule-making power</w:t>
      </w:r>
    </w:p>
    <w:p w14:paraId="09C5654E" w14:textId="77777777" w:rsidR="007C6DC7" w:rsidRPr="00A66C95" w:rsidRDefault="007C6DC7" w:rsidP="00091619">
      <w:pPr>
        <w:pStyle w:val="LI-BodyTextParaa"/>
        <w:numPr>
          <w:ilvl w:val="0"/>
          <w:numId w:val="2"/>
        </w:numPr>
        <w:rPr>
          <w:bCs/>
        </w:rPr>
      </w:pPr>
      <w:r w:rsidRPr="00A66C95">
        <w:rPr>
          <w:bCs/>
        </w:rPr>
        <w:t>ASIC’s power to make derivative transaction rules imposing reporting requirements is subject to a number of limitations.</w:t>
      </w:r>
    </w:p>
    <w:p w14:paraId="547DDEC7" w14:textId="77777777" w:rsidR="007C6DC7" w:rsidRPr="00633FF7" w:rsidRDefault="007C6DC7" w:rsidP="00633FF7">
      <w:pPr>
        <w:pStyle w:val="LI-BodyTextParaa"/>
        <w:ind w:left="0" w:firstLine="0"/>
        <w:rPr>
          <w:i/>
          <w:iCs/>
        </w:rPr>
      </w:pPr>
      <w:r w:rsidRPr="00633FF7">
        <w:rPr>
          <w:i/>
          <w:iCs/>
        </w:rPr>
        <w:t>Ministerial determination</w:t>
      </w:r>
    </w:p>
    <w:p w14:paraId="3488F763" w14:textId="352301D7" w:rsidR="007C6DC7" w:rsidRPr="00A66C95" w:rsidRDefault="007C6DC7" w:rsidP="00091619">
      <w:pPr>
        <w:pStyle w:val="LI-BodyTextParaa"/>
        <w:numPr>
          <w:ilvl w:val="0"/>
          <w:numId w:val="2"/>
        </w:numPr>
        <w:rPr>
          <w:bCs/>
        </w:rPr>
      </w:pPr>
      <w:r w:rsidRPr="00A66C95">
        <w:rPr>
          <w:bCs/>
        </w:rPr>
        <w:t xml:space="preserve">Subsection 901B(1) of the </w:t>
      </w:r>
      <w:r w:rsidR="00234C7E">
        <w:rPr>
          <w:bCs/>
        </w:rPr>
        <w:t xml:space="preserve">Corporations </w:t>
      </w:r>
      <w:r w:rsidRPr="00A66C95">
        <w:rPr>
          <w:bCs/>
        </w:rPr>
        <w:t xml:space="preserve">Act provides that the derivative transaction rules cannot impose reporting requirements in relation to derivative transactions unless the derivatives to which the transactions relate are covered by a determination under section 901B of the </w:t>
      </w:r>
      <w:r w:rsidR="00B54997">
        <w:rPr>
          <w:bCs/>
        </w:rPr>
        <w:t xml:space="preserve">Corporations </w:t>
      </w:r>
      <w:r w:rsidRPr="00A66C95">
        <w:rPr>
          <w:bCs/>
        </w:rPr>
        <w:t>Act that relates to requirements of that kind.</w:t>
      </w:r>
    </w:p>
    <w:p w14:paraId="35D740FE" w14:textId="0F29BD81" w:rsidR="007C6DC7" w:rsidRPr="00A66C95" w:rsidRDefault="007C6DC7" w:rsidP="00091619">
      <w:pPr>
        <w:pStyle w:val="LI-BodyTextParaa"/>
        <w:numPr>
          <w:ilvl w:val="0"/>
          <w:numId w:val="2"/>
        </w:numPr>
        <w:rPr>
          <w:bCs/>
        </w:rPr>
      </w:pPr>
      <w:r w:rsidRPr="00A66C95">
        <w:rPr>
          <w:bCs/>
        </w:rPr>
        <w:t xml:space="preserve">On 2 May 2013 the Treasurer made the </w:t>
      </w:r>
      <w:r w:rsidR="00AC7762" w:rsidRPr="003F1B14">
        <w:rPr>
          <w:bCs/>
          <w:i/>
          <w:iCs/>
        </w:rPr>
        <w:t>Corporations (Derivatives) Determination 2013</w:t>
      </w:r>
      <w:r w:rsidRPr="00BE3DB2">
        <w:t xml:space="preserve"> (</w:t>
      </w:r>
      <w:r w:rsidRPr="00BE3DB2">
        <w:rPr>
          <w:b/>
          <w:i/>
        </w:rPr>
        <w:t>Ministerial Determination</w:t>
      </w:r>
      <w:r w:rsidRPr="00BE3DB2">
        <w:t>) under</w:t>
      </w:r>
      <w:r w:rsidRPr="00A66C95">
        <w:rPr>
          <w:bCs/>
        </w:rPr>
        <w:t xml:space="preserve"> subsection 901B(2) of the </w:t>
      </w:r>
      <w:r w:rsidR="00C05B7F">
        <w:rPr>
          <w:bCs/>
        </w:rPr>
        <w:t xml:space="preserve">Corporations </w:t>
      </w:r>
      <w:r w:rsidRPr="00A66C95">
        <w:rPr>
          <w:bCs/>
        </w:rPr>
        <w:t xml:space="preserve">Act, determining the class of derivatives in relation which reporting requirements may be imposed. Under the Ministerial Determination, the classes of derivatives determined for subsection 901B(2) of the </w:t>
      </w:r>
      <w:r w:rsidR="00C05B7F">
        <w:rPr>
          <w:bCs/>
        </w:rPr>
        <w:t xml:space="preserve">Corporations </w:t>
      </w:r>
      <w:r w:rsidRPr="00A66C95">
        <w:rPr>
          <w:bCs/>
        </w:rPr>
        <w:t>Act is:</w:t>
      </w:r>
    </w:p>
    <w:p w14:paraId="1DE52ADD" w14:textId="77777777" w:rsidR="007C6DC7" w:rsidRPr="00A66C95" w:rsidRDefault="007C6DC7" w:rsidP="00091619">
      <w:pPr>
        <w:pStyle w:val="LI-BodyTextParaa"/>
        <w:numPr>
          <w:ilvl w:val="1"/>
          <w:numId w:val="2"/>
        </w:numPr>
      </w:pPr>
      <w:r w:rsidRPr="00A66C95">
        <w:t xml:space="preserve">commodity derivatives that are not electricity </w:t>
      </w:r>
      <w:proofErr w:type="gramStart"/>
      <w:r w:rsidRPr="00A66C95">
        <w:t>derivatives;</w:t>
      </w:r>
      <w:proofErr w:type="gramEnd"/>
    </w:p>
    <w:p w14:paraId="7BAA2AE9" w14:textId="77777777" w:rsidR="007C6DC7" w:rsidRPr="00A66C95" w:rsidRDefault="007C6DC7" w:rsidP="00091619">
      <w:pPr>
        <w:pStyle w:val="LI-BodyTextParaa"/>
        <w:numPr>
          <w:ilvl w:val="1"/>
          <w:numId w:val="2"/>
        </w:numPr>
      </w:pPr>
      <w:r w:rsidRPr="00A66C95">
        <w:lastRenderedPageBreak/>
        <w:t xml:space="preserve">credit </w:t>
      </w:r>
      <w:proofErr w:type="gramStart"/>
      <w:r w:rsidRPr="00A66C95">
        <w:t>derivatives;</w:t>
      </w:r>
      <w:proofErr w:type="gramEnd"/>
    </w:p>
    <w:p w14:paraId="4A3D298D" w14:textId="77777777" w:rsidR="007C6DC7" w:rsidRPr="00A66C95" w:rsidRDefault="007C6DC7" w:rsidP="00091619">
      <w:pPr>
        <w:pStyle w:val="LI-BodyTextParaa"/>
        <w:numPr>
          <w:ilvl w:val="1"/>
          <w:numId w:val="2"/>
        </w:numPr>
      </w:pPr>
      <w:r w:rsidRPr="00A66C95">
        <w:t xml:space="preserve">equity </w:t>
      </w:r>
      <w:proofErr w:type="gramStart"/>
      <w:r w:rsidRPr="00A66C95">
        <w:t>derivatives;</w:t>
      </w:r>
      <w:proofErr w:type="gramEnd"/>
    </w:p>
    <w:p w14:paraId="276FD845" w14:textId="77777777" w:rsidR="007C6DC7" w:rsidRPr="00A66C95" w:rsidRDefault="007C6DC7" w:rsidP="00091619">
      <w:pPr>
        <w:pStyle w:val="LI-BodyTextParaa"/>
        <w:numPr>
          <w:ilvl w:val="1"/>
          <w:numId w:val="2"/>
        </w:numPr>
      </w:pPr>
      <w:r w:rsidRPr="00A66C95">
        <w:t>foreign exchange derivatives; and</w:t>
      </w:r>
    </w:p>
    <w:p w14:paraId="08C8A4F0" w14:textId="77777777" w:rsidR="007C6DC7" w:rsidRPr="00A66C95" w:rsidRDefault="007C6DC7" w:rsidP="00091619">
      <w:pPr>
        <w:pStyle w:val="LI-BodyTextParaa"/>
        <w:numPr>
          <w:ilvl w:val="1"/>
          <w:numId w:val="2"/>
        </w:numPr>
      </w:pPr>
      <w:r w:rsidRPr="00A66C95">
        <w:t>interest rate derivatives.</w:t>
      </w:r>
    </w:p>
    <w:p w14:paraId="189886D4" w14:textId="4F57AF04" w:rsidR="007C6DC7" w:rsidRPr="00A66C95" w:rsidRDefault="007C6DC7" w:rsidP="00091619">
      <w:pPr>
        <w:pStyle w:val="LI-BodyTextParaa"/>
        <w:numPr>
          <w:ilvl w:val="0"/>
          <w:numId w:val="2"/>
        </w:numPr>
        <w:rPr>
          <w:bCs/>
        </w:rPr>
      </w:pPr>
      <w:r w:rsidRPr="00A66C95">
        <w:rPr>
          <w:bCs/>
        </w:rPr>
        <w:t xml:space="preserve">The </w:t>
      </w:r>
      <w:r w:rsidR="00C05B7F">
        <w:rPr>
          <w:bCs/>
        </w:rPr>
        <w:t xml:space="preserve">2022 </w:t>
      </w:r>
      <w:r w:rsidRPr="00A66C95">
        <w:rPr>
          <w:bCs/>
        </w:rPr>
        <w:t xml:space="preserve">Rules apply only to derivative transactions in derivatives in </w:t>
      </w:r>
      <w:r w:rsidR="00B32C1D">
        <w:rPr>
          <w:bCs/>
        </w:rPr>
        <w:t>a</w:t>
      </w:r>
      <w:r w:rsidR="00B32C1D" w:rsidRPr="00A66C95">
        <w:rPr>
          <w:bCs/>
        </w:rPr>
        <w:t xml:space="preserve"> </w:t>
      </w:r>
      <w:r w:rsidRPr="00A66C95">
        <w:rPr>
          <w:bCs/>
        </w:rPr>
        <w:t>prescribed class.</w:t>
      </w:r>
    </w:p>
    <w:p w14:paraId="79CEF58B" w14:textId="51992B6F" w:rsidR="007C6DC7" w:rsidRPr="00633FF7" w:rsidRDefault="007C6DC7" w:rsidP="00633FF7">
      <w:pPr>
        <w:pStyle w:val="LI-BodyTextParaa"/>
        <w:ind w:left="0" w:firstLine="0"/>
        <w:rPr>
          <w:i/>
          <w:iCs/>
        </w:rPr>
      </w:pPr>
      <w:r w:rsidRPr="00633FF7">
        <w:rPr>
          <w:i/>
          <w:iCs/>
        </w:rPr>
        <w:t xml:space="preserve">Transactions and positions to which the </w:t>
      </w:r>
      <w:r w:rsidR="00C05B7F">
        <w:rPr>
          <w:i/>
          <w:iCs/>
        </w:rPr>
        <w:t xml:space="preserve">2022 </w:t>
      </w:r>
      <w:r w:rsidRPr="00633FF7">
        <w:rPr>
          <w:i/>
          <w:iCs/>
        </w:rPr>
        <w:t>Rules apply</w:t>
      </w:r>
    </w:p>
    <w:p w14:paraId="35E43ECB" w14:textId="07B2D326" w:rsidR="007C6DC7" w:rsidRPr="00A66C95" w:rsidRDefault="007C6DC7" w:rsidP="00091619">
      <w:pPr>
        <w:pStyle w:val="LI-BodyTextParaa"/>
        <w:numPr>
          <w:ilvl w:val="0"/>
          <w:numId w:val="2"/>
        </w:numPr>
        <w:rPr>
          <w:bCs/>
        </w:rPr>
      </w:pPr>
      <w:r w:rsidRPr="00A66C95">
        <w:rPr>
          <w:bCs/>
        </w:rPr>
        <w:t xml:space="preserve">Paragraph 901A(8)(b) of the </w:t>
      </w:r>
      <w:r w:rsidR="00C05B7F">
        <w:rPr>
          <w:bCs/>
        </w:rPr>
        <w:t xml:space="preserve">Corporations </w:t>
      </w:r>
      <w:r w:rsidRPr="00A66C95">
        <w:rPr>
          <w:bCs/>
        </w:rPr>
        <w:t>Act provides that the derivative transaction rules cannot impose a reporting requirement on a person in relation to a derivative transaction entered into before the requirement started to apply to the person, or in relation to a position as it was at a time before the requirement started to apply to the person.</w:t>
      </w:r>
    </w:p>
    <w:p w14:paraId="767394EF" w14:textId="06ADFF22" w:rsidR="007C6DC7" w:rsidRPr="00A66C95" w:rsidRDefault="007C6DC7" w:rsidP="00091619">
      <w:pPr>
        <w:pStyle w:val="LI-BodyTextParaa"/>
        <w:numPr>
          <w:ilvl w:val="0"/>
          <w:numId w:val="2"/>
        </w:numPr>
        <w:rPr>
          <w:bCs/>
        </w:rPr>
      </w:pPr>
      <w:r w:rsidRPr="00A66C95">
        <w:rPr>
          <w:bCs/>
        </w:rPr>
        <w:t xml:space="preserve">The </w:t>
      </w:r>
      <w:r w:rsidR="00340109">
        <w:rPr>
          <w:bCs/>
        </w:rPr>
        <w:t xml:space="preserve">2013 </w:t>
      </w:r>
      <w:r w:rsidRPr="00A66C95">
        <w:rPr>
          <w:bCs/>
        </w:rPr>
        <w:t xml:space="preserve">Rules </w:t>
      </w:r>
      <w:r w:rsidR="00340109" w:rsidRPr="00A66C95">
        <w:rPr>
          <w:bCs/>
        </w:rPr>
        <w:t>appl</w:t>
      </w:r>
      <w:r w:rsidR="00340109">
        <w:rPr>
          <w:bCs/>
        </w:rPr>
        <w:t>ied</w:t>
      </w:r>
      <w:r w:rsidR="00340109" w:rsidRPr="00A66C95">
        <w:rPr>
          <w:bCs/>
        </w:rPr>
        <w:t xml:space="preserve"> </w:t>
      </w:r>
      <w:r w:rsidRPr="00A66C95">
        <w:rPr>
          <w:bCs/>
        </w:rPr>
        <w:t>only to derivative transactions entered into after the reporting requirements start</w:t>
      </w:r>
      <w:r w:rsidR="00340109">
        <w:rPr>
          <w:bCs/>
        </w:rPr>
        <w:t>ed</w:t>
      </w:r>
      <w:r w:rsidRPr="00A66C95">
        <w:rPr>
          <w:bCs/>
        </w:rPr>
        <w:t xml:space="preserve"> to apply to a person, and to positions as they </w:t>
      </w:r>
      <w:r w:rsidR="00340109">
        <w:rPr>
          <w:bCs/>
        </w:rPr>
        <w:t>were</w:t>
      </w:r>
      <w:r w:rsidR="00340109" w:rsidRPr="00A66C95">
        <w:rPr>
          <w:bCs/>
        </w:rPr>
        <w:t xml:space="preserve"> </w:t>
      </w:r>
      <w:r w:rsidRPr="00A66C95">
        <w:rPr>
          <w:bCs/>
        </w:rPr>
        <w:t xml:space="preserve">at the time the reporting requirement </w:t>
      </w:r>
      <w:r w:rsidR="00340109" w:rsidRPr="00A66C95">
        <w:rPr>
          <w:bCs/>
        </w:rPr>
        <w:t>start</w:t>
      </w:r>
      <w:r w:rsidR="00340109">
        <w:rPr>
          <w:bCs/>
        </w:rPr>
        <w:t>ed</w:t>
      </w:r>
      <w:r w:rsidR="00340109" w:rsidRPr="00A66C95">
        <w:rPr>
          <w:bCs/>
        </w:rPr>
        <w:t xml:space="preserve"> </w:t>
      </w:r>
      <w:r w:rsidRPr="00A66C95">
        <w:rPr>
          <w:bCs/>
        </w:rPr>
        <w:t>to apply.</w:t>
      </w:r>
      <w:r w:rsidR="00340109">
        <w:rPr>
          <w:bCs/>
        </w:rPr>
        <w:t xml:space="preserve"> </w:t>
      </w:r>
      <w:r w:rsidR="00D06521">
        <w:rPr>
          <w:bCs/>
        </w:rPr>
        <w:t xml:space="preserve">The 2022 Rules continue the reporting requirements of the 2013 Rules and </w:t>
      </w:r>
      <w:r w:rsidR="008F4827">
        <w:rPr>
          <w:bCs/>
        </w:rPr>
        <w:t xml:space="preserve">do not impose </w:t>
      </w:r>
      <w:r w:rsidR="00162071">
        <w:rPr>
          <w:bCs/>
        </w:rPr>
        <w:t xml:space="preserve">any new or additional reporting requirements </w:t>
      </w:r>
      <w:r w:rsidR="00127525">
        <w:rPr>
          <w:bCs/>
        </w:rPr>
        <w:t>on derivative transactions enter</w:t>
      </w:r>
      <w:r w:rsidR="00D07FD8">
        <w:rPr>
          <w:bCs/>
        </w:rPr>
        <w:t>ed</w:t>
      </w:r>
      <w:r w:rsidR="00127525">
        <w:rPr>
          <w:bCs/>
        </w:rPr>
        <w:t xml:space="preserve"> into</w:t>
      </w:r>
      <w:r w:rsidR="00D07FD8">
        <w:rPr>
          <w:bCs/>
        </w:rPr>
        <w:t xml:space="preserve">, or positions </w:t>
      </w:r>
      <w:r w:rsidR="00487996">
        <w:rPr>
          <w:bCs/>
        </w:rPr>
        <w:t>as they were,</w:t>
      </w:r>
      <w:r w:rsidR="00127525">
        <w:rPr>
          <w:bCs/>
        </w:rPr>
        <w:t xml:space="preserve"> before the commence</w:t>
      </w:r>
      <w:r w:rsidR="00D07FD8">
        <w:rPr>
          <w:bCs/>
        </w:rPr>
        <w:t>ment of the 2022 Rules</w:t>
      </w:r>
      <w:r w:rsidR="00487996">
        <w:rPr>
          <w:bCs/>
        </w:rPr>
        <w:t>.</w:t>
      </w:r>
    </w:p>
    <w:p w14:paraId="7A04342F" w14:textId="07FC9204" w:rsidR="007C6DC7" w:rsidRPr="00664118" w:rsidRDefault="00D84E16" w:rsidP="00633FF7">
      <w:pPr>
        <w:pStyle w:val="LI-BodyTextParaa"/>
        <w:ind w:left="0" w:firstLine="0"/>
        <w:rPr>
          <w:bCs/>
        </w:rPr>
      </w:pPr>
      <w:r>
        <w:rPr>
          <w:i/>
          <w:iCs/>
        </w:rPr>
        <w:t xml:space="preserve">Corporations </w:t>
      </w:r>
      <w:r w:rsidR="007C6DC7" w:rsidRPr="00664118">
        <w:rPr>
          <w:i/>
          <w:iCs/>
        </w:rPr>
        <w:t>Regulations</w:t>
      </w:r>
    </w:p>
    <w:p w14:paraId="0E52E1B8" w14:textId="5C215FB1" w:rsidR="007C6DC7" w:rsidRPr="00A66C95" w:rsidRDefault="007C6DC7" w:rsidP="00091619">
      <w:pPr>
        <w:pStyle w:val="LI-BodyTextParaa"/>
        <w:numPr>
          <w:ilvl w:val="0"/>
          <w:numId w:val="2"/>
        </w:numPr>
        <w:rPr>
          <w:bCs/>
        </w:rPr>
      </w:pPr>
      <w:r w:rsidRPr="00A66C95">
        <w:rPr>
          <w:bCs/>
        </w:rPr>
        <w:t xml:space="preserve">Under section 901C of the </w:t>
      </w:r>
      <w:r w:rsidR="00322FE4">
        <w:rPr>
          <w:bCs/>
        </w:rPr>
        <w:t xml:space="preserve">Corporations </w:t>
      </w:r>
      <w:r w:rsidRPr="00A66C95">
        <w:rPr>
          <w:bCs/>
        </w:rPr>
        <w:t xml:space="preserve">Act, the </w:t>
      </w:r>
      <w:r w:rsidR="00D84E16">
        <w:rPr>
          <w:bCs/>
        </w:rPr>
        <w:t>Corporations R</w:t>
      </w:r>
      <w:r w:rsidRPr="00A66C95">
        <w:rPr>
          <w:bCs/>
        </w:rPr>
        <w:t>egulations may provide that the derivative transaction rules:</w:t>
      </w:r>
    </w:p>
    <w:p w14:paraId="1CAA0006" w14:textId="77777777" w:rsidR="007C6DC7" w:rsidRPr="00A66C95" w:rsidRDefault="007C6DC7" w:rsidP="00091619">
      <w:pPr>
        <w:pStyle w:val="LI-BodyTextParaa"/>
        <w:numPr>
          <w:ilvl w:val="1"/>
          <w:numId w:val="2"/>
        </w:numPr>
      </w:pPr>
      <w:r w:rsidRPr="00A66C95">
        <w:t>cannot impose requirements (or certain kinds of requirements) in relation to certain classes of derivative transactions; or</w:t>
      </w:r>
    </w:p>
    <w:p w14:paraId="40CFB827" w14:textId="77777777" w:rsidR="007C6DC7" w:rsidRPr="00A66C95" w:rsidRDefault="007C6DC7" w:rsidP="00091619">
      <w:pPr>
        <w:pStyle w:val="LI-BodyTextParaa"/>
        <w:numPr>
          <w:ilvl w:val="1"/>
          <w:numId w:val="2"/>
        </w:numPr>
      </w:pPr>
      <w:r w:rsidRPr="00A66C95">
        <w:t>can only impose requirements (or certain kinds of requirements) in relation to certain classes of derivative transactions in certain circumstances.</w:t>
      </w:r>
    </w:p>
    <w:p w14:paraId="3B8F9348" w14:textId="0760E6D1" w:rsidR="007C6DC7" w:rsidRPr="00A66C95" w:rsidRDefault="007C6DC7" w:rsidP="00091619">
      <w:pPr>
        <w:pStyle w:val="LI-BodyTextParaa"/>
        <w:numPr>
          <w:ilvl w:val="0"/>
          <w:numId w:val="2"/>
        </w:numPr>
        <w:rPr>
          <w:bCs/>
        </w:rPr>
      </w:pPr>
      <w:r w:rsidRPr="00A66C95">
        <w:rPr>
          <w:bCs/>
        </w:rPr>
        <w:t xml:space="preserve">Under section 901D of the </w:t>
      </w:r>
      <w:r w:rsidR="00D84E16">
        <w:rPr>
          <w:bCs/>
        </w:rPr>
        <w:t xml:space="preserve">Corporations </w:t>
      </w:r>
      <w:r w:rsidRPr="00A66C95">
        <w:rPr>
          <w:bCs/>
        </w:rPr>
        <w:t>Act, the</w:t>
      </w:r>
      <w:r w:rsidR="00D84E16">
        <w:rPr>
          <w:bCs/>
        </w:rPr>
        <w:t xml:space="preserve"> Corporations R</w:t>
      </w:r>
      <w:r w:rsidRPr="00A66C95">
        <w:rPr>
          <w:bCs/>
        </w:rPr>
        <w:t>egulations may provide that the derivative transaction rules:</w:t>
      </w:r>
    </w:p>
    <w:p w14:paraId="0E11FE69" w14:textId="77777777" w:rsidR="007C6DC7" w:rsidRPr="00A66C95" w:rsidRDefault="007C6DC7" w:rsidP="00091619">
      <w:pPr>
        <w:pStyle w:val="LI-BodyTextParaa"/>
        <w:numPr>
          <w:ilvl w:val="1"/>
          <w:numId w:val="2"/>
        </w:numPr>
      </w:pPr>
      <w:r w:rsidRPr="00A66C95">
        <w:t>cannot impose requirements (or certain kinds of requirements) on certain classes of persons; or</w:t>
      </w:r>
    </w:p>
    <w:p w14:paraId="6359C009" w14:textId="77777777" w:rsidR="007C6DC7" w:rsidRPr="00A66C95" w:rsidRDefault="007C6DC7" w:rsidP="00091619">
      <w:pPr>
        <w:pStyle w:val="LI-BodyTextParaa"/>
        <w:numPr>
          <w:ilvl w:val="1"/>
          <w:numId w:val="2"/>
        </w:numPr>
      </w:pPr>
      <w:r w:rsidRPr="00A66C95">
        <w:t>can only impose requirements (or certain kinds of requirements) on certain classes of persons in certain circumstances.</w:t>
      </w:r>
    </w:p>
    <w:p w14:paraId="3D1B44DB" w14:textId="395ACE7F" w:rsidR="00EC167E" w:rsidRDefault="00EC167E" w:rsidP="00EC167E">
      <w:pPr>
        <w:pStyle w:val="LI-BodyTextParaa"/>
        <w:numPr>
          <w:ilvl w:val="0"/>
          <w:numId w:val="2"/>
        </w:numPr>
        <w:rPr>
          <w:bCs/>
        </w:rPr>
      </w:pPr>
      <w:bookmarkStart w:id="22" w:name="_Hlk120626287"/>
      <w:r>
        <w:rPr>
          <w:bCs/>
        </w:rPr>
        <w:t xml:space="preserve">Regulation 7.5A.50 of the </w:t>
      </w:r>
      <w:r w:rsidRPr="00F43554">
        <w:rPr>
          <w:bCs/>
        </w:rPr>
        <w:t>Corporations Regulations</w:t>
      </w:r>
      <w:r w:rsidRPr="00AE360F">
        <w:rPr>
          <w:bCs/>
          <w:i/>
          <w:iCs/>
        </w:rPr>
        <w:t xml:space="preserve"> </w:t>
      </w:r>
      <w:r>
        <w:rPr>
          <w:bCs/>
        </w:rPr>
        <w:t xml:space="preserve">precludes derivative transaction rules being imposed upon </w:t>
      </w:r>
      <w:r w:rsidR="00C6635D">
        <w:rPr>
          <w:bCs/>
        </w:rPr>
        <w:t>“</w:t>
      </w:r>
      <w:r>
        <w:rPr>
          <w:bCs/>
        </w:rPr>
        <w:t>end users</w:t>
      </w:r>
      <w:r w:rsidR="00C6635D">
        <w:rPr>
          <w:bCs/>
        </w:rPr>
        <w:t>”</w:t>
      </w:r>
      <w:r>
        <w:rPr>
          <w:bCs/>
        </w:rPr>
        <w:t>, defined as persons who are not:</w:t>
      </w:r>
    </w:p>
    <w:p w14:paraId="5A2D6B4F" w14:textId="77777777" w:rsidR="00EC167E" w:rsidRDefault="00EC167E" w:rsidP="00EC167E">
      <w:pPr>
        <w:pStyle w:val="LI-BodyTextParaa"/>
        <w:numPr>
          <w:ilvl w:val="1"/>
          <w:numId w:val="2"/>
        </w:numPr>
        <w:rPr>
          <w:bCs/>
        </w:rPr>
      </w:pPr>
      <w:r w:rsidRPr="00122B80">
        <w:rPr>
          <w:bCs/>
        </w:rPr>
        <w:t xml:space="preserve">Australian </w:t>
      </w:r>
      <w:proofErr w:type="spellStart"/>
      <w:r w:rsidRPr="00122B80">
        <w:rPr>
          <w:bCs/>
        </w:rPr>
        <w:t>ADI</w:t>
      </w:r>
      <w:r>
        <w:rPr>
          <w:bCs/>
        </w:rPr>
        <w:t>s</w:t>
      </w:r>
      <w:proofErr w:type="spellEnd"/>
      <w:r>
        <w:rPr>
          <w:bCs/>
        </w:rPr>
        <w:t>; or</w:t>
      </w:r>
    </w:p>
    <w:p w14:paraId="1B7AA92B" w14:textId="3FA1AF9F" w:rsidR="00EC167E" w:rsidRDefault="00EC167E" w:rsidP="00EC167E">
      <w:pPr>
        <w:pStyle w:val="LI-BodyTextParaa"/>
        <w:numPr>
          <w:ilvl w:val="1"/>
          <w:numId w:val="2"/>
        </w:numPr>
        <w:rPr>
          <w:bCs/>
        </w:rPr>
      </w:pPr>
      <w:r>
        <w:rPr>
          <w:bCs/>
        </w:rPr>
        <w:lastRenderedPageBreak/>
        <w:t xml:space="preserve">CS facility </w:t>
      </w:r>
      <w:proofErr w:type="gramStart"/>
      <w:r>
        <w:rPr>
          <w:bCs/>
        </w:rPr>
        <w:t>licensees;</w:t>
      </w:r>
      <w:proofErr w:type="gramEnd"/>
    </w:p>
    <w:p w14:paraId="4BB88693" w14:textId="77777777" w:rsidR="00EC167E" w:rsidRDefault="00EC167E" w:rsidP="00EC167E">
      <w:pPr>
        <w:pStyle w:val="LI-BodyTextParaa"/>
        <w:numPr>
          <w:ilvl w:val="1"/>
          <w:numId w:val="2"/>
        </w:numPr>
        <w:rPr>
          <w:bCs/>
        </w:rPr>
      </w:pPr>
      <w:r>
        <w:rPr>
          <w:bCs/>
        </w:rPr>
        <w:t>AFS licensees; or</w:t>
      </w:r>
    </w:p>
    <w:p w14:paraId="010F98D6" w14:textId="77777777" w:rsidR="00EC167E" w:rsidRDefault="00EC167E" w:rsidP="00EC167E">
      <w:pPr>
        <w:pStyle w:val="LI-BodyTextParaa"/>
        <w:numPr>
          <w:ilvl w:val="1"/>
          <w:numId w:val="2"/>
        </w:numPr>
        <w:rPr>
          <w:bCs/>
        </w:rPr>
      </w:pPr>
      <w:r>
        <w:rPr>
          <w:bCs/>
        </w:rPr>
        <w:t xml:space="preserve">persons </w:t>
      </w:r>
      <w:r w:rsidRPr="00122B80">
        <w:rPr>
          <w:bCs/>
        </w:rPr>
        <w:t>who, in this jurisdiction, provides financial services relating to derivatives to wholesale clients only and</w:t>
      </w:r>
      <w:r>
        <w:rPr>
          <w:bCs/>
        </w:rPr>
        <w:t xml:space="preserve"> </w:t>
      </w:r>
      <w:r w:rsidRPr="00122B80">
        <w:rPr>
          <w:bCs/>
        </w:rPr>
        <w:t>whose activities, relating to derivatives, are regulated by an overseas regulatory authority</w:t>
      </w:r>
      <w:r>
        <w:rPr>
          <w:bCs/>
        </w:rPr>
        <w:t>.</w:t>
      </w:r>
    </w:p>
    <w:p w14:paraId="4E66FEA4" w14:textId="77777777" w:rsidR="00EC167E" w:rsidRPr="00842559" w:rsidRDefault="00EC167E" w:rsidP="00EC167E">
      <w:pPr>
        <w:pStyle w:val="LI-BodyTextParaa"/>
        <w:numPr>
          <w:ilvl w:val="0"/>
          <w:numId w:val="2"/>
        </w:numPr>
      </w:pPr>
      <w:r>
        <w:t xml:space="preserve">Paragraph (2A) of </w:t>
      </w:r>
      <w:r>
        <w:rPr>
          <w:bCs/>
        </w:rPr>
        <w:t>Regulation 7.5A.50, also precludes the derivative transaction rules from imposing requirements relating to a class of derivatives on AFS licensees:</w:t>
      </w:r>
    </w:p>
    <w:p w14:paraId="6043BC8F" w14:textId="77777777" w:rsidR="00EC167E" w:rsidRPr="00B22D05" w:rsidRDefault="00EC167E" w:rsidP="00EC167E">
      <w:pPr>
        <w:pStyle w:val="LI-BodyTextParaa"/>
        <w:numPr>
          <w:ilvl w:val="1"/>
          <w:numId w:val="2"/>
        </w:numPr>
      </w:pPr>
      <w:r>
        <w:rPr>
          <w:bCs/>
        </w:rPr>
        <w:t xml:space="preserve">who are taken not to be end users only because they are an AFS licensee; </w:t>
      </w:r>
      <w:proofErr w:type="gramStart"/>
      <w:r>
        <w:rPr>
          <w:bCs/>
        </w:rPr>
        <w:t>and</w:t>
      </w:r>
      <w:proofErr w:type="gramEnd"/>
    </w:p>
    <w:p w14:paraId="21A59D3B" w14:textId="42345AD5" w:rsidR="00EC167E" w:rsidRPr="003F1B14" w:rsidRDefault="00EC167E" w:rsidP="00EC167E">
      <w:pPr>
        <w:pStyle w:val="LI-BodyTextParaa"/>
        <w:numPr>
          <w:ilvl w:val="1"/>
          <w:numId w:val="2"/>
        </w:numPr>
      </w:pPr>
      <w:r w:rsidRPr="003F1B14">
        <w:rPr>
          <w:bCs/>
        </w:rPr>
        <w:t xml:space="preserve">whose AFS licence does not authorise them to provide financial services in relation to that </w:t>
      </w:r>
      <w:r w:rsidRPr="003F1B14">
        <w:t xml:space="preserve">class </w:t>
      </w:r>
      <w:r w:rsidR="00EB116A" w:rsidRPr="003F1B14">
        <w:rPr>
          <w:bCs/>
        </w:rPr>
        <w:t xml:space="preserve">of </w:t>
      </w:r>
      <w:r w:rsidRPr="003F1B14">
        <w:t>derivatives</w:t>
      </w:r>
      <w:r w:rsidR="003A5741" w:rsidRPr="003F1B14">
        <w:rPr>
          <w:bCs/>
        </w:rPr>
        <w:t>.</w:t>
      </w:r>
    </w:p>
    <w:p w14:paraId="698DADC2" w14:textId="1224384E" w:rsidR="00EC167E" w:rsidRDefault="00EC167E" w:rsidP="00EC167E">
      <w:pPr>
        <w:pStyle w:val="LI-BodyTextParaa"/>
        <w:numPr>
          <w:ilvl w:val="0"/>
          <w:numId w:val="2"/>
        </w:numPr>
      </w:pPr>
      <w:r>
        <w:t>The 2022 Rules do not impose requirements on end users, or AFS licensees which are captured by paragraph (2A).</w:t>
      </w:r>
    </w:p>
    <w:bookmarkEnd w:id="22"/>
    <w:p w14:paraId="37CB9043" w14:textId="108324B7" w:rsidR="00EA17A6" w:rsidRPr="00EA17A6" w:rsidRDefault="00EA17A6" w:rsidP="00435EEF">
      <w:pPr>
        <w:pStyle w:val="LI-BodyTextParaa"/>
        <w:ind w:left="567"/>
        <w:rPr>
          <w:b/>
        </w:rPr>
      </w:pPr>
      <w:r w:rsidRPr="00EA17A6">
        <w:rPr>
          <w:b/>
        </w:rPr>
        <w:t>Statement of Compatibility with Human Rights</w:t>
      </w:r>
    </w:p>
    <w:p w14:paraId="15B841AA" w14:textId="31CCAF65" w:rsidR="00DE0D7B" w:rsidRPr="00840172" w:rsidRDefault="00223DCF" w:rsidP="00840172">
      <w:pPr>
        <w:pStyle w:val="LI-BodyTextParaa"/>
        <w:numPr>
          <w:ilvl w:val="0"/>
          <w:numId w:val="2"/>
        </w:numPr>
      </w:pPr>
      <w:r w:rsidRPr="00840172">
        <w:t xml:space="preserve">The Explanatory Statement for a disallowable legislative instrument must contain a Statement of Compatibility with Human Rights under subsection 9(1) of the </w:t>
      </w:r>
      <w:r w:rsidRPr="00840172">
        <w:rPr>
          <w:i/>
        </w:rPr>
        <w:t>Human Rights (Parliamentary Scrutiny) Act 2011.</w:t>
      </w:r>
      <w:r w:rsidRPr="00840172">
        <w:t xml:space="preserve"> </w:t>
      </w:r>
      <w:r w:rsidR="0069380F" w:rsidRPr="0069380F">
        <w:t xml:space="preserve">A Statement of Compatibility with Human Rights is in the </w:t>
      </w:r>
      <w:r w:rsidR="0069380F" w:rsidRPr="0069380F">
        <w:rPr>
          <w:u w:val="single"/>
        </w:rPr>
        <w:t>Attachment</w:t>
      </w:r>
      <w:r w:rsidR="0069380F" w:rsidRPr="0069380F">
        <w:t>.</w:t>
      </w:r>
    </w:p>
    <w:p w14:paraId="5CBD4448" w14:textId="31286A89" w:rsidR="00223DCF" w:rsidRPr="00EA17A6" w:rsidRDefault="00223DCF" w:rsidP="00223DCF">
      <w:pPr>
        <w:pStyle w:val="LI-BodyTextParaa"/>
        <w:ind w:left="567"/>
        <w:jc w:val="right"/>
        <w:rPr>
          <w:u w:val="single"/>
        </w:rPr>
      </w:pPr>
      <w:r>
        <w:rPr>
          <w:color w:val="FF0000"/>
        </w:rPr>
        <w:br w:type="page"/>
      </w:r>
      <w:r w:rsidRPr="00EA17A6">
        <w:rPr>
          <w:u w:val="single"/>
        </w:rPr>
        <w:lastRenderedPageBreak/>
        <w:t xml:space="preserve">Attachment </w:t>
      </w:r>
    </w:p>
    <w:p w14:paraId="63F1766A" w14:textId="77777777" w:rsidR="00A15512" w:rsidRPr="00EA17A6" w:rsidRDefault="001E77ED" w:rsidP="00223DCF">
      <w:pPr>
        <w:pStyle w:val="LI-BodyTextParaa"/>
        <w:ind w:left="567"/>
        <w:jc w:val="center"/>
        <w:rPr>
          <w:b/>
          <w:sz w:val="28"/>
          <w:szCs w:val="28"/>
        </w:rPr>
      </w:pPr>
      <w:r w:rsidRPr="00EA17A6">
        <w:rPr>
          <w:b/>
          <w:sz w:val="28"/>
          <w:szCs w:val="28"/>
        </w:rPr>
        <w:t xml:space="preserve">Statement of </w:t>
      </w:r>
      <w:r w:rsidR="00223DCF" w:rsidRPr="00EA17A6">
        <w:rPr>
          <w:b/>
          <w:sz w:val="28"/>
          <w:szCs w:val="28"/>
        </w:rPr>
        <w:t>C</w:t>
      </w:r>
      <w:r w:rsidRPr="00EA17A6">
        <w:rPr>
          <w:b/>
          <w:sz w:val="28"/>
          <w:szCs w:val="28"/>
        </w:rPr>
        <w:t xml:space="preserve">ompatibility with </w:t>
      </w:r>
      <w:r w:rsidR="00223DCF" w:rsidRPr="00EA17A6">
        <w:rPr>
          <w:b/>
          <w:sz w:val="28"/>
          <w:szCs w:val="28"/>
        </w:rPr>
        <w:t>H</w:t>
      </w:r>
      <w:r w:rsidRPr="00EA17A6">
        <w:rPr>
          <w:b/>
          <w:sz w:val="28"/>
          <w:szCs w:val="28"/>
        </w:rPr>
        <w:t xml:space="preserve">uman </w:t>
      </w:r>
      <w:r w:rsidR="00223DCF" w:rsidRPr="00EA17A6">
        <w:rPr>
          <w:b/>
          <w:sz w:val="28"/>
          <w:szCs w:val="28"/>
        </w:rPr>
        <w:t>R</w:t>
      </w:r>
      <w:r w:rsidRPr="00EA17A6">
        <w:rPr>
          <w:b/>
          <w:sz w:val="28"/>
          <w:szCs w:val="28"/>
        </w:rPr>
        <w:t>ights</w:t>
      </w:r>
    </w:p>
    <w:p w14:paraId="4158AECD" w14:textId="77777777" w:rsidR="00AE787B" w:rsidRPr="00EA17A6" w:rsidRDefault="00AE787B" w:rsidP="00223DCF">
      <w:pPr>
        <w:pStyle w:val="LI-BodyTextNumbered"/>
        <w:ind w:left="0" w:firstLine="0"/>
        <w:rPr>
          <w:iCs/>
        </w:rPr>
      </w:pPr>
      <w:bookmarkStart w:id="23" w:name="_Hlk534286677"/>
    </w:p>
    <w:p w14:paraId="0236D6B4" w14:textId="28AC3210" w:rsidR="00223DCF" w:rsidRPr="00EA17A6" w:rsidRDefault="00223DCF" w:rsidP="00223DCF">
      <w:pPr>
        <w:pStyle w:val="LI-BodyTextNumbered"/>
        <w:ind w:left="0" w:firstLine="0"/>
        <w:rPr>
          <w:iCs/>
        </w:rPr>
      </w:pPr>
      <w:r w:rsidRPr="00EA17A6">
        <w:rPr>
          <w:iCs/>
        </w:rPr>
        <w:t xml:space="preserve">This Statement of Compatibility with Human Rights is prepared in accordance with Part 3 of </w:t>
      </w:r>
      <w:bookmarkStart w:id="24" w:name="_Hlk4054932"/>
      <w:r w:rsidRPr="00EA17A6">
        <w:rPr>
          <w:iCs/>
        </w:rPr>
        <w:t xml:space="preserve">the </w:t>
      </w:r>
      <w:r w:rsidRPr="00EA17A6">
        <w:rPr>
          <w:i/>
          <w:iCs/>
        </w:rPr>
        <w:t>Human Rights (Parliamentary Scrutiny) Act 2011</w:t>
      </w:r>
      <w:bookmarkEnd w:id="24"/>
      <w:r w:rsidRPr="00EA17A6">
        <w:rPr>
          <w:iCs/>
        </w:rPr>
        <w:t>.</w:t>
      </w:r>
    </w:p>
    <w:p w14:paraId="46B5AB3E" w14:textId="2602B8E5" w:rsidR="00772847" w:rsidRPr="00EA17A6" w:rsidRDefault="00AB7B53" w:rsidP="00223DCF">
      <w:pPr>
        <w:pStyle w:val="LI-BodyTextNumbered"/>
        <w:ind w:left="0" w:firstLine="0"/>
        <w:rPr>
          <w:b/>
          <w:i/>
        </w:rPr>
      </w:pPr>
      <w:r>
        <w:rPr>
          <w:b/>
          <w:i/>
        </w:rPr>
        <w:t>ASIC Derivative Transaction Rules (Reporting) 2022</w:t>
      </w:r>
    </w:p>
    <w:p w14:paraId="3D3A4EB2" w14:textId="77777777" w:rsidR="00223DCF" w:rsidRPr="00EA17A6" w:rsidRDefault="00223DCF" w:rsidP="001872DC">
      <w:pPr>
        <w:pStyle w:val="LI-BodyTextNumbered"/>
        <w:ind w:left="567"/>
        <w:rPr>
          <w:u w:val="single"/>
        </w:rPr>
      </w:pPr>
      <w:r w:rsidRPr="00EA17A6">
        <w:rPr>
          <w:u w:val="single"/>
        </w:rPr>
        <w:t>Overview</w:t>
      </w:r>
    </w:p>
    <w:p w14:paraId="70291A0D" w14:textId="224CC45F" w:rsidR="00E9732B" w:rsidRPr="00213A76" w:rsidRDefault="006937A7" w:rsidP="006937A7">
      <w:pPr>
        <w:pStyle w:val="LI-BodyTextParaa"/>
        <w:numPr>
          <w:ilvl w:val="0"/>
          <w:numId w:val="23"/>
        </w:numPr>
        <w:rPr>
          <w:iCs/>
        </w:rPr>
      </w:pPr>
      <w:bookmarkStart w:id="25" w:name="_Hlk119941417"/>
      <w:r w:rsidRPr="006347FB">
        <w:t>Th</w:t>
      </w:r>
      <w:r w:rsidR="00E73252" w:rsidRPr="006347FB">
        <w:t xml:space="preserve">e </w:t>
      </w:r>
      <w:r w:rsidR="00E73252" w:rsidRPr="006347FB">
        <w:rPr>
          <w:i/>
        </w:rPr>
        <w:t xml:space="preserve">ASIC Derivative Transaction Rules (Reporting) 2022 </w:t>
      </w:r>
      <w:r w:rsidR="00E73252" w:rsidRPr="006347FB">
        <w:t>(</w:t>
      </w:r>
      <w:r w:rsidR="00476A44">
        <w:t xml:space="preserve">the </w:t>
      </w:r>
      <w:r w:rsidR="00476A44" w:rsidRPr="00605448">
        <w:rPr>
          <w:b/>
          <w:bCs/>
          <w:i/>
          <w:iCs/>
        </w:rPr>
        <w:t xml:space="preserve">2022 </w:t>
      </w:r>
      <w:r w:rsidR="00476A44" w:rsidRPr="003B3F33">
        <w:rPr>
          <w:b/>
          <w:i/>
        </w:rPr>
        <w:t>Rules</w:t>
      </w:r>
      <w:r w:rsidR="00F029D1">
        <w:t xml:space="preserve">, or </w:t>
      </w:r>
      <w:r w:rsidR="00E73252" w:rsidRPr="00605448">
        <w:t xml:space="preserve">the </w:t>
      </w:r>
      <w:r w:rsidR="00E73252" w:rsidRPr="00605448">
        <w:rPr>
          <w:b/>
          <w:i/>
        </w:rPr>
        <w:t>instrument</w:t>
      </w:r>
      <w:r w:rsidR="00E9732B" w:rsidRPr="00605448">
        <w:t xml:space="preserve">) are made by ASIC under section 901A of the </w:t>
      </w:r>
      <w:r w:rsidR="00E9732B" w:rsidRPr="00605448">
        <w:rPr>
          <w:i/>
          <w:iCs/>
        </w:rPr>
        <w:t>Corporations Act 2001</w:t>
      </w:r>
      <w:r w:rsidR="00E9732B" w:rsidRPr="00605448">
        <w:t xml:space="preserve"> (the </w:t>
      </w:r>
      <w:r w:rsidR="00E9732B" w:rsidRPr="00605448">
        <w:rPr>
          <w:b/>
          <w:bCs/>
          <w:i/>
          <w:iCs/>
        </w:rPr>
        <w:t>Corporations Act)</w:t>
      </w:r>
      <w:r w:rsidR="00E9732B" w:rsidRPr="00605448">
        <w:t>, acting with the consent of the Minister under section 901K of the Corporations Act.</w:t>
      </w:r>
    </w:p>
    <w:p w14:paraId="066D25EF" w14:textId="26A94619" w:rsidR="006937A7" w:rsidRDefault="00BC50E8" w:rsidP="006937A7">
      <w:pPr>
        <w:pStyle w:val="LI-BodyTextParaa"/>
        <w:numPr>
          <w:ilvl w:val="0"/>
          <w:numId w:val="23"/>
        </w:numPr>
        <w:rPr>
          <w:iCs/>
        </w:rPr>
      </w:pPr>
      <w:r w:rsidRPr="00E73252">
        <w:rPr>
          <w:iCs/>
        </w:rPr>
        <w:t>Th</w:t>
      </w:r>
      <w:r>
        <w:rPr>
          <w:iCs/>
        </w:rPr>
        <w:t xml:space="preserve">is </w:t>
      </w:r>
      <w:r w:rsidR="00E73252" w:rsidRPr="00ED118B">
        <w:rPr>
          <w:iCs/>
        </w:rPr>
        <w:t>instrument</w:t>
      </w:r>
      <w:r w:rsidR="00E73252">
        <w:rPr>
          <w:b/>
          <w:bCs/>
          <w:i/>
        </w:rPr>
        <w:t xml:space="preserve"> </w:t>
      </w:r>
      <w:bookmarkEnd w:id="25"/>
      <w:r w:rsidR="006937A7">
        <w:t>repeals and r</w:t>
      </w:r>
      <w:r w:rsidR="00E73252">
        <w:t>emake</w:t>
      </w:r>
      <w:r w:rsidR="00CE28FF">
        <w:t>s the</w:t>
      </w:r>
      <w:r w:rsidR="006937A7">
        <w:t xml:space="preserve"> </w:t>
      </w:r>
      <w:r w:rsidR="006937A7">
        <w:rPr>
          <w:i/>
        </w:rPr>
        <w:t>ASIC Derivative Transaction Rules (Reporting) 2013</w:t>
      </w:r>
      <w:r w:rsidR="006937A7">
        <w:rPr>
          <w:iCs/>
        </w:rPr>
        <w:t xml:space="preserve"> </w:t>
      </w:r>
      <w:r w:rsidR="00CE28FF">
        <w:rPr>
          <w:iCs/>
        </w:rPr>
        <w:t>(</w:t>
      </w:r>
      <w:r w:rsidR="00CE28FF" w:rsidRPr="00AE360F">
        <w:rPr>
          <w:b/>
          <w:bCs/>
          <w:i/>
        </w:rPr>
        <w:t>2013 Rules</w:t>
      </w:r>
      <w:r w:rsidR="00CE28FF">
        <w:rPr>
          <w:iCs/>
        </w:rPr>
        <w:t xml:space="preserve">) in the same form, </w:t>
      </w:r>
      <w:r w:rsidR="006937A7">
        <w:rPr>
          <w:iCs/>
        </w:rPr>
        <w:t xml:space="preserve">so as to continue the requirements for the reporting of </w:t>
      </w:r>
      <w:proofErr w:type="gramStart"/>
      <w:r w:rsidR="006937A7">
        <w:rPr>
          <w:iCs/>
        </w:rPr>
        <w:t>over-the-counter</w:t>
      </w:r>
      <w:proofErr w:type="gramEnd"/>
      <w:r w:rsidR="006937A7">
        <w:rPr>
          <w:iCs/>
        </w:rPr>
        <w:t xml:space="preserve"> </w:t>
      </w:r>
      <w:r w:rsidR="006B42EF">
        <w:rPr>
          <w:iCs/>
        </w:rPr>
        <w:t>(</w:t>
      </w:r>
      <w:r w:rsidR="006B42EF" w:rsidRPr="00AE360F">
        <w:rPr>
          <w:b/>
          <w:bCs/>
          <w:i/>
        </w:rPr>
        <w:t>OTC</w:t>
      </w:r>
      <w:r w:rsidR="006B42EF">
        <w:rPr>
          <w:iCs/>
        </w:rPr>
        <w:t xml:space="preserve">) </w:t>
      </w:r>
      <w:r w:rsidR="006937A7">
        <w:rPr>
          <w:iCs/>
        </w:rPr>
        <w:t>derivatives transactions beyond the 1 October 2023 sunsetting of the 2013 Rules.</w:t>
      </w:r>
    </w:p>
    <w:p w14:paraId="414ED5BC" w14:textId="43598176" w:rsidR="006937A7" w:rsidRDefault="00A058E2" w:rsidP="006937A7">
      <w:pPr>
        <w:pStyle w:val="LI-BodyTextParaa"/>
        <w:numPr>
          <w:ilvl w:val="0"/>
          <w:numId w:val="23"/>
        </w:numPr>
      </w:pPr>
      <w:r>
        <w:rPr>
          <w:iCs/>
        </w:rPr>
        <w:t xml:space="preserve">The requirements </w:t>
      </w:r>
      <w:r w:rsidR="00370D2F">
        <w:rPr>
          <w:iCs/>
        </w:rPr>
        <w:t>to</w:t>
      </w:r>
      <w:r>
        <w:rPr>
          <w:iCs/>
        </w:rPr>
        <w:t xml:space="preserve"> report </w:t>
      </w:r>
      <w:r w:rsidR="006B42EF">
        <w:rPr>
          <w:iCs/>
        </w:rPr>
        <w:t>OTC</w:t>
      </w:r>
      <w:r>
        <w:rPr>
          <w:iCs/>
        </w:rPr>
        <w:t xml:space="preserve"> derivatives transactions </w:t>
      </w:r>
      <w:r w:rsidR="002F7B2F">
        <w:rPr>
          <w:iCs/>
        </w:rPr>
        <w:t xml:space="preserve">were introduced </w:t>
      </w:r>
      <w:r w:rsidR="006937A7" w:rsidRPr="00B24D1C">
        <w:rPr>
          <w:iCs/>
        </w:rPr>
        <w:t>a</w:t>
      </w:r>
      <w:r w:rsidR="006B42EF">
        <w:rPr>
          <w:iCs/>
        </w:rPr>
        <w:t>s a</w:t>
      </w:r>
      <w:r w:rsidR="006937A7" w:rsidRPr="00B24D1C">
        <w:rPr>
          <w:iCs/>
        </w:rPr>
        <w:t xml:space="preserve"> key component of the comprehensive OTC derivatives reform agenda agreed by the G20 leaders in response to the global financial crisis</w:t>
      </w:r>
      <w:r w:rsidR="006B42EF">
        <w:rPr>
          <w:iCs/>
        </w:rPr>
        <w:t>,</w:t>
      </w:r>
      <w:r w:rsidR="006937A7" w:rsidRPr="00B24D1C">
        <w:rPr>
          <w:iCs/>
        </w:rPr>
        <w:t xml:space="preserve"> given the significant economic and social damage that was experienced. The OTC derivatives market</w:t>
      </w:r>
      <w:r w:rsidR="006937A7" w:rsidRPr="005705B6">
        <w:t xml:space="preserve"> reform agenda was developed with the objectives of improving transparency</w:t>
      </w:r>
      <w:r w:rsidR="006937A7">
        <w:t xml:space="preserve"> to regulators</w:t>
      </w:r>
      <w:r w:rsidR="006937A7" w:rsidRPr="005705B6">
        <w:t>, mitigating systemic risk, and protecting against market abuse.</w:t>
      </w:r>
    </w:p>
    <w:p w14:paraId="3ABC2787" w14:textId="312E8859" w:rsidR="002F7B2F" w:rsidRDefault="00316569" w:rsidP="006937A7">
      <w:pPr>
        <w:pStyle w:val="LI-BodyTextParaa"/>
        <w:numPr>
          <w:ilvl w:val="0"/>
          <w:numId w:val="23"/>
        </w:numPr>
      </w:pPr>
      <w:r>
        <w:rPr>
          <w:iCs/>
        </w:rPr>
        <w:t>Th</w:t>
      </w:r>
      <w:r w:rsidR="00162404">
        <w:rPr>
          <w:iCs/>
        </w:rPr>
        <w:t xml:space="preserve">is instrument continues requirements </w:t>
      </w:r>
      <w:r w:rsidR="009531E8">
        <w:rPr>
          <w:iCs/>
        </w:rPr>
        <w:t xml:space="preserve">to report </w:t>
      </w:r>
      <w:r w:rsidR="006B42EF">
        <w:rPr>
          <w:iCs/>
        </w:rPr>
        <w:t>OTC</w:t>
      </w:r>
      <w:r w:rsidR="009531E8">
        <w:rPr>
          <w:iCs/>
        </w:rPr>
        <w:t xml:space="preserve"> derivatives transactions </w:t>
      </w:r>
      <w:r w:rsidR="009913C3">
        <w:rPr>
          <w:iCs/>
        </w:rPr>
        <w:t>to a derivative trade repositor</w:t>
      </w:r>
      <w:r w:rsidR="00D673A3">
        <w:rPr>
          <w:iCs/>
        </w:rPr>
        <w:t xml:space="preserve">y </w:t>
      </w:r>
      <w:r w:rsidR="002F7B2F" w:rsidRPr="00B24D1C">
        <w:rPr>
          <w:iCs/>
        </w:rPr>
        <w:t>by businesses licensed by ASIC or otherwise authorised to deal in derivatives in Australia.</w:t>
      </w:r>
    </w:p>
    <w:p w14:paraId="6AB2C177" w14:textId="77777777" w:rsidR="00E355BF" w:rsidRPr="003034DF" w:rsidRDefault="00E355BF" w:rsidP="00E355BF">
      <w:pPr>
        <w:pStyle w:val="LI-BodyTextParaa"/>
        <w:numPr>
          <w:ilvl w:val="0"/>
          <w:numId w:val="23"/>
        </w:numPr>
        <w:rPr>
          <w:bCs/>
        </w:rPr>
      </w:pPr>
      <w:r w:rsidRPr="003034DF">
        <w:rPr>
          <w:bCs/>
        </w:rPr>
        <w:t>Th</w:t>
      </w:r>
      <w:r>
        <w:rPr>
          <w:bCs/>
        </w:rPr>
        <w:t>is</w:t>
      </w:r>
      <w:r w:rsidRPr="003034DF">
        <w:rPr>
          <w:bCs/>
        </w:rPr>
        <w:t xml:space="preserve"> </w:t>
      </w:r>
      <w:r>
        <w:rPr>
          <w:bCs/>
        </w:rPr>
        <w:t>instrument</w:t>
      </w:r>
      <w:r w:rsidRPr="003034DF">
        <w:rPr>
          <w:bCs/>
        </w:rPr>
        <w:t>:</w:t>
      </w:r>
    </w:p>
    <w:p w14:paraId="66B4D3B6" w14:textId="18EC239D" w:rsidR="00E355BF" w:rsidRPr="002A508E" w:rsidRDefault="00E355BF" w:rsidP="00E355BF">
      <w:pPr>
        <w:pStyle w:val="LI-BodyTextParaa"/>
        <w:numPr>
          <w:ilvl w:val="1"/>
          <w:numId w:val="23"/>
        </w:numPr>
        <w:rPr>
          <w:bCs/>
        </w:rPr>
      </w:pPr>
      <w:r w:rsidRPr="003034DF">
        <w:rPr>
          <w:bCs/>
        </w:rPr>
        <w:t>impose</w:t>
      </w:r>
      <w:r>
        <w:rPr>
          <w:bCs/>
        </w:rPr>
        <w:t>s</w:t>
      </w:r>
      <w:r w:rsidRPr="003034DF">
        <w:rPr>
          <w:bCs/>
        </w:rPr>
        <w:t xml:space="preserve"> reporting requirements as permitted by paragraph 901A(2)(b) and subsection 901A(6) of the </w:t>
      </w:r>
      <w:r w:rsidR="008E287C">
        <w:rPr>
          <w:bCs/>
        </w:rPr>
        <w:t xml:space="preserve">Corporations </w:t>
      </w:r>
      <w:proofErr w:type="gramStart"/>
      <w:r w:rsidRPr="003034DF">
        <w:rPr>
          <w:bCs/>
        </w:rPr>
        <w:t>Act;</w:t>
      </w:r>
      <w:proofErr w:type="gramEnd"/>
    </w:p>
    <w:p w14:paraId="422AD305" w14:textId="5EA91B24" w:rsidR="00E355BF" w:rsidRPr="003034DF" w:rsidRDefault="00E355BF" w:rsidP="00E355BF">
      <w:pPr>
        <w:pStyle w:val="LI-BodyTextParaa"/>
        <w:numPr>
          <w:ilvl w:val="1"/>
          <w:numId w:val="23"/>
        </w:numPr>
        <w:rPr>
          <w:bCs/>
        </w:rPr>
      </w:pPr>
      <w:r w:rsidRPr="003034DF">
        <w:rPr>
          <w:bCs/>
        </w:rPr>
        <w:t>specif</w:t>
      </w:r>
      <w:r>
        <w:rPr>
          <w:bCs/>
        </w:rPr>
        <w:t>ies</w:t>
      </w:r>
      <w:r w:rsidRPr="003034DF">
        <w:rPr>
          <w:bCs/>
        </w:rPr>
        <w:t xml:space="preserve"> the persons who are required to comply with the reporting requirements imposed by </w:t>
      </w:r>
      <w:r w:rsidR="00476A44">
        <w:rPr>
          <w:bCs/>
        </w:rPr>
        <w:t>the 2022 Rules</w:t>
      </w:r>
      <w:r w:rsidRPr="003034DF">
        <w:rPr>
          <w:bCs/>
        </w:rPr>
        <w:t xml:space="preserve"> as permitted by paragraph 901A(3)(e) of the</w:t>
      </w:r>
      <w:r w:rsidR="008E287C">
        <w:rPr>
          <w:bCs/>
        </w:rPr>
        <w:t xml:space="preserve"> Corporations</w:t>
      </w:r>
      <w:r w:rsidRPr="003034DF">
        <w:rPr>
          <w:bCs/>
        </w:rPr>
        <w:t xml:space="preserve"> </w:t>
      </w:r>
      <w:proofErr w:type="gramStart"/>
      <w:r w:rsidRPr="003034DF">
        <w:rPr>
          <w:bCs/>
        </w:rPr>
        <w:t>Act;</w:t>
      </w:r>
      <w:proofErr w:type="gramEnd"/>
    </w:p>
    <w:p w14:paraId="7FEE41DA" w14:textId="18832D3D" w:rsidR="00E355BF" w:rsidRPr="003034DF" w:rsidRDefault="00E355BF" w:rsidP="00E355BF">
      <w:pPr>
        <w:pStyle w:val="LI-BodyTextParaa"/>
        <w:numPr>
          <w:ilvl w:val="1"/>
          <w:numId w:val="23"/>
        </w:numPr>
        <w:rPr>
          <w:bCs/>
        </w:rPr>
      </w:pPr>
      <w:r w:rsidRPr="003034DF">
        <w:rPr>
          <w:bCs/>
        </w:rPr>
        <w:t>deal</w:t>
      </w:r>
      <w:r>
        <w:rPr>
          <w:bCs/>
        </w:rPr>
        <w:t>s</w:t>
      </w:r>
      <w:r w:rsidRPr="003034DF">
        <w:rPr>
          <w:bCs/>
        </w:rPr>
        <w:t xml:space="preserve"> with the manner and form in which persons are required to comply with the reporting requirement imposed by </w:t>
      </w:r>
      <w:r w:rsidR="00476A44">
        <w:rPr>
          <w:bCs/>
        </w:rPr>
        <w:t>the 2022 Rules</w:t>
      </w:r>
      <w:r w:rsidRPr="003034DF">
        <w:rPr>
          <w:bCs/>
        </w:rPr>
        <w:t xml:space="preserve"> as permitted by paragraph 901A(3)(f) of the </w:t>
      </w:r>
      <w:r w:rsidR="008E287C">
        <w:rPr>
          <w:bCs/>
        </w:rPr>
        <w:t xml:space="preserve">Corporations </w:t>
      </w:r>
      <w:r w:rsidRPr="003034DF">
        <w:rPr>
          <w:bCs/>
        </w:rPr>
        <w:t>Act; and</w:t>
      </w:r>
    </w:p>
    <w:p w14:paraId="72613CA2" w14:textId="7B6B4BFB" w:rsidR="00E355BF" w:rsidRDefault="00E355BF" w:rsidP="00E355BF">
      <w:pPr>
        <w:pStyle w:val="LI-BodyTextParaa"/>
        <w:numPr>
          <w:ilvl w:val="1"/>
          <w:numId w:val="23"/>
        </w:numPr>
        <w:rPr>
          <w:bCs/>
        </w:rPr>
      </w:pPr>
      <w:r w:rsidRPr="003034DF">
        <w:rPr>
          <w:bCs/>
        </w:rPr>
        <w:t>deal</w:t>
      </w:r>
      <w:r>
        <w:rPr>
          <w:bCs/>
        </w:rPr>
        <w:t>s</w:t>
      </w:r>
      <w:r w:rsidRPr="003034DF">
        <w:rPr>
          <w:bCs/>
        </w:rPr>
        <w:t xml:space="preserve"> with the circumstances in which persons are relieved from complying with the reporting requirements in </w:t>
      </w:r>
      <w:r w:rsidR="00476A44">
        <w:rPr>
          <w:bCs/>
        </w:rPr>
        <w:t>the 2022 Rules</w:t>
      </w:r>
      <w:r w:rsidRPr="003034DF">
        <w:rPr>
          <w:bCs/>
        </w:rPr>
        <w:t xml:space="preserve"> that would otherwise apply to them as permitted by paragraph 901A(3)(g) of the </w:t>
      </w:r>
      <w:r w:rsidR="008E287C">
        <w:rPr>
          <w:bCs/>
        </w:rPr>
        <w:t xml:space="preserve">Corporations </w:t>
      </w:r>
      <w:r w:rsidRPr="003034DF">
        <w:rPr>
          <w:bCs/>
        </w:rPr>
        <w:t>Act</w:t>
      </w:r>
      <w:r>
        <w:rPr>
          <w:bCs/>
        </w:rPr>
        <w:t>.</w:t>
      </w:r>
    </w:p>
    <w:p w14:paraId="12125767" w14:textId="6A51A83D" w:rsidR="00AC36E8" w:rsidRPr="00D2518D" w:rsidRDefault="00AC36E8" w:rsidP="00AC36E8">
      <w:pPr>
        <w:pStyle w:val="LI-BodyTextParaa"/>
        <w:numPr>
          <w:ilvl w:val="0"/>
          <w:numId w:val="23"/>
        </w:numPr>
        <w:rPr>
          <w:bCs/>
        </w:rPr>
      </w:pPr>
      <w:r w:rsidRPr="00D2518D">
        <w:rPr>
          <w:bCs/>
        </w:rPr>
        <w:lastRenderedPageBreak/>
        <w:t xml:space="preserve">The </w:t>
      </w:r>
      <w:r>
        <w:rPr>
          <w:bCs/>
        </w:rPr>
        <w:t>information that is required to be reported</w:t>
      </w:r>
      <w:r w:rsidR="00455ABD">
        <w:rPr>
          <w:bCs/>
        </w:rPr>
        <w:t xml:space="preserve"> </w:t>
      </w:r>
      <w:r w:rsidRPr="00D2518D">
        <w:rPr>
          <w:bCs/>
        </w:rPr>
        <w:t>falls broadly into the following categories</w:t>
      </w:r>
      <w:r w:rsidR="00D570BE">
        <w:rPr>
          <w:bCs/>
        </w:rPr>
        <w:t>:</w:t>
      </w:r>
    </w:p>
    <w:p w14:paraId="64AFD6EB" w14:textId="12E80E06" w:rsidR="00AC36E8" w:rsidRPr="00D2518D" w:rsidRDefault="006B42EF" w:rsidP="00AC36E8">
      <w:pPr>
        <w:pStyle w:val="LI-BodyTextParaa"/>
        <w:numPr>
          <w:ilvl w:val="1"/>
          <w:numId w:val="23"/>
        </w:numPr>
        <w:rPr>
          <w:bCs/>
        </w:rPr>
      </w:pPr>
      <w:r>
        <w:rPr>
          <w:bCs/>
        </w:rPr>
        <w:t>c</w:t>
      </w:r>
      <w:r w:rsidR="00AC36E8" w:rsidRPr="00D2518D">
        <w:rPr>
          <w:bCs/>
        </w:rPr>
        <w:t>ounterparty information</w:t>
      </w:r>
      <w:r w:rsidR="00B554CB" w:rsidRPr="00D2518D">
        <w:rPr>
          <w:bCs/>
        </w:rPr>
        <w:t xml:space="preserve"> – such as an identifier for</w:t>
      </w:r>
      <w:r w:rsidR="00B554CB">
        <w:rPr>
          <w:bCs/>
        </w:rPr>
        <w:t>, and name of,</w:t>
      </w:r>
      <w:r w:rsidR="00B554CB" w:rsidRPr="00D2518D">
        <w:rPr>
          <w:bCs/>
        </w:rPr>
        <w:t xml:space="preserve"> the counterpart</w:t>
      </w:r>
      <w:r w:rsidR="00B554CB">
        <w:rPr>
          <w:bCs/>
        </w:rPr>
        <w:t>ies</w:t>
      </w:r>
      <w:r w:rsidR="00B554CB" w:rsidRPr="00D2518D">
        <w:rPr>
          <w:bCs/>
        </w:rPr>
        <w:t xml:space="preserve"> to a </w:t>
      </w:r>
      <w:r w:rsidR="00B554CB">
        <w:rPr>
          <w:bCs/>
        </w:rPr>
        <w:t>d</w:t>
      </w:r>
      <w:r w:rsidR="00B554CB" w:rsidRPr="00D2518D">
        <w:rPr>
          <w:bCs/>
        </w:rPr>
        <w:t>erivative (</w:t>
      </w:r>
      <w:proofErr w:type="gramStart"/>
      <w:r w:rsidR="00B554CB" w:rsidRPr="00D2518D">
        <w:rPr>
          <w:bCs/>
        </w:rPr>
        <w:t>e.g.</w:t>
      </w:r>
      <w:proofErr w:type="gramEnd"/>
      <w:r w:rsidR="00B554CB" w:rsidRPr="00D2518D">
        <w:rPr>
          <w:bCs/>
        </w:rPr>
        <w:t xml:space="preserve"> a </w:t>
      </w:r>
      <w:r w:rsidR="00B554CB">
        <w:rPr>
          <w:bCs/>
        </w:rPr>
        <w:t>L</w:t>
      </w:r>
      <w:r w:rsidR="00213A76">
        <w:rPr>
          <w:bCs/>
        </w:rPr>
        <w:t xml:space="preserve">egal </w:t>
      </w:r>
      <w:r w:rsidR="00B554CB">
        <w:rPr>
          <w:bCs/>
        </w:rPr>
        <w:t>E</w:t>
      </w:r>
      <w:r w:rsidR="00213A76">
        <w:rPr>
          <w:bCs/>
        </w:rPr>
        <w:t xml:space="preserve">ntity </w:t>
      </w:r>
      <w:r w:rsidR="00B554CB">
        <w:rPr>
          <w:bCs/>
        </w:rPr>
        <w:t>I</w:t>
      </w:r>
      <w:r w:rsidR="00213A76">
        <w:rPr>
          <w:bCs/>
        </w:rPr>
        <w:t>dentifier (</w:t>
      </w:r>
      <w:r w:rsidR="00213A76">
        <w:rPr>
          <w:b/>
          <w:i/>
          <w:iCs/>
        </w:rPr>
        <w:t>LEI</w:t>
      </w:r>
      <w:r w:rsidR="00213A76">
        <w:rPr>
          <w:bCs/>
        </w:rPr>
        <w:t xml:space="preserve">) </w:t>
      </w:r>
      <w:r w:rsidR="00B554CB">
        <w:rPr>
          <w:bCs/>
        </w:rPr>
        <w:t>and legal name</w:t>
      </w:r>
      <w:r w:rsidR="00B554CB" w:rsidRPr="00D2518D">
        <w:rPr>
          <w:bCs/>
        </w:rPr>
        <w:t>)</w:t>
      </w:r>
      <w:r w:rsidR="00D570BE">
        <w:rPr>
          <w:bCs/>
        </w:rPr>
        <w:t>;</w:t>
      </w:r>
    </w:p>
    <w:p w14:paraId="7F0E2654" w14:textId="007B50FA" w:rsidR="00B554CB" w:rsidRPr="00D2518D" w:rsidRDefault="00690E3B" w:rsidP="00AC36E8">
      <w:pPr>
        <w:pStyle w:val="LI-BodyTextParaa"/>
        <w:numPr>
          <w:ilvl w:val="1"/>
          <w:numId w:val="23"/>
        </w:numPr>
        <w:rPr>
          <w:bCs/>
        </w:rPr>
      </w:pPr>
      <w:r>
        <w:rPr>
          <w:bCs/>
        </w:rPr>
        <w:t xml:space="preserve">other entity information – such </w:t>
      </w:r>
      <w:r w:rsidRPr="00D2518D">
        <w:rPr>
          <w:bCs/>
        </w:rPr>
        <w:t>as an identifier for</w:t>
      </w:r>
      <w:r>
        <w:rPr>
          <w:bCs/>
        </w:rPr>
        <w:t>, and name of,</w:t>
      </w:r>
      <w:r w:rsidRPr="00D2518D">
        <w:rPr>
          <w:bCs/>
        </w:rPr>
        <w:t xml:space="preserve"> </w:t>
      </w:r>
      <w:r>
        <w:rPr>
          <w:bCs/>
        </w:rPr>
        <w:t>a beneficiary, broker, central clearing facility, clearing member, reference entity or the person making the report</w:t>
      </w:r>
      <w:r w:rsidRPr="00D2518D">
        <w:rPr>
          <w:bCs/>
        </w:rPr>
        <w:t xml:space="preserve"> </w:t>
      </w:r>
      <w:r>
        <w:rPr>
          <w:bCs/>
        </w:rPr>
        <w:t>in relation to a</w:t>
      </w:r>
      <w:r w:rsidR="006C3002">
        <w:rPr>
          <w:bCs/>
        </w:rPr>
        <w:t xml:space="preserve"> </w:t>
      </w:r>
      <w:r>
        <w:rPr>
          <w:bCs/>
        </w:rPr>
        <w:t>d</w:t>
      </w:r>
      <w:r w:rsidRPr="00D2518D">
        <w:rPr>
          <w:bCs/>
        </w:rPr>
        <w:t>erivative</w:t>
      </w:r>
      <w:r w:rsidR="006C3002">
        <w:rPr>
          <w:bCs/>
        </w:rPr>
        <w:t xml:space="preserve"> </w:t>
      </w:r>
      <w:r w:rsidRPr="00D2518D">
        <w:rPr>
          <w:bCs/>
        </w:rPr>
        <w:t>(</w:t>
      </w:r>
      <w:proofErr w:type="gramStart"/>
      <w:r w:rsidRPr="00D2518D">
        <w:rPr>
          <w:bCs/>
        </w:rPr>
        <w:t>e.g.</w:t>
      </w:r>
      <w:proofErr w:type="gramEnd"/>
      <w:r w:rsidRPr="00D2518D">
        <w:rPr>
          <w:bCs/>
        </w:rPr>
        <w:t xml:space="preserve"> a</w:t>
      </w:r>
      <w:r>
        <w:rPr>
          <w:bCs/>
        </w:rPr>
        <w:t>n</w:t>
      </w:r>
      <w:r w:rsidRPr="00D2518D">
        <w:rPr>
          <w:bCs/>
        </w:rPr>
        <w:t xml:space="preserve"> </w:t>
      </w:r>
      <w:r>
        <w:rPr>
          <w:bCs/>
        </w:rPr>
        <w:t>LEI and legal name</w:t>
      </w:r>
      <w:r w:rsidRPr="00D2518D">
        <w:rPr>
          <w:bCs/>
        </w:rPr>
        <w:t>)</w:t>
      </w:r>
      <w:r>
        <w:rPr>
          <w:bCs/>
        </w:rPr>
        <w:t>;</w:t>
      </w:r>
    </w:p>
    <w:p w14:paraId="48D4E0AB" w14:textId="06B454D5" w:rsidR="00AC36E8" w:rsidRPr="00D2518D" w:rsidRDefault="006B42EF" w:rsidP="00AC36E8">
      <w:pPr>
        <w:pStyle w:val="LI-BodyTextParaa"/>
        <w:numPr>
          <w:ilvl w:val="1"/>
          <w:numId w:val="23"/>
        </w:numPr>
        <w:rPr>
          <w:bCs/>
        </w:rPr>
      </w:pPr>
      <w:r>
        <w:rPr>
          <w:bCs/>
        </w:rPr>
        <w:t>o</w:t>
      </w:r>
      <w:r w:rsidR="00AC36E8" w:rsidRPr="00D2518D">
        <w:rPr>
          <w:bCs/>
        </w:rPr>
        <w:t>perational information</w:t>
      </w:r>
      <w:r w:rsidR="003E5D62" w:rsidRPr="00984739">
        <w:rPr>
          <w:bCs/>
        </w:rPr>
        <w:t xml:space="preserve"> – such as an identifier for the derivative transaction, information about the master agreement type and date, and information about whether the derivative transaction was traded on an execution venue, cleared and/or </w:t>
      </w:r>
      <w:proofErr w:type="gramStart"/>
      <w:r w:rsidR="003E5D62" w:rsidRPr="00984739">
        <w:rPr>
          <w:bCs/>
        </w:rPr>
        <w:t>confirmed</w:t>
      </w:r>
      <w:r w:rsidR="00D570BE">
        <w:rPr>
          <w:bCs/>
        </w:rPr>
        <w:t>;</w:t>
      </w:r>
      <w:proofErr w:type="gramEnd"/>
    </w:p>
    <w:p w14:paraId="29BBDE28" w14:textId="37BBBA5F" w:rsidR="00AC36E8" w:rsidRPr="00D2518D" w:rsidRDefault="006B42EF" w:rsidP="00AC36E8">
      <w:pPr>
        <w:pStyle w:val="LI-BodyTextParaa"/>
        <w:numPr>
          <w:ilvl w:val="1"/>
          <w:numId w:val="23"/>
        </w:numPr>
        <w:rPr>
          <w:bCs/>
        </w:rPr>
      </w:pPr>
      <w:r>
        <w:rPr>
          <w:bCs/>
        </w:rPr>
        <w:t>p</w:t>
      </w:r>
      <w:r w:rsidR="00AC36E8" w:rsidRPr="00D2518D">
        <w:rPr>
          <w:bCs/>
        </w:rPr>
        <w:t>roduct information</w:t>
      </w:r>
      <w:r w:rsidR="00632E34" w:rsidRPr="00186B3A">
        <w:rPr>
          <w:bCs/>
        </w:rPr>
        <w:t xml:space="preserve"> – such as information about the type of derivative (</w:t>
      </w:r>
      <w:proofErr w:type="gramStart"/>
      <w:r w:rsidR="00632E34" w:rsidRPr="00186B3A">
        <w:rPr>
          <w:bCs/>
        </w:rPr>
        <w:t>e.g.</w:t>
      </w:r>
      <w:proofErr w:type="gramEnd"/>
      <w:r w:rsidR="00632E34" w:rsidRPr="00186B3A">
        <w:rPr>
          <w:bCs/>
        </w:rPr>
        <w:t xml:space="preserve"> swap, forward, option) and in the case of options, the exercise style (e.g. American, Asian, European or Bermudan)</w:t>
      </w:r>
      <w:r w:rsidR="00D570BE">
        <w:rPr>
          <w:bCs/>
        </w:rPr>
        <w:t>;</w:t>
      </w:r>
    </w:p>
    <w:p w14:paraId="27467CCC" w14:textId="44B8BE3F" w:rsidR="00AC36E8" w:rsidRPr="00D2518D" w:rsidRDefault="006B42EF" w:rsidP="00AC36E8">
      <w:pPr>
        <w:pStyle w:val="LI-BodyTextParaa"/>
        <w:numPr>
          <w:ilvl w:val="1"/>
          <w:numId w:val="23"/>
        </w:numPr>
        <w:rPr>
          <w:bCs/>
        </w:rPr>
      </w:pPr>
      <w:r>
        <w:rPr>
          <w:bCs/>
        </w:rPr>
        <w:t>t</w:t>
      </w:r>
      <w:r w:rsidR="00AC36E8" w:rsidRPr="00D2518D">
        <w:rPr>
          <w:bCs/>
        </w:rPr>
        <w:t>ransaction economics</w:t>
      </w:r>
      <w:r w:rsidR="007B484B" w:rsidRPr="00D2518D">
        <w:rPr>
          <w:bCs/>
        </w:rPr>
        <w:t xml:space="preserve"> – the material terms of a </w:t>
      </w:r>
      <w:r w:rsidR="007B484B">
        <w:rPr>
          <w:bCs/>
        </w:rPr>
        <w:t>d</w:t>
      </w:r>
      <w:r w:rsidR="007B484B" w:rsidRPr="00D2518D">
        <w:rPr>
          <w:bCs/>
        </w:rPr>
        <w:t xml:space="preserve">erivative, including effective dates, termination dates, notional amounts, coupon amounts and payment </w:t>
      </w:r>
      <w:proofErr w:type="gramStart"/>
      <w:r w:rsidR="007B484B" w:rsidRPr="00D2518D">
        <w:rPr>
          <w:bCs/>
        </w:rPr>
        <w:t>schedules</w:t>
      </w:r>
      <w:r w:rsidR="002559AD">
        <w:rPr>
          <w:bCs/>
        </w:rPr>
        <w:t>;</w:t>
      </w:r>
      <w:proofErr w:type="gramEnd"/>
    </w:p>
    <w:p w14:paraId="562E76E6" w14:textId="6F213432" w:rsidR="00AC36E8" w:rsidRPr="00D2518D" w:rsidRDefault="006B42EF" w:rsidP="00AC36E8">
      <w:pPr>
        <w:pStyle w:val="LI-BodyTextParaa"/>
        <w:numPr>
          <w:ilvl w:val="1"/>
          <w:numId w:val="23"/>
        </w:numPr>
        <w:rPr>
          <w:bCs/>
        </w:rPr>
      </w:pPr>
      <w:r>
        <w:rPr>
          <w:bCs/>
        </w:rPr>
        <w:t>e</w:t>
      </w:r>
      <w:r w:rsidR="00AC36E8" w:rsidRPr="00D2518D">
        <w:rPr>
          <w:bCs/>
        </w:rPr>
        <w:t>xposures data</w:t>
      </w:r>
      <w:r w:rsidR="00665D95" w:rsidRPr="00665D95">
        <w:rPr>
          <w:bCs/>
        </w:rPr>
        <w:t xml:space="preserve"> – information about the mark-to-market, mark-to-model or other valuation of a derivative, and information about collateral exchanged on the derivative</w:t>
      </w:r>
      <w:r w:rsidR="002559AD">
        <w:rPr>
          <w:bCs/>
        </w:rPr>
        <w:t>; and</w:t>
      </w:r>
    </w:p>
    <w:p w14:paraId="4F9438C2" w14:textId="432FD520" w:rsidR="00AC36E8" w:rsidRDefault="006B42EF" w:rsidP="00AC36E8">
      <w:pPr>
        <w:pStyle w:val="LI-BodyTextParaa"/>
        <w:numPr>
          <w:ilvl w:val="1"/>
          <w:numId w:val="23"/>
        </w:numPr>
        <w:rPr>
          <w:bCs/>
        </w:rPr>
      </w:pPr>
      <w:r>
        <w:rPr>
          <w:bCs/>
        </w:rPr>
        <w:t>e</w:t>
      </w:r>
      <w:r w:rsidR="00AC36E8" w:rsidRPr="00D2518D">
        <w:rPr>
          <w:bCs/>
        </w:rPr>
        <w:t>vent data</w:t>
      </w:r>
      <w:r w:rsidR="00665D95" w:rsidRPr="00D2518D">
        <w:rPr>
          <w:bCs/>
        </w:rPr>
        <w:t xml:space="preserve"> – information that records the occurrence of an event and includes a timestamp, such as a confirmation, clearing, execution or reporting timestamp</w:t>
      </w:r>
      <w:r w:rsidR="00AC36E8" w:rsidRPr="00D2518D">
        <w:rPr>
          <w:bCs/>
        </w:rPr>
        <w:t>.</w:t>
      </w:r>
    </w:p>
    <w:p w14:paraId="27B9AB25" w14:textId="77777777" w:rsidR="001872DC" w:rsidRPr="00EA17A6" w:rsidRDefault="001872DC" w:rsidP="001872DC">
      <w:pPr>
        <w:pStyle w:val="LI-BodyTextNumbered"/>
        <w:ind w:left="567"/>
        <w:rPr>
          <w:u w:val="single"/>
        </w:rPr>
      </w:pPr>
      <w:bookmarkStart w:id="26" w:name="_Hlk534286807"/>
      <w:bookmarkEnd w:id="23"/>
      <w:r w:rsidRPr="00EA17A6">
        <w:rPr>
          <w:u w:val="single"/>
        </w:rPr>
        <w:t>Assessment of human rights implications</w:t>
      </w:r>
    </w:p>
    <w:bookmarkEnd w:id="26"/>
    <w:p w14:paraId="6F9FC37C" w14:textId="77777777" w:rsidR="00723E38" w:rsidRDefault="00723E38" w:rsidP="00723E38">
      <w:pPr>
        <w:pStyle w:val="LI-BodyTextParaa"/>
        <w:ind w:left="567" w:firstLine="0"/>
        <w:rPr>
          <w:bCs/>
        </w:rPr>
      </w:pPr>
      <w:r>
        <w:rPr>
          <w:i/>
          <w:iCs/>
          <w:color w:val="000000"/>
          <w:sz w:val="23"/>
          <w:szCs w:val="23"/>
          <w:u w:val="single"/>
          <w:shd w:val="clear" w:color="auto" w:fill="FFFFFF"/>
        </w:rPr>
        <w:t>Article 17 of the International Covenant on Civil and Political Rights</w:t>
      </w:r>
    </w:p>
    <w:p w14:paraId="5F1B6D39" w14:textId="4AA80F76" w:rsidR="00723E38" w:rsidRPr="00376F39" w:rsidRDefault="00723E38" w:rsidP="00723E38">
      <w:pPr>
        <w:pStyle w:val="LI-BodyTextParaa"/>
        <w:numPr>
          <w:ilvl w:val="0"/>
          <w:numId w:val="23"/>
        </w:numPr>
        <w:rPr>
          <w:bCs/>
        </w:rPr>
      </w:pPr>
      <w:r w:rsidRPr="00376F39">
        <w:rPr>
          <w:bCs/>
        </w:rPr>
        <w:t>Th</w:t>
      </w:r>
      <w:r>
        <w:rPr>
          <w:bCs/>
        </w:rPr>
        <w:t>is instrument</w:t>
      </w:r>
      <w:r w:rsidRPr="00376F39">
        <w:rPr>
          <w:bCs/>
        </w:rPr>
        <w:t xml:space="preserve"> may engage the right to privacy and reputation in Article 17 of the International Covenant on Civil and Political Rights (</w:t>
      </w:r>
      <w:r w:rsidRPr="00A60BB9">
        <w:rPr>
          <w:b/>
          <w:i/>
          <w:iCs/>
        </w:rPr>
        <w:t>Article 17</w:t>
      </w:r>
      <w:r w:rsidRPr="00376F39">
        <w:rPr>
          <w:bCs/>
        </w:rPr>
        <w:t xml:space="preserve">). Article 17 prohibits unlawful or arbitrary interferences with a person's privacy, family, home (which the UN Human Rights Committee has interpreted as including a person’s workplace) and correspondence. It also prohibits unlawful attacks on a person’s reputation. It provides that persons have the right to the protection of the law against such interference or attacks. The UN Human Rights Committee has not defined </w:t>
      </w:r>
      <w:r w:rsidR="005013C5">
        <w:rPr>
          <w:bCs/>
        </w:rPr>
        <w:t>“</w:t>
      </w:r>
      <w:r w:rsidRPr="00376F39">
        <w:rPr>
          <w:bCs/>
        </w:rPr>
        <w:t>privacy</w:t>
      </w:r>
      <w:r w:rsidR="005013C5">
        <w:rPr>
          <w:bCs/>
        </w:rPr>
        <w:t>”</w:t>
      </w:r>
      <w:r w:rsidRPr="00376F39">
        <w:rPr>
          <w:bCs/>
        </w:rPr>
        <w:t xml:space="preserve">. The Commonwealth Attorney-General’s Department has provided </w:t>
      </w:r>
      <w:hyperlink r:id="rId20" w:history="1">
        <w:r w:rsidRPr="00ED0B1C">
          <w:rPr>
            <w:rStyle w:val="Hyperlink"/>
            <w:bCs/>
          </w:rPr>
          <w:t>guidance</w:t>
        </w:r>
      </w:hyperlink>
      <w:r w:rsidRPr="00376F39">
        <w:rPr>
          <w:bCs/>
        </w:rPr>
        <w:t xml:space="preserve"> that privacy should be understood to comprise freedom from unwarranted and unreasonable intrusion into activities that society recognises as falling into the individual sphere of autonomy. To avoid being considered arbitrary, any interference with privacy must be in accordance with the provisions, aims and objectives of the ICCPR and should be reasonable in the particular circumstances.</w:t>
      </w:r>
    </w:p>
    <w:p w14:paraId="3A3A033E" w14:textId="2F1AC619" w:rsidR="00723E38" w:rsidRPr="00376F39" w:rsidRDefault="00723E38" w:rsidP="00723E38">
      <w:pPr>
        <w:pStyle w:val="LI-BodyTextParaa"/>
        <w:numPr>
          <w:ilvl w:val="0"/>
          <w:numId w:val="23"/>
        </w:numPr>
        <w:rPr>
          <w:bCs/>
        </w:rPr>
      </w:pPr>
      <w:r w:rsidRPr="00376F39">
        <w:rPr>
          <w:bCs/>
        </w:rPr>
        <w:lastRenderedPageBreak/>
        <w:t>Th</w:t>
      </w:r>
      <w:r>
        <w:rPr>
          <w:bCs/>
        </w:rPr>
        <w:t xml:space="preserve">is instrument </w:t>
      </w:r>
      <w:r w:rsidRPr="00376F39">
        <w:rPr>
          <w:bCs/>
        </w:rPr>
        <w:t>may engage the right to privacy and reputation in Article 17</w:t>
      </w:r>
      <w:r w:rsidR="003A5741">
        <w:rPr>
          <w:bCs/>
        </w:rPr>
        <w:t>.</w:t>
      </w:r>
    </w:p>
    <w:p w14:paraId="5E9B2BB3" w14:textId="6C575C67" w:rsidR="00723E38" w:rsidRPr="00376F39" w:rsidRDefault="00723E38" w:rsidP="00723E38">
      <w:pPr>
        <w:pStyle w:val="LI-BodyTextParaa"/>
        <w:numPr>
          <w:ilvl w:val="0"/>
          <w:numId w:val="23"/>
        </w:numPr>
        <w:rPr>
          <w:bCs/>
        </w:rPr>
      </w:pPr>
      <w:r w:rsidRPr="00376F39">
        <w:rPr>
          <w:bCs/>
        </w:rPr>
        <w:t xml:space="preserve">The </w:t>
      </w:r>
      <w:r>
        <w:rPr>
          <w:bCs/>
        </w:rPr>
        <w:t xml:space="preserve">instrument </w:t>
      </w:r>
      <w:r w:rsidRPr="00376F39">
        <w:rPr>
          <w:bCs/>
        </w:rPr>
        <w:t>require</w:t>
      </w:r>
      <w:r>
        <w:rPr>
          <w:bCs/>
        </w:rPr>
        <w:t>s</w:t>
      </w:r>
      <w:r w:rsidRPr="00376F39">
        <w:rPr>
          <w:bCs/>
        </w:rPr>
        <w:t xml:space="preserve"> a </w:t>
      </w:r>
      <w:r w:rsidR="005013C5">
        <w:rPr>
          <w:bCs/>
        </w:rPr>
        <w:t>“</w:t>
      </w:r>
      <w:r>
        <w:rPr>
          <w:bCs/>
        </w:rPr>
        <w:t>r</w:t>
      </w:r>
      <w:r w:rsidRPr="00376F39">
        <w:rPr>
          <w:bCs/>
        </w:rPr>
        <w:t xml:space="preserve">eporting </w:t>
      </w:r>
      <w:r>
        <w:rPr>
          <w:bCs/>
        </w:rPr>
        <w:t>e</w:t>
      </w:r>
      <w:r w:rsidRPr="00376F39">
        <w:rPr>
          <w:bCs/>
        </w:rPr>
        <w:t>ntity</w:t>
      </w:r>
      <w:r w:rsidR="005013C5">
        <w:rPr>
          <w:bCs/>
        </w:rPr>
        <w:t>”</w:t>
      </w:r>
      <w:r w:rsidRPr="00376F39">
        <w:rPr>
          <w:bCs/>
        </w:rPr>
        <w:t xml:space="preserve"> (as defined in Rule 1.2.3 of th</w:t>
      </w:r>
      <w:r>
        <w:rPr>
          <w:bCs/>
        </w:rPr>
        <w:t>e instrument</w:t>
      </w:r>
      <w:r w:rsidRPr="00376F39">
        <w:rPr>
          <w:bCs/>
        </w:rPr>
        <w:t xml:space="preserve">) to provide certain </w:t>
      </w:r>
      <w:r w:rsidR="005013C5">
        <w:rPr>
          <w:bCs/>
        </w:rPr>
        <w:t>“</w:t>
      </w:r>
      <w:r w:rsidRPr="00376F39">
        <w:rPr>
          <w:bCs/>
        </w:rPr>
        <w:t>derivative trade data</w:t>
      </w:r>
      <w:r w:rsidR="005013C5">
        <w:rPr>
          <w:bCs/>
        </w:rPr>
        <w:t>”</w:t>
      </w:r>
      <w:r w:rsidRPr="00376F39">
        <w:rPr>
          <w:bCs/>
        </w:rPr>
        <w:t xml:space="preserve"> to a derivative trade repository that is licensed under section 905C of the </w:t>
      </w:r>
      <w:r>
        <w:rPr>
          <w:bCs/>
        </w:rPr>
        <w:t xml:space="preserve">Corporations </w:t>
      </w:r>
      <w:r w:rsidRPr="00376F39">
        <w:rPr>
          <w:bCs/>
        </w:rPr>
        <w:t xml:space="preserve">Act or a derivative trade repository that it prescribed under paragraph 901A(6)(b) of the </w:t>
      </w:r>
      <w:r>
        <w:rPr>
          <w:bCs/>
        </w:rPr>
        <w:t xml:space="preserve">Corporations </w:t>
      </w:r>
      <w:r w:rsidRPr="00376F39">
        <w:rPr>
          <w:bCs/>
        </w:rPr>
        <w:t xml:space="preserve">Act. Under Rules 2.3.1 and 2.3.2 of the </w:t>
      </w:r>
      <w:r w:rsidRPr="008B6BC6">
        <w:rPr>
          <w:bCs/>
          <w:i/>
          <w:iCs/>
        </w:rPr>
        <w:t>ASIC Derivative Trade Repository Rules 2013</w:t>
      </w:r>
      <w:r w:rsidR="00E373C6">
        <w:rPr>
          <w:bCs/>
        </w:rPr>
        <w:t xml:space="preserve"> (</w:t>
      </w:r>
      <w:r w:rsidR="00E373C6">
        <w:rPr>
          <w:b/>
          <w:i/>
          <w:iCs/>
        </w:rPr>
        <w:t>Trade Repository Rules 2013</w:t>
      </w:r>
      <w:r w:rsidR="00E373C6">
        <w:rPr>
          <w:bCs/>
        </w:rPr>
        <w:t>)</w:t>
      </w:r>
      <w:r w:rsidRPr="00376F39">
        <w:rPr>
          <w:bCs/>
        </w:rPr>
        <w:t xml:space="preserve">, an operator of a licensed derivative trade repository must accept and retain that information in records of derivative trade data. Under subsection 904B(2) of the </w:t>
      </w:r>
      <w:r>
        <w:rPr>
          <w:bCs/>
        </w:rPr>
        <w:t xml:space="preserve">Corporations </w:t>
      </w:r>
      <w:r w:rsidRPr="00376F39">
        <w:rPr>
          <w:bCs/>
        </w:rPr>
        <w:t xml:space="preserve">Act and Rule 2.3.4 of the </w:t>
      </w:r>
      <w:r w:rsidRPr="00F96A07">
        <w:rPr>
          <w:bCs/>
        </w:rPr>
        <w:t>Trade Repository Rules 2013</w:t>
      </w:r>
      <w:r w:rsidRPr="00376F39">
        <w:rPr>
          <w:bCs/>
        </w:rPr>
        <w:t xml:space="preserve">, the operator of a licensed derivative trade repository may be required to provide derivative trade data on request made by ASIC, </w:t>
      </w:r>
      <w:r>
        <w:rPr>
          <w:bCs/>
        </w:rPr>
        <w:t xml:space="preserve">the </w:t>
      </w:r>
      <w:r w:rsidRPr="00376F39">
        <w:rPr>
          <w:bCs/>
        </w:rPr>
        <w:t>A</w:t>
      </w:r>
      <w:r>
        <w:rPr>
          <w:bCs/>
        </w:rPr>
        <w:t xml:space="preserve">ustralian </w:t>
      </w:r>
      <w:r w:rsidRPr="00376F39">
        <w:rPr>
          <w:bCs/>
        </w:rPr>
        <w:t>P</w:t>
      </w:r>
      <w:r>
        <w:rPr>
          <w:bCs/>
        </w:rPr>
        <w:t xml:space="preserve">rudential </w:t>
      </w:r>
      <w:r w:rsidRPr="00376F39">
        <w:rPr>
          <w:bCs/>
        </w:rPr>
        <w:t>R</w:t>
      </w:r>
      <w:r>
        <w:rPr>
          <w:bCs/>
        </w:rPr>
        <w:t xml:space="preserve">egulatory </w:t>
      </w:r>
      <w:r w:rsidRPr="00376F39">
        <w:rPr>
          <w:bCs/>
        </w:rPr>
        <w:t>A</w:t>
      </w:r>
      <w:r>
        <w:rPr>
          <w:bCs/>
        </w:rPr>
        <w:t>uthority</w:t>
      </w:r>
      <w:r w:rsidRPr="00376F39">
        <w:rPr>
          <w:bCs/>
        </w:rPr>
        <w:t>, the R</w:t>
      </w:r>
      <w:r>
        <w:rPr>
          <w:bCs/>
        </w:rPr>
        <w:t xml:space="preserve">eserve </w:t>
      </w:r>
      <w:r w:rsidRPr="00376F39">
        <w:rPr>
          <w:bCs/>
        </w:rPr>
        <w:t>B</w:t>
      </w:r>
      <w:r>
        <w:rPr>
          <w:bCs/>
        </w:rPr>
        <w:t xml:space="preserve">ank of </w:t>
      </w:r>
      <w:r w:rsidRPr="00376F39">
        <w:rPr>
          <w:bCs/>
        </w:rPr>
        <w:t>A</w:t>
      </w:r>
      <w:r>
        <w:rPr>
          <w:bCs/>
        </w:rPr>
        <w:t>ustralia</w:t>
      </w:r>
      <w:r w:rsidRPr="00376F39">
        <w:rPr>
          <w:bCs/>
        </w:rPr>
        <w:t>, a prescribed person or body, or another licensed derivative trade repository.</w:t>
      </w:r>
    </w:p>
    <w:p w14:paraId="01E86B7D" w14:textId="1630754F" w:rsidR="00723E38" w:rsidRPr="00376F39" w:rsidRDefault="00723E38" w:rsidP="00723E38">
      <w:pPr>
        <w:pStyle w:val="LI-BodyTextParaa"/>
        <w:numPr>
          <w:ilvl w:val="0"/>
          <w:numId w:val="23"/>
        </w:numPr>
        <w:rPr>
          <w:bCs/>
        </w:rPr>
      </w:pPr>
      <w:r w:rsidRPr="00376F39">
        <w:rPr>
          <w:bCs/>
        </w:rPr>
        <w:t>Derivative trade data includes, for each side of an OTC derivative transaction, information that identifies or is capable of identifying the counterpart</w:t>
      </w:r>
      <w:r>
        <w:rPr>
          <w:bCs/>
        </w:rPr>
        <w:t>ies</w:t>
      </w:r>
      <w:r w:rsidRPr="00376F39">
        <w:rPr>
          <w:bCs/>
        </w:rPr>
        <w:t xml:space="preserve"> to the OTC derivative (referred to as </w:t>
      </w:r>
      <w:r w:rsidR="005013C5">
        <w:rPr>
          <w:bCs/>
        </w:rPr>
        <w:t>“</w:t>
      </w:r>
      <w:r w:rsidRPr="00376F39">
        <w:rPr>
          <w:bCs/>
        </w:rPr>
        <w:t>counterparty information</w:t>
      </w:r>
      <w:r w:rsidR="005013C5">
        <w:rPr>
          <w:bCs/>
        </w:rPr>
        <w:t>”</w:t>
      </w:r>
      <w:r w:rsidRPr="00376F39">
        <w:rPr>
          <w:bCs/>
        </w:rPr>
        <w:t>)</w:t>
      </w:r>
      <w:r>
        <w:rPr>
          <w:bCs/>
        </w:rPr>
        <w:t xml:space="preserve">. If applicable, derivative trade data also includes </w:t>
      </w:r>
      <w:r w:rsidRPr="00376F39">
        <w:rPr>
          <w:bCs/>
        </w:rPr>
        <w:t xml:space="preserve">information that identifies or is capable of identifying </w:t>
      </w:r>
      <w:r>
        <w:rPr>
          <w:bCs/>
        </w:rPr>
        <w:t xml:space="preserve">other entities (referred to as </w:t>
      </w:r>
      <w:r w:rsidR="00F029D1">
        <w:rPr>
          <w:bCs/>
        </w:rPr>
        <w:t>“</w:t>
      </w:r>
      <w:r>
        <w:rPr>
          <w:bCs/>
        </w:rPr>
        <w:t>other entity information</w:t>
      </w:r>
      <w:r w:rsidR="00F029D1">
        <w:rPr>
          <w:bCs/>
        </w:rPr>
        <w:t>”</w:t>
      </w:r>
      <w:r>
        <w:rPr>
          <w:bCs/>
        </w:rPr>
        <w:t>) involved in the OTC derivative transaction which may be a beneficiary, broker, central clearing facility, clearing member, reference entity or the person making the derivatives trade data report</w:t>
      </w:r>
      <w:r w:rsidRPr="00D2518D">
        <w:rPr>
          <w:bCs/>
        </w:rPr>
        <w:t xml:space="preserve"> </w:t>
      </w:r>
      <w:r w:rsidRPr="00376F39">
        <w:rPr>
          <w:bCs/>
        </w:rPr>
        <w:t>t</w:t>
      </w:r>
      <w:r>
        <w:rPr>
          <w:bCs/>
        </w:rPr>
        <w:t xml:space="preserve">o a derivative trade repository </w:t>
      </w:r>
      <w:r w:rsidRPr="00376F39">
        <w:rPr>
          <w:bCs/>
        </w:rPr>
        <w:t xml:space="preserve">(see Tables S2.1(1) and S2.2(1) in Schedule 2 to </w:t>
      </w:r>
      <w:r w:rsidR="00476A44">
        <w:rPr>
          <w:bCs/>
        </w:rPr>
        <w:t>the 2022 Rules</w:t>
      </w:r>
      <w:r w:rsidRPr="00376F39">
        <w:rPr>
          <w:bCs/>
        </w:rPr>
        <w:t>).</w:t>
      </w:r>
    </w:p>
    <w:p w14:paraId="4C705EBF" w14:textId="263ED664" w:rsidR="00723E38" w:rsidRDefault="005013C5" w:rsidP="00723E38">
      <w:pPr>
        <w:pStyle w:val="LI-BodyTextParaa"/>
        <w:numPr>
          <w:ilvl w:val="0"/>
          <w:numId w:val="23"/>
        </w:numPr>
        <w:rPr>
          <w:bCs/>
        </w:rPr>
      </w:pPr>
      <w:r>
        <w:rPr>
          <w:bCs/>
        </w:rPr>
        <w:t>“</w:t>
      </w:r>
      <w:r w:rsidR="00723E38" w:rsidRPr="00376F39">
        <w:rPr>
          <w:bCs/>
        </w:rPr>
        <w:t>Counterparty information</w:t>
      </w:r>
      <w:r>
        <w:rPr>
          <w:bCs/>
        </w:rPr>
        <w:t>”</w:t>
      </w:r>
      <w:r w:rsidR="00723E38" w:rsidRPr="00376F39">
        <w:rPr>
          <w:bCs/>
        </w:rPr>
        <w:t xml:space="preserve"> </w:t>
      </w:r>
      <w:r w:rsidR="00723E38">
        <w:rPr>
          <w:bCs/>
        </w:rPr>
        <w:t xml:space="preserve">and </w:t>
      </w:r>
      <w:r>
        <w:rPr>
          <w:bCs/>
        </w:rPr>
        <w:t>“</w:t>
      </w:r>
      <w:r w:rsidR="00723E38">
        <w:rPr>
          <w:bCs/>
        </w:rPr>
        <w:t>other entity information</w:t>
      </w:r>
      <w:r>
        <w:rPr>
          <w:bCs/>
        </w:rPr>
        <w:t>”</w:t>
      </w:r>
      <w:r w:rsidR="00723E38">
        <w:rPr>
          <w:bCs/>
        </w:rPr>
        <w:t xml:space="preserve"> </w:t>
      </w:r>
      <w:r w:rsidR="00723E38" w:rsidRPr="00376F39">
        <w:rPr>
          <w:bCs/>
        </w:rPr>
        <w:t xml:space="preserve">may contain </w:t>
      </w:r>
      <w:r>
        <w:rPr>
          <w:bCs/>
        </w:rPr>
        <w:t>“</w:t>
      </w:r>
      <w:r w:rsidR="00723E38" w:rsidRPr="00376F39">
        <w:rPr>
          <w:bCs/>
        </w:rPr>
        <w:t>personal information</w:t>
      </w:r>
      <w:r>
        <w:rPr>
          <w:bCs/>
        </w:rPr>
        <w:t>”</w:t>
      </w:r>
      <w:r w:rsidR="00723E38" w:rsidRPr="00376F39">
        <w:rPr>
          <w:bCs/>
        </w:rPr>
        <w:t xml:space="preserve"> as defined in the </w:t>
      </w:r>
      <w:r w:rsidR="00723E38" w:rsidRPr="003F1B14">
        <w:rPr>
          <w:bCs/>
          <w:i/>
          <w:iCs/>
        </w:rPr>
        <w:t>Privacy Act 1988</w:t>
      </w:r>
      <w:r w:rsidR="00723E38" w:rsidRPr="00376F39">
        <w:rPr>
          <w:bCs/>
        </w:rPr>
        <w:t xml:space="preserve">, being information or an opinion (including information or an opinion forming part of a database), whether true or not, and whether recorded in a material form or not, about an individual whose identity is apparent, or can reasonably be ascertained, from the information or opinion. This </w:t>
      </w:r>
      <w:r w:rsidR="00723E38">
        <w:rPr>
          <w:bCs/>
        </w:rPr>
        <w:t xml:space="preserve">is the case where the </w:t>
      </w:r>
      <w:r w:rsidR="00723E38" w:rsidRPr="00376F39">
        <w:rPr>
          <w:bCs/>
        </w:rPr>
        <w:t xml:space="preserve">counterparty </w:t>
      </w:r>
      <w:r w:rsidR="00723E38">
        <w:rPr>
          <w:bCs/>
        </w:rPr>
        <w:t xml:space="preserve">or other entity </w:t>
      </w:r>
      <w:r w:rsidR="00723E38" w:rsidRPr="00376F39">
        <w:rPr>
          <w:bCs/>
        </w:rPr>
        <w:t xml:space="preserve">is an individual and the reporting entity reporting the OTC derivative </w:t>
      </w:r>
      <w:r w:rsidR="00723E38">
        <w:rPr>
          <w:bCs/>
        </w:rPr>
        <w:t>provides:</w:t>
      </w:r>
    </w:p>
    <w:p w14:paraId="0DEF920B" w14:textId="77777777" w:rsidR="00723E38" w:rsidRDefault="00723E38" w:rsidP="00723E38">
      <w:pPr>
        <w:pStyle w:val="LI-BodyTextParaa"/>
        <w:numPr>
          <w:ilvl w:val="1"/>
          <w:numId w:val="23"/>
        </w:numPr>
        <w:rPr>
          <w:bCs/>
        </w:rPr>
      </w:pPr>
      <w:r>
        <w:rPr>
          <w:bCs/>
        </w:rPr>
        <w:t>the name of that individual; or</w:t>
      </w:r>
    </w:p>
    <w:p w14:paraId="3AC27382" w14:textId="77777777" w:rsidR="00723E38" w:rsidRPr="00376F39" w:rsidRDefault="00723E38" w:rsidP="00723E38">
      <w:pPr>
        <w:pStyle w:val="LI-BodyTextParaa"/>
        <w:numPr>
          <w:ilvl w:val="1"/>
          <w:numId w:val="23"/>
        </w:numPr>
        <w:rPr>
          <w:bCs/>
        </w:rPr>
      </w:pPr>
      <w:r w:rsidRPr="00376F39">
        <w:rPr>
          <w:bCs/>
        </w:rPr>
        <w:t>a code to identify the individual from which the identity of the individual is apparent or can reasonably be ascertained.</w:t>
      </w:r>
    </w:p>
    <w:p w14:paraId="50D60EF4" w14:textId="1170A8AA" w:rsidR="00723E38" w:rsidRPr="00376F39" w:rsidRDefault="00723E38" w:rsidP="00723E38">
      <w:pPr>
        <w:pStyle w:val="LI-BodyTextParaa"/>
        <w:numPr>
          <w:ilvl w:val="0"/>
          <w:numId w:val="23"/>
        </w:numPr>
        <w:rPr>
          <w:bCs/>
        </w:rPr>
      </w:pPr>
      <w:r w:rsidRPr="00376F39">
        <w:rPr>
          <w:bCs/>
        </w:rPr>
        <w:t xml:space="preserve">The right in Article 17 is engaged by the </w:t>
      </w:r>
      <w:r>
        <w:rPr>
          <w:bCs/>
        </w:rPr>
        <w:t>instrument</w:t>
      </w:r>
      <w:r w:rsidRPr="00376F39">
        <w:rPr>
          <w:bCs/>
        </w:rPr>
        <w:t xml:space="preserve"> by reason that the reporting of derivative trade data may:</w:t>
      </w:r>
    </w:p>
    <w:p w14:paraId="3F08807B" w14:textId="77777777" w:rsidR="00723E38" w:rsidRPr="00376F39" w:rsidRDefault="00723E38" w:rsidP="00723E38">
      <w:pPr>
        <w:pStyle w:val="LI-BodyTextParaa"/>
        <w:numPr>
          <w:ilvl w:val="1"/>
          <w:numId w:val="23"/>
        </w:numPr>
        <w:rPr>
          <w:bCs/>
        </w:rPr>
      </w:pPr>
      <w:r w:rsidRPr="00376F39">
        <w:rPr>
          <w:bCs/>
        </w:rPr>
        <w:t xml:space="preserve">involve the collection, storage, security, use or disclosure of personal </w:t>
      </w:r>
      <w:proofErr w:type="gramStart"/>
      <w:r w:rsidRPr="00376F39">
        <w:rPr>
          <w:bCs/>
        </w:rPr>
        <w:t>information;</w:t>
      </w:r>
      <w:proofErr w:type="gramEnd"/>
    </w:p>
    <w:p w14:paraId="4435C05B" w14:textId="2A10526C" w:rsidR="00723E38" w:rsidRPr="00376F39" w:rsidRDefault="00723E38" w:rsidP="00723E38">
      <w:pPr>
        <w:pStyle w:val="LI-BodyTextParaa"/>
        <w:numPr>
          <w:ilvl w:val="1"/>
          <w:numId w:val="23"/>
        </w:numPr>
        <w:rPr>
          <w:bCs/>
        </w:rPr>
      </w:pPr>
      <w:r w:rsidRPr="00376F39">
        <w:rPr>
          <w:bCs/>
        </w:rPr>
        <w:t xml:space="preserve">create confidentiality or secrecy provisions relating to personal information; </w:t>
      </w:r>
      <w:r w:rsidR="008E287C">
        <w:rPr>
          <w:bCs/>
        </w:rPr>
        <w:t>and</w:t>
      </w:r>
    </w:p>
    <w:p w14:paraId="5D213C72" w14:textId="77777777" w:rsidR="00723E38" w:rsidRPr="00376F39" w:rsidRDefault="00723E38" w:rsidP="00723E38">
      <w:pPr>
        <w:pStyle w:val="LI-BodyTextParaa"/>
        <w:numPr>
          <w:ilvl w:val="1"/>
          <w:numId w:val="23"/>
        </w:numPr>
        <w:rPr>
          <w:bCs/>
        </w:rPr>
      </w:pPr>
      <w:r w:rsidRPr="00376F39">
        <w:rPr>
          <w:bCs/>
        </w:rPr>
        <w:t>provide for mandatory disclosure or reporting of information.</w:t>
      </w:r>
    </w:p>
    <w:p w14:paraId="5F18D600" w14:textId="77777777" w:rsidR="00723E38" w:rsidRPr="00376F39" w:rsidRDefault="00723E38" w:rsidP="00723E38">
      <w:pPr>
        <w:pStyle w:val="LI-BodyTextParaa"/>
        <w:numPr>
          <w:ilvl w:val="0"/>
          <w:numId w:val="23"/>
        </w:numPr>
        <w:rPr>
          <w:bCs/>
        </w:rPr>
      </w:pPr>
      <w:r w:rsidRPr="00376F39">
        <w:rPr>
          <w:bCs/>
        </w:rPr>
        <w:lastRenderedPageBreak/>
        <w:t xml:space="preserve">The </w:t>
      </w:r>
      <w:r>
        <w:rPr>
          <w:bCs/>
        </w:rPr>
        <w:t xml:space="preserve">instrument is </w:t>
      </w:r>
      <w:r w:rsidRPr="00376F39">
        <w:rPr>
          <w:bCs/>
        </w:rPr>
        <w:t>compatible with the rights recognised in Article 17 of the ICCPR by reason that any interference with a person's privacy or reputation resulting from compliance with th</w:t>
      </w:r>
      <w:r>
        <w:rPr>
          <w:bCs/>
        </w:rPr>
        <w:t xml:space="preserve">e instrument </w:t>
      </w:r>
      <w:r w:rsidRPr="00376F39">
        <w:rPr>
          <w:bCs/>
        </w:rPr>
        <w:t>will be lawful and not arbitrary. In particular:</w:t>
      </w:r>
    </w:p>
    <w:p w14:paraId="3B1C4D96" w14:textId="77777777" w:rsidR="00B43316" w:rsidRDefault="00723E38" w:rsidP="00723E38">
      <w:pPr>
        <w:pStyle w:val="LI-BodyTextParaa"/>
        <w:numPr>
          <w:ilvl w:val="1"/>
          <w:numId w:val="23"/>
        </w:numPr>
        <w:rPr>
          <w:bCs/>
        </w:rPr>
      </w:pPr>
      <w:r>
        <w:rPr>
          <w:bCs/>
        </w:rPr>
        <w:t>t</w:t>
      </w:r>
      <w:r w:rsidRPr="00376F39">
        <w:rPr>
          <w:bCs/>
        </w:rPr>
        <w:t xml:space="preserve">he </w:t>
      </w:r>
      <w:r>
        <w:rPr>
          <w:bCs/>
        </w:rPr>
        <w:t xml:space="preserve">instrument is </w:t>
      </w:r>
      <w:r w:rsidRPr="00376F39">
        <w:rPr>
          <w:bCs/>
        </w:rPr>
        <w:t xml:space="preserve">made in accordance with ASIC’s power to make derivative transaction rules imposing reporting requirements (see paragraph 901A(2)(b) and subsection 901A(6) of the </w:t>
      </w:r>
      <w:r w:rsidR="008E287C">
        <w:rPr>
          <w:bCs/>
        </w:rPr>
        <w:t xml:space="preserve">Corporations </w:t>
      </w:r>
      <w:r w:rsidRPr="00376F39">
        <w:rPr>
          <w:bCs/>
        </w:rPr>
        <w:t>Act</w:t>
      </w:r>
      <w:proofErr w:type="gramStart"/>
      <w:r w:rsidRPr="00376F39">
        <w:rPr>
          <w:bCs/>
        </w:rPr>
        <w:t>)</w:t>
      </w:r>
      <w:r>
        <w:rPr>
          <w:bCs/>
        </w:rPr>
        <w:t>;</w:t>
      </w:r>
      <w:proofErr w:type="gramEnd"/>
    </w:p>
    <w:p w14:paraId="306B4051" w14:textId="3EC46583" w:rsidR="00C94490" w:rsidRDefault="00B43316" w:rsidP="00723E38">
      <w:pPr>
        <w:pStyle w:val="LI-BodyTextParaa"/>
        <w:numPr>
          <w:ilvl w:val="1"/>
          <w:numId w:val="23"/>
        </w:numPr>
        <w:rPr>
          <w:bCs/>
        </w:rPr>
      </w:pPr>
      <w:r w:rsidRPr="00B43316">
        <w:rPr>
          <w:bCs/>
        </w:rPr>
        <w:t xml:space="preserve">the </w:t>
      </w:r>
      <w:r>
        <w:rPr>
          <w:bCs/>
        </w:rPr>
        <w:t>i</w:t>
      </w:r>
      <w:r w:rsidRPr="00B43316">
        <w:rPr>
          <w:bCs/>
        </w:rPr>
        <w:t xml:space="preserve">nstrument </w:t>
      </w:r>
      <w:r w:rsidR="00C94490">
        <w:rPr>
          <w:bCs/>
        </w:rPr>
        <w:t xml:space="preserve">is </w:t>
      </w:r>
      <w:r w:rsidR="00C94490" w:rsidRPr="00376F39">
        <w:rPr>
          <w:bCs/>
        </w:rPr>
        <w:t xml:space="preserve">critical to the </w:t>
      </w:r>
      <w:r w:rsidR="00C94490">
        <w:rPr>
          <w:bCs/>
        </w:rPr>
        <w:t xml:space="preserve">continuation </w:t>
      </w:r>
      <w:r w:rsidR="00C94490" w:rsidRPr="00376F39">
        <w:rPr>
          <w:bCs/>
        </w:rPr>
        <w:t xml:space="preserve">of </w:t>
      </w:r>
      <w:r w:rsidR="00C94490">
        <w:rPr>
          <w:bCs/>
        </w:rPr>
        <w:t>the</w:t>
      </w:r>
      <w:r w:rsidR="00C94490" w:rsidRPr="00376F39">
        <w:rPr>
          <w:bCs/>
        </w:rPr>
        <w:t xml:space="preserve"> Australian trade reporting regime and regime for the licensing and regulation of derivative trade repositories, that achieves the stated objectives of the OTC derivatives reforms </w:t>
      </w:r>
      <w:r w:rsidR="00C94490" w:rsidRPr="005705B6">
        <w:t>of improving transparency</w:t>
      </w:r>
      <w:r w:rsidR="00C94490">
        <w:t xml:space="preserve"> to regulators</w:t>
      </w:r>
      <w:r w:rsidR="00C94490" w:rsidRPr="005705B6">
        <w:t xml:space="preserve">, mitigating systemic risk, and protecting against market </w:t>
      </w:r>
      <w:proofErr w:type="gramStart"/>
      <w:r w:rsidR="00C94490" w:rsidRPr="005705B6">
        <w:t>abuse</w:t>
      </w:r>
      <w:r w:rsidR="00AB01F4">
        <w:t>;</w:t>
      </w:r>
      <w:proofErr w:type="gramEnd"/>
    </w:p>
    <w:p w14:paraId="2E5D4C9E" w14:textId="6160AB76" w:rsidR="00265416" w:rsidRDefault="00265416" w:rsidP="00B43316">
      <w:pPr>
        <w:pStyle w:val="LI-BodyTextParaa"/>
        <w:numPr>
          <w:ilvl w:val="1"/>
          <w:numId w:val="23"/>
        </w:numPr>
        <w:rPr>
          <w:bCs/>
        </w:rPr>
      </w:pPr>
      <w:r w:rsidRPr="00B43316">
        <w:rPr>
          <w:bCs/>
        </w:rPr>
        <w:t xml:space="preserve">the </w:t>
      </w:r>
      <w:r>
        <w:rPr>
          <w:bCs/>
        </w:rPr>
        <w:t>i</w:t>
      </w:r>
      <w:r w:rsidRPr="00B43316">
        <w:rPr>
          <w:bCs/>
        </w:rPr>
        <w:t xml:space="preserve">nstrument achieves the objects of the </w:t>
      </w:r>
      <w:r w:rsidRPr="003F1B14">
        <w:rPr>
          <w:bCs/>
          <w:i/>
          <w:iCs/>
        </w:rPr>
        <w:t>Corporations Legislation Amendment (Derivative Transactions) Act 2012</w:t>
      </w:r>
      <w:r w:rsidRPr="00B43316">
        <w:rPr>
          <w:bCs/>
        </w:rPr>
        <w:t xml:space="preserve"> by giving regulators access to valuable data with which to assess the risks associated with the OTC derivatives market</w:t>
      </w:r>
      <w:r>
        <w:rPr>
          <w:bCs/>
        </w:rPr>
        <w:t>;</w:t>
      </w:r>
      <w:r w:rsidR="00E05DF4">
        <w:rPr>
          <w:bCs/>
        </w:rPr>
        <w:t xml:space="preserve"> and</w:t>
      </w:r>
    </w:p>
    <w:p w14:paraId="10056707" w14:textId="3CC45E6C" w:rsidR="00B43316" w:rsidRPr="00B43316" w:rsidRDefault="00B43316" w:rsidP="00B43316">
      <w:pPr>
        <w:pStyle w:val="LI-BodyTextParaa"/>
        <w:numPr>
          <w:ilvl w:val="1"/>
          <w:numId w:val="23"/>
        </w:numPr>
        <w:rPr>
          <w:bCs/>
        </w:rPr>
      </w:pPr>
      <w:r w:rsidRPr="00B43316">
        <w:rPr>
          <w:bCs/>
        </w:rPr>
        <w:t xml:space="preserve">the </w:t>
      </w:r>
      <w:r>
        <w:rPr>
          <w:bCs/>
        </w:rPr>
        <w:t>i</w:t>
      </w:r>
      <w:r w:rsidRPr="00B43316">
        <w:rPr>
          <w:bCs/>
        </w:rPr>
        <w:t xml:space="preserve">nstrument </w:t>
      </w:r>
      <w:r w:rsidR="00885E13">
        <w:rPr>
          <w:bCs/>
        </w:rPr>
        <w:t xml:space="preserve">as a whole </w:t>
      </w:r>
      <w:r w:rsidRPr="00B43316">
        <w:rPr>
          <w:bCs/>
        </w:rPr>
        <w:t xml:space="preserve">will further the objects of Chapter 7 of the </w:t>
      </w:r>
      <w:r w:rsidR="003B3F33">
        <w:rPr>
          <w:bCs/>
        </w:rPr>
        <w:t xml:space="preserve">Corporations </w:t>
      </w:r>
      <w:r w:rsidRPr="00B43316">
        <w:rPr>
          <w:bCs/>
        </w:rPr>
        <w:t>Act, including promoting fair, orderly</w:t>
      </w:r>
      <w:r w:rsidR="004F06CB">
        <w:rPr>
          <w:bCs/>
        </w:rPr>
        <w:t xml:space="preserve"> and</w:t>
      </w:r>
      <w:r w:rsidRPr="00B43316">
        <w:rPr>
          <w:bCs/>
        </w:rPr>
        <w:t xml:space="preserve"> transparent markets for financial products (see paragraph 760A(c) of the </w:t>
      </w:r>
      <w:r w:rsidR="003B3F33">
        <w:rPr>
          <w:bCs/>
        </w:rPr>
        <w:t xml:space="preserve">Corporations </w:t>
      </w:r>
      <w:r w:rsidRPr="00B43316">
        <w:rPr>
          <w:bCs/>
        </w:rPr>
        <w:t>Act)</w:t>
      </w:r>
      <w:r w:rsidR="00AF618E">
        <w:rPr>
          <w:bCs/>
        </w:rPr>
        <w:t>.</w:t>
      </w:r>
    </w:p>
    <w:p w14:paraId="7FF28441" w14:textId="31EADAF5" w:rsidR="00723E38" w:rsidRPr="00376F39" w:rsidRDefault="00723E38" w:rsidP="00723E38">
      <w:pPr>
        <w:pStyle w:val="LI-BodyTextParaa"/>
        <w:numPr>
          <w:ilvl w:val="0"/>
          <w:numId w:val="23"/>
        </w:numPr>
        <w:rPr>
          <w:bCs/>
        </w:rPr>
      </w:pPr>
      <w:r w:rsidRPr="00376F39">
        <w:rPr>
          <w:bCs/>
        </w:rPr>
        <w:t xml:space="preserve">The </w:t>
      </w:r>
      <w:r>
        <w:rPr>
          <w:bCs/>
        </w:rPr>
        <w:t xml:space="preserve">instrument is </w:t>
      </w:r>
      <w:r w:rsidRPr="00376F39">
        <w:rPr>
          <w:bCs/>
        </w:rPr>
        <w:t>subject to a number of safeguards, including</w:t>
      </w:r>
      <w:r w:rsidR="00AB76C5">
        <w:rPr>
          <w:bCs/>
        </w:rPr>
        <w:t>:</w:t>
      </w:r>
    </w:p>
    <w:p w14:paraId="15C8AC80" w14:textId="0237D205" w:rsidR="00723E38" w:rsidRPr="009C2F78" w:rsidRDefault="00723E38" w:rsidP="00723E38">
      <w:pPr>
        <w:pStyle w:val="LI-BodyTextParaa"/>
        <w:numPr>
          <w:ilvl w:val="1"/>
          <w:numId w:val="23"/>
        </w:numPr>
        <w:rPr>
          <w:bCs/>
        </w:rPr>
      </w:pPr>
      <w:r w:rsidRPr="00376F39">
        <w:rPr>
          <w:bCs/>
        </w:rPr>
        <w:t xml:space="preserve">Any personal information in derivative trade data provided to ASIC will be protected in accordance with ASIC’s legislative obligations under s127 of the </w:t>
      </w:r>
      <w:r w:rsidRPr="00584D7B">
        <w:rPr>
          <w:bCs/>
          <w:i/>
          <w:iCs/>
        </w:rPr>
        <w:t>Australian Securities and Investments Commission Act 2001</w:t>
      </w:r>
      <w:r w:rsidRPr="00376F39">
        <w:rPr>
          <w:bCs/>
        </w:rPr>
        <w:t xml:space="preserve"> (the </w:t>
      </w:r>
      <w:r w:rsidRPr="00584D7B">
        <w:rPr>
          <w:b/>
          <w:i/>
          <w:iCs/>
        </w:rPr>
        <w:t>ASIC Act</w:t>
      </w:r>
      <w:r w:rsidRPr="00376F39">
        <w:rPr>
          <w:bCs/>
        </w:rPr>
        <w:t xml:space="preserve">), and to the extent the information is personal information, under the </w:t>
      </w:r>
      <w:r w:rsidRPr="003F1B14">
        <w:rPr>
          <w:bCs/>
          <w:i/>
          <w:iCs/>
        </w:rPr>
        <w:t>Privacy Act 1988</w:t>
      </w:r>
      <w:r w:rsidRPr="00376F39">
        <w:rPr>
          <w:bCs/>
        </w:rPr>
        <w:t xml:space="preserve">. In particular, subrule 2.3.4(10) of the </w:t>
      </w:r>
      <w:r w:rsidRPr="00B13BA1">
        <w:rPr>
          <w:bCs/>
        </w:rPr>
        <w:t>Trade Repository Rules 2013</w:t>
      </w:r>
      <w:r w:rsidRPr="00376F39">
        <w:rPr>
          <w:bCs/>
        </w:rPr>
        <w:t xml:space="preserve"> provides that information given to ASIC by the operator, or an officer of an operator, of a derivative trade repository under Part 7.5A of the </w:t>
      </w:r>
      <w:r w:rsidR="008E287C">
        <w:rPr>
          <w:bCs/>
        </w:rPr>
        <w:t xml:space="preserve">Corporations </w:t>
      </w:r>
      <w:r w:rsidRPr="00376F39">
        <w:rPr>
          <w:bCs/>
        </w:rPr>
        <w:t>Act or regulations made under that Part, or under th</w:t>
      </w:r>
      <w:r>
        <w:rPr>
          <w:bCs/>
        </w:rPr>
        <w:t xml:space="preserve">is instrument </w:t>
      </w:r>
      <w:r w:rsidRPr="00376F39">
        <w:rPr>
          <w:bCs/>
        </w:rPr>
        <w:t xml:space="preserve">or the </w:t>
      </w:r>
      <w:r w:rsidRPr="00B13BA1">
        <w:rPr>
          <w:bCs/>
        </w:rPr>
        <w:t>Trade Repository Rules 2013</w:t>
      </w:r>
      <w:r w:rsidRPr="00376F39">
        <w:rPr>
          <w:bCs/>
        </w:rPr>
        <w:t>, will be taken to have been given to ASIC in confidence for the purposes of s127 of the ASIC Act (unless the information has already been made publicly available in accordance with those legislative provisions, or as otherwise required or permitted by law)</w:t>
      </w:r>
      <w:r>
        <w:rPr>
          <w:bCs/>
        </w:rPr>
        <w:t>; and</w:t>
      </w:r>
    </w:p>
    <w:p w14:paraId="4E8E59C7" w14:textId="02DA9270" w:rsidR="00723E38" w:rsidRPr="00376F39" w:rsidRDefault="00723E38" w:rsidP="00723E38">
      <w:pPr>
        <w:pStyle w:val="LI-BodyTextParaa"/>
        <w:numPr>
          <w:ilvl w:val="1"/>
          <w:numId w:val="23"/>
        </w:numPr>
        <w:rPr>
          <w:bCs/>
        </w:rPr>
      </w:pPr>
      <w:r w:rsidRPr="00376F39">
        <w:rPr>
          <w:bCs/>
        </w:rPr>
        <w:t xml:space="preserve">The operator of a derivative trade repository will be subject to obligations under section 904B of the </w:t>
      </w:r>
      <w:r>
        <w:rPr>
          <w:bCs/>
        </w:rPr>
        <w:t xml:space="preserve">Corporations </w:t>
      </w:r>
      <w:r w:rsidRPr="00376F39">
        <w:rPr>
          <w:bCs/>
        </w:rPr>
        <w:t xml:space="preserve">Act, and under Rules 2.3.3, 2.3.4, 2.3.5, 2.3.6 and 2.4.8 of the </w:t>
      </w:r>
      <w:r w:rsidRPr="00B13BA1">
        <w:rPr>
          <w:bCs/>
        </w:rPr>
        <w:t>Trade Repository Rules 2013</w:t>
      </w:r>
      <w:r w:rsidRPr="00376F39">
        <w:rPr>
          <w:bCs/>
        </w:rPr>
        <w:t xml:space="preserve"> to only use or disclose derivative trade data in certain circumstances, and to take steps to maintain the confidentiality, </w:t>
      </w:r>
      <w:proofErr w:type="gramStart"/>
      <w:r w:rsidRPr="00376F39">
        <w:rPr>
          <w:bCs/>
        </w:rPr>
        <w:t>security</w:t>
      </w:r>
      <w:proofErr w:type="gramEnd"/>
      <w:r w:rsidRPr="00376F39">
        <w:rPr>
          <w:bCs/>
        </w:rPr>
        <w:t xml:space="preserve"> and integrity of the derivative trade data at all times</w:t>
      </w:r>
      <w:r w:rsidR="004406D3">
        <w:rPr>
          <w:bCs/>
        </w:rPr>
        <w:t>.</w:t>
      </w:r>
    </w:p>
    <w:p w14:paraId="461718BC" w14:textId="657A79C5" w:rsidR="00723E38" w:rsidRPr="00376F39" w:rsidRDefault="00723E38" w:rsidP="00723E38">
      <w:pPr>
        <w:pStyle w:val="LI-BodyTextParaa"/>
        <w:numPr>
          <w:ilvl w:val="0"/>
          <w:numId w:val="23"/>
        </w:numPr>
        <w:rPr>
          <w:bCs/>
        </w:rPr>
      </w:pPr>
      <w:r w:rsidRPr="00376F39">
        <w:rPr>
          <w:bCs/>
        </w:rPr>
        <w:t xml:space="preserve">If the </w:t>
      </w:r>
      <w:r>
        <w:rPr>
          <w:bCs/>
        </w:rPr>
        <w:t>instrument was</w:t>
      </w:r>
      <w:r w:rsidRPr="00376F39">
        <w:rPr>
          <w:bCs/>
        </w:rPr>
        <w:t xml:space="preserve"> considered to limit the right in Article 17 of the ICCPR, ASIC considers that the </w:t>
      </w:r>
      <w:r>
        <w:rPr>
          <w:bCs/>
        </w:rPr>
        <w:t>instrument is</w:t>
      </w:r>
      <w:r w:rsidRPr="00376F39">
        <w:rPr>
          <w:bCs/>
        </w:rPr>
        <w:t xml:space="preserve"> nevertheless compatible with that right. The right in Article 17 is not absolute. As noted, the right has implied </w:t>
      </w:r>
      <w:r w:rsidRPr="00376F39">
        <w:rPr>
          <w:bCs/>
        </w:rPr>
        <w:lastRenderedPageBreak/>
        <w:t>limitations (</w:t>
      </w:r>
      <w:r w:rsidR="008E287C">
        <w:rPr>
          <w:bCs/>
        </w:rPr>
        <w:t>“</w:t>
      </w:r>
      <w:r w:rsidRPr="00376F39">
        <w:rPr>
          <w:bCs/>
        </w:rPr>
        <w:t>unlawful</w:t>
      </w:r>
      <w:r w:rsidR="008E287C">
        <w:rPr>
          <w:bCs/>
        </w:rPr>
        <w:t>”</w:t>
      </w:r>
      <w:r w:rsidRPr="00376F39">
        <w:rPr>
          <w:bCs/>
        </w:rPr>
        <w:t xml:space="preserve"> and </w:t>
      </w:r>
      <w:r w:rsidR="008E287C">
        <w:rPr>
          <w:bCs/>
        </w:rPr>
        <w:t>“</w:t>
      </w:r>
      <w:r w:rsidRPr="00376F39">
        <w:rPr>
          <w:bCs/>
        </w:rPr>
        <w:t>arbitrary</w:t>
      </w:r>
      <w:r w:rsidR="008E287C">
        <w:rPr>
          <w:bCs/>
        </w:rPr>
        <w:t>”</w:t>
      </w:r>
      <w:r w:rsidRPr="00376F39">
        <w:rPr>
          <w:bCs/>
        </w:rPr>
        <w:t xml:space="preserve">) and may be subject to a permissible limitation where that limitation aims to achieve a legitimate objective, there is a rational connection between the limitation, and the objective and the limitation is reasonable, </w:t>
      </w:r>
      <w:proofErr w:type="gramStart"/>
      <w:r w:rsidRPr="00376F39">
        <w:rPr>
          <w:bCs/>
        </w:rPr>
        <w:t>necessary</w:t>
      </w:r>
      <w:proofErr w:type="gramEnd"/>
      <w:r w:rsidRPr="00376F39">
        <w:rPr>
          <w:bCs/>
        </w:rPr>
        <w:t xml:space="preserve"> and proportionate.</w:t>
      </w:r>
    </w:p>
    <w:p w14:paraId="7F1CBE48" w14:textId="77777777" w:rsidR="00723E38" w:rsidRPr="00376F39" w:rsidRDefault="00723E38" w:rsidP="00723E38">
      <w:pPr>
        <w:pStyle w:val="LI-BodyTextParaa"/>
        <w:numPr>
          <w:ilvl w:val="0"/>
          <w:numId w:val="23"/>
        </w:numPr>
        <w:rPr>
          <w:bCs/>
        </w:rPr>
      </w:pPr>
      <w:r w:rsidRPr="00376F39">
        <w:rPr>
          <w:bCs/>
        </w:rPr>
        <w:t xml:space="preserve">Any limitation imposed on the right by </w:t>
      </w:r>
      <w:r>
        <w:rPr>
          <w:bCs/>
        </w:rPr>
        <w:t>this instrument</w:t>
      </w:r>
      <w:r w:rsidRPr="00376F39">
        <w:rPr>
          <w:bCs/>
        </w:rPr>
        <w:t xml:space="preserve"> has a clear legal basis, in that it aims to achieve a legitimate objective, has a rational connection with the objective, and is reasonable, </w:t>
      </w:r>
      <w:proofErr w:type="gramStart"/>
      <w:r w:rsidRPr="00376F39">
        <w:rPr>
          <w:bCs/>
        </w:rPr>
        <w:t>necessary</w:t>
      </w:r>
      <w:proofErr w:type="gramEnd"/>
      <w:r w:rsidRPr="00376F39">
        <w:rPr>
          <w:bCs/>
        </w:rPr>
        <w:t xml:space="preserve"> and proportionate.</w:t>
      </w:r>
    </w:p>
    <w:p w14:paraId="0CBCD622" w14:textId="77777777" w:rsidR="00723E38" w:rsidRPr="00376F39" w:rsidRDefault="00723E38" w:rsidP="00723E38">
      <w:pPr>
        <w:pStyle w:val="LI-BodyTextParaa"/>
        <w:numPr>
          <w:ilvl w:val="0"/>
          <w:numId w:val="23"/>
        </w:numPr>
        <w:rPr>
          <w:bCs/>
        </w:rPr>
      </w:pPr>
      <w:r w:rsidRPr="00376F39">
        <w:rPr>
          <w:bCs/>
        </w:rPr>
        <w:t xml:space="preserve">As noted in the </w:t>
      </w:r>
      <w:r w:rsidRPr="00755CBD">
        <w:rPr>
          <w:sz w:val="23"/>
          <w:szCs w:val="23"/>
          <w:lang w:val="en-GB"/>
        </w:rPr>
        <w:t xml:space="preserve">March 2012 report of the Australian Council of Financial Regulators entitled </w:t>
      </w:r>
      <w:r w:rsidRPr="00755CBD">
        <w:rPr>
          <w:i/>
          <w:sz w:val="23"/>
          <w:szCs w:val="23"/>
          <w:lang w:val="en-GB"/>
        </w:rPr>
        <w:t>OTC Derivatives Market Reform Considerations</w:t>
      </w:r>
      <w:r w:rsidRPr="00376F39">
        <w:rPr>
          <w:bCs/>
        </w:rPr>
        <w:t>:</w:t>
      </w:r>
    </w:p>
    <w:p w14:paraId="436F8123" w14:textId="38C27C24" w:rsidR="00723E38" w:rsidRPr="00376F39" w:rsidRDefault="008E287C" w:rsidP="00723E38">
      <w:pPr>
        <w:pStyle w:val="LI-BodyTextParaa"/>
        <w:ind w:left="567" w:firstLine="0"/>
        <w:rPr>
          <w:bCs/>
        </w:rPr>
      </w:pPr>
      <w:r>
        <w:rPr>
          <w:bCs/>
        </w:rPr>
        <w:t>“</w:t>
      </w:r>
      <w:r w:rsidR="00723E38" w:rsidRPr="00376F39">
        <w:rPr>
          <w:bCs/>
        </w:rPr>
        <w:t>Reporting to trade repositories should facilitate the maintenance of a reliable and comprehensive source of information on participant trading activity, which would be useful to many regulators in performing their respective functions. It is expected that this increased transparency will assist authorities in identifying vulnerabilities in the financial system and, more broadly, to develop well-informed policies to promote financial stability. Information from trade repositories will be particularly useful in times of financial distress, where rapid and reliable access to accurate data may assist prudential and systemic regulators in their functions. From a market supervision perspective, transaction information stored in trade repositories in some product classes in particular, such as equity derivatives and credit derivatives, has the potential to assist investigations into market misconduct.</w:t>
      </w:r>
      <w:r>
        <w:rPr>
          <w:bCs/>
        </w:rPr>
        <w:t>”</w:t>
      </w:r>
    </w:p>
    <w:p w14:paraId="27B9EAB1" w14:textId="39AF8A82" w:rsidR="00723E38" w:rsidRPr="00376F39" w:rsidRDefault="00723E38" w:rsidP="00723E38">
      <w:pPr>
        <w:pStyle w:val="LI-BodyTextParaa"/>
        <w:numPr>
          <w:ilvl w:val="0"/>
          <w:numId w:val="23"/>
        </w:numPr>
        <w:rPr>
          <w:bCs/>
        </w:rPr>
      </w:pPr>
      <w:r w:rsidRPr="00376F39">
        <w:rPr>
          <w:bCs/>
        </w:rPr>
        <w:t>Effective regulation of the OTC derivatives market requires regulators to have detailed data on counterparty exposures where these will pose a systemic risk.</w:t>
      </w:r>
      <w:r w:rsidR="00F815FE">
        <w:rPr>
          <w:bCs/>
        </w:rPr>
        <w:t xml:space="preserve"> </w:t>
      </w:r>
      <w:r w:rsidRPr="00376F39">
        <w:rPr>
          <w:bCs/>
        </w:rPr>
        <w:t>A requirement to report transactions, and counterparty information in relation to those transactions, is the most effective method of achieving this legitimate objective.</w:t>
      </w:r>
    </w:p>
    <w:p w14:paraId="18E7705A" w14:textId="62FA85EA" w:rsidR="00946759" w:rsidRPr="00F97C3B" w:rsidRDefault="00723E38" w:rsidP="006347FB">
      <w:pPr>
        <w:pStyle w:val="LI-BodyTextParaa"/>
        <w:numPr>
          <w:ilvl w:val="0"/>
          <w:numId w:val="23"/>
        </w:numPr>
        <w:rPr>
          <w:bCs/>
        </w:rPr>
      </w:pPr>
      <w:r w:rsidRPr="00376F39">
        <w:rPr>
          <w:bCs/>
        </w:rPr>
        <w:t xml:space="preserve">The </w:t>
      </w:r>
      <w:r>
        <w:rPr>
          <w:bCs/>
        </w:rPr>
        <w:t xml:space="preserve">instrument is </w:t>
      </w:r>
      <w:r w:rsidRPr="00376F39">
        <w:rPr>
          <w:bCs/>
        </w:rPr>
        <w:t>necess</w:t>
      </w:r>
      <w:r>
        <w:rPr>
          <w:bCs/>
        </w:rPr>
        <w:t>a</w:t>
      </w:r>
      <w:r w:rsidRPr="00376F39">
        <w:rPr>
          <w:bCs/>
        </w:rPr>
        <w:t xml:space="preserve">ry to achieve the legitimate objective because </w:t>
      </w:r>
      <w:r>
        <w:rPr>
          <w:bCs/>
        </w:rPr>
        <w:t>it</w:t>
      </w:r>
      <w:r w:rsidRPr="00376F39">
        <w:rPr>
          <w:bCs/>
        </w:rPr>
        <w:t xml:space="preserve"> provide</w:t>
      </w:r>
      <w:r>
        <w:rPr>
          <w:bCs/>
        </w:rPr>
        <w:t>s</w:t>
      </w:r>
      <w:r w:rsidRPr="00376F39">
        <w:rPr>
          <w:bCs/>
        </w:rPr>
        <w:t xml:space="preserve"> ASIC and other regulators with the data they need to assess </w:t>
      </w:r>
      <w:r>
        <w:rPr>
          <w:bCs/>
        </w:rPr>
        <w:t xml:space="preserve">the exposures of </w:t>
      </w:r>
      <w:r w:rsidRPr="00376F39">
        <w:rPr>
          <w:bCs/>
        </w:rPr>
        <w:t>counterpart</w:t>
      </w:r>
      <w:r>
        <w:rPr>
          <w:bCs/>
        </w:rPr>
        <w:t xml:space="preserve">ies and relevant other </w:t>
      </w:r>
      <w:proofErr w:type="gramStart"/>
      <w:r>
        <w:rPr>
          <w:bCs/>
        </w:rPr>
        <w:t>entities</w:t>
      </w:r>
      <w:r w:rsidRPr="00376F39">
        <w:rPr>
          <w:bCs/>
        </w:rPr>
        <w:t>, and</w:t>
      </w:r>
      <w:proofErr w:type="gramEnd"/>
      <w:r w:rsidRPr="00376F39">
        <w:rPr>
          <w:bCs/>
        </w:rPr>
        <w:t xml:space="preserve"> support the detection and prevention of market abuse. The </w:t>
      </w:r>
      <w:r>
        <w:rPr>
          <w:bCs/>
        </w:rPr>
        <w:t>instrument</w:t>
      </w:r>
      <w:r w:rsidRPr="00376F39">
        <w:rPr>
          <w:bCs/>
        </w:rPr>
        <w:t xml:space="preserve"> contains adequate safeguards by only requiring </w:t>
      </w:r>
      <w:r>
        <w:rPr>
          <w:bCs/>
        </w:rPr>
        <w:t>reporting entities</w:t>
      </w:r>
      <w:r w:rsidRPr="00376F39">
        <w:rPr>
          <w:bCs/>
        </w:rPr>
        <w:t xml:space="preserve"> to report the data necessary to achieve that objective, and, in conjunction with section 904B of the </w:t>
      </w:r>
      <w:r w:rsidR="008E287C">
        <w:rPr>
          <w:bCs/>
        </w:rPr>
        <w:t xml:space="preserve">Corporations </w:t>
      </w:r>
      <w:r w:rsidRPr="00376F39">
        <w:rPr>
          <w:bCs/>
        </w:rPr>
        <w:t xml:space="preserve">Act, to require operators </w:t>
      </w:r>
      <w:r>
        <w:rPr>
          <w:bCs/>
        </w:rPr>
        <w:t xml:space="preserve">of derivative trade repositories </w:t>
      </w:r>
      <w:r w:rsidRPr="00376F39">
        <w:rPr>
          <w:bCs/>
        </w:rPr>
        <w:t>to maintain the confidentiality, security and integrity of that information. Further safeguards are provided by statutory obligations to protect confidential and personal information contained in the data.</w:t>
      </w:r>
    </w:p>
    <w:p w14:paraId="01CDFDBC" w14:textId="77777777" w:rsidR="00CB2D96" w:rsidRPr="00EA17A6" w:rsidRDefault="00CB2D96" w:rsidP="00D306F8">
      <w:pPr>
        <w:pStyle w:val="LI-BodyTextNumbered"/>
        <w:ind w:left="567"/>
        <w:rPr>
          <w:u w:val="single"/>
        </w:rPr>
      </w:pPr>
      <w:r w:rsidRPr="00EA17A6">
        <w:rPr>
          <w:u w:val="single"/>
        </w:rPr>
        <w:t>Conclusion</w:t>
      </w:r>
    </w:p>
    <w:p w14:paraId="568BC6A3" w14:textId="7042F7DA" w:rsidR="00CB2D96" w:rsidRPr="003B70C6" w:rsidRDefault="00CB2D96" w:rsidP="003B70C6">
      <w:pPr>
        <w:pStyle w:val="LI-BodyTextParaa"/>
        <w:numPr>
          <w:ilvl w:val="0"/>
          <w:numId w:val="23"/>
        </w:numPr>
        <w:rPr>
          <w:bCs/>
        </w:rPr>
      </w:pPr>
      <w:r w:rsidRPr="003B70C6">
        <w:rPr>
          <w:bCs/>
        </w:rPr>
        <w:t xml:space="preserve">This instrument is compatible with the human rights and freedoms recognised or declared in the international instruments listed in section 3 of the </w:t>
      </w:r>
      <w:r w:rsidRPr="003B70C6">
        <w:rPr>
          <w:bCs/>
          <w:i/>
          <w:iCs/>
        </w:rPr>
        <w:t>Human Rights (Parliamentary Scrutiny) Act 2011</w:t>
      </w:r>
      <w:r w:rsidRPr="003B70C6">
        <w:rPr>
          <w:bCs/>
        </w:rPr>
        <w:t>.</w:t>
      </w:r>
    </w:p>
    <w:sectPr w:rsidR="00CB2D96" w:rsidRPr="003B70C6" w:rsidSect="00863657">
      <w:headerReference w:type="even" r:id="rId21"/>
      <w:headerReference w:type="default" r:id="rId22"/>
      <w:footerReference w:type="default" r:id="rId23"/>
      <w:pgSz w:w="11907" w:h="16839" w:code="9"/>
      <w:pgMar w:top="1537" w:right="1797" w:bottom="1440" w:left="1797" w:header="72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40CEB1" w14:textId="77777777" w:rsidR="00445632" w:rsidRDefault="00445632" w:rsidP="00715914">
      <w:pPr>
        <w:spacing w:line="240" w:lineRule="auto"/>
      </w:pPr>
      <w:r>
        <w:separator/>
      </w:r>
    </w:p>
  </w:endnote>
  <w:endnote w:type="continuationSeparator" w:id="0">
    <w:p w14:paraId="624B3D4D" w14:textId="77777777" w:rsidR="00445632" w:rsidRDefault="00445632" w:rsidP="00715914">
      <w:pPr>
        <w:spacing w:line="240" w:lineRule="auto"/>
      </w:pPr>
      <w:r>
        <w:continuationSeparator/>
      </w:r>
    </w:p>
  </w:endnote>
  <w:endnote w:type="continuationNotice" w:id="1">
    <w:p w14:paraId="52BB20D9" w14:textId="77777777" w:rsidR="00445632" w:rsidRDefault="0044563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12533" w14:textId="77777777" w:rsidR="00863657" w:rsidRDefault="00863657">
    <w:pPr>
      <w:pStyle w:val="Footer"/>
      <w:jc w:val="center"/>
    </w:pPr>
    <w:r>
      <w:fldChar w:fldCharType="begin"/>
    </w:r>
    <w:r>
      <w:instrText xml:space="preserve"> PAGE   \* MERGEFORMAT </w:instrText>
    </w:r>
    <w:r>
      <w:fldChar w:fldCharType="separate"/>
    </w:r>
    <w:r>
      <w:rPr>
        <w:noProof/>
      </w:rPr>
      <w:t>2</w:t>
    </w:r>
    <w:r>
      <w:rPr>
        <w:noProof/>
      </w:rPr>
      <w:fldChar w:fldCharType="end"/>
    </w:r>
  </w:p>
  <w:p w14:paraId="10ECFB95" w14:textId="77777777" w:rsidR="00863657" w:rsidRDefault="008636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D7E620" w14:textId="77777777" w:rsidR="00445632" w:rsidRDefault="00445632" w:rsidP="00715914">
      <w:pPr>
        <w:spacing w:line="240" w:lineRule="auto"/>
      </w:pPr>
      <w:r>
        <w:separator/>
      </w:r>
    </w:p>
  </w:footnote>
  <w:footnote w:type="continuationSeparator" w:id="0">
    <w:p w14:paraId="64FF6DFD" w14:textId="77777777" w:rsidR="00445632" w:rsidRDefault="00445632" w:rsidP="00715914">
      <w:pPr>
        <w:spacing w:line="240" w:lineRule="auto"/>
      </w:pPr>
      <w:r>
        <w:continuationSeparator/>
      </w:r>
    </w:p>
  </w:footnote>
  <w:footnote w:type="continuationNotice" w:id="1">
    <w:p w14:paraId="3D2F6E45" w14:textId="77777777" w:rsidR="00445632" w:rsidRDefault="0044563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E4B2E" w14:textId="77777777" w:rsidR="00E2168B" w:rsidRPr="00243EC0" w:rsidRDefault="00E2168B" w:rsidP="00243EC0">
    <w:pPr>
      <w:pStyle w:val="LI-Footer"/>
      <w:pBdr>
        <w:top w:val="none" w:sz="0" w:space="0" w:color="auto"/>
        <w:bottom w:val="single" w:sz="4" w:space="1" w:color="auto"/>
      </w:pBdr>
    </w:pPr>
    <w:r w:rsidRPr="00A52B0F">
      <w:t xml:space="preserve">ASIC Corporations / Superannuation / Credit </w:t>
    </w:r>
    <w:r w:rsidRPr="00A52B0F">
      <w:rPr>
        <w:highlight w:val="yellow"/>
      </w:rPr>
      <w:t>(&lt;Short Narrative Name&gt;</w:t>
    </w:r>
    <w:r w:rsidRPr="00A52B0F">
      <w:t xml:space="preserve">) Instrument </w:t>
    </w:r>
    <w:r w:rsidRPr="00A52B0F">
      <w:rPr>
        <w:highlight w:val="yellow"/>
      </w:rPr>
      <w:t>&lt;Year&gt;</w:t>
    </w:r>
    <w:r>
      <w:tab/>
      <w:t>Part 3—Declaration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insideH w:val="single" w:sz="4" w:space="0" w:color="auto"/>
      </w:tblBorders>
      <w:tblCellMar>
        <w:left w:w="0" w:type="dxa"/>
        <w:bottom w:w="28" w:type="dxa"/>
        <w:right w:w="0" w:type="dxa"/>
      </w:tblCellMar>
      <w:tblLook w:val="04A0" w:firstRow="1" w:lastRow="0" w:firstColumn="1" w:lastColumn="0" w:noHBand="0" w:noVBand="1"/>
    </w:tblPr>
    <w:tblGrid>
      <w:gridCol w:w="4253"/>
      <w:gridCol w:w="4060"/>
    </w:tblGrid>
    <w:tr w:rsidR="00F4215A" w:rsidRPr="00E40FF8" w14:paraId="49D349EF" w14:textId="77777777" w:rsidTr="001E77ED">
      <w:tc>
        <w:tcPr>
          <w:tcW w:w="4253" w:type="dxa"/>
          <w:shd w:val="clear" w:color="auto" w:fill="auto"/>
        </w:tcPr>
        <w:p w14:paraId="1B0B9159" w14:textId="77777777" w:rsidR="00F4215A" w:rsidRDefault="00F4215A" w:rsidP="00E40FF8">
          <w:pPr>
            <w:pStyle w:val="LI-Header"/>
            <w:pBdr>
              <w:bottom w:val="none" w:sz="0" w:space="0" w:color="auto"/>
            </w:pBdr>
            <w:jc w:val="left"/>
          </w:pPr>
        </w:p>
      </w:tc>
      <w:tc>
        <w:tcPr>
          <w:tcW w:w="4060" w:type="dxa"/>
          <w:shd w:val="clear" w:color="auto" w:fill="auto"/>
        </w:tcPr>
        <w:p w14:paraId="25D3CFB0" w14:textId="77777777" w:rsidR="00F4215A" w:rsidRDefault="00F4215A" w:rsidP="00F03BB5">
          <w:pPr>
            <w:pStyle w:val="LI-BodyTextNumbered"/>
          </w:pPr>
        </w:p>
      </w:tc>
    </w:tr>
  </w:tbl>
  <w:p w14:paraId="49C83C1A" w14:textId="77777777" w:rsidR="0040053F" w:rsidRPr="00F4215A" w:rsidRDefault="0040053F" w:rsidP="00F421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DFD52F2"/>
    <w:multiLevelType w:val="hybridMultilevel"/>
    <w:tmpl w:val="EFCFCEC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FC205B"/>
    <w:multiLevelType w:val="hybridMultilevel"/>
    <w:tmpl w:val="3F8E8E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D94E4C"/>
    <w:multiLevelType w:val="multilevel"/>
    <w:tmpl w:val="B62675B0"/>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upperLetter"/>
      <w:lvlText w:val="(%4)"/>
      <w:lvlJc w:val="left"/>
      <w:pPr>
        <w:ind w:left="1701" w:hanging="567"/>
      </w:pPr>
      <w:rPr>
        <w:rFonts w:hint="default"/>
        <w:sz w:val="16"/>
      </w:rPr>
    </w:lvl>
    <w:lvl w:ilvl="4">
      <w:start w:val="1"/>
      <w:numFmt w:val="upp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9B1033E"/>
    <w:multiLevelType w:val="hybridMultilevel"/>
    <w:tmpl w:val="0E66C8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22E27C6"/>
    <w:multiLevelType w:val="hybridMultilevel"/>
    <w:tmpl w:val="5A70100A"/>
    <w:lvl w:ilvl="0" w:tplc="26F607E4">
      <w:start w:val="1"/>
      <w:numFmt w:val="lowerLetter"/>
      <w:lvlText w:val="(%1)"/>
      <w:lvlJc w:val="left"/>
      <w:pPr>
        <w:ind w:left="720" w:hanging="360"/>
      </w:pPr>
      <w:rPr>
        <w:rFonts w:hint="default"/>
      </w:rPr>
    </w:lvl>
    <w:lvl w:ilvl="1" w:tplc="CFA2019C">
      <w:start w:val="1"/>
      <w:numFmt w:val="lowerRoman"/>
      <w:lvlText w:val="(%2)"/>
      <w:lvlJc w:val="right"/>
      <w:pPr>
        <w:ind w:left="1440" w:hanging="360"/>
      </w:pPr>
      <w:rPr>
        <w:rFonts w:hint="default"/>
      </w:rPr>
    </w:lvl>
    <w:lvl w:ilvl="2" w:tplc="0C090015">
      <w:start w:val="1"/>
      <w:numFmt w:val="upperLetter"/>
      <w:lvlText w:val="%3."/>
      <w:lvlJc w:val="lef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57F6C59"/>
    <w:multiLevelType w:val="hybridMultilevel"/>
    <w:tmpl w:val="C94C1E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6E01840"/>
    <w:multiLevelType w:val="multilevel"/>
    <w:tmpl w:val="B62675B0"/>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upperLetter"/>
      <w:lvlText w:val="(%4)"/>
      <w:lvlJc w:val="left"/>
      <w:pPr>
        <w:ind w:left="1701" w:hanging="567"/>
      </w:pPr>
      <w:rPr>
        <w:rFonts w:hint="default"/>
        <w:sz w:val="16"/>
      </w:rPr>
    </w:lvl>
    <w:lvl w:ilvl="4">
      <w:start w:val="1"/>
      <w:numFmt w:val="upp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A983853"/>
    <w:multiLevelType w:val="hybridMultilevel"/>
    <w:tmpl w:val="0D247D2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7D73DE"/>
    <w:multiLevelType w:val="hybridMultilevel"/>
    <w:tmpl w:val="46EAF5A6"/>
    <w:lvl w:ilvl="0" w:tplc="AB988280">
      <w:start w:val="1"/>
      <w:numFmt w:val="bullet"/>
      <w:pStyle w:val="tablebullet"/>
      <w:lvlText w:val=""/>
      <w:lvlJc w:val="left"/>
      <w:pPr>
        <w:tabs>
          <w:tab w:val="num" w:pos="170"/>
        </w:tabs>
        <w:ind w:left="170" w:hanging="17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863C1"/>
    <w:multiLevelType w:val="hybridMultilevel"/>
    <w:tmpl w:val="D536F9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81E28E1"/>
    <w:multiLevelType w:val="hybridMultilevel"/>
    <w:tmpl w:val="DE68E4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2" w15:restartNumberingAfterBreak="0">
    <w:nsid w:val="3C693BCA"/>
    <w:multiLevelType w:val="hybridMultilevel"/>
    <w:tmpl w:val="D8C0C5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01648B3"/>
    <w:multiLevelType w:val="multilevel"/>
    <w:tmpl w:val="B62675B0"/>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upperLetter"/>
      <w:lvlText w:val="(%4)"/>
      <w:lvlJc w:val="left"/>
      <w:pPr>
        <w:ind w:left="1701" w:hanging="567"/>
      </w:pPr>
      <w:rPr>
        <w:rFonts w:hint="default"/>
        <w:sz w:val="16"/>
      </w:rPr>
    </w:lvl>
    <w:lvl w:ilvl="4">
      <w:start w:val="1"/>
      <w:numFmt w:val="upp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52D0C47"/>
    <w:multiLevelType w:val="hybridMultilevel"/>
    <w:tmpl w:val="5A70100A"/>
    <w:lvl w:ilvl="0" w:tplc="26F607E4">
      <w:start w:val="1"/>
      <w:numFmt w:val="lowerLetter"/>
      <w:lvlText w:val="(%1)"/>
      <w:lvlJc w:val="left"/>
      <w:pPr>
        <w:ind w:left="720" w:hanging="360"/>
      </w:pPr>
      <w:rPr>
        <w:rFonts w:hint="default"/>
      </w:rPr>
    </w:lvl>
    <w:lvl w:ilvl="1" w:tplc="CFA2019C">
      <w:start w:val="1"/>
      <w:numFmt w:val="lowerRoman"/>
      <w:lvlText w:val="(%2)"/>
      <w:lvlJc w:val="right"/>
      <w:pPr>
        <w:ind w:left="1440" w:hanging="360"/>
      </w:pPr>
      <w:rPr>
        <w:rFonts w:hint="default"/>
      </w:rPr>
    </w:lvl>
    <w:lvl w:ilvl="2" w:tplc="0C090015">
      <w:start w:val="1"/>
      <w:numFmt w:val="upperLetter"/>
      <w:lvlText w:val="%3."/>
      <w:lvlJc w:val="lef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811024D"/>
    <w:multiLevelType w:val="hybridMultilevel"/>
    <w:tmpl w:val="C8E240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4EE754B"/>
    <w:multiLevelType w:val="hybridMultilevel"/>
    <w:tmpl w:val="81C62D66"/>
    <w:lvl w:ilvl="0" w:tplc="5B1232C6">
      <w:start w:val="1"/>
      <w:numFmt w:val="lowerLetter"/>
      <w:lvlText w:val="(%1)"/>
      <w:lvlJc w:val="left"/>
      <w:pPr>
        <w:ind w:left="735" w:hanging="375"/>
      </w:pPr>
      <w:rPr>
        <w:rFonts w:hint="default"/>
      </w:rPr>
    </w:lvl>
    <w:lvl w:ilvl="1" w:tplc="CFA2019C">
      <w:start w:val="1"/>
      <w:numFmt w:val="lowerRoman"/>
      <w:lvlText w:val="(%2)"/>
      <w:lvlJc w:val="right"/>
      <w:pPr>
        <w:ind w:left="1440" w:hanging="360"/>
      </w:pPr>
      <w:rPr>
        <w:rFonts w:hint="default"/>
      </w:rPr>
    </w:lvl>
    <w:lvl w:ilvl="2" w:tplc="0C090015">
      <w:start w:val="1"/>
      <w:numFmt w:val="upperLetter"/>
      <w:lvlText w:val="%3."/>
      <w:lvlJc w:val="lef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B93707C"/>
    <w:multiLevelType w:val="hybridMultilevel"/>
    <w:tmpl w:val="0F34B1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E967400"/>
    <w:multiLevelType w:val="hybridMultilevel"/>
    <w:tmpl w:val="FC8AF418"/>
    <w:lvl w:ilvl="0" w:tplc="910AD774">
      <w:start w:val="1"/>
      <w:numFmt w:val="lowerLetter"/>
      <w:lvlText w:val="(%1)"/>
      <w:lvlJc w:val="left"/>
      <w:pPr>
        <w:ind w:left="735" w:hanging="37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F4518D0"/>
    <w:multiLevelType w:val="hybridMultilevel"/>
    <w:tmpl w:val="7D34A57A"/>
    <w:lvl w:ilvl="0" w:tplc="D6DEBD66">
      <w:numFmt w:val="bullet"/>
      <w:lvlText w:val="•"/>
      <w:lvlJc w:val="left"/>
      <w:pPr>
        <w:ind w:left="930" w:hanging="57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F661883"/>
    <w:multiLevelType w:val="hybridMultilevel"/>
    <w:tmpl w:val="AB9E70FA"/>
    <w:lvl w:ilvl="0" w:tplc="1DBC003E">
      <w:start w:val="1"/>
      <w:numFmt w:val="lowerLetter"/>
      <w:lvlText w:val="(%1)"/>
      <w:lvlJc w:val="left"/>
      <w:pPr>
        <w:ind w:left="735" w:hanging="37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2D5559A"/>
    <w:multiLevelType w:val="hybridMultilevel"/>
    <w:tmpl w:val="74D2255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2" w15:restartNumberingAfterBreak="0">
    <w:nsid w:val="65EF3C65"/>
    <w:multiLevelType w:val="hybridMultilevel"/>
    <w:tmpl w:val="54DCFBBC"/>
    <w:lvl w:ilvl="0" w:tplc="0C090001">
      <w:start w:val="1"/>
      <w:numFmt w:val="bullet"/>
      <w:lvlText w:val=""/>
      <w:lvlJc w:val="left"/>
      <w:pPr>
        <w:ind w:left="766" w:hanging="360"/>
      </w:pPr>
      <w:rPr>
        <w:rFonts w:ascii="Symbol" w:hAnsi="Symbol" w:hint="default"/>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23" w15:restartNumberingAfterBreak="0">
    <w:nsid w:val="672F3589"/>
    <w:multiLevelType w:val="hybridMultilevel"/>
    <w:tmpl w:val="060A19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7BF530E"/>
    <w:multiLevelType w:val="hybridMultilevel"/>
    <w:tmpl w:val="16A073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B9E5FB6"/>
    <w:multiLevelType w:val="multilevel"/>
    <w:tmpl w:val="B62675B0"/>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upperLetter"/>
      <w:lvlText w:val="(%4)"/>
      <w:lvlJc w:val="left"/>
      <w:pPr>
        <w:ind w:left="1701" w:hanging="567"/>
      </w:pPr>
      <w:rPr>
        <w:rFonts w:hint="default"/>
        <w:sz w:val="16"/>
      </w:rPr>
    </w:lvl>
    <w:lvl w:ilvl="4">
      <w:start w:val="1"/>
      <w:numFmt w:val="upp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74BF1555"/>
    <w:multiLevelType w:val="hybridMultilevel"/>
    <w:tmpl w:val="16FAD2C0"/>
    <w:lvl w:ilvl="0" w:tplc="9D6E1F8A">
      <w:start w:val="1"/>
      <w:numFmt w:val="lowerLetter"/>
      <w:lvlText w:val="(%1)"/>
      <w:lvlJc w:val="left"/>
      <w:pPr>
        <w:ind w:left="720" w:hanging="360"/>
      </w:pPr>
      <w:rPr>
        <w:rFonts w:hint="default"/>
      </w:rPr>
    </w:lvl>
    <w:lvl w:ilvl="1" w:tplc="CFA2019C">
      <w:start w:val="1"/>
      <w:numFmt w:val="lowerRoman"/>
      <w:lvlText w:val="(%2)"/>
      <w:lvlJc w:val="righ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66B2ED2"/>
    <w:multiLevelType w:val="multilevel"/>
    <w:tmpl w:val="B62675B0"/>
    <w:lvl w:ilvl="0">
      <w:start w:val="1"/>
      <w:numFmt w:val="decimal"/>
      <w:lvlText w:val="%1."/>
      <w:lvlJc w:val="left"/>
      <w:pPr>
        <w:ind w:left="567" w:hanging="567"/>
      </w:pPr>
      <w:rPr>
        <w:rFonts w:hint="default"/>
        <w:sz w:val="18"/>
      </w:rPr>
    </w:lvl>
    <w:lvl w:ilvl="1">
      <w:start w:val="1"/>
      <w:numFmt w:val="lowerLetter"/>
      <w:lvlText w:val="(%2)"/>
      <w:lvlJc w:val="left"/>
      <w:pPr>
        <w:ind w:left="1134" w:hanging="567"/>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left"/>
      <w:pPr>
        <w:ind w:left="1701" w:hanging="567"/>
      </w:pPr>
      <w:rPr>
        <w:rFonts w:hint="default"/>
        <w:sz w:val="18"/>
      </w:rPr>
    </w:lvl>
    <w:lvl w:ilvl="3">
      <w:start w:val="1"/>
      <w:numFmt w:val="upperLetter"/>
      <w:lvlText w:val="(%4)"/>
      <w:lvlJc w:val="left"/>
      <w:pPr>
        <w:ind w:left="1701" w:hanging="567"/>
      </w:pPr>
      <w:rPr>
        <w:rFonts w:hint="default"/>
        <w:sz w:val="16"/>
      </w:rPr>
    </w:lvl>
    <w:lvl w:ilvl="4">
      <w:start w:val="1"/>
      <w:numFmt w:val="upp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1"/>
  </w:num>
  <w:num w:numId="2">
    <w:abstractNumId w:val="6"/>
  </w:num>
  <w:num w:numId="3">
    <w:abstractNumId w:val="22"/>
  </w:num>
  <w:num w:numId="4">
    <w:abstractNumId w:val="12"/>
  </w:num>
  <w:num w:numId="5">
    <w:abstractNumId w:val="1"/>
  </w:num>
  <w:num w:numId="6">
    <w:abstractNumId w:val="10"/>
  </w:num>
  <w:num w:numId="7">
    <w:abstractNumId w:val="15"/>
  </w:num>
  <w:num w:numId="8">
    <w:abstractNumId w:val="21"/>
  </w:num>
  <w:num w:numId="9">
    <w:abstractNumId w:val="8"/>
  </w:num>
  <w:num w:numId="10">
    <w:abstractNumId w:val="9"/>
  </w:num>
  <w:num w:numId="11">
    <w:abstractNumId w:val="18"/>
  </w:num>
  <w:num w:numId="12">
    <w:abstractNumId w:val="16"/>
  </w:num>
  <w:num w:numId="13">
    <w:abstractNumId w:val="20"/>
  </w:num>
  <w:num w:numId="14">
    <w:abstractNumId w:val="14"/>
  </w:num>
  <w:num w:numId="15">
    <w:abstractNumId w:val="26"/>
  </w:num>
  <w:num w:numId="16">
    <w:abstractNumId w:val="4"/>
  </w:num>
  <w:num w:numId="17">
    <w:abstractNumId w:val="24"/>
  </w:num>
  <w:num w:numId="18">
    <w:abstractNumId w:val="17"/>
  </w:num>
  <w:num w:numId="19">
    <w:abstractNumId w:val="7"/>
  </w:num>
  <w:num w:numId="20">
    <w:abstractNumId w:val="23"/>
  </w:num>
  <w:num w:numId="21">
    <w:abstractNumId w:val="27"/>
  </w:num>
  <w:num w:numId="22">
    <w:abstractNumId w:val="25"/>
  </w:num>
  <w:num w:numId="23">
    <w:abstractNumId w:val="13"/>
  </w:num>
  <w:num w:numId="24">
    <w:abstractNumId w:val="2"/>
  </w:num>
  <w:num w:numId="25">
    <w:abstractNumId w:val="0"/>
  </w:num>
  <w:num w:numId="26">
    <w:abstractNumId w:val="5"/>
  </w:num>
  <w:num w:numId="27">
    <w:abstractNumId w:val="3"/>
  </w:num>
  <w:num w:numId="28">
    <w:abstractNumId w:val="1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proofState w:spelling="clean" w:grammar="clean"/>
  <w:attachedTemplate r:id="rId1"/>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1A1"/>
    <w:rsid w:val="0000077A"/>
    <w:rsid w:val="000009A2"/>
    <w:rsid w:val="00000A08"/>
    <w:rsid w:val="00000A30"/>
    <w:rsid w:val="0000281C"/>
    <w:rsid w:val="00002E22"/>
    <w:rsid w:val="0000382A"/>
    <w:rsid w:val="00004470"/>
    <w:rsid w:val="00005446"/>
    <w:rsid w:val="00006018"/>
    <w:rsid w:val="0000768D"/>
    <w:rsid w:val="000124D0"/>
    <w:rsid w:val="00012DD9"/>
    <w:rsid w:val="000136AF"/>
    <w:rsid w:val="00013B8D"/>
    <w:rsid w:val="00014895"/>
    <w:rsid w:val="00015719"/>
    <w:rsid w:val="0001606A"/>
    <w:rsid w:val="000169A8"/>
    <w:rsid w:val="000224F9"/>
    <w:rsid w:val="00022B0F"/>
    <w:rsid w:val="00023A8A"/>
    <w:rsid w:val="00023D53"/>
    <w:rsid w:val="00023F3B"/>
    <w:rsid w:val="00024E81"/>
    <w:rsid w:val="0002503A"/>
    <w:rsid w:val="0002615A"/>
    <w:rsid w:val="000270AE"/>
    <w:rsid w:val="000270D4"/>
    <w:rsid w:val="00027F1E"/>
    <w:rsid w:val="00030031"/>
    <w:rsid w:val="00030EDD"/>
    <w:rsid w:val="000311E5"/>
    <w:rsid w:val="00032377"/>
    <w:rsid w:val="00033111"/>
    <w:rsid w:val="00033DD1"/>
    <w:rsid w:val="000351AC"/>
    <w:rsid w:val="0003563D"/>
    <w:rsid w:val="000363E2"/>
    <w:rsid w:val="00040557"/>
    <w:rsid w:val="000412DD"/>
    <w:rsid w:val="00042823"/>
    <w:rsid w:val="000437C1"/>
    <w:rsid w:val="000439CE"/>
    <w:rsid w:val="00046F2A"/>
    <w:rsid w:val="0004795E"/>
    <w:rsid w:val="000502A3"/>
    <w:rsid w:val="00051EC7"/>
    <w:rsid w:val="000526D0"/>
    <w:rsid w:val="0005365D"/>
    <w:rsid w:val="00056C0E"/>
    <w:rsid w:val="0005701E"/>
    <w:rsid w:val="000573B0"/>
    <w:rsid w:val="000601BA"/>
    <w:rsid w:val="0006108A"/>
    <w:rsid w:val="000614BF"/>
    <w:rsid w:val="0006250C"/>
    <w:rsid w:val="00062AE6"/>
    <w:rsid w:val="00063D99"/>
    <w:rsid w:val="00065DBD"/>
    <w:rsid w:val="000660EB"/>
    <w:rsid w:val="000663D1"/>
    <w:rsid w:val="0007041F"/>
    <w:rsid w:val="0007098A"/>
    <w:rsid w:val="00070A22"/>
    <w:rsid w:val="00070B86"/>
    <w:rsid w:val="00071787"/>
    <w:rsid w:val="00072219"/>
    <w:rsid w:val="000746F7"/>
    <w:rsid w:val="0007488E"/>
    <w:rsid w:val="00080303"/>
    <w:rsid w:val="00081794"/>
    <w:rsid w:val="00082022"/>
    <w:rsid w:val="0008369F"/>
    <w:rsid w:val="000848C2"/>
    <w:rsid w:val="00084D9C"/>
    <w:rsid w:val="00084FF4"/>
    <w:rsid w:val="000853B8"/>
    <w:rsid w:val="000855D0"/>
    <w:rsid w:val="0009015E"/>
    <w:rsid w:val="00091372"/>
    <w:rsid w:val="00091619"/>
    <w:rsid w:val="000925C6"/>
    <w:rsid w:val="00095EA3"/>
    <w:rsid w:val="0009685B"/>
    <w:rsid w:val="000A0B55"/>
    <w:rsid w:val="000A1018"/>
    <w:rsid w:val="000A142F"/>
    <w:rsid w:val="000A2362"/>
    <w:rsid w:val="000A259B"/>
    <w:rsid w:val="000A3617"/>
    <w:rsid w:val="000A3AED"/>
    <w:rsid w:val="000A3BC8"/>
    <w:rsid w:val="000A3DD5"/>
    <w:rsid w:val="000A494E"/>
    <w:rsid w:val="000A63A9"/>
    <w:rsid w:val="000A6C39"/>
    <w:rsid w:val="000B055C"/>
    <w:rsid w:val="000B2519"/>
    <w:rsid w:val="000B251F"/>
    <w:rsid w:val="000B2751"/>
    <w:rsid w:val="000B4473"/>
    <w:rsid w:val="000B58FA"/>
    <w:rsid w:val="000B6663"/>
    <w:rsid w:val="000B6DE8"/>
    <w:rsid w:val="000B6F60"/>
    <w:rsid w:val="000B73BD"/>
    <w:rsid w:val="000B7B44"/>
    <w:rsid w:val="000B7D30"/>
    <w:rsid w:val="000C0F64"/>
    <w:rsid w:val="000C154B"/>
    <w:rsid w:val="000C1AE8"/>
    <w:rsid w:val="000C248A"/>
    <w:rsid w:val="000C3234"/>
    <w:rsid w:val="000C394D"/>
    <w:rsid w:val="000C55A0"/>
    <w:rsid w:val="000C7075"/>
    <w:rsid w:val="000D041F"/>
    <w:rsid w:val="000D05EF"/>
    <w:rsid w:val="000D0A6D"/>
    <w:rsid w:val="000D12F0"/>
    <w:rsid w:val="000D1C27"/>
    <w:rsid w:val="000D2762"/>
    <w:rsid w:val="000D3E8D"/>
    <w:rsid w:val="000D4B70"/>
    <w:rsid w:val="000D7BF8"/>
    <w:rsid w:val="000E2261"/>
    <w:rsid w:val="000E3196"/>
    <w:rsid w:val="000E379A"/>
    <w:rsid w:val="000E3C2E"/>
    <w:rsid w:val="000E44A7"/>
    <w:rsid w:val="000E5BA4"/>
    <w:rsid w:val="000E6A7D"/>
    <w:rsid w:val="000E7B62"/>
    <w:rsid w:val="000F00AB"/>
    <w:rsid w:val="000F0935"/>
    <w:rsid w:val="000F1328"/>
    <w:rsid w:val="000F21C1"/>
    <w:rsid w:val="000F3047"/>
    <w:rsid w:val="000F396A"/>
    <w:rsid w:val="000F4127"/>
    <w:rsid w:val="000F4607"/>
    <w:rsid w:val="000F5127"/>
    <w:rsid w:val="000F5187"/>
    <w:rsid w:val="000F6C58"/>
    <w:rsid w:val="000F7276"/>
    <w:rsid w:val="000F7595"/>
    <w:rsid w:val="00100155"/>
    <w:rsid w:val="001008CD"/>
    <w:rsid w:val="001012B7"/>
    <w:rsid w:val="0010187B"/>
    <w:rsid w:val="00101FC7"/>
    <w:rsid w:val="001023D5"/>
    <w:rsid w:val="00102CA6"/>
    <w:rsid w:val="00104B07"/>
    <w:rsid w:val="00104F3A"/>
    <w:rsid w:val="001070A2"/>
    <w:rsid w:val="0010745C"/>
    <w:rsid w:val="0011102F"/>
    <w:rsid w:val="001122B4"/>
    <w:rsid w:val="00112CDE"/>
    <w:rsid w:val="0011462A"/>
    <w:rsid w:val="00114682"/>
    <w:rsid w:val="00115048"/>
    <w:rsid w:val="00115E1B"/>
    <w:rsid w:val="00116B5B"/>
    <w:rsid w:val="00116FF7"/>
    <w:rsid w:val="001217CE"/>
    <w:rsid w:val="0012224C"/>
    <w:rsid w:val="00122B80"/>
    <w:rsid w:val="00122BDF"/>
    <w:rsid w:val="001242AF"/>
    <w:rsid w:val="00124F41"/>
    <w:rsid w:val="00125141"/>
    <w:rsid w:val="001270D5"/>
    <w:rsid w:val="00127525"/>
    <w:rsid w:val="001275AF"/>
    <w:rsid w:val="0013172F"/>
    <w:rsid w:val="00132CEB"/>
    <w:rsid w:val="00133756"/>
    <w:rsid w:val="00134280"/>
    <w:rsid w:val="001342B9"/>
    <w:rsid w:val="001356C7"/>
    <w:rsid w:val="001357EC"/>
    <w:rsid w:val="001361CD"/>
    <w:rsid w:val="00136B22"/>
    <w:rsid w:val="00137481"/>
    <w:rsid w:val="00140A4C"/>
    <w:rsid w:val="00142B22"/>
    <w:rsid w:val="00142B62"/>
    <w:rsid w:val="001434A1"/>
    <w:rsid w:val="00143A0D"/>
    <w:rsid w:val="00143EBA"/>
    <w:rsid w:val="0014439D"/>
    <w:rsid w:val="00144AD9"/>
    <w:rsid w:val="00144CEE"/>
    <w:rsid w:val="001474DF"/>
    <w:rsid w:val="00147B6E"/>
    <w:rsid w:val="00153B32"/>
    <w:rsid w:val="00153BB0"/>
    <w:rsid w:val="001551BA"/>
    <w:rsid w:val="00155F84"/>
    <w:rsid w:val="00156692"/>
    <w:rsid w:val="00157B8B"/>
    <w:rsid w:val="0016118B"/>
    <w:rsid w:val="00162071"/>
    <w:rsid w:val="00162404"/>
    <w:rsid w:val="001624E1"/>
    <w:rsid w:val="001625E1"/>
    <w:rsid w:val="001629AE"/>
    <w:rsid w:val="001635C9"/>
    <w:rsid w:val="00166C2F"/>
    <w:rsid w:val="00167733"/>
    <w:rsid w:val="00167911"/>
    <w:rsid w:val="001710DC"/>
    <w:rsid w:val="001711E1"/>
    <w:rsid w:val="00171A6E"/>
    <w:rsid w:val="001722B3"/>
    <w:rsid w:val="001728CB"/>
    <w:rsid w:val="00172B69"/>
    <w:rsid w:val="00177C43"/>
    <w:rsid w:val="00177CB0"/>
    <w:rsid w:val="00180618"/>
    <w:rsid w:val="001809D7"/>
    <w:rsid w:val="00181F44"/>
    <w:rsid w:val="00182D44"/>
    <w:rsid w:val="00182E30"/>
    <w:rsid w:val="00184988"/>
    <w:rsid w:val="0018659E"/>
    <w:rsid w:val="00186931"/>
    <w:rsid w:val="00186C26"/>
    <w:rsid w:val="00187094"/>
    <w:rsid w:val="001872DC"/>
    <w:rsid w:val="0019022B"/>
    <w:rsid w:val="001919B3"/>
    <w:rsid w:val="00191C1D"/>
    <w:rsid w:val="00192252"/>
    <w:rsid w:val="00192DDC"/>
    <w:rsid w:val="00193748"/>
    <w:rsid w:val="001939E1"/>
    <w:rsid w:val="00194416"/>
    <w:rsid w:val="00194C3E"/>
    <w:rsid w:val="00195382"/>
    <w:rsid w:val="00195BD4"/>
    <w:rsid w:val="001A0C42"/>
    <w:rsid w:val="001A25B7"/>
    <w:rsid w:val="001A2989"/>
    <w:rsid w:val="001A389F"/>
    <w:rsid w:val="001A3F3F"/>
    <w:rsid w:val="001A4612"/>
    <w:rsid w:val="001A4902"/>
    <w:rsid w:val="001A6BF1"/>
    <w:rsid w:val="001A6E57"/>
    <w:rsid w:val="001A6FA6"/>
    <w:rsid w:val="001B0596"/>
    <w:rsid w:val="001B1875"/>
    <w:rsid w:val="001B1984"/>
    <w:rsid w:val="001B1EA5"/>
    <w:rsid w:val="001B67F7"/>
    <w:rsid w:val="001B717C"/>
    <w:rsid w:val="001B7EC7"/>
    <w:rsid w:val="001C0FA5"/>
    <w:rsid w:val="001C1CB1"/>
    <w:rsid w:val="001C27D0"/>
    <w:rsid w:val="001C2F63"/>
    <w:rsid w:val="001C3085"/>
    <w:rsid w:val="001C314C"/>
    <w:rsid w:val="001C36B3"/>
    <w:rsid w:val="001C3918"/>
    <w:rsid w:val="001C61C5"/>
    <w:rsid w:val="001C69C4"/>
    <w:rsid w:val="001C6AF5"/>
    <w:rsid w:val="001D04B6"/>
    <w:rsid w:val="001D37EF"/>
    <w:rsid w:val="001D4BA7"/>
    <w:rsid w:val="001D65E7"/>
    <w:rsid w:val="001D67D4"/>
    <w:rsid w:val="001D6873"/>
    <w:rsid w:val="001D6C0F"/>
    <w:rsid w:val="001D7A48"/>
    <w:rsid w:val="001D7E3A"/>
    <w:rsid w:val="001E00D3"/>
    <w:rsid w:val="001E3590"/>
    <w:rsid w:val="001E5102"/>
    <w:rsid w:val="001E5E99"/>
    <w:rsid w:val="001E6D57"/>
    <w:rsid w:val="001E6E0B"/>
    <w:rsid w:val="001E7407"/>
    <w:rsid w:val="001E77ED"/>
    <w:rsid w:val="001E7E2B"/>
    <w:rsid w:val="001E7FEE"/>
    <w:rsid w:val="001F02B1"/>
    <w:rsid w:val="001F0CFB"/>
    <w:rsid w:val="001F2612"/>
    <w:rsid w:val="001F40DC"/>
    <w:rsid w:val="001F428F"/>
    <w:rsid w:val="001F4EDE"/>
    <w:rsid w:val="001F5D5E"/>
    <w:rsid w:val="001F6219"/>
    <w:rsid w:val="001F6CD4"/>
    <w:rsid w:val="001F7E0B"/>
    <w:rsid w:val="001F7E6B"/>
    <w:rsid w:val="00200AB8"/>
    <w:rsid w:val="00202540"/>
    <w:rsid w:val="00203153"/>
    <w:rsid w:val="00204E04"/>
    <w:rsid w:val="002058CD"/>
    <w:rsid w:val="0020596B"/>
    <w:rsid w:val="002060AF"/>
    <w:rsid w:val="00206C4D"/>
    <w:rsid w:val="0021053C"/>
    <w:rsid w:val="00211716"/>
    <w:rsid w:val="00213572"/>
    <w:rsid w:val="00213A76"/>
    <w:rsid w:val="00214B43"/>
    <w:rsid w:val="002150A7"/>
    <w:rsid w:val="00215AF1"/>
    <w:rsid w:val="00215CFA"/>
    <w:rsid w:val="00216A33"/>
    <w:rsid w:val="002176AC"/>
    <w:rsid w:val="002177EA"/>
    <w:rsid w:val="00220A36"/>
    <w:rsid w:val="0022137D"/>
    <w:rsid w:val="0022186B"/>
    <w:rsid w:val="00221A6D"/>
    <w:rsid w:val="00221A80"/>
    <w:rsid w:val="00222400"/>
    <w:rsid w:val="00223DCF"/>
    <w:rsid w:val="00224D6C"/>
    <w:rsid w:val="002255AA"/>
    <w:rsid w:val="00225CC6"/>
    <w:rsid w:val="00225DA5"/>
    <w:rsid w:val="00230258"/>
    <w:rsid w:val="0023075B"/>
    <w:rsid w:val="002321E8"/>
    <w:rsid w:val="00232BDE"/>
    <w:rsid w:val="0023381B"/>
    <w:rsid w:val="00234C7E"/>
    <w:rsid w:val="002353C9"/>
    <w:rsid w:val="00235B0E"/>
    <w:rsid w:val="00236EEC"/>
    <w:rsid w:val="0024010F"/>
    <w:rsid w:val="00240749"/>
    <w:rsid w:val="00240BB0"/>
    <w:rsid w:val="00241DDE"/>
    <w:rsid w:val="0024209C"/>
    <w:rsid w:val="00242ADF"/>
    <w:rsid w:val="00242FF0"/>
    <w:rsid w:val="00243018"/>
    <w:rsid w:val="00243EC0"/>
    <w:rsid w:val="00244742"/>
    <w:rsid w:val="00244B8E"/>
    <w:rsid w:val="00244C3A"/>
    <w:rsid w:val="00245597"/>
    <w:rsid w:val="00245D37"/>
    <w:rsid w:val="0024686F"/>
    <w:rsid w:val="002471B3"/>
    <w:rsid w:val="0024730F"/>
    <w:rsid w:val="002474CA"/>
    <w:rsid w:val="002513DA"/>
    <w:rsid w:val="00252190"/>
    <w:rsid w:val="002527A7"/>
    <w:rsid w:val="00252C6B"/>
    <w:rsid w:val="00254D7C"/>
    <w:rsid w:val="002559AD"/>
    <w:rsid w:val="00255E9B"/>
    <w:rsid w:val="002564A4"/>
    <w:rsid w:val="002578EB"/>
    <w:rsid w:val="002606D6"/>
    <w:rsid w:val="00263C6D"/>
    <w:rsid w:val="002653D2"/>
    <w:rsid w:val="00265416"/>
    <w:rsid w:val="0026736C"/>
    <w:rsid w:val="0026773C"/>
    <w:rsid w:val="00267C3D"/>
    <w:rsid w:val="0027042A"/>
    <w:rsid w:val="00270BCD"/>
    <w:rsid w:val="00270EEB"/>
    <w:rsid w:val="00271794"/>
    <w:rsid w:val="00273725"/>
    <w:rsid w:val="00275810"/>
    <w:rsid w:val="00275B99"/>
    <w:rsid w:val="00275CF7"/>
    <w:rsid w:val="00276A06"/>
    <w:rsid w:val="00280F99"/>
    <w:rsid w:val="00281145"/>
    <w:rsid w:val="00281308"/>
    <w:rsid w:val="00281813"/>
    <w:rsid w:val="00284719"/>
    <w:rsid w:val="00291653"/>
    <w:rsid w:val="00293BEB"/>
    <w:rsid w:val="0029513A"/>
    <w:rsid w:val="00297269"/>
    <w:rsid w:val="00297ECB"/>
    <w:rsid w:val="002A145D"/>
    <w:rsid w:val="002A2737"/>
    <w:rsid w:val="002A275D"/>
    <w:rsid w:val="002A2915"/>
    <w:rsid w:val="002A6D79"/>
    <w:rsid w:val="002A7328"/>
    <w:rsid w:val="002A732B"/>
    <w:rsid w:val="002A7BCF"/>
    <w:rsid w:val="002B19F3"/>
    <w:rsid w:val="002B28E5"/>
    <w:rsid w:val="002B4A0D"/>
    <w:rsid w:val="002B4D92"/>
    <w:rsid w:val="002B54C1"/>
    <w:rsid w:val="002B6744"/>
    <w:rsid w:val="002B7158"/>
    <w:rsid w:val="002C2B9A"/>
    <w:rsid w:val="002C4538"/>
    <w:rsid w:val="002C6459"/>
    <w:rsid w:val="002C6B1B"/>
    <w:rsid w:val="002C7793"/>
    <w:rsid w:val="002C7B6F"/>
    <w:rsid w:val="002D043A"/>
    <w:rsid w:val="002D0EB5"/>
    <w:rsid w:val="002D3541"/>
    <w:rsid w:val="002D4B7A"/>
    <w:rsid w:val="002D547E"/>
    <w:rsid w:val="002D6224"/>
    <w:rsid w:val="002E011F"/>
    <w:rsid w:val="002E01B3"/>
    <w:rsid w:val="002E13AB"/>
    <w:rsid w:val="002E2139"/>
    <w:rsid w:val="002E26F6"/>
    <w:rsid w:val="002E275A"/>
    <w:rsid w:val="002E3C13"/>
    <w:rsid w:val="002E3F4B"/>
    <w:rsid w:val="002E450A"/>
    <w:rsid w:val="002E49E7"/>
    <w:rsid w:val="002E4B45"/>
    <w:rsid w:val="002E4BBC"/>
    <w:rsid w:val="002E4D38"/>
    <w:rsid w:val="002E4E07"/>
    <w:rsid w:val="002E54A0"/>
    <w:rsid w:val="002E5D7D"/>
    <w:rsid w:val="002E724F"/>
    <w:rsid w:val="002E7673"/>
    <w:rsid w:val="002F0ACB"/>
    <w:rsid w:val="002F0F6B"/>
    <w:rsid w:val="002F2ADC"/>
    <w:rsid w:val="002F36AB"/>
    <w:rsid w:val="002F4641"/>
    <w:rsid w:val="002F4BEA"/>
    <w:rsid w:val="002F5D87"/>
    <w:rsid w:val="002F6BAB"/>
    <w:rsid w:val="002F6D01"/>
    <w:rsid w:val="002F6F56"/>
    <w:rsid w:val="002F7B2F"/>
    <w:rsid w:val="002F7E09"/>
    <w:rsid w:val="0030018D"/>
    <w:rsid w:val="00300C7B"/>
    <w:rsid w:val="00303364"/>
    <w:rsid w:val="00304C0D"/>
    <w:rsid w:val="00304F8B"/>
    <w:rsid w:val="00305939"/>
    <w:rsid w:val="0030649F"/>
    <w:rsid w:val="00306C90"/>
    <w:rsid w:val="0030766A"/>
    <w:rsid w:val="00311A6D"/>
    <w:rsid w:val="0031372F"/>
    <w:rsid w:val="00314336"/>
    <w:rsid w:val="003150C2"/>
    <w:rsid w:val="00315150"/>
    <w:rsid w:val="00315439"/>
    <w:rsid w:val="00315957"/>
    <w:rsid w:val="00315B50"/>
    <w:rsid w:val="00316569"/>
    <w:rsid w:val="00316598"/>
    <w:rsid w:val="00316A13"/>
    <w:rsid w:val="00317191"/>
    <w:rsid w:val="0032180A"/>
    <w:rsid w:val="0032245F"/>
    <w:rsid w:val="00322F04"/>
    <w:rsid w:val="00322FE4"/>
    <w:rsid w:val="003234B0"/>
    <w:rsid w:val="00323C39"/>
    <w:rsid w:val="003252E1"/>
    <w:rsid w:val="00325C26"/>
    <w:rsid w:val="00327DDF"/>
    <w:rsid w:val="00330871"/>
    <w:rsid w:val="0033234A"/>
    <w:rsid w:val="0033355A"/>
    <w:rsid w:val="00333C81"/>
    <w:rsid w:val="003354D2"/>
    <w:rsid w:val="00335BC6"/>
    <w:rsid w:val="00336529"/>
    <w:rsid w:val="00336CAF"/>
    <w:rsid w:val="00336EB5"/>
    <w:rsid w:val="0033743B"/>
    <w:rsid w:val="00340046"/>
    <w:rsid w:val="00340109"/>
    <w:rsid w:val="00340269"/>
    <w:rsid w:val="00340A15"/>
    <w:rsid w:val="003415D3"/>
    <w:rsid w:val="003418F9"/>
    <w:rsid w:val="00342AC2"/>
    <w:rsid w:val="003435AF"/>
    <w:rsid w:val="00344701"/>
    <w:rsid w:val="00345239"/>
    <w:rsid w:val="00345510"/>
    <w:rsid w:val="00346197"/>
    <w:rsid w:val="00352834"/>
    <w:rsid w:val="003528DA"/>
    <w:rsid w:val="00352B0F"/>
    <w:rsid w:val="00352FB2"/>
    <w:rsid w:val="00353880"/>
    <w:rsid w:val="003555E9"/>
    <w:rsid w:val="00356690"/>
    <w:rsid w:val="00357BA4"/>
    <w:rsid w:val="00357DD0"/>
    <w:rsid w:val="00360459"/>
    <w:rsid w:val="00360B42"/>
    <w:rsid w:val="003624ED"/>
    <w:rsid w:val="00363C31"/>
    <w:rsid w:val="00364A37"/>
    <w:rsid w:val="00365497"/>
    <w:rsid w:val="00365A0A"/>
    <w:rsid w:val="00370D2F"/>
    <w:rsid w:val="003716AE"/>
    <w:rsid w:val="00372D34"/>
    <w:rsid w:val="00372E22"/>
    <w:rsid w:val="003739BF"/>
    <w:rsid w:val="0038034E"/>
    <w:rsid w:val="00381C46"/>
    <w:rsid w:val="00381D22"/>
    <w:rsid w:val="003832B1"/>
    <w:rsid w:val="003842B2"/>
    <w:rsid w:val="00387A96"/>
    <w:rsid w:val="003908C8"/>
    <w:rsid w:val="00391175"/>
    <w:rsid w:val="00391E9C"/>
    <w:rsid w:val="00393A1E"/>
    <w:rsid w:val="00393E4D"/>
    <w:rsid w:val="00394B0D"/>
    <w:rsid w:val="00395051"/>
    <w:rsid w:val="00396FF8"/>
    <w:rsid w:val="003A003B"/>
    <w:rsid w:val="003A05CB"/>
    <w:rsid w:val="003A175E"/>
    <w:rsid w:val="003A2A48"/>
    <w:rsid w:val="003A2FBD"/>
    <w:rsid w:val="003A5741"/>
    <w:rsid w:val="003A7F0C"/>
    <w:rsid w:val="003B0C75"/>
    <w:rsid w:val="003B28C3"/>
    <w:rsid w:val="003B3F33"/>
    <w:rsid w:val="003B630D"/>
    <w:rsid w:val="003B6D35"/>
    <w:rsid w:val="003B6DA5"/>
    <w:rsid w:val="003B70C6"/>
    <w:rsid w:val="003B7124"/>
    <w:rsid w:val="003B732F"/>
    <w:rsid w:val="003B7822"/>
    <w:rsid w:val="003C06B4"/>
    <w:rsid w:val="003C073D"/>
    <w:rsid w:val="003C0BCB"/>
    <w:rsid w:val="003C1D08"/>
    <w:rsid w:val="003C2785"/>
    <w:rsid w:val="003C3060"/>
    <w:rsid w:val="003C50A7"/>
    <w:rsid w:val="003C52F9"/>
    <w:rsid w:val="003C5ACD"/>
    <w:rsid w:val="003C5CCC"/>
    <w:rsid w:val="003C5F41"/>
    <w:rsid w:val="003C6231"/>
    <w:rsid w:val="003C77E7"/>
    <w:rsid w:val="003C7DF7"/>
    <w:rsid w:val="003D0A0D"/>
    <w:rsid w:val="003D0BFE"/>
    <w:rsid w:val="003D2FD3"/>
    <w:rsid w:val="003D506D"/>
    <w:rsid w:val="003D5700"/>
    <w:rsid w:val="003D6682"/>
    <w:rsid w:val="003D74BF"/>
    <w:rsid w:val="003E06D5"/>
    <w:rsid w:val="003E0A20"/>
    <w:rsid w:val="003E0F99"/>
    <w:rsid w:val="003E201A"/>
    <w:rsid w:val="003E341B"/>
    <w:rsid w:val="003E3FC6"/>
    <w:rsid w:val="003E5807"/>
    <w:rsid w:val="003E5D62"/>
    <w:rsid w:val="003F1B14"/>
    <w:rsid w:val="003F3B60"/>
    <w:rsid w:val="003F3EFD"/>
    <w:rsid w:val="003F52EB"/>
    <w:rsid w:val="0040053F"/>
    <w:rsid w:val="00401E73"/>
    <w:rsid w:val="004023ED"/>
    <w:rsid w:val="0040290E"/>
    <w:rsid w:val="004069C7"/>
    <w:rsid w:val="00407847"/>
    <w:rsid w:val="00410507"/>
    <w:rsid w:val="004116CD"/>
    <w:rsid w:val="00412A23"/>
    <w:rsid w:val="004132B5"/>
    <w:rsid w:val="004144BE"/>
    <w:rsid w:val="004144EC"/>
    <w:rsid w:val="00414B39"/>
    <w:rsid w:val="00415C4F"/>
    <w:rsid w:val="00416E2D"/>
    <w:rsid w:val="004173CA"/>
    <w:rsid w:val="00417EB9"/>
    <w:rsid w:val="00420D4C"/>
    <w:rsid w:val="00423205"/>
    <w:rsid w:val="00423857"/>
    <w:rsid w:val="00424CA9"/>
    <w:rsid w:val="00425FAD"/>
    <w:rsid w:val="00426861"/>
    <w:rsid w:val="00426F86"/>
    <w:rsid w:val="0042714D"/>
    <w:rsid w:val="004277D3"/>
    <w:rsid w:val="00427FB4"/>
    <w:rsid w:val="004309E7"/>
    <w:rsid w:val="00431E9B"/>
    <w:rsid w:val="00432D54"/>
    <w:rsid w:val="004333DE"/>
    <w:rsid w:val="00433832"/>
    <w:rsid w:val="00434A41"/>
    <w:rsid w:val="00435EEF"/>
    <w:rsid w:val="004376AE"/>
    <w:rsid w:val="004379E3"/>
    <w:rsid w:val="0044015E"/>
    <w:rsid w:val="004406D3"/>
    <w:rsid w:val="0044291A"/>
    <w:rsid w:val="004449A9"/>
    <w:rsid w:val="00444ABD"/>
    <w:rsid w:val="00445632"/>
    <w:rsid w:val="00446A6E"/>
    <w:rsid w:val="00447DB4"/>
    <w:rsid w:val="00450449"/>
    <w:rsid w:val="0045134C"/>
    <w:rsid w:val="0045240F"/>
    <w:rsid w:val="00454023"/>
    <w:rsid w:val="00455488"/>
    <w:rsid w:val="00455A74"/>
    <w:rsid w:val="00455ABD"/>
    <w:rsid w:val="0045704C"/>
    <w:rsid w:val="00457D70"/>
    <w:rsid w:val="00457E24"/>
    <w:rsid w:val="00460F1D"/>
    <w:rsid w:val="004615BB"/>
    <w:rsid w:val="00462961"/>
    <w:rsid w:val="00462E5C"/>
    <w:rsid w:val="00465DC1"/>
    <w:rsid w:val="00467661"/>
    <w:rsid w:val="004702DF"/>
    <w:rsid w:val="004705B7"/>
    <w:rsid w:val="004723A3"/>
    <w:rsid w:val="00472CA3"/>
    <w:rsid w:val="00472DBE"/>
    <w:rsid w:val="00473415"/>
    <w:rsid w:val="00474013"/>
    <w:rsid w:val="00474A19"/>
    <w:rsid w:val="00474B52"/>
    <w:rsid w:val="0047673A"/>
    <w:rsid w:val="00476A44"/>
    <w:rsid w:val="00477341"/>
    <w:rsid w:val="00480C96"/>
    <w:rsid w:val="004816DF"/>
    <w:rsid w:val="00481C24"/>
    <w:rsid w:val="004823C0"/>
    <w:rsid w:val="0048276B"/>
    <w:rsid w:val="00483B05"/>
    <w:rsid w:val="00483DB0"/>
    <w:rsid w:val="00486D32"/>
    <w:rsid w:val="0048740E"/>
    <w:rsid w:val="00487996"/>
    <w:rsid w:val="00487F57"/>
    <w:rsid w:val="00494DD6"/>
    <w:rsid w:val="00496B5F"/>
    <w:rsid w:val="00496BFE"/>
    <w:rsid w:val="00496F97"/>
    <w:rsid w:val="004A09C4"/>
    <w:rsid w:val="004A0CB5"/>
    <w:rsid w:val="004A1E6F"/>
    <w:rsid w:val="004A394E"/>
    <w:rsid w:val="004A44FC"/>
    <w:rsid w:val="004A5181"/>
    <w:rsid w:val="004A5AB7"/>
    <w:rsid w:val="004A5B02"/>
    <w:rsid w:val="004A6931"/>
    <w:rsid w:val="004A6A4C"/>
    <w:rsid w:val="004A6F9C"/>
    <w:rsid w:val="004A7CBC"/>
    <w:rsid w:val="004B234A"/>
    <w:rsid w:val="004B32AE"/>
    <w:rsid w:val="004B4B3A"/>
    <w:rsid w:val="004B52CC"/>
    <w:rsid w:val="004B5B44"/>
    <w:rsid w:val="004B5C68"/>
    <w:rsid w:val="004B64D6"/>
    <w:rsid w:val="004C0997"/>
    <w:rsid w:val="004C0CA4"/>
    <w:rsid w:val="004C1CB1"/>
    <w:rsid w:val="004C302D"/>
    <w:rsid w:val="004C4789"/>
    <w:rsid w:val="004C4AC1"/>
    <w:rsid w:val="004C4B70"/>
    <w:rsid w:val="004C563E"/>
    <w:rsid w:val="004C5C02"/>
    <w:rsid w:val="004D059C"/>
    <w:rsid w:val="004D1B74"/>
    <w:rsid w:val="004D1B8D"/>
    <w:rsid w:val="004D2B17"/>
    <w:rsid w:val="004D3F12"/>
    <w:rsid w:val="004D4592"/>
    <w:rsid w:val="004D46F3"/>
    <w:rsid w:val="004D6B7A"/>
    <w:rsid w:val="004D7E7F"/>
    <w:rsid w:val="004D7EBA"/>
    <w:rsid w:val="004E063A"/>
    <w:rsid w:val="004E0E9D"/>
    <w:rsid w:val="004E4A60"/>
    <w:rsid w:val="004E4E22"/>
    <w:rsid w:val="004E62D4"/>
    <w:rsid w:val="004E6606"/>
    <w:rsid w:val="004E7BEC"/>
    <w:rsid w:val="004F06CB"/>
    <w:rsid w:val="004F08C7"/>
    <w:rsid w:val="004F2E06"/>
    <w:rsid w:val="004F44D0"/>
    <w:rsid w:val="004F626D"/>
    <w:rsid w:val="0050041A"/>
    <w:rsid w:val="0050044F"/>
    <w:rsid w:val="005013C5"/>
    <w:rsid w:val="00501E3E"/>
    <w:rsid w:val="00502482"/>
    <w:rsid w:val="005045F2"/>
    <w:rsid w:val="0050567E"/>
    <w:rsid w:val="00505D3D"/>
    <w:rsid w:val="00506AF6"/>
    <w:rsid w:val="00507335"/>
    <w:rsid w:val="0050788B"/>
    <w:rsid w:val="0051026D"/>
    <w:rsid w:val="005110DB"/>
    <w:rsid w:val="00512002"/>
    <w:rsid w:val="00512A72"/>
    <w:rsid w:val="00512C1B"/>
    <w:rsid w:val="00513076"/>
    <w:rsid w:val="005136E4"/>
    <w:rsid w:val="00515D7E"/>
    <w:rsid w:val="005160D9"/>
    <w:rsid w:val="00516B8D"/>
    <w:rsid w:val="00517E56"/>
    <w:rsid w:val="0052003B"/>
    <w:rsid w:val="00520F26"/>
    <w:rsid w:val="005216CF"/>
    <w:rsid w:val="00521C18"/>
    <w:rsid w:val="005228A0"/>
    <w:rsid w:val="00524628"/>
    <w:rsid w:val="00524985"/>
    <w:rsid w:val="00525083"/>
    <w:rsid w:val="005252B1"/>
    <w:rsid w:val="00527076"/>
    <w:rsid w:val="00527F70"/>
    <w:rsid w:val="00531102"/>
    <w:rsid w:val="00531416"/>
    <w:rsid w:val="00532049"/>
    <w:rsid w:val="00534EB4"/>
    <w:rsid w:val="005356A7"/>
    <w:rsid w:val="00536184"/>
    <w:rsid w:val="00536AA9"/>
    <w:rsid w:val="00537FBC"/>
    <w:rsid w:val="00541CF2"/>
    <w:rsid w:val="00546640"/>
    <w:rsid w:val="00547A52"/>
    <w:rsid w:val="00550695"/>
    <w:rsid w:val="005521A9"/>
    <w:rsid w:val="00553CD4"/>
    <w:rsid w:val="005555D2"/>
    <w:rsid w:val="00555622"/>
    <w:rsid w:val="0055598D"/>
    <w:rsid w:val="00555AB9"/>
    <w:rsid w:val="00556561"/>
    <w:rsid w:val="00556A43"/>
    <w:rsid w:val="005574D1"/>
    <w:rsid w:val="00560586"/>
    <w:rsid w:val="00560B00"/>
    <w:rsid w:val="005613B7"/>
    <w:rsid w:val="00561ABB"/>
    <w:rsid w:val="00562B94"/>
    <w:rsid w:val="00564D29"/>
    <w:rsid w:val="005657FE"/>
    <w:rsid w:val="0056597E"/>
    <w:rsid w:val="005668AE"/>
    <w:rsid w:val="0057044B"/>
    <w:rsid w:val="005705B6"/>
    <w:rsid w:val="00571F3C"/>
    <w:rsid w:val="00572493"/>
    <w:rsid w:val="00572BB1"/>
    <w:rsid w:val="00573C14"/>
    <w:rsid w:val="005759A7"/>
    <w:rsid w:val="0057670F"/>
    <w:rsid w:val="00581A99"/>
    <w:rsid w:val="00583E97"/>
    <w:rsid w:val="0058429E"/>
    <w:rsid w:val="00584811"/>
    <w:rsid w:val="005852F8"/>
    <w:rsid w:val="00585784"/>
    <w:rsid w:val="00587AFF"/>
    <w:rsid w:val="0059189F"/>
    <w:rsid w:val="00591986"/>
    <w:rsid w:val="00593579"/>
    <w:rsid w:val="00593AA6"/>
    <w:rsid w:val="00593D7B"/>
    <w:rsid w:val="00594161"/>
    <w:rsid w:val="00594749"/>
    <w:rsid w:val="00594E81"/>
    <w:rsid w:val="005951DB"/>
    <w:rsid w:val="00597C51"/>
    <w:rsid w:val="005A1F9D"/>
    <w:rsid w:val="005A1FC1"/>
    <w:rsid w:val="005A23A4"/>
    <w:rsid w:val="005A38C8"/>
    <w:rsid w:val="005A3D96"/>
    <w:rsid w:val="005A5AD3"/>
    <w:rsid w:val="005A6A1D"/>
    <w:rsid w:val="005A75EA"/>
    <w:rsid w:val="005A7974"/>
    <w:rsid w:val="005A7CCA"/>
    <w:rsid w:val="005B0CA6"/>
    <w:rsid w:val="005B13D1"/>
    <w:rsid w:val="005B1C12"/>
    <w:rsid w:val="005B4067"/>
    <w:rsid w:val="005B6A1B"/>
    <w:rsid w:val="005B7097"/>
    <w:rsid w:val="005B780C"/>
    <w:rsid w:val="005C04A9"/>
    <w:rsid w:val="005C146B"/>
    <w:rsid w:val="005C163C"/>
    <w:rsid w:val="005C1714"/>
    <w:rsid w:val="005C2500"/>
    <w:rsid w:val="005C2CFC"/>
    <w:rsid w:val="005C3F41"/>
    <w:rsid w:val="005C409D"/>
    <w:rsid w:val="005C44F6"/>
    <w:rsid w:val="005C4CA7"/>
    <w:rsid w:val="005C5F5F"/>
    <w:rsid w:val="005C729C"/>
    <w:rsid w:val="005C74BF"/>
    <w:rsid w:val="005D0489"/>
    <w:rsid w:val="005D13AD"/>
    <w:rsid w:val="005D1FEA"/>
    <w:rsid w:val="005D2D09"/>
    <w:rsid w:val="005D3281"/>
    <w:rsid w:val="005D3D41"/>
    <w:rsid w:val="005D49E9"/>
    <w:rsid w:val="005E0527"/>
    <w:rsid w:val="005E13AC"/>
    <w:rsid w:val="005E4810"/>
    <w:rsid w:val="005E4B21"/>
    <w:rsid w:val="005E522A"/>
    <w:rsid w:val="005E6D41"/>
    <w:rsid w:val="005E6F0E"/>
    <w:rsid w:val="005F4140"/>
    <w:rsid w:val="005F4ECA"/>
    <w:rsid w:val="005F5DE3"/>
    <w:rsid w:val="005F606A"/>
    <w:rsid w:val="005F65CD"/>
    <w:rsid w:val="00600219"/>
    <w:rsid w:val="00600568"/>
    <w:rsid w:val="0060257B"/>
    <w:rsid w:val="00602B64"/>
    <w:rsid w:val="00602D17"/>
    <w:rsid w:val="006032FF"/>
    <w:rsid w:val="00603401"/>
    <w:rsid w:val="00603DC4"/>
    <w:rsid w:val="00605448"/>
    <w:rsid w:val="00605E4F"/>
    <w:rsid w:val="006068FE"/>
    <w:rsid w:val="0060783D"/>
    <w:rsid w:val="00607A71"/>
    <w:rsid w:val="00610709"/>
    <w:rsid w:val="006117CB"/>
    <w:rsid w:val="00611C57"/>
    <w:rsid w:val="00611E59"/>
    <w:rsid w:val="00612202"/>
    <w:rsid w:val="00612752"/>
    <w:rsid w:val="00612F72"/>
    <w:rsid w:val="00614CC4"/>
    <w:rsid w:val="00615755"/>
    <w:rsid w:val="00615FAF"/>
    <w:rsid w:val="00617814"/>
    <w:rsid w:val="00620076"/>
    <w:rsid w:val="00621945"/>
    <w:rsid w:val="00622762"/>
    <w:rsid w:val="00622EC8"/>
    <w:rsid w:val="0062359E"/>
    <w:rsid w:val="006260FE"/>
    <w:rsid w:val="00627FE6"/>
    <w:rsid w:val="00630E25"/>
    <w:rsid w:val="00632903"/>
    <w:rsid w:val="00632A9B"/>
    <w:rsid w:val="00632E34"/>
    <w:rsid w:val="00633FF7"/>
    <w:rsid w:val="00634044"/>
    <w:rsid w:val="006347FB"/>
    <w:rsid w:val="0063540B"/>
    <w:rsid w:val="00637B73"/>
    <w:rsid w:val="00640161"/>
    <w:rsid w:val="00642FB7"/>
    <w:rsid w:val="00650938"/>
    <w:rsid w:val="0065157D"/>
    <w:rsid w:val="00651B7D"/>
    <w:rsid w:val="006522B2"/>
    <w:rsid w:val="00652769"/>
    <w:rsid w:val="0065315C"/>
    <w:rsid w:val="00655047"/>
    <w:rsid w:val="0065542F"/>
    <w:rsid w:val="006554FF"/>
    <w:rsid w:val="0065636E"/>
    <w:rsid w:val="00657849"/>
    <w:rsid w:val="00657A2A"/>
    <w:rsid w:val="00657E97"/>
    <w:rsid w:val="00660896"/>
    <w:rsid w:val="006608F7"/>
    <w:rsid w:val="0066174E"/>
    <w:rsid w:val="00661B7B"/>
    <w:rsid w:val="00664118"/>
    <w:rsid w:val="006642AC"/>
    <w:rsid w:val="006654AE"/>
    <w:rsid w:val="00665D95"/>
    <w:rsid w:val="00670CCB"/>
    <w:rsid w:val="00670EA1"/>
    <w:rsid w:val="00671C16"/>
    <w:rsid w:val="00673209"/>
    <w:rsid w:val="0067347C"/>
    <w:rsid w:val="00673FAD"/>
    <w:rsid w:val="00674503"/>
    <w:rsid w:val="00675284"/>
    <w:rsid w:val="006764AE"/>
    <w:rsid w:val="00676B67"/>
    <w:rsid w:val="00676F5A"/>
    <w:rsid w:val="00677CC2"/>
    <w:rsid w:val="0068013B"/>
    <w:rsid w:val="00680245"/>
    <w:rsid w:val="00680934"/>
    <w:rsid w:val="00681361"/>
    <w:rsid w:val="006819ED"/>
    <w:rsid w:val="00681ED6"/>
    <w:rsid w:val="006842E1"/>
    <w:rsid w:val="0068555D"/>
    <w:rsid w:val="0068568E"/>
    <w:rsid w:val="00685BEF"/>
    <w:rsid w:val="0068616F"/>
    <w:rsid w:val="00686EAD"/>
    <w:rsid w:val="0068755E"/>
    <w:rsid w:val="00687CD5"/>
    <w:rsid w:val="006905DE"/>
    <w:rsid w:val="00690E3B"/>
    <w:rsid w:val="006910C1"/>
    <w:rsid w:val="0069191D"/>
    <w:rsid w:val="006919DA"/>
    <w:rsid w:val="0069207B"/>
    <w:rsid w:val="006928A0"/>
    <w:rsid w:val="006937A7"/>
    <w:rsid w:val="0069380F"/>
    <w:rsid w:val="00693F29"/>
    <w:rsid w:val="00694211"/>
    <w:rsid w:val="00694C33"/>
    <w:rsid w:val="00695288"/>
    <w:rsid w:val="00696504"/>
    <w:rsid w:val="00697E28"/>
    <w:rsid w:val="006A6F07"/>
    <w:rsid w:val="006A7020"/>
    <w:rsid w:val="006A713F"/>
    <w:rsid w:val="006B0240"/>
    <w:rsid w:val="006B0924"/>
    <w:rsid w:val="006B242F"/>
    <w:rsid w:val="006B42EF"/>
    <w:rsid w:val="006B4789"/>
    <w:rsid w:val="006B514A"/>
    <w:rsid w:val="006B5465"/>
    <w:rsid w:val="006B5789"/>
    <w:rsid w:val="006B6DD6"/>
    <w:rsid w:val="006C07A5"/>
    <w:rsid w:val="006C091D"/>
    <w:rsid w:val="006C0C09"/>
    <w:rsid w:val="006C1748"/>
    <w:rsid w:val="006C2322"/>
    <w:rsid w:val="006C3002"/>
    <w:rsid w:val="006C30C5"/>
    <w:rsid w:val="006C48FA"/>
    <w:rsid w:val="006C4ACA"/>
    <w:rsid w:val="006C7D46"/>
    <w:rsid w:val="006C7F8C"/>
    <w:rsid w:val="006D2DBA"/>
    <w:rsid w:val="006D4291"/>
    <w:rsid w:val="006E1A1A"/>
    <w:rsid w:val="006E47F9"/>
    <w:rsid w:val="006E5320"/>
    <w:rsid w:val="006E5992"/>
    <w:rsid w:val="006E6246"/>
    <w:rsid w:val="006E6BEA"/>
    <w:rsid w:val="006F000B"/>
    <w:rsid w:val="006F0DDC"/>
    <w:rsid w:val="006F1F75"/>
    <w:rsid w:val="006F2A94"/>
    <w:rsid w:val="006F2E0C"/>
    <w:rsid w:val="006F3001"/>
    <w:rsid w:val="006F318F"/>
    <w:rsid w:val="006F4226"/>
    <w:rsid w:val="006F5827"/>
    <w:rsid w:val="006F7439"/>
    <w:rsid w:val="006F7B19"/>
    <w:rsid w:val="0070017E"/>
    <w:rsid w:val="00700B2C"/>
    <w:rsid w:val="00702C4E"/>
    <w:rsid w:val="00702EFD"/>
    <w:rsid w:val="0070337D"/>
    <w:rsid w:val="00704D8F"/>
    <w:rsid w:val="007050A2"/>
    <w:rsid w:val="007062E3"/>
    <w:rsid w:val="007069AD"/>
    <w:rsid w:val="00710871"/>
    <w:rsid w:val="00710CA3"/>
    <w:rsid w:val="007113E7"/>
    <w:rsid w:val="007115E9"/>
    <w:rsid w:val="00711F10"/>
    <w:rsid w:val="00713084"/>
    <w:rsid w:val="0071399B"/>
    <w:rsid w:val="00713F04"/>
    <w:rsid w:val="00714144"/>
    <w:rsid w:val="00714F20"/>
    <w:rsid w:val="00715225"/>
    <w:rsid w:val="0071590F"/>
    <w:rsid w:val="00715914"/>
    <w:rsid w:val="007159A2"/>
    <w:rsid w:val="00715A50"/>
    <w:rsid w:val="00717BA1"/>
    <w:rsid w:val="00717CC7"/>
    <w:rsid w:val="00720486"/>
    <w:rsid w:val="00720EB7"/>
    <w:rsid w:val="00722D8E"/>
    <w:rsid w:val="00723E38"/>
    <w:rsid w:val="007244DD"/>
    <w:rsid w:val="0072531E"/>
    <w:rsid w:val="007253CB"/>
    <w:rsid w:val="0072795F"/>
    <w:rsid w:val="00730187"/>
    <w:rsid w:val="00731084"/>
    <w:rsid w:val="00731E00"/>
    <w:rsid w:val="00734FB2"/>
    <w:rsid w:val="007355BC"/>
    <w:rsid w:val="00736244"/>
    <w:rsid w:val="007364C5"/>
    <w:rsid w:val="00737958"/>
    <w:rsid w:val="007419E7"/>
    <w:rsid w:val="00741EE8"/>
    <w:rsid w:val="007433DC"/>
    <w:rsid w:val="007440B7"/>
    <w:rsid w:val="00744669"/>
    <w:rsid w:val="00744B94"/>
    <w:rsid w:val="007454CD"/>
    <w:rsid w:val="007461BD"/>
    <w:rsid w:val="00747511"/>
    <w:rsid w:val="007500C8"/>
    <w:rsid w:val="007525DE"/>
    <w:rsid w:val="00755512"/>
    <w:rsid w:val="007555A8"/>
    <w:rsid w:val="007559F2"/>
    <w:rsid w:val="00755BE5"/>
    <w:rsid w:val="00756272"/>
    <w:rsid w:val="00756876"/>
    <w:rsid w:val="00756E29"/>
    <w:rsid w:val="00757607"/>
    <w:rsid w:val="007608C4"/>
    <w:rsid w:val="00761A8D"/>
    <w:rsid w:val="007621F4"/>
    <w:rsid w:val="0076272F"/>
    <w:rsid w:val="007662B5"/>
    <w:rsid w:val="0076681A"/>
    <w:rsid w:val="007710A6"/>
    <w:rsid w:val="007715C9"/>
    <w:rsid w:val="00771613"/>
    <w:rsid w:val="00771B68"/>
    <w:rsid w:val="00772847"/>
    <w:rsid w:val="00772C2A"/>
    <w:rsid w:val="00774EDD"/>
    <w:rsid w:val="0077506D"/>
    <w:rsid w:val="00775544"/>
    <w:rsid w:val="007755D3"/>
    <w:rsid w:val="007757EC"/>
    <w:rsid w:val="007761B7"/>
    <w:rsid w:val="007765ED"/>
    <w:rsid w:val="00781BEE"/>
    <w:rsid w:val="00782045"/>
    <w:rsid w:val="00782C1F"/>
    <w:rsid w:val="00782ED3"/>
    <w:rsid w:val="007834BD"/>
    <w:rsid w:val="00783E89"/>
    <w:rsid w:val="007842CE"/>
    <w:rsid w:val="00785A9E"/>
    <w:rsid w:val="007879B0"/>
    <w:rsid w:val="00793915"/>
    <w:rsid w:val="00793D3A"/>
    <w:rsid w:val="00794848"/>
    <w:rsid w:val="00795A66"/>
    <w:rsid w:val="00795E4D"/>
    <w:rsid w:val="007969F1"/>
    <w:rsid w:val="007974D3"/>
    <w:rsid w:val="007A0109"/>
    <w:rsid w:val="007A0274"/>
    <w:rsid w:val="007A5BB5"/>
    <w:rsid w:val="007A5D15"/>
    <w:rsid w:val="007A773E"/>
    <w:rsid w:val="007A78D7"/>
    <w:rsid w:val="007B2EF0"/>
    <w:rsid w:val="007B3A6A"/>
    <w:rsid w:val="007B484B"/>
    <w:rsid w:val="007B4C4F"/>
    <w:rsid w:val="007C0930"/>
    <w:rsid w:val="007C0B06"/>
    <w:rsid w:val="007C2253"/>
    <w:rsid w:val="007C2649"/>
    <w:rsid w:val="007C284C"/>
    <w:rsid w:val="007C5899"/>
    <w:rsid w:val="007C6B2A"/>
    <w:rsid w:val="007C6DC7"/>
    <w:rsid w:val="007C728E"/>
    <w:rsid w:val="007C7B28"/>
    <w:rsid w:val="007D1089"/>
    <w:rsid w:val="007D10F4"/>
    <w:rsid w:val="007D230B"/>
    <w:rsid w:val="007D2C96"/>
    <w:rsid w:val="007D5075"/>
    <w:rsid w:val="007D58FB"/>
    <w:rsid w:val="007D6B36"/>
    <w:rsid w:val="007D6FE5"/>
    <w:rsid w:val="007E0236"/>
    <w:rsid w:val="007E163D"/>
    <w:rsid w:val="007E2827"/>
    <w:rsid w:val="007E45CB"/>
    <w:rsid w:val="007E48BE"/>
    <w:rsid w:val="007E4CA7"/>
    <w:rsid w:val="007E667A"/>
    <w:rsid w:val="007E6970"/>
    <w:rsid w:val="007E7574"/>
    <w:rsid w:val="007E7EED"/>
    <w:rsid w:val="007F0AAC"/>
    <w:rsid w:val="007F10A5"/>
    <w:rsid w:val="007F224B"/>
    <w:rsid w:val="007F28C9"/>
    <w:rsid w:val="007F62A7"/>
    <w:rsid w:val="007F7B0A"/>
    <w:rsid w:val="008003D4"/>
    <w:rsid w:val="00801001"/>
    <w:rsid w:val="00801567"/>
    <w:rsid w:val="0080166E"/>
    <w:rsid w:val="0080256E"/>
    <w:rsid w:val="0080312D"/>
    <w:rsid w:val="00803587"/>
    <w:rsid w:val="00805B2E"/>
    <w:rsid w:val="00810034"/>
    <w:rsid w:val="008117E9"/>
    <w:rsid w:val="0082213C"/>
    <w:rsid w:val="008237EB"/>
    <w:rsid w:val="00824498"/>
    <w:rsid w:val="00824DC0"/>
    <w:rsid w:val="008254E5"/>
    <w:rsid w:val="0082603A"/>
    <w:rsid w:val="00826F17"/>
    <w:rsid w:val="008273F0"/>
    <w:rsid w:val="00832E63"/>
    <w:rsid w:val="00833417"/>
    <w:rsid w:val="00833601"/>
    <w:rsid w:val="008340FE"/>
    <w:rsid w:val="00835179"/>
    <w:rsid w:val="008351EB"/>
    <w:rsid w:val="00835A20"/>
    <w:rsid w:val="00836765"/>
    <w:rsid w:val="00837D6D"/>
    <w:rsid w:val="00837E62"/>
    <w:rsid w:val="008400AA"/>
    <w:rsid w:val="00840172"/>
    <w:rsid w:val="00840442"/>
    <w:rsid w:val="00841CEC"/>
    <w:rsid w:val="00842559"/>
    <w:rsid w:val="00842ED3"/>
    <w:rsid w:val="00844376"/>
    <w:rsid w:val="00844BF5"/>
    <w:rsid w:val="008464B8"/>
    <w:rsid w:val="00846D68"/>
    <w:rsid w:val="0084768B"/>
    <w:rsid w:val="00851967"/>
    <w:rsid w:val="008527C0"/>
    <w:rsid w:val="00852C87"/>
    <w:rsid w:val="008534E3"/>
    <w:rsid w:val="00853A6E"/>
    <w:rsid w:val="00854454"/>
    <w:rsid w:val="00854ADC"/>
    <w:rsid w:val="00855E6D"/>
    <w:rsid w:val="008565F4"/>
    <w:rsid w:val="00856A31"/>
    <w:rsid w:val="008608DA"/>
    <w:rsid w:val="00860B58"/>
    <w:rsid w:val="00860C41"/>
    <w:rsid w:val="008610C7"/>
    <w:rsid w:val="00861635"/>
    <w:rsid w:val="00861EE6"/>
    <w:rsid w:val="00863657"/>
    <w:rsid w:val="00863D5E"/>
    <w:rsid w:val="00865E78"/>
    <w:rsid w:val="00865FA6"/>
    <w:rsid w:val="00867324"/>
    <w:rsid w:val="00867B37"/>
    <w:rsid w:val="00867BD0"/>
    <w:rsid w:val="00867F4B"/>
    <w:rsid w:val="008702EB"/>
    <w:rsid w:val="008718D7"/>
    <w:rsid w:val="008718DD"/>
    <w:rsid w:val="008740F3"/>
    <w:rsid w:val="008754D0"/>
    <w:rsid w:val="00875DA2"/>
    <w:rsid w:val="008767E7"/>
    <w:rsid w:val="0087770B"/>
    <w:rsid w:val="008808A0"/>
    <w:rsid w:val="0088178F"/>
    <w:rsid w:val="008818F0"/>
    <w:rsid w:val="00881BAB"/>
    <w:rsid w:val="00881C51"/>
    <w:rsid w:val="00882357"/>
    <w:rsid w:val="00883225"/>
    <w:rsid w:val="00884C31"/>
    <w:rsid w:val="008855C9"/>
    <w:rsid w:val="00885E13"/>
    <w:rsid w:val="00886456"/>
    <w:rsid w:val="008906C6"/>
    <w:rsid w:val="00890BAD"/>
    <w:rsid w:val="00890C5A"/>
    <w:rsid w:val="008945E0"/>
    <w:rsid w:val="008947DC"/>
    <w:rsid w:val="00895264"/>
    <w:rsid w:val="0089527F"/>
    <w:rsid w:val="008964BF"/>
    <w:rsid w:val="00897453"/>
    <w:rsid w:val="008A1FD2"/>
    <w:rsid w:val="008A2E5E"/>
    <w:rsid w:val="008A3065"/>
    <w:rsid w:val="008A362B"/>
    <w:rsid w:val="008A46E1"/>
    <w:rsid w:val="008A4A33"/>
    <w:rsid w:val="008A4F43"/>
    <w:rsid w:val="008A4FEF"/>
    <w:rsid w:val="008B2706"/>
    <w:rsid w:val="008B3F3B"/>
    <w:rsid w:val="008B4B57"/>
    <w:rsid w:val="008B51E1"/>
    <w:rsid w:val="008C0F29"/>
    <w:rsid w:val="008C4561"/>
    <w:rsid w:val="008C5DD0"/>
    <w:rsid w:val="008C61E1"/>
    <w:rsid w:val="008C7DB3"/>
    <w:rsid w:val="008D000A"/>
    <w:rsid w:val="008D0EE0"/>
    <w:rsid w:val="008D12F2"/>
    <w:rsid w:val="008D234E"/>
    <w:rsid w:val="008D2F49"/>
    <w:rsid w:val="008D2FE9"/>
    <w:rsid w:val="008D3422"/>
    <w:rsid w:val="008D3BD6"/>
    <w:rsid w:val="008D587C"/>
    <w:rsid w:val="008D5A05"/>
    <w:rsid w:val="008D65A0"/>
    <w:rsid w:val="008D660A"/>
    <w:rsid w:val="008D71F1"/>
    <w:rsid w:val="008D7D4A"/>
    <w:rsid w:val="008E0176"/>
    <w:rsid w:val="008E1A85"/>
    <w:rsid w:val="008E1F5B"/>
    <w:rsid w:val="008E287C"/>
    <w:rsid w:val="008E2D66"/>
    <w:rsid w:val="008E3B57"/>
    <w:rsid w:val="008E3F5D"/>
    <w:rsid w:val="008E5082"/>
    <w:rsid w:val="008E6067"/>
    <w:rsid w:val="008E62D0"/>
    <w:rsid w:val="008F1192"/>
    <w:rsid w:val="008F2C09"/>
    <w:rsid w:val="008F2F7A"/>
    <w:rsid w:val="008F3E1C"/>
    <w:rsid w:val="008F45CC"/>
    <w:rsid w:val="008F4827"/>
    <w:rsid w:val="008F54E7"/>
    <w:rsid w:val="008F5AD6"/>
    <w:rsid w:val="008F629A"/>
    <w:rsid w:val="009006AA"/>
    <w:rsid w:val="009006E5"/>
    <w:rsid w:val="009016BE"/>
    <w:rsid w:val="00901EBD"/>
    <w:rsid w:val="00903422"/>
    <w:rsid w:val="00903BA0"/>
    <w:rsid w:val="00907E08"/>
    <w:rsid w:val="009100D7"/>
    <w:rsid w:val="009100DE"/>
    <w:rsid w:val="0091288A"/>
    <w:rsid w:val="00912A58"/>
    <w:rsid w:val="00913683"/>
    <w:rsid w:val="00913A15"/>
    <w:rsid w:val="00913B9F"/>
    <w:rsid w:val="00914CC2"/>
    <w:rsid w:val="00915178"/>
    <w:rsid w:val="009157B9"/>
    <w:rsid w:val="00915DF9"/>
    <w:rsid w:val="009162DC"/>
    <w:rsid w:val="0092040A"/>
    <w:rsid w:val="00922143"/>
    <w:rsid w:val="009251FD"/>
    <w:rsid w:val="009254C3"/>
    <w:rsid w:val="009254E7"/>
    <w:rsid w:val="00925EAC"/>
    <w:rsid w:val="00926940"/>
    <w:rsid w:val="00930A0A"/>
    <w:rsid w:val="009312EF"/>
    <w:rsid w:val="00932377"/>
    <w:rsid w:val="00932409"/>
    <w:rsid w:val="009328A0"/>
    <w:rsid w:val="009337F1"/>
    <w:rsid w:val="00936FC3"/>
    <w:rsid w:val="00940960"/>
    <w:rsid w:val="00942A3E"/>
    <w:rsid w:val="00942B63"/>
    <w:rsid w:val="009437EB"/>
    <w:rsid w:val="00943B42"/>
    <w:rsid w:val="00943E1E"/>
    <w:rsid w:val="00944AD8"/>
    <w:rsid w:val="00944F4A"/>
    <w:rsid w:val="009454DB"/>
    <w:rsid w:val="009460DC"/>
    <w:rsid w:val="00946759"/>
    <w:rsid w:val="00947D5A"/>
    <w:rsid w:val="009504D0"/>
    <w:rsid w:val="009515D2"/>
    <w:rsid w:val="00952A0E"/>
    <w:rsid w:val="009531E8"/>
    <w:rsid w:val="009531EC"/>
    <w:rsid w:val="00953226"/>
    <w:rsid w:val="009532A5"/>
    <w:rsid w:val="00954A81"/>
    <w:rsid w:val="00954C29"/>
    <w:rsid w:val="00954F79"/>
    <w:rsid w:val="00955175"/>
    <w:rsid w:val="0095528E"/>
    <w:rsid w:val="009560F5"/>
    <w:rsid w:val="0096131F"/>
    <w:rsid w:val="00961436"/>
    <w:rsid w:val="009615E9"/>
    <w:rsid w:val="0096382C"/>
    <w:rsid w:val="00963B2B"/>
    <w:rsid w:val="00963CBA"/>
    <w:rsid w:val="0096542D"/>
    <w:rsid w:val="00966156"/>
    <w:rsid w:val="00966A4D"/>
    <w:rsid w:val="00966FB3"/>
    <w:rsid w:val="0096753E"/>
    <w:rsid w:val="00970B7B"/>
    <w:rsid w:val="00972DA3"/>
    <w:rsid w:val="00974181"/>
    <w:rsid w:val="00975E21"/>
    <w:rsid w:val="00977031"/>
    <w:rsid w:val="009772FE"/>
    <w:rsid w:val="00977983"/>
    <w:rsid w:val="00977EA3"/>
    <w:rsid w:val="00980B11"/>
    <w:rsid w:val="00982242"/>
    <w:rsid w:val="009852F6"/>
    <w:rsid w:val="00986162"/>
    <w:rsid w:val="009868E9"/>
    <w:rsid w:val="00986FC1"/>
    <w:rsid w:val="0098792D"/>
    <w:rsid w:val="009909CF"/>
    <w:rsid w:val="00991344"/>
    <w:rsid w:val="009913C3"/>
    <w:rsid w:val="00993BBA"/>
    <w:rsid w:val="009944E6"/>
    <w:rsid w:val="00996848"/>
    <w:rsid w:val="0099689C"/>
    <w:rsid w:val="00996FFB"/>
    <w:rsid w:val="00997D20"/>
    <w:rsid w:val="009A049D"/>
    <w:rsid w:val="009A0C73"/>
    <w:rsid w:val="009A1539"/>
    <w:rsid w:val="009A1AB6"/>
    <w:rsid w:val="009A203D"/>
    <w:rsid w:val="009A3A6F"/>
    <w:rsid w:val="009A3F74"/>
    <w:rsid w:val="009A49C9"/>
    <w:rsid w:val="009A511D"/>
    <w:rsid w:val="009A5477"/>
    <w:rsid w:val="009A6485"/>
    <w:rsid w:val="009A66B1"/>
    <w:rsid w:val="009B09E8"/>
    <w:rsid w:val="009B241C"/>
    <w:rsid w:val="009B53A9"/>
    <w:rsid w:val="009B6A1D"/>
    <w:rsid w:val="009C0D3D"/>
    <w:rsid w:val="009C185C"/>
    <w:rsid w:val="009C46D0"/>
    <w:rsid w:val="009C4FD2"/>
    <w:rsid w:val="009C525F"/>
    <w:rsid w:val="009C579F"/>
    <w:rsid w:val="009C6AA2"/>
    <w:rsid w:val="009D1818"/>
    <w:rsid w:val="009D195A"/>
    <w:rsid w:val="009D4D2A"/>
    <w:rsid w:val="009D5837"/>
    <w:rsid w:val="009D7993"/>
    <w:rsid w:val="009E2CED"/>
    <w:rsid w:val="009E5CFC"/>
    <w:rsid w:val="009E61DC"/>
    <w:rsid w:val="009E75A7"/>
    <w:rsid w:val="009F01E6"/>
    <w:rsid w:val="009F1D39"/>
    <w:rsid w:val="009F297A"/>
    <w:rsid w:val="009F3F9D"/>
    <w:rsid w:val="00A00812"/>
    <w:rsid w:val="00A00F6C"/>
    <w:rsid w:val="00A01200"/>
    <w:rsid w:val="00A03AF1"/>
    <w:rsid w:val="00A058E2"/>
    <w:rsid w:val="00A06921"/>
    <w:rsid w:val="00A07983"/>
    <w:rsid w:val="00A079CB"/>
    <w:rsid w:val="00A11B09"/>
    <w:rsid w:val="00A12128"/>
    <w:rsid w:val="00A127ED"/>
    <w:rsid w:val="00A12911"/>
    <w:rsid w:val="00A12D56"/>
    <w:rsid w:val="00A12F48"/>
    <w:rsid w:val="00A131B1"/>
    <w:rsid w:val="00A14489"/>
    <w:rsid w:val="00A14F6A"/>
    <w:rsid w:val="00A152BE"/>
    <w:rsid w:val="00A15512"/>
    <w:rsid w:val="00A15B9C"/>
    <w:rsid w:val="00A206AC"/>
    <w:rsid w:val="00A209FF"/>
    <w:rsid w:val="00A21BD1"/>
    <w:rsid w:val="00A2216E"/>
    <w:rsid w:val="00A22B59"/>
    <w:rsid w:val="00A22C98"/>
    <w:rsid w:val="00A22F37"/>
    <w:rsid w:val="00A231E2"/>
    <w:rsid w:val="00A2339C"/>
    <w:rsid w:val="00A24367"/>
    <w:rsid w:val="00A258B8"/>
    <w:rsid w:val="00A265F8"/>
    <w:rsid w:val="00A273BF"/>
    <w:rsid w:val="00A3038C"/>
    <w:rsid w:val="00A323EB"/>
    <w:rsid w:val="00A33D55"/>
    <w:rsid w:val="00A340A5"/>
    <w:rsid w:val="00A34412"/>
    <w:rsid w:val="00A3482C"/>
    <w:rsid w:val="00A34D6D"/>
    <w:rsid w:val="00A3507D"/>
    <w:rsid w:val="00A35580"/>
    <w:rsid w:val="00A36853"/>
    <w:rsid w:val="00A40424"/>
    <w:rsid w:val="00A40C03"/>
    <w:rsid w:val="00A41F4E"/>
    <w:rsid w:val="00A43FE5"/>
    <w:rsid w:val="00A44C99"/>
    <w:rsid w:val="00A4564A"/>
    <w:rsid w:val="00A459B0"/>
    <w:rsid w:val="00A45BA3"/>
    <w:rsid w:val="00A46055"/>
    <w:rsid w:val="00A46416"/>
    <w:rsid w:val="00A4657C"/>
    <w:rsid w:val="00A46717"/>
    <w:rsid w:val="00A47C5E"/>
    <w:rsid w:val="00A51D1F"/>
    <w:rsid w:val="00A52246"/>
    <w:rsid w:val="00A52821"/>
    <w:rsid w:val="00A52B0F"/>
    <w:rsid w:val="00A52EA6"/>
    <w:rsid w:val="00A53CED"/>
    <w:rsid w:val="00A5632E"/>
    <w:rsid w:val="00A56A17"/>
    <w:rsid w:val="00A56E46"/>
    <w:rsid w:val="00A57418"/>
    <w:rsid w:val="00A60BCB"/>
    <w:rsid w:val="00A63813"/>
    <w:rsid w:val="00A647CF"/>
    <w:rsid w:val="00A64912"/>
    <w:rsid w:val="00A65CED"/>
    <w:rsid w:val="00A669EB"/>
    <w:rsid w:val="00A66C95"/>
    <w:rsid w:val="00A67070"/>
    <w:rsid w:val="00A67F5C"/>
    <w:rsid w:val="00A70A74"/>
    <w:rsid w:val="00A717AD"/>
    <w:rsid w:val="00A73294"/>
    <w:rsid w:val="00A74A1A"/>
    <w:rsid w:val="00A7612B"/>
    <w:rsid w:val="00A76349"/>
    <w:rsid w:val="00A76D31"/>
    <w:rsid w:val="00A810B8"/>
    <w:rsid w:val="00A818DE"/>
    <w:rsid w:val="00A81EF6"/>
    <w:rsid w:val="00A824D2"/>
    <w:rsid w:val="00A825F2"/>
    <w:rsid w:val="00A8305D"/>
    <w:rsid w:val="00A83361"/>
    <w:rsid w:val="00A841C6"/>
    <w:rsid w:val="00A84C65"/>
    <w:rsid w:val="00A8614A"/>
    <w:rsid w:val="00A86A31"/>
    <w:rsid w:val="00A91966"/>
    <w:rsid w:val="00A91A4E"/>
    <w:rsid w:val="00A922F8"/>
    <w:rsid w:val="00A92782"/>
    <w:rsid w:val="00A92ADF"/>
    <w:rsid w:val="00A9436A"/>
    <w:rsid w:val="00A968FF"/>
    <w:rsid w:val="00AA1B9B"/>
    <w:rsid w:val="00AA2DA1"/>
    <w:rsid w:val="00AA3F06"/>
    <w:rsid w:val="00AA66AC"/>
    <w:rsid w:val="00AA6DBA"/>
    <w:rsid w:val="00AA73EA"/>
    <w:rsid w:val="00AB01F4"/>
    <w:rsid w:val="00AB1626"/>
    <w:rsid w:val="00AB1DE8"/>
    <w:rsid w:val="00AB3E59"/>
    <w:rsid w:val="00AB69D9"/>
    <w:rsid w:val="00AB76C5"/>
    <w:rsid w:val="00AB7B2D"/>
    <w:rsid w:val="00AB7B53"/>
    <w:rsid w:val="00AC0886"/>
    <w:rsid w:val="00AC0F43"/>
    <w:rsid w:val="00AC36E8"/>
    <w:rsid w:val="00AC4B86"/>
    <w:rsid w:val="00AC5576"/>
    <w:rsid w:val="00AC63C2"/>
    <w:rsid w:val="00AC6692"/>
    <w:rsid w:val="00AC6FF3"/>
    <w:rsid w:val="00AC7523"/>
    <w:rsid w:val="00AC7762"/>
    <w:rsid w:val="00AD02B8"/>
    <w:rsid w:val="00AD18BD"/>
    <w:rsid w:val="00AD1F73"/>
    <w:rsid w:val="00AD24DB"/>
    <w:rsid w:val="00AD2A58"/>
    <w:rsid w:val="00AD2DE7"/>
    <w:rsid w:val="00AD371E"/>
    <w:rsid w:val="00AD3DC8"/>
    <w:rsid w:val="00AD481D"/>
    <w:rsid w:val="00AD5315"/>
    <w:rsid w:val="00AD5641"/>
    <w:rsid w:val="00AD6897"/>
    <w:rsid w:val="00AD70BA"/>
    <w:rsid w:val="00AD7889"/>
    <w:rsid w:val="00AE082D"/>
    <w:rsid w:val="00AE09EC"/>
    <w:rsid w:val="00AE2614"/>
    <w:rsid w:val="00AE360F"/>
    <w:rsid w:val="00AE3B02"/>
    <w:rsid w:val="00AE47A7"/>
    <w:rsid w:val="00AE4C04"/>
    <w:rsid w:val="00AE787B"/>
    <w:rsid w:val="00AE7927"/>
    <w:rsid w:val="00AE7A69"/>
    <w:rsid w:val="00AF021B"/>
    <w:rsid w:val="00AF06CF"/>
    <w:rsid w:val="00AF130D"/>
    <w:rsid w:val="00AF4733"/>
    <w:rsid w:val="00AF618E"/>
    <w:rsid w:val="00AF6DF9"/>
    <w:rsid w:val="00AF76B9"/>
    <w:rsid w:val="00AF7AE8"/>
    <w:rsid w:val="00B00B96"/>
    <w:rsid w:val="00B00D54"/>
    <w:rsid w:val="00B0160B"/>
    <w:rsid w:val="00B03214"/>
    <w:rsid w:val="00B0375A"/>
    <w:rsid w:val="00B04305"/>
    <w:rsid w:val="00B07CDB"/>
    <w:rsid w:val="00B107B2"/>
    <w:rsid w:val="00B10987"/>
    <w:rsid w:val="00B11420"/>
    <w:rsid w:val="00B11AD3"/>
    <w:rsid w:val="00B129D9"/>
    <w:rsid w:val="00B12C45"/>
    <w:rsid w:val="00B13695"/>
    <w:rsid w:val="00B13BA1"/>
    <w:rsid w:val="00B13E17"/>
    <w:rsid w:val="00B15A7B"/>
    <w:rsid w:val="00B16A31"/>
    <w:rsid w:val="00B16C84"/>
    <w:rsid w:val="00B17126"/>
    <w:rsid w:val="00B17231"/>
    <w:rsid w:val="00B17DFD"/>
    <w:rsid w:val="00B21F1B"/>
    <w:rsid w:val="00B22D05"/>
    <w:rsid w:val="00B2374B"/>
    <w:rsid w:val="00B24607"/>
    <w:rsid w:val="00B24D1C"/>
    <w:rsid w:val="00B25553"/>
    <w:rsid w:val="00B257CD"/>
    <w:rsid w:val="00B2799B"/>
    <w:rsid w:val="00B2799D"/>
    <w:rsid w:val="00B308FE"/>
    <w:rsid w:val="00B30EBE"/>
    <w:rsid w:val="00B3205E"/>
    <w:rsid w:val="00B3206D"/>
    <w:rsid w:val="00B329A6"/>
    <w:rsid w:val="00B32C1D"/>
    <w:rsid w:val="00B33709"/>
    <w:rsid w:val="00B33B3C"/>
    <w:rsid w:val="00B33BD1"/>
    <w:rsid w:val="00B34BB8"/>
    <w:rsid w:val="00B35437"/>
    <w:rsid w:val="00B37F14"/>
    <w:rsid w:val="00B400AD"/>
    <w:rsid w:val="00B41D4F"/>
    <w:rsid w:val="00B43316"/>
    <w:rsid w:val="00B43AE9"/>
    <w:rsid w:val="00B4412A"/>
    <w:rsid w:val="00B451AB"/>
    <w:rsid w:val="00B4741D"/>
    <w:rsid w:val="00B50ADC"/>
    <w:rsid w:val="00B50B48"/>
    <w:rsid w:val="00B50ECA"/>
    <w:rsid w:val="00B5275F"/>
    <w:rsid w:val="00B53E3B"/>
    <w:rsid w:val="00B54997"/>
    <w:rsid w:val="00B554CB"/>
    <w:rsid w:val="00B55A84"/>
    <w:rsid w:val="00B566B1"/>
    <w:rsid w:val="00B56A2B"/>
    <w:rsid w:val="00B56A7B"/>
    <w:rsid w:val="00B5737D"/>
    <w:rsid w:val="00B577C8"/>
    <w:rsid w:val="00B57B1A"/>
    <w:rsid w:val="00B60AF5"/>
    <w:rsid w:val="00B6157E"/>
    <w:rsid w:val="00B61931"/>
    <w:rsid w:val="00B61982"/>
    <w:rsid w:val="00B62F64"/>
    <w:rsid w:val="00B63834"/>
    <w:rsid w:val="00B638CF"/>
    <w:rsid w:val="00B66967"/>
    <w:rsid w:val="00B70193"/>
    <w:rsid w:val="00B70254"/>
    <w:rsid w:val="00B72734"/>
    <w:rsid w:val="00B72FF0"/>
    <w:rsid w:val="00B7328F"/>
    <w:rsid w:val="00B74B86"/>
    <w:rsid w:val="00B7540B"/>
    <w:rsid w:val="00B76B9B"/>
    <w:rsid w:val="00B77168"/>
    <w:rsid w:val="00B77A5D"/>
    <w:rsid w:val="00B80199"/>
    <w:rsid w:val="00B80F68"/>
    <w:rsid w:val="00B822AC"/>
    <w:rsid w:val="00B82D81"/>
    <w:rsid w:val="00B82E25"/>
    <w:rsid w:val="00B83204"/>
    <w:rsid w:val="00B84149"/>
    <w:rsid w:val="00B84324"/>
    <w:rsid w:val="00B85B7E"/>
    <w:rsid w:val="00B866C1"/>
    <w:rsid w:val="00B87048"/>
    <w:rsid w:val="00B90BB2"/>
    <w:rsid w:val="00B9126E"/>
    <w:rsid w:val="00B91A4B"/>
    <w:rsid w:val="00B94158"/>
    <w:rsid w:val="00B94D87"/>
    <w:rsid w:val="00B95BD3"/>
    <w:rsid w:val="00BA12F5"/>
    <w:rsid w:val="00BA1A24"/>
    <w:rsid w:val="00BA215C"/>
    <w:rsid w:val="00BA220B"/>
    <w:rsid w:val="00BA245D"/>
    <w:rsid w:val="00BA2BA3"/>
    <w:rsid w:val="00BA303B"/>
    <w:rsid w:val="00BA3A57"/>
    <w:rsid w:val="00BA52EB"/>
    <w:rsid w:val="00BA6A71"/>
    <w:rsid w:val="00BB0C86"/>
    <w:rsid w:val="00BB3279"/>
    <w:rsid w:val="00BB3446"/>
    <w:rsid w:val="00BB352C"/>
    <w:rsid w:val="00BB383E"/>
    <w:rsid w:val="00BB3F9E"/>
    <w:rsid w:val="00BB44B5"/>
    <w:rsid w:val="00BB4E1A"/>
    <w:rsid w:val="00BB4FF9"/>
    <w:rsid w:val="00BB5C17"/>
    <w:rsid w:val="00BB6A0B"/>
    <w:rsid w:val="00BB6CAE"/>
    <w:rsid w:val="00BC014C"/>
    <w:rsid w:val="00BC015E"/>
    <w:rsid w:val="00BC01B3"/>
    <w:rsid w:val="00BC2431"/>
    <w:rsid w:val="00BC34CE"/>
    <w:rsid w:val="00BC3E9E"/>
    <w:rsid w:val="00BC50E8"/>
    <w:rsid w:val="00BC663B"/>
    <w:rsid w:val="00BC6998"/>
    <w:rsid w:val="00BC7183"/>
    <w:rsid w:val="00BC7281"/>
    <w:rsid w:val="00BC76AC"/>
    <w:rsid w:val="00BD0ECB"/>
    <w:rsid w:val="00BD34A6"/>
    <w:rsid w:val="00BD4C5F"/>
    <w:rsid w:val="00BD5F2E"/>
    <w:rsid w:val="00BE150B"/>
    <w:rsid w:val="00BE2155"/>
    <w:rsid w:val="00BE2213"/>
    <w:rsid w:val="00BE2F64"/>
    <w:rsid w:val="00BE2FDD"/>
    <w:rsid w:val="00BE3DB2"/>
    <w:rsid w:val="00BE3EFD"/>
    <w:rsid w:val="00BE56CE"/>
    <w:rsid w:val="00BE6A25"/>
    <w:rsid w:val="00BE6EF9"/>
    <w:rsid w:val="00BE719A"/>
    <w:rsid w:val="00BE720A"/>
    <w:rsid w:val="00BE7649"/>
    <w:rsid w:val="00BF01EA"/>
    <w:rsid w:val="00BF07C8"/>
    <w:rsid w:val="00BF0AA7"/>
    <w:rsid w:val="00BF0D73"/>
    <w:rsid w:val="00BF185B"/>
    <w:rsid w:val="00BF2465"/>
    <w:rsid w:val="00BF28CC"/>
    <w:rsid w:val="00BF2BC1"/>
    <w:rsid w:val="00BF42DC"/>
    <w:rsid w:val="00BF4456"/>
    <w:rsid w:val="00BF759D"/>
    <w:rsid w:val="00BF75C9"/>
    <w:rsid w:val="00C0039A"/>
    <w:rsid w:val="00C01290"/>
    <w:rsid w:val="00C01A84"/>
    <w:rsid w:val="00C01D8A"/>
    <w:rsid w:val="00C033D6"/>
    <w:rsid w:val="00C0544A"/>
    <w:rsid w:val="00C05889"/>
    <w:rsid w:val="00C05B7F"/>
    <w:rsid w:val="00C05E37"/>
    <w:rsid w:val="00C11452"/>
    <w:rsid w:val="00C11B25"/>
    <w:rsid w:val="00C1220A"/>
    <w:rsid w:val="00C125B9"/>
    <w:rsid w:val="00C12777"/>
    <w:rsid w:val="00C1355C"/>
    <w:rsid w:val="00C14A44"/>
    <w:rsid w:val="00C17457"/>
    <w:rsid w:val="00C17EBD"/>
    <w:rsid w:val="00C20916"/>
    <w:rsid w:val="00C20A24"/>
    <w:rsid w:val="00C215A9"/>
    <w:rsid w:val="00C21C02"/>
    <w:rsid w:val="00C22663"/>
    <w:rsid w:val="00C2344C"/>
    <w:rsid w:val="00C25E7F"/>
    <w:rsid w:val="00C25F1E"/>
    <w:rsid w:val="00C26E10"/>
    <w:rsid w:val="00C2746F"/>
    <w:rsid w:val="00C2768A"/>
    <w:rsid w:val="00C278B6"/>
    <w:rsid w:val="00C27CC8"/>
    <w:rsid w:val="00C300AD"/>
    <w:rsid w:val="00C30500"/>
    <w:rsid w:val="00C31061"/>
    <w:rsid w:val="00C324A0"/>
    <w:rsid w:val="00C3300F"/>
    <w:rsid w:val="00C33309"/>
    <w:rsid w:val="00C3475E"/>
    <w:rsid w:val="00C34E77"/>
    <w:rsid w:val="00C35592"/>
    <w:rsid w:val="00C355D8"/>
    <w:rsid w:val="00C35875"/>
    <w:rsid w:val="00C35C59"/>
    <w:rsid w:val="00C35DAF"/>
    <w:rsid w:val="00C35F6B"/>
    <w:rsid w:val="00C40F71"/>
    <w:rsid w:val="00C4170B"/>
    <w:rsid w:val="00C42591"/>
    <w:rsid w:val="00C4294F"/>
    <w:rsid w:val="00C42BF8"/>
    <w:rsid w:val="00C42F0A"/>
    <w:rsid w:val="00C4442F"/>
    <w:rsid w:val="00C45171"/>
    <w:rsid w:val="00C47822"/>
    <w:rsid w:val="00C50043"/>
    <w:rsid w:val="00C50B97"/>
    <w:rsid w:val="00C52016"/>
    <w:rsid w:val="00C52019"/>
    <w:rsid w:val="00C5231F"/>
    <w:rsid w:val="00C52E7C"/>
    <w:rsid w:val="00C532C3"/>
    <w:rsid w:val="00C566B8"/>
    <w:rsid w:val="00C615DB"/>
    <w:rsid w:val="00C6318A"/>
    <w:rsid w:val="00C64278"/>
    <w:rsid w:val="00C6434E"/>
    <w:rsid w:val="00C64E78"/>
    <w:rsid w:val="00C65EC9"/>
    <w:rsid w:val="00C6635D"/>
    <w:rsid w:val="00C66DD5"/>
    <w:rsid w:val="00C67EBA"/>
    <w:rsid w:val="00C7098A"/>
    <w:rsid w:val="00C70CA8"/>
    <w:rsid w:val="00C72BBB"/>
    <w:rsid w:val="00C73BE0"/>
    <w:rsid w:val="00C74787"/>
    <w:rsid w:val="00C74B27"/>
    <w:rsid w:val="00C75060"/>
    <w:rsid w:val="00C7573B"/>
    <w:rsid w:val="00C759AA"/>
    <w:rsid w:val="00C75C60"/>
    <w:rsid w:val="00C766CF"/>
    <w:rsid w:val="00C76887"/>
    <w:rsid w:val="00C7761F"/>
    <w:rsid w:val="00C819BC"/>
    <w:rsid w:val="00C822C7"/>
    <w:rsid w:val="00C8279B"/>
    <w:rsid w:val="00C8303B"/>
    <w:rsid w:val="00C84396"/>
    <w:rsid w:val="00C84435"/>
    <w:rsid w:val="00C86590"/>
    <w:rsid w:val="00C86B32"/>
    <w:rsid w:val="00C90FEE"/>
    <w:rsid w:val="00C92D8F"/>
    <w:rsid w:val="00C930BA"/>
    <w:rsid w:val="00C93C03"/>
    <w:rsid w:val="00C94490"/>
    <w:rsid w:val="00C94FE2"/>
    <w:rsid w:val="00C95BC8"/>
    <w:rsid w:val="00C97215"/>
    <w:rsid w:val="00CA0B66"/>
    <w:rsid w:val="00CA0D16"/>
    <w:rsid w:val="00CA133C"/>
    <w:rsid w:val="00CA20EE"/>
    <w:rsid w:val="00CA32BA"/>
    <w:rsid w:val="00CA3404"/>
    <w:rsid w:val="00CA66DC"/>
    <w:rsid w:val="00CA690E"/>
    <w:rsid w:val="00CA71F3"/>
    <w:rsid w:val="00CA769E"/>
    <w:rsid w:val="00CA7ABE"/>
    <w:rsid w:val="00CB047C"/>
    <w:rsid w:val="00CB113D"/>
    <w:rsid w:val="00CB25BD"/>
    <w:rsid w:val="00CB2714"/>
    <w:rsid w:val="00CB2C06"/>
    <w:rsid w:val="00CB2C8E"/>
    <w:rsid w:val="00CB2D96"/>
    <w:rsid w:val="00CB40C8"/>
    <w:rsid w:val="00CB5478"/>
    <w:rsid w:val="00CB5B28"/>
    <w:rsid w:val="00CB5E3D"/>
    <w:rsid w:val="00CB602E"/>
    <w:rsid w:val="00CC0AA2"/>
    <w:rsid w:val="00CC2DE4"/>
    <w:rsid w:val="00CC533D"/>
    <w:rsid w:val="00CC5E1C"/>
    <w:rsid w:val="00CC5EFA"/>
    <w:rsid w:val="00CD002A"/>
    <w:rsid w:val="00CD0A19"/>
    <w:rsid w:val="00CD1933"/>
    <w:rsid w:val="00CD2E90"/>
    <w:rsid w:val="00CD410D"/>
    <w:rsid w:val="00CD5817"/>
    <w:rsid w:val="00CE0149"/>
    <w:rsid w:val="00CE051D"/>
    <w:rsid w:val="00CE1335"/>
    <w:rsid w:val="00CE1AF5"/>
    <w:rsid w:val="00CE28FF"/>
    <w:rsid w:val="00CE3283"/>
    <w:rsid w:val="00CE3D2A"/>
    <w:rsid w:val="00CE493D"/>
    <w:rsid w:val="00CE541A"/>
    <w:rsid w:val="00CE6D42"/>
    <w:rsid w:val="00CE76A4"/>
    <w:rsid w:val="00CE781E"/>
    <w:rsid w:val="00CE7E98"/>
    <w:rsid w:val="00CF0367"/>
    <w:rsid w:val="00CF07FA"/>
    <w:rsid w:val="00CF0BB2"/>
    <w:rsid w:val="00CF2E98"/>
    <w:rsid w:val="00CF3D95"/>
    <w:rsid w:val="00CF3EE8"/>
    <w:rsid w:val="00CF5313"/>
    <w:rsid w:val="00CF582B"/>
    <w:rsid w:val="00CF5A1E"/>
    <w:rsid w:val="00CF5C8E"/>
    <w:rsid w:val="00CF65E4"/>
    <w:rsid w:val="00CF7C7D"/>
    <w:rsid w:val="00CF7C92"/>
    <w:rsid w:val="00D02CBF"/>
    <w:rsid w:val="00D02F79"/>
    <w:rsid w:val="00D044ED"/>
    <w:rsid w:val="00D050E6"/>
    <w:rsid w:val="00D06521"/>
    <w:rsid w:val="00D06B5C"/>
    <w:rsid w:val="00D07E20"/>
    <w:rsid w:val="00D07FD8"/>
    <w:rsid w:val="00D11CFF"/>
    <w:rsid w:val="00D12467"/>
    <w:rsid w:val="00D12CBA"/>
    <w:rsid w:val="00D13441"/>
    <w:rsid w:val="00D14D33"/>
    <w:rsid w:val="00D150E7"/>
    <w:rsid w:val="00D15463"/>
    <w:rsid w:val="00D17ACF"/>
    <w:rsid w:val="00D20A4B"/>
    <w:rsid w:val="00D21131"/>
    <w:rsid w:val="00D21AD8"/>
    <w:rsid w:val="00D22F31"/>
    <w:rsid w:val="00D24347"/>
    <w:rsid w:val="00D2518D"/>
    <w:rsid w:val="00D27F5F"/>
    <w:rsid w:val="00D306F8"/>
    <w:rsid w:val="00D30A0C"/>
    <w:rsid w:val="00D32F65"/>
    <w:rsid w:val="00D33040"/>
    <w:rsid w:val="00D33F7A"/>
    <w:rsid w:val="00D341C4"/>
    <w:rsid w:val="00D36A97"/>
    <w:rsid w:val="00D37D03"/>
    <w:rsid w:val="00D42B6A"/>
    <w:rsid w:val="00D45F91"/>
    <w:rsid w:val="00D4784E"/>
    <w:rsid w:val="00D50A9C"/>
    <w:rsid w:val="00D51EE8"/>
    <w:rsid w:val="00D52641"/>
    <w:rsid w:val="00D52DC2"/>
    <w:rsid w:val="00D52E8C"/>
    <w:rsid w:val="00D5341E"/>
    <w:rsid w:val="00D53BCC"/>
    <w:rsid w:val="00D54E61"/>
    <w:rsid w:val="00D551D8"/>
    <w:rsid w:val="00D556BB"/>
    <w:rsid w:val="00D557C0"/>
    <w:rsid w:val="00D55FBE"/>
    <w:rsid w:val="00D56071"/>
    <w:rsid w:val="00D570BE"/>
    <w:rsid w:val="00D6046D"/>
    <w:rsid w:val="00D60D1E"/>
    <w:rsid w:val="00D61441"/>
    <w:rsid w:val="00D62C55"/>
    <w:rsid w:val="00D62F65"/>
    <w:rsid w:val="00D648BB"/>
    <w:rsid w:val="00D673A3"/>
    <w:rsid w:val="00D67479"/>
    <w:rsid w:val="00D67D15"/>
    <w:rsid w:val="00D702DE"/>
    <w:rsid w:val="00D70678"/>
    <w:rsid w:val="00D7084A"/>
    <w:rsid w:val="00D70DFB"/>
    <w:rsid w:val="00D72377"/>
    <w:rsid w:val="00D732EC"/>
    <w:rsid w:val="00D73432"/>
    <w:rsid w:val="00D73C22"/>
    <w:rsid w:val="00D7568C"/>
    <w:rsid w:val="00D766DF"/>
    <w:rsid w:val="00D813EB"/>
    <w:rsid w:val="00D82031"/>
    <w:rsid w:val="00D82235"/>
    <w:rsid w:val="00D82F45"/>
    <w:rsid w:val="00D83193"/>
    <w:rsid w:val="00D831A2"/>
    <w:rsid w:val="00D832EA"/>
    <w:rsid w:val="00D84E16"/>
    <w:rsid w:val="00D8790C"/>
    <w:rsid w:val="00D87F69"/>
    <w:rsid w:val="00D90E25"/>
    <w:rsid w:val="00D92D2D"/>
    <w:rsid w:val="00D93B21"/>
    <w:rsid w:val="00D9449D"/>
    <w:rsid w:val="00D94602"/>
    <w:rsid w:val="00D94C22"/>
    <w:rsid w:val="00D95862"/>
    <w:rsid w:val="00D95F7C"/>
    <w:rsid w:val="00D96B2B"/>
    <w:rsid w:val="00DA1150"/>
    <w:rsid w:val="00DA186E"/>
    <w:rsid w:val="00DA1C61"/>
    <w:rsid w:val="00DA2442"/>
    <w:rsid w:val="00DA3559"/>
    <w:rsid w:val="00DA4116"/>
    <w:rsid w:val="00DA5388"/>
    <w:rsid w:val="00DA682C"/>
    <w:rsid w:val="00DA6A09"/>
    <w:rsid w:val="00DB0347"/>
    <w:rsid w:val="00DB1A5E"/>
    <w:rsid w:val="00DB1CC8"/>
    <w:rsid w:val="00DB251C"/>
    <w:rsid w:val="00DB30CC"/>
    <w:rsid w:val="00DB353D"/>
    <w:rsid w:val="00DB38AD"/>
    <w:rsid w:val="00DB4630"/>
    <w:rsid w:val="00DB6498"/>
    <w:rsid w:val="00DB669C"/>
    <w:rsid w:val="00DB6C2C"/>
    <w:rsid w:val="00DC037D"/>
    <w:rsid w:val="00DC2907"/>
    <w:rsid w:val="00DC32AB"/>
    <w:rsid w:val="00DC3C81"/>
    <w:rsid w:val="00DC4445"/>
    <w:rsid w:val="00DC4683"/>
    <w:rsid w:val="00DC4F88"/>
    <w:rsid w:val="00DC556B"/>
    <w:rsid w:val="00DC67EF"/>
    <w:rsid w:val="00DC6F1C"/>
    <w:rsid w:val="00DD0125"/>
    <w:rsid w:val="00DD136A"/>
    <w:rsid w:val="00DD1B6C"/>
    <w:rsid w:val="00DD207D"/>
    <w:rsid w:val="00DD2BC8"/>
    <w:rsid w:val="00DD45D3"/>
    <w:rsid w:val="00DE0309"/>
    <w:rsid w:val="00DE05FD"/>
    <w:rsid w:val="00DE0745"/>
    <w:rsid w:val="00DE0A85"/>
    <w:rsid w:val="00DE0D7B"/>
    <w:rsid w:val="00DE0E91"/>
    <w:rsid w:val="00DE1435"/>
    <w:rsid w:val="00DE1490"/>
    <w:rsid w:val="00DE2E31"/>
    <w:rsid w:val="00DE317A"/>
    <w:rsid w:val="00DE48EA"/>
    <w:rsid w:val="00DE4C5B"/>
    <w:rsid w:val="00DE6549"/>
    <w:rsid w:val="00DE79F9"/>
    <w:rsid w:val="00DF0487"/>
    <w:rsid w:val="00DF0C66"/>
    <w:rsid w:val="00DF1835"/>
    <w:rsid w:val="00DF5B92"/>
    <w:rsid w:val="00DF7ED4"/>
    <w:rsid w:val="00E008BE"/>
    <w:rsid w:val="00E00D01"/>
    <w:rsid w:val="00E02080"/>
    <w:rsid w:val="00E02F16"/>
    <w:rsid w:val="00E03A2D"/>
    <w:rsid w:val="00E03DBF"/>
    <w:rsid w:val="00E04D84"/>
    <w:rsid w:val="00E0506F"/>
    <w:rsid w:val="00E05265"/>
    <w:rsid w:val="00E05704"/>
    <w:rsid w:val="00E05DF4"/>
    <w:rsid w:val="00E0641B"/>
    <w:rsid w:val="00E06CC3"/>
    <w:rsid w:val="00E10B40"/>
    <w:rsid w:val="00E11E44"/>
    <w:rsid w:val="00E11E5B"/>
    <w:rsid w:val="00E13767"/>
    <w:rsid w:val="00E13AFA"/>
    <w:rsid w:val="00E15DFF"/>
    <w:rsid w:val="00E17784"/>
    <w:rsid w:val="00E2091A"/>
    <w:rsid w:val="00E2168B"/>
    <w:rsid w:val="00E21F03"/>
    <w:rsid w:val="00E22D24"/>
    <w:rsid w:val="00E2334C"/>
    <w:rsid w:val="00E23FE7"/>
    <w:rsid w:val="00E24D7D"/>
    <w:rsid w:val="00E24ECE"/>
    <w:rsid w:val="00E2585D"/>
    <w:rsid w:val="00E26437"/>
    <w:rsid w:val="00E301FC"/>
    <w:rsid w:val="00E3097B"/>
    <w:rsid w:val="00E32AA4"/>
    <w:rsid w:val="00E3356A"/>
    <w:rsid w:val="00E338EF"/>
    <w:rsid w:val="00E33B2D"/>
    <w:rsid w:val="00E33BB3"/>
    <w:rsid w:val="00E355BF"/>
    <w:rsid w:val="00E373C6"/>
    <w:rsid w:val="00E375BD"/>
    <w:rsid w:val="00E40FF8"/>
    <w:rsid w:val="00E4290F"/>
    <w:rsid w:val="00E42DF5"/>
    <w:rsid w:val="00E431DF"/>
    <w:rsid w:val="00E43B62"/>
    <w:rsid w:val="00E44CFF"/>
    <w:rsid w:val="00E455B3"/>
    <w:rsid w:val="00E46305"/>
    <w:rsid w:val="00E46704"/>
    <w:rsid w:val="00E46923"/>
    <w:rsid w:val="00E47233"/>
    <w:rsid w:val="00E47450"/>
    <w:rsid w:val="00E544BB"/>
    <w:rsid w:val="00E54D89"/>
    <w:rsid w:val="00E5581E"/>
    <w:rsid w:val="00E559F5"/>
    <w:rsid w:val="00E566A7"/>
    <w:rsid w:val="00E57884"/>
    <w:rsid w:val="00E578EC"/>
    <w:rsid w:val="00E600C5"/>
    <w:rsid w:val="00E60423"/>
    <w:rsid w:val="00E6167F"/>
    <w:rsid w:val="00E620EA"/>
    <w:rsid w:val="00E63FE6"/>
    <w:rsid w:val="00E6466C"/>
    <w:rsid w:val="00E647AA"/>
    <w:rsid w:val="00E649D7"/>
    <w:rsid w:val="00E662CB"/>
    <w:rsid w:val="00E66A15"/>
    <w:rsid w:val="00E67597"/>
    <w:rsid w:val="00E700E6"/>
    <w:rsid w:val="00E70B2D"/>
    <w:rsid w:val="00E725D6"/>
    <w:rsid w:val="00E73252"/>
    <w:rsid w:val="00E74DC7"/>
    <w:rsid w:val="00E7617A"/>
    <w:rsid w:val="00E7624B"/>
    <w:rsid w:val="00E8075A"/>
    <w:rsid w:val="00E80772"/>
    <w:rsid w:val="00E818A6"/>
    <w:rsid w:val="00E81DB7"/>
    <w:rsid w:val="00E85A91"/>
    <w:rsid w:val="00E86803"/>
    <w:rsid w:val="00E87524"/>
    <w:rsid w:val="00E87718"/>
    <w:rsid w:val="00E87EC7"/>
    <w:rsid w:val="00E902EC"/>
    <w:rsid w:val="00E9469C"/>
    <w:rsid w:val="00E94BDE"/>
    <w:rsid w:val="00E94D5E"/>
    <w:rsid w:val="00E950BE"/>
    <w:rsid w:val="00E95249"/>
    <w:rsid w:val="00E9558B"/>
    <w:rsid w:val="00E9732B"/>
    <w:rsid w:val="00E976C5"/>
    <w:rsid w:val="00EA0BF6"/>
    <w:rsid w:val="00EA17A6"/>
    <w:rsid w:val="00EA29AB"/>
    <w:rsid w:val="00EA41ED"/>
    <w:rsid w:val="00EA5B78"/>
    <w:rsid w:val="00EA5FA9"/>
    <w:rsid w:val="00EA6190"/>
    <w:rsid w:val="00EA62AA"/>
    <w:rsid w:val="00EA66D8"/>
    <w:rsid w:val="00EA68BA"/>
    <w:rsid w:val="00EA7100"/>
    <w:rsid w:val="00EA7F9F"/>
    <w:rsid w:val="00EB058F"/>
    <w:rsid w:val="00EB0631"/>
    <w:rsid w:val="00EB0E70"/>
    <w:rsid w:val="00EB116A"/>
    <w:rsid w:val="00EB1274"/>
    <w:rsid w:val="00EB1767"/>
    <w:rsid w:val="00EB2FA6"/>
    <w:rsid w:val="00EB4D3D"/>
    <w:rsid w:val="00EB563F"/>
    <w:rsid w:val="00EB5DC3"/>
    <w:rsid w:val="00EB6170"/>
    <w:rsid w:val="00EB6443"/>
    <w:rsid w:val="00EB71AC"/>
    <w:rsid w:val="00EB7689"/>
    <w:rsid w:val="00EB7FD7"/>
    <w:rsid w:val="00EC0465"/>
    <w:rsid w:val="00EC050A"/>
    <w:rsid w:val="00EC0542"/>
    <w:rsid w:val="00EC0FA6"/>
    <w:rsid w:val="00EC167E"/>
    <w:rsid w:val="00EC229C"/>
    <w:rsid w:val="00EC2ECD"/>
    <w:rsid w:val="00EC4757"/>
    <w:rsid w:val="00EC490E"/>
    <w:rsid w:val="00EC7EDB"/>
    <w:rsid w:val="00EC7F9F"/>
    <w:rsid w:val="00ED0A5B"/>
    <w:rsid w:val="00ED118B"/>
    <w:rsid w:val="00ED14FB"/>
    <w:rsid w:val="00ED1CF7"/>
    <w:rsid w:val="00ED2BB6"/>
    <w:rsid w:val="00ED34E1"/>
    <w:rsid w:val="00ED3B8D"/>
    <w:rsid w:val="00ED466E"/>
    <w:rsid w:val="00ED6BB2"/>
    <w:rsid w:val="00ED796D"/>
    <w:rsid w:val="00EE0891"/>
    <w:rsid w:val="00EE0E94"/>
    <w:rsid w:val="00EE1B7F"/>
    <w:rsid w:val="00EE4227"/>
    <w:rsid w:val="00EE77B7"/>
    <w:rsid w:val="00EF109A"/>
    <w:rsid w:val="00EF15D3"/>
    <w:rsid w:val="00EF160B"/>
    <w:rsid w:val="00EF2E3A"/>
    <w:rsid w:val="00EF37AA"/>
    <w:rsid w:val="00EF7164"/>
    <w:rsid w:val="00F00488"/>
    <w:rsid w:val="00F0050F"/>
    <w:rsid w:val="00F01F21"/>
    <w:rsid w:val="00F029D1"/>
    <w:rsid w:val="00F02EF9"/>
    <w:rsid w:val="00F03BB5"/>
    <w:rsid w:val="00F04248"/>
    <w:rsid w:val="00F047D8"/>
    <w:rsid w:val="00F066B8"/>
    <w:rsid w:val="00F06BEC"/>
    <w:rsid w:val="00F072A7"/>
    <w:rsid w:val="00F078DC"/>
    <w:rsid w:val="00F1069E"/>
    <w:rsid w:val="00F119AF"/>
    <w:rsid w:val="00F12D33"/>
    <w:rsid w:val="00F13201"/>
    <w:rsid w:val="00F144E3"/>
    <w:rsid w:val="00F14593"/>
    <w:rsid w:val="00F169B7"/>
    <w:rsid w:val="00F16CA4"/>
    <w:rsid w:val="00F171A1"/>
    <w:rsid w:val="00F21E83"/>
    <w:rsid w:val="00F22A7A"/>
    <w:rsid w:val="00F22F30"/>
    <w:rsid w:val="00F23183"/>
    <w:rsid w:val="00F2492E"/>
    <w:rsid w:val="00F254F9"/>
    <w:rsid w:val="00F2556B"/>
    <w:rsid w:val="00F25AA4"/>
    <w:rsid w:val="00F32BA8"/>
    <w:rsid w:val="00F33B0F"/>
    <w:rsid w:val="00F341A3"/>
    <w:rsid w:val="00F349F1"/>
    <w:rsid w:val="00F34CCB"/>
    <w:rsid w:val="00F35498"/>
    <w:rsid w:val="00F35579"/>
    <w:rsid w:val="00F35BD3"/>
    <w:rsid w:val="00F41F35"/>
    <w:rsid w:val="00F4215A"/>
    <w:rsid w:val="00F42492"/>
    <w:rsid w:val="00F426B3"/>
    <w:rsid w:val="00F4350D"/>
    <w:rsid w:val="00F43554"/>
    <w:rsid w:val="00F4456D"/>
    <w:rsid w:val="00F445EB"/>
    <w:rsid w:val="00F46512"/>
    <w:rsid w:val="00F466F6"/>
    <w:rsid w:val="00F46EBF"/>
    <w:rsid w:val="00F47F1C"/>
    <w:rsid w:val="00F50532"/>
    <w:rsid w:val="00F510BA"/>
    <w:rsid w:val="00F51235"/>
    <w:rsid w:val="00F5148D"/>
    <w:rsid w:val="00F52311"/>
    <w:rsid w:val="00F5241C"/>
    <w:rsid w:val="00F532EB"/>
    <w:rsid w:val="00F53E3F"/>
    <w:rsid w:val="00F558A2"/>
    <w:rsid w:val="00F567F7"/>
    <w:rsid w:val="00F603EC"/>
    <w:rsid w:val="00F61064"/>
    <w:rsid w:val="00F6194D"/>
    <w:rsid w:val="00F61B09"/>
    <w:rsid w:val="00F61C6C"/>
    <w:rsid w:val="00F62036"/>
    <w:rsid w:val="00F634D8"/>
    <w:rsid w:val="00F64301"/>
    <w:rsid w:val="00F64654"/>
    <w:rsid w:val="00F65B52"/>
    <w:rsid w:val="00F6763B"/>
    <w:rsid w:val="00F67BCA"/>
    <w:rsid w:val="00F70EC8"/>
    <w:rsid w:val="00F727A1"/>
    <w:rsid w:val="00F739C9"/>
    <w:rsid w:val="00F73BD6"/>
    <w:rsid w:val="00F74380"/>
    <w:rsid w:val="00F751DD"/>
    <w:rsid w:val="00F753E0"/>
    <w:rsid w:val="00F75B69"/>
    <w:rsid w:val="00F76280"/>
    <w:rsid w:val="00F772E5"/>
    <w:rsid w:val="00F800C9"/>
    <w:rsid w:val="00F815FE"/>
    <w:rsid w:val="00F82FED"/>
    <w:rsid w:val="00F83989"/>
    <w:rsid w:val="00F84019"/>
    <w:rsid w:val="00F85099"/>
    <w:rsid w:val="00F9063E"/>
    <w:rsid w:val="00F9282D"/>
    <w:rsid w:val="00F9345C"/>
    <w:rsid w:val="00F9379C"/>
    <w:rsid w:val="00F9382C"/>
    <w:rsid w:val="00F94428"/>
    <w:rsid w:val="00F94FD5"/>
    <w:rsid w:val="00F9632C"/>
    <w:rsid w:val="00F96A07"/>
    <w:rsid w:val="00F97461"/>
    <w:rsid w:val="00F97C3B"/>
    <w:rsid w:val="00FA1DF0"/>
    <w:rsid w:val="00FA1E34"/>
    <w:rsid w:val="00FA1E52"/>
    <w:rsid w:val="00FA2B4E"/>
    <w:rsid w:val="00FA31DE"/>
    <w:rsid w:val="00FA4873"/>
    <w:rsid w:val="00FA4CCF"/>
    <w:rsid w:val="00FA502C"/>
    <w:rsid w:val="00FA77DF"/>
    <w:rsid w:val="00FA7D17"/>
    <w:rsid w:val="00FB0136"/>
    <w:rsid w:val="00FB24EC"/>
    <w:rsid w:val="00FB2A80"/>
    <w:rsid w:val="00FB30F2"/>
    <w:rsid w:val="00FB49DD"/>
    <w:rsid w:val="00FB58AF"/>
    <w:rsid w:val="00FB66E7"/>
    <w:rsid w:val="00FB710B"/>
    <w:rsid w:val="00FC0C1E"/>
    <w:rsid w:val="00FC0FC5"/>
    <w:rsid w:val="00FC2091"/>
    <w:rsid w:val="00FC27EC"/>
    <w:rsid w:val="00FC3EB8"/>
    <w:rsid w:val="00FC532A"/>
    <w:rsid w:val="00FC5C89"/>
    <w:rsid w:val="00FC6F46"/>
    <w:rsid w:val="00FC7BBE"/>
    <w:rsid w:val="00FC7D25"/>
    <w:rsid w:val="00FD047A"/>
    <w:rsid w:val="00FD0658"/>
    <w:rsid w:val="00FD13CC"/>
    <w:rsid w:val="00FD1DD0"/>
    <w:rsid w:val="00FD2248"/>
    <w:rsid w:val="00FD3232"/>
    <w:rsid w:val="00FD5050"/>
    <w:rsid w:val="00FD5E80"/>
    <w:rsid w:val="00FD5F53"/>
    <w:rsid w:val="00FD62B3"/>
    <w:rsid w:val="00FD7343"/>
    <w:rsid w:val="00FD7346"/>
    <w:rsid w:val="00FD751F"/>
    <w:rsid w:val="00FE1AA7"/>
    <w:rsid w:val="00FE29F8"/>
    <w:rsid w:val="00FE2D58"/>
    <w:rsid w:val="00FE2FB8"/>
    <w:rsid w:val="00FE33D8"/>
    <w:rsid w:val="00FE44F8"/>
    <w:rsid w:val="00FE4688"/>
    <w:rsid w:val="00FE6041"/>
    <w:rsid w:val="00FE6C26"/>
    <w:rsid w:val="00FE72D6"/>
    <w:rsid w:val="00FE77C5"/>
    <w:rsid w:val="00FE78E2"/>
    <w:rsid w:val="00FE79D0"/>
    <w:rsid w:val="00FF1265"/>
    <w:rsid w:val="00FF1C76"/>
    <w:rsid w:val="00FF40C4"/>
    <w:rsid w:val="00FF41F7"/>
    <w:rsid w:val="00FF5B17"/>
    <w:rsid w:val="00FF601C"/>
    <w:rsid w:val="00FF70B4"/>
    <w:rsid w:val="00FF77BA"/>
    <w:rsid w:val="00FF7B1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DA0DBB"/>
  <w15:chartTrackingRefBased/>
  <w15:docId w15:val="{94EBC885-CD80-4881-966E-ED4CA40D3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F65CD"/>
    <w:pPr>
      <w:spacing w:line="260" w:lineRule="atLeast"/>
    </w:pPr>
    <w:rPr>
      <w:sz w:val="22"/>
      <w:lang w:eastAsia="en-US"/>
    </w:rPr>
  </w:style>
  <w:style w:type="paragraph" w:styleId="Heading1">
    <w:name w:val="heading 1"/>
    <w:basedOn w:val="Normal"/>
    <w:next w:val="Normal"/>
    <w:link w:val="Heading1Char"/>
    <w:uiPriority w:val="9"/>
    <w:qFormat/>
    <w:rsid w:val="008945E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8945E0"/>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8945E0"/>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8945E0"/>
    <w:pPr>
      <w:keepNext/>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uiPriority w:val="9"/>
    <w:semiHidden/>
    <w:unhideWhenUsed/>
    <w:qFormat/>
    <w:rsid w:val="008945E0"/>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semiHidden/>
    <w:unhideWhenUsed/>
    <w:qFormat/>
    <w:rsid w:val="008945E0"/>
    <w:pPr>
      <w:spacing w:before="240" w:after="60"/>
      <w:outlineLvl w:val="5"/>
    </w:pPr>
    <w:rPr>
      <w:rFonts w:ascii="Calibri" w:eastAsia="Times New Roman" w:hAnsi="Calibri"/>
      <w:b/>
      <w:bCs/>
      <w:szCs w:val="22"/>
    </w:rPr>
  </w:style>
  <w:style w:type="paragraph" w:styleId="Heading7">
    <w:name w:val="heading 7"/>
    <w:basedOn w:val="Normal"/>
    <w:next w:val="Normal"/>
    <w:link w:val="Heading7Char"/>
    <w:uiPriority w:val="9"/>
    <w:semiHidden/>
    <w:unhideWhenUsed/>
    <w:qFormat/>
    <w:rsid w:val="008945E0"/>
    <w:pPr>
      <w:spacing w:before="240" w:after="60"/>
      <w:outlineLvl w:val="6"/>
    </w:pPr>
    <w:rPr>
      <w:rFonts w:ascii="Calibri" w:eastAsia="Times New Roman" w:hAnsi="Calibri"/>
      <w:sz w:val="24"/>
      <w:szCs w:val="24"/>
    </w:rPr>
  </w:style>
  <w:style w:type="paragraph" w:styleId="Heading8">
    <w:name w:val="heading 8"/>
    <w:basedOn w:val="Normal"/>
    <w:next w:val="Normal"/>
    <w:link w:val="Heading8Char"/>
    <w:uiPriority w:val="9"/>
    <w:semiHidden/>
    <w:unhideWhenUsed/>
    <w:qFormat/>
    <w:rsid w:val="008945E0"/>
    <w:pPr>
      <w:spacing w:before="240" w:after="60"/>
      <w:outlineLvl w:val="7"/>
    </w:pPr>
    <w:rPr>
      <w:rFonts w:ascii="Calibri" w:eastAsia="Times New Roman" w:hAnsi="Calibri"/>
      <w:i/>
      <w:iCs/>
      <w:sz w:val="24"/>
      <w:szCs w:val="24"/>
    </w:rPr>
  </w:style>
  <w:style w:type="paragraph" w:styleId="Heading9">
    <w:name w:val="heading 9"/>
    <w:basedOn w:val="Normal"/>
    <w:next w:val="Normal"/>
    <w:link w:val="Heading9Char"/>
    <w:uiPriority w:val="9"/>
    <w:semiHidden/>
    <w:unhideWhenUsed/>
    <w:qFormat/>
    <w:rsid w:val="008945E0"/>
    <w:pPr>
      <w:spacing w:before="240" w:after="60"/>
      <w:outlineLvl w:val="8"/>
    </w:pPr>
    <w:rPr>
      <w:rFonts w:ascii="Cambria" w:eastAsia="Times New Roman"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F61B09"/>
  </w:style>
  <w:style w:type="paragraph" w:customStyle="1" w:styleId="OPCParaBase">
    <w:name w:val="OPCParaBase"/>
    <w:link w:val="OPCParaBaseChar"/>
    <w:semiHidden/>
    <w:qFormat/>
    <w:rsid w:val="00F61B09"/>
    <w:pPr>
      <w:spacing w:line="260" w:lineRule="atLeast"/>
    </w:pPr>
    <w:rPr>
      <w:rFonts w:eastAsia="Times New Roman"/>
      <w:sz w:val="22"/>
    </w:rPr>
  </w:style>
  <w:style w:type="paragraph" w:customStyle="1" w:styleId="LI-Title">
    <w:name w:val="LI - Title"/>
    <w:basedOn w:val="OPCParaBase"/>
    <w:next w:val="Normal"/>
    <w:qFormat/>
    <w:rsid w:val="00243EC0"/>
    <w:pPr>
      <w:pBdr>
        <w:top w:val="single" w:sz="4" w:space="1" w:color="auto"/>
      </w:pBdr>
      <w:spacing w:line="240" w:lineRule="auto"/>
    </w:pPr>
    <w:rPr>
      <w:b/>
      <w:sz w:val="40"/>
    </w:rPr>
  </w:style>
  <w:style w:type="paragraph" w:customStyle="1" w:styleId="ActHead1">
    <w:name w:val="ActHead 1"/>
    <w:aliases w:val="c"/>
    <w:basedOn w:val="OPCParaBase"/>
    <w:next w:val="Normal"/>
    <w:semiHidden/>
    <w:rsid w:val="00F61B09"/>
    <w:pPr>
      <w:keepNext/>
      <w:keepLines/>
      <w:spacing w:line="240" w:lineRule="auto"/>
      <w:ind w:left="1134" w:hanging="1134"/>
      <w:outlineLvl w:val="0"/>
    </w:pPr>
    <w:rPr>
      <w:b/>
      <w:kern w:val="28"/>
      <w:sz w:val="36"/>
    </w:rPr>
  </w:style>
  <w:style w:type="paragraph" w:customStyle="1" w:styleId="LI-Heading1">
    <w:name w:val="LI - Heading 1"/>
    <w:basedOn w:val="OPCParaBase"/>
    <w:next w:val="ActHead3"/>
    <w:qFormat/>
    <w:rsid w:val="0040053F"/>
    <w:pPr>
      <w:keepNext/>
      <w:keepLines/>
      <w:spacing w:before="280" w:line="240" w:lineRule="auto"/>
      <w:ind w:left="1134" w:hanging="1134"/>
      <w:outlineLvl w:val="0"/>
    </w:pPr>
    <w:rPr>
      <w:b/>
      <w:kern w:val="28"/>
      <w:sz w:val="32"/>
    </w:rPr>
  </w:style>
  <w:style w:type="paragraph" w:customStyle="1" w:styleId="ActHead3">
    <w:name w:val="ActHead 3"/>
    <w:aliases w:val="d"/>
    <w:basedOn w:val="OPCParaBase"/>
    <w:next w:val="ActHead4"/>
    <w:semiHidden/>
    <w:qFormat/>
    <w:rsid w:val="00F61B0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LI-Heading2"/>
    <w:semiHidden/>
    <w:qFormat/>
    <w:rsid w:val="00F61B09"/>
    <w:pPr>
      <w:keepNext/>
      <w:keepLines/>
      <w:spacing w:before="220" w:line="240" w:lineRule="auto"/>
      <w:ind w:left="1134" w:hanging="1134"/>
      <w:outlineLvl w:val="3"/>
    </w:pPr>
    <w:rPr>
      <w:b/>
      <w:kern w:val="28"/>
      <w:sz w:val="26"/>
    </w:rPr>
  </w:style>
  <w:style w:type="paragraph" w:customStyle="1" w:styleId="LI-Heading2">
    <w:name w:val="LI - Heading 2"/>
    <w:basedOn w:val="OPCParaBase"/>
    <w:next w:val="LI-BodyTextUnnumbered"/>
    <w:qFormat/>
    <w:rsid w:val="000E3C2E"/>
    <w:pPr>
      <w:keepNext/>
      <w:keepLines/>
      <w:spacing w:before="360" w:line="240" w:lineRule="auto"/>
      <w:ind w:left="567" w:hanging="567"/>
      <w:outlineLvl w:val="1"/>
    </w:pPr>
    <w:rPr>
      <w:b/>
      <w:kern w:val="28"/>
      <w:sz w:val="24"/>
    </w:rPr>
  </w:style>
  <w:style w:type="paragraph" w:customStyle="1" w:styleId="ActHead6">
    <w:name w:val="ActHead 6"/>
    <w:aliases w:val="as"/>
    <w:basedOn w:val="OPCParaBase"/>
    <w:next w:val="ActHead7"/>
    <w:semiHidden/>
    <w:qFormat/>
    <w:rsid w:val="00F61B0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semiHidden/>
    <w:qFormat/>
    <w:rsid w:val="00F61B0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semiHidden/>
    <w:qFormat/>
    <w:rsid w:val="00F61B0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semiHidden/>
    <w:qFormat/>
    <w:rsid w:val="00F61B09"/>
    <w:pPr>
      <w:keepNext/>
      <w:keepLines/>
      <w:spacing w:before="280" w:line="240" w:lineRule="auto"/>
      <w:ind w:left="1134" w:hanging="1134"/>
      <w:outlineLvl w:val="8"/>
    </w:pPr>
    <w:rPr>
      <w:b/>
      <w:i/>
      <w:kern w:val="28"/>
      <w:sz w:val="28"/>
    </w:rPr>
  </w:style>
  <w:style w:type="paragraph" w:customStyle="1" w:styleId="Actno">
    <w:name w:val="Actno"/>
    <w:basedOn w:val="LI-Title"/>
    <w:next w:val="Normal"/>
    <w:semiHidden/>
    <w:qFormat/>
    <w:rsid w:val="00F61B09"/>
  </w:style>
  <w:style w:type="paragraph" w:customStyle="1" w:styleId="Blocks">
    <w:name w:val="Blocks"/>
    <w:aliases w:val="bb"/>
    <w:basedOn w:val="OPCParaBase"/>
    <w:semiHidden/>
    <w:qFormat/>
    <w:rsid w:val="00F61B09"/>
    <w:pPr>
      <w:spacing w:line="240" w:lineRule="auto"/>
    </w:pPr>
    <w:rPr>
      <w:sz w:val="24"/>
    </w:rPr>
  </w:style>
  <w:style w:type="paragraph" w:customStyle="1" w:styleId="BoxText">
    <w:name w:val="BoxText"/>
    <w:aliases w:val="bt"/>
    <w:basedOn w:val="OPCParaBase"/>
    <w:semiHidden/>
    <w:qFormat/>
    <w:rsid w:val="00F61B0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semiHidden/>
    <w:qFormat/>
    <w:rsid w:val="00F61B09"/>
    <w:rPr>
      <w:b/>
    </w:rPr>
  </w:style>
  <w:style w:type="paragraph" w:customStyle="1" w:styleId="BoxHeadItalic">
    <w:name w:val="BoxHeadItalic"/>
    <w:aliases w:val="bhi"/>
    <w:basedOn w:val="BoxText"/>
    <w:next w:val="BoxStep"/>
    <w:semiHidden/>
    <w:qFormat/>
    <w:rsid w:val="00F61B09"/>
    <w:rPr>
      <w:i/>
    </w:rPr>
  </w:style>
  <w:style w:type="paragraph" w:customStyle="1" w:styleId="BoxList">
    <w:name w:val="BoxList"/>
    <w:aliases w:val="bl"/>
    <w:basedOn w:val="BoxText"/>
    <w:semiHidden/>
    <w:qFormat/>
    <w:rsid w:val="00F61B09"/>
    <w:pPr>
      <w:ind w:left="1559" w:hanging="425"/>
    </w:pPr>
  </w:style>
  <w:style w:type="paragraph" w:customStyle="1" w:styleId="BoxNote">
    <w:name w:val="BoxNote"/>
    <w:aliases w:val="bn"/>
    <w:basedOn w:val="BoxText"/>
    <w:semiHidden/>
    <w:qFormat/>
    <w:rsid w:val="00F61B09"/>
    <w:pPr>
      <w:tabs>
        <w:tab w:val="left" w:pos="1985"/>
      </w:tabs>
      <w:spacing w:before="122" w:line="198" w:lineRule="exact"/>
      <w:ind w:left="2948" w:hanging="1814"/>
    </w:pPr>
    <w:rPr>
      <w:sz w:val="18"/>
    </w:rPr>
  </w:style>
  <w:style w:type="paragraph" w:customStyle="1" w:styleId="BoxPara">
    <w:name w:val="BoxPara"/>
    <w:aliases w:val="bp"/>
    <w:basedOn w:val="BoxText"/>
    <w:semiHidden/>
    <w:qFormat/>
    <w:rsid w:val="00F61B09"/>
    <w:pPr>
      <w:tabs>
        <w:tab w:val="right" w:pos="2268"/>
      </w:tabs>
      <w:ind w:left="2552" w:hanging="1418"/>
    </w:pPr>
  </w:style>
  <w:style w:type="paragraph" w:customStyle="1" w:styleId="BoxStep">
    <w:name w:val="BoxStep"/>
    <w:aliases w:val="bs"/>
    <w:basedOn w:val="BoxText"/>
    <w:semiHidden/>
    <w:qFormat/>
    <w:rsid w:val="00F61B09"/>
    <w:pPr>
      <w:ind w:left="1985" w:hanging="851"/>
    </w:pPr>
  </w:style>
  <w:style w:type="character" w:customStyle="1" w:styleId="CharAmPartNo">
    <w:name w:val="CharAmPartNo"/>
    <w:basedOn w:val="OPCCharBase"/>
    <w:uiPriority w:val="1"/>
    <w:semiHidden/>
    <w:qFormat/>
    <w:rsid w:val="00F61B09"/>
  </w:style>
  <w:style w:type="character" w:customStyle="1" w:styleId="CharAmPartText">
    <w:name w:val="CharAmPartText"/>
    <w:basedOn w:val="OPCCharBase"/>
    <w:uiPriority w:val="1"/>
    <w:semiHidden/>
    <w:qFormat/>
    <w:rsid w:val="00F61B09"/>
  </w:style>
  <w:style w:type="character" w:customStyle="1" w:styleId="CharAmSchNo">
    <w:name w:val="CharAmSchNo"/>
    <w:basedOn w:val="OPCCharBase"/>
    <w:uiPriority w:val="1"/>
    <w:semiHidden/>
    <w:qFormat/>
    <w:rsid w:val="00F61B09"/>
  </w:style>
  <w:style w:type="character" w:customStyle="1" w:styleId="CharAmSchText">
    <w:name w:val="CharAmSchText"/>
    <w:basedOn w:val="OPCCharBase"/>
    <w:uiPriority w:val="1"/>
    <w:semiHidden/>
    <w:qFormat/>
    <w:rsid w:val="00F61B09"/>
  </w:style>
  <w:style w:type="character" w:customStyle="1" w:styleId="CharBoldItalic">
    <w:name w:val="CharBoldItalic"/>
    <w:uiPriority w:val="1"/>
    <w:semiHidden/>
    <w:qFormat/>
    <w:rsid w:val="00F61B09"/>
    <w:rPr>
      <w:b/>
      <w:i/>
    </w:rPr>
  </w:style>
  <w:style w:type="character" w:customStyle="1" w:styleId="CharChapNo">
    <w:name w:val="CharChapNo"/>
    <w:basedOn w:val="OPCCharBase"/>
    <w:semiHidden/>
    <w:qFormat/>
    <w:rsid w:val="00F61B09"/>
  </w:style>
  <w:style w:type="character" w:customStyle="1" w:styleId="CharChapText">
    <w:name w:val="CharChapText"/>
    <w:basedOn w:val="OPCCharBase"/>
    <w:semiHidden/>
    <w:qFormat/>
    <w:rsid w:val="00F61B09"/>
  </w:style>
  <w:style w:type="character" w:customStyle="1" w:styleId="CharDivNo">
    <w:name w:val="CharDivNo"/>
    <w:basedOn w:val="OPCCharBase"/>
    <w:semiHidden/>
    <w:qFormat/>
    <w:rsid w:val="00F61B09"/>
  </w:style>
  <w:style w:type="character" w:customStyle="1" w:styleId="CharDivText">
    <w:name w:val="CharDivText"/>
    <w:basedOn w:val="OPCCharBase"/>
    <w:semiHidden/>
    <w:qFormat/>
    <w:rsid w:val="00F61B09"/>
  </w:style>
  <w:style w:type="character" w:customStyle="1" w:styleId="CharItalic">
    <w:name w:val="CharItalic"/>
    <w:uiPriority w:val="1"/>
    <w:semiHidden/>
    <w:qFormat/>
    <w:rsid w:val="00F61B09"/>
    <w:rPr>
      <w:i/>
    </w:rPr>
  </w:style>
  <w:style w:type="character" w:customStyle="1" w:styleId="CharPartNo">
    <w:name w:val="CharPartNo"/>
    <w:basedOn w:val="OPCCharBase"/>
    <w:semiHidden/>
    <w:qFormat/>
    <w:rsid w:val="00F61B09"/>
  </w:style>
  <w:style w:type="character" w:customStyle="1" w:styleId="CharPartText">
    <w:name w:val="CharPartText"/>
    <w:basedOn w:val="OPCCharBase"/>
    <w:semiHidden/>
    <w:qFormat/>
    <w:rsid w:val="00F61B09"/>
  </w:style>
  <w:style w:type="character" w:customStyle="1" w:styleId="CharSectno">
    <w:name w:val="CharSectno"/>
    <w:basedOn w:val="OPCCharBase"/>
    <w:semiHidden/>
    <w:qFormat/>
    <w:rsid w:val="00F61B09"/>
  </w:style>
  <w:style w:type="character" w:customStyle="1" w:styleId="CharSubdNo">
    <w:name w:val="CharSubdNo"/>
    <w:basedOn w:val="OPCCharBase"/>
    <w:uiPriority w:val="1"/>
    <w:semiHidden/>
    <w:qFormat/>
    <w:rsid w:val="00F61B09"/>
  </w:style>
  <w:style w:type="character" w:customStyle="1" w:styleId="CharSubdText">
    <w:name w:val="CharSubdText"/>
    <w:basedOn w:val="OPCCharBase"/>
    <w:uiPriority w:val="1"/>
    <w:semiHidden/>
    <w:qFormat/>
    <w:rsid w:val="00F61B09"/>
  </w:style>
  <w:style w:type="paragraph" w:customStyle="1" w:styleId="CTA--">
    <w:name w:val="CTA --"/>
    <w:basedOn w:val="OPCParaBase"/>
    <w:next w:val="Normal"/>
    <w:semiHidden/>
    <w:rsid w:val="00F61B09"/>
    <w:pPr>
      <w:spacing w:before="60" w:line="240" w:lineRule="atLeast"/>
      <w:ind w:left="142" w:hanging="142"/>
    </w:pPr>
    <w:rPr>
      <w:sz w:val="20"/>
    </w:rPr>
  </w:style>
  <w:style w:type="paragraph" w:customStyle="1" w:styleId="CTA-">
    <w:name w:val="CTA -"/>
    <w:basedOn w:val="OPCParaBase"/>
    <w:semiHidden/>
    <w:rsid w:val="00F61B09"/>
    <w:pPr>
      <w:spacing w:before="60" w:line="240" w:lineRule="atLeast"/>
      <w:ind w:left="85" w:hanging="85"/>
    </w:pPr>
    <w:rPr>
      <w:sz w:val="20"/>
    </w:rPr>
  </w:style>
  <w:style w:type="paragraph" w:customStyle="1" w:styleId="CTA---">
    <w:name w:val="CTA ---"/>
    <w:basedOn w:val="OPCParaBase"/>
    <w:next w:val="Normal"/>
    <w:semiHidden/>
    <w:rsid w:val="00F61B09"/>
    <w:pPr>
      <w:spacing w:before="60" w:line="240" w:lineRule="atLeast"/>
      <w:ind w:left="198" w:hanging="198"/>
    </w:pPr>
    <w:rPr>
      <w:sz w:val="20"/>
    </w:rPr>
  </w:style>
  <w:style w:type="paragraph" w:customStyle="1" w:styleId="CTA----">
    <w:name w:val="CTA ----"/>
    <w:basedOn w:val="OPCParaBase"/>
    <w:next w:val="Normal"/>
    <w:semiHidden/>
    <w:rsid w:val="00F61B09"/>
    <w:pPr>
      <w:spacing w:before="60" w:line="240" w:lineRule="atLeast"/>
      <w:ind w:left="255" w:hanging="255"/>
    </w:pPr>
    <w:rPr>
      <w:sz w:val="20"/>
    </w:rPr>
  </w:style>
  <w:style w:type="paragraph" w:customStyle="1" w:styleId="CTA1a">
    <w:name w:val="CTA 1(a)"/>
    <w:basedOn w:val="OPCParaBase"/>
    <w:semiHidden/>
    <w:rsid w:val="00F61B09"/>
    <w:pPr>
      <w:tabs>
        <w:tab w:val="right" w:pos="414"/>
      </w:tabs>
      <w:spacing w:before="40" w:line="240" w:lineRule="atLeast"/>
      <w:ind w:left="675" w:hanging="675"/>
    </w:pPr>
    <w:rPr>
      <w:sz w:val="20"/>
    </w:rPr>
  </w:style>
  <w:style w:type="paragraph" w:customStyle="1" w:styleId="CTA1ai">
    <w:name w:val="CTA 1(a)(i)"/>
    <w:basedOn w:val="OPCParaBase"/>
    <w:semiHidden/>
    <w:rsid w:val="00F61B09"/>
    <w:pPr>
      <w:tabs>
        <w:tab w:val="right" w:pos="1004"/>
      </w:tabs>
      <w:spacing w:before="40" w:line="240" w:lineRule="atLeast"/>
      <w:ind w:left="1253" w:hanging="1253"/>
    </w:pPr>
    <w:rPr>
      <w:sz w:val="20"/>
    </w:rPr>
  </w:style>
  <w:style w:type="paragraph" w:customStyle="1" w:styleId="CTA2a">
    <w:name w:val="CTA 2(a)"/>
    <w:basedOn w:val="OPCParaBase"/>
    <w:semiHidden/>
    <w:rsid w:val="00F61B09"/>
    <w:pPr>
      <w:tabs>
        <w:tab w:val="right" w:pos="482"/>
      </w:tabs>
      <w:spacing w:before="40" w:line="240" w:lineRule="atLeast"/>
      <w:ind w:left="748" w:hanging="748"/>
    </w:pPr>
    <w:rPr>
      <w:sz w:val="20"/>
    </w:rPr>
  </w:style>
  <w:style w:type="paragraph" w:customStyle="1" w:styleId="CTA2ai">
    <w:name w:val="CTA 2(a)(i)"/>
    <w:basedOn w:val="OPCParaBase"/>
    <w:semiHidden/>
    <w:rsid w:val="00F61B09"/>
    <w:pPr>
      <w:tabs>
        <w:tab w:val="right" w:pos="1089"/>
      </w:tabs>
      <w:spacing w:before="40" w:line="240" w:lineRule="atLeast"/>
      <w:ind w:left="1327" w:hanging="1327"/>
    </w:pPr>
    <w:rPr>
      <w:sz w:val="20"/>
    </w:rPr>
  </w:style>
  <w:style w:type="paragraph" w:customStyle="1" w:styleId="CTA3a">
    <w:name w:val="CTA 3(a)"/>
    <w:basedOn w:val="OPCParaBase"/>
    <w:semiHidden/>
    <w:rsid w:val="00F61B09"/>
    <w:pPr>
      <w:tabs>
        <w:tab w:val="right" w:pos="556"/>
      </w:tabs>
      <w:spacing w:before="40" w:line="240" w:lineRule="atLeast"/>
      <w:ind w:left="805" w:hanging="805"/>
    </w:pPr>
    <w:rPr>
      <w:sz w:val="20"/>
    </w:rPr>
  </w:style>
  <w:style w:type="paragraph" w:customStyle="1" w:styleId="CTA3ai">
    <w:name w:val="CTA 3(a)(i)"/>
    <w:basedOn w:val="OPCParaBase"/>
    <w:semiHidden/>
    <w:rsid w:val="00F61B09"/>
    <w:pPr>
      <w:tabs>
        <w:tab w:val="right" w:pos="1140"/>
      </w:tabs>
      <w:spacing w:before="40" w:line="240" w:lineRule="atLeast"/>
      <w:ind w:left="1361" w:hanging="1361"/>
    </w:pPr>
    <w:rPr>
      <w:sz w:val="20"/>
    </w:rPr>
  </w:style>
  <w:style w:type="paragraph" w:customStyle="1" w:styleId="CTA4a">
    <w:name w:val="CTA 4(a)"/>
    <w:basedOn w:val="OPCParaBase"/>
    <w:semiHidden/>
    <w:rsid w:val="00F61B09"/>
    <w:pPr>
      <w:tabs>
        <w:tab w:val="right" w:pos="624"/>
      </w:tabs>
      <w:spacing w:before="40" w:line="240" w:lineRule="atLeast"/>
      <w:ind w:left="873" w:hanging="873"/>
    </w:pPr>
    <w:rPr>
      <w:sz w:val="20"/>
    </w:rPr>
  </w:style>
  <w:style w:type="paragraph" w:customStyle="1" w:styleId="CTA4ai">
    <w:name w:val="CTA 4(a)(i)"/>
    <w:basedOn w:val="OPCParaBase"/>
    <w:semiHidden/>
    <w:rsid w:val="00F61B09"/>
    <w:pPr>
      <w:tabs>
        <w:tab w:val="right" w:pos="1213"/>
      </w:tabs>
      <w:spacing w:before="40" w:line="240" w:lineRule="atLeast"/>
      <w:ind w:left="1452" w:hanging="1452"/>
    </w:pPr>
    <w:rPr>
      <w:sz w:val="20"/>
    </w:rPr>
  </w:style>
  <w:style w:type="paragraph" w:customStyle="1" w:styleId="CTACAPS">
    <w:name w:val="CTA CAPS"/>
    <w:basedOn w:val="OPCParaBase"/>
    <w:semiHidden/>
    <w:rsid w:val="00F61B09"/>
    <w:pPr>
      <w:spacing w:before="60" w:line="240" w:lineRule="atLeast"/>
    </w:pPr>
    <w:rPr>
      <w:sz w:val="20"/>
    </w:rPr>
  </w:style>
  <w:style w:type="paragraph" w:customStyle="1" w:styleId="CTAright">
    <w:name w:val="CTA right"/>
    <w:basedOn w:val="OPCParaBase"/>
    <w:semiHidden/>
    <w:rsid w:val="00F61B09"/>
    <w:pPr>
      <w:spacing w:before="60" w:line="240" w:lineRule="auto"/>
      <w:jc w:val="right"/>
    </w:pPr>
    <w:rPr>
      <w:sz w:val="20"/>
    </w:rPr>
  </w:style>
  <w:style w:type="paragraph" w:customStyle="1" w:styleId="LI-BodyTextUnnumbered">
    <w:name w:val="LI - Body Text Unnumbered"/>
    <w:basedOn w:val="OPCParaBase"/>
    <w:link w:val="LI-BodyTextUnnumberedChar"/>
    <w:rsid w:val="006E5320"/>
    <w:pPr>
      <w:spacing w:before="240" w:line="240" w:lineRule="auto"/>
      <w:ind w:left="1134"/>
    </w:pPr>
    <w:rPr>
      <w:sz w:val="24"/>
    </w:rPr>
  </w:style>
  <w:style w:type="paragraph" w:customStyle="1" w:styleId="Definition">
    <w:name w:val="Definition"/>
    <w:aliases w:val="dd"/>
    <w:basedOn w:val="OPCParaBase"/>
    <w:semiHidden/>
    <w:rsid w:val="00F61B09"/>
    <w:pPr>
      <w:spacing w:before="180" w:line="240" w:lineRule="auto"/>
      <w:ind w:left="1134"/>
    </w:pPr>
  </w:style>
  <w:style w:type="paragraph" w:customStyle="1" w:styleId="EndNotespara">
    <w:name w:val="EndNotes(para)"/>
    <w:aliases w:val="eta"/>
    <w:basedOn w:val="OPCParaBase"/>
    <w:next w:val="EndNotessubpara"/>
    <w:semiHidden/>
    <w:rsid w:val="00F61B09"/>
    <w:pPr>
      <w:tabs>
        <w:tab w:val="right" w:pos="1985"/>
      </w:tabs>
      <w:spacing w:before="40" w:line="240" w:lineRule="auto"/>
      <w:ind w:left="828" w:hanging="828"/>
    </w:pPr>
    <w:rPr>
      <w:sz w:val="20"/>
    </w:rPr>
  </w:style>
  <w:style w:type="paragraph" w:customStyle="1" w:styleId="EndNotessubitem">
    <w:name w:val="EndNotes(subitem)"/>
    <w:aliases w:val="ens"/>
    <w:basedOn w:val="OPCParaBase"/>
    <w:semiHidden/>
    <w:rsid w:val="00F61B0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semiHidden/>
    <w:rsid w:val="00F61B0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semiHidden/>
    <w:rsid w:val="00F61B09"/>
    <w:pPr>
      <w:tabs>
        <w:tab w:val="right" w:pos="1412"/>
      </w:tabs>
      <w:spacing w:before="60" w:line="240" w:lineRule="auto"/>
      <w:ind w:left="1525" w:hanging="1525"/>
    </w:pPr>
    <w:rPr>
      <w:sz w:val="20"/>
    </w:rPr>
  </w:style>
  <w:style w:type="paragraph" w:customStyle="1" w:styleId="Formula">
    <w:name w:val="Formula"/>
    <w:basedOn w:val="OPCParaBase"/>
    <w:rsid w:val="00F61B09"/>
    <w:pPr>
      <w:spacing w:line="240" w:lineRule="auto"/>
      <w:ind w:left="1134"/>
    </w:pPr>
    <w:rPr>
      <w:sz w:val="20"/>
    </w:rPr>
  </w:style>
  <w:style w:type="paragraph" w:styleId="Header">
    <w:name w:val="header"/>
    <w:basedOn w:val="OPCParaBase"/>
    <w:link w:val="HeaderChar"/>
    <w:unhideWhenUsed/>
    <w:rsid w:val="00F61B09"/>
    <w:pPr>
      <w:keepNext/>
      <w:keepLines/>
      <w:tabs>
        <w:tab w:val="center" w:pos="4150"/>
        <w:tab w:val="right" w:pos="8307"/>
      </w:tabs>
      <w:spacing w:line="160" w:lineRule="exact"/>
    </w:pPr>
    <w:rPr>
      <w:sz w:val="16"/>
    </w:rPr>
  </w:style>
  <w:style w:type="character" w:customStyle="1" w:styleId="HeaderChar">
    <w:name w:val="Header Char"/>
    <w:link w:val="Header"/>
    <w:rsid w:val="00F61B09"/>
    <w:rPr>
      <w:rFonts w:eastAsia="Times New Roman" w:cs="Times New Roman"/>
      <w:sz w:val="16"/>
      <w:lang w:eastAsia="en-AU"/>
    </w:rPr>
  </w:style>
  <w:style w:type="paragraph" w:customStyle="1" w:styleId="House">
    <w:name w:val="House"/>
    <w:basedOn w:val="OPCParaBase"/>
    <w:semiHidden/>
    <w:rsid w:val="00F61B09"/>
    <w:pPr>
      <w:spacing w:line="240" w:lineRule="auto"/>
    </w:pPr>
    <w:rPr>
      <w:sz w:val="28"/>
    </w:rPr>
  </w:style>
  <w:style w:type="paragraph" w:customStyle="1" w:styleId="Item">
    <w:name w:val="Item"/>
    <w:aliases w:val="i"/>
    <w:basedOn w:val="OPCParaBase"/>
    <w:next w:val="ItemHead"/>
    <w:semiHidden/>
    <w:rsid w:val="00F61B09"/>
    <w:pPr>
      <w:keepLines/>
      <w:spacing w:before="80" w:line="240" w:lineRule="auto"/>
      <w:ind w:left="709"/>
    </w:pPr>
  </w:style>
  <w:style w:type="paragraph" w:customStyle="1" w:styleId="ItemHead">
    <w:name w:val="ItemHead"/>
    <w:aliases w:val="ih"/>
    <w:basedOn w:val="OPCParaBase"/>
    <w:next w:val="Item"/>
    <w:semiHidden/>
    <w:rsid w:val="00F61B09"/>
    <w:pPr>
      <w:keepNext/>
      <w:keepLines/>
      <w:spacing w:before="220" w:line="240" w:lineRule="auto"/>
      <w:ind w:left="709" w:hanging="709"/>
    </w:pPr>
    <w:rPr>
      <w:rFonts w:ascii="Arial" w:hAnsi="Arial"/>
      <w:b/>
      <w:kern w:val="28"/>
      <w:sz w:val="24"/>
    </w:rPr>
  </w:style>
  <w:style w:type="paragraph" w:customStyle="1" w:styleId="LongT">
    <w:name w:val="LongT"/>
    <w:basedOn w:val="OPCParaBase"/>
    <w:semiHidden/>
    <w:rsid w:val="00F61B09"/>
    <w:pPr>
      <w:spacing w:line="240" w:lineRule="auto"/>
    </w:pPr>
    <w:rPr>
      <w:b/>
      <w:sz w:val="32"/>
    </w:rPr>
  </w:style>
  <w:style w:type="paragraph" w:customStyle="1" w:styleId="notedraft">
    <w:name w:val="note(draft)"/>
    <w:aliases w:val="nd"/>
    <w:basedOn w:val="OPCParaBase"/>
    <w:semiHidden/>
    <w:rsid w:val="00F61B09"/>
    <w:pPr>
      <w:spacing w:before="240" w:line="240" w:lineRule="auto"/>
      <w:ind w:left="284" w:hanging="284"/>
    </w:pPr>
    <w:rPr>
      <w:i/>
      <w:sz w:val="24"/>
    </w:rPr>
  </w:style>
  <w:style w:type="paragraph" w:customStyle="1" w:styleId="notemargin">
    <w:name w:val="note(margin)"/>
    <w:aliases w:val="nm"/>
    <w:basedOn w:val="OPCParaBase"/>
    <w:semiHidden/>
    <w:rsid w:val="00F61B09"/>
    <w:pPr>
      <w:tabs>
        <w:tab w:val="left" w:pos="709"/>
      </w:tabs>
      <w:spacing w:before="122" w:line="198" w:lineRule="exact"/>
      <w:ind w:left="709" w:hanging="709"/>
    </w:pPr>
    <w:rPr>
      <w:sz w:val="18"/>
    </w:rPr>
  </w:style>
  <w:style w:type="paragraph" w:customStyle="1" w:styleId="noteToPara">
    <w:name w:val="noteToPara"/>
    <w:aliases w:val="ntp"/>
    <w:basedOn w:val="OPCParaBase"/>
    <w:semiHidden/>
    <w:rsid w:val="00F61B09"/>
    <w:pPr>
      <w:spacing w:before="122" w:line="198" w:lineRule="exact"/>
      <w:ind w:left="2353" w:hanging="709"/>
    </w:pPr>
    <w:rPr>
      <w:sz w:val="18"/>
    </w:rPr>
  </w:style>
  <w:style w:type="paragraph" w:customStyle="1" w:styleId="noteParlAmend">
    <w:name w:val="note(ParlAmend)"/>
    <w:aliases w:val="npp"/>
    <w:basedOn w:val="OPCParaBase"/>
    <w:next w:val="ParlAmend"/>
    <w:semiHidden/>
    <w:rsid w:val="00F61B09"/>
    <w:pPr>
      <w:spacing w:line="240" w:lineRule="auto"/>
      <w:jc w:val="right"/>
    </w:pPr>
    <w:rPr>
      <w:rFonts w:ascii="Arial" w:hAnsi="Arial"/>
      <w:b/>
      <w:i/>
    </w:rPr>
  </w:style>
  <w:style w:type="paragraph" w:customStyle="1" w:styleId="Page1">
    <w:name w:val="Page1"/>
    <w:basedOn w:val="OPCParaBase"/>
    <w:semiHidden/>
    <w:rsid w:val="00F61B09"/>
    <w:pPr>
      <w:spacing w:before="5600" w:line="240" w:lineRule="auto"/>
    </w:pPr>
    <w:rPr>
      <w:b/>
      <w:sz w:val="32"/>
    </w:rPr>
  </w:style>
  <w:style w:type="paragraph" w:customStyle="1" w:styleId="PageBreak">
    <w:name w:val="PageBreak"/>
    <w:aliases w:val="pb"/>
    <w:basedOn w:val="OPCParaBase"/>
    <w:semiHidden/>
    <w:rsid w:val="00F61B09"/>
    <w:pPr>
      <w:spacing w:line="240" w:lineRule="auto"/>
    </w:pPr>
    <w:rPr>
      <w:sz w:val="20"/>
    </w:rPr>
  </w:style>
  <w:style w:type="paragraph" w:customStyle="1" w:styleId="paragraphsub">
    <w:name w:val="paragraph(sub)"/>
    <w:aliases w:val="aa"/>
    <w:basedOn w:val="OPCParaBase"/>
    <w:semiHidden/>
    <w:rsid w:val="00F61B09"/>
    <w:pPr>
      <w:tabs>
        <w:tab w:val="right" w:pos="1985"/>
      </w:tabs>
      <w:spacing w:before="40" w:line="240" w:lineRule="auto"/>
      <w:ind w:left="2098" w:hanging="2098"/>
    </w:pPr>
  </w:style>
  <w:style w:type="paragraph" w:customStyle="1" w:styleId="paragraphsub-sub">
    <w:name w:val="paragraph(sub-sub)"/>
    <w:aliases w:val="aaa"/>
    <w:basedOn w:val="OPCParaBase"/>
    <w:semiHidden/>
    <w:rsid w:val="00F61B09"/>
    <w:pPr>
      <w:tabs>
        <w:tab w:val="right" w:pos="2722"/>
      </w:tabs>
      <w:spacing w:before="40" w:line="240" w:lineRule="auto"/>
      <w:ind w:left="2835" w:hanging="2835"/>
    </w:pPr>
  </w:style>
  <w:style w:type="paragraph" w:customStyle="1" w:styleId="LI-BodyTextParaa">
    <w:name w:val="LI - Body Text Para (a)"/>
    <w:basedOn w:val="OPCParaBase"/>
    <w:link w:val="LI-BodyTextParaaChar"/>
    <w:rsid w:val="00FC3EB8"/>
    <w:pPr>
      <w:spacing w:before="240" w:line="240" w:lineRule="auto"/>
      <w:ind w:left="1701" w:hanging="567"/>
    </w:pPr>
    <w:rPr>
      <w:sz w:val="24"/>
      <w:szCs w:val="24"/>
    </w:rPr>
  </w:style>
  <w:style w:type="paragraph" w:customStyle="1" w:styleId="ParlAmend">
    <w:name w:val="ParlAmend"/>
    <w:aliases w:val="pp"/>
    <w:basedOn w:val="OPCParaBase"/>
    <w:semiHidden/>
    <w:rsid w:val="00F61B09"/>
    <w:pPr>
      <w:spacing w:before="240" w:line="240" w:lineRule="atLeast"/>
      <w:ind w:hanging="567"/>
    </w:pPr>
    <w:rPr>
      <w:sz w:val="24"/>
    </w:rPr>
  </w:style>
  <w:style w:type="paragraph" w:customStyle="1" w:styleId="Penalty">
    <w:name w:val="Penalty"/>
    <w:basedOn w:val="OPCParaBase"/>
    <w:semiHidden/>
    <w:rsid w:val="00F61B09"/>
    <w:pPr>
      <w:tabs>
        <w:tab w:val="left" w:pos="2977"/>
      </w:tabs>
      <w:spacing w:before="180" w:line="240" w:lineRule="auto"/>
      <w:ind w:left="1985" w:hanging="851"/>
    </w:pPr>
  </w:style>
  <w:style w:type="paragraph" w:customStyle="1" w:styleId="Portfolio">
    <w:name w:val="Portfolio"/>
    <w:basedOn w:val="OPCParaBase"/>
    <w:semiHidden/>
    <w:rsid w:val="00F61B09"/>
    <w:pPr>
      <w:spacing w:line="240" w:lineRule="auto"/>
    </w:pPr>
    <w:rPr>
      <w:i/>
      <w:sz w:val="20"/>
    </w:rPr>
  </w:style>
  <w:style w:type="paragraph" w:customStyle="1" w:styleId="Preamble">
    <w:name w:val="Preamble"/>
    <w:basedOn w:val="OPCParaBase"/>
    <w:next w:val="Normal"/>
    <w:semiHidden/>
    <w:rsid w:val="00F61B0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semiHidden/>
    <w:rsid w:val="00F61B09"/>
    <w:pPr>
      <w:spacing w:line="240" w:lineRule="auto"/>
    </w:pPr>
    <w:rPr>
      <w:i/>
      <w:sz w:val="20"/>
    </w:rPr>
  </w:style>
  <w:style w:type="paragraph" w:customStyle="1" w:styleId="Session">
    <w:name w:val="Session"/>
    <w:basedOn w:val="OPCParaBase"/>
    <w:semiHidden/>
    <w:rsid w:val="00F61B09"/>
    <w:pPr>
      <w:spacing w:line="240" w:lineRule="auto"/>
    </w:pPr>
    <w:rPr>
      <w:sz w:val="28"/>
    </w:rPr>
  </w:style>
  <w:style w:type="paragraph" w:customStyle="1" w:styleId="Sponsor">
    <w:name w:val="Sponsor"/>
    <w:basedOn w:val="OPCParaBase"/>
    <w:semiHidden/>
    <w:rsid w:val="00F61B09"/>
    <w:pPr>
      <w:spacing w:line="240" w:lineRule="auto"/>
    </w:pPr>
    <w:rPr>
      <w:i/>
    </w:rPr>
  </w:style>
  <w:style w:type="paragraph" w:customStyle="1" w:styleId="Subitem">
    <w:name w:val="Subitem"/>
    <w:aliases w:val="iss"/>
    <w:basedOn w:val="OPCParaBase"/>
    <w:semiHidden/>
    <w:rsid w:val="00F61B09"/>
    <w:pPr>
      <w:spacing w:before="180" w:line="240" w:lineRule="auto"/>
      <w:ind w:left="709" w:hanging="709"/>
    </w:pPr>
  </w:style>
  <w:style w:type="paragraph" w:customStyle="1" w:styleId="SubitemHead">
    <w:name w:val="SubitemHead"/>
    <w:aliases w:val="issh"/>
    <w:basedOn w:val="OPCParaBase"/>
    <w:semiHidden/>
    <w:rsid w:val="00F61B0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LI-BodyTextUnnumbered"/>
    <w:semiHidden/>
    <w:rsid w:val="00F61B09"/>
    <w:pPr>
      <w:spacing w:before="40" w:line="240" w:lineRule="auto"/>
      <w:ind w:left="1134"/>
    </w:pPr>
  </w:style>
  <w:style w:type="paragraph" w:customStyle="1" w:styleId="LI-Heading3">
    <w:name w:val="LI - Heading 3"/>
    <w:basedOn w:val="OPCParaBase"/>
    <w:next w:val="LI-BodyTextUnnumbered"/>
    <w:rsid w:val="00005446"/>
    <w:pPr>
      <w:keepNext/>
      <w:keepLines/>
      <w:spacing w:before="240" w:line="240" w:lineRule="auto"/>
      <w:ind w:left="567"/>
      <w:outlineLvl w:val="2"/>
    </w:pPr>
    <w:rPr>
      <w:i/>
    </w:rPr>
  </w:style>
  <w:style w:type="paragraph" w:customStyle="1" w:styleId="Tablea">
    <w:name w:val="Table(a)"/>
    <w:aliases w:val="ta"/>
    <w:basedOn w:val="OPCParaBase"/>
    <w:semiHidden/>
    <w:rsid w:val="00F61B09"/>
    <w:pPr>
      <w:spacing w:before="60" w:line="240" w:lineRule="auto"/>
      <w:ind w:left="284" w:hanging="284"/>
    </w:pPr>
    <w:rPr>
      <w:sz w:val="20"/>
    </w:rPr>
  </w:style>
  <w:style w:type="paragraph" w:customStyle="1" w:styleId="TableAA">
    <w:name w:val="Table(AA)"/>
    <w:aliases w:val="taaa"/>
    <w:basedOn w:val="OPCParaBase"/>
    <w:semiHidden/>
    <w:rsid w:val="00F61B09"/>
    <w:pPr>
      <w:tabs>
        <w:tab w:val="left" w:pos="-6543"/>
        <w:tab w:val="left" w:pos="-6260"/>
      </w:tabs>
      <w:spacing w:line="240" w:lineRule="exact"/>
      <w:ind w:left="1055" w:hanging="284"/>
    </w:pPr>
    <w:rPr>
      <w:sz w:val="20"/>
    </w:rPr>
  </w:style>
  <w:style w:type="paragraph" w:customStyle="1" w:styleId="Tablei">
    <w:name w:val="Table(i)"/>
    <w:aliases w:val="taa"/>
    <w:basedOn w:val="OPCParaBase"/>
    <w:semiHidden/>
    <w:rsid w:val="00F61B0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semiHidden/>
    <w:rsid w:val="00F61B09"/>
    <w:pPr>
      <w:spacing w:before="60" w:line="240" w:lineRule="atLeast"/>
    </w:pPr>
    <w:rPr>
      <w:sz w:val="20"/>
    </w:rPr>
  </w:style>
  <w:style w:type="paragraph" w:customStyle="1" w:styleId="TLPBoxTextnote">
    <w:name w:val="TLPBoxText(note"/>
    <w:aliases w:val="right)"/>
    <w:basedOn w:val="OPCParaBase"/>
    <w:semiHidden/>
    <w:rsid w:val="00F61B0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semiHidden/>
    <w:rsid w:val="00F61B09"/>
    <w:pPr>
      <w:numPr>
        <w:numId w:val="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semiHidden/>
    <w:rsid w:val="00F61B09"/>
    <w:pPr>
      <w:spacing w:before="122" w:line="198" w:lineRule="exact"/>
      <w:ind w:left="1985" w:hanging="851"/>
      <w:jc w:val="right"/>
    </w:pPr>
    <w:rPr>
      <w:sz w:val="18"/>
    </w:rPr>
  </w:style>
  <w:style w:type="paragraph" w:customStyle="1" w:styleId="TLPTableBullet">
    <w:name w:val="TLPTableBullet"/>
    <w:aliases w:val="ttb"/>
    <w:basedOn w:val="OPCParaBase"/>
    <w:semiHidden/>
    <w:rsid w:val="00F61B09"/>
    <w:pPr>
      <w:spacing w:line="240" w:lineRule="exact"/>
      <w:ind w:left="284" w:hanging="284"/>
    </w:pPr>
    <w:rPr>
      <w:sz w:val="20"/>
    </w:rPr>
  </w:style>
  <w:style w:type="paragraph" w:styleId="TOC1">
    <w:name w:val="toc 1"/>
    <w:basedOn w:val="OPCParaBase"/>
    <w:next w:val="Normal"/>
    <w:uiPriority w:val="39"/>
    <w:unhideWhenUsed/>
    <w:rsid w:val="006E5320"/>
    <w:pPr>
      <w:keepNext/>
      <w:keepLines/>
      <w:tabs>
        <w:tab w:val="right" w:pos="8278"/>
      </w:tabs>
      <w:spacing w:before="120" w:line="240" w:lineRule="auto"/>
      <w:ind w:left="1474" w:right="567" w:hanging="1474"/>
    </w:pPr>
    <w:rPr>
      <w:b/>
      <w:kern w:val="28"/>
      <w:sz w:val="24"/>
    </w:rPr>
  </w:style>
  <w:style w:type="paragraph" w:styleId="TOC2">
    <w:name w:val="toc 2"/>
    <w:basedOn w:val="OPCParaBase"/>
    <w:next w:val="Normal"/>
    <w:uiPriority w:val="39"/>
    <w:unhideWhenUsed/>
    <w:rsid w:val="006E5320"/>
    <w:pPr>
      <w:keepNext/>
      <w:keepLines/>
      <w:tabs>
        <w:tab w:val="right" w:leader="dot" w:pos="8278"/>
      </w:tabs>
      <w:spacing w:before="120" w:line="240" w:lineRule="auto"/>
      <w:ind w:left="851" w:hanging="284"/>
    </w:pPr>
    <w:rPr>
      <w:kern w:val="28"/>
      <w:sz w:val="24"/>
    </w:rPr>
  </w:style>
  <w:style w:type="paragraph" w:styleId="TOC3">
    <w:name w:val="toc 3"/>
    <w:basedOn w:val="OPCParaBase"/>
    <w:next w:val="Normal"/>
    <w:uiPriority w:val="39"/>
    <w:unhideWhenUsed/>
    <w:rsid w:val="00F61B0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F61B0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F61B09"/>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F61B0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F61B0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F61B0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F61B0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semiHidden/>
    <w:rsid w:val="00F61B09"/>
    <w:pPr>
      <w:keepLines/>
      <w:spacing w:before="240" w:after="120" w:line="240" w:lineRule="auto"/>
      <w:ind w:left="794"/>
    </w:pPr>
    <w:rPr>
      <w:b/>
      <w:kern w:val="28"/>
      <w:sz w:val="20"/>
    </w:rPr>
  </w:style>
  <w:style w:type="paragraph" w:customStyle="1" w:styleId="TofSectsHeading">
    <w:name w:val="TofSects(Heading)"/>
    <w:basedOn w:val="OPCParaBase"/>
    <w:semiHidden/>
    <w:rsid w:val="00F61B09"/>
    <w:pPr>
      <w:spacing w:before="240" w:after="120" w:line="240" w:lineRule="auto"/>
    </w:pPr>
    <w:rPr>
      <w:b/>
      <w:sz w:val="24"/>
    </w:rPr>
  </w:style>
  <w:style w:type="paragraph" w:customStyle="1" w:styleId="TofSectsSection">
    <w:name w:val="TofSects(Section)"/>
    <w:basedOn w:val="OPCParaBase"/>
    <w:semiHidden/>
    <w:rsid w:val="00F61B09"/>
    <w:pPr>
      <w:keepLines/>
      <w:spacing w:before="40" w:line="240" w:lineRule="auto"/>
      <w:ind w:left="1588" w:hanging="794"/>
    </w:pPr>
    <w:rPr>
      <w:kern w:val="28"/>
      <w:sz w:val="18"/>
    </w:rPr>
  </w:style>
  <w:style w:type="paragraph" w:customStyle="1" w:styleId="TofSectsSubdiv">
    <w:name w:val="TofSects(Subdiv)"/>
    <w:basedOn w:val="OPCParaBase"/>
    <w:semiHidden/>
    <w:rsid w:val="00F61B09"/>
    <w:pPr>
      <w:keepLines/>
      <w:spacing w:before="80" w:line="240" w:lineRule="auto"/>
      <w:ind w:left="1588" w:hanging="794"/>
    </w:pPr>
    <w:rPr>
      <w:kern w:val="28"/>
    </w:rPr>
  </w:style>
  <w:style w:type="paragraph" w:customStyle="1" w:styleId="WRStyle">
    <w:name w:val="WR Style"/>
    <w:aliases w:val="WR"/>
    <w:basedOn w:val="OPCParaBase"/>
    <w:semiHidden/>
    <w:rsid w:val="00F61B09"/>
    <w:pPr>
      <w:spacing w:before="240" w:line="240" w:lineRule="auto"/>
      <w:ind w:left="284" w:hanging="284"/>
    </w:pPr>
    <w:rPr>
      <w:b/>
      <w:i/>
      <w:kern w:val="28"/>
      <w:sz w:val="24"/>
    </w:rPr>
  </w:style>
  <w:style w:type="paragraph" w:customStyle="1" w:styleId="notepara">
    <w:name w:val="note(para)"/>
    <w:aliases w:val="na"/>
    <w:basedOn w:val="OPCParaBase"/>
    <w:semiHidden/>
    <w:rsid w:val="00F61B09"/>
    <w:pPr>
      <w:spacing w:before="40" w:line="198" w:lineRule="exact"/>
      <w:ind w:left="2354" w:hanging="369"/>
    </w:pPr>
    <w:rPr>
      <w:sz w:val="18"/>
    </w:rPr>
  </w:style>
  <w:style w:type="paragraph" w:styleId="Footer">
    <w:name w:val="footer"/>
    <w:link w:val="FooterChar"/>
    <w:uiPriority w:val="99"/>
    <w:rsid w:val="00F61B09"/>
    <w:pPr>
      <w:tabs>
        <w:tab w:val="center" w:pos="4153"/>
        <w:tab w:val="right" w:pos="8306"/>
      </w:tabs>
    </w:pPr>
    <w:rPr>
      <w:rFonts w:eastAsia="Times New Roman"/>
      <w:sz w:val="22"/>
      <w:szCs w:val="24"/>
    </w:rPr>
  </w:style>
  <w:style w:type="character" w:customStyle="1" w:styleId="FooterChar">
    <w:name w:val="Footer Char"/>
    <w:link w:val="Footer"/>
    <w:uiPriority w:val="99"/>
    <w:rsid w:val="00F61B09"/>
    <w:rPr>
      <w:rFonts w:eastAsia="Times New Roman" w:cs="Times New Roman"/>
      <w:sz w:val="22"/>
      <w:szCs w:val="24"/>
      <w:lang w:eastAsia="en-AU"/>
    </w:rPr>
  </w:style>
  <w:style w:type="character" w:styleId="LineNumber">
    <w:name w:val="line number"/>
    <w:uiPriority w:val="99"/>
    <w:semiHidden/>
    <w:unhideWhenUsed/>
    <w:rsid w:val="00F61B09"/>
    <w:rPr>
      <w:sz w:val="16"/>
    </w:rPr>
  </w:style>
  <w:style w:type="table" w:customStyle="1" w:styleId="CFlag">
    <w:name w:val="CFlag"/>
    <w:basedOn w:val="TableNormal"/>
    <w:uiPriority w:val="99"/>
    <w:rsid w:val="00F61B09"/>
    <w:rPr>
      <w:rFonts w:eastAsia="Times New Roman"/>
    </w:rPr>
    <w:tblPr/>
  </w:style>
  <w:style w:type="paragraph" w:styleId="BalloonText">
    <w:name w:val="Balloon Text"/>
    <w:basedOn w:val="Normal"/>
    <w:link w:val="BalloonTextChar"/>
    <w:uiPriority w:val="99"/>
    <w:semiHidden/>
    <w:unhideWhenUsed/>
    <w:rsid w:val="00F61B09"/>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F61B09"/>
    <w:rPr>
      <w:rFonts w:ascii="Tahoma" w:hAnsi="Tahoma" w:cs="Tahoma"/>
      <w:sz w:val="16"/>
      <w:szCs w:val="16"/>
    </w:rPr>
  </w:style>
  <w:style w:type="table" w:styleId="TableGrid">
    <w:name w:val="Table Grid"/>
    <w:basedOn w:val="TableNormal"/>
    <w:uiPriority w:val="59"/>
    <w:rsid w:val="00F61B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semiHidden/>
    <w:rsid w:val="00F61B09"/>
    <w:rPr>
      <w:b/>
      <w:sz w:val="28"/>
      <w:szCs w:val="32"/>
    </w:rPr>
  </w:style>
  <w:style w:type="paragraph" w:customStyle="1" w:styleId="LegislationMadeUnder">
    <w:name w:val="LegislationMadeUnder"/>
    <w:basedOn w:val="OPCParaBase"/>
    <w:next w:val="Normal"/>
    <w:semiHidden/>
    <w:rsid w:val="00F61B09"/>
    <w:rPr>
      <w:i/>
      <w:sz w:val="32"/>
      <w:szCs w:val="32"/>
    </w:rPr>
  </w:style>
  <w:style w:type="paragraph" w:customStyle="1" w:styleId="SignCoverPageEnd">
    <w:name w:val="SignCoverPageEnd"/>
    <w:basedOn w:val="OPCParaBase"/>
    <w:next w:val="Normal"/>
    <w:semiHidden/>
    <w:rsid w:val="00F61B09"/>
    <w:pPr>
      <w:keepNext/>
      <w:pBdr>
        <w:bottom w:val="single" w:sz="4" w:space="12" w:color="auto"/>
      </w:pBdr>
      <w:tabs>
        <w:tab w:val="left" w:pos="3402"/>
      </w:tabs>
      <w:spacing w:line="300" w:lineRule="atLeast"/>
      <w:ind w:right="397"/>
    </w:pPr>
  </w:style>
  <w:style w:type="paragraph" w:customStyle="1" w:styleId="LI-Fronttext">
    <w:name w:val="LI - Front text"/>
    <w:basedOn w:val="OPCParaBase"/>
    <w:next w:val="Normal"/>
    <w:rsid w:val="00572BB1"/>
    <w:pPr>
      <w:spacing w:before="240"/>
      <w:ind w:right="397"/>
    </w:pPr>
  </w:style>
  <w:style w:type="paragraph" w:customStyle="1" w:styleId="NotesHeading1">
    <w:name w:val="NotesHeading 1"/>
    <w:basedOn w:val="OPCParaBase"/>
    <w:next w:val="Normal"/>
    <w:semiHidden/>
    <w:rsid w:val="00F61B09"/>
    <w:pPr>
      <w:outlineLvl w:val="0"/>
    </w:pPr>
    <w:rPr>
      <w:b/>
      <w:sz w:val="28"/>
      <w:szCs w:val="28"/>
    </w:rPr>
  </w:style>
  <w:style w:type="paragraph" w:customStyle="1" w:styleId="NotesHeading2">
    <w:name w:val="NotesHeading 2"/>
    <w:basedOn w:val="OPCParaBase"/>
    <w:next w:val="Normal"/>
    <w:semiHidden/>
    <w:rsid w:val="00F61B09"/>
    <w:rPr>
      <w:b/>
      <w:sz w:val="28"/>
      <w:szCs w:val="28"/>
    </w:rPr>
  </w:style>
  <w:style w:type="paragraph" w:customStyle="1" w:styleId="CompiledActNo">
    <w:name w:val="CompiledActNo"/>
    <w:basedOn w:val="OPCParaBase"/>
    <w:next w:val="Normal"/>
    <w:semiHidden/>
    <w:rsid w:val="00F61B09"/>
    <w:rPr>
      <w:b/>
      <w:sz w:val="24"/>
      <w:szCs w:val="24"/>
    </w:rPr>
  </w:style>
  <w:style w:type="paragraph" w:customStyle="1" w:styleId="ENotesText">
    <w:name w:val="ENotesText"/>
    <w:aliases w:val="Ent"/>
    <w:basedOn w:val="OPCParaBase"/>
    <w:next w:val="Normal"/>
    <w:semiHidden/>
    <w:rsid w:val="00F61B09"/>
    <w:pPr>
      <w:spacing w:before="120"/>
    </w:pPr>
  </w:style>
  <w:style w:type="paragraph" w:customStyle="1" w:styleId="CompiledMadeUnder">
    <w:name w:val="CompiledMadeUnder"/>
    <w:basedOn w:val="OPCParaBase"/>
    <w:next w:val="Normal"/>
    <w:semiHidden/>
    <w:rsid w:val="00F61B09"/>
    <w:rPr>
      <w:i/>
      <w:sz w:val="24"/>
      <w:szCs w:val="24"/>
    </w:rPr>
  </w:style>
  <w:style w:type="paragraph" w:customStyle="1" w:styleId="Paragraphsub-sub-sub">
    <w:name w:val="Paragraph(sub-sub-sub)"/>
    <w:aliases w:val="aaaa"/>
    <w:basedOn w:val="OPCParaBase"/>
    <w:semiHidden/>
    <w:rsid w:val="00F61B09"/>
    <w:pPr>
      <w:tabs>
        <w:tab w:val="right" w:pos="3402"/>
      </w:tabs>
      <w:spacing w:before="40" w:line="240" w:lineRule="auto"/>
      <w:ind w:left="3402" w:hanging="3402"/>
    </w:pPr>
  </w:style>
  <w:style w:type="paragraph" w:customStyle="1" w:styleId="TableTextEndNotes">
    <w:name w:val="TableTextEndNotes"/>
    <w:aliases w:val="Tten"/>
    <w:basedOn w:val="Normal"/>
    <w:semiHidden/>
    <w:rsid w:val="00F61B09"/>
    <w:pPr>
      <w:spacing w:before="60" w:line="240" w:lineRule="auto"/>
    </w:pPr>
    <w:rPr>
      <w:rFonts w:cs="Arial"/>
      <w:sz w:val="20"/>
      <w:szCs w:val="22"/>
    </w:rPr>
  </w:style>
  <w:style w:type="paragraph" w:customStyle="1" w:styleId="NoteToSubpara">
    <w:name w:val="NoteToSubpara"/>
    <w:aliases w:val="nts"/>
    <w:basedOn w:val="OPCParaBase"/>
    <w:semiHidden/>
    <w:rsid w:val="00F61B09"/>
    <w:pPr>
      <w:spacing w:before="40" w:line="198" w:lineRule="exact"/>
      <w:ind w:left="2835" w:hanging="709"/>
    </w:pPr>
    <w:rPr>
      <w:sz w:val="18"/>
    </w:rPr>
  </w:style>
  <w:style w:type="paragraph" w:customStyle="1" w:styleId="ENoteTableHeading">
    <w:name w:val="ENoteTableHeading"/>
    <w:aliases w:val="enth"/>
    <w:basedOn w:val="OPCParaBase"/>
    <w:semiHidden/>
    <w:rsid w:val="00F61B09"/>
    <w:pPr>
      <w:keepNext/>
      <w:spacing w:before="60" w:line="240" w:lineRule="atLeast"/>
    </w:pPr>
    <w:rPr>
      <w:rFonts w:ascii="Arial" w:hAnsi="Arial"/>
      <w:b/>
      <w:sz w:val="16"/>
    </w:rPr>
  </w:style>
  <w:style w:type="paragraph" w:customStyle="1" w:styleId="ENoteTTi">
    <w:name w:val="ENoteTTi"/>
    <w:aliases w:val="entti"/>
    <w:basedOn w:val="OPCParaBase"/>
    <w:semiHidden/>
    <w:rsid w:val="00F61B09"/>
    <w:pPr>
      <w:keepNext/>
      <w:spacing w:before="60" w:line="240" w:lineRule="atLeast"/>
      <w:ind w:left="170"/>
    </w:pPr>
    <w:rPr>
      <w:sz w:val="16"/>
    </w:rPr>
  </w:style>
  <w:style w:type="paragraph" w:customStyle="1" w:styleId="ENotesHeading1">
    <w:name w:val="ENotesHeading 1"/>
    <w:aliases w:val="Enh1"/>
    <w:basedOn w:val="OPCParaBase"/>
    <w:next w:val="Normal"/>
    <w:semiHidden/>
    <w:rsid w:val="00F61B09"/>
    <w:pPr>
      <w:spacing w:before="120"/>
      <w:outlineLvl w:val="1"/>
    </w:pPr>
    <w:rPr>
      <w:b/>
      <w:sz w:val="28"/>
      <w:szCs w:val="28"/>
    </w:rPr>
  </w:style>
  <w:style w:type="paragraph" w:customStyle="1" w:styleId="ENotesHeading2">
    <w:name w:val="ENotesHeading 2"/>
    <w:aliases w:val="Enh2"/>
    <w:basedOn w:val="OPCParaBase"/>
    <w:next w:val="Normal"/>
    <w:semiHidden/>
    <w:rsid w:val="00F61B09"/>
    <w:pPr>
      <w:spacing w:before="120" w:after="120"/>
      <w:outlineLvl w:val="2"/>
    </w:pPr>
    <w:rPr>
      <w:b/>
      <w:sz w:val="24"/>
      <w:szCs w:val="28"/>
    </w:rPr>
  </w:style>
  <w:style w:type="paragraph" w:customStyle="1" w:styleId="ENoteTTIndentHeading">
    <w:name w:val="ENoteTTIndentHeading"/>
    <w:aliases w:val="enTTHi"/>
    <w:basedOn w:val="OPCParaBase"/>
    <w:semiHidden/>
    <w:rsid w:val="00F61B09"/>
    <w:pPr>
      <w:keepNext/>
      <w:spacing w:before="60" w:line="240" w:lineRule="atLeast"/>
      <w:ind w:left="170"/>
    </w:pPr>
    <w:rPr>
      <w:rFonts w:cs="Arial"/>
      <w:b/>
      <w:sz w:val="16"/>
      <w:szCs w:val="16"/>
    </w:rPr>
  </w:style>
  <w:style w:type="paragraph" w:customStyle="1" w:styleId="ENoteTableText">
    <w:name w:val="ENoteTableText"/>
    <w:aliases w:val="entt"/>
    <w:basedOn w:val="OPCParaBase"/>
    <w:semiHidden/>
    <w:rsid w:val="00F61B09"/>
    <w:pPr>
      <w:spacing w:before="60" w:line="240" w:lineRule="atLeast"/>
    </w:pPr>
    <w:rPr>
      <w:sz w:val="16"/>
    </w:rPr>
  </w:style>
  <w:style w:type="paragraph" w:customStyle="1" w:styleId="MadeunderText">
    <w:name w:val="MadeunderText"/>
    <w:basedOn w:val="OPCParaBase"/>
    <w:next w:val="CompiledMadeUnder"/>
    <w:semiHidden/>
    <w:rsid w:val="00F61B09"/>
    <w:pPr>
      <w:spacing w:before="240"/>
    </w:pPr>
    <w:rPr>
      <w:sz w:val="24"/>
      <w:szCs w:val="24"/>
    </w:rPr>
  </w:style>
  <w:style w:type="paragraph" w:customStyle="1" w:styleId="ENotesHeading3">
    <w:name w:val="ENotesHeading 3"/>
    <w:aliases w:val="Enh3"/>
    <w:basedOn w:val="OPCParaBase"/>
    <w:next w:val="Normal"/>
    <w:semiHidden/>
    <w:rsid w:val="00F61B09"/>
    <w:pPr>
      <w:keepNext/>
      <w:spacing w:before="120" w:line="240" w:lineRule="auto"/>
      <w:outlineLvl w:val="4"/>
    </w:pPr>
    <w:rPr>
      <w:b/>
      <w:szCs w:val="24"/>
    </w:rPr>
  </w:style>
  <w:style w:type="paragraph" w:customStyle="1" w:styleId="SubPartCASA">
    <w:name w:val="SubPart(CASA)"/>
    <w:aliases w:val="csp"/>
    <w:basedOn w:val="OPCParaBase"/>
    <w:next w:val="ActHead3"/>
    <w:semiHidden/>
    <w:rsid w:val="00F61B09"/>
    <w:pPr>
      <w:keepNext/>
      <w:keepLines/>
      <w:spacing w:before="280"/>
      <w:outlineLvl w:val="1"/>
    </w:pPr>
    <w:rPr>
      <w:b/>
      <w:kern w:val="28"/>
      <w:sz w:val="32"/>
    </w:rPr>
  </w:style>
  <w:style w:type="character" w:customStyle="1" w:styleId="CharSubPartTextCASA">
    <w:name w:val="CharSubPartText(CASA)"/>
    <w:basedOn w:val="OPCCharBase"/>
    <w:uiPriority w:val="1"/>
    <w:semiHidden/>
    <w:rsid w:val="00F61B09"/>
  </w:style>
  <w:style w:type="character" w:customStyle="1" w:styleId="CharSubPartNoCASA">
    <w:name w:val="CharSubPartNo(CASA)"/>
    <w:basedOn w:val="OPCCharBase"/>
    <w:uiPriority w:val="1"/>
    <w:semiHidden/>
    <w:rsid w:val="00F61B09"/>
  </w:style>
  <w:style w:type="paragraph" w:customStyle="1" w:styleId="ENoteTTIndentHeadingSub">
    <w:name w:val="ENoteTTIndentHeadingSub"/>
    <w:aliases w:val="enTTHis"/>
    <w:basedOn w:val="OPCParaBase"/>
    <w:semiHidden/>
    <w:rsid w:val="00F61B09"/>
    <w:pPr>
      <w:keepNext/>
      <w:spacing w:before="60" w:line="240" w:lineRule="atLeast"/>
      <w:ind w:left="340"/>
    </w:pPr>
    <w:rPr>
      <w:b/>
      <w:sz w:val="16"/>
    </w:rPr>
  </w:style>
  <w:style w:type="paragraph" w:customStyle="1" w:styleId="ENoteTTiSub">
    <w:name w:val="ENoteTTiSub"/>
    <w:aliases w:val="enttis"/>
    <w:basedOn w:val="OPCParaBase"/>
    <w:semiHidden/>
    <w:rsid w:val="00F61B09"/>
    <w:pPr>
      <w:keepNext/>
      <w:spacing w:before="60" w:line="240" w:lineRule="atLeast"/>
      <w:ind w:left="340"/>
    </w:pPr>
    <w:rPr>
      <w:sz w:val="16"/>
    </w:rPr>
  </w:style>
  <w:style w:type="paragraph" w:customStyle="1" w:styleId="SubDivisionMigration">
    <w:name w:val="SubDivisionMigration"/>
    <w:aliases w:val="sdm"/>
    <w:basedOn w:val="OPCParaBase"/>
    <w:semiHidden/>
    <w:rsid w:val="00F61B0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semiHidden/>
    <w:rsid w:val="00F61B09"/>
    <w:pPr>
      <w:keepNext/>
      <w:keepLines/>
      <w:spacing w:before="240" w:line="240" w:lineRule="auto"/>
      <w:ind w:left="1134" w:hanging="1134"/>
    </w:pPr>
    <w:rPr>
      <w:b/>
      <w:sz w:val="28"/>
    </w:rPr>
  </w:style>
  <w:style w:type="paragraph" w:customStyle="1" w:styleId="LI-BodyTextNote">
    <w:name w:val="LI - Body Text Note"/>
    <w:basedOn w:val="OPCParaBase"/>
    <w:link w:val="LI-BodyTextNoteChar"/>
    <w:rsid w:val="00572BB1"/>
    <w:pPr>
      <w:spacing w:before="200" w:line="240" w:lineRule="auto"/>
      <w:ind w:left="1701" w:hanging="567"/>
    </w:pPr>
    <w:rPr>
      <w:sz w:val="18"/>
    </w:rPr>
  </w:style>
  <w:style w:type="paragraph" w:customStyle="1" w:styleId="FreeForm">
    <w:name w:val="FreeForm"/>
    <w:rsid w:val="00E11E44"/>
    <w:rPr>
      <w:rFonts w:ascii="Arial" w:hAnsi="Arial"/>
      <w:sz w:val="22"/>
      <w:lang w:eastAsia="en-US"/>
    </w:rPr>
  </w:style>
  <w:style w:type="paragraph" w:customStyle="1" w:styleId="SOText">
    <w:name w:val="SO Text"/>
    <w:aliases w:val="sot"/>
    <w:link w:val="SOTextChar"/>
    <w:semiHidden/>
    <w:rsid w:val="00F61B09"/>
    <w:pPr>
      <w:pBdr>
        <w:top w:val="single" w:sz="6" w:space="5" w:color="auto"/>
        <w:left w:val="single" w:sz="6" w:space="5" w:color="auto"/>
        <w:bottom w:val="single" w:sz="6" w:space="5" w:color="auto"/>
        <w:right w:val="single" w:sz="6" w:space="5" w:color="auto"/>
      </w:pBdr>
      <w:spacing w:before="240"/>
      <w:ind w:left="1134"/>
    </w:pPr>
    <w:rPr>
      <w:sz w:val="22"/>
      <w:lang w:eastAsia="en-US"/>
    </w:rPr>
  </w:style>
  <w:style w:type="character" w:customStyle="1" w:styleId="SOTextChar">
    <w:name w:val="SO Text Char"/>
    <w:aliases w:val="sot Char"/>
    <w:link w:val="SOText"/>
    <w:semiHidden/>
    <w:rsid w:val="005F65CD"/>
    <w:rPr>
      <w:sz w:val="22"/>
      <w:lang w:eastAsia="en-US"/>
    </w:rPr>
  </w:style>
  <w:style w:type="paragraph" w:customStyle="1" w:styleId="SOTextNote">
    <w:name w:val="SO TextNote"/>
    <w:aliases w:val="sont"/>
    <w:basedOn w:val="SOText"/>
    <w:semiHidden/>
    <w:qFormat/>
    <w:rsid w:val="00F61B09"/>
    <w:pPr>
      <w:spacing w:before="122" w:line="198" w:lineRule="exact"/>
      <w:ind w:left="1843" w:hanging="709"/>
    </w:pPr>
    <w:rPr>
      <w:sz w:val="18"/>
    </w:rPr>
  </w:style>
  <w:style w:type="paragraph" w:customStyle="1" w:styleId="SOPara">
    <w:name w:val="SO Para"/>
    <w:aliases w:val="soa"/>
    <w:basedOn w:val="SOText"/>
    <w:link w:val="SOParaChar"/>
    <w:semiHidden/>
    <w:qFormat/>
    <w:rsid w:val="00F61B09"/>
    <w:pPr>
      <w:tabs>
        <w:tab w:val="right" w:pos="1786"/>
      </w:tabs>
      <w:spacing w:before="40"/>
      <w:ind w:left="2070" w:hanging="936"/>
    </w:pPr>
  </w:style>
  <w:style w:type="character" w:customStyle="1" w:styleId="SOParaChar">
    <w:name w:val="SO Para Char"/>
    <w:aliases w:val="soa Char"/>
    <w:link w:val="SOPara"/>
    <w:semiHidden/>
    <w:rsid w:val="005F65CD"/>
    <w:rPr>
      <w:sz w:val="22"/>
      <w:lang w:eastAsia="en-US"/>
    </w:rPr>
  </w:style>
  <w:style w:type="paragraph" w:customStyle="1" w:styleId="FileName">
    <w:name w:val="FileName"/>
    <w:basedOn w:val="Normal"/>
    <w:semiHidden/>
    <w:rsid w:val="00F61B09"/>
  </w:style>
  <w:style w:type="paragraph" w:customStyle="1" w:styleId="TableHeading">
    <w:name w:val="TableHeading"/>
    <w:aliases w:val="th"/>
    <w:basedOn w:val="OPCParaBase"/>
    <w:next w:val="Tabletext"/>
    <w:semiHidden/>
    <w:rsid w:val="00F61B09"/>
    <w:pPr>
      <w:keepNext/>
      <w:spacing w:before="60" w:line="240" w:lineRule="atLeast"/>
    </w:pPr>
    <w:rPr>
      <w:b/>
      <w:sz w:val="20"/>
    </w:rPr>
  </w:style>
  <w:style w:type="paragraph" w:customStyle="1" w:styleId="SOHeadBold">
    <w:name w:val="SO HeadBold"/>
    <w:aliases w:val="sohb"/>
    <w:basedOn w:val="SOText"/>
    <w:next w:val="SOText"/>
    <w:link w:val="SOHeadBoldChar"/>
    <w:semiHidden/>
    <w:qFormat/>
    <w:rsid w:val="00F61B09"/>
    <w:rPr>
      <w:b/>
    </w:rPr>
  </w:style>
  <w:style w:type="character" w:customStyle="1" w:styleId="SOHeadBoldChar">
    <w:name w:val="SO HeadBold Char"/>
    <w:aliases w:val="sohb Char"/>
    <w:link w:val="SOHeadBold"/>
    <w:semiHidden/>
    <w:rsid w:val="005F65CD"/>
    <w:rPr>
      <w:b/>
      <w:sz w:val="22"/>
      <w:lang w:eastAsia="en-US"/>
    </w:rPr>
  </w:style>
  <w:style w:type="paragraph" w:customStyle="1" w:styleId="SOHeadItalic">
    <w:name w:val="SO HeadItalic"/>
    <w:aliases w:val="sohi"/>
    <w:basedOn w:val="SOText"/>
    <w:next w:val="SOText"/>
    <w:link w:val="SOHeadItalicChar"/>
    <w:semiHidden/>
    <w:qFormat/>
    <w:rsid w:val="00F61B09"/>
    <w:rPr>
      <w:i/>
    </w:rPr>
  </w:style>
  <w:style w:type="character" w:customStyle="1" w:styleId="SOHeadItalicChar">
    <w:name w:val="SO HeadItalic Char"/>
    <w:aliases w:val="sohi Char"/>
    <w:link w:val="SOHeadItalic"/>
    <w:semiHidden/>
    <w:rsid w:val="005F65CD"/>
    <w:rPr>
      <w:i/>
      <w:sz w:val="22"/>
      <w:lang w:eastAsia="en-US"/>
    </w:rPr>
  </w:style>
  <w:style w:type="paragraph" w:customStyle="1" w:styleId="SOBullet">
    <w:name w:val="SO Bullet"/>
    <w:aliases w:val="sotb"/>
    <w:basedOn w:val="SOText"/>
    <w:link w:val="SOBulletChar"/>
    <w:semiHidden/>
    <w:qFormat/>
    <w:rsid w:val="00F61B09"/>
    <w:pPr>
      <w:ind w:left="1559" w:hanging="425"/>
    </w:pPr>
  </w:style>
  <w:style w:type="character" w:customStyle="1" w:styleId="SOBulletChar">
    <w:name w:val="SO Bullet Char"/>
    <w:aliases w:val="sotb Char"/>
    <w:link w:val="SOBullet"/>
    <w:semiHidden/>
    <w:rsid w:val="005F65CD"/>
    <w:rPr>
      <w:sz w:val="22"/>
      <w:lang w:eastAsia="en-US"/>
    </w:rPr>
  </w:style>
  <w:style w:type="paragraph" w:customStyle="1" w:styleId="SOBulletNote">
    <w:name w:val="SO BulletNote"/>
    <w:aliases w:val="sonb"/>
    <w:basedOn w:val="SOTextNote"/>
    <w:link w:val="SOBulletNoteChar"/>
    <w:semiHidden/>
    <w:qFormat/>
    <w:rsid w:val="00F61B09"/>
    <w:pPr>
      <w:tabs>
        <w:tab w:val="left" w:pos="1560"/>
      </w:tabs>
      <w:ind w:left="2268" w:hanging="1134"/>
    </w:pPr>
  </w:style>
  <w:style w:type="character" w:customStyle="1" w:styleId="SOBulletNoteChar">
    <w:name w:val="SO BulletNote Char"/>
    <w:aliases w:val="sonb Char"/>
    <w:link w:val="SOBulletNote"/>
    <w:semiHidden/>
    <w:rsid w:val="005F65CD"/>
    <w:rPr>
      <w:sz w:val="18"/>
      <w:lang w:eastAsia="en-US"/>
    </w:rPr>
  </w:style>
  <w:style w:type="paragraph" w:customStyle="1" w:styleId="SOText2">
    <w:name w:val="SO Text2"/>
    <w:aliases w:val="sot2"/>
    <w:basedOn w:val="Normal"/>
    <w:next w:val="SOText"/>
    <w:link w:val="SOText2Char"/>
    <w:semiHidden/>
    <w:rsid w:val="00F61B09"/>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link w:val="SOText2"/>
    <w:semiHidden/>
    <w:rsid w:val="005F65CD"/>
    <w:rPr>
      <w:sz w:val="22"/>
      <w:lang w:eastAsia="en-US"/>
    </w:rPr>
  </w:style>
  <w:style w:type="paragraph" w:styleId="BodyText">
    <w:name w:val="Body Text"/>
    <w:link w:val="BodyTextChar"/>
    <w:semiHidden/>
    <w:rsid w:val="00F02EF9"/>
    <w:pPr>
      <w:overflowPunct w:val="0"/>
      <w:autoSpaceDE w:val="0"/>
      <w:autoSpaceDN w:val="0"/>
      <w:adjustRightInd w:val="0"/>
      <w:spacing w:before="40" w:after="160" w:line="300" w:lineRule="atLeast"/>
    </w:pPr>
    <w:rPr>
      <w:rFonts w:eastAsia="Times New Roman"/>
      <w:color w:val="000000"/>
      <w:sz w:val="24"/>
      <w:lang w:eastAsia="en-US"/>
    </w:rPr>
  </w:style>
  <w:style w:type="character" w:customStyle="1" w:styleId="BodyTextChar">
    <w:name w:val="Body Text Char"/>
    <w:link w:val="BodyText"/>
    <w:semiHidden/>
    <w:rsid w:val="00F02EF9"/>
    <w:rPr>
      <w:rFonts w:eastAsia="Times New Roman" w:cs="Times New Roman"/>
      <w:color w:val="000000"/>
      <w:sz w:val="24"/>
    </w:rPr>
  </w:style>
  <w:style w:type="paragraph" w:styleId="BodyTextIndent">
    <w:name w:val="Body Text Indent"/>
    <w:basedOn w:val="Normal"/>
    <w:link w:val="BodyTextIndentChar"/>
    <w:semiHidden/>
    <w:unhideWhenUsed/>
    <w:rsid w:val="00840442"/>
    <w:pPr>
      <w:spacing w:after="120"/>
      <w:ind w:left="283"/>
    </w:pPr>
  </w:style>
  <w:style w:type="character" w:customStyle="1" w:styleId="BodyTextIndentChar">
    <w:name w:val="Body Text Indent Char"/>
    <w:link w:val="BodyTextIndent"/>
    <w:uiPriority w:val="99"/>
    <w:semiHidden/>
    <w:rsid w:val="00840442"/>
    <w:rPr>
      <w:sz w:val="22"/>
    </w:rPr>
  </w:style>
  <w:style w:type="character" w:styleId="Hyperlink">
    <w:name w:val="Hyperlink"/>
    <w:uiPriority w:val="99"/>
    <w:rsid w:val="00840442"/>
    <w:rPr>
      <w:color w:val="0000FF"/>
      <w:u w:val="single"/>
    </w:rPr>
  </w:style>
  <w:style w:type="character" w:styleId="PageNumber">
    <w:name w:val="page number"/>
    <w:basedOn w:val="DefaultParagraphFont"/>
    <w:semiHidden/>
    <w:rsid w:val="00840442"/>
  </w:style>
  <w:style w:type="character" w:customStyle="1" w:styleId="Heading1Char">
    <w:name w:val="Heading 1 Char"/>
    <w:link w:val="Heading1"/>
    <w:uiPriority w:val="9"/>
    <w:rsid w:val="008945E0"/>
    <w:rPr>
      <w:rFonts w:ascii="Cambria" w:eastAsia="Times New Roman" w:hAnsi="Cambria" w:cs="Times New Roman"/>
      <w:b/>
      <w:bCs/>
      <w:kern w:val="32"/>
      <w:sz w:val="32"/>
      <w:szCs w:val="32"/>
      <w:lang w:eastAsia="en-US"/>
    </w:rPr>
  </w:style>
  <w:style w:type="character" w:customStyle="1" w:styleId="Heading2Char">
    <w:name w:val="Heading 2 Char"/>
    <w:link w:val="Heading2"/>
    <w:uiPriority w:val="9"/>
    <w:semiHidden/>
    <w:rsid w:val="008945E0"/>
    <w:rPr>
      <w:rFonts w:ascii="Cambria" w:eastAsia="Times New Roman" w:hAnsi="Cambria" w:cs="Times New Roman"/>
      <w:b/>
      <w:bCs/>
      <w:i/>
      <w:iCs/>
      <w:sz w:val="28"/>
      <w:szCs w:val="28"/>
      <w:lang w:eastAsia="en-US"/>
    </w:rPr>
  </w:style>
  <w:style w:type="character" w:customStyle="1" w:styleId="Heading3Char">
    <w:name w:val="Heading 3 Char"/>
    <w:link w:val="Heading3"/>
    <w:uiPriority w:val="9"/>
    <w:semiHidden/>
    <w:rsid w:val="008945E0"/>
    <w:rPr>
      <w:rFonts w:ascii="Cambria" w:eastAsia="Times New Roman" w:hAnsi="Cambria" w:cs="Times New Roman"/>
      <w:b/>
      <w:bCs/>
      <w:sz w:val="26"/>
      <w:szCs w:val="26"/>
      <w:lang w:eastAsia="en-US"/>
    </w:rPr>
  </w:style>
  <w:style w:type="character" w:customStyle="1" w:styleId="Heading4Char">
    <w:name w:val="Heading 4 Char"/>
    <w:link w:val="Heading4"/>
    <w:uiPriority w:val="9"/>
    <w:semiHidden/>
    <w:rsid w:val="008945E0"/>
    <w:rPr>
      <w:rFonts w:ascii="Calibri" w:eastAsia="Times New Roman" w:hAnsi="Calibri" w:cs="Times New Roman"/>
      <w:b/>
      <w:bCs/>
      <w:sz w:val="28"/>
      <w:szCs w:val="28"/>
      <w:lang w:eastAsia="en-US"/>
    </w:rPr>
  </w:style>
  <w:style w:type="character" w:customStyle="1" w:styleId="Heading5Char">
    <w:name w:val="Heading 5 Char"/>
    <w:link w:val="Heading5"/>
    <w:uiPriority w:val="9"/>
    <w:semiHidden/>
    <w:rsid w:val="008945E0"/>
    <w:rPr>
      <w:rFonts w:ascii="Calibri" w:eastAsia="Times New Roman" w:hAnsi="Calibri" w:cs="Times New Roman"/>
      <w:b/>
      <w:bCs/>
      <w:i/>
      <w:iCs/>
      <w:sz w:val="26"/>
      <w:szCs w:val="26"/>
      <w:lang w:eastAsia="en-US"/>
    </w:rPr>
  </w:style>
  <w:style w:type="character" w:customStyle="1" w:styleId="Heading6Char">
    <w:name w:val="Heading 6 Char"/>
    <w:link w:val="Heading6"/>
    <w:uiPriority w:val="9"/>
    <w:semiHidden/>
    <w:rsid w:val="008945E0"/>
    <w:rPr>
      <w:rFonts w:ascii="Calibri" w:eastAsia="Times New Roman" w:hAnsi="Calibri" w:cs="Times New Roman"/>
      <w:b/>
      <w:bCs/>
      <w:sz w:val="22"/>
      <w:szCs w:val="22"/>
      <w:lang w:eastAsia="en-US"/>
    </w:rPr>
  </w:style>
  <w:style w:type="character" w:customStyle="1" w:styleId="Heading7Char">
    <w:name w:val="Heading 7 Char"/>
    <w:link w:val="Heading7"/>
    <w:uiPriority w:val="9"/>
    <w:semiHidden/>
    <w:rsid w:val="008945E0"/>
    <w:rPr>
      <w:rFonts w:ascii="Calibri" w:eastAsia="Times New Roman" w:hAnsi="Calibri" w:cs="Times New Roman"/>
      <w:sz w:val="24"/>
      <w:szCs w:val="24"/>
      <w:lang w:eastAsia="en-US"/>
    </w:rPr>
  </w:style>
  <w:style w:type="character" w:customStyle="1" w:styleId="Heading8Char">
    <w:name w:val="Heading 8 Char"/>
    <w:link w:val="Heading8"/>
    <w:uiPriority w:val="9"/>
    <w:semiHidden/>
    <w:rsid w:val="008945E0"/>
    <w:rPr>
      <w:rFonts w:ascii="Calibri" w:eastAsia="Times New Roman" w:hAnsi="Calibri" w:cs="Times New Roman"/>
      <w:i/>
      <w:iCs/>
      <w:sz w:val="24"/>
      <w:szCs w:val="24"/>
      <w:lang w:eastAsia="en-US"/>
    </w:rPr>
  </w:style>
  <w:style w:type="character" w:customStyle="1" w:styleId="Heading9Char">
    <w:name w:val="Heading 9 Char"/>
    <w:link w:val="Heading9"/>
    <w:uiPriority w:val="9"/>
    <w:semiHidden/>
    <w:rsid w:val="008945E0"/>
    <w:rPr>
      <w:rFonts w:ascii="Cambria" w:eastAsia="Times New Roman" w:hAnsi="Cambria" w:cs="Times New Roman"/>
      <w:sz w:val="22"/>
      <w:szCs w:val="22"/>
      <w:lang w:eastAsia="en-US"/>
    </w:rPr>
  </w:style>
  <w:style w:type="paragraph" w:customStyle="1" w:styleId="LI-BodyTextSubparai">
    <w:name w:val="LI - Body Text Subpara (i)"/>
    <w:basedOn w:val="LI-BodyTextParaa"/>
    <w:link w:val="LI-BodyTextSubparaiChar"/>
    <w:qFormat/>
    <w:rsid w:val="00FC3EB8"/>
    <w:pPr>
      <w:ind w:left="2268"/>
    </w:pPr>
  </w:style>
  <w:style w:type="paragraph" w:customStyle="1" w:styleId="LI-BodyTextSubsubparaA">
    <w:name w:val="LI - Body Text Subsubpara (A)"/>
    <w:basedOn w:val="LI-BodyTextParaa"/>
    <w:link w:val="LI-BodyTextSubsubparaAChar"/>
    <w:qFormat/>
    <w:rsid w:val="00FC3EB8"/>
    <w:pPr>
      <w:ind w:left="2835"/>
    </w:pPr>
  </w:style>
  <w:style w:type="character" w:customStyle="1" w:styleId="OPCParaBaseChar">
    <w:name w:val="OPCParaBase Char"/>
    <w:link w:val="OPCParaBase"/>
    <w:semiHidden/>
    <w:rsid w:val="005F65CD"/>
    <w:rPr>
      <w:rFonts w:eastAsia="Times New Roman"/>
      <w:sz w:val="22"/>
    </w:rPr>
  </w:style>
  <w:style w:type="character" w:customStyle="1" w:styleId="LI-BodyTextParaaChar">
    <w:name w:val="LI - Body Text Para (a) Char"/>
    <w:link w:val="LI-BodyTextParaa"/>
    <w:rsid w:val="00FC3EB8"/>
    <w:rPr>
      <w:rFonts w:eastAsia="Times New Roman"/>
      <w:sz w:val="24"/>
      <w:szCs w:val="24"/>
    </w:rPr>
  </w:style>
  <w:style w:type="character" w:customStyle="1" w:styleId="LI-BodyTextSubparaiChar">
    <w:name w:val="LI - Body Text Subpara (i) Char"/>
    <w:basedOn w:val="LI-BodyTextParaaChar"/>
    <w:link w:val="LI-BodyTextSubparai"/>
    <w:rsid w:val="00FC3EB8"/>
    <w:rPr>
      <w:rFonts w:eastAsia="Times New Roman"/>
      <w:sz w:val="24"/>
      <w:szCs w:val="24"/>
    </w:rPr>
  </w:style>
  <w:style w:type="paragraph" w:customStyle="1" w:styleId="LI-BodyTextNumbered">
    <w:name w:val="LI - Body Text Numbered"/>
    <w:basedOn w:val="LI-BodyTextUnnumbered"/>
    <w:link w:val="LI-BodyTextNumberedChar"/>
    <w:qFormat/>
    <w:rsid w:val="00005446"/>
    <w:pPr>
      <w:ind w:hanging="567"/>
    </w:pPr>
    <w:rPr>
      <w:szCs w:val="24"/>
    </w:rPr>
  </w:style>
  <w:style w:type="character" w:customStyle="1" w:styleId="LI-BodyTextSubsubparaAChar">
    <w:name w:val="LI - Body Text Subsubpara (A) Char"/>
    <w:basedOn w:val="LI-BodyTextParaaChar"/>
    <w:link w:val="LI-BodyTextSubsubparaA"/>
    <w:rsid w:val="00FC3EB8"/>
    <w:rPr>
      <w:rFonts w:eastAsia="Times New Roman"/>
      <w:sz w:val="24"/>
      <w:szCs w:val="24"/>
    </w:rPr>
  </w:style>
  <w:style w:type="paragraph" w:customStyle="1" w:styleId="LI-Footer">
    <w:name w:val="LI - Footer"/>
    <w:basedOn w:val="Normal"/>
    <w:link w:val="LI-FooterChar"/>
    <w:qFormat/>
    <w:rsid w:val="002B4A0D"/>
    <w:pPr>
      <w:pBdr>
        <w:top w:val="single" w:sz="6" w:space="1" w:color="auto"/>
      </w:pBdr>
      <w:tabs>
        <w:tab w:val="right" w:pos="8313"/>
      </w:tabs>
      <w:spacing w:before="120" w:line="0" w:lineRule="atLeast"/>
    </w:pPr>
    <w:rPr>
      <w:i/>
      <w:sz w:val="18"/>
    </w:rPr>
  </w:style>
  <w:style w:type="character" w:customStyle="1" w:styleId="LI-BodyTextUnnumberedChar">
    <w:name w:val="LI - Body Text Unnumbered Char"/>
    <w:link w:val="LI-BodyTextUnnumbered"/>
    <w:rsid w:val="006E5320"/>
    <w:rPr>
      <w:rFonts w:eastAsia="Times New Roman"/>
      <w:sz w:val="24"/>
    </w:rPr>
  </w:style>
  <w:style w:type="character" w:customStyle="1" w:styleId="LI-BodyTextNumberedChar">
    <w:name w:val="LI - Body Text Numbered Char"/>
    <w:link w:val="LI-BodyTextNumbered"/>
    <w:rsid w:val="00005446"/>
    <w:rPr>
      <w:rFonts w:eastAsia="Times New Roman"/>
      <w:sz w:val="24"/>
      <w:szCs w:val="24"/>
    </w:rPr>
  </w:style>
  <w:style w:type="paragraph" w:customStyle="1" w:styleId="LI-SectionHeading">
    <w:name w:val="LI - Section Heading"/>
    <w:basedOn w:val="LI-BodyTextUnnumbered"/>
    <w:link w:val="LI-SectionHeadingChar"/>
    <w:qFormat/>
    <w:rsid w:val="002B4A0D"/>
    <w:pPr>
      <w:ind w:left="2268" w:hanging="567"/>
    </w:pPr>
    <w:rPr>
      <w:b/>
      <w:szCs w:val="24"/>
    </w:rPr>
  </w:style>
  <w:style w:type="character" w:customStyle="1" w:styleId="LI-FooterChar">
    <w:name w:val="LI - Footer Char"/>
    <w:link w:val="LI-Footer"/>
    <w:rsid w:val="002B4A0D"/>
    <w:rPr>
      <w:i/>
      <w:sz w:val="18"/>
      <w:lang w:eastAsia="en-US"/>
    </w:rPr>
  </w:style>
  <w:style w:type="paragraph" w:customStyle="1" w:styleId="LI-SectionSubsectionText">
    <w:name w:val="LI - Section Subsection Text"/>
    <w:basedOn w:val="LI-BodyTextUnnumbered"/>
    <w:link w:val="LI-SectionSubsectionTextChar"/>
    <w:qFormat/>
    <w:rsid w:val="006554FF"/>
    <w:pPr>
      <w:ind w:left="2268" w:hanging="567"/>
    </w:pPr>
    <w:rPr>
      <w:szCs w:val="24"/>
    </w:rPr>
  </w:style>
  <w:style w:type="character" w:customStyle="1" w:styleId="LI-SectionHeadingChar">
    <w:name w:val="LI - Section Heading Char"/>
    <w:link w:val="LI-SectionHeading"/>
    <w:rsid w:val="002B4A0D"/>
    <w:rPr>
      <w:rFonts w:eastAsia="Times New Roman"/>
      <w:b/>
      <w:sz w:val="24"/>
      <w:szCs w:val="24"/>
    </w:rPr>
  </w:style>
  <w:style w:type="paragraph" w:customStyle="1" w:styleId="LI-SectionNote">
    <w:name w:val="LI - Section Note"/>
    <w:basedOn w:val="LI-BodyTextNote"/>
    <w:link w:val="LI-SectionNoteChar"/>
    <w:qFormat/>
    <w:rsid w:val="006554FF"/>
    <w:pPr>
      <w:spacing w:before="240"/>
      <w:ind w:left="2835"/>
    </w:pPr>
  </w:style>
  <w:style w:type="character" w:customStyle="1" w:styleId="LI-SectionSubsectionTextChar">
    <w:name w:val="LI - Section Subsection Text Char"/>
    <w:link w:val="LI-SectionSubsectionText"/>
    <w:rsid w:val="006554FF"/>
    <w:rPr>
      <w:rFonts w:eastAsia="Times New Roman"/>
      <w:sz w:val="24"/>
      <w:szCs w:val="24"/>
    </w:rPr>
  </w:style>
  <w:style w:type="paragraph" w:customStyle="1" w:styleId="LI-Sectionparaa">
    <w:name w:val="LI - Section para (a)"/>
    <w:basedOn w:val="LI-BodyTextUnnumbered"/>
    <w:link w:val="LI-SectionparaaChar"/>
    <w:qFormat/>
    <w:rsid w:val="006554FF"/>
    <w:pPr>
      <w:ind w:left="2835" w:hanging="567"/>
    </w:pPr>
    <w:rPr>
      <w:szCs w:val="24"/>
    </w:rPr>
  </w:style>
  <w:style w:type="character" w:customStyle="1" w:styleId="LI-BodyTextNoteChar">
    <w:name w:val="LI - Body Text Note Char"/>
    <w:link w:val="LI-BodyTextNote"/>
    <w:rsid w:val="00572BB1"/>
    <w:rPr>
      <w:rFonts w:eastAsia="Times New Roman"/>
      <w:sz w:val="18"/>
    </w:rPr>
  </w:style>
  <w:style w:type="character" w:customStyle="1" w:styleId="LI-SectionNoteChar">
    <w:name w:val="LI - Section Note Char"/>
    <w:basedOn w:val="LI-BodyTextNoteChar"/>
    <w:link w:val="LI-SectionNote"/>
    <w:rsid w:val="006554FF"/>
    <w:rPr>
      <w:rFonts w:eastAsia="Times New Roman"/>
      <w:sz w:val="18"/>
    </w:rPr>
  </w:style>
  <w:style w:type="paragraph" w:customStyle="1" w:styleId="LI-Sectionsubparai">
    <w:name w:val="LI - Section subpara (i)"/>
    <w:basedOn w:val="LI-BodyTextUnnumbered"/>
    <w:link w:val="LI-SectionsubparaiChar"/>
    <w:qFormat/>
    <w:rsid w:val="006554FF"/>
    <w:pPr>
      <w:ind w:left="3402" w:hanging="567"/>
    </w:pPr>
    <w:rPr>
      <w:szCs w:val="24"/>
    </w:rPr>
  </w:style>
  <w:style w:type="character" w:customStyle="1" w:styleId="LI-SectionparaaChar">
    <w:name w:val="LI - Section para (a) Char"/>
    <w:link w:val="LI-Sectionparaa"/>
    <w:rsid w:val="006554FF"/>
    <w:rPr>
      <w:rFonts w:eastAsia="Times New Roman"/>
      <w:sz w:val="24"/>
      <w:szCs w:val="24"/>
    </w:rPr>
  </w:style>
  <w:style w:type="paragraph" w:customStyle="1" w:styleId="LI-SectionsubsubparaA">
    <w:name w:val="LI - Section subsubpara (A)"/>
    <w:basedOn w:val="LI-BodyTextUnnumbered"/>
    <w:link w:val="LI-SectionsubsubparaAChar"/>
    <w:qFormat/>
    <w:rsid w:val="006554FF"/>
    <w:pPr>
      <w:ind w:left="3969" w:hanging="567"/>
    </w:pPr>
    <w:rPr>
      <w:szCs w:val="24"/>
    </w:rPr>
  </w:style>
  <w:style w:type="character" w:customStyle="1" w:styleId="LI-SectionsubparaiChar">
    <w:name w:val="LI - Section subpara (i) Char"/>
    <w:link w:val="LI-Sectionsubparai"/>
    <w:rsid w:val="006554FF"/>
    <w:rPr>
      <w:rFonts w:eastAsia="Times New Roman"/>
      <w:sz w:val="24"/>
      <w:szCs w:val="24"/>
    </w:rPr>
  </w:style>
  <w:style w:type="character" w:customStyle="1" w:styleId="LI-SectionsubsubparaAChar">
    <w:name w:val="LI - Section subsubpara (A) Char"/>
    <w:link w:val="LI-SectionsubsubparaA"/>
    <w:rsid w:val="006554FF"/>
    <w:rPr>
      <w:rFonts w:eastAsia="Times New Roman"/>
      <w:sz w:val="24"/>
      <w:szCs w:val="24"/>
    </w:rPr>
  </w:style>
  <w:style w:type="paragraph" w:customStyle="1" w:styleId="LI-SectionsubsubsubparaI">
    <w:name w:val="LI - Section subsubsubpara (I)"/>
    <w:basedOn w:val="LI-SectionsubsubparaA"/>
    <w:link w:val="LI-SectionsubsubsubparaIChar"/>
    <w:qFormat/>
    <w:rsid w:val="003528DA"/>
    <w:pPr>
      <w:ind w:left="4536"/>
    </w:pPr>
  </w:style>
  <w:style w:type="character" w:customStyle="1" w:styleId="LI-SectionsubsubsubparaIChar">
    <w:name w:val="LI - Section subsubsubpara (I) Char"/>
    <w:basedOn w:val="LI-SectionsubsubparaAChar"/>
    <w:link w:val="LI-SectionsubsubsubparaI"/>
    <w:rsid w:val="003528DA"/>
    <w:rPr>
      <w:rFonts w:eastAsia="Times New Roman"/>
      <w:sz w:val="24"/>
      <w:szCs w:val="24"/>
    </w:rPr>
  </w:style>
  <w:style w:type="character" w:styleId="CommentReference">
    <w:name w:val="annotation reference"/>
    <w:uiPriority w:val="99"/>
    <w:semiHidden/>
    <w:unhideWhenUsed/>
    <w:rsid w:val="00D702DE"/>
    <w:rPr>
      <w:sz w:val="16"/>
      <w:szCs w:val="16"/>
    </w:rPr>
  </w:style>
  <w:style w:type="paragraph" w:styleId="CommentText">
    <w:name w:val="annotation text"/>
    <w:basedOn w:val="Normal"/>
    <w:link w:val="CommentTextChar"/>
    <w:uiPriority w:val="99"/>
    <w:unhideWhenUsed/>
    <w:rsid w:val="00D702DE"/>
    <w:rPr>
      <w:sz w:val="20"/>
    </w:rPr>
  </w:style>
  <w:style w:type="character" w:customStyle="1" w:styleId="CommentTextChar">
    <w:name w:val="Comment Text Char"/>
    <w:link w:val="CommentText"/>
    <w:uiPriority w:val="99"/>
    <w:rsid w:val="00D702DE"/>
    <w:rPr>
      <w:lang w:eastAsia="en-US"/>
    </w:rPr>
  </w:style>
  <w:style w:type="paragraph" w:styleId="CommentSubject">
    <w:name w:val="annotation subject"/>
    <w:basedOn w:val="CommentText"/>
    <w:next w:val="CommentText"/>
    <w:link w:val="CommentSubjectChar"/>
    <w:uiPriority w:val="99"/>
    <w:semiHidden/>
    <w:unhideWhenUsed/>
    <w:rsid w:val="00D702DE"/>
    <w:rPr>
      <w:b/>
      <w:bCs/>
    </w:rPr>
  </w:style>
  <w:style w:type="character" w:customStyle="1" w:styleId="CommentSubjectChar">
    <w:name w:val="Comment Subject Char"/>
    <w:link w:val="CommentSubject"/>
    <w:uiPriority w:val="99"/>
    <w:semiHidden/>
    <w:rsid w:val="00D702DE"/>
    <w:rPr>
      <w:b/>
      <w:bCs/>
      <w:lang w:eastAsia="en-US"/>
    </w:rPr>
  </w:style>
  <w:style w:type="paragraph" w:customStyle="1" w:styleId="LI-Header">
    <w:name w:val="LI - Header"/>
    <w:basedOn w:val="LI-Footer"/>
    <w:link w:val="LI-HeaderChar"/>
    <w:qFormat/>
    <w:rsid w:val="0040053F"/>
    <w:pPr>
      <w:pBdr>
        <w:top w:val="none" w:sz="0" w:space="0" w:color="auto"/>
        <w:bottom w:val="single" w:sz="4" w:space="1" w:color="auto"/>
      </w:pBdr>
      <w:jc w:val="right"/>
    </w:pPr>
  </w:style>
  <w:style w:type="paragraph" w:customStyle="1" w:styleId="LI-Subtitle">
    <w:name w:val="LI - Subtitle"/>
    <w:basedOn w:val="Normal"/>
    <w:link w:val="LI-SubtitleChar"/>
    <w:qFormat/>
    <w:rsid w:val="00243EC0"/>
    <w:pPr>
      <w:pBdr>
        <w:bottom w:val="single" w:sz="4" w:space="1" w:color="auto"/>
      </w:pBdr>
      <w:spacing w:before="240"/>
    </w:pPr>
    <w:rPr>
      <w:b/>
      <w:sz w:val="28"/>
      <w:szCs w:val="28"/>
      <w:lang w:eastAsia="en-AU"/>
    </w:rPr>
  </w:style>
  <w:style w:type="character" w:customStyle="1" w:styleId="LI-HeaderChar">
    <w:name w:val="LI - Header Char"/>
    <w:basedOn w:val="LI-FooterChar"/>
    <w:link w:val="LI-Header"/>
    <w:rsid w:val="0040053F"/>
    <w:rPr>
      <w:i/>
      <w:sz w:val="18"/>
      <w:lang w:eastAsia="en-US"/>
    </w:rPr>
  </w:style>
  <w:style w:type="character" w:customStyle="1" w:styleId="LI-SubtitleChar">
    <w:name w:val="LI - Subtitle Char"/>
    <w:link w:val="LI-Subtitle"/>
    <w:rsid w:val="00243EC0"/>
    <w:rPr>
      <w:b/>
      <w:sz w:val="28"/>
      <w:szCs w:val="28"/>
    </w:rPr>
  </w:style>
  <w:style w:type="character" w:styleId="UnresolvedMention">
    <w:name w:val="Unresolved Mention"/>
    <w:basedOn w:val="DefaultParagraphFont"/>
    <w:uiPriority w:val="99"/>
    <w:semiHidden/>
    <w:unhideWhenUsed/>
    <w:rsid w:val="00C766CF"/>
    <w:rPr>
      <w:color w:val="605E5C"/>
      <w:shd w:val="clear" w:color="auto" w:fill="E1DFDD"/>
    </w:rPr>
  </w:style>
  <w:style w:type="character" w:styleId="FollowedHyperlink">
    <w:name w:val="FollowedHyperlink"/>
    <w:basedOn w:val="DefaultParagraphFont"/>
    <w:uiPriority w:val="99"/>
    <w:semiHidden/>
    <w:unhideWhenUsed/>
    <w:rsid w:val="00A45BA3"/>
    <w:rPr>
      <w:color w:val="954F72" w:themeColor="followedHyperlink"/>
      <w:u w:val="single"/>
    </w:rPr>
  </w:style>
  <w:style w:type="paragraph" w:styleId="FootnoteText">
    <w:name w:val="footnote text"/>
    <w:basedOn w:val="Normal"/>
    <w:link w:val="FootnoteTextChar"/>
    <w:semiHidden/>
    <w:unhideWhenUsed/>
    <w:rsid w:val="00FE33D8"/>
    <w:pPr>
      <w:spacing w:line="240" w:lineRule="auto"/>
    </w:pPr>
    <w:rPr>
      <w:rFonts w:eastAsia="Times New Roman"/>
      <w:sz w:val="20"/>
      <w:lang w:eastAsia="en-AU"/>
    </w:rPr>
  </w:style>
  <w:style w:type="character" w:customStyle="1" w:styleId="FootnoteTextChar">
    <w:name w:val="Footnote Text Char"/>
    <w:basedOn w:val="DefaultParagraphFont"/>
    <w:link w:val="FootnoteText"/>
    <w:semiHidden/>
    <w:rsid w:val="00FE33D8"/>
    <w:rPr>
      <w:rFonts w:eastAsia="Times New Roman"/>
    </w:rPr>
  </w:style>
  <w:style w:type="character" w:styleId="FootnoteReference">
    <w:name w:val="footnote reference"/>
    <w:basedOn w:val="DefaultParagraphFont"/>
    <w:uiPriority w:val="99"/>
    <w:unhideWhenUsed/>
    <w:rsid w:val="00FE33D8"/>
    <w:rPr>
      <w:vertAlign w:val="superscript"/>
    </w:rPr>
  </w:style>
  <w:style w:type="paragraph" w:customStyle="1" w:styleId="ListPara1">
    <w:name w:val="List Para 1"/>
    <w:basedOn w:val="Normal"/>
    <w:link w:val="ListPara1Char"/>
    <w:uiPriority w:val="4"/>
    <w:qFormat/>
    <w:rsid w:val="00FE33D8"/>
    <w:pPr>
      <w:spacing w:after="200" w:line="276" w:lineRule="auto"/>
      <w:ind w:left="3742" w:hanging="340"/>
    </w:pPr>
    <w:rPr>
      <w:rFonts w:ascii="Century Gothic" w:eastAsia="Times New Roman" w:hAnsi="Century Gothic" w:cs="Arial"/>
      <w:szCs w:val="22"/>
      <w:lang w:val="en-US" w:eastAsia="en-AU"/>
    </w:rPr>
  </w:style>
  <w:style w:type="character" w:customStyle="1" w:styleId="ListPara1Char">
    <w:name w:val="List Para 1 Char"/>
    <w:basedOn w:val="DefaultParagraphFont"/>
    <w:link w:val="ListPara1"/>
    <w:uiPriority w:val="4"/>
    <w:rsid w:val="00FE33D8"/>
    <w:rPr>
      <w:rFonts w:ascii="Century Gothic" w:eastAsia="Times New Roman" w:hAnsi="Century Gothic" w:cs="Arial"/>
      <w:sz w:val="22"/>
      <w:szCs w:val="22"/>
      <w:lang w:val="en-US"/>
    </w:rPr>
  </w:style>
  <w:style w:type="paragraph" w:customStyle="1" w:styleId="MIRHeading2Part">
    <w:name w:val="MIR Heading 2 (Part)"/>
    <w:basedOn w:val="Heading2"/>
    <w:next w:val="Normal"/>
    <w:link w:val="MIRHeading2PartChar"/>
    <w:qFormat/>
    <w:rsid w:val="00153BB0"/>
    <w:pPr>
      <w:tabs>
        <w:tab w:val="left" w:pos="851"/>
      </w:tabs>
      <w:spacing w:before="480" w:after="0" w:line="280" w:lineRule="atLeast"/>
      <w:ind w:left="1134" w:hanging="1134"/>
    </w:pPr>
    <w:rPr>
      <w:rFonts w:ascii="Arial" w:hAnsi="Arial" w:cs="Arial"/>
      <w:bCs w:val="0"/>
      <w:i w:val="0"/>
      <w:iCs w:val="0"/>
      <w:lang w:eastAsia="en-AU"/>
    </w:rPr>
  </w:style>
  <w:style w:type="character" w:customStyle="1" w:styleId="MIRHeading2PartChar">
    <w:name w:val="MIR Heading 2 (Part) Char"/>
    <w:basedOn w:val="DefaultParagraphFont"/>
    <w:link w:val="MIRHeading2Part"/>
    <w:rsid w:val="00153BB0"/>
    <w:rPr>
      <w:rFonts w:ascii="Arial" w:eastAsia="Times New Roman" w:hAnsi="Arial" w:cs="Arial"/>
      <w:b/>
      <w:sz w:val="28"/>
      <w:szCs w:val="28"/>
    </w:rPr>
  </w:style>
  <w:style w:type="paragraph" w:customStyle="1" w:styleId="MIRHeading1Chapter">
    <w:name w:val="MIR Heading 1 (Chapter)"/>
    <w:basedOn w:val="Normal"/>
    <w:next w:val="MIRHeading2Part"/>
    <w:link w:val="MIRHeading1ChapterChar"/>
    <w:qFormat/>
    <w:rsid w:val="00153BB0"/>
    <w:pPr>
      <w:keepNext/>
      <w:pageBreakBefore/>
      <w:spacing w:line="280" w:lineRule="atLeast"/>
      <w:outlineLvl w:val="0"/>
    </w:pPr>
    <w:rPr>
      <w:rFonts w:ascii="Arial" w:eastAsia="Times New Roman" w:hAnsi="Arial" w:cs="Arial"/>
      <w:b/>
      <w:kern w:val="28"/>
      <w:sz w:val="36"/>
      <w:szCs w:val="36"/>
      <w:lang w:eastAsia="en-AU"/>
    </w:rPr>
  </w:style>
  <w:style w:type="character" w:customStyle="1" w:styleId="MIRHeading1ChapterChar">
    <w:name w:val="MIR Heading 1 (Chapter) Char"/>
    <w:basedOn w:val="DefaultParagraphFont"/>
    <w:link w:val="MIRHeading1Chapter"/>
    <w:rsid w:val="00153BB0"/>
    <w:rPr>
      <w:rFonts w:ascii="Arial" w:eastAsia="Times New Roman" w:hAnsi="Arial" w:cs="Arial"/>
      <w:b/>
      <w:kern w:val="28"/>
      <w:sz w:val="36"/>
      <w:szCs w:val="36"/>
    </w:rPr>
  </w:style>
  <w:style w:type="paragraph" w:styleId="ListParagraph">
    <w:name w:val="List Paragraph"/>
    <w:basedOn w:val="Normal"/>
    <w:uiPriority w:val="34"/>
    <w:qFormat/>
    <w:rsid w:val="00CA769E"/>
    <w:pPr>
      <w:ind w:left="720"/>
      <w:contextualSpacing/>
    </w:pPr>
  </w:style>
  <w:style w:type="paragraph" w:customStyle="1" w:styleId="tbltext">
    <w:name w:val="tbl text"/>
    <w:basedOn w:val="Normal"/>
    <w:link w:val="tbltextChar"/>
    <w:rsid w:val="000C394D"/>
    <w:pPr>
      <w:widowControl w:val="0"/>
      <w:spacing w:before="120" w:line="240" w:lineRule="atLeast"/>
    </w:pPr>
    <w:rPr>
      <w:rFonts w:ascii="Arial" w:eastAsia="Times New Roman" w:hAnsi="Arial" w:cs="Arial"/>
      <w:sz w:val="18"/>
      <w:szCs w:val="18"/>
      <w:lang w:eastAsia="en-AU"/>
    </w:rPr>
  </w:style>
  <w:style w:type="paragraph" w:customStyle="1" w:styleId="tablehead">
    <w:name w:val="table head"/>
    <w:basedOn w:val="Normal"/>
    <w:rsid w:val="000C394D"/>
    <w:pPr>
      <w:keepNext/>
      <w:spacing w:before="120" w:line="240" w:lineRule="atLeast"/>
    </w:pPr>
    <w:rPr>
      <w:rFonts w:ascii="Arial" w:eastAsia="Times New Roman" w:hAnsi="Arial" w:cs="Arial"/>
      <w:b/>
      <w:sz w:val="18"/>
      <w:szCs w:val="18"/>
      <w:lang w:eastAsia="en-AU"/>
    </w:rPr>
  </w:style>
  <w:style w:type="character" w:customStyle="1" w:styleId="tbltextChar">
    <w:name w:val="tbl text Char"/>
    <w:basedOn w:val="DefaultParagraphFont"/>
    <w:link w:val="tbltext"/>
    <w:rsid w:val="008D65A0"/>
    <w:rPr>
      <w:rFonts w:ascii="Arial" w:eastAsia="Times New Roman" w:hAnsi="Arial" w:cs="Arial"/>
      <w:sz w:val="18"/>
      <w:szCs w:val="18"/>
    </w:rPr>
  </w:style>
  <w:style w:type="paragraph" w:customStyle="1" w:styleId="tablebullet">
    <w:name w:val="table bullet"/>
    <w:basedOn w:val="Normal"/>
    <w:rsid w:val="008D65A0"/>
    <w:pPr>
      <w:widowControl w:val="0"/>
      <w:numPr>
        <w:numId w:val="9"/>
      </w:numPr>
      <w:spacing w:before="60" w:line="240" w:lineRule="atLeast"/>
    </w:pPr>
    <w:rPr>
      <w:rFonts w:ascii="Arial" w:eastAsia="Times New Roman" w:hAnsi="Arial" w:cs="Arial"/>
      <w:sz w:val="18"/>
      <w:szCs w:val="18"/>
      <w:lang w:eastAsia="en-AU"/>
    </w:rPr>
  </w:style>
  <w:style w:type="paragraph" w:customStyle="1" w:styleId="li-bodytextparaa0">
    <w:name w:val="li-bodytextparaa"/>
    <w:basedOn w:val="Normal"/>
    <w:rsid w:val="00991344"/>
    <w:pPr>
      <w:spacing w:before="100" w:beforeAutospacing="1" w:after="100" w:afterAutospacing="1" w:line="240" w:lineRule="auto"/>
    </w:pPr>
    <w:rPr>
      <w:rFonts w:eastAsia="Times New Roman"/>
      <w:sz w:val="24"/>
      <w:szCs w:val="24"/>
      <w:lang w:eastAsia="en-AU"/>
    </w:rPr>
  </w:style>
  <w:style w:type="paragraph" w:customStyle="1" w:styleId="li-bodytextnumbered0">
    <w:name w:val="li-bodytextnumbered"/>
    <w:basedOn w:val="Normal"/>
    <w:rsid w:val="00991344"/>
    <w:pPr>
      <w:spacing w:before="100" w:beforeAutospacing="1" w:after="100" w:afterAutospacing="1" w:line="240" w:lineRule="auto"/>
    </w:pPr>
    <w:rPr>
      <w:rFonts w:eastAsia="Times New Roman"/>
      <w:sz w:val="24"/>
      <w:szCs w:val="24"/>
      <w:lang w:eastAsia="en-AU"/>
    </w:rPr>
  </w:style>
  <w:style w:type="paragraph" w:customStyle="1" w:styleId="MIRSubpara">
    <w:name w:val="MIR Subpara"/>
    <w:basedOn w:val="Normal"/>
    <w:qFormat/>
    <w:rsid w:val="00FA4CCF"/>
    <w:pPr>
      <w:spacing w:before="100" w:line="300" w:lineRule="atLeast"/>
    </w:pPr>
    <w:rPr>
      <w:rFonts w:eastAsia="Times New Roman"/>
      <w:szCs w:val="22"/>
      <w:lang w:eastAsia="en-AU"/>
    </w:rPr>
  </w:style>
  <w:style w:type="paragraph" w:customStyle="1" w:styleId="MIRsubsubsubpara">
    <w:name w:val="MIR subsubsubpara"/>
    <w:basedOn w:val="Normal"/>
    <w:qFormat/>
    <w:rsid w:val="00FA4CCF"/>
    <w:pPr>
      <w:spacing w:before="100" w:line="300" w:lineRule="atLeast"/>
    </w:pPr>
    <w:rPr>
      <w:rFonts w:eastAsia="Times New Roman"/>
      <w:szCs w:val="22"/>
      <w:lang w:eastAsia="en-AU"/>
    </w:rPr>
  </w:style>
  <w:style w:type="paragraph" w:customStyle="1" w:styleId="MIRBodyText">
    <w:name w:val="MIR Body Text"/>
    <w:basedOn w:val="Normal"/>
    <w:link w:val="MIRBodyTextChar"/>
    <w:qFormat/>
    <w:rsid w:val="00FA4CCF"/>
    <w:pPr>
      <w:tabs>
        <w:tab w:val="left" w:pos="851"/>
      </w:tabs>
      <w:spacing w:before="200" w:line="300" w:lineRule="atLeast"/>
    </w:pPr>
    <w:rPr>
      <w:rFonts w:eastAsia="Times New Roman"/>
      <w:szCs w:val="22"/>
      <w:lang w:eastAsia="en-AU"/>
    </w:rPr>
  </w:style>
  <w:style w:type="character" w:customStyle="1" w:styleId="MIRBodyTextChar">
    <w:name w:val="MIR Body Text Char"/>
    <w:basedOn w:val="DefaultParagraphFont"/>
    <w:link w:val="MIRBodyText"/>
    <w:rsid w:val="00FA4CCF"/>
    <w:rPr>
      <w:rFonts w:eastAsia="Times New Roman"/>
      <w:sz w:val="22"/>
      <w:szCs w:val="22"/>
    </w:rPr>
  </w:style>
  <w:style w:type="paragraph" w:customStyle="1" w:styleId="MIRSubsubpara">
    <w:name w:val="MIR Subsubpara"/>
    <w:basedOn w:val="Normal"/>
    <w:qFormat/>
    <w:rsid w:val="00FA4CCF"/>
    <w:pPr>
      <w:spacing w:before="100" w:line="300" w:lineRule="atLeast"/>
    </w:pPr>
    <w:rPr>
      <w:rFonts w:eastAsia="Times New Roman"/>
      <w:szCs w:val="22"/>
      <w:lang w:eastAsia="en-AU"/>
    </w:rPr>
  </w:style>
  <w:style w:type="paragraph" w:customStyle="1" w:styleId="Default">
    <w:name w:val="Default"/>
    <w:rsid w:val="00534EB4"/>
    <w:pPr>
      <w:autoSpaceDE w:val="0"/>
      <w:autoSpaceDN w:val="0"/>
      <w:adjustRightInd w:val="0"/>
    </w:pPr>
    <w:rPr>
      <w:color w:val="000000"/>
      <w:sz w:val="24"/>
      <w:szCs w:val="24"/>
    </w:rPr>
  </w:style>
  <w:style w:type="paragraph" w:styleId="Revision">
    <w:name w:val="Revision"/>
    <w:hidden/>
    <w:uiPriority w:val="99"/>
    <w:semiHidden/>
    <w:rsid w:val="003C5F41"/>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087055">
      <w:bodyDiv w:val="1"/>
      <w:marLeft w:val="0"/>
      <w:marRight w:val="0"/>
      <w:marTop w:val="0"/>
      <w:marBottom w:val="0"/>
      <w:divBdr>
        <w:top w:val="none" w:sz="0" w:space="0" w:color="auto"/>
        <w:left w:val="none" w:sz="0" w:space="0" w:color="auto"/>
        <w:bottom w:val="none" w:sz="0" w:space="0" w:color="auto"/>
        <w:right w:val="none" w:sz="0" w:space="0" w:color="auto"/>
      </w:divBdr>
    </w:div>
    <w:div w:id="189951238">
      <w:bodyDiv w:val="1"/>
      <w:marLeft w:val="0"/>
      <w:marRight w:val="0"/>
      <w:marTop w:val="0"/>
      <w:marBottom w:val="0"/>
      <w:divBdr>
        <w:top w:val="none" w:sz="0" w:space="0" w:color="auto"/>
        <w:left w:val="none" w:sz="0" w:space="0" w:color="auto"/>
        <w:bottom w:val="none" w:sz="0" w:space="0" w:color="auto"/>
        <w:right w:val="none" w:sz="0" w:space="0" w:color="auto"/>
      </w:divBdr>
    </w:div>
    <w:div w:id="198668673">
      <w:bodyDiv w:val="1"/>
      <w:marLeft w:val="0"/>
      <w:marRight w:val="0"/>
      <w:marTop w:val="0"/>
      <w:marBottom w:val="0"/>
      <w:divBdr>
        <w:top w:val="none" w:sz="0" w:space="0" w:color="auto"/>
        <w:left w:val="none" w:sz="0" w:space="0" w:color="auto"/>
        <w:bottom w:val="none" w:sz="0" w:space="0" w:color="auto"/>
        <w:right w:val="none" w:sz="0" w:space="0" w:color="auto"/>
      </w:divBdr>
    </w:div>
    <w:div w:id="256138385">
      <w:bodyDiv w:val="1"/>
      <w:marLeft w:val="0"/>
      <w:marRight w:val="0"/>
      <w:marTop w:val="0"/>
      <w:marBottom w:val="0"/>
      <w:divBdr>
        <w:top w:val="none" w:sz="0" w:space="0" w:color="auto"/>
        <w:left w:val="none" w:sz="0" w:space="0" w:color="auto"/>
        <w:bottom w:val="none" w:sz="0" w:space="0" w:color="auto"/>
        <w:right w:val="none" w:sz="0" w:space="0" w:color="auto"/>
      </w:divBdr>
    </w:div>
    <w:div w:id="414330186">
      <w:bodyDiv w:val="1"/>
      <w:marLeft w:val="0"/>
      <w:marRight w:val="0"/>
      <w:marTop w:val="0"/>
      <w:marBottom w:val="0"/>
      <w:divBdr>
        <w:top w:val="none" w:sz="0" w:space="0" w:color="auto"/>
        <w:left w:val="none" w:sz="0" w:space="0" w:color="auto"/>
        <w:bottom w:val="none" w:sz="0" w:space="0" w:color="auto"/>
        <w:right w:val="none" w:sz="0" w:space="0" w:color="auto"/>
      </w:divBdr>
    </w:div>
    <w:div w:id="442578538">
      <w:bodyDiv w:val="1"/>
      <w:marLeft w:val="0"/>
      <w:marRight w:val="0"/>
      <w:marTop w:val="0"/>
      <w:marBottom w:val="0"/>
      <w:divBdr>
        <w:top w:val="none" w:sz="0" w:space="0" w:color="auto"/>
        <w:left w:val="none" w:sz="0" w:space="0" w:color="auto"/>
        <w:bottom w:val="none" w:sz="0" w:space="0" w:color="auto"/>
        <w:right w:val="none" w:sz="0" w:space="0" w:color="auto"/>
      </w:divBdr>
    </w:div>
    <w:div w:id="501706349">
      <w:bodyDiv w:val="1"/>
      <w:marLeft w:val="0"/>
      <w:marRight w:val="0"/>
      <w:marTop w:val="0"/>
      <w:marBottom w:val="0"/>
      <w:divBdr>
        <w:top w:val="none" w:sz="0" w:space="0" w:color="auto"/>
        <w:left w:val="none" w:sz="0" w:space="0" w:color="auto"/>
        <w:bottom w:val="none" w:sz="0" w:space="0" w:color="auto"/>
        <w:right w:val="none" w:sz="0" w:space="0" w:color="auto"/>
      </w:divBdr>
    </w:div>
    <w:div w:id="648247979">
      <w:bodyDiv w:val="1"/>
      <w:marLeft w:val="0"/>
      <w:marRight w:val="0"/>
      <w:marTop w:val="0"/>
      <w:marBottom w:val="0"/>
      <w:divBdr>
        <w:top w:val="none" w:sz="0" w:space="0" w:color="auto"/>
        <w:left w:val="none" w:sz="0" w:space="0" w:color="auto"/>
        <w:bottom w:val="none" w:sz="0" w:space="0" w:color="auto"/>
        <w:right w:val="none" w:sz="0" w:space="0" w:color="auto"/>
      </w:divBdr>
    </w:div>
    <w:div w:id="692462135">
      <w:bodyDiv w:val="1"/>
      <w:marLeft w:val="0"/>
      <w:marRight w:val="0"/>
      <w:marTop w:val="0"/>
      <w:marBottom w:val="0"/>
      <w:divBdr>
        <w:top w:val="none" w:sz="0" w:space="0" w:color="auto"/>
        <w:left w:val="none" w:sz="0" w:space="0" w:color="auto"/>
        <w:bottom w:val="none" w:sz="0" w:space="0" w:color="auto"/>
        <w:right w:val="none" w:sz="0" w:space="0" w:color="auto"/>
      </w:divBdr>
    </w:div>
    <w:div w:id="692731220">
      <w:bodyDiv w:val="1"/>
      <w:marLeft w:val="0"/>
      <w:marRight w:val="0"/>
      <w:marTop w:val="0"/>
      <w:marBottom w:val="0"/>
      <w:divBdr>
        <w:top w:val="none" w:sz="0" w:space="0" w:color="auto"/>
        <w:left w:val="none" w:sz="0" w:space="0" w:color="auto"/>
        <w:bottom w:val="none" w:sz="0" w:space="0" w:color="auto"/>
        <w:right w:val="none" w:sz="0" w:space="0" w:color="auto"/>
      </w:divBdr>
    </w:div>
    <w:div w:id="724597078">
      <w:bodyDiv w:val="1"/>
      <w:marLeft w:val="0"/>
      <w:marRight w:val="0"/>
      <w:marTop w:val="0"/>
      <w:marBottom w:val="0"/>
      <w:divBdr>
        <w:top w:val="none" w:sz="0" w:space="0" w:color="auto"/>
        <w:left w:val="none" w:sz="0" w:space="0" w:color="auto"/>
        <w:bottom w:val="none" w:sz="0" w:space="0" w:color="auto"/>
        <w:right w:val="none" w:sz="0" w:space="0" w:color="auto"/>
      </w:divBdr>
    </w:div>
    <w:div w:id="882474341">
      <w:bodyDiv w:val="1"/>
      <w:marLeft w:val="0"/>
      <w:marRight w:val="0"/>
      <w:marTop w:val="0"/>
      <w:marBottom w:val="0"/>
      <w:divBdr>
        <w:top w:val="none" w:sz="0" w:space="0" w:color="auto"/>
        <w:left w:val="none" w:sz="0" w:space="0" w:color="auto"/>
        <w:bottom w:val="none" w:sz="0" w:space="0" w:color="auto"/>
        <w:right w:val="none" w:sz="0" w:space="0" w:color="auto"/>
      </w:divBdr>
    </w:div>
    <w:div w:id="1052996289">
      <w:bodyDiv w:val="1"/>
      <w:marLeft w:val="0"/>
      <w:marRight w:val="0"/>
      <w:marTop w:val="0"/>
      <w:marBottom w:val="0"/>
      <w:divBdr>
        <w:top w:val="none" w:sz="0" w:space="0" w:color="auto"/>
        <w:left w:val="none" w:sz="0" w:space="0" w:color="auto"/>
        <w:bottom w:val="none" w:sz="0" w:space="0" w:color="auto"/>
        <w:right w:val="none" w:sz="0" w:space="0" w:color="auto"/>
      </w:divBdr>
    </w:div>
    <w:div w:id="1277981005">
      <w:bodyDiv w:val="1"/>
      <w:marLeft w:val="0"/>
      <w:marRight w:val="0"/>
      <w:marTop w:val="0"/>
      <w:marBottom w:val="0"/>
      <w:divBdr>
        <w:top w:val="none" w:sz="0" w:space="0" w:color="auto"/>
        <w:left w:val="none" w:sz="0" w:space="0" w:color="auto"/>
        <w:bottom w:val="none" w:sz="0" w:space="0" w:color="auto"/>
        <w:right w:val="none" w:sz="0" w:space="0" w:color="auto"/>
      </w:divBdr>
    </w:div>
    <w:div w:id="1297416932">
      <w:bodyDiv w:val="1"/>
      <w:marLeft w:val="0"/>
      <w:marRight w:val="0"/>
      <w:marTop w:val="0"/>
      <w:marBottom w:val="0"/>
      <w:divBdr>
        <w:top w:val="none" w:sz="0" w:space="0" w:color="auto"/>
        <w:left w:val="none" w:sz="0" w:space="0" w:color="auto"/>
        <w:bottom w:val="none" w:sz="0" w:space="0" w:color="auto"/>
        <w:right w:val="none" w:sz="0" w:space="0" w:color="auto"/>
      </w:divBdr>
    </w:div>
    <w:div w:id="1471436813">
      <w:bodyDiv w:val="1"/>
      <w:marLeft w:val="0"/>
      <w:marRight w:val="0"/>
      <w:marTop w:val="0"/>
      <w:marBottom w:val="0"/>
      <w:divBdr>
        <w:top w:val="none" w:sz="0" w:space="0" w:color="auto"/>
        <w:left w:val="none" w:sz="0" w:space="0" w:color="auto"/>
        <w:bottom w:val="none" w:sz="0" w:space="0" w:color="auto"/>
        <w:right w:val="none" w:sz="0" w:space="0" w:color="auto"/>
      </w:divBdr>
    </w:div>
    <w:div w:id="1516071775">
      <w:bodyDiv w:val="1"/>
      <w:marLeft w:val="0"/>
      <w:marRight w:val="0"/>
      <w:marTop w:val="0"/>
      <w:marBottom w:val="0"/>
      <w:divBdr>
        <w:top w:val="none" w:sz="0" w:space="0" w:color="auto"/>
        <w:left w:val="none" w:sz="0" w:space="0" w:color="auto"/>
        <w:bottom w:val="none" w:sz="0" w:space="0" w:color="auto"/>
        <w:right w:val="none" w:sz="0" w:space="0" w:color="auto"/>
      </w:divBdr>
    </w:div>
    <w:div w:id="1529103687">
      <w:bodyDiv w:val="1"/>
      <w:marLeft w:val="0"/>
      <w:marRight w:val="0"/>
      <w:marTop w:val="0"/>
      <w:marBottom w:val="0"/>
      <w:divBdr>
        <w:top w:val="none" w:sz="0" w:space="0" w:color="auto"/>
        <w:left w:val="none" w:sz="0" w:space="0" w:color="auto"/>
        <w:bottom w:val="none" w:sz="0" w:space="0" w:color="auto"/>
        <w:right w:val="none" w:sz="0" w:space="0" w:color="auto"/>
      </w:divBdr>
    </w:div>
    <w:div w:id="1558855142">
      <w:bodyDiv w:val="1"/>
      <w:marLeft w:val="0"/>
      <w:marRight w:val="0"/>
      <w:marTop w:val="0"/>
      <w:marBottom w:val="0"/>
      <w:divBdr>
        <w:top w:val="none" w:sz="0" w:space="0" w:color="auto"/>
        <w:left w:val="none" w:sz="0" w:space="0" w:color="auto"/>
        <w:bottom w:val="none" w:sz="0" w:space="0" w:color="auto"/>
        <w:right w:val="none" w:sz="0" w:space="0" w:color="auto"/>
      </w:divBdr>
    </w:div>
    <w:div w:id="1605571031">
      <w:bodyDiv w:val="1"/>
      <w:marLeft w:val="0"/>
      <w:marRight w:val="0"/>
      <w:marTop w:val="0"/>
      <w:marBottom w:val="0"/>
      <w:divBdr>
        <w:top w:val="none" w:sz="0" w:space="0" w:color="auto"/>
        <w:left w:val="none" w:sz="0" w:space="0" w:color="auto"/>
        <w:bottom w:val="none" w:sz="0" w:space="0" w:color="auto"/>
        <w:right w:val="none" w:sz="0" w:space="0" w:color="auto"/>
      </w:divBdr>
    </w:div>
    <w:div w:id="1782458767">
      <w:bodyDiv w:val="1"/>
      <w:marLeft w:val="0"/>
      <w:marRight w:val="0"/>
      <w:marTop w:val="0"/>
      <w:marBottom w:val="0"/>
      <w:divBdr>
        <w:top w:val="none" w:sz="0" w:space="0" w:color="auto"/>
        <w:left w:val="none" w:sz="0" w:space="0" w:color="auto"/>
        <w:bottom w:val="none" w:sz="0" w:space="0" w:color="auto"/>
        <w:right w:val="none" w:sz="0" w:space="0" w:color="auto"/>
      </w:divBdr>
    </w:div>
    <w:div w:id="1826433327">
      <w:bodyDiv w:val="1"/>
      <w:marLeft w:val="0"/>
      <w:marRight w:val="0"/>
      <w:marTop w:val="0"/>
      <w:marBottom w:val="0"/>
      <w:divBdr>
        <w:top w:val="none" w:sz="0" w:space="0" w:color="auto"/>
        <w:left w:val="none" w:sz="0" w:space="0" w:color="auto"/>
        <w:bottom w:val="none" w:sz="0" w:space="0" w:color="auto"/>
        <w:right w:val="none" w:sz="0" w:space="0" w:color="auto"/>
      </w:divBdr>
    </w:div>
    <w:div w:id="1840121884">
      <w:bodyDiv w:val="1"/>
      <w:marLeft w:val="0"/>
      <w:marRight w:val="0"/>
      <w:marTop w:val="0"/>
      <w:marBottom w:val="0"/>
      <w:divBdr>
        <w:top w:val="none" w:sz="0" w:space="0" w:color="auto"/>
        <w:left w:val="none" w:sz="0" w:space="0" w:color="auto"/>
        <w:bottom w:val="none" w:sz="0" w:space="0" w:color="auto"/>
        <w:right w:val="none" w:sz="0" w:space="0" w:color="auto"/>
      </w:divBdr>
    </w:div>
    <w:div w:id="1848321264">
      <w:bodyDiv w:val="1"/>
      <w:marLeft w:val="0"/>
      <w:marRight w:val="0"/>
      <w:marTop w:val="0"/>
      <w:marBottom w:val="0"/>
      <w:divBdr>
        <w:top w:val="none" w:sz="0" w:space="0" w:color="auto"/>
        <w:left w:val="none" w:sz="0" w:space="0" w:color="auto"/>
        <w:bottom w:val="none" w:sz="0" w:space="0" w:color="auto"/>
        <w:right w:val="none" w:sz="0" w:space="0" w:color="auto"/>
      </w:divBdr>
    </w:div>
    <w:div w:id="1870676799">
      <w:bodyDiv w:val="1"/>
      <w:marLeft w:val="0"/>
      <w:marRight w:val="0"/>
      <w:marTop w:val="0"/>
      <w:marBottom w:val="0"/>
      <w:divBdr>
        <w:top w:val="none" w:sz="0" w:space="0" w:color="auto"/>
        <w:left w:val="none" w:sz="0" w:space="0" w:color="auto"/>
        <w:bottom w:val="none" w:sz="0" w:space="0" w:color="auto"/>
        <w:right w:val="none" w:sz="0" w:space="0" w:color="auto"/>
      </w:divBdr>
    </w:div>
    <w:div w:id="2054692160">
      <w:bodyDiv w:val="1"/>
      <w:marLeft w:val="0"/>
      <w:marRight w:val="0"/>
      <w:marTop w:val="0"/>
      <w:marBottom w:val="0"/>
      <w:divBdr>
        <w:top w:val="none" w:sz="0" w:space="0" w:color="auto"/>
        <w:left w:val="none" w:sz="0" w:space="0" w:color="auto"/>
        <w:bottom w:val="none" w:sz="0" w:space="0" w:color="auto"/>
        <w:right w:val="none" w:sz="0" w:space="0" w:color="auto"/>
      </w:divBdr>
    </w:div>
    <w:div w:id="2097438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download.asic.gov.au/media/5072063/prescribed-derivative-trade-repositories-determination-19-0325.pdf"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download.asic.gov.au/media/3276186/asic-prescribed-trade-repositories-determination-15_0591.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asic.gov.au/regulatory-resources/find-a-document/consultation-papers/cp-361-proposed-changes-to-simplify-the-asic-derivative-transaction-rules-reporting-second-consultation/" TargetMode="External"/><Relationship Id="rId20" Type="http://schemas.openxmlformats.org/officeDocument/2006/relationships/hyperlink" Target="https://www.ag.gov.au/rights-and-protections/human-rights-and-anti-discrimination/human-rights-scrutiny/public-sector-guidance-sheets/privacy-and-reputation"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asic.gov.au/regulatory-resources/find-a-document/consultation-papers/cp-334-proposed-changes-to-simplify-the-asic-derivative-transaction-rules-reporting-first-consultation/" TargetMode="External"/><Relationship Id="rId23"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yperlink" Target="https://www.legislation.gov.au/Details/F2015L00100"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1abb5e704a84578aa4b8ef0390c3b25 xmlns="db2b92ca-6ed0-4085-802d-4c686a2e8c3f">
      <Terms xmlns="http://schemas.microsoft.com/office/infopath/2007/PartnerControls">
        <TermInfo xmlns="http://schemas.microsoft.com/office/infopath/2007/PartnerControls">
          <TermName xmlns="http://schemas.microsoft.com/office/infopath/2007/PartnerControls">OFFICIAL - Sensitive</TermName>
          <TermId xmlns="http://schemas.microsoft.com/office/infopath/2007/PartnerControls">6eccc17f-024b-41b0-b6b1-faf98d2aff85</TermId>
        </TermInfo>
      </Terms>
    </p1abb5e704a84578aa4b8ef0390c3b25>
    <TaxCatchAll xmlns="db2b92ca-6ed0-4085-802d-4c686a2e8c3f">
      <Value>1</Value>
    </TaxCatchAll>
    <DocumentNotes xmlns="db2b92ca-6ed0-4085-802d-4c686a2e8c3f" xsi:nil="true"/>
    <NAPReason xmlns="db2b92ca-6ed0-4085-802d-4c686a2e8c3f" xsi:nil="true"/>
    <ECMSP13ModifiedBy xmlns="eb44715b-cd74-4c79-92c4-f0e9f1a86440">Chris Flanagan</ECMSP13ModifiedBy>
    <ECMSP13CreatedBy xmlns="eb44715b-cd74-4c79-92c4-f0e9f1a86440">Chris Flanagan</ECMSP13CreatedBy>
    <ECMSP13SecurityClassification xmlns="eb44715b-cd74-4c79-92c4-f0e9f1a86440">Sensitive</ECMSP13SecurityClassification>
    <ECMSP13DocumentID xmlns="eb44715b-cd74-4c79-92c4-f0e9f1a86440">R20190000303009</ECMSP13DocumentID>
    <_dlc_DocId xmlns="eb44715b-cd74-4c79-92c4-f0e9f1a86440">001055-1122178031-2258</_dlc_DocId>
    <_dlc_DocIdUrl xmlns="eb44715b-cd74-4c79-92c4-f0e9f1a86440">
      <Url>https://asiclink.sharepoint.com/teams/001055/_layouts/15/DocIdRedir.aspx?ID=001055-1122178031-2258</Url>
      <Description>001055-1122178031-2258</Description>
    </_dlc_DocIdUrl>
  </documentManagement>
</p:properties>
</file>

<file path=customXml/item5.xml><?xml version="1.0" encoding="utf-8"?>
<?mso-contentType ?>
<SharedContentType xmlns="Microsoft.SharePoint.Taxonomy.ContentTypeSync" SourceId="af302855-5de3-48f9-83c2-fc1acc0f760b" ContentTypeId="0x010100B5F685A1365F544391EF8C813B164F3A" PreviousValue="false"/>
</file>

<file path=customXml/item6.xml><?xml version="1.0" encoding="utf-8"?>
<ct:contentTypeSchema xmlns:ct="http://schemas.microsoft.com/office/2006/metadata/contentType" xmlns:ma="http://schemas.microsoft.com/office/2006/metadata/properties/metaAttributes" ct:_="" ma:_="" ma:contentTypeName="ECM SP13 Document" ma:contentTypeID="0x010100B5F685A1365F544391EF8C813B164F3A006A0666AD55E74A4AA7B2AAEA6C351A6000421884093534C14F97E78FECD91E4D5E" ma:contentTypeVersion="7" ma:contentTypeDescription="Create a new document." ma:contentTypeScope="" ma:versionID="0c3b04ecf3eef79b130090765d0a1108">
  <xsd:schema xmlns:xsd="http://www.w3.org/2001/XMLSchema" xmlns:xs="http://www.w3.org/2001/XMLSchema" xmlns:p="http://schemas.microsoft.com/office/2006/metadata/properties" xmlns:ns2="db2b92ca-6ed0-4085-802d-4c686a2e8c3f" xmlns:ns3="eb44715b-cd74-4c79-92c4-f0e9f1a86440" targetNamespace="http://schemas.microsoft.com/office/2006/metadata/properties" ma:root="true" ma:fieldsID="6866825ac798522bf9433a7dd65bd0f5" ns2:_="" ns3:_="">
    <xsd:import namespace="db2b92ca-6ed0-4085-802d-4c686a2e8c3f"/>
    <xsd:import namespace="eb44715b-cd74-4c79-92c4-f0e9f1a86440"/>
    <xsd:element name="properties">
      <xsd:complexType>
        <xsd:sequence>
          <xsd:element name="documentManagement">
            <xsd:complexType>
              <xsd:all>
                <xsd:element ref="ns2:NAPReason" minOccurs="0"/>
                <xsd:element ref="ns2:p1abb5e704a84578aa4b8ef0390c3b25" minOccurs="0"/>
                <xsd:element ref="ns2:TaxCatchAll" minOccurs="0"/>
                <xsd:element ref="ns2:TaxCatchAllLabel" minOccurs="0"/>
                <xsd:element ref="ns2:DocumentNotes" minOccurs="0"/>
                <xsd:element ref="ns3:ECMSP13DocumentID" minOccurs="0"/>
                <xsd:element ref="ns3:ECMSP13SecurityClassification" minOccurs="0"/>
                <xsd:element ref="ns3:ECMSP13ModifiedBy" minOccurs="0"/>
                <xsd:element ref="ns3:ECMSP13CreatedBy"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2b92ca-6ed0-4085-802d-4c686a2e8c3f" elementFormDefault="qualified">
    <xsd:import namespace="http://schemas.microsoft.com/office/2006/documentManagement/types"/>
    <xsd:import namespace="http://schemas.microsoft.com/office/infopath/2007/PartnerControls"/>
    <xsd:element name="NAPReason" ma:index="8" nillable="true" ma:displayName="NAP Reason" ma:internalName="NAPReason">
      <xsd:simpleType>
        <xsd:restriction base="dms:Choice">
          <xsd:enumeration value="Created in error"/>
          <xsd:enumeration value="Low risk email, calendar entry or alert"/>
          <xsd:enumeration value="Copy kept for reference only"/>
          <xsd:enumeration value="Duplicate"/>
          <xsd:enumeration value="Rough working paper or calculations"/>
          <xsd:enumeration value="Draft not intended for further use"/>
          <xsd:enumeration value="Externally published material"/>
          <xsd:enumeration value="Unofficial information"/>
        </xsd:restriction>
      </xsd:simpleType>
    </xsd:element>
    <xsd:element name="p1abb5e704a84578aa4b8ef0390c3b25" ma:index="9" ma:taxonomy="true" ma:internalName="p1abb5e704a84578aa4b8ef0390c3b25" ma:taxonomyFieldName="SecurityClassification" ma:displayName="Security Classification" ma:readOnly="false" ma:fieldId="{91abb5e7-04a8-4578-aa4b-8ef0390c3b25}" ma:sspId="af302855-5de3-48f9-83c2-fc1acc0f760b" ma:termSetId="1d2f2699-c9ac-44b7-aa84-d64945e6f0bf"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0fce34cc-bad1-49e6-aa59-6651be61fae6}" ma:internalName="TaxCatchAll" ma:showField="CatchAllData" ma:web="eb44715b-cd74-4c79-92c4-f0e9f1a86440">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0fce34cc-bad1-49e6-aa59-6651be61fae6}" ma:internalName="TaxCatchAllLabel" ma:readOnly="true" ma:showField="CatchAllDataLabel" ma:web="eb44715b-cd74-4c79-92c4-f0e9f1a86440">
      <xsd:complexType>
        <xsd:complexContent>
          <xsd:extension base="dms:MultiChoiceLookup">
            <xsd:sequence>
              <xsd:element name="Value" type="dms:Lookup" maxOccurs="unbounded" minOccurs="0" nillable="true"/>
            </xsd:sequence>
          </xsd:extension>
        </xsd:complexContent>
      </xsd:complexType>
    </xsd:element>
    <xsd:element name="DocumentNotes" ma:index="13" nillable="true" ma:displayName="Document Notes" ma:internalName="Document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44715b-cd74-4c79-92c4-f0e9f1a86440" elementFormDefault="qualified">
    <xsd:import namespace="http://schemas.microsoft.com/office/2006/documentManagement/types"/>
    <xsd:import namespace="http://schemas.microsoft.com/office/infopath/2007/PartnerControls"/>
    <xsd:element name="ECMSP13DocumentID" ma:index="14" nillable="true" ma:displayName="ECM SP13 Document ID" ma:internalName="ECMSP13DocumentID">
      <xsd:simpleType>
        <xsd:restriction base="dms:Text"/>
      </xsd:simpleType>
    </xsd:element>
    <xsd:element name="ECMSP13SecurityClassification" ma:index="15" nillable="true" ma:displayName="ECM SP13 Security Classification" ma:internalName="ECMSP13SecurityClassification">
      <xsd:simpleType>
        <xsd:restriction base="dms:Text"/>
      </xsd:simpleType>
    </xsd:element>
    <xsd:element name="ECMSP13ModifiedBy" ma:index="16" nillable="true" ma:displayName="ECM SP13 Modified By" ma:internalName="ECMSP13ModifiedBy">
      <xsd:simpleType>
        <xsd:restriction base="dms:Text"/>
      </xsd:simpleType>
    </xsd:element>
    <xsd:element name="ECMSP13CreatedBy" ma:index="17" nillable="true" ma:displayName="ECM SP13 Created By" ma:internalName="ECMSP13CreatedBy">
      <xsd:simpleType>
        <xsd:restriction base="dms:Text"/>
      </xsd:simpleType>
    </xsd:element>
    <xsd:element name="_dlc_DocId" ma:index="18" nillable="true" ma:displayName="Document ID Value" ma:description="The value of the document ID assigned to this item." ma:indexed="true"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LongProperties xmlns="http://schemas.microsoft.com/office/2006/metadata/longProperties"/>
</file>

<file path=customXml/itemProps1.xml><?xml version="1.0" encoding="utf-8"?>
<ds:datastoreItem xmlns:ds="http://schemas.openxmlformats.org/officeDocument/2006/customXml" ds:itemID="{8FBB6455-C0AB-482E-B236-D86FCAB0EB2C}">
  <ds:schemaRefs>
    <ds:schemaRef ds:uri="http://schemas.microsoft.com/sharepoint/events"/>
  </ds:schemaRefs>
</ds:datastoreItem>
</file>

<file path=customXml/itemProps2.xml><?xml version="1.0" encoding="utf-8"?>
<ds:datastoreItem xmlns:ds="http://schemas.openxmlformats.org/officeDocument/2006/customXml" ds:itemID="{21A89C9C-8A1F-4B12-B0D1-8EAC71064D5A}">
  <ds:schemaRefs>
    <ds:schemaRef ds:uri="http://schemas.openxmlformats.org/officeDocument/2006/bibliography"/>
  </ds:schemaRefs>
</ds:datastoreItem>
</file>

<file path=customXml/itemProps3.xml><?xml version="1.0" encoding="utf-8"?>
<ds:datastoreItem xmlns:ds="http://schemas.openxmlformats.org/officeDocument/2006/customXml" ds:itemID="{ABCBF981-FD0F-43DE-9486-84B06A309871}">
  <ds:schemaRefs>
    <ds:schemaRef ds:uri="http://schemas.microsoft.com/sharepoint/v3/contenttype/forms"/>
  </ds:schemaRefs>
</ds:datastoreItem>
</file>

<file path=customXml/itemProps4.xml><?xml version="1.0" encoding="utf-8"?>
<ds:datastoreItem xmlns:ds="http://schemas.openxmlformats.org/officeDocument/2006/customXml" ds:itemID="{1C5C2BBE-A258-42BC-8E08-C72274913B6C}">
  <ds:schemaRefs>
    <ds:schemaRef ds:uri="http://schemas.microsoft.com/office/2006/metadata/properties"/>
    <ds:schemaRef ds:uri="eb44715b-cd74-4c79-92c4-f0e9f1a86440"/>
    <ds:schemaRef ds:uri="http://purl.org/dc/elements/1.1/"/>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db2b92ca-6ed0-4085-802d-4c686a2e8c3f"/>
    <ds:schemaRef ds:uri="http://www.w3.org/XML/1998/namespace"/>
  </ds:schemaRefs>
</ds:datastoreItem>
</file>

<file path=customXml/itemProps5.xml><?xml version="1.0" encoding="utf-8"?>
<ds:datastoreItem xmlns:ds="http://schemas.openxmlformats.org/officeDocument/2006/customXml" ds:itemID="{2F60C075-AFC5-4BA5-A4BF-50F4DAA03D16}">
  <ds:schemaRefs>
    <ds:schemaRef ds:uri="Microsoft.SharePoint.Taxonomy.ContentTypeSync"/>
  </ds:schemaRefs>
</ds:datastoreItem>
</file>

<file path=customXml/itemProps6.xml><?xml version="1.0" encoding="utf-8"?>
<ds:datastoreItem xmlns:ds="http://schemas.openxmlformats.org/officeDocument/2006/customXml" ds:itemID="{6BE0DDF9-E965-4A1E-A626-35A51CB4E4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2b92ca-6ed0-4085-802d-4c686a2e8c3f"/>
    <ds:schemaRef ds:uri="eb44715b-cd74-4c79-92c4-f0e9f1a864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8DFC3A2D-29AD-4D61-825B-5E64659D8DA7}">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INST_NEW.DOTX</Template>
  <TotalTime>21</TotalTime>
  <Pages>34</Pages>
  <Words>12227</Words>
  <Characters>69698</Characters>
  <Application>Microsoft Office Word</Application>
  <DocSecurity>0</DocSecurity>
  <PresentationFormat/>
  <Lines>580</Lines>
  <Paragraphs>163</Paragraphs>
  <ScaleCrop>false</ScaleCrop>
  <HeadingPairs>
    <vt:vector size="2" baseType="variant">
      <vt:variant>
        <vt:lpstr>Title</vt:lpstr>
      </vt:variant>
      <vt:variant>
        <vt:i4>1</vt:i4>
      </vt:variant>
    </vt:vector>
  </HeadingPairs>
  <TitlesOfParts>
    <vt:vector size="1" baseType="lpstr">
      <vt:lpstr>ASIC Template (Explanatory Statement - Jan 2019).docx</vt:lpstr>
    </vt:vector>
  </TitlesOfParts>
  <Company>ASIC</Company>
  <LinksUpToDate>false</LinksUpToDate>
  <CharactersWithSpaces>81762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ASIC Template (Explanatory Statement - Jan 2019).docx</dc:title>
  <dc:subject/>
  <dc:creator>Chris Flanagan</dc:creator>
  <cp:keywords/>
  <cp:lastModifiedBy>Narelle Kane</cp:lastModifiedBy>
  <cp:revision>19</cp:revision>
  <cp:lastPrinted>2022-12-07T20:29:00Z</cp:lastPrinted>
  <dcterms:created xsi:type="dcterms:W3CDTF">2022-12-16T00:31:00Z</dcterms:created>
  <dcterms:modified xsi:type="dcterms:W3CDTF">2022-12-16T04:23:00Z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Australian Securities and Investments Commission Class Order 13/1050</vt:lpwstr>
  </property>
  <property fmtid="{D5CDD505-2E9C-101B-9397-08002B2CF9AE}" pid="4" name="Header">
    <vt:lpwstr>Section</vt:lpwstr>
  </property>
  <property fmtid="{D5CDD505-2E9C-101B-9397-08002B2CF9AE}" pid="5" name="Class">
    <vt:lpwstr>Order</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DateMade">
    <vt:lpwstr>2014</vt:lpwstr>
  </property>
  <property fmtid="{D5CDD505-2E9C-101B-9397-08002B2CF9AE}" pid="10" name="Authority">
    <vt:lpwstr>Unk</vt:lpwstr>
  </property>
  <property fmtid="{D5CDD505-2E9C-101B-9397-08002B2CF9AE}" pid="11" name="ID">
    <vt:lpwstr>OPC60621</vt:lpwstr>
  </property>
  <property fmtid="{D5CDD505-2E9C-101B-9397-08002B2CF9AE}" pid="12" name="Classification">
    <vt:lpwstr>UNCLASSIFIED</vt:lpwstr>
  </property>
  <property fmtid="{D5CDD505-2E9C-101B-9397-08002B2CF9AE}" pid="13" name="DLM">
    <vt:lpwstr>Sensitive: Legal</vt:lpwstr>
  </property>
  <property fmtid="{D5CDD505-2E9C-101B-9397-08002B2CF9AE}" pid="14" name="ActMadeUnder">
    <vt:lpwstr>Corporations Act 2001</vt:lpwstr>
  </property>
  <property fmtid="{D5CDD505-2E9C-101B-9397-08002B2CF9AE}" pid="15" name="NonLegInst">
    <vt:lpwstr>0</vt:lpwstr>
  </property>
  <property fmtid="{D5CDD505-2E9C-101B-9397-08002B2CF9AE}" pid="16" name="DoNotAsk">
    <vt:lpwstr>0</vt:lpwstr>
  </property>
  <property fmtid="{D5CDD505-2E9C-101B-9397-08002B2CF9AE}" pid="17" name="ChangedTitle">
    <vt:lpwstr/>
  </property>
  <property fmtid="{D5CDD505-2E9C-101B-9397-08002B2CF9AE}" pid="18" name="TrimID">
    <vt:lpwstr>PC:D14/8969</vt:lpwstr>
  </property>
  <property fmtid="{D5CDD505-2E9C-101B-9397-08002B2CF9AE}" pid="19" name="Objective-Id">
    <vt:lpwstr>A4330949</vt:lpwstr>
  </property>
  <property fmtid="{D5CDD505-2E9C-101B-9397-08002B2CF9AE}" pid="20" name="Objective-Title">
    <vt:lpwstr>ASIC Template (Principal Legislative Instruments - May 2015)</vt:lpwstr>
  </property>
  <property fmtid="{D5CDD505-2E9C-101B-9397-08002B2CF9AE}" pid="21" name="Objective-Comment">
    <vt:lpwstr/>
  </property>
  <property fmtid="{D5CDD505-2E9C-101B-9397-08002B2CF9AE}" pid="22" name="Objective-CreationStamp">
    <vt:filetime>2014-11-19T05:20:39Z</vt:filetime>
  </property>
  <property fmtid="{D5CDD505-2E9C-101B-9397-08002B2CF9AE}" pid="23" name="Objective-IsApproved">
    <vt:bool>false</vt:bool>
  </property>
  <property fmtid="{D5CDD505-2E9C-101B-9397-08002B2CF9AE}" pid="24" name="Objective-IsPublished">
    <vt:bool>false</vt:bool>
  </property>
  <property fmtid="{D5CDD505-2E9C-101B-9397-08002B2CF9AE}" pid="25" name="Objective-DatePublished">
    <vt:lpwstr/>
  </property>
  <property fmtid="{D5CDD505-2E9C-101B-9397-08002B2CF9AE}" pid="26" name="Objective-ModificationStamp">
    <vt:filetime>2015-09-03T05:00:51Z</vt:filetime>
  </property>
  <property fmtid="{D5CDD505-2E9C-101B-9397-08002B2CF9AE}" pid="27" name="Objective-Owner">
    <vt:lpwstr>Grant Moodie</vt:lpwstr>
  </property>
  <property fmtid="{D5CDD505-2E9C-101B-9397-08002B2CF9AE}" pid="28" name="Objective-Path">
    <vt:lpwstr>BCS:ASIC:LEGAL SERVICES:Advice:Legislative Instruments:Legislative Instrument Templates:</vt:lpwstr>
  </property>
  <property fmtid="{D5CDD505-2E9C-101B-9397-08002B2CF9AE}" pid="29" name="Objective-Parent">
    <vt:lpwstr>Legislative Instrument Templates</vt:lpwstr>
  </property>
  <property fmtid="{D5CDD505-2E9C-101B-9397-08002B2CF9AE}" pid="30" name="Objective-State">
    <vt:lpwstr>Being Drafted</vt:lpwstr>
  </property>
  <property fmtid="{D5CDD505-2E9C-101B-9397-08002B2CF9AE}" pid="31" name="Objective-Version">
    <vt:lpwstr>3.1</vt:lpwstr>
  </property>
  <property fmtid="{D5CDD505-2E9C-101B-9397-08002B2CF9AE}" pid="32" name="Objective-VersionNumber">
    <vt:i4>15</vt:i4>
  </property>
  <property fmtid="{D5CDD505-2E9C-101B-9397-08002B2CF9AE}" pid="33" name="Objective-VersionComment">
    <vt:lpwstr/>
  </property>
  <property fmtid="{D5CDD505-2E9C-101B-9397-08002B2CF9AE}" pid="34" name="Objective-FileNumber">
    <vt:lpwstr>2014 - 005986</vt:lpwstr>
  </property>
  <property fmtid="{D5CDD505-2E9C-101B-9397-08002B2CF9AE}" pid="35" name="Objective-Classification">
    <vt:lpwstr>[Inherited - IN-CONFIDENCE]</vt:lpwstr>
  </property>
  <property fmtid="{D5CDD505-2E9C-101B-9397-08002B2CF9AE}" pid="36" name="Objective-Caveats">
    <vt:lpwstr/>
  </property>
  <property fmtid="{D5CDD505-2E9C-101B-9397-08002B2CF9AE}" pid="37" name="Objective-Category [system]">
    <vt:lpwstr/>
  </property>
  <property fmtid="{D5CDD505-2E9C-101B-9397-08002B2CF9AE}" pid="38" name="k274875fb6994245bc6e4e8c07243a23">
    <vt:lpwstr>Sensitive|19fd2cb8-3e97-4464-ae71-8c2c2095d028</vt:lpwstr>
  </property>
  <property fmtid="{D5CDD505-2E9C-101B-9397-08002B2CF9AE}" pid="39" name="RecordPoint_WorkflowType">
    <vt:lpwstr>ActiveSubmitStub</vt:lpwstr>
  </property>
  <property fmtid="{D5CDD505-2E9C-101B-9397-08002B2CF9AE}" pid="40" name="RecordPoint_ActiveItemSiteId">
    <vt:lpwstr>{8027df9f-95e0-475c-b900-a220af875f43}</vt:lpwstr>
  </property>
  <property fmtid="{D5CDD505-2E9C-101B-9397-08002B2CF9AE}" pid="41" name="RecordPoint_ActiveItemListId">
    <vt:lpwstr>{f89b27eb-3b45-4769-9d33-ae9295f29f58}</vt:lpwstr>
  </property>
  <property fmtid="{D5CDD505-2E9C-101B-9397-08002B2CF9AE}" pid="42" name="RecordPoint_ActiveItemUniqueId">
    <vt:lpwstr>{c3184e87-7da6-42e3-9c19-f95eafd2bb55}</vt:lpwstr>
  </property>
  <property fmtid="{D5CDD505-2E9C-101B-9397-08002B2CF9AE}" pid="43" name="RecordPoint_ActiveItemWebId">
    <vt:lpwstr>{f63f9ae9-a1c5-49c7-acae-688630facce8}</vt:lpwstr>
  </property>
  <property fmtid="{D5CDD505-2E9C-101B-9397-08002B2CF9AE}" pid="44" name="IconOverlay">
    <vt:lpwstr/>
  </property>
  <property fmtid="{D5CDD505-2E9C-101B-9397-08002B2CF9AE}" pid="45" name="RecordNumber">
    <vt:lpwstr>R20190000303009</vt:lpwstr>
  </property>
  <property fmtid="{D5CDD505-2E9C-101B-9397-08002B2CF9AE}" pid="46" name="RecordPoint_SubmissionCompleted">
    <vt:lpwstr/>
  </property>
  <property fmtid="{D5CDD505-2E9C-101B-9397-08002B2CF9AE}" pid="47" name="RecordPoint_RecordNumberSubmitted">
    <vt:lpwstr/>
  </property>
  <property fmtid="{D5CDD505-2E9C-101B-9397-08002B2CF9AE}" pid="48" name="Reviewers">
    <vt:lpwstr/>
  </property>
  <property fmtid="{D5CDD505-2E9C-101B-9397-08002B2CF9AE}" pid="49" name="NotesLinks">
    <vt:lpwstr/>
  </property>
  <property fmtid="{D5CDD505-2E9C-101B-9397-08002B2CF9AE}" pid="50" name="Approvers">
    <vt:lpwstr/>
  </property>
  <property fmtid="{D5CDD505-2E9C-101B-9397-08002B2CF9AE}" pid="51" name="SecurityClassification">
    <vt:lpwstr>1;#OFFICIAL - Sensitive|6eccc17f-024b-41b0-b6b1-faf98d2aff85</vt:lpwstr>
  </property>
  <property fmtid="{D5CDD505-2E9C-101B-9397-08002B2CF9AE}" pid="52" name="ObjectiveID">
    <vt:lpwstr/>
  </property>
  <property fmtid="{D5CDD505-2E9C-101B-9397-08002B2CF9AE}" pid="53" name="SignificantFlag">
    <vt:lpwstr>0</vt:lpwstr>
  </property>
  <property fmtid="{D5CDD505-2E9C-101B-9397-08002B2CF9AE}" pid="54" name="SenateOrder12">
    <vt:lpwstr>0</vt:lpwstr>
  </property>
  <property fmtid="{D5CDD505-2E9C-101B-9397-08002B2CF9AE}" pid="55" name="ded95d7ab059406991d558011d18c177">
    <vt:lpwstr/>
  </property>
  <property fmtid="{D5CDD505-2E9C-101B-9397-08002B2CF9AE}" pid="56" name="SignificantReason">
    <vt:lpwstr/>
  </property>
  <property fmtid="{D5CDD505-2E9C-101B-9397-08002B2CF9AE}" pid="57" name="Order">
    <vt:lpwstr>71900.0000000000</vt:lpwstr>
  </property>
  <property fmtid="{D5CDD505-2E9C-101B-9397-08002B2CF9AE}" pid="58" name="RecordPoint_SubmissionDate">
    <vt:lpwstr/>
  </property>
  <property fmtid="{D5CDD505-2E9C-101B-9397-08002B2CF9AE}" pid="59" name="RecordPoint_RecordFormat">
    <vt:lpwstr/>
  </property>
  <property fmtid="{D5CDD505-2E9C-101B-9397-08002B2CF9AE}" pid="60" name="RecordPoint_ActiveItemMoved">
    <vt:lpwstr/>
  </property>
  <property fmtid="{D5CDD505-2E9C-101B-9397-08002B2CF9AE}" pid="61" name="ContentTypeId">
    <vt:lpwstr>0x010100B5F685A1365F544391EF8C813B164F3A006A0666AD55E74A4AA7B2AAEA6C351A6000421884093534C14F97E78FECD91E4D5E</vt:lpwstr>
  </property>
  <property fmtid="{D5CDD505-2E9C-101B-9397-08002B2CF9AE}" pid="62" name="f947e1037e3e49619e55f8843e0f11fe">
    <vt:lpwstr>Sensitive|19fd2cb8-3e97-4464-ae71-8c2c2095d028</vt:lpwstr>
  </property>
  <property fmtid="{D5CDD505-2E9C-101B-9397-08002B2CF9AE}" pid="63" name="MailSubject">
    <vt:lpwstr/>
  </property>
  <property fmtid="{D5CDD505-2E9C-101B-9397-08002B2CF9AE}" pid="64" name="display_urn:schemas-microsoft-com:office:office#Editor">
    <vt:lpwstr>Chris Flanagan</vt:lpwstr>
  </property>
  <property fmtid="{D5CDD505-2E9C-101B-9397-08002B2CF9AE}" pid="65" name="MailCc">
    <vt:lpwstr/>
  </property>
  <property fmtid="{D5CDD505-2E9C-101B-9397-08002B2CF9AE}" pid="66" name="MailTo">
    <vt:lpwstr/>
  </property>
  <property fmtid="{D5CDD505-2E9C-101B-9397-08002B2CF9AE}" pid="67" name="DocumentSetDescription">
    <vt:lpwstr/>
  </property>
  <property fmtid="{D5CDD505-2E9C-101B-9397-08002B2CF9AE}" pid="68" name="display_urn:schemas-microsoft-com:office:office#Author">
    <vt:lpwstr>Chris Flanagan</vt:lpwstr>
  </property>
  <property fmtid="{D5CDD505-2E9C-101B-9397-08002B2CF9AE}" pid="69" name="RecordID">
    <vt:lpwstr>R20190000303009</vt:lpwstr>
  </property>
  <property fmtid="{D5CDD505-2E9C-101B-9397-08002B2CF9AE}" pid="70" name="MailReferences">
    <vt:lpwstr/>
  </property>
  <property fmtid="{D5CDD505-2E9C-101B-9397-08002B2CF9AE}" pid="71" name="MailIn-Reply-To">
    <vt:lpwstr/>
  </property>
  <property fmtid="{D5CDD505-2E9C-101B-9397-08002B2CF9AE}" pid="72" name="MailFrom">
    <vt:lpwstr/>
  </property>
  <property fmtid="{D5CDD505-2E9C-101B-9397-08002B2CF9AE}" pid="73" name="MailOriginalSubject">
    <vt:lpwstr/>
  </property>
  <property fmtid="{D5CDD505-2E9C-101B-9397-08002B2CF9AE}" pid="74" name="MailReply-To">
    <vt:lpwstr/>
  </property>
  <property fmtid="{D5CDD505-2E9C-101B-9397-08002B2CF9AE}" pid="75" name="_dlc_DocId">
    <vt:lpwstr>003986-573877388-5055</vt:lpwstr>
  </property>
  <property fmtid="{D5CDD505-2E9C-101B-9397-08002B2CF9AE}" pid="76" name="_dlc_DocIdItemGuid">
    <vt:lpwstr>1b834324-2174-4bf1-9333-fdd7a13a6f82</vt:lpwstr>
  </property>
  <property fmtid="{D5CDD505-2E9C-101B-9397-08002B2CF9AE}" pid="77" name="_dlc_DocIdUrl">
    <vt:lpwstr>https://asiclink.sharepoint.com/teams/003986/_layouts/15/DocIdRedir.aspx?ID=003986-573877388-5055, 003986-573877388-5055</vt:lpwstr>
  </property>
  <property fmtid="{D5CDD505-2E9C-101B-9397-08002B2CF9AE}" pid="78" name="MailIn-Reply-To0">
    <vt:lpwstr/>
  </property>
  <property fmtid="{D5CDD505-2E9C-101B-9397-08002B2CF9AE}" pid="79" name="_ExtendedDescription">
    <vt:lpwstr/>
  </property>
  <property fmtid="{D5CDD505-2E9C-101B-9397-08002B2CF9AE}" pid="80" name="MailReply-To0">
    <vt:lpwstr/>
  </property>
  <property fmtid="{D5CDD505-2E9C-101B-9397-08002B2CF9AE}" pid="81" name="bdf3bab5a81c426f8b5cbfa0265a271c">
    <vt:lpwstr/>
  </property>
  <property fmtid="{D5CDD505-2E9C-101B-9397-08002B2CF9AE}" pid="82" name="PolicyWorkDocumentType">
    <vt:lpwstr/>
  </property>
  <property fmtid="{D5CDD505-2E9C-101B-9397-08002B2CF9AE}" pid="83" name="MSIP_Label_a6aead41-07f8-4767-ac8e-ef1c9c793766_Enabled">
    <vt:lpwstr>true</vt:lpwstr>
  </property>
  <property fmtid="{D5CDD505-2E9C-101B-9397-08002B2CF9AE}" pid="84" name="MSIP_Label_a6aead41-07f8-4767-ac8e-ef1c9c793766_SetDate">
    <vt:lpwstr>2022-12-08T11:51:17Z</vt:lpwstr>
  </property>
  <property fmtid="{D5CDD505-2E9C-101B-9397-08002B2CF9AE}" pid="85" name="MSIP_Label_a6aead41-07f8-4767-ac8e-ef1c9c793766_Method">
    <vt:lpwstr>Standard</vt:lpwstr>
  </property>
  <property fmtid="{D5CDD505-2E9C-101B-9397-08002B2CF9AE}" pid="86" name="MSIP_Label_a6aead41-07f8-4767-ac8e-ef1c9c793766_Name">
    <vt:lpwstr>OFFICIAL</vt:lpwstr>
  </property>
  <property fmtid="{D5CDD505-2E9C-101B-9397-08002B2CF9AE}" pid="87" name="MSIP_Label_a6aead41-07f8-4767-ac8e-ef1c9c793766_SiteId">
    <vt:lpwstr>5f1de7c6-55cd-4bb2-902d-514c78cf10f4</vt:lpwstr>
  </property>
  <property fmtid="{D5CDD505-2E9C-101B-9397-08002B2CF9AE}" pid="88" name="MSIP_Label_a6aead41-07f8-4767-ac8e-ef1c9c793766_ActionId">
    <vt:lpwstr>807dc2fa-2f43-4a7e-9507-95328df137bf</vt:lpwstr>
  </property>
  <property fmtid="{D5CDD505-2E9C-101B-9397-08002B2CF9AE}" pid="89" name="MSIP_Label_a6aead41-07f8-4767-ac8e-ef1c9c793766_ContentBits">
    <vt:lpwstr>0</vt:lpwstr>
  </property>
</Properties>
</file>