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679C" w14:textId="77777777" w:rsidR="00710AF3" w:rsidRPr="00F5063A" w:rsidRDefault="00710AF3" w:rsidP="00710AF3">
      <w:pPr>
        <w:spacing w:after="0"/>
        <w:rPr>
          <w:noProof/>
          <w:szCs w:val="22"/>
          <w:lang w:eastAsia="en-US"/>
        </w:rPr>
      </w:pPr>
    </w:p>
    <w:p w14:paraId="4F00B013" w14:textId="77777777" w:rsidR="00710AF3" w:rsidRPr="00F5063A" w:rsidRDefault="00710AF3" w:rsidP="00710AF3">
      <w:pPr>
        <w:spacing w:before="840" w:after="2400" w:line="300" w:lineRule="atLeast"/>
      </w:pPr>
      <w:r w:rsidRPr="00F5063A">
        <w:rPr>
          <w:noProof/>
        </w:rPr>
        <w:drawing>
          <wp:inline distT="0" distB="0" distL="0" distR="0" wp14:anchorId="686FB206" wp14:editId="200D8A51">
            <wp:extent cx="5759450" cy="809625"/>
            <wp:effectExtent l="0" t="0" r="0" b="9525"/>
            <wp:docPr id="3" name="Picture 3"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wealth Coat of Arms and ASIC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6CD370EE" w14:textId="09A9C69E" w:rsidR="0072799B" w:rsidRPr="00F5063A" w:rsidRDefault="00F81AE6" w:rsidP="0072799B">
      <w:pPr>
        <w:ind w:left="2268"/>
        <w:rPr>
          <w:rFonts w:ascii="Arial" w:hAnsi="Arial" w:cs="Arial"/>
          <w:b/>
          <w:sz w:val="48"/>
          <w:szCs w:val="48"/>
        </w:rPr>
      </w:pPr>
      <w:fldSimple w:instr=" DOCPROPERTY  &quot;Document title&quot;  \* MERGEFORMAT ">
        <w:r w:rsidR="001A26E6" w:rsidRPr="00F5063A">
          <w:rPr>
            <w:rFonts w:ascii="Arial" w:hAnsi="Arial" w:cs="Arial"/>
            <w:b/>
            <w:sz w:val="48"/>
            <w:szCs w:val="48"/>
          </w:rPr>
          <w:t>ASIC Derivative Transaction Rules (Reporting) 2022</w:t>
        </w:r>
      </w:fldSimple>
    </w:p>
    <w:p w14:paraId="4ADB7BF1" w14:textId="77777777" w:rsidR="00710AF3" w:rsidRPr="00F5063A" w:rsidRDefault="00710AF3" w:rsidP="0072799B">
      <w:pPr>
        <w:ind w:left="2268"/>
      </w:pPr>
    </w:p>
    <w:p w14:paraId="30BDADAA" w14:textId="5E4B9855" w:rsidR="001F32A4" w:rsidRPr="00F5063A" w:rsidRDefault="001F32A4" w:rsidP="001F32A4">
      <w:pPr>
        <w:ind w:left="2268"/>
        <w:rPr>
          <w:sz w:val="24"/>
          <w:szCs w:val="24"/>
        </w:rPr>
      </w:pPr>
      <w:r w:rsidRPr="00F5063A">
        <w:rPr>
          <w:sz w:val="24"/>
          <w:szCs w:val="24"/>
        </w:rPr>
        <w:t xml:space="preserve">I, </w:t>
      </w:r>
      <w:r w:rsidR="00347871" w:rsidRPr="00F5063A">
        <w:rPr>
          <w:sz w:val="24"/>
          <w:szCs w:val="24"/>
        </w:rPr>
        <w:t>Nathan Bourne</w:t>
      </w:r>
      <w:r w:rsidRPr="00F5063A">
        <w:rPr>
          <w:sz w:val="24"/>
          <w:szCs w:val="24"/>
        </w:rPr>
        <w:t xml:space="preserve">, acting with the written consent of the Minister, make the following </w:t>
      </w:r>
      <w:r w:rsidR="00E66184" w:rsidRPr="00F5063A">
        <w:rPr>
          <w:sz w:val="24"/>
          <w:szCs w:val="24"/>
        </w:rPr>
        <w:t>derivative transaction rules</w:t>
      </w:r>
      <w:r w:rsidRPr="00F5063A">
        <w:rPr>
          <w:sz w:val="24"/>
          <w:szCs w:val="24"/>
        </w:rPr>
        <w:t xml:space="preserve"> under section </w:t>
      </w:r>
      <w:r w:rsidR="008C4BBC" w:rsidRPr="00F5063A">
        <w:rPr>
          <w:sz w:val="24"/>
          <w:szCs w:val="24"/>
        </w:rPr>
        <w:t>901A</w:t>
      </w:r>
      <w:r w:rsidRPr="00F5063A">
        <w:rPr>
          <w:sz w:val="24"/>
          <w:szCs w:val="24"/>
        </w:rPr>
        <w:t xml:space="preserve"> of the </w:t>
      </w:r>
      <w:r w:rsidRPr="00F5063A">
        <w:rPr>
          <w:i/>
          <w:sz w:val="24"/>
          <w:szCs w:val="24"/>
        </w:rPr>
        <w:t>Corporations Act 2001</w:t>
      </w:r>
      <w:r w:rsidRPr="00F5063A">
        <w:rPr>
          <w:sz w:val="24"/>
          <w:szCs w:val="24"/>
        </w:rPr>
        <w:t>.</w:t>
      </w:r>
    </w:p>
    <w:p w14:paraId="77BC26F9" w14:textId="33FD0A0E" w:rsidR="001F32A4" w:rsidRPr="00F5063A" w:rsidRDefault="001F32A4" w:rsidP="001F32A4">
      <w:pPr>
        <w:ind w:left="2268"/>
        <w:rPr>
          <w:sz w:val="24"/>
          <w:szCs w:val="24"/>
        </w:rPr>
      </w:pPr>
      <w:r w:rsidRPr="00F5063A">
        <w:rPr>
          <w:sz w:val="24"/>
          <w:szCs w:val="24"/>
        </w:rPr>
        <w:t xml:space="preserve">Dated this </w:t>
      </w:r>
      <w:r w:rsidR="002A76F8" w:rsidRPr="00F5063A">
        <w:rPr>
          <w:sz w:val="24"/>
          <w:szCs w:val="24"/>
        </w:rPr>
        <w:t>16th</w:t>
      </w:r>
      <w:r w:rsidR="00233ACE" w:rsidRPr="00F5063A">
        <w:rPr>
          <w:sz w:val="24"/>
          <w:szCs w:val="24"/>
        </w:rPr>
        <w:t xml:space="preserve"> </w:t>
      </w:r>
      <w:r w:rsidRPr="00F5063A">
        <w:rPr>
          <w:sz w:val="24"/>
          <w:szCs w:val="24"/>
        </w:rPr>
        <w:t xml:space="preserve">day of </w:t>
      </w:r>
      <w:r w:rsidR="008903F8" w:rsidRPr="00F5063A">
        <w:rPr>
          <w:sz w:val="24"/>
          <w:szCs w:val="24"/>
        </w:rPr>
        <w:t xml:space="preserve">December </w:t>
      </w:r>
      <w:r w:rsidR="00233ACE" w:rsidRPr="00F5063A">
        <w:rPr>
          <w:sz w:val="24"/>
          <w:szCs w:val="24"/>
        </w:rPr>
        <w:t>2022</w:t>
      </w:r>
    </w:p>
    <w:p w14:paraId="083024F5" w14:textId="77777777" w:rsidR="001F32A4" w:rsidRPr="00F5063A" w:rsidRDefault="001F32A4" w:rsidP="001F32A4">
      <w:pPr>
        <w:ind w:left="2268"/>
        <w:rPr>
          <w:sz w:val="24"/>
          <w:szCs w:val="24"/>
        </w:rPr>
      </w:pPr>
    </w:p>
    <w:p w14:paraId="3A068047" w14:textId="77777777" w:rsidR="001F32A4" w:rsidRPr="00F5063A" w:rsidRDefault="001F32A4" w:rsidP="001F32A4">
      <w:pPr>
        <w:ind w:left="2268"/>
        <w:rPr>
          <w:sz w:val="24"/>
          <w:szCs w:val="24"/>
        </w:rPr>
      </w:pPr>
    </w:p>
    <w:p w14:paraId="174820C9" w14:textId="3966E8FA" w:rsidR="000C1C64" w:rsidRPr="00F5063A" w:rsidRDefault="001F32A4" w:rsidP="00710AF3">
      <w:pPr>
        <w:pStyle w:val="Bodytextplain"/>
        <w:rPr>
          <w:sz w:val="24"/>
          <w:szCs w:val="24"/>
        </w:rPr>
      </w:pPr>
      <w:r w:rsidRPr="00F5063A">
        <w:rPr>
          <w:sz w:val="24"/>
          <w:szCs w:val="24"/>
        </w:rPr>
        <w:t xml:space="preserve">Signed by </w:t>
      </w:r>
      <w:r w:rsidR="00E7009D" w:rsidRPr="00F5063A">
        <w:rPr>
          <w:sz w:val="24"/>
          <w:szCs w:val="24"/>
        </w:rPr>
        <w:t>Nathan Bourne</w:t>
      </w:r>
      <w:r w:rsidRPr="00F5063A">
        <w:rPr>
          <w:sz w:val="24"/>
          <w:szCs w:val="24"/>
        </w:rPr>
        <w:br/>
        <w:t>as delegate of the Australian Securities and Investments Commission</w:t>
      </w:r>
    </w:p>
    <w:p w14:paraId="21743D5B" w14:textId="77777777" w:rsidR="00091148" w:rsidRPr="00F5063A" w:rsidRDefault="00091148" w:rsidP="00710AF3">
      <w:pPr>
        <w:pStyle w:val="Bodytextplain"/>
      </w:pPr>
    </w:p>
    <w:p w14:paraId="06A045B0" w14:textId="77777777" w:rsidR="0072799B" w:rsidRPr="00F5063A" w:rsidRDefault="0072799B" w:rsidP="0072799B">
      <w:pPr>
        <w:ind w:left="2268"/>
        <w:sectPr w:rsidR="0072799B" w:rsidRPr="00F5063A" w:rsidSect="008759DE">
          <w:headerReference w:type="default" r:id="rId17"/>
          <w:type w:val="continuous"/>
          <w:pgSz w:w="11906" w:h="16838" w:code="9"/>
          <w:pgMar w:top="1644" w:right="1418" w:bottom="1418" w:left="1418" w:header="567" w:footer="567" w:gutter="0"/>
          <w:pgNumType w:start="1"/>
          <w:cols w:space="720"/>
          <w:titlePg/>
          <w:docGrid w:linePitch="299"/>
        </w:sectPr>
      </w:pPr>
    </w:p>
    <w:p w14:paraId="4D9E21B7" w14:textId="77777777" w:rsidR="002426A2" w:rsidRPr="00F5063A" w:rsidRDefault="002426A2">
      <w:pPr>
        <w:pStyle w:val="Bodytextplain"/>
        <w:pageBreakBefore/>
        <w:spacing w:after="200"/>
        <w:ind w:left="0"/>
        <w:rPr>
          <w:rFonts w:ascii="Arial" w:hAnsi="Arial" w:cs="Arial"/>
          <w:b/>
          <w:sz w:val="36"/>
          <w:szCs w:val="36"/>
        </w:rPr>
      </w:pPr>
      <w:r w:rsidRPr="00F5063A">
        <w:rPr>
          <w:rFonts w:ascii="Arial" w:hAnsi="Arial" w:cs="Arial"/>
          <w:b/>
          <w:sz w:val="36"/>
          <w:szCs w:val="36"/>
        </w:rPr>
        <w:lastRenderedPageBreak/>
        <w:t>Contents</w:t>
      </w:r>
    </w:p>
    <w:p w14:paraId="5614C491" w14:textId="68AD6EDB" w:rsidR="002A76F8" w:rsidRPr="00F5063A" w:rsidRDefault="00D561EB">
      <w:pPr>
        <w:pStyle w:val="TOC1"/>
        <w:rPr>
          <w:rFonts w:asciiTheme="minorHAnsi" w:eastAsiaTheme="minorEastAsia" w:hAnsiTheme="minorHAnsi" w:cstheme="minorBidi"/>
          <w:b w:val="0"/>
          <w:sz w:val="22"/>
          <w:szCs w:val="22"/>
        </w:rPr>
      </w:pPr>
      <w:r w:rsidRPr="00F5063A">
        <w:rPr>
          <w:rFonts w:ascii="HelveticaNeue LT 55 Roman" w:hAnsi="HelveticaNeue LT 55 Roman"/>
        </w:rPr>
        <w:fldChar w:fldCharType="begin"/>
      </w:r>
      <w:r w:rsidR="005C65FD" w:rsidRPr="00F5063A">
        <w:rPr>
          <w:rFonts w:ascii="HelveticaNeue LT 55 Roman" w:hAnsi="HelveticaNeue LT 55 Roman"/>
        </w:rPr>
        <w:instrText xml:space="preserve"> TOC \h \z \t "Heading 1,1,MIR Heading 2 (Part),2,MIR Heading 1 (Chapter),1" </w:instrText>
      </w:r>
      <w:r w:rsidRPr="00F5063A">
        <w:rPr>
          <w:rFonts w:ascii="HelveticaNeue LT 55 Roman" w:hAnsi="HelveticaNeue LT 55 Roman"/>
        </w:rPr>
        <w:fldChar w:fldCharType="separate"/>
      </w:r>
      <w:hyperlink w:anchor="_Toc122081633" w:history="1">
        <w:r w:rsidR="002A76F8" w:rsidRPr="00F5063A">
          <w:rPr>
            <w:rStyle w:val="Hyperlink"/>
          </w:rPr>
          <w:t>Chapter 1: Introduction</w:t>
        </w:r>
        <w:r w:rsidR="002A76F8" w:rsidRPr="00F5063A">
          <w:rPr>
            <w:webHidden/>
          </w:rPr>
          <w:tab/>
        </w:r>
        <w:r w:rsidR="002A76F8" w:rsidRPr="00F5063A">
          <w:rPr>
            <w:webHidden/>
          </w:rPr>
          <w:fldChar w:fldCharType="begin"/>
        </w:r>
        <w:r w:rsidR="002A76F8" w:rsidRPr="00F5063A">
          <w:rPr>
            <w:webHidden/>
          </w:rPr>
          <w:instrText xml:space="preserve"> PAGEREF _Toc122081633 \h </w:instrText>
        </w:r>
        <w:r w:rsidR="002A76F8" w:rsidRPr="00F5063A">
          <w:rPr>
            <w:webHidden/>
          </w:rPr>
        </w:r>
        <w:r w:rsidR="002A76F8" w:rsidRPr="00F5063A">
          <w:rPr>
            <w:webHidden/>
          </w:rPr>
          <w:fldChar w:fldCharType="separate"/>
        </w:r>
        <w:r w:rsidR="002A76F8" w:rsidRPr="00F5063A">
          <w:rPr>
            <w:webHidden/>
          </w:rPr>
          <w:t>3</w:t>
        </w:r>
        <w:r w:rsidR="002A76F8" w:rsidRPr="00F5063A">
          <w:rPr>
            <w:webHidden/>
          </w:rPr>
          <w:fldChar w:fldCharType="end"/>
        </w:r>
      </w:hyperlink>
    </w:p>
    <w:p w14:paraId="75C5DE17" w14:textId="5BCEC178" w:rsidR="002A76F8" w:rsidRPr="00F5063A" w:rsidRDefault="00F5063A">
      <w:pPr>
        <w:pStyle w:val="TOC2"/>
        <w:rPr>
          <w:rFonts w:asciiTheme="minorHAnsi" w:eastAsiaTheme="minorEastAsia" w:hAnsiTheme="minorHAnsi" w:cstheme="minorBidi"/>
          <w:sz w:val="22"/>
          <w:szCs w:val="22"/>
        </w:rPr>
      </w:pPr>
      <w:hyperlink w:anchor="_Toc122081634" w:history="1">
        <w:r w:rsidR="002A76F8" w:rsidRPr="00F5063A">
          <w:rPr>
            <w:rStyle w:val="Hyperlink"/>
          </w:rPr>
          <w:t>Part 1.1</w:t>
        </w:r>
        <w:r w:rsidR="002A76F8" w:rsidRPr="00F5063A">
          <w:rPr>
            <w:rFonts w:asciiTheme="minorHAnsi" w:eastAsiaTheme="minorEastAsia" w:hAnsiTheme="minorHAnsi" w:cstheme="minorBidi"/>
            <w:sz w:val="22"/>
            <w:szCs w:val="22"/>
          </w:rPr>
          <w:tab/>
        </w:r>
        <w:r w:rsidR="002A76F8" w:rsidRPr="00F5063A">
          <w:rPr>
            <w:rStyle w:val="Hyperlink"/>
          </w:rPr>
          <w:t>Preliminary</w:t>
        </w:r>
        <w:r w:rsidR="002A76F8" w:rsidRPr="00F5063A">
          <w:rPr>
            <w:webHidden/>
          </w:rPr>
          <w:tab/>
        </w:r>
        <w:r w:rsidR="002A76F8" w:rsidRPr="00F5063A">
          <w:rPr>
            <w:webHidden/>
          </w:rPr>
          <w:fldChar w:fldCharType="begin"/>
        </w:r>
        <w:r w:rsidR="002A76F8" w:rsidRPr="00F5063A">
          <w:rPr>
            <w:webHidden/>
          </w:rPr>
          <w:instrText xml:space="preserve"> PAGEREF _Toc122081634 \h </w:instrText>
        </w:r>
        <w:r w:rsidR="002A76F8" w:rsidRPr="00F5063A">
          <w:rPr>
            <w:webHidden/>
          </w:rPr>
        </w:r>
        <w:r w:rsidR="002A76F8" w:rsidRPr="00F5063A">
          <w:rPr>
            <w:webHidden/>
          </w:rPr>
          <w:fldChar w:fldCharType="separate"/>
        </w:r>
        <w:r w:rsidR="002A76F8" w:rsidRPr="00F5063A">
          <w:rPr>
            <w:webHidden/>
          </w:rPr>
          <w:t>3</w:t>
        </w:r>
        <w:r w:rsidR="002A76F8" w:rsidRPr="00F5063A">
          <w:rPr>
            <w:webHidden/>
          </w:rPr>
          <w:fldChar w:fldCharType="end"/>
        </w:r>
      </w:hyperlink>
    </w:p>
    <w:p w14:paraId="42E61C61" w14:textId="18E91130" w:rsidR="002A76F8" w:rsidRPr="00F5063A" w:rsidRDefault="00F5063A">
      <w:pPr>
        <w:pStyle w:val="TOC2"/>
        <w:rPr>
          <w:rFonts w:asciiTheme="minorHAnsi" w:eastAsiaTheme="minorEastAsia" w:hAnsiTheme="minorHAnsi" w:cstheme="minorBidi"/>
          <w:sz w:val="22"/>
          <w:szCs w:val="22"/>
        </w:rPr>
      </w:pPr>
      <w:hyperlink w:anchor="_Toc122081635" w:history="1">
        <w:r w:rsidR="002A76F8" w:rsidRPr="00F5063A">
          <w:rPr>
            <w:rStyle w:val="Hyperlink"/>
          </w:rPr>
          <w:t>Part 1.2</w:t>
        </w:r>
        <w:r w:rsidR="002A76F8" w:rsidRPr="00F5063A">
          <w:rPr>
            <w:rFonts w:asciiTheme="minorHAnsi" w:eastAsiaTheme="minorEastAsia" w:hAnsiTheme="minorHAnsi" w:cstheme="minorBidi"/>
            <w:sz w:val="22"/>
            <w:szCs w:val="22"/>
          </w:rPr>
          <w:tab/>
        </w:r>
        <w:r w:rsidR="002A76F8" w:rsidRPr="00F5063A">
          <w:rPr>
            <w:rStyle w:val="Hyperlink"/>
          </w:rPr>
          <w:t>Interpretation</w:t>
        </w:r>
        <w:r w:rsidR="002A76F8" w:rsidRPr="00F5063A">
          <w:rPr>
            <w:webHidden/>
          </w:rPr>
          <w:tab/>
        </w:r>
        <w:r w:rsidR="002A76F8" w:rsidRPr="00F5063A">
          <w:rPr>
            <w:webHidden/>
          </w:rPr>
          <w:fldChar w:fldCharType="begin"/>
        </w:r>
        <w:r w:rsidR="002A76F8" w:rsidRPr="00F5063A">
          <w:rPr>
            <w:webHidden/>
          </w:rPr>
          <w:instrText xml:space="preserve"> PAGEREF _Toc122081635 \h </w:instrText>
        </w:r>
        <w:r w:rsidR="002A76F8" w:rsidRPr="00F5063A">
          <w:rPr>
            <w:webHidden/>
          </w:rPr>
        </w:r>
        <w:r w:rsidR="002A76F8" w:rsidRPr="00F5063A">
          <w:rPr>
            <w:webHidden/>
          </w:rPr>
          <w:fldChar w:fldCharType="separate"/>
        </w:r>
        <w:r w:rsidR="002A76F8" w:rsidRPr="00F5063A">
          <w:rPr>
            <w:webHidden/>
          </w:rPr>
          <w:t>3</w:t>
        </w:r>
        <w:r w:rsidR="002A76F8" w:rsidRPr="00F5063A">
          <w:rPr>
            <w:webHidden/>
          </w:rPr>
          <w:fldChar w:fldCharType="end"/>
        </w:r>
      </w:hyperlink>
    </w:p>
    <w:p w14:paraId="10DB912E" w14:textId="37D6F578" w:rsidR="002A76F8" w:rsidRPr="00F5063A" w:rsidRDefault="00F5063A">
      <w:pPr>
        <w:pStyle w:val="TOC1"/>
        <w:rPr>
          <w:rFonts w:asciiTheme="minorHAnsi" w:eastAsiaTheme="minorEastAsia" w:hAnsiTheme="minorHAnsi" w:cstheme="minorBidi"/>
          <w:b w:val="0"/>
          <w:sz w:val="22"/>
          <w:szCs w:val="22"/>
        </w:rPr>
      </w:pPr>
      <w:hyperlink w:anchor="_Toc122081636" w:history="1">
        <w:r w:rsidR="002A76F8" w:rsidRPr="00F5063A">
          <w:rPr>
            <w:rStyle w:val="Hyperlink"/>
          </w:rPr>
          <w:t>Chapter 2: Reporting Requirements</w:t>
        </w:r>
        <w:r w:rsidR="002A76F8" w:rsidRPr="00F5063A">
          <w:rPr>
            <w:webHidden/>
          </w:rPr>
          <w:tab/>
        </w:r>
        <w:r w:rsidR="002A76F8" w:rsidRPr="00F5063A">
          <w:rPr>
            <w:webHidden/>
          </w:rPr>
          <w:fldChar w:fldCharType="begin"/>
        </w:r>
        <w:r w:rsidR="002A76F8" w:rsidRPr="00F5063A">
          <w:rPr>
            <w:webHidden/>
          </w:rPr>
          <w:instrText xml:space="preserve"> PAGEREF _Toc122081636 \h </w:instrText>
        </w:r>
        <w:r w:rsidR="002A76F8" w:rsidRPr="00F5063A">
          <w:rPr>
            <w:webHidden/>
          </w:rPr>
        </w:r>
        <w:r w:rsidR="002A76F8" w:rsidRPr="00F5063A">
          <w:rPr>
            <w:webHidden/>
          </w:rPr>
          <w:fldChar w:fldCharType="separate"/>
        </w:r>
        <w:r w:rsidR="002A76F8" w:rsidRPr="00F5063A">
          <w:rPr>
            <w:webHidden/>
          </w:rPr>
          <w:t>10</w:t>
        </w:r>
        <w:r w:rsidR="002A76F8" w:rsidRPr="00F5063A">
          <w:rPr>
            <w:webHidden/>
          </w:rPr>
          <w:fldChar w:fldCharType="end"/>
        </w:r>
      </w:hyperlink>
    </w:p>
    <w:p w14:paraId="525D4051" w14:textId="628595E9" w:rsidR="002A76F8" w:rsidRPr="00F5063A" w:rsidRDefault="00F5063A">
      <w:pPr>
        <w:pStyle w:val="TOC2"/>
        <w:rPr>
          <w:rFonts w:asciiTheme="minorHAnsi" w:eastAsiaTheme="minorEastAsia" w:hAnsiTheme="minorHAnsi" w:cstheme="minorBidi"/>
          <w:sz w:val="22"/>
          <w:szCs w:val="22"/>
        </w:rPr>
      </w:pPr>
      <w:hyperlink w:anchor="_Toc122081637" w:history="1">
        <w:r w:rsidR="002A76F8" w:rsidRPr="00F5063A">
          <w:rPr>
            <w:rStyle w:val="Hyperlink"/>
          </w:rPr>
          <w:t>Part 2.1</w:t>
        </w:r>
        <w:r w:rsidR="002A76F8" w:rsidRPr="00F5063A">
          <w:rPr>
            <w:rFonts w:asciiTheme="minorHAnsi" w:eastAsiaTheme="minorEastAsia" w:hAnsiTheme="minorHAnsi" w:cstheme="minorBidi"/>
            <w:sz w:val="22"/>
            <w:szCs w:val="22"/>
          </w:rPr>
          <w:tab/>
        </w:r>
        <w:r w:rsidR="002A76F8" w:rsidRPr="00F5063A">
          <w:rPr>
            <w:rStyle w:val="Hyperlink"/>
          </w:rPr>
          <w:t>Application</w:t>
        </w:r>
        <w:r w:rsidR="002A76F8" w:rsidRPr="00F5063A">
          <w:rPr>
            <w:webHidden/>
          </w:rPr>
          <w:tab/>
        </w:r>
        <w:r w:rsidR="002A76F8" w:rsidRPr="00F5063A">
          <w:rPr>
            <w:webHidden/>
          </w:rPr>
          <w:fldChar w:fldCharType="begin"/>
        </w:r>
        <w:r w:rsidR="002A76F8" w:rsidRPr="00F5063A">
          <w:rPr>
            <w:webHidden/>
          </w:rPr>
          <w:instrText xml:space="preserve"> PAGEREF _Toc122081637 \h </w:instrText>
        </w:r>
        <w:r w:rsidR="002A76F8" w:rsidRPr="00F5063A">
          <w:rPr>
            <w:webHidden/>
          </w:rPr>
        </w:r>
        <w:r w:rsidR="002A76F8" w:rsidRPr="00F5063A">
          <w:rPr>
            <w:webHidden/>
          </w:rPr>
          <w:fldChar w:fldCharType="separate"/>
        </w:r>
        <w:r w:rsidR="002A76F8" w:rsidRPr="00F5063A">
          <w:rPr>
            <w:webHidden/>
          </w:rPr>
          <w:t>10</w:t>
        </w:r>
        <w:r w:rsidR="002A76F8" w:rsidRPr="00F5063A">
          <w:rPr>
            <w:webHidden/>
          </w:rPr>
          <w:fldChar w:fldCharType="end"/>
        </w:r>
      </w:hyperlink>
    </w:p>
    <w:p w14:paraId="5E793C84" w14:textId="0D695856" w:rsidR="002A76F8" w:rsidRPr="00F5063A" w:rsidRDefault="00F5063A">
      <w:pPr>
        <w:pStyle w:val="TOC2"/>
        <w:rPr>
          <w:rFonts w:asciiTheme="minorHAnsi" w:eastAsiaTheme="minorEastAsia" w:hAnsiTheme="minorHAnsi" w:cstheme="minorBidi"/>
          <w:sz w:val="22"/>
          <w:szCs w:val="22"/>
        </w:rPr>
      </w:pPr>
      <w:hyperlink w:anchor="_Toc122081638" w:history="1">
        <w:r w:rsidR="002A76F8" w:rsidRPr="00F5063A">
          <w:rPr>
            <w:rStyle w:val="Hyperlink"/>
          </w:rPr>
          <w:t>Part 2.2</w:t>
        </w:r>
        <w:r w:rsidR="002A76F8" w:rsidRPr="00F5063A">
          <w:rPr>
            <w:rFonts w:asciiTheme="minorHAnsi" w:eastAsiaTheme="minorEastAsia" w:hAnsiTheme="minorHAnsi" w:cstheme="minorBidi"/>
            <w:sz w:val="22"/>
            <w:szCs w:val="22"/>
          </w:rPr>
          <w:tab/>
        </w:r>
        <w:r w:rsidR="002A76F8" w:rsidRPr="00F5063A">
          <w:rPr>
            <w:rStyle w:val="Hyperlink"/>
          </w:rPr>
          <w:t>Reporting Requirements</w:t>
        </w:r>
        <w:r w:rsidR="002A76F8" w:rsidRPr="00F5063A">
          <w:rPr>
            <w:webHidden/>
          </w:rPr>
          <w:tab/>
        </w:r>
        <w:r w:rsidR="002A76F8" w:rsidRPr="00F5063A">
          <w:rPr>
            <w:webHidden/>
          </w:rPr>
          <w:fldChar w:fldCharType="begin"/>
        </w:r>
        <w:r w:rsidR="002A76F8" w:rsidRPr="00F5063A">
          <w:rPr>
            <w:webHidden/>
          </w:rPr>
          <w:instrText xml:space="preserve"> PAGEREF _Toc122081638 \h </w:instrText>
        </w:r>
        <w:r w:rsidR="002A76F8" w:rsidRPr="00F5063A">
          <w:rPr>
            <w:webHidden/>
          </w:rPr>
        </w:r>
        <w:r w:rsidR="002A76F8" w:rsidRPr="00F5063A">
          <w:rPr>
            <w:webHidden/>
          </w:rPr>
          <w:fldChar w:fldCharType="separate"/>
        </w:r>
        <w:r w:rsidR="002A76F8" w:rsidRPr="00F5063A">
          <w:rPr>
            <w:webHidden/>
          </w:rPr>
          <w:t>10</w:t>
        </w:r>
        <w:r w:rsidR="002A76F8" w:rsidRPr="00F5063A">
          <w:rPr>
            <w:webHidden/>
          </w:rPr>
          <w:fldChar w:fldCharType="end"/>
        </w:r>
      </w:hyperlink>
    </w:p>
    <w:p w14:paraId="6C136CAA" w14:textId="0F152D2B" w:rsidR="002A76F8" w:rsidRPr="00F5063A" w:rsidRDefault="00F5063A">
      <w:pPr>
        <w:pStyle w:val="TOC2"/>
        <w:rPr>
          <w:rFonts w:asciiTheme="minorHAnsi" w:eastAsiaTheme="minorEastAsia" w:hAnsiTheme="minorHAnsi" w:cstheme="minorBidi"/>
          <w:sz w:val="22"/>
          <w:szCs w:val="22"/>
        </w:rPr>
      </w:pPr>
      <w:hyperlink w:anchor="_Toc122081639" w:history="1">
        <w:r w:rsidR="002A76F8" w:rsidRPr="00F5063A">
          <w:rPr>
            <w:rStyle w:val="Hyperlink"/>
          </w:rPr>
          <w:t>Part 2.3</w:t>
        </w:r>
        <w:r w:rsidR="002A76F8" w:rsidRPr="00F5063A">
          <w:rPr>
            <w:rFonts w:asciiTheme="minorHAnsi" w:eastAsiaTheme="minorEastAsia" w:hAnsiTheme="minorHAnsi" w:cstheme="minorBidi"/>
            <w:sz w:val="22"/>
            <w:szCs w:val="22"/>
          </w:rPr>
          <w:tab/>
        </w:r>
        <w:r w:rsidR="002A76F8" w:rsidRPr="00F5063A">
          <w:rPr>
            <w:rStyle w:val="Hyperlink"/>
          </w:rPr>
          <w:t>Records</w:t>
        </w:r>
        <w:r w:rsidR="002A76F8" w:rsidRPr="00F5063A">
          <w:rPr>
            <w:webHidden/>
          </w:rPr>
          <w:tab/>
        </w:r>
        <w:r w:rsidR="002A76F8" w:rsidRPr="00F5063A">
          <w:rPr>
            <w:webHidden/>
          </w:rPr>
          <w:fldChar w:fldCharType="begin"/>
        </w:r>
        <w:r w:rsidR="002A76F8" w:rsidRPr="00F5063A">
          <w:rPr>
            <w:webHidden/>
          </w:rPr>
          <w:instrText xml:space="preserve"> PAGEREF _Toc122081639 \h </w:instrText>
        </w:r>
        <w:r w:rsidR="002A76F8" w:rsidRPr="00F5063A">
          <w:rPr>
            <w:webHidden/>
          </w:rPr>
        </w:r>
        <w:r w:rsidR="002A76F8" w:rsidRPr="00F5063A">
          <w:rPr>
            <w:webHidden/>
          </w:rPr>
          <w:fldChar w:fldCharType="separate"/>
        </w:r>
        <w:r w:rsidR="002A76F8" w:rsidRPr="00F5063A">
          <w:rPr>
            <w:webHidden/>
          </w:rPr>
          <w:t>14</w:t>
        </w:r>
        <w:r w:rsidR="002A76F8" w:rsidRPr="00F5063A">
          <w:rPr>
            <w:webHidden/>
          </w:rPr>
          <w:fldChar w:fldCharType="end"/>
        </w:r>
      </w:hyperlink>
    </w:p>
    <w:p w14:paraId="403CB85C" w14:textId="5A64F35F" w:rsidR="002A76F8" w:rsidRPr="00F5063A" w:rsidRDefault="00F5063A">
      <w:pPr>
        <w:pStyle w:val="TOC2"/>
        <w:rPr>
          <w:rFonts w:asciiTheme="minorHAnsi" w:eastAsiaTheme="minorEastAsia" w:hAnsiTheme="minorHAnsi" w:cstheme="minorBidi"/>
          <w:sz w:val="22"/>
          <w:szCs w:val="22"/>
        </w:rPr>
      </w:pPr>
      <w:hyperlink w:anchor="_Toc122081640" w:history="1">
        <w:r w:rsidR="002A76F8" w:rsidRPr="00F5063A">
          <w:rPr>
            <w:rStyle w:val="Hyperlink"/>
          </w:rPr>
          <w:t>Part 2.4</w:t>
        </w:r>
        <w:r w:rsidR="002A76F8" w:rsidRPr="00F5063A">
          <w:rPr>
            <w:rFonts w:asciiTheme="minorHAnsi" w:eastAsiaTheme="minorEastAsia" w:hAnsiTheme="minorHAnsi" w:cstheme="minorBidi"/>
            <w:sz w:val="22"/>
            <w:szCs w:val="22"/>
          </w:rPr>
          <w:tab/>
        </w:r>
        <w:r w:rsidR="002A76F8" w:rsidRPr="00F5063A">
          <w:rPr>
            <w:rStyle w:val="Hyperlink"/>
          </w:rPr>
          <w:t>Transitional matters</w:t>
        </w:r>
        <w:r w:rsidR="002A76F8" w:rsidRPr="00F5063A">
          <w:rPr>
            <w:webHidden/>
          </w:rPr>
          <w:tab/>
        </w:r>
        <w:r w:rsidR="002A76F8" w:rsidRPr="00F5063A">
          <w:rPr>
            <w:webHidden/>
          </w:rPr>
          <w:fldChar w:fldCharType="begin"/>
        </w:r>
        <w:r w:rsidR="002A76F8" w:rsidRPr="00F5063A">
          <w:rPr>
            <w:webHidden/>
          </w:rPr>
          <w:instrText xml:space="preserve"> PAGEREF _Toc122081640 \h </w:instrText>
        </w:r>
        <w:r w:rsidR="002A76F8" w:rsidRPr="00F5063A">
          <w:rPr>
            <w:webHidden/>
          </w:rPr>
        </w:r>
        <w:r w:rsidR="002A76F8" w:rsidRPr="00F5063A">
          <w:rPr>
            <w:webHidden/>
          </w:rPr>
          <w:fldChar w:fldCharType="separate"/>
        </w:r>
        <w:r w:rsidR="002A76F8" w:rsidRPr="00F5063A">
          <w:rPr>
            <w:webHidden/>
          </w:rPr>
          <w:t>15</w:t>
        </w:r>
        <w:r w:rsidR="002A76F8" w:rsidRPr="00F5063A">
          <w:rPr>
            <w:webHidden/>
          </w:rPr>
          <w:fldChar w:fldCharType="end"/>
        </w:r>
      </w:hyperlink>
    </w:p>
    <w:p w14:paraId="74796BF9" w14:textId="081B569E" w:rsidR="002A76F8" w:rsidRPr="00F5063A" w:rsidRDefault="00F5063A">
      <w:pPr>
        <w:pStyle w:val="TOC1"/>
        <w:rPr>
          <w:rFonts w:asciiTheme="minorHAnsi" w:eastAsiaTheme="minorEastAsia" w:hAnsiTheme="minorHAnsi" w:cstheme="minorBidi"/>
          <w:b w:val="0"/>
          <w:sz w:val="22"/>
          <w:szCs w:val="22"/>
        </w:rPr>
      </w:pPr>
      <w:hyperlink w:anchor="_Toc122081641" w:history="1">
        <w:r w:rsidR="002A76F8" w:rsidRPr="00F5063A">
          <w:rPr>
            <w:rStyle w:val="Hyperlink"/>
          </w:rPr>
          <w:t>Schedule 1: Reporting Requirements—Phasing</w:t>
        </w:r>
        <w:r w:rsidR="002A76F8" w:rsidRPr="00F5063A">
          <w:rPr>
            <w:webHidden/>
          </w:rPr>
          <w:tab/>
        </w:r>
        <w:r w:rsidR="002A76F8" w:rsidRPr="00F5063A">
          <w:rPr>
            <w:webHidden/>
          </w:rPr>
          <w:fldChar w:fldCharType="begin"/>
        </w:r>
        <w:r w:rsidR="002A76F8" w:rsidRPr="00F5063A">
          <w:rPr>
            <w:webHidden/>
          </w:rPr>
          <w:instrText xml:space="preserve"> PAGEREF _Toc122081641 \h </w:instrText>
        </w:r>
        <w:r w:rsidR="002A76F8" w:rsidRPr="00F5063A">
          <w:rPr>
            <w:webHidden/>
          </w:rPr>
        </w:r>
        <w:r w:rsidR="002A76F8" w:rsidRPr="00F5063A">
          <w:rPr>
            <w:webHidden/>
          </w:rPr>
          <w:fldChar w:fldCharType="separate"/>
        </w:r>
        <w:r w:rsidR="002A76F8" w:rsidRPr="00F5063A">
          <w:rPr>
            <w:webHidden/>
          </w:rPr>
          <w:t>19</w:t>
        </w:r>
        <w:r w:rsidR="002A76F8" w:rsidRPr="00F5063A">
          <w:rPr>
            <w:webHidden/>
          </w:rPr>
          <w:fldChar w:fldCharType="end"/>
        </w:r>
      </w:hyperlink>
    </w:p>
    <w:p w14:paraId="71302564" w14:textId="235F8607" w:rsidR="002A76F8" w:rsidRPr="00F5063A" w:rsidRDefault="00F5063A">
      <w:pPr>
        <w:pStyle w:val="TOC2"/>
        <w:rPr>
          <w:rFonts w:asciiTheme="minorHAnsi" w:eastAsiaTheme="minorEastAsia" w:hAnsiTheme="minorHAnsi" w:cstheme="minorBidi"/>
          <w:sz w:val="22"/>
          <w:szCs w:val="22"/>
        </w:rPr>
      </w:pPr>
      <w:hyperlink w:anchor="_Toc122081642" w:history="1">
        <w:r w:rsidR="002A76F8" w:rsidRPr="00F5063A">
          <w:rPr>
            <w:rStyle w:val="Hyperlink"/>
          </w:rPr>
          <w:t>Part S1.1</w:t>
        </w:r>
        <w:r w:rsidR="002A76F8" w:rsidRPr="00F5063A">
          <w:rPr>
            <w:rFonts w:asciiTheme="minorHAnsi" w:eastAsiaTheme="minorEastAsia" w:hAnsiTheme="minorHAnsi" w:cstheme="minorBidi"/>
            <w:sz w:val="22"/>
            <w:szCs w:val="22"/>
          </w:rPr>
          <w:tab/>
        </w:r>
        <w:r w:rsidR="002A76F8" w:rsidRPr="00F5063A">
          <w:rPr>
            <w:rStyle w:val="Hyperlink"/>
          </w:rPr>
          <w:t>Transaction Reporting Requirements</w:t>
        </w:r>
        <w:r w:rsidR="002A76F8" w:rsidRPr="00F5063A">
          <w:rPr>
            <w:webHidden/>
          </w:rPr>
          <w:tab/>
        </w:r>
        <w:r w:rsidR="002A76F8" w:rsidRPr="00F5063A">
          <w:rPr>
            <w:webHidden/>
          </w:rPr>
          <w:fldChar w:fldCharType="begin"/>
        </w:r>
        <w:r w:rsidR="002A76F8" w:rsidRPr="00F5063A">
          <w:rPr>
            <w:webHidden/>
          </w:rPr>
          <w:instrText xml:space="preserve"> PAGEREF _Toc122081642 \h </w:instrText>
        </w:r>
        <w:r w:rsidR="002A76F8" w:rsidRPr="00F5063A">
          <w:rPr>
            <w:webHidden/>
          </w:rPr>
        </w:r>
        <w:r w:rsidR="002A76F8" w:rsidRPr="00F5063A">
          <w:rPr>
            <w:webHidden/>
          </w:rPr>
          <w:fldChar w:fldCharType="separate"/>
        </w:r>
        <w:r w:rsidR="002A76F8" w:rsidRPr="00F5063A">
          <w:rPr>
            <w:webHidden/>
          </w:rPr>
          <w:t>19</w:t>
        </w:r>
        <w:r w:rsidR="002A76F8" w:rsidRPr="00F5063A">
          <w:rPr>
            <w:webHidden/>
          </w:rPr>
          <w:fldChar w:fldCharType="end"/>
        </w:r>
      </w:hyperlink>
    </w:p>
    <w:p w14:paraId="5F1769EF" w14:textId="425B34B9" w:rsidR="002A76F8" w:rsidRPr="00F5063A" w:rsidRDefault="00F5063A">
      <w:pPr>
        <w:pStyle w:val="TOC2"/>
        <w:rPr>
          <w:rFonts w:asciiTheme="minorHAnsi" w:eastAsiaTheme="minorEastAsia" w:hAnsiTheme="minorHAnsi" w:cstheme="minorBidi"/>
          <w:sz w:val="22"/>
          <w:szCs w:val="22"/>
        </w:rPr>
      </w:pPr>
      <w:hyperlink w:anchor="_Toc122081643" w:history="1">
        <w:r w:rsidR="002A76F8" w:rsidRPr="00F5063A">
          <w:rPr>
            <w:rStyle w:val="Hyperlink"/>
          </w:rPr>
          <w:t>Part S1.2</w:t>
        </w:r>
        <w:r w:rsidR="002A76F8" w:rsidRPr="00F5063A">
          <w:rPr>
            <w:rFonts w:asciiTheme="minorHAnsi" w:eastAsiaTheme="minorEastAsia" w:hAnsiTheme="minorHAnsi" w:cstheme="minorBidi"/>
            <w:sz w:val="22"/>
            <w:szCs w:val="22"/>
          </w:rPr>
          <w:tab/>
        </w:r>
        <w:r w:rsidR="002A76F8" w:rsidRPr="00F5063A">
          <w:rPr>
            <w:rStyle w:val="Hyperlink"/>
          </w:rPr>
          <w:t>Position Reporting Requirements</w:t>
        </w:r>
        <w:r w:rsidR="002A76F8" w:rsidRPr="00F5063A">
          <w:rPr>
            <w:webHidden/>
          </w:rPr>
          <w:tab/>
        </w:r>
        <w:r w:rsidR="002A76F8" w:rsidRPr="00F5063A">
          <w:rPr>
            <w:webHidden/>
          </w:rPr>
          <w:fldChar w:fldCharType="begin"/>
        </w:r>
        <w:r w:rsidR="002A76F8" w:rsidRPr="00F5063A">
          <w:rPr>
            <w:webHidden/>
          </w:rPr>
          <w:instrText xml:space="preserve"> PAGEREF _Toc122081643 \h </w:instrText>
        </w:r>
        <w:r w:rsidR="002A76F8" w:rsidRPr="00F5063A">
          <w:rPr>
            <w:webHidden/>
          </w:rPr>
        </w:r>
        <w:r w:rsidR="002A76F8" w:rsidRPr="00F5063A">
          <w:rPr>
            <w:webHidden/>
          </w:rPr>
          <w:fldChar w:fldCharType="separate"/>
        </w:r>
        <w:r w:rsidR="002A76F8" w:rsidRPr="00F5063A">
          <w:rPr>
            <w:webHidden/>
          </w:rPr>
          <w:t>22</w:t>
        </w:r>
        <w:r w:rsidR="002A76F8" w:rsidRPr="00F5063A">
          <w:rPr>
            <w:webHidden/>
          </w:rPr>
          <w:fldChar w:fldCharType="end"/>
        </w:r>
      </w:hyperlink>
    </w:p>
    <w:p w14:paraId="2047D25D" w14:textId="5AEC7028" w:rsidR="002A76F8" w:rsidRPr="00F5063A" w:rsidRDefault="00F5063A">
      <w:pPr>
        <w:pStyle w:val="TOC1"/>
        <w:tabs>
          <w:tab w:val="left" w:pos="3545"/>
        </w:tabs>
        <w:rPr>
          <w:rFonts w:asciiTheme="minorHAnsi" w:eastAsiaTheme="minorEastAsia" w:hAnsiTheme="minorHAnsi" w:cstheme="minorBidi"/>
          <w:b w:val="0"/>
          <w:sz w:val="22"/>
          <w:szCs w:val="22"/>
        </w:rPr>
      </w:pPr>
      <w:hyperlink w:anchor="_Toc122081644" w:history="1">
        <w:r w:rsidR="002A76F8" w:rsidRPr="00F5063A">
          <w:rPr>
            <w:rStyle w:val="Hyperlink"/>
          </w:rPr>
          <w:t>Schedule 2</w:t>
        </w:r>
        <w:r w:rsidR="002A76F8" w:rsidRPr="00F5063A">
          <w:rPr>
            <w:rFonts w:asciiTheme="minorHAnsi" w:eastAsiaTheme="minorEastAsia" w:hAnsiTheme="minorHAnsi" w:cstheme="minorBidi"/>
            <w:b w:val="0"/>
            <w:sz w:val="22"/>
            <w:szCs w:val="22"/>
          </w:rPr>
          <w:tab/>
        </w:r>
        <w:r w:rsidR="002A76F8" w:rsidRPr="00F5063A">
          <w:rPr>
            <w:rStyle w:val="Hyperlink"/>
          </w:rPr>
          <w:t>Information requirements</w:t>
        </w:r>
        <w:r w:rsidR="002A76F8" w:rsidRPr="00F5063A">
          <w:rPr>
            <w:webHidden/>
          </w:rPr>
          <w:tab/>
        </w:r>
        <w:r w:rsidR="002A76F8" w:rsidRPr="00F5063A">
          <w:rPr>
            <w:webHidden/>
          </w:rPr>
          <w:fldChar w:fldCharType="begin"/>
        </w:r>
        <w:r w:rsidR="002A76F8" w:rsidRPr="00F5063A">
          <w:rPr>
            <w:webHidden/>
          </w:rPr>
          <w:instrText xml:space="preserve"> PAGEREF _Toc122081644 \h </w:instrText>
        </w:r>
        <w:r w:rsidR="002A76F8" w:rsidRPr="00F5063A">
          <w:rPr>
            <w:webHidden/>
          </w:rPr>
        </w:r>
        <w:r w:rsidR="002A76F8" w:rsidRPr="00F5063A">
          <w:rPr>
            <w:webHidden/>
          </w:rPr>
          <w:fldChar w:fldCharType="separate"/>
        </w:r>
        <w:r w:rsidR="002A76F8" w:rsidRPr="00F5063A">
          <w:rPr>
            <w:webHidden/>
          </w:rPr>
          <w:t>25</w:t>
        </w:r>
        <w:r w:rsidR="002A76F8" w:rsidRPr="00F5063A">
          <w:rPr>
            <w:webHidden/>
          </w:rPr>
          <w:fldChar w:fldCharType="end"/>
        </w:r>
      </w:hyperlink>
    </w:p>
    <w:p w14:paraId="7E5DF9C5" w14:textId="573B2787" w:rsidR="002A76F8" w:rsidRPr="00F5063A" w:rsidRDefault="00F5063A">
      <w:pPr>
        <w:pStyle w:val="TOC2"/>
        <w:rPr>
          <w:rFonts w:asciiTheme="minorHAnsi" w:eastAsiaTheme="minorEastAsia" w:hAnsiTheme="minorHAnsi" w:cstheme="minorBidi"/>
          <w:sz w:val="22"/>
          <w:szCs w:val="22"/>
        </w:rPr>
      </w:pPr>
      <w:hyperlink w:anchor="_Toc122081645" w:history="1">
        <w:r w:rsidR="002A76F8" w:rsidRPr="00F5063A">
          <w:rPr>
            <w:rStyle w:val="Hyperlink"/>
          </w:rPr>
          <w:t>Part S2.1A</w:t>
        </w:r>
        <w:r w:rsidR="002A76F8" w:rsidRPr="00F5063A">
          <w:rPr>
            <w:rFonts w:asciiTheme="minorHAnsi" w:eastAsiaTheme="minorEastAsia" w:hAnsiTheme="minorHAnsi" w:cstheme="minorBidi"/>
            <w:sz w:val="22"/>
            <w:szCs w:val="22"/>
          </w:rPr>
          <w:tab/>
        </w:r>
        <w:r w:rsidR="002A76F8" w:rsidRPr="00F5063A">
          <w:rPr>
            <w:rStyle w:val="Hyperlink"/>
          </w:rPr>
          <w:t>Definitions</w:t>
        </w:r>
        <w:r w:rsidR="002A76F8" w:rsidRPr="00F5063A">
          <w:rPr>
            <w:webHidden/>
          </w:rPr>
          <w:tab/>
        </w:r>
        <w:r w:rsidR="002A76F8" w:rsidRPr="00F5063A">
          <w:rPr>
            <w:webHidden/>
          </w:rPr>
          <w:fldChar w:fldCharType="begin"/>
        </w:r>
        <w:r w:rsidR="002A76F8" w:rsidRPr="00F5063A">
          <w:rPr>
            <w:webHidden/>
          </w:rPr>
          <w:instrText xml:space="preserve"> PAGEREF _Toc122081645 \h </w:instrText>
        </w:r>
        <w:r w:rsidR="002A76F8" w:rsidRPr="00F5063A">
          <w:rPr>
            <w:webHidden/>
          </w:rPr>
        </w:r>
        <w:r w:rsidR="002A76F8" w:rsidRPr="00F5063A">
          <w:rPr>
            <w:webHidden/>
          </w:rPr>
          <w:fldChar w:fldCharType="separate"/>
        </w:r>
        <w:r w:rsidR="002A76F8" w:rsidRPr="00F5063A">
          <w:rPr>
            <w:webHidden/>
          </w:rPr>
          <w:t>25</w:t>
        </w:r>
        <w:r w:rsidR="002A76F8" w:rsidRPr="00F5063A">
          <w:rPr>
            <w:webHidden/>
          </w:rPr>
          <w:fldChar w:fldCharType="end"/>
        </w:r>
      </w:hyperlink>
    </w:p>
    <w:p w14:paraId="7643FF69" w14:textId="68503359" w:rsidR="002A76F8" w:rsidRPr="00F5063A" w:rsidRDefault="00F5063A">
      <w:pPr>
        <w:pStyle w:val="TOC2"/>
        <w:rPr>
          <w:rFonts w:asciiTheme="minorHAnsi" w:eastAsiaTheme="minorEastAsia" w:hAnsiTheme="minorHAnsi" w:cstheme="minorBidi"/>
          <w:sz w:val="22"/>
          <w:szCs w:val="22"/>
        </w:rPr>
      </w:pPr>
      <w:hyperlink w:anchor="_Toc122081646" w:history="1">
        <w:r w:rsidR="002A76F8" w:rsidRPr="00F5063A">
          <w:rPr>
            <w:rStyle w:val="Hyperlink"/>
          </w:rPr>
          <w:t>Part S2.1</w:t>
        </w:r>
        <w:r w:rsidR="002A76F8" w:rsidRPr="00F5063A">
          <w:rPr>
            <w:rFonts w:asciiTheme="minorHAnsi" w:eastAsiaTheme="minorEastAsia" w:hAnsiTheme="minorHAnsi" w:cstheme="minorBidi"/>
            <w:sz w:val="22"/>
            <w:szCs w:val="22"/>
          </w:rPr>
          <w:tab/>
        </w:r>
        <w:r w:rsidR="002A76F8" w:rsidRPr="00F5063A">
          <w:rPr>
            <w:rStyle w:val="Hyperlink"/>
          </w:rPr>
          <w:t>Derivative Transaction Information</w:t>
        </w:r>
        <w:r w:rsidR="002A76F8" w:rsidRPr="00F5063A">
          <w:rPr>
            <w:webHidden/>
          </w:rPr>
          <w:tab/>
        </w:r>
        <w:r w:rsidR="002A76F8" w:rsidRPr="00F5063A">
          <w:rPr>
            <w:webHidden/>
          </w:rPr>
          <w:fldChar w:fldCharType="begin"/>
        </w:r>
        <w:r w:rsidR="002A76F8" w:rsidRPr="00F5063A">
          <w:rPr>
            <w:webHidden/>
          </w:rPr>
          <w:instrText xml:space="preserve"> PAGEREF _Toc122081646 \h </w:instrText>
        </w:r>
        <w:r w:rsidR="002A76F8" w:rsidRPr="00F5063A">
          <w:rPr>
            <w:webHidden/>
          </w:rPr>
        </w:r>
        <w:r w:rsidR="002A76F8" w:rsidRPr="00F5063A">
          <w:rPr>
            <w:webHidden/>
          </w:rPr>
          <w:fldChar w:fldCharType="separate"/>
        </w:r>
        <w:r w:rsidR="002A76F8" w:rsidRPr="00F5063A">
          <w:rPr>
            <w:webHidden/>
          </w:rPr>
          <w:t>25</w:t>
        </w:r>
        <w:r w:rsidR="002A76F8" w:rsidRPr="00F5063A">
          <w:rPr>
            <w:webHidden/>
          </w:rPr>
          <w:fldChar w:fldCharType="end"/>
        </w:r>
      </w:hyperlink>
    </w:p>
    <w:p w14:paraId="29AA614C" w14:textId="2B8E8A9E" w:rsidR="002A76F8" w:rsidRPr="00F5063A" w:rsidRDefault="00F5063A">
      <w:pPr>
        <w:pStyle w:val="TOC2"/>
        <w:rPr>
          <w:rFonts w:asciiTheme="minorHAnsi" w:eastAsiaTheme="minorEastAsia" w:hAnsiTheme="minorHAnsi" w:cstheme="minorBidi"/>
          <w:sz w:val="22"/>
          <w:szCs w:val="22"/>
        </w:rPr>
      </w:pPr>
      <w:hyperlink w:anchor="_Toc122081647" w:history="1">
        <w:r w:rsidR="002A76F8" w:rsidRPr="00F5063A">
          <w:rPr>
            <w:rStyle w:val="Hyperlink"/>
          </w:rPr>
          <w:t>Part S2.2</w:t>
        </w:r>
        <w:r w:rsidR="002A76F8" w:rsidRPr="00F5063A">
          <w:rPr>
            <w:rFonts w:asciiTheme="minorHAnsi" w:eastAsiaTheme="minorEastAsia" w:hAnsiTheme="minorHAnsi" w:cstheme="minorBidi"/>
            <w:sz w:val="22"/>
            <w:szCs w:val="22"/>
          </w:rPr>
          <w:tab/>
        </w:r>
        <w:r w:rsidR="002A76F8" w:rsidRPr="00F5063A">
          <w:rPr>
            <w:rStyle w:val="Hyperlink"/>
          </w:rPr>
          <w:t>Derivative Position Information</w:t>
        </w:r>
        <w:r w:rsidR="002A76F8" w:rsidRPr="00F5063A">
          <w:rPr>
            <w:webHidden/>
          </w:rPr>
          <w:tab/>
        </w:r>
        <w:r w:rsidR="002A76F8" w:rsidRPr="00F5063A">
          <w:rPr>
            <w:webHidden/>
          </w:rPr>
          <w:fldChar w:fldCharType="begin"/>
        </w:r>
        <w:r w:rsidR="002A76F8" w:rsidRPr="00F5063A">
          <w:rPr>
            <w:webHidden/>
          </w:rPr>
          <w:instrText xml:space="preserve"> PAGEREF _Toc122081647 \h </w:instrText>
        </w:r>
        <w:r w:rsidR="002A76F8" w:rsidRPr="00F5063A">
          <w:rPr>
            <w:webHidden/>
          </w:rPr>
        </w:r>
        <w:r w:rsidR="002A76F8" w:rsidRPr="00F5063A">
          <w:rPr>
            <w:webHidden/>
          </w:rPr>
          <w:fldChar w:fldCharType="separate"/>
        </w:r>
        <w:r w:rsidR="002A76F8" w:rsidRPr="00F5063A">
          <w:rPr>
            <w:webHidden/>
          </w:rPr>
          <w:t>37</w:t>
        </w:r>
        <w:r w:rsidR="002A76F8" w:rsidRPr="00F5063A">
          <w:rPr>
            <w:webHidden/>
          </w:rPr>
          <w:fldChar w:fldCharType="end"/>
        </w:r>
      </w:hyperlink>
    </w:p>
    <w:p w14:paraId="470E84B7" w14:textId="086367B8" w:rsidR="00457AC6" w:rsidRPr="00F81AE6" w:rsidRDefault="00D561EB" w:rsidP="00F420DC">
      <w:pPr>
        <w:pStyle w:val="MIRBodyText"/>
        <w:rPr>
          <w:noProof/>
        </w:rPr>
        <w:sectPr w:rsidR="00457AC6" w:rsidRPr="00F81AE6" w:rsidSect="0093204B">
          <w:headerReference w:type="default" r:id="rId18"/>
          <w:footerReference w:type="default" r:id="rId19"/>
          <w:headerReference w:type="first" r:id="rId20"/>
          <w:footerReference w:type="first" r:id="rId21"/>
          <w:pgSz w:w="11906" w:h="16838" w:code="9"/>
          <w:pgMar w:top="1644" w:right="1418" w:bottom="1418" w:left="1418" w:header="567" w:footer="567" w:gutter="0"/>
          <w:pgNumType w:start="2"/>
          <w:cols w:space="720"/>
          <w:titlePg/>
          <w:docGrid w:linePitch="299"/>
        </w:sectPr>
      </w:pPr>
      <w:r w:rsidRPr="00F5063A">
        <w:rPr>
          <w:rFonts w:ascii="HelveticaNeue LT 55 Roman" w:hAnsi="HelveticaNeue LT 55 Roman" w:cs="Arial"/>
          <w:noProof/>
          <w:sz w:val="20"/>
        </w:rPr>
        <w:fldChar w:fldCharType="end"/>
      </w:r>
    </w:p>
    <w:p w14:paraId="13062FD5" w14:textId="77777777" w:rsidR="00AD457C" w:rsidRPr="00F76596" w:rsidRDefault="00AD457C" w:rsidP="005C65FD">
      <w:pPr>
        <w:pStyle w:val="MIRHeading1Chapter"/>
      </w:pPr>
      <w:bookmarkStart w:id="0" w:name="_Toc290981880"/>
      <w:bookmarkStart w:id="1" w:name="_Toc306261282"/>
      <w:bookmarkStart w:id="2" w:name="_Toc122081633"/>
      <w:r w:rsidRPr="00F76596">
        <w:lastRenderedPageBreak/>
        <w:t>Chapter 1: Introduction</w:t>
      </w:r>
      <w:bookmarkEnd w:id="0"/>
      <w:bookmarkEnd w:id="1"/>
      <w:bookmarkEnd w:id="2"/>
    </w:p>
    <w:p w14:paraId="6F65BF90" w14:textId="77777777" w:rsidR="00AD457C" w:rsidRPr="00F76596" w:rsidRDefault="00AD457C" w:rsidP="00AD457C">
      <w:pPr>
        <w:pStyle w:val="MIRHeading2Part"/>
      </w:pPr>
      <w:bookmarkStart w:id="3" w:name="_Toc290981881"/>
      <w:bookmarkStart w:id="4" w:name="_Toc122081634"/>
      <w:r w:rsidRPr="00F76596">
        <w:t>Part 1.1</w:t>
      </w:r>
      <w:r w:rsidRPr="00F76596">
        <w:tab/>
        <w:t>Preliminary</w:t>
      </w:r>
      <w:bookmarkEnd w:id="3"/>
      <w:bookmarkEnd w:id="4"/>
    </w:p>
    <w:p w14:paraId="2D72F891" w14:textId="77777777" w:rsidR="00AD457C" w:rsidRPr="00F76596" w:rsidRDefault="00AD457C" w:rsidP="005C65FD">
      <w:pPr>
        <w:pStyle w:val="MIRHeading3Rule"/>
      </w:pPr>
      <w:r w:rsidRPr="00F76596">
        <w:t>1.1.1</w:t>
      </w:r>
      <w:r w:rsidRPr="00F76596">
        <w:tab/>
        <w:t>Enabling legislation</w:t>
      </w:r>
    </w:p>
    <w:p w14:paraId="2EB692E4" w14:textId="77777777" w:rsidR="00AD457C" w:rsidRPr="00F76596" w:rsidRDefault="00AD457C" w:rsidP="00F420DC">
      <w:pPr>
        <w:pStyle w:val="MIRBodyText"/>
      </w:pPr>
      <w:r w:rsidRPr="00F76596">
        <w:t xml:space="preserve">ASIC makes this instrument under section </w:t>
      </w:r>
      <w:r w:rsidR="00821259" w:rsidRPr="00F76596">
        <w:t>90</w:t>
      </w:r>
      <w:r w:rsidR="00E4286B" w:rsidRPr="00F76596">
        <w:t>1</w:t>
      </w:r>
      <w:r w:rsidR="00821259" w:rsidRPr="00F76596">
        <w:t>A</w:t>
      </w:r>
      <w:r w:rsidRPr="00F76596">
        <w:t xml:space="preserve"> of the Act.</w:t>
      </w:r>
    </w:p>
    <w:p w14:paraId="2D2E01DB" w14:textId="77777777" w:rsidR="00AD457C" w:rsidRPr="00F76596" w:rsidRDefault="00AD457C" w:rsidP="005C65FD">
      <w:pPr>
        <w:pStyle w:val="MIRHeading3Rule"/>
      </w:pPr>
      <w:r w:rsidRPr="00F76596">
        <w:t>1.1.2</w:t>
      </w:r>
      <w:r w:rsidRPr="00F76596">
        <w:tab/>
        <w:t>Title</w:t>
      </w:r>
    </w:p>
    <w:p w14:paraId="5909FDE8" w14:textId="71498538" w:rsidR="00AD457C" w:rsidRDefault="00AD457C" w:rsidP="00F420DC">
      <w:pPr>
        <w:pStyle w:val="MIRBodyText"/>
      </w:pPr>
      <w:r w:rsidRPr="00F76596">
        <w:t xml:space="preserve">This instrument is </w:t>
      </w:r>
      <w:r w:rsidR="00E4286B" w:rsidRPr="00F76596">
        <w:t xml:space="preserve">the </w:t>
      </w:r>
      <w:r w:rsidR="00E4286B" w:rsidRPr="00F76596">
        <w:rPr>
          <w:i/>
        </w:rPr>
        <w:t xml:space="preserve">ASIC </w:t>
      </w:r>
      <w:r w:rsidR="00821259" w:rsidRPr="00F76596">
        <w:rPr>
          <w:i/>
        </w:rPr>
        <w:t xml:space="preserve">Derivative </w:t>
      </w:r>
      <w:r w:rsidR="00E4286B" w:rsidRPr="00F76596">
        <w:rPr>
          <w:i/>
        </w:rPr>
        <w:t xml:space="preserve">Transaction </w:t>
      </w:r>
      <w:r w:rsidR="00821259" w:rsidRPr="00F76596">
        <w:rPr>
          <w:i/>
        </w:rPr>
        <w:t>Rules</w:t>
      </w:r>
      <w:r w:rsidR="00404E32" w:rsidRPr="00F76596">
        <w:rPr>
          <w:i/>
        </w:rPr>
        <w:t xml:space="preserve"> </w:t>
      </w:r>
      <w:r w:rsidR="00207DB3" w:rsidRPr="00F76596">
        <w:rPr>
          <w:i/>
        </w:rPr>
        <w:t xml:space="preserve">(Reporting) </w:t>
      </w:r>
      <w:r w:rsidR="00886351">
        <w:rPr>
          <w:i/>
        </w:rPr>
        <w:t>2022</w:t>
      </w:r>
      <w:r w:rsidRPr="00F76596">
        <w:t>.</w:t>
      </w:r>
    </w:p>
    <w:p w14:paraId="77BF5871" w14:textId="2FACC133" w:rsidR="00BF50EC" w:rsidRPr="00F76596" w:rsidRDefault="001706EF" w:rsidP="00BF50EC">
      <w:pPr>
        <w:pStyle w:val="MIRHeading3Rule"/>
      </w:pPr>
      <w:r w:rsidRPr="00F76596">
        <w:t>1.1.</w:t>
      </w:r>
      <w:r>
        <w:t>3</w:t>
      </w:r>
      <w:r w:rsidRPr="00F76596">
        <w:tab/>
      </w:r>
      <w:r w:rsidR="00BF50EC" w:rsidRPr="00F76596">
        <w:t>Commencement</w:t>
      </w:r>
    </w:p>
    <w:p w14:paraId="30E83F4F" w14:textId="58AF85B8" w:rsidR="00BF50EC" w:rsidRPr="006220DE" w:rsidRDefault="00BF50EC" w:rsidP="006220DE">
      <w:pPr>
        <w:pStyle w:val="MIRBodyText"/>
      </w:pPr>
      <w:r w:rsidRPr="006220DE">
        <w:t>This instrument commences on the day after this instrument is registered on the Federal Register of Legislation.</w:t>
      </w:r>
    </w:p>
    <w:p w14:paraId="69AF178D" w14:textId="181EB5A0" w:rsidR="001706EF" w:rsidRDefault="00BF50EC" w:rsidP="007B5238">
      <w:pPr>
        <w:pStyle w:val="MIRNote"/>
      </w:pPr>
      <w:r w:rsidRPr="00F76596">
        <w:t xml:space="preserve">Note: </w:t>
      </w:r>
      <w:r>
        <w:t xml:space="preserve">The register may be accessed at </w:t>
      </w:r>
      <w:hyperlink r:id="rId22" w:history="1">
        <w:r w:rsidRPr="00AD62B8">
          <w:rPr>
            <w:rStyle w:val="Hyperlink"/>
          </w:rPr>
          <w:t>www.legislation.gov.au.</w:t>
        </w:r>
      </w:hyperlink>
    </w:p>
    <w:p w14:paraId="31D5B2E2" w14:textId="118334A2" w:rsidR="003F7699" w:rsidRPr="00F76596" w:rsidRDefault="003F7699" w:rsidP="003F7699">
      <w:pPr>
        <w:pStyle w:val="MIRHeading3Rule"/>
      </w:pPr>
      <w:r w:rsidRPr="00F76596">
        <w:t>1.1.</w:t>
      </w:r>
      <w:r>
        <w:t>3A</w:t>
      </w:r>
      <w:r w:rsidRPr="00F76596">
        <w:tab/>
      </w:r>
      <w:r>
        <w:t>Revocation</w:t>
      </w:r>
    </w:p>
    <w:p w14:paraId="5489A640" w14:textId="719B99E0" w:rsidR="006A2FB8" w:rsidRPr="006220DE" w:rsidRDefault="006A2FB8" w:rsidP="006220DE">
      <w:pPr>
        <w:pStyle w:val="MIRBodyText"/>
      </w:pPr>
      <w:r w:rsidRPr="006220DE">
        <w:t xml:space="preserve">The instrument </w:t>
      </w:r>
      <w:r w:rsidRPr="000E04EB">
        <w:rPr>
          <w:i/>
          <w:iCs/>
        </w:rPr>
        <w:t>ASIC Derivative Transaction Rules (Reporting) 2013</w:t>
      </w:r>
      <w:r w:rsidRPr="006220DE">
        <w:t xml:space="preserve"> is repealed.</w:t>
      </w:r>
    </w:p>
    <w:p w14:paraId="43CA11A7" w14:textId="7B13BA21" w:rsidR="00192494" w:rsidRPr="00F76596" w:rsidRDefault="00192494" w:rsidP="00192494">
      <w:pPr>
        <w:pStyle w:val="MIRHeading3Rule"/>
      </w:pPr>
      <w:bookmarkStart w:id="5" w:name="_Toc290981884"/>
      <w:r w:rsidRPr="00F76596">
        <w:t>1.1.</w:t>
      </w:r>
      <w:r w:rsidR="006A2FB8">
        <w:t>4</w:t>
      </w:r>
      <w:r w:rsidRPr="00F76596">
        <w:tab/>
      </w:r>
      <w:r w:rsidR="006A2FB8">
        <w:t>Penalties for a contravention of these Rules</w:t>
      </w:r>
    </w:p>
    <w:p w14:paraId="297E1FB8" w14:textId="77777777" w:rsidR="000C1C64" w:rsidRDefault="000C1C64" w:rsidP="000C1C64">
      <w:pPr>
        <w:pStyle w:val="MIRBodyText"/>
      </w:pPr>
      <w:r>
        <w:t>The maximum pecuniary penalty payable for a contravention of a provision of these Rules is an amount determined by the Court under section 1317G of the Corporations Act.</w:t>
      </w:r>
    </w:p>
    <w:p w14:paraId="43689DE8" w14:textId="0D5F43B0" w:rsidR="00AD457C" w:rsidRPr="00F76596" w:rsidRDefault="00AD457C" w:rsidP="00AD457C">
      <w:pPr>
        <w:pStyle w:val="MIRHeading2Part"/>
      </w:pPr>
      <w:bookmarkStart w:id="6" w:name="_Toc122081635"/>
      <w:r w:rsidRPr="00F76596">
        <w:t>Part 1.</w:t>
      </w:r>
      <w:r w:rsidR="004D0E04" w:rsidRPr="00F76596">
        <w:t>2</w:t>
      </w:r>
      <w:r w:rsidRPr="00F76596">
        <w:tab/>
        <w:t>Interpretation</w:t>
      </w:r>
      <w:bookmarkEnd w:id="5"/>
      <w:bookmarkEnd w:id="6"/>
    </w:p>
    <w:p w14:paraId="1F7EB3C9" w14:textId="77777777" w:rsidR="00AD457C" w:rsidRPr="00F76596" w:rsidRDefault="00AD457C" w:rsidP="005C65FD">
      <w:pPr>
        <w:pStyle w:val="MIRHeading3Rule"/>
      </w:pPr>
      <w:r w:rsidRPr="00F76596">
        <w:t>1.</w:t>
      </w:r>
      <w:r w:rsidR="004D0E04" w:rsidRPr="00F76596">
        <w:t>2</w:t>
      </w:r>
      <w:r w:rsidRPr="00F76596">
        <w:t>.1</w:t>
      </w:r>
      <w:r w:rsidRPr="00F76596">
        <w:tab/>
        <w:t>References to time</w:t>
      </w:r>
    </w:p>
    <w:p w14:paraId="5AC3EC14" w14:textId="77777777" w:rsidR="00AD457C" w:rsidRPr="00F76596" w:rsidRDefault="003A070D" w:rsidP="00F420DC">
      <w:pPr>
        <w:pStyle w:val="MIRBodyText"/>
      </w:pPr>
      <w:r w:rsidRPr="00F76596">
        <w:t xml:space="preserve">In these Rules, unless the contrary intention appears, a reference to time is to Australian Eastern </w:t>
      </w:r>
      <w:r w:rsidR="00873141" w:rsidRPr="00F76596">
        <w:t xml:space="preserve">Standard </w:t>
      </w:r>
      <w:r w:rsidRPr="00F76596">
        <w:t>Time</w:t>
      </w:r>
      <w:r w:rsidR="00601947" w:rsidRPr="00F76596">
        <w:t xml:space="preserve"> (AEST)</w:t>
      </w:r>
      <w:r w:rsidRPr="00F76596">
        <w:t xml:space="preserve"> or Australian Eastern Daylight Time</w:t>
      </w:r>
      <w:r w:rsidR="00601947" w:rsidRPr="00F76596">
        <w:t xml:space="preserve"> (AEDT)</w:t>
      </w:r>
      <w:r w:rsidRPr="00F76596">
        <w:t xml:space="preserve">, as </w:t>
      </w:r>
      <w:r w:rsidR="00A56E04" w:rsidRPr="00F76596">
        <w:t>applicable</w:t>
      </w:r>
      <w:r w:rsidR="00873141" w:rsidRPr="00F76596">
        <w:t>,</w:t>
      </w:r>
      <w:r w:rsidR="00873141" w:rsidRPr="00F76596">
        <w:rPr>
          <w:szCs w:val="20"/>
        </w:rPr>
        <w:t xml:space="preserve"> </w:t>
      </w:r>
      <w:r w:rsidR="00873141" w:rsidRPr="00F76596">
        <w:t>in Sydney, Australia</w:t>
      </w:r>
      <w:r w:rsidR="007E63F4" w:rsidRPr="00F76596">
        <w:t>.</w:t>
      </w:r>
    </w:p>
    <w:p w14:paraId="29448EBD" w14:textId="77777777" w:rsidR="00AD457C" w:rsidRPr="00F76596" w:rsidRDefault="00AD457C" w:rsidP="005C65FD">
      <w:pPr>
        <w:pStyle w:val="MIRHeading3Rule"/>
      </w:pPr>
      <w:r w:rsidRPr="00F76596">
        <w:t>1.</w:t>
      </w:r>
      <w:r w:rsidR="004D0E04" w:rsidRPr="00F76596">
        <w:t>2</w:t>
      </w:r>
      <w:r w:rsidRPr="00F76596">
        <w:t>.2</w:t>
      </w:r>
      <w:r w:rsidRPr="00F76596">
        <w:tab/>
        <w:t>Words and expressions defined in the Corporations Act</w:t>
      </w:r>
    </w:p>
    <w:p w14:paraId="4624A979" w14:textId="77777777" w:rsidR="00AD457C" w:rsidRPr="00F76596" w:rsidRDefault="00AD457C" w:rsidP="00F420DC">
      <w:pPr>
        <w:pStyle w:val="MIRBodyText"/>
      </w:pPr>
      <w:r w:rsidRPr="00F76596">
        <w:t>Words and expressions defined in the Act will, unless otherwise defined or specified in these Rules or the contrary intention appears, have the same meaning in these Rules.</w:t>
      </w:r>
    </w:p>
    <w:p w14:paraId="0786655F" w14:textId="77777777" w:rsidR="0074706F" w:rsidRPr="00F76596" w:rsidRDefault="0074706F" w:rsidP="002136A6">
      <w:pPr>
        <w:pStyle w:val="MIRNote"/>
      </w:pPr>
      <w:r w:rsidRPr="00F76596">
        <w:t>Note:</w:t>
      </w:r>
      <w:r w:rsidRPr="00F76596">
        <w:rPr>
          <w:b/>
        </w:rPr>
        <w:t xml:space="preserve"> </w:t>
      </w:r>
      <w:r w:rsidRPr="00F76596">
        <w:t>For convenience, some word</w:t>
      </w:r>
      <w:r w:rsidR="006D2466" w:rsidRPr="00F76596">
        <w:t>s</w:t>
      </w:r>
      <w:r w:rsidRPr="00F76596">
        <w:t xml:space="preserve"> and expressions defined in the Act are cross-referenced in Rule 1.2.3 below.</w:t>
      </w:r>
    </w:p>
    <w:p w14:paraId="49EB9BE4" w14:textId="77777777" w:rsidR="00280568" w:rsidRPr="00F76596" w:rsidRDefault="00280568" w:rsidP="00280568">
      <w:pPr>
        <w:pStyle w:val="MIRHeading3Rule"/>
      </w:pPr>
      <w:r w:rsidRPr="00F76596">
        <w:lastRenderedPageBreak/>
        <w:t>1.</w:t>
      </w:r>
      <w:r w:rsidR="004D0E04" w:rsidRPr="00F76596">
        <w:t>2</w:t>
      </w:r>
      <w:r w:rsidRPr="00F76596">
        <w:t>.3</w:t>
      </w:r>
      <w:r w:rsidRPr="00F76596">
        <w:tab/>
        <w:t>Definitions</w:t>
      </w:r>
    </w:p>
    <w:p w14:paraId="6EC86460" w14:textId="77777777" w:rsidR="00A43407" w:rsidRPr="00F76596" w:rsidRDefault="00A43407" w:rsidP="004C0CB4">
      <w:pPr>
        <w:pStyle w:val="MIRBodyText"/>
        <w:keepNext/>
      </w:pPr>
      <w:r w:rsidRPr="00F76596">
        <w:t>In these Rules:</w:t>
      </w:r>
    </w:p>
    <w:p w14:paraId="18BF9BF5" w14:textId="77777777" w:rsidR="00280568" w:rsidRPr="00F76596" w:rsidRDefault="00280568" w:rsidP="00280568">
      <w:pPr>
        <w:pStyle w:val="MIRBodyText"/>
      </w:pPr>
      <w:r w:rsidRPr="00F76596">
        <w:rPr>
          <w:b/>
          <w:i/>
        </w:rPr>
        <w:t>Act</w:t>
      </w:r>
      <w:r w:rsidRPr="00F76596">
        <w:t xml:space="preserve"> means the </w:t>
      </w:r>
      <w:r w:rsidRPr="00F76596">
        <w:rPr>
          <w:i/>
        </w:rPr>
        <w:t>Corporations Act 2001</w:t>
      </w:r>
      <w:r w:rsidRPr="00F76596">
        <w:t>.</w:t>
      </w:r>
    </w:p>
    <w:p w14:paraId="09CEBAD5" w14:textId="77777777" w:rsidR="00FA559B" w:rsidRPr="00F76596" w:rsidRDefault="00FA559B" w:rsidP="00BF543B">
      <w:pPr>
        <w:pStyle w:val="MIRBodyText"/>
      </w:pPr>
      <w:r w:rsidRPr="00F76596">
        <w:rPr>
          <w:b/>
          <w:i/>
        </w:rPr>
        <w:t xml:space="preserve">AFS Licence </w:t>
      </w:r>
      <w:r w:rsidRPr="00F76596">
        <w:t>means an Australian financial services licence</w:t>
      </w:r>
      <w:r w:rsidR="002D4CB2" w:rsidRPr="00F76596">
        <w:t xml:space="preserve"> within the meaning of section 761A of the Act</w:t>
      </w:r>
      <w:r w:rsidR="00C95226" w:rsidRPr="00F76596">
        <w:t>.</w:t>
      </w:r>
    </w:p>
    <w:p w14:paraId="5AE23307" w14:textId="77777777" w:rsidR="002455E2" w:rsidRPr="00F76596" w:rsidRDefault="002455E2" w:rsidP="00BF543B">
      <w:pPr>
        <w:pStyle w:val="MIRBodyText"/>
      </w:pPr>
      <w:r w:rsidRPr="00F76596">
        <w:rPr>
          <w:b/>
          <w:i/>
        </w:rPr>
        <w:t xml:space="preserve">AFS </w:t>
      </w:r>
      <w:r w:rsidR="00FE43C9" w:rsidRPr="00F76596">
        <w:rPr>
          <w:b/>
          <w:i/>
        </w:rPr>
        <w:t>L</w:t>
      </w:r>
      <w:r w:rsidRPr="00F76596">
        <w:rPr>
          <w:b/>
          <w:i/>
        </w:rPr>
        <w:t>icensee</w:t>
      </w:r>
      <w:r w:rsidRPr="00F76596">
        <w:t xml:space="preserve"> means a person who holds</w:t>
      </w:r>
      <w:r w:rsidR="00FA559B" w:rsidRPr="00F76596">
        <w:t xml:space="preserve"> an AFS Licence</w:t>
      </w:r>
      <w:r w:rsidRPr="00F76596">
        <w:t>.</w:t>
      </w:r>
    </w:p>
    <w:p w14:paraId="32CC6F7B" w14:textId="77777777" w:rsidR="00AA5A73" w:rsidRPr="00F76596" w:rsidRDefault="00BF543B" w:rsidP="00280568">
      <w:pPr>
        <w:pStyle w:val="MIRBodyText"/>
      </w:pPr>
      <w:r w:rsidRPr="00F76596">
        <w:rPr>
          <w:b/>
          <w:i/>
        </w:rPr>
        <w:t>ASIC</w:t>
      </w:r>
      <w:r w:rsidRPr="00F76596">
        <w:t xml:space="preserve"> means the Australian Securities and Investments Commission.</w:t>
      </w:r>
    </w:p>
    <w:p w14:paraId="67DD96A6" w14:textId="77777777" w:rsidR="002D219A" w:rsidRPr="00F76596" w:rsidRDefault="00AA5A73" w:rsidP="00280568">
      <w:pPr>
        <w:pStyle w:val="MIRBodyText"/>
      </w:pPr>
      <w:r w:rsidRPr="00F76596">
        <w:rPr>
          <w:b/>
          <w:i/>
        </w:rPr>
        <w:t>Australian ADI</w:t>
      </w:r>
      <w:r w:rsidRPr="00F76596">
        <w:t xml:space="preserve"> </w:t>
      </w:r>
      <w:r w:rsidR="00AE6B82" w:rsidRPr="00F76596">
        <w:t xml:space="preserve">means an Australian </w:t>
      </w:r>
      <w:r w:rsidR="00C75E91" w:rsidRPr="00F76596">
        <w:t>E</w:t>
      </w:r>
      <w:r w:rsidR="00AE6B82" w:rsidRPr="00F76596">
        <w:t>ntity that is an Australian ADI within</w:t>
      </w:r>
      <w:r w:rsidRPr="00F76596">
        <w:t xml:space="preserve"> the meaning </w:t>
      </w:r>
      <w:r w:rsidR="00AE6B82" w:rsidRPr="00F76596">
        <w:t xml:space="preserve">of </w:t>
      </w:r>
      <w:r w:rsidRPr="00F76596">
        <w:t>section 9 of the Act.</w:t>
      </w:r>
    </w:p>
    <w:p w14:paraId="3AE95DC2" w14:textId="77777777" w:rsidR="00810F30" w:rsidRPr="00F76596" w:rsidRDefault="00810F30" w:rsidP="00280568">
      <w:pPr>
        <w:pStyle w:val="MIRBodyText"/>
      </w:pPr>
      <w:r w:rsidRPr="00F76596">
        <w:rPr>
          <w:b/>
          <w:i/>
        </w:rPr>
        <w:t>Australian Entity</w:t>
      </w:r>
      <w:r w:rsidR="009B7126" w:rsidRPr="00F76596">
        <w:t xml:space="preserve"> means an entity </w:t>
      </w:r>
      <w:r w:rsidR="00226FAD" w:rsidRPr="00F76596">
        <w:t>(including a corporation, partnership</w:t>
      </w:r>
      <w:r w:rsidR="008F3F1C" w:rsidRPr="00F76596">
        <w:t xml:space="preserve">, managed investment scheme </w:t>
      </w:r>
      <w:r w:rsidR="00226FAD" w:rsidRPr="00F76596">
        <w:t xml:space="preserve">or trust) </w:t>
      </w:r>
      <w:r w:rsidR="009B7126" w:rsidRPr="00F76596">
        <w:t>that is incorporated or formed in this jurisdiction</w:t>
      </w:r>
      <w:r w:rsidRPr="00F76596">
        <w:t>.</w:t>
      </w:r>
    </w:p>
    <w:p w14:paraId="25BEB432" w14:textId="77777777" w:rsidR="00B71556" w:rsidRPr="00F76596" w:rsidRDefault="00C11767" w:rsidP="003B3937">
      <w:pPr>
        <w:pStyle w:val="MIRBodyText"/>
      </w:pPr>
      <w:r w:rsidRPr="00F76596">
        <w:rPr>
          <w:b/>
          <w:i/>
        </w:rPr>
        <w:t>Business Day</w:t>
      </w:r>
      <w:r w:rsidRPr="00F76596">
        <w:t xml:space="preserve"> </w:t>
      </w:r>
      <w:r w:rsidR="009C31A4" w:rsidRPr="00F76596">
        <w:t>means</w:t>
      </w:r>
      <w:r w:rsidRPr="00F76596">
        <w:t xml:space="preserve"> a day that is not a Saturday, a Sunday, or a public holiday or bank holiday in the </w:t>
      </w:r>
      <w:r w:rsidR="00111C9C" w:rsidRPr="00F76596">
        <w:t>Relevant Jurisdiction</w:t>
      </w:r>
      <w:r w:rsidR="003B1FDA" w:rsidRPr="00F76596">
        <w:t>.</w:t>
      </w:r>
    </w:p>
    <w:p w14:paraId="2013980A" w14:textId="77777777" w:rsidR="005E5FA2" w:rsidRPr="00F76596" w:rsidRDefault="005E5FA2" w:rsidP="00280568">
      <w:pPr>
        <w:pStyle w:val="MIRBodyText"/>
      </w:pPr>
      <w:r w:rsidRPr="00F76596">
        <w:rPr>
          <w:b/>
          <w:i/>
        </w:rPr>
        <w:t>CS</w:t>
      </w:r>
      <w:r w:rsidR="001B0D00" w:rsidRPr="00F76596">
        <w:rPr>
          <w:b/>
          <w:i/>
        </w:rPr>
        <w:t xml:space="preserve"> </w:t>
      </w:r>
      <w:r w:rsidR="005A54A8" w:rsidRPr="00F76596">
        <w:rPr>
          <w:b/>
          <w:i/>
        </w:rPr>
        <w:t>Facility</w:t>
      </w:r>
      <w:r w:rsidRPr="00F76596">
        <w:rPr>
          <w:b/>
          <w:i/>
        </w:rPr>
        <w:t xml:space="preserve"> Licensee </w:t>
      </w:r>
      <w:r w:rsidR="00A505CC" w:rsidRPr="00F76596">
        <w:t>has the meaning given by section 761A of the Act</w:t>
      </w:r>
      <w:r w:rsidR="001C5D47" w:rsidRPr="00F76596">
        <w:t>.</w:t>
      </w:r>
      <w:r w:rsidRPr="00F76596">
        <w:rPr>
          <w:b/>
          <w:i/>
        </w:rPr>
        <w:t xml:space="preserve"> </w:t>
      </w:r>
    </w:p>
    <w:p w14:paraId="2ABC821D" w14:textId="77777777" w:rsidR="00F127B0" w:rsidRPr="00F76596" w:rsidRDefault="00280568" w:rsidP="00280568">
      <w:pPr>
        <w:pStyle w:val="MIRBodyText"/>
      </w:pPr>
      <w:r w:rsidRPr="00F76596">
        <w:rPr>
          <w:b/>
          <w:i/>
        </w:rPr>
        <w:t>Derivative</w:t>
      </w:r>
      <w:r w:rsidRPr="00F76596">
        <w:t xml:space="preserve"> has the meaning given by s</w:t>
      </w:r>
      <w:r w:rsidR="003F134F" w:rsidRPr="00F76596">
        <w:t xml:space="preserve">ection </w:t>
      </w:r>
      <w:r w:rsidRPr="00F76596">
        <w:t>761D of the Act.</w:t>
      </w:r>
    </w:p>
    <w:p w14:paraId="1CD85B25" w14:textId="77777777" w:rsidR="00C303D4" w:rsidRPr="00F76596" w:rsidRDefault="00C303D4" w:rsidP="00C303D4">
      <w:pPr>
        <w:pStyle w:val="MIRBodyText"/>
        <w:rPr>
          <w:b/>
          <w:i/>
        </w:rPr>
      </w:pPr>
      <w:r w:rsidRPr="00F76596">
        <w:rPr>
          <w:b/>
          <w:i/>
        </w:rPr>
        <w:t xml:space="preserve">Derivative Position Information </w:t>
      </w:r>
      <w:r w:rsidRPr="00F76596">
        <w:t xml:space="preserve">means the information </w:t>
      </w:r>
      <w:r w:rsidR="00145BDA" w:rsidRPr="00F76596">
        <w:t>about positions relating to Derivative Transaction</w:t>
      </w:r>
      <w:r w:rsidR="00C96D25" w:rsidRPr="00F76596">
        <w:t>s</w:t>
      </w:r>
      <w:r w:rsidR="00145BDA" w:rsidRPr="00F76596">
        <w:t xml:space="preserve"> </w:t>
      </w:r>
      <w:r w:rsidRPr="00F76596">
        <w:t xml:space="preserve">set out in </w:t>
      </w:r>
      <w:r w:rsidR="007A3A7B" w:rsidRPr="00F76596">
        <w:t xml:space="preserve">Part </w:t>
      </w:r>
      <w:r w:rsidR="00FE43C9" w:rsidRPr="00F76596">
        <w:t>S2.</w:t>
      </w:r>
      <w:r w:rsidR="007A3A7B" w:rsidRPr="00F76596">
        <w:t xml:space="preserve">2 of </w:t>
      </w:r>
      <w:r w:rsidR="00B01D3D" w:rsidRPr="00F76596">
        <w:t>Schedule 2</w:t>
      </w:r>
      <w:r w:rsidRPr="00F76596">
        <w:t xml:space="preserve"> to these Rules.</w:t>
      </w:r>
    </w:p>
    <w:p w14:paraId="332D4E4B" w14:textId="77777777" w:rsidR="00280568" w:rsidRPr="00F76596" w:rsidRDefault="00280568" w:rsidP="00280568">
      <w:pPr>
        <w:pStyle w:val="MIRBodyText"/>
      </w:pPr>
      <w:r w:rsidRPr="00F76596">
        <w:rPr>
          <w:b/>
          <w:i/>
        </w:rPr>
        <w:t>Derivative Trade Data</w:t>
      </w:r>
      <w:r w:rsidRPr="00F76596">
        <w:rPr>
          <w:b/>
        </w:rPr>
        <w:t xml:space="preserve"> </w:t>
      </w:r>
      <w:r w:rsidRPr="00F76596">
        <w:t xml:space="preserve">has the meaning given by </w:t>
      </w:r>
      <w:r w:rsidR="006719D4" w:rsidRPr="00F76596">
        <w:t>section 761A</w:t>
      </w:r>
      <w:r w:rsidRPr="00F76596">
        <w:t xml:space="preserve"> of the Act</w:t>
      </w:r>
      <w:r w:rsidR="001644DB" w:rsidRPr="00F76596">
        <w:t xml:space="preserve"> and includes Derivative Transaction Information and Derivative Position Information</w:t>
      </w:r>
      <w:r w:rsidRPr="00F76596">
        <w:t>.</w:t>
      </w:r>
    </w:p>
    <w:p w14:paraId="6C216165" w14:textId="77777777" w:rsidR="00280568" w:rsidRPr="00F76596" w:rsidRDefault="00280568" w:rsidP="00280568">
      <w:pPr>
        <w:pStyle w:val="MIRBodyText"/>
      </w:pPr>
      <w:r w:rsidRPr="00F76596">
        <w:rPr>
          <w:b/>
          <w:bCs/>
          <w:i/>
          <w:iCs/>
        </w:rPr>
        <w:t>Derivative Trade Repository</w:t>
      </w:r>
      <w:r w:rsidRPr="00F76596">
        <w:rPr>
          <w:bCs/>
          <w:iCs/>
        </w:rPr>
        <w:t xml:space="preserve"> </w:t>
      </w:r>
      <w:r w:rsidR="006719D4" w:rsidRPr="00F76596">
        <w:rPr>
          <w:bCs/>
          <w:iCs/>
        </w:rPr>
        <w:t>has the meaning given by section 761A of the Act</w:t>
      </w:r>
      <w:r w:rsidR="00782CF0" w:rsidRPr="00F76596">
        <w:rPr>
          <w:bCs/>
          <w:iCs/>
        </w:rPr>
        <w:t>.</w:t>
      </w:r>
    </w:p>
    <w:p w14:paraId="57A24AD6" w14:textId="77777777" w:rsidR="00280568" w:rsidRPr="00F76596" w:rsidRDefault="00280568" w:rsidP="00280568">
      <w:pPr>
        <w:pStyle w:val="MIRBodyText"/>
      </w:pPr>
      <w:r w:rsidRPr="00F76596">
        <w:rPr>
          <w:b/>
          <w:bCs/>
          <w:i/>
          <w:iCs/>
        </w:rPr>
        <w:t>Derivative Transaction</w:t>
      </w:r>
      <w:r w:rsidRPr="00F76596">
        <w:rPr>
          <w:b/>
          <w:bCs/>
          <w:iCs/>
        </w:rPr>
        <w:t xml:space="preserve"> </w:t>
      </w:r>
      <w:r w:rsidRPr="00F76596">
        <w:rPr>
          <w:bCs/>
          <w:iCs/>
        </w:rPr>
        <w:t>has</w:t>
      </w:r>
      <w:r w:rsidRPr="00F76596">
        <w:t xml:space="preserve"> the meaning given by </w:t>
      </w:r>
      <w:r w:rsidR="006719D4" w:rsidRPr="00F76596">
        <w:t>section 761A</w:t>
      </w:r>
      <w:r w:rsidRPr="00F76596">
        <w:t xml:space="preserve"> of the Act. </w:t>
      </w:r>
    </w:p>
    <w:p w14:paraId="081DEA5B" w14:textId="77777777" w:rsidR="00280568" w:rsidRPr="00F76596" w:rsidRDefault="00280568" w:rsidP="00280568">
      <w:pPr>
        <w:pStyle w:val="MIRBodyText"/>
      </w:pPr>
      <w:r w:rsidRPr="00F76596">
        <w:rPr>
          <w:b/>
          <w:bCs/>
          <w:i/>
          <w:iCs/>
        </w:rPr>
        <w:t>Derivative Transaction Information</w:t>
      </w:r>
      <w:r w:rsidR="00145BDA" w:rsidRPr="00F76596">
        <w:rPr>
          <w:bCs/>
          <w:iCs/>
        </w:rPr>
        <w:t xml:space="preserve"> means the information about Derivative Transactions </w:t>
      </w:r>
      <w:r w:rsidR="00B54FEC" w:rsidRPr="00F76596">
        <w:rPr>
          <w:bCs/>
          <w:iCs/>
        </w:rPr>
        <w:t xml:space="preserve">set out </w:t>
      </w:r>
      <w:r w:rsidR="00145BDA" w:rsidRPr="00F76596">
        <w:rPr>
          <w:bCs/>
          <w:iCs/>
        </w:rPr>
        <w:t xml:space="preserve">in Part </w:t>
      </w:r>
      <w:r w:rsidR="00A01A6D" w:rsidRPr="00F76596">
        <w:rPr>
          <w:bCs/>
          <w:iCs/>
        </w:rPr>
        <w:t>S2.</w:t>
      </w:r>
      <w:r w:rsidR="00145BDA" w:rsidRPr="00F76596">
        <w:rPr>
          <w:bCs/>
          <w:iCs/>
        </w:rPr>
        <w:t xml:space="preserve">1 of </w:t>
      </w:r>
      <w:r w:rsidR="00B01D3D" w:rsidRPr="00F76596">
        <w:rPr>
          <w:bCs/>
          <w:iCs/>
        </w:rPr>
        <w:t>Schedule 2</w:t>
      </w:r>
      <w:r w:rsidR="00145BDA" w:rsidRPr="00F76596">
        <w:rPr>
          <w:bCs/>
          <w:iCs/>
        </w:rPr>
        <w:t xml:space="preserve"> to these Rules</w:t>
      </w:r>
      <w:r w:rsidRPr="00F76596">
        <w:rPr>
          <w:bCs/>
          <w:iCs/>
        </w:rPr>
        <w:t>.</w:t>
      </w:r>
    </w:p>
    <w:p w14:paraId="7EB46D23" w14:textId="77777777" w:rsidR="007C58AA" w:rsidRPr="00F76596" w:rsidRDefault="007C58AA" w:rsidP="0048000F">
      <w:pPr>
        <w:pStyle w:val="MIRBodyText"/>
        <w:tabs>
          <w:tab w:val="left" w:pos="5529"/>
        </w:tabs>
      </w:pPr>
      <w:r w:rsidRPr="00F76596">
        <w:rPr>
          <w:b/>
          <w:bCs/>
          <w:i/>
          <w:iCs/>
        </w:rPr>
        <w:t>Effective Date</w:t>
      </w:r>
      <w:r w:rsidRPr="00F76596">
        <w:rPr>
          <w:bCs/>
          <w:iCs/>
        </w:rPr>
        <w:t xml:space="preserve">, in relation to </w:t>
      </w:r>
      <w:r w:rsidR="00290F49" w:rsidRPr="00F76596">
        <w:rPr>
          <w:bCs/>
          <w:iCs/>
        </w:rPr>
        <w:t>Derivative Trade Data</w:t>
      </w:r>
      <w:r w:rsidRPr="00F76596">
        <w:rPr>
          <w:bCs/>
          <w:iCs/>
        </w:rPr>
        <w:t xml:space="preserve"> reported during the </w:t>
      </w:r>
      <w:r w:rsidR="007576A2" w:rsidRPr="00F76596">
        <w:rPr>
          <w:bCs/>
          <w:iCs/>
        </w:rPr>
        <w:t>Opt-</w:t>
      </w:r>
      <w:r w:rsidR="000B660A" w:rsidRPr="00F76596">
        <w:rPr>
          <w:bCs/>
          <w:iCs/>
        </w:rPr>
        <w:t>I</w:t>
      </w:r>
      <w:r w:rsidR="007576A2" w:rsidRPr="00F76596">
        <w:rPr>
          <w:bCs/>
          <w:iCs/>
        </w:rPr>
        <w:t>n</w:t>
      </w:r>
      <w:r w:rsidRPr="00F76596">
        <w:rPr>
          <w:bCs/>
          <w:iCs/>
        </w:rPr>
        <w:t xml:space="preserve"> Reporting Phase, has the meaning given by paragraph 2.4.</w:t>
      </w:r>
      <w:r w:rsidR="002D088D" w:rsidRPr="00F76596">
        <w:rPr>
          <w:bCs/>
          <w:iCs/>
        </w:rPr>
        <w:t>1</w:t>
      </w:r>
      <w:r w:rsidRPr="00F76596">
        <w:rPr>
          <w:bCs/>
          <w:iCs/>
        </w:rPr>
        <w:t>(</w:t>
      </w:r>
      <w:r w:rsidR="00767D31" w:rsidRPr="00F76596">
        <w:rPr>
          <w:bCs/>
          <w:iCs/>
        </w:rPr>
        <w:t>1</w:t>
      </w:r>
      <w:r w:rsidRPr="00F76596">
        <w:rPr>
          <w:bCs/>
          <w:iCs/>
        </w:rPr>
        <w:t>)(</w:t>
      </w:r>
      <w:r w:rsidR="0048000F" w:rsidRPr="00F76596">
        <w:rPr>
          <w:bCs/>
          <w:iCs/>
        </w:rPr>
        <w:t>e</w:t>
      </w:r>
      <w:r w:rsidRPr="00F76596">
        <w:rPr>
          <w:bCs/>
          <w:iCs/>
        </w:rPr>
        <w:t>).</w:t>
      </w:r>
    </w:p>
    <w:p w14:paraId="6ACBCDE0" w14:textId="77777777" w:rsidR="00ED278C" w:rsidRPr="00F76596" w:rsidRDefault="00CE6041" w:rsidP="00280568">
      <w:pPr>
        <w:pStyle w:val="MIRBodyText"/>
      </w:pPr>
      <w:r w:rsidRPr="00F76596">
        <w:rPr>
          <w:b/>
          <w:i/>
        </w:rPr>
        <w:t>Exempt Foreign Licensee</w:t>
      </w:r>
      <w:r w:rsidR="003532ED" w:rsidRPr="00F76596">
        <w:rPr>
          <w:b/>
          <w:i/>
        </w:rPr>
        <w:t xml:space="preserve"> </w:t>
      </w:r>
      <w:r w:rsidRPr="00F76596">
        <w:t>means a person</w:t>
      </w:r>
      <w:r w:rsidR="00ED278C" w:rsidRPr="00F76596">
        <w:t>:</w:t>
      </w:r>
    </w:p>
    <w:p w14:paraId="27A5F573" w14:textId="77777777" w:rsidR="009806BA" w:rsidRPr="00F76596" w:rsidRDefault="00995FD5" w:rsidP="00932E1C">
      <w:pPr>
        <w:pStyle w:val="MIRSubpara"/>
      </w:pPr>
      <w:r w:rsidRPr="00F76596">
        <w:t>whose activities, relating to Derivatives, are</w:t>
      </w:r>
      <w:r w:rsidR="00ED278C" w:rsidRPr="00F76596">
        <w:t xml:space="preserve"> regulated by an overseas regulatory authority</w:t>
      </w:r>
      <w:r w:rsidR="009806BA" w:rsidRPr="00F76596">
        <w:t xml:space="preserve">; </w:t>
      </w:r>
    </w:p>
    <w:p w14:paraId="24C605FC" w14:textId="77777777" w:rsidR="008D0AE8" w:rsidRPr="00F76596" w:rsidRDefault="00FB1159" w:rsidP="00ED278C">
      <w:pPr>
        <w:pStyle w:val="MIRSubpara"/>
      </w:pPr>
      <w:r w:rsidRPr="00F76596">
        <w:t xml:space="preserve">who provides a financial </w:t>
      </w:r>
      <w:r w:rsidR="00C60F27" w:rsidRPr="00F76596">
        <w:t>service</w:t>
      </w:r>
      <w:r w:rsidR="007E0DFE" w:rsidRPr="00F76596">
        <w:t xml:space="preserve">, relating to </w:t>
      </w:r>
      <w:r w:rsidR="002F437D" w:rsidRPr="00F76596">
        <w:t>D</w:t>
      </w:r>
      <w:r w:rsidR="007E0DFE" w:rsidRPr="00F76596">
        <w:t>erivatives,</w:t>
      </w:r>
      <w:r w:rsidR="00C60F27" w:rsidRPr="00F76596">
        <w:t xml:space="preserve"> only to wholesale clients</w:t>
      </w:r>
      <w:r w:rsidR="00054E29" w:rsidRPr="00F76596">
        <w:t xml:space="preserve"> as defined in section 761G of the Act</w:t>
      </w:r>
      <w:r w:rsidR="008D0AE8" w:rsidRPr="00F76596">
        <w:t>;</w:t>
      </w:r>
      <w:r w:rsidR="00214DCA" w:rsidRPr="00F76596">
        <w:t xml:space="preserve"> and</w:t>
      </w:r>
    </w:p>
    <w:p w14:paraId="5BE059C7" w14:textId="77777777" w:rsidR="00C60F27" w:rsidRPr="00F76596" w:rsidRDefault="008D0AE8" w:rsidP="00ED278C">
      <w:pPr>
        <w:pStyle w:val="MIRSubpara"/>
      </w:pPr>
      <w:r w:rsidRPr="00F76596">
        <w:t>who is exempt from the requirement to hold an AFS Licence for the financial service referred to in paragraph (b)</w:t>
      </w:r>
      <w:r w:rsidR="00556C28" w:rsidRPr="00F76596">
        <w:t>.</w:t>
      </w:r>
    </w:p>
    <w:p w14:paraId="48E12133" w14:textId="77777777" w:rsidR="00DA0E0D" w:rsidRPr="00F76596" w:rsidRDefault="007E78B2" w:rsidP="000D728A">
      <w:pPr>
        <w:pStyle w:val="MIRBodyText"/>
        <w:numPr>
          <w:ilvl w:val="0"/>
          <w:numId w:val="0"/>
        </w:numPr>
        <w:ind w:left="851"/>
      </w:pPr>
      <w:r w:rsidRPr="00F76596">
        <w:rPr>
          <w:b/>
          <w:i/>
        </w:rPr>
        <w:lastRenderedPageBreak/>
        <w:t>Foreign ADI</w:t>
      </w:r>
      <w:r w:rsidRPr="00F76596">
        <w:t xml:space="preserve"> has the meaning given by section 5 of the </w:t>
      </w:r>
      <w:r w:rsidRPr="00F76596">
        <w:rPr>
          <w:i/>
        </w:rPr>
        <w:t>Banking Act 1959</w:t>
      </w:r>
      <w:r w:rsidRPr="00F76596">
        <w:t>.</w:t>
      </w:r>
    </w:p>
    <w:p w14:paraId="7FC38FAB" w14:textId="77777777" w:rsidR="002D1C5C" w:rsidRPr="00F76596" w:rsidRDefault="002D1C5C" w:rsidP="000D728A">
      <w:pPr>
        <w:pStyle w:val="MIRBodyText"/>
        <w:numPr>
          <w:ilvl w:val="0"/>
          <w:numId w:val="0"/>
        </w:numPr>
        <w:ind w:left="851"/>
      </w:pPr>
      <w:r w:rsidRPr="00F76596">
        <w:rPr>
          <w:b/>
          <w:i/>
        </w:rPr>
        <w:t>Licence</w:t>
      </w:r>
      <w:r w:rsidRPr="00F76596">
        <w:t xml:space="preserve"> means a</w:t>
      </w:r>
      <w:r w:rsidR="009A6DFF" w:rsidRPr="00F76596">
        <w:t>n Australian</w:t>
      </w:r>
      <w:r w:rsidRPr="00F76596">
        <w:t xml:space="preserve"> derivative trade repository licence</w:t>
      </w:r>
      <w:r w:rsidR="009A6DFF" w:rsidRPr="00F76596">
        <w:t xml:space="preserve"> within the meaning of section 761A of the Act</w:t>
      </w:r>
      <w:r w:rsidRPr="00F76596">
        <w:t>.</w:t>
      </w:r>
    </w:p>
    <w:p w14:paraId="0C6B93C7" w14:textId="77777777" w:rsidR="00280568" w:rsidRPr="00F76596" w:rsidRDefault="00280568" w:rsidP="00280568">
      <w:pPr>
        <w:pStyle w:val="MIRBodyText"/>
      </w:pPr>
      <w:r w:rsidRPr="00F76596">
        <w:rPr>
          <w:b/>
          <w:i/>
        </w:rPr>
        <w:t>Licensed CS Facility</w:t>
      </w:r>
      <w:r w:rsidRPr="00F76596">
        <w:t xml:space="preserve"> has the meaning given by </w:t>
      </w:r>
      <w:r w:rsidR="006719D4" w:rsidRPr="00F76596">
        <w:t>section 761A</w:t>
      </w:r>
      <w:r w:rsidRPr="00F76596">
        <w:t xml:space="preserve"> of the Act.</w:t>
      </w:r>
    </w:p>
    <w:p w14:paraId="1610E820" w14:textId="77777777" w:rsidR="00280568" w:rsidRPr="00F76596" w:rsidRDefault="00280568" w:rsidP="00280568">
      <w:pPr>
        <w:pStyle w:val="MIRBodyText"/>
      </w:pPr>
      <w:r w:rsidRPr="00F76596">
        <w:rPr>
          <w:b/>
          <w:i/>
        </w:rPr>
        <w:t>Licensed Repository</w:t>
      </w:r>
      <w:r w:rsidRPr="00F76596">
        <w:t xml:space="preserve"> </w:t>
      </w:r>
      <w:r w:rsidR="006D75A6" w:rsidRPr="00F76596">
        <w:t>means a licensed derivative trade repository as defined in</w:t>
      </w:r>
      <w:r w:rsidRPr="00F76596">
        <w:t xml:space="preserve"> </w:t>
      </w:r>
      <w:r w:rsidR="006719D4" w:rsidRPr="00F76596">
        <w:t>section 761A</w:t>
      </w:r>
      <w:r w:rsidRPr="00F76596">
        <w:t xml:space="preserve"> of the Act.</w:t>
      </w:r>
    </w:p>
    <w:p w14:paraId="21A5DB42" w14:textId="77777777" w:rsidR="009C4057" w:rsidRPr="00F76596" w:rsidRDefault="009C4057" w:rsidP="00280568">
      <w:pPr>
        <w:pStyle w:val="MIRBodyText"/>
      </w:pPr>
      <w:r w:rsidRPr="00F76596">
        <w:rPr>
          <w:b/>
          <w:i/>
        </w:rPr>
        <w:t>Operating Rules</w:t>
      </w:r>
      <w:r w:rsidRPr="00F76596">
        <w:t xml:space="preserve"> has the meaning given by section 761A of the Act.</w:t>
      </w:r>
    </w:p>
    <w:p w14:paraId="72D93F53" w14:textId="77777777" w:rsidR="00D418D5" w:rsidRPr="00F76596" w:rsidRDefault="00D418D5" w:rsidP="00280568">
      <w:pPr>
        <w:pStyle w:val="MIRBodyText"/>
      </w:pPr>
      <w:r w:rsidRPr="00F76596">
        <w:rPr>
          <w:b/>
          <w:i/>
        </w:rPr>
        <w:t>Opt-In Notice</w:t>
      </w:r>
      <w:r w:rsidRPr="00F76596">
        <w:t xml:space="preserve"> means a notice given </w:t>
      </w:r>
      <w:r w:rsidR="0023230D" w:rsidRPr="00F76596">
        <w:t xml:space="preserve">to ASIC </w:t>
      </w:r>
      <w:r w:rsidRPr="00F76596">
        <w:t xml:space="preserve">in accordance with </w:t>
      </w:r>
      <w:r w:rsidR="0048000F" w:rsidRPr="00F76596">
        <w:t>subr</w:t>
      </w:r>
      <w:r w:rsidRPr="00F76596">
        <w:t>ule 2.</w:t>
      </w:r>
      <w:r w:rsidR="00213AD1" w:rsidRPr="00F76596">
        <w:t>4</w:t>
      </w:r>
      <w:r w:rsidRPr="00F76596">
        <w:t>.</w:t>
      </w:r>
      <w:r w:rsidR="00593C4D" w:rsidRPr="00F76596">
        <w:t>1</w:t>
      </w:r>
      <w:r w:rsidR="0048000F" w:rsidRPr="00F76596">
        <w:t>(1)</w:t>
      </w:r>
      <w:r w:rsidRPr="00F76596">
        <w:t>.</w:t>
      </w:r>
    </w:p>
    <w:p w14:paraId="135F56E1" w14:textId="77777777" w:rsidR="00C93FA7" w:rsidRPr="00F76596" w:rsidRDefault="007576A2" w:rsidP="00280568">
      <w:pPr>
        <w:pStyle w:val="MIRBodyText"/>
      </w:pPr>
      <w:r w:rsidRPr="00F76596">
        <w:rPr>
          <w:b/>
          <w:i/>
        </w:rPr>
        <w:t>Opt-</w:t>
      </w:r>
      <w:r w:rsidR="00A505CC" w:rsidRPr="00F76596">
        <w:rPr>
          <w:b/>
          <w:i/>
        </w:rPr>
        <w:t>I</w:t>
      </w:r>
      <w:r w:rsidRPr="00F76596">
        <w:rPr>
          <w:b/>
          <w:i/>
        </w:rPr>
        <w:t>n</w:t>
      </w:r>
      <w:r w:rsidR="00C93FA7" w:rsidRPr="00F76596">
        <w:rPr>
          <w:b/>
          <w:i/>
        </w:rPr>
        <w:t xml:space="preserve"> Reporting Phase</w:t>
      </w:r>
      <w:r w:rsidR="00AC23C4" w:rsidRPr="00F76596">
        <w:t>:</w:t>
      </w:r>
    </w:p>
    <w:p w14:paraId="4B94B5CD" w14:textId="77777777" w:rsidR="00AC23C4" w:rsidRPr="00F76596" w:rsidRDefault="00AC23C4" w:rsidP="00AC23C4">
      <w:pPr>
        <w:pStyle w:val="MIRSubpara"/>
      </w:pPr>
      <w:r w:rsidRPr="00F76596">
        <w:t>in relation to a Reportable Transaction, has the meaning given by paragraph S1.1.1(1)(a);</w:t>
      </w:r>
    </w:p>
    <w:p w14:paraId="230F5EED" w14:textId="77777777" w:rsidR="00AC23C4" w:rsidRPr="00F76596" w:rsidRDefault="00AC23C4" w:rsidP="00AC23C4">
      <w:pPr>
        <w:pStyle w:val="MIRSubpara"/>
      </w:pPr>
      <w:r w:rsidRPr="00F76596">
        <w:t>in relation to a Reportable Position, has the meaning given by paragraph S1.2.1(1)(a).</w:t>
      </w:r>
    </w:p>
    <w:p w14:paraId="1FB981B1" w14:textId="77777777" w:rsidR="003E6FF5" w:rsidRPr="00F76596" w:rsidRDefault="003E6FF5" w:rsidP="00280568">
      <w:pPr>
        <w:pStyle w:val="MIRBodyText"/>
      </w:pPr>
      <w:r w:rsidRPr="00F76596">
        <w:rPr>
          <w:b/>
          <w:i/>
        </w:rPr>
        <w:t xml:space="preserve">OTC </w:t>
      </w:r>
      <w:r w:rsidR="008E538D" w:rsidRPr="00F76596">
        <w:rPr>
          <w:b/>
          <w:i/>
        </w:rPr>
        <w:t>Derivative</w:t>
      </w:r>
      <w:r w:rsidRPr="00F76596">
        <w:t xml:space="preserve"> has the meaning given by Rule 1.2.4.</w:t>
      </w:r>
    </w:p>
    <w:p w14:paraId="2AB123BE" w14:textId="77777777" w:rsidR="0078138B" w:rsidRPr="00F76596" w:rsidRDefault="0078138B" w:rsidP="0078138B">
      <w:pPr>
        <w:pStyle w:val="MIRBodyText"/>
      </w:pPr>
      <w:r w:rsidRPr="00F76596">
        <w:rPr>
          <w:b/>
          <w:i/>
        </w:rPr>
        <w:t>Part 7.2A Market</w:t>
      </w:r>
      <w:r w:rsidRPr="00F76596">
        <w:t xml:space="preserve"> means a financial market</w:t>
      </w:r>
      <w:r w:rsidR="005E0E12" w:rsidRPr="00F76596">
        <w:t xml:space="preserve"> </w:t>
      </w:r>
      <w:r w:rsidRPr="00F76596">
        <w:t>the operator of</w:t>
      </w:r>
      <w:r w:rsidRPr="00F76596">
        <w:rPr>
          <w:b/>
          <w:i/>
        </w:rPr>
        <w:t xml:space="preserve"> </w:t>
      </w:r>
      <w:r w:rsidRPr="00F76596">
        <w:t xml:space="preserve">which is licensed under </w:t>
      </w:r>
      <w:r w:rsidR="00A25AE1" w:rsidRPr="00F76596">
        <w:t>sub</w:t>
      </w:r>
      <w:r w:rsidRPr="00F76596">
        <w:t>s</w:t>
      </w:r>
      <w:r w:rsidR="0081697A" w:rsidRPr="00F76596">
        <w:t>ection </w:t>
      </w:r>
      <w:r w:rsidRPr="00F76596">
        <w:t>795B(1) of the Act</w:t>
      </w:r>
      <w:r w:rsidR="00E42428" w:rsidRPr="00F76596">
        <w:t xml:space="preserve">, but does not include a financial market operated by an operator </w:t>
      </w:r>
      <w:r w:rsidR="00B1654E" w:rsidRPr="00F76596">
        <w:t>specified</w:t>
      </w:r>
      <w:r w:rsidR="00E42428" w:rsidRPr="00F76596">
        <w:t xml:space="preserve"> in regulation 10.15.02 of the </w:t>
      </w:r>
      <w:r w:rsidR="00C04517" w:rsidRPr="00F76596">
        <w:rPr>
          <w:i/>
        </w:rPr>
        <w:t>Corporations Regulations 2001</w:t>
      </w:r>
      <w:r w:rsidR="001B0D00" w:rsidRPr="00F76596">
        <w:t xml:space="preserve"> or a</w:t>
      </w:r>
      <w:r w:rsidR="00487524" w:rsidRPr="00F76596">
        <w:t>ny other</w:t>
      </w:r>
      <w:r w:rsidR="001B0D00" w:rsidRPr="00F76596">
        <w:t xml:space="preserve"> financial market</w:t>
      </w:r>
      <w:r w:rsidR="00487524" w:rsidRPr="00F76596">
        <w:t xml:space="preserve"> that</w:t>
      </w:r>
      <w:r w:rsidR="001B0D00" w:rsidRPr="00F76596">
        <w:t xml:space="preserve"> ASIC does not have the function of </w:t>
      </w:r>
      <w:r w:rsidR="008760CD" w:rsidRPr="00F76596">
        <w:t>supervising</w:t>
      </w:r>
      <w:r w:rsidR="001B0D00" w:rsidRPr="00F76596">
        <w:t xml:space="preserve"> under section 798F of the Act</w:t>
      </w:r>
      <w:r w:rsidR="00E42428" w:rsidRPr="00F76596">
        <w:t>.</w:t>
      </w:r>
    </w:p>
    <w:p w14:paraId="68B4EB97" w14:textId="77777777" w:rsidR="00D921C1" w:rsidRPr="00F76596" w:rsidRDefault="00D921C1" w:rsidP="0078138B">
      <w:pPr>
        <w:pStyle w:val="MIRBodyText"/>
      </w:pPr>
      <w:r w:rsidRPr="00F76596">
        <w:rPr>
          <w:b/>
          <w:i/>
        </w:rPr>
        <w:t>Phase 1</w:t>
      </w:r>
      <w:r w:rsidR="00B95E0B" w:rsidRPr="00F76596">
        <w:t xml:space="preserve">, </w:t>
      </w:r>
      <w:r w:rsidR="00B95E0B" w:rsidRPr="00F76596">
        <w:rPr>
          <w:b/>
          <w:i/>
        </w:rPr>
        <w:t>Phase 2</w:t>
      </w:r>
      <w:r w:rsidR="00B95E0B" w:rsidRPr="00F76596">
        <w:t xml:space="preserve"> or</w:t>
      </w:r>
      <w:r w:rsidR="00B95E0B" w:rsidRPr="00F76596">
        <w:rPr>
          <w:b/>
          <w:i/>
        </w:rPr>
        <w:t xml:space="preserve"> Phase 3</w:t>
      </w:r>
      <w:r w:rsidRPr="00F76596">
        <w:t>:</w:t>
      </w:r>
    </w:p>
    <w:p w14:paraId="7FBEE933" w14:textId="77777777" w:rsidR="00881107" w:rsidRPr="00F76596" w:rsidRDefault="00881107" w:rsidP="00881107">
      <w:pPr>
        <w:pStyle w:val="MIRSubpara"/>
      </w:pPr>
      <w:r w:rsidRPr="00F76596">
        <w:t>in relation to a Reportable Transaction</w:t>
      </w:r>
      <w:r w:rsidR="00201D70" w:rsidRPr="00F76596">
        <w:t>,</w:t>
      </w:r>
      <w:r w:rsidR="004B490A" w:rsidRPr="00F76596">
        <w:t xml:space="preserve"> has the meaning given by paragraph S1.1.1(1)(a)</w:t>
      </w:r>
      <w:r w:rsidR="003D43CC" w:rsidRPr="00F76596">
        <w:t>;</w:t>
      </w:r>
    </w:p>
    <w:p w14:paraId="5A055890" w14:textId="77777777" w:rsidR="00D921C1" w:rsidRPr="00F76596" w:rsidRDefault="003D43CC" w:rsidP="0078138B">
      <w:pPr>
        <w:pStyle w:val="MIRSubpara"/>
      </w:pPr>
      <w:r w:rsidRPr="00F76596">
        <w:t>in relation to a Reportable Position,</w:t>
      </w:r>
      <w:r w:rsidR="00806BC3" w:rsidRPr="00F76596">
        <w:t xml:space="preserve"> has the meaning given by paragraph S1.2.1(1)(a)</w:t>
      </w:r>
      <w:r w:rsidRPr="00F76596">
        <w:t>.</w:t>
      </w:r>
    </w:p>
    <w:p w14:paraId="1A238314" w14:textId="77777777" w:rsidR="003D7AFB" w:rsidRPr="00F76596" w:rsidRDefault="003D7AFB" w:rsidP="00BA3140">
      <w:pPr>
        <w:pStyle w:val="MIRBodyText"/>
      </w:pPr>
      <w:r w:rsidRPr="00F76596">
        <w:rPr>
          <w:b/>
          <w:i/>
        </w:rPr>
        <w:t>Position Reporting Date</w:t>
      </w:r>
      <w:r w:rsidRPr="00F76596">
        <w:t xml:space="preserve"> has the meaning given by paragraph S1.</w:t>
      </w:r>
      <w:r w:rsidR="00E34090" w:rsidRPr="00F76596">
        <w:t>2</w:t>
      </w:r>
      <w:r w:rsidRPr="00F76596">
        <w:t>.</w:t>
      </w:r>
      <w:r w:rsidR="00E34090" w:rsidRPr="00F76596">
        <w:t>1</w:t>
      </w:r>
      <w:r w:rsidR="00D10B60" w:rsidRPr="00F76596">
        <w:t>(1)</w:t>
      </w:r>
      <w:r w:rsidRPr="00F76596">
        <w:t>(</w:t>
      </w:r>
      <w:r w:rsidR="0091083B" w:rsidRPr="00F76596">
        <w:t>c</w:t>
      </w:r>
      <w:r w:rsidRPr="00F76596">
        <w:t>).</w:t>
      </w:r>
    </w:p>
    <w:p w14:paraId="5F6845EB" w14:textId="77777777" w:rsidR="004F5199" w:rsidRPr="00F76596" w:rsidRDefault="004F5199" w:rsidP="004F5199">
      <w:pPr>
        <w:pStyle w:val="MIRBodyText"/>
      </w:pPr>
      <w:r w:rsidRPr="00F76596">
        <w:rPr>
          <w:b/>
          <w:i/>
        </w:rPr>
        <w:t>Position Reporting Requirement</w:t>
      </w:r>
      <w:r w:rsidRPr="00F76596">
        <w:t xml:space="preserve"> </w:t>
      </w:r>
      <w:r w:rsidR="00675496" w:rsidRPr="00F76596">
        <w:t xml:space="preserve">has the meaning given by </w:t>
      </w:r>
      <w:r w:rsidR="003D7AFB" w:rsidRPr="00F76596">
        <w:t>paragraph S1.</w:t>
      </w:r>
      <w:r w:rsidR="00E34090" w:rsidRPr="00F76596">
        <w:t>2</w:t>
      </w:r>
      <w:r w:rsidR="003D7AFB" w:rsidRPr="00F76596">
        <w:t>.</w:t>
      </w:r>
      <w:r w:rsidR="00E34090" w:rsidRPr="00F76596">
        <w:t>1</w:t>
      </w:r>
      <w:r w:rsidR="00D10B60" w:rsidRPr="00F76596">
        <w:t>(1)</w:t>
      </w:r>
      <w:r w:rsidR="003D7AFB" w:rsidRPr="00F76596">
        <w:t>(</w:t>
      </w:r>
      <w:r w:rsidR="0091083B" w:rsidRPr="00F76596">
        <w:t>b</w:t>
      </w:r>
      <w:r w:rsidR="003D7AFB" w:rsidRPr="00F76596">
        <w:t>)</w:t>
      </w:r>
      <w:r w:rsidRPr="00F76596">
        <w:t>.</w:t>
      </w:r>
    </w:p>
    <w:p w14:paraId="3E4F364B" w14:textId="77777777" w:rsidR="007B03B7" w:rsidRPr="00F76596" w:rsidRDefault="007B03B7" w:rsidP="007B03B7">
      <w:pPr>
        <w:pStyle w:val="MIRBodyText"/>
      </w:pPr>
      <w:r w:rsidRPr="00F76596">
        <w:rPr>
          <w:b/>
          <w:i/>
        </w:rPr>
        <w:t>Prescribed Class</w:t>
      </w:r>
      <w:r w:rsidRPr="00F76596">
        <w:t xml:space="preserve"> </w:t>
      </w:r>
      <w:r w:rsidR="00A25AE1" w:rsidRPr="00F76596">
        <w:t>means</w:t>
      </w:r>
      <w:r w:rsidR="00A01A6D" w:rsidRPr="00F76596">
        <w:t xml:space="preserve"> </w:t>
      </w:r>
      <w:r w:rsidRPr="00F76596">
        <w:t xml:space="preserve">a class of Derivatives that the Minister has determined, under section 901B of the Act, </w:t>
      </w:r>
      <w:r w:rsidR="00015698" w:rsidRPr="00F76596">
        <w:t>a</w:t>
      </w:r>
      <w:r w:rsidRPr="00F76596">
        <w:t>s a class of Derivatives in relation to which Reporting Requirements may be imposed (and that determination has not been revoked).</w:t>
      </w:r>
    </w:p>
    <w:p w14:paraId="7FE2A0A0" w14:textId="77777777" w:rsidR="00280568" w:rsidRPr="00F76596" w:rsidRDefault="00280568" w:rsidP="00280568">
      <w:pPr>
        <w:pStyle w:val="MIRBodyText"/>
      </w:pPr>
      <w:r w:rsidRPr="00F76596">
        <w:rPr>
          <w:b/>
          <w:i/>
        </w:rPr>
        <w:t>Prescribed Repository</w:t>
      </w:r>
      <w:r w:rsidRPr="00F76596">
        <w:t xml:space="preserve"> </w:t>
      </w:r>
      <w:r w:rsidR="006744B1" w:rsidRPr="00F76596">
        <w:t xml:space="preserve">means a prescribed derivative trade repository as defined in </w:t>
      </w:r>
      <w:r w:rsidR="006719D4" w:rsidRPr="00F76596">
        <w:t>section 761A</w:t>
      </w:r>
      <w:r w:rsidRPr="00F76596">
        <w:t xml:space="preserve"> of the Act.</w:t>
      </w:r>
    </w:p>
    <w:p w14:paraId="343921F9" w14:textId="77777777" w:rsidR="00F42C5A" w:rsidRPr="00F76596" w:rsidRDefault="00B26266" w:rsidP="00280568">
      <w:pPr>
        <w:pStyle w:val="MIRBodyText"/>
      </w:pPr>
      <w:r w:rsidRPr="00F76596">
        <w:rPr>
          <w:b/>
          <w:i/>
        </w:rPr>
        <w:t>Regulated Foreign Market</w:t>
      </w:r>
      <w:r w:rsidRPr="00F76596">
        <w:t xml:space="preserve"> has the meaning given by </w:t>
      </w:r>
      <w:r w:rsidR="00DE23F4">
        <w:t>Rule 1.2.4</w:t>
      </w:r>
      <w:r w:rsidRPr="00F76596">
        <w:t>.</w:t>
      </w:r>
    </w:p>
    <w:p w14:paraId="0ED90D13" w14:textId="77777777" w:rsidR="000B7897" w:rsidRPr="00F76596" w:rsidRDefault="000B7897" w:rsidP="00280568">
      <w:pPr>
        <w:pStyle w:val="MIRBodyText"/>
      </w:pPr>
      <w:r w:rsidRPr="00F76596">
        <w:rPr>
          <w:b/>
          <w:i/>
        </w:rPr>
        <w:t>Relevant Jurisdiction</w:t>
      </w:r>
      <w:r w:rsidRPr="00F76596">
        <w:t xml:space="preserve"> means, in relation to a Reportable Transaction or Reportable Position:</w:t>
      </w:r>
    </w:p>
    <w:p w14:paraId="37D74D8C" w14:textId="77777777" w:rsidR="001A47ED" w:rsidRPr="00F76596" w:rsidRDefault="001A47ED" w:rsidP="001A47ED">
      <w:pPr>
        <w:pStyle w:val="MIRSubpara"/>
      </w:pPr>
      <w:r w:rsidRPr="00F76596">
        <w:t>this jurisdiction, if the Reportable Transaction or R</w:t>
      </w:r>
      <w:r w:rsidR="0075249D" w:rsidRPr="00F76596">
        <w:t xml:space="preserve">eportable Position </w:t>
      </w:r>
      <w:r w:rsidRPr="00F76596">
        <w:t>was booked to the profit or loss account of a branch of the Reporting Entity located in this jurisdiction or was entered into by the Reporting Entity in this jurisdiction; or</w:t>
      </w:r>
    </w:p>
    <w:p w14:paraId="59C6BDD0" w14:textId="77777777" w:rsidR="0007633F" w:rsidRPr="00F76596" w:rsidRDefault="001A47ED" w:rsidP="001A47ED">
      <w:pPr>
        <w:pStyle w:val="MIRSubpara"/>
      </w:pPr>
      <w:r w:rsidRPr="00F76596">
        <w:lastRenderedPageBreak/>
        <w:t>if paragraph (a) does not apply</w:t>
      </w:r>
      <w:r w:rsidR="0007633F" w:rsidRPr="00F76596">
        <w:t>:</w:t>
      </w:r>
    </w:p>
    <w:p w14:paraId="386CB91E" w14:textId="77777777" w:rsidR="0007633F" w:rsidRPr="00F76596" w:rsidRDefault="0007633F" w:rsidP="0007633F">
      <w:pPr>
        <w:pStyle w:val="MIRSubsubpara"/>
      </w:pPr>
      <w:r w:rsidRPr="00F76596">
        <w:t xml:space="preserve">the jurisdiction in which </w:t>
      </w:r>
      <w:r w:rsidR="001A47ED" w:rsidRPr="00F76596">
        <w:t>the Reportable Transaction or Reportable Position was booked to the profit or loss account of a branch of the Reporting Entity</w:t>
      </w:r>
      <w:r w:rsidRPr="00F76596">
        <w:t>;</w:t>
      </w:r>
      <w:r w:rsidR="001A47ED" w:rsidRPr="00F76596">
        <w:t xml:space="preserve"> or</w:t>
      </w:r>
    </w:p>
    <w:p w14:paraId="3E068499" w14:textId="77777777" w:rsidR="001A47ED" w:rsidRPr="00F76596" w:rsidRDefault="0007633F" w:rsidP="0007633F">
      <w:pPr>
        <w:pStyle w:val="MIRSubsubpara"/>
      </w:pPr>
      <w:r w:rsidRPr="00F76596">
        <w:t>if subparagraph (</w:t>
      </w:r>
      <w:proofErr w:type="spellStart"/>
      <w:r w:rsidRPr="00F76596">
        <w:t>i</w:t>
      </w:r>
      <w:proofErr w:type="spellEnd"/>
      <w:r w:rsidRPr="00F76596">
        <w:t xml:space="preserve">) does not apply, the jurisdiction in which </w:t>
      </w:r>
      <w:r w:rsidR="00253350" w:rsidRPr="00F76596">
        <w:t xml:space="preserve">the Reportable Transaction </w:t>
      </w:r>
      <w:r w:rsidR="00D5248D" w:rsidRPr="00F76596">
        <w:t xml:space="preserve">was </w:t>
      </w:r>
      <w:r w:rsidR="001A47ED" w:rsidRPr="00F76596">
        <w:t>entered into by the Reporting Entity.</w:t>
      </w:r>
    </w:p>
    <w:p w14:paraId="1B19AD1D" w14:textId="77777777" w:rsidR="00315DAC" w:rsidRPr="00F76596" w:rsidRDefault="00315DAC" w:rsidP="00280568">
      <w:pPr>
        <w:pStyle w:val="MIRBodyText"/>
      </w:pPr>
      <w:r w:rsidRPr="00F76596">
        <w:rPr>
          <w:b/>
          <w:i/>
        </w:rPr>
        <w:t>Reportable Position</w:t>
      </w:r>
      <w:r w:rsidRPr="00F76596">
        <w:t xml:space="preserve"> has the meaning given by </w:t>
      </w:r>
      <w:r w:rsidR="00D10B60" w:rsidRPr="00F76596">
        <w:t>paragraph</w:t>
      </w:r>
      <w:r w:rsidRPr="00F76596">
        <w:t xml:space="preserve"> </w:t>
      </w:r>
      <w:r w:rsidR="00F57DA2" w:rsidRPr="00F76596">
        <w:t>S1.</w:t>
      </w:r>
      <w:r w:rsidR="006219B7" w:rsidRPr="00F76596">
        <w:t>2</w:t>
      </w:r>
      <w:r w:rsidRPr="00F76596">
        <w:t>.1</w:t>
      </w:r>
      <w:r w:rsidR="00D10B60" w:rsidRPr="00F76596">
        <w:t>(1)(</w:t>
      </w:r>
      <w:r w:rsidR="0091083B" w:rsidRPr="00F76596">
        <w:t>b</w:t>
      </w:r>
      <w:r w:rsidR="00D10B60" w:rsidRPr="00F76596">
        <w:t>)</w:t>
      </w:r>
      <w:r w:rsidR="006340F7" w:rsidRPr="00F76596">
        <w:t>.</w:t>
      </w:r>
    </w:p>
    <w:p w14:paraId="4312E89C" w14:textId="77777777" w:rsidR="00280568" w:rsidRPr="00F76596" w:rsidRDefault="00E95687" w:rsidP="00280568">
      <w:pPr>
        <w:pStyle w:val="MIRBodyText"/>
      </w:pPr>
      <w:r w:rsidRPr="00F76596">
        <w:rPr>
          <w:b/>
          <w:i/>
        </w:rPr>
        <w:t>Reportable Transaction</w:t>
      </w:r>
      <w:r w:rsidR="00722EB3" w:rsidRPr="00F76596">
        <w:t xml:space="preserve">, in relation to </w:t>
      </w:r>
      <w:r w:rsidR="00C95226" w:rsidRPr="00F76596">
        <w:t xml:space="preserve">a </w:t>
      </w:r>
      <w:r w:rsidR="00722EB3" w:rsidRPr="00F76596">
        <w:t>Reporting Entity,</w:t>
      </w:r>
      <w:r w:rsidR="00DE1D6B" w:rsidRPr="00F76596">
        <w:t xml:space="preserve"> has the meaning given by Rule</w:t>
      </w:r>
      <w:r w:rsidR="00E34090" w:rsidRPr="00F76596">
        <w:t> </w:t>
      </w:r>
      <w:r w:rsidR="00224D6E" w:rsidRPr="00F76596">
        <w:t>1.2.5</w:t>
      </w:r>
      <w:r w:rsidR="00280568" w:rsidRPr="00F76596">
        <w:t>.</w:t>
      </w:r>
    </w:p>
    <w:p w14:paraId="47726F8E" w14:textId="77777777" w:rsidR="00DD75F6" w:rsidRPr="00F76596" w:rsidRDefault="00280568" w:rsidP="00DD75F6">
      <w:pPr>
        <w:pStyle w:val="MIRBodyText"/>
      </w:pPr>
      <w:r w:rsidRPr="00F76596">
        <w:rPr>
          <w:b/>
          <w:i/>
        </w:rPr>
        <w:t>Reporting Entity</w:t>
      </w:r>
      <w:r w:rsidR="00DF6908" w:rsidRPr="00F76596">
        <w:t xml:space="preserve"> has</w:t>
      </w:r>
      <w:r w:rsidR="0065528F" w:rsidRPr="00F76596">
        <w:t xml:space="preserve"> the meaning given by Rule </w:t>
      </w:r>
      <w:r w:rsidR="00224D6E" w:rsidRPr="00F76596">
        <w:t>1.2.5</w:t>
      </w:r>
      <w:r w:rsidR="00DF6908" w:rsidRPr="00F76596">
        <w:t>.</w:t>
      </w:r>
    </w:p>
    <w:p w14:paraId="0C2E6DFC" w14:textId="77777777" w:rsidR="00927BCB" w:rsidRPr="00F76596" w:rsidRDefault="00927BCB" w:rsidP="00DD75F6">
      <w:pPr>
        <w:pStyle w:val="MIRBodyText"/>
      </w:pPr>
      <w:r w:rsidRPr="00F76596">
        <w:rPr>
          <w:b/>
          <w:i/>
        </w:rPr>
        <w:t>Reporting Period</w:t>
      </w:r>
      <w:r w:rsidRPr="00F76596">
        <w:t xml:space="preserve"> </w:t>
      </w:r>
      <w:r w:rsidR="00E34090" w:rsidRPr="00F76596">
        <w:t>has the meaning given by paragraph S1.1.1</w:t>
      </w:r>
      <w:r w:rsidR="00BA0A6E" w:rsidRPr="00F76596">
        <w:t>(1)</w:t>
      </w:r>
      <w:r w:rsidR="00E34090" w:rsidRPr="00F76596">
        <w:t>(</w:t>
      </w:r>
      <w:r w:rsidR="00B8266C" w:rsidRPr="00F76596">
        <w:t>c</w:t>
      </w:r>
      <w:r w:rsidR="00E34090" w:rsidRPr="00F76596">
        <w:t>)</w:t>
      </w:r>
      <w:r w:rsidRPr="00F76596">
        <w:t>.</w:t>
      </w:r>
    </w:p>
    <w:p w14:paraId="6C3E1664" w14:textId="77777777" w:rsidR="00670771" w:rsidRPr="00F76596" w:rsidRDefault="00670771" w:rsidP="00DD75F6">
      <w:pPr>
        <w:pStyle w:val="MIRBodyText"/>
      </w:pPr>
      <w:r w:rsidRPr="00F76596">
        <w:rPr>
          <w:b/>
          <w:i/>
        </w:rPr>
        <w:t>Reporting Requirements</w:t>
      </w:r>
      <w:r w:rsidRPr="00F76596">
        <w:t xml:space="preserve"> has the meaning given by </w:t>
      </w:r>
      <w:r w:rsidR="00496E7D" w:rsidRPr="00F76596">
        <w:t>section 761A</w:t>
      </w:r>
      <w:r w:rsidRPr="00F76596">
        <w:t xml:space="preserve"> of the Act</w:t>
      </w:r>
      <w:r w:rsidR="00557AC4" w:rsidRPr="00F76596">
        <w:t xml:space="preserve"> and includes the Position Reporting Requirements and the Transaction Reporting Requirements</w:t>
      </w:r>
      <w:r w:rsidRPr="00F76596">
        <w:t>.</w:t>
      </w:r>
    </w:p>
    <w:p w14:paraId="24EDDCDC" w14:textId="77777777" w:rsidR="002F09F4" w:rsidRPr="00F76596" w:rsidRDefault="002F09F4" w:rsidP="00DD75F6">
      <w:pPr>
        <w:pStyle w:val="MIRBodyText"/>
      </w:pPr>
      <w:r w:rsidRPr="00F76596">
        <w:rPr>
          <w:b/>
          <w:i/>
        </w:rPr>
        <w:t xml:space="preserve">RE </w:t>
      </w:r>
      <w:r w:rsidRPr="00F76596">
        <w:t xml:space="preserve">means </w:t>
      </w:r>
      <w:r w:rsidR="008C1E23" w:rsidRPr="00F76596">
        <w:t xml:space="preserve">the </w:t>
      </w:r>
      <w:r w:rsidRPr="00F76596">
        <w:t>responsible entity of a managed investment scheme.</w:t>
      </w:r>
    </w:p>
    <w:p w14:paraId="543EB85D" w14:textId="77777777" w:rsidR="0091043A" w:rsidRPr="00F76596" w:rsidRDefault="00280568" w:rsidP="00280568">
      <w:pPr>
        <w:pStyle w:val="MIRBodyText"/>
      </w:pPr>
      <w:r w:rsidRPr="00F76596">
        <w:rPr>
          <w:b/>
          <w:i/>
        </w:rPr>
        <w:t>Rules</w:t>
      </w:r>
      <w:r w:rsidRPr="00F76596">
        <w:t xml:space="preserve"> means these derivative transaction rules.</w:t>
      </w:r>
    </w:p>
    <w:p w14:paraId="0533BCD4" w14:textId="77777777" w:rsidR="005D6267" w:rsidRPr="00F76596" w:rsidRDefault="005D6267" w:rsidP="00280568">
      <w:pPr>
        <w:pStyle w:val="MIRBodyText"/>
      </w:pPr>
      <w:r w:rsidRPr="00F76596">
        <w:rPr>
          <w:b/>
          <w:i/>
        </w:rPr>
        <w:t>Transaction Reporting Requirement</w:t>
      </w:r>
      <w:r w:rsidRPr="00F76596">
        <w:t xml:space="preserve"> </w:t>
      </w:r>
      <w:r w:rsidR="00A95156" w:rsidRPr="00F76596">
        <w:t>has the meaning given by</w:t>
      </w:r>
      <w:r w:rsidR="00673F0F" w:rsidRPr="00F76596">
        <w:t xml:space="preserve"> </w:t>
      </w:r>
      <w:r w:rsidR="00E34090" w:rsidRPr="00F76596">
        <w:t>paragraph</w:t>
      </w:r>
      <w:r w:rsidR="00673F0F" w:rsidRPr="00F76596">
        <w:t xml:space="preserve"> S1.1.1</w:t>
      </w:r>
      <w:r w:rsidR="00BA0A6E" w:rsidRPr="00F76596">
        <w:t>(1)</w:t>
      </w:r>
      <w:r w:rsidR="00E34090" w:rsidRPr="00F76596">
        <w:t>(</w:t>
      </w:r>
      <w:r w:rsidR="00B8266C" w:rsidRPr="00F76596">
        <w:t>b</w:t>
      </w:r>
      <w:r w:rsidR="00E34090" w:rsidRPr="00F76596">
        <w:t>)</w:t>
      </w:r>
      <w:r w:rsidR="00673F0F" w:rsidRPr="00F76596">
        <w:t>.</w:t>
      </w:r>
    </w:p>
    <w:p w14:paraId="2CDFB9DA" w14:textId="77777777" w:rsidR="004E37B3" w:rsidRPr="00F76596" w:rsidRDefault="004E37B3" w:rsidP="00280568">
      <w:pPr>
        <w:pStyle w:val="MIRBodyText"/>
      </w:pPr>
      <w:r w:rsidRPr="00F76596">
        <w:rPr>
          <w:b/>
          <w:i/>
        </w:rPr>
        <w:t>Trustee</w:t>
      </w:r>
      <w:r w:rsidRPr="00F76596">
        <w:t xml:space="preserve"> means</w:t>
      </w:r>
      <w:r w:rsidR="004050DC" w:rsidRPr="00F76596">
        <w:t xml:space="preserve"> </w:t>
      </w:r>
      <w:r w:rsidR="00783E73" w:rsidRPr="00F76596">
        <w:t>a</w:t>
      </w:r>
      <w:r w:rsidRPr="00F76596">
        <w:t xml:space="preserve"> trustee of a trust.</w:t>
      </w:r>
    </w:p>
    <w:p w14:paraId="1DE9B9D0" w14:textId="77777777" w:rsidR="003E6FF5" w:rsidRPr="00F76596" w:rsidRDefault="002D219A" w:rsidP="003E6FF5">
      <w:pPr>
        <w:pStyle w:val="MIRHeading3Rule"/>
      </w:pPr>
      <w:r w:rsidRPr="00F76596">
        <w:t>1.2.4</w:t>
      </w:r>
      <w:r w:rsidR="003E6FF5" w:rsidRPr="00F76596">
        <w:tab/>
        <w:t xml:space="preserve">OTC </w:t>
      </w:r>
      <w:r w:rsidR="008E538D" w:rsidRPr="00F76596">
        <w:t>Derivative</w:t>
      </w:r>
      <w:r w:rsidR="00DD27EE" w:rsidRPr="00F76596">
        <w:t>s</w:t>
      </w:r>
    </w:p>
    <w:p w14:paraId="2A8A1D55" w14:textId="77777777" w:rsidR="003E6FF5" w:rsidRPr="00F76596" w:rsidRDefault="003E6FF5" w:rsidP="003E6FF5">
      <w:pPr>
        <w:pStyle w:val="MIRBodyText"/>
      </w:pPr>
      <w:r w:rsidRPr="00F76596">
        <w:t xml:space="preserve">(1) </w:t>
      </w:r>
      <w:r w:rsidR="00B3775B" w:rsidRPr="00F76596">
        <w:t>Subject to subrule (2), i</w:t>
      </w:r>
      <w:r w:rsidRPr="00F76596">
        <w:t xml:space="preserve">n these Rules a Derivative is an </w:t>
      </w:r>
      <w:r w:rsidRPr="00F76596">
        <w:rPr>
          <w:b/>
          <w:i/>
        </w:rPr>
        <w:t xml:space="preserve">OTC Derivative </w:t>
      </w:r>
      <w:r w:rsidRPr="00F76596">
        <w:t xml:space="preserve">if the Derivative </w:t>
      </w:r>
      <w:r w:rsidR="00F518AB" w:rsidRPr="00F76596">
        <w:t xml:space="preserve">is </w:t>
      </w:r>
      <w:r w:rsidRPr="00F76596">
        <w:t xml:space="preserve">in </w:t>
      </w:r>
      <w:r w:rsidR="00D57F61" w:rsidRPr="00F76596">
        <w:t>a</w:t>
      </w:r>
      <w:r w:rsidRPr="00F76596">
        <w:t xml:space="preserve"> Prescribed Class.</w:t>
      </w:r>
    </w:p>
    <w:p w14:paraId="0F940546" w14:textId="77777777" w:rsidR="00B25FE8" w:rsidRPr="00F76596" w:rsidRDefault="003E6FF5" w:rsidP="003E6FF5">
      <w:pPr>
        <w:pStyle w:val="MIRBodyText"/>
        <w:numPr>
          <w:ilvl w:val="0"/>
          <w:numId w:val="0"/>
        </w:numPr>
        <w:ind w:left="851"/>
      </w:pPr>
      <w:r w:rsidRPr="00F76596">
        <w:t xml:space="preserve">(2) </w:t>
      </w:r>
      <w:r w:rsidR="00B3775B" w:rsidRPr="00F76596">
        <w:t xml:space="preserve">In these Rules a Derivative is not an </w:t>
      </w:r>
      <w:r w:rsidR="00B3775B" w:rsidRPr="00F76596">
        <w:rPr>
          <w:b/>
          <w:i/>
        </w:rPr>
        <w:t>OTC Derivative</w:t>
      </w:r>
      <w:r w:rsidR="00B3775B" w:rsidRPr="00F76596">
        <w:t xml:space="preserve"> if</w:t>
      </w:r>
      <w:r w:rsidR="00B25FE8" w:rsidRPr="00F76596">
        <w:t>:</w:t>
      </w:r>
    </w:p>
    <w:p w14:paraId="3C9AF52B" w14:textId="77777777" w:rsidR="003E6FF5" w:rsidRPr="00F76596" w:rsidRDefault="003E6FF5" w:rsidP="00B25FE8">
      <w:pPr>
        <w:pStyle w:val="MIRSubpara"/>
      </w:pPr>
      <w:r w:rsidRPr="00F76596">
        <w:t xml:space="preserve">the Derivative </w:t>
      </w:r>
      <w:r w:rsidR="00393DEB" w:rsidRPr="00F76596">
        <w:t>is</w:t>
      </w:r>
      <w:r w:rsidRPr="00F76596">
        <w:t xml:space="preserve"> able to be traded (within the meaning of section 761A of the Act) on a Part 7.2A Market</w:t>
      </w:r>
      <w:r w:rsidR="00483334" w:rsidRPr="00F76596">
        <w:t xml:space="preserve"> or a</w:t>
      </w:r>
      <w:r w:rsidR="002A33E1" w:rsidRPr="00F76596">
        <w:t xml:space="preserve"> </w:t>
      </w:r>
      <w:r w:rsidR="00EF60B6" w:rsidRPr="00F76596">
        <w:t>Regulated</w:t>
      </w:r>
      <w:r w:rsidR="00483334" w:rsidRPr="00F76596">
        <w:t xml:space="preserve"> Foreign Market</w:t>
      </w:r>
      <w:r w:rsidR="00B25FE8" w:rsidRPr="00F76596">
        <w:t>;</w:t>
      </w:r>
      <w:r w:rsidRPr="00F76596">
        <w:t xml:space="preserve"> and</w:t>
      </w:r>
    </w:p>
    <w:p w14:paraId="1FBC48F1" w14:textId="77777777" w:rsidR="003E6FF5" w:rsidRPr="00F76596" w:rsidRDefault="00870292" w:rsidP="00F23926">
      <w:pPr>
        <w:pStyle w:val="MIRSubpara"/>
      </w:pPr>
      <w:r w:rsidRPr="00F76596">
        <w:t xml:space="preserve">in the case of a Part 7.2A Market, </w:t>
      </w:r>
      <w:r w:rsidR="003E6FF5" w:rsidRPr="00F76596">
        <w:t xml:space="preserve">the entry </w:t>
      </w:r>
      <w:r w:rsidR="004E3B3C" w:rsidRPr="00F76596">
        <w:t xml:space="preserve">into </w:t>
      </w:r>
      <w:r w:rsidR="003E6FF5" w:rsidRPr="00F76596">
        <w:t xml:space="preserve">of </w:t>
      </w:r>
      <w:r w:rsidR="00F23926" w:rsidRPr="00F76596">
        <w:t>the</w:t>
      </w:r>
      <w:r w:rsidR="003E6FF5" w:rsidRPr="00F76596">
        <w:t xml:space="preserve"> arrangement that is</w:t>
      </w:r>
      <w:r w:rsidR="00F23926" w:rsidRPr="00F76596">
        <w:t xml:space="preserve"> the</w:t>
      </w:r>
      <w:r w:rsidR="003E6FF5" w:rsidRPr="00F76596">
        <w:t xml:space="preserve"> Derivative:</w:t>
      </w:r>
    </w:p>
    <w:p w14:paraId="1547029F" w14:textId="77777777" w:rsidR="003E6FF5" w:rsidRPr="00F76596" w:rsidRDefault="00F858B6" w:rsidP="00BD7FD8">
      <w:pPr>
        <w:pStyle w:val="MIRSubsubpara"/>
        <w:numPr>
          <w:ilvl w:val="2"/>
          <w:numId w:val="13"/>
        </w:numPr>
      </w:pPr>
      <w:r w:rsidRPr="00F76596">
        <w:t>takes place</w:t>
      </w:r>
      <w:r w:rsidR="003E6FF5" w:rsidRPr="00F76596">
        <w:t xml:space="preserve"> on </w:t>
      </w:r>
      <w:r w:rsidR="009352CB" w:rsidRPr="00F76596">
        <w:t>the</w:t>
      </w:r>
      <w:r w:rsidR="003E6FF5" w:rsidRPr="00F76596">
        <w:t xml:space="preserve"> Part 7.2A Market in accordance with the Operating Rules of the Part 7.2A Market; or </w:t>
      </w:r>
    </w:p>
    <w:p w14:paraId="603C42A9" w14:textId="77777777" w:rsidR="003E6FF5" w:rsidRPr="00F76596" w:rsidRDefault="00F91F0A" w:rsidP="00F23926">
      <w:pPr>
        <w:pStyle w:val="MIRSubsubpara"/>
      </w:pPr>
      <w:r w:rsidRPr="00F76596">
        <w:t xml:space="preserve">is </w:t>
      </w:r>
      <w:r w:rsidR="003E6FF5" w:rsidRPr="00F76596">
        <w:t>reported to the operator of the Part 7.2A Market in its capacity as operator of the Part 7.2A Market</w:t>
      </w:r>
      <w:r w:rsidR="00A01A6D" w:rsidRPr="00F76596">
        <w:t>,</w:t>
      </w:r>
      <w:r w:rsidR="003E6FF5" w:rsidRPr="00F76596">
        <w:t xml:space="preserve"> in accordance with</w:t>
      </w:r>
      <w:r w:rsidR="00DA3AD4" w:rsidRPr="00F76596">
        <w:t xml:space="preserve"> the Operating Rules of the Part 7.2A Market</w:t>
      </w:r>
      <w:r w:rsidR="009352CB" w:rsidRPr="00F76596">
        <w:t>; or</w:t>
      </w:r>
    </w:p>
    <w:p w14:paraId="02D63061" w14:textId="77777777" w:rsidR="009352CB" w:rsidRPr="00F76596" w:rsidRDefault="00870292" w:rsidP="009352CB">
      <w:pPr>
        <w:pStyle w:val="MIRSubpara"/>
      </w:pPr>
      <w:r w:rsidRPr="00F76596">
        <w:t xml:space="preserve">in the case of a Regulated Foreign Market, </w:t>
      </w:r>
      <w:r w:rsidR="009352CB" w:rsidRPr="00F76596">
        <w:t>the entry</w:t>
      </w:r>
      <w:r w:rsidR="004E3B3C" w:rsidRPr="00F76596">
        <w:t xml:space="preserve"> into</w:t>
      </w:r>
      <w:r w:rsidR="009352CB" w:rsidRPr="00F76596">
        <w:t xml:space="preserve"> of the arrangement that is the Derivative takes place on the </w:t>
      </w:r>
      <w:r w:rsidR="00F72D39" w:rsidRPr="00F76596">
        <w:t>Regulated</w:t>
      </w:r>
      <w:r w:rsidR="009352CB" w:rsidRPr="00F76596">
        <w:t xml:space="preserve"> Foreign Market.</w:t>
      </w:r>
    </w:p>
    <w:p w14:paraId="6E0AAAB0" w14:textId="77777777" w:rsidR="00DE23F4" w:rsidRPr="00AE46B3" w:rsidRDefault="00DE23F4" w:rsidP="00DE23F4">
      <w:pPr>
        <w:pStyle w:val="MIRBodyText"/>
        <w:numPr>
          <w:ilvl w:val="0"/>
          <w:numId w:val="53"/>
        </w:numPr>
        <w:tabs>
          <w:tab w:val="clear" w:pos="851"/>
          <w:tab w:val="left" w:pos="2205"/>
        </w:tabs>
      </w:pPr>
      <w:r>
        <w:t xml:space="preserve">(2A) </w:t>
      </w:r>
      <w:r w:rsidRPr="00AE46B3">
        <w:t xml:space="preserve">For the purposes of subrule (2), </w:t>
      </w:r>
      <w:r w:rsidRPr="00AE46B3">
        <w:rPr>
          <w:b/>
          <w:i/>
        </w:rPr>
        <w:t>Regulated Foreign Market</w:t>
      </w:r>
      <w:r w:rsidRPr="00AE46B3">
        <w:rPr>
          <w:i/>
        </w:rPr>
        <w:t xml:space="preserve"> </w:t>
      </w:r>
      <w:r w:rsidRPr="00AE46B3">
        <w:t>means any financial market:</w:t>
      </w:r>
    </w:p>
    <w:p w14:paraId="2A431DA6" w14:textId="77777777" w:rsidR="00DE23F4" w:rsidRPr="00AE46B3" w:rsidRDefault="00DE23F4" w:rsidP="00DE23F4">
      <w:pPr>
        <w:pStyle w:val="MIRSubpara"/>
        <w:numPr>
          <w:ilvl w:val="1"/>
          <w:numId w:val="53"/>
        </w:numPr>
      </w:pPr>
      <w:r w:rsidRPr="00AE46B3">
        <w:lastRenderedPageBreak/>
        <w:t>that is registered by the U</w:t>
      </w:r>
      <w:r>
        <w:t>nited States</w:t>
      </w:r>
      <w:r w:rsidRPr="00AE46B3">
        <w:t xml:space="preserve"> Commodity Futures Trading Commission as a </w:t>
      </w:r>
      <w:r>
        <w:t>"</w:t>
      </w:r>
      <w:r w:rsidRPr="00AE46B3">
        <w:t>Designated Contract Market</w:t>
      </w:r>
      <w:r>
        <w:t>" under</w:t>
      </w:r>
      <w:r w:rsidRPr="00AE46B3">
        <w:t xml:space="preserve"> section 5h of </w:t>
      </w:r>
      <w:r w:rsidRPr="00AE46B3">
        <w:rPr>
          <w:i/>
        </w:rPr>
        <w:t>Commodity Exchange Act</w:t>
      </w:r>
      <w:r>
        <w:rPr>
          <w:i/>
        </w:rPr>
        <w:t xml:space="preserve"> 1936</w:t>
      </w:r>
      <w:r>
        <w:t xml:space="preserve"> (US);</w:t>
      </w:r>
    </w:p>
    <w:p w14:paraId="6BD52F83" w14:textId="77777777" w:rsidR="00DE23F4" w:rsidRPr="00AE46B3" w:rsidRDefault="00DE23F4" w:rsidP="00DE23F4">
      <w:pPr>
        <w:pStyle w:val="MIRSubpara"/>
        <w:numPr>
          <w:ilvl w:val="1"/>
          <w:numId w:val="53"/>
        </w:numPr>
      </w:pPr>
      <w:r w:rsidRPr="00AE46B3">
        <w:t>that is a</w:t>
      </w:r>
      <w:r>
        <w:t xml:space="preserve"> "Regulated market"</w:t>
      </w:r>
      <w:r w:rsidRPr="00F03E3B">
        <w:t xml:space="preserve"> as defined in Article 4(1)(2</w:t>
      </w:r>
      <w:r>
        <w:t>1</w:t>
      </w:r>
      <w:r w:rsidRPr="00F03E3B">
        <w:t>) of Directive 2014/65/EU of the European Parliament and of the Council of 15 May 2014 on markets in financial instruments</w:t>
      </w:r>
      <w:r>
        <w:t xml:space="preserve"> (in this Rule, the </w:t>
      </w:r>
      <w:r w:rsidRPr="00433EE5">
        <w:rPr>
          <w:b/>
          <w:i/>
        </w:rPr>
        <w:t>Directive</w:t>
      </w:r>
      <w:r>
        <w:t>)</w:t>
      </w:r>
      <w:r w:rsidRPr="00AE46B3">
        <w:t>; or</w:t>
      </w:r>
    </w:p>
    <w:p w14:paraId="6C8C95FF" w14:textId="77777777" w:rsidR="00DE23F4" w:rsidRPr="00AE46B3" w:rsidRDefault="00DE23F4" w:rsidP="00DE23F4">
      <w:pPr>
        <w:pStyle w:val="MIRSubpara"/>
        <w:numPr>
          <w:ilvl w:val="1"/>
          <w:numId w:val="53"/>
        </w:numPr>
      </w:pPr>
      <w:r w:rsidRPr="00AE46B3">
        <w:t>that is a financial market, or is in a class of financial markets, that has been determined by ASIC as a Regulated Foreign Market under subrule (3)</w:t>
      </w:r>
      <w:r>
        <w:t>.</w:t>
      </w:r>
    </w:p>
    <w:p w14:paraId="68633692" w14:textId="77777777" w:rsidR="00DE23F4" w:rsidRDefault="00525E28" w:rsidP="00DE23F4">
      <w:pPr>
        <w:pStyle w:val="MIRBodyText"/>
      </w:pPr>
      <w:r w:rsidRPr="00F76596">
        <w:t>(</w:t>
      </w:r>
      <w:r w:rsidR="006C166E" w:rsidRPr="00F76596">
        <w:t>3</w:t>
      </w:r>
      <w:r w:rsidRPr="00F76596">
        <w:t>)</w:t>
      </w:r>
      <w:r w:rsidR="006C166E" w:rsidRPr="00F76596">
        <w:t xml:space="preserve"> </w:t>
      </w:r>
      <w:r w:rsidR="00AF4DBE" w:rsidRPr="00F76596">
        <w:t>ASIC may determine from time to time that</w:t>
      </w:r>
      <w:r w:rsidR="00A06512" w:rsidRPr="00F76596">
        <w:t xml:space="preserve"> </w:t>
      </w:r>
      <w:r w:rsidR="009F624B" w:rsidRPr="00F76596">
        <w:t xml:space="preserve">a </w:t>
      </w:r>
      <w:r w:rsidR="00A06512" w:rsidRPr="00F76596">
        <w:t>financial market</w:t>
      </w:r>
      <w:r w:rsidR="00DE23F4" w:rsidRPr="00DE23F4">
        <w:t>, or a financial market in a class of financial markets</w:t>
      </w:r>
      <w:r w:rsidR="00DE23F4">
        <w:t xml:space="preserve">, </w:t>
      </w:r>
      <w:r w:rsidR="00A06512" w:rsidRPr="00F76596">
        <w:t xml:space="preserve">in a foreign </w:t>
      </w:r>
      <w:r w:rsidR="009566F0" w:rsidRPr="00F76596">
        <w:t>jurisdiction</w:t>
      </w:r>
      <w:r w:rsidR="00A06512" w:rsidRPr="00F76596">
        <w:t xml:space="preserve"> is a</w:t>
      </w:r>
      <w:r w:rsidR="00AF4DBE" w:rsidRPr="00F76596">
        <w:t xml:space="preserve"> </w:t>
      </w:r>
      <w:r w:rsidR="00502ECE" w:rsidRPr="00F76596">
        <w:rPr>
          <w:b/>
          <w:i/>
        </w:rPr>
        <w:t>Regulated</w:t>
      </w:r>
      <w:r w:rsidR="00744F29" w:rsidRPr="00F76596">
        <w:rPr>
          <w:b/>
          <w:i/>
        </w:rPr>
        <w:t xml:space="preserve"> Foreign Market</w:t>
      </w:r>
      <w:r w:rsidR="00662A46" w:rsidRPr="00F76596">
        <w:t xml:space="preserve"> for the purposes of subrule (2)</w:t>
      </w:r>
      <w:r w:rsidR="00A06512" w:rsidRPr="00F76596">
        <w:t>, where, in the opinion of ASIC, the</w:t>
      </w:r>
      <w:r w:rsidR="009566F0" w:rsidRPr="00F76596">
        <w:t xml:space="preserve"> operation of</w:t>
      </w:r>
      <w:r w:rsidR="00A06512" w:rsidRPr="00F76596">
        <w:t xml:space="preserve"> </w:t>
      </w:r>
      <w:r w:rsidR="00034F36" w:rsidRPr="00F76596">
        <w:t xml:space="preserve">the </w:t>
      </w:r>
      <w:r w:rsidR="00A06512" w:rsidRPr="00F76596">
        <w:t>financial market</w:t>
      </w:r>
      <w:r w:rsidR="009566F0" w:rsidRPr="00F76596">
        <w:t xml:space="preserve"> in the foreign jurisdiction</w:t>
      </w:r>
      <w:r w:rsidR="00A06512" w:rsidRPr="00F76596">
        <w:t xml:space="preserve"> </w:t>
      </w:r>
      <w:r w:rsidR="00CA49DB" w:rsidRPr="00F76596">
        <w:t>is subject</w:t>
      </w:r>
      <w:r w:rsidR="009566F0" w:rsidRPr="00F76596">
        <w:t xml:space="preserve"> to requirements and supervision that are sufficiently equivalent, in relation to </w:t>
      </w:r>
      <w:r w:rsidR="00C06A5C" w:rsidRPr="00F76596">
        <w:t>market integrity and market transparency</w:t>
      </w:r>
      <w:r w:rsidR="009566F0" w:rsidRPr="00F76596">
        <w:t xml:space="preserve">, </w:t>
      </w:r>
      <w:r w:rsidR="00857647" w:rsidRPr="00F76596">
        <w:t xml:space="preserve">to the requirements </w:t>
      </w:r>
      <w:r w:rsidR="000D1A9E" w:rsidRPr="00F76596">
        <w:t xml:space="preserve">and </w:t>
      </w:r>
      <w:r w:rsidR="00857647" w:rsidRPr="00F76596">
        <w:t>supervision to which</w:t>
      </w:r>
      <w:r w:rsidR="004E5BD0">
        <w:t>:</w:t>
      </w:r>
      <w:r w:rsidR="00DE23F4">
        <w:t xml:space="preserve"> </w:t>
      </w:r>
    </w:p>
    <w:p w14:paraId="41315E46" w14:textId="77777777" w:rsidR="00DE23F4" w:rsidRDefault="00DE23F4" w:rsidP="00DE23F4">
      <w:pPr>
        <w:pStyle w:val="MIRSubpara"/>
      </w:pPr>
      <w:r>
        <w:t xml:space="preserve">a facility referred to in paragraph (2A)(a) is subject in the United States; </w:t>
      </w:r>
    </w:p>
    <w:p w14:paraId="1DFA781A" w14:textId="77777777" w:rsidR="00DE23F4" w:rsidRDefault="00DE23F4" w:rsidP="00DE23F4">
      <w:pPr>
        <w:pStyle w:val="MIRSubpara"/>
      </w:pPr>
      <w:r>
        <w:t>a facility referred to in paragraph (2A)(b) is subject in the European Union; or</w:t>
      </w:r>
    </w:p>
    <w:p w14:paraId="2CDE3AAA" w14:textId="77777777" w:rsidR="005948B8" w:rsidRPr="00F76596" w:rsidRDefault="00DE23F4" w:rsidP="004E5BD0">
      <w:pPr>
        <w:pStyle w:val="MIRSubpara"/>
      </w:pPr>
      <w:r w:rsidRPr="00F76596">
        <w:t>a Part 7.2A Market is subject in this</w:t>
      </w:r>
      <w:r>
        <w:t xml:space="preserve"> </w:t>
      </w:r>
      <w:r w:rsidR="004E5BD0">
        <w:t>jurisdiction</w:t>
      </w:r>
      <w:r w:rsidR="005948B8" w:rsidRPr="00F76596">
        <w:t>.</w:t>
      </w:r>
    </w:p>
    <w:p w14:paraId="647D4E98" w14:textId="77777777" w:rsidR="00E77097" w:rsidRPr="00F76596" w:rsidRDefault="005948B8" w:rsidP="00525E28">
      <w:pPr>
        <w:pStyle w:val="MIRBodyText"/>
      </w:pPr>
      <w:r w:rsidRPr="00F76596">
        <w:t xml:space="preserve">(4) A </w:t>
      </w:r>
      <w:r w:rsidR="007D48EB" w:rsidRPr="00F76596">
        <w:t>determination by</w:t>
      </w:r>
      <w:r w:rsidR="00114BD6" w:rsidRPr="00F76596">
        <w:t xml:space="preserve"> ASIC </w:t>
      </w:r>
      <w:r w:rsidRPr="00F76596">
        <w:t>for the purposes of subrule (3)</w:t>
      </w:r>
      <w:r w:rsidR="00E77097" w:rsidRPr="00F76596">
        <w:t>:</w:t>
      </w:r>
    </w:p>
    <w:p w14:paraId="363CF7F5" w14:textId="77777777" w:rsidR="00E77097" w:rsidRPr="00F76596" w:rsidRDefault="00E82F08" w:rsidP="00566966">
      <w:pPr>
        <w:pStyle w:val="MIRSubpara"/>
      </w:pPr>
      <w:r w:rsidRPr="00F76596">
        <w:t xml:space="preserve">will be </w:t>
      </w:r>
      <w:r w:rsidR="00E77097" w:rsidRPr="00F76596">
        <w:t>published on ASIC’s website</w:t>
      </w:r>
      <w:r w:rsidR="00566966" w:rsidRPr="00F76596">
        <w:t>;</w:t>
      </w:r>
      <w:r w:rsidR="008D0F23" w:rsidRPr="00F76596">
        <w:t xml:space="preserve"> and</w:t>
      </w:r>
    </w:p>
    <w:p w14:paraId="5C014A91" w14:textId="77777777" w:rsidR="00CA1387" w:rsidRPr="00F76596" w:rsidRDefault="00744F29" w:rsidP="004E5BD0">
      <w:pPr>
        <w:pStyle w:val="MIRSubpara"/>
      </w:pPr>
      <w:r w:rsidRPr="00F76596">
        <w:t xml:space="preserve">takes effect </w:t>
      </w:r>
      <w:r w:rsidR="008A4CF5" w:rsidRPr="00F76596">
        <w:t>on</w:t>
      </w:r>
      <w:r w:rsidRPr="00F76596">
        <w:t xml:space="preserve"> th</w:t>
      </w:r>
      <w:r w:rsidR="00E77097" w:rsidRPr="00F76596">
        <w:t>e</w:t>
      </w:r>
      <w:r w:rsidR="00B24EE6" w:rsidRPr="00F76596">
        <w:t xml:space="preserve"> </w:t>
      </w:r>
      <w:r w:rsidR="00E77097" w:rsidRPr="00F76596">
        <w:t xml:space="preserve">day </w:t>
      </w:r>
      <w:r w:rsidR="004E5BD0" w:rsidRPr="004E5BD0">
        <w:t>specified in the determination</w:t>
      </w:r>
      <w:r w:rsidR="00423072" w:rsidRPr="00F76596">
        <w:t>.</w:t>
      </w:r>
    </w:p>
    <w:p w14:paraId="38969157" w14:textId="77777777" w:rsidR="00D66860" w:rsidRPr="00F76596" w:rsidRDefault="00D66860" w:rsidP="00D66860">
      <w:pPr>
        <w:pStyle w:val="MIRBodyText"/>
      </w:pPr>
      <w:r w:rsidRPr="00F76596">
        <w:t>(5) A determination by ASIC for the purposes of subrule (3):</w:t>
      </w:r>
    </w:p>
    <w:p w14:paraId="03528955" w14:textId="77777777" w:rsidR="00D66860" w:rsidRPr="00F76596" w:rsidRDefault="00CA1387" w:rsidP="004E5BD0">
      <w:pPr>
        <w:pStyle w:val="MIRSubpara"/>
      </w:pPr>
      <w:r w:rsidRPr="00F76596">
        <w:t>may be withdrawn by ASIC</w:t>
      </w:r>
      <w:r w:rsidR="00D94B5F" w:rsidRPr="00F76596">
        <w:t xml:space="preserve">, from a date specified in </w:t>
      </w:r>
      <w:r w:rsidR="004E5BD0">
        <w:t xml:space="preserve">a notice of withdrawal </w:t>
      </w:r>
      <w:r w:rsidR="00D94B5F" w:rsidRPr="00F76596">
        <w:t>that is</w:t>
      </w:r>
      <w:r w:rsidRPr="00F76596">
        <w:t xml:space="preserve"> not less than </w:t>
      </w:r>
      <w:r w:rsidR="00F31DCA" w:rsidRPr="00F76596">
        <w:t xml:space="preserve">1 calendar month </w:t>
      </w:r>
      <w:r w:rsidR="00D94B5F" w:rsidRPr="00F76596">
        <w:t xml:space="preserve">after the date the notice is </w:t>
      </w:r>
      <w:r w:rsidR="004E5BD0" w:rsidRPr="004E5BD0">
        <w:t xml:space="preserve"> registered under the Legislative Instruments Act 2003</w:t>
      </w:r>
      <w:r w:rsidR="00D66860" w:rsidRPr="00F76596">
        <w:t xml:space="preserve">; </w:t>
      </w:r>
      <w:r w:rsidR="003A1546" w:rsidRPr="00F76596">
        <w:t xml:space="preserve">and </w:t>
      </w:r>
    </w:p>
    <w:p w14:paraId="106B2360" w14:textId="77777777" w:rsidR="00525E28" w:rsidRPr="00F76596" w:rsidRDefault="003A1546" w:rsidP="00D66860">
      <w:pPr>
        <w:pStyle w:val="MIRSubpara"/>
      </w:pPr>
      <w:r w:rsidRPr="00F76596">
        <w:t>once withdrawn</w:t>
      </w:r>
      <w:r w:rsidR="0097369D" w:rsidRPr="00F76596">
        <w:t xml:space="preserve"> ceases to have effect</w:t>
      </w:r>
      <w:r w:rsidR="00727A74" w:rsidRPr="00F76596">
        <w:t>.</w:t>
      </w:r>
      <w:r w:rsidR="00744F29" w:rsidRPr="00F76596">
        <w:t> </w:t>
      </w:r>
    </w:p>
    <w:p w14:paraId="7938D4C5" w14:textId="77777777" w:rsidR="003E6FF5" w:rsidRDefault="00FD127E" w:rsidP="00FD127E">
      <w:pPr>
        <w:pStyle w:val="MIRNote"/>
      </w:pPr>
      <w:r w:rsidRPr="00F76596">
        <w:t>Note</w:t>
      </w:r>
      <w:r w:rsidR="008E6BC8">
        <w:t xml:space="preserve"> 1</w:t>
      </w:r>
      <w:r w:rsidRPr="00F76596">
        <w:t>: A</w:t>
      </w:r>
      <w:r w:rsidR="003E6FF5" w:rsidRPr="00F76596">
        <w:t xml:space="preserve"> Derivative is a</w:t>
      </w:r>
      <w:r w:rsidR="00A46257" w:rsidRPr="00F76596">
        <w:t>n OTC Derivative</w:t>
      </w:r>
      <w:r w:rsidR="003E6FF5" w:rsidRPr="00F76596">
        <w:t xml:space="preserve"> under this Rule regardless of whether it is cleared through a Licensed CS Facility.</w:t>
      </w:r>
    </w:p>
    <w:p w14:paraId="14477192" w14:textId="77777777" w:rsidR="008E6BC8" w:rsidRPr="00F76596" w:rsidRDefault="008E6BC8" w:rsidP="00FD127E">
      <w:pPr>
        <w:pStyle w:val="MIRNote"/>
      </w:pPr>
      <w:r w:rsidRPr="008E6BC8">
        <w:t xml:space="preserve">Note 2: Determinations and notices of withdrawal under this Rule will be registered by ASIC on the Federal Register of Legislative Instruments (FRLI) and take effect under the </w:t>
      </w:r>
      <w:r w:rsidRPr="002C24C5">
        <w:rPr>
          <w:i/>
        </w:rPr>
        <w:t>Legislative Instruments Act 2003</w:t>
      </w:r>
      <w:r w:rsidRPr="008E6BC8">
        <w:t>.</w:t>
      </w:r>
    </w:p>
    <w:p w14:paraId="13DCA603" w14:textId="77777777" w:rsidR="003E6FF5" w:rsidRPr="00F76596" w:rsidRDefault="002D219A" w:rsidP="003E6FF5">
      <w:pPr>
        <w:pStyle w:val="MIRHeading3Rule"/>
      </w:pPr>
      <w:r w:rsidRPr="00F76596">
        <w:t>1.2.5</w:t>
      </w:r>
      <w:r w:rsidR="003E6FF5" w:rsidRPr="00F76596">
        <w:tab/>
        <w:t>Reporting Entities and Reportable Transactions</w:t>
      </w:r>
    </w:p>
    <w:p w14:paraId="12D98EDE" w14:textId="77777777" w:rsidR="003E6FF5" w:rsidRPr="00F76596" w:rsidRDefault="00554C3F" w:rsidP="0081697A">
      <w:pPr>
        <w:pStyle w:val="MIRBodyText"/>
        <w:keepNext/>
      </w:pPr>
      <w:r w:rsidRPr="00F76596">
        <w:t xml:space="preserve">(1) </w:t>
      </w:r>
      <w:r w:rsidR="009426E8" w:rsidRPr="00F76596">
        <w:t>Subject to subrule (2) and f</w:t>
      </w:r>
      <w:r w:rsidR="003E6FF5" w:rsidRPr="00F76596">
        <w:t>or the purposes of these Rules:</w:t>
      </w:r>
    </w:p>
    <w:p w14:paraId="3F4AA2F4" w14:textId="77777777" w:rsidR="003E6FF5" w:rsidRPr="00F76596" w:rsidRDefault="003E6FF5" w:rsidP="003E6FF5">
      <w:pPr>
        <w:pStyle w:val="MIRSubpara"/>
      </w:pPr>
      <w:r w:rsidRPr="00F76596">
        <w:t>each entity referred to in column 2 of Table</w:t>
      </w:r>
      <w:r w:rsidR="00795121" w:rsidRPr="00F76596">
        <w:t xml:space="preserve"> 1</w:t>
      </w:r>
      <w:r w:rsidRPr="00F76596">
        <w:t xml:space="preserve"> is a </w:t>
      </w:r>
      <w:r w:rsidRPr="00F76596">
        <w:rPr>
          <w:b/>
          <w:i/>
        </w:rPr>
        <w:t>Reporting Entity</w:t>
      </w:r>
      <w:r w:rsidRPr="00F76596">
        <w:t>;</w:t>
      </w:r>
      <w:r w:rsidR="00E622D0" w:rsidRPr="00F76596">
        <w:t xml:space="preserve"> and</w:t>
      </w:r>
    </w:p>
    <w:p w14:paraId="2D5A4F59" w14:textId="77777777" w:rsidR="008A1C92" w:rsidRPr="00F76596" w:rsidRDefault="003E6FF5" w:rsidP="001A2CB9">
      <w:pPr>
        <w:pStyle w:val="MIRSubpara"/>
      </w:pPr>
      <w:r w:rsidRPr="00F76596">
        <w:t>each</w:t>
      </w:r>
      <w:r w:rsidR="008A1C92" w:rsidRPr="00F76596">
        <w:t xml:space="preserve"> of the following Derivative Transactions is a </w:t>
      </w:r>
      <w:r w:rsidR="008A1C92" w:rsidRPr="00F76596">
        <w:rPr>
          <w:b/>
          <w:i/>
        </w:rPr>
        <w:t>Reportable Transaction</w:t>
      </w:r>
      <w:r w:rsidR="008A1C92" w:rsidRPr="00F76596">
        <w:t xml:space="preserve"> in relation to the Reporting Entity:</w:t>
      </w:r>
    </w:p>
    <w:p w14:paraId="7CA2C19A" w14:textId="77777777" w:rsidR="008A1C92" w:rsidRPr="00F76596" w:rsidRDefault="00520937" w:rsidP="008A1C92">
      <w:pPr>
        <w:pStyle w:val="MIRSubsubpara"/>
      </w:pPr>
      <w:r w:rsidRPr="00F76596">
        <w:t xml:space="preserve">the </w:t>
      </w:r>
      <w:r w:rsidR="008A1C92" w:rsidRPr="00F76596">
        <w:t xml:space="preserve">entry into </w:t>
      </w:r>
      <w:r w:rsidR="004F1BC3" w:rsidRPr="00F76596">
        <w:t xml:space="preserve">of </w:t>
      </w:r>
      <w:r w:rsidR="008A1C92" w:rsidRPr="00F76596">
        <w:t>an</w:t>
      </w:r>
      <w:r w:rsidR="006D53D7" w:rsidRPr="00F76596">
        <w:t xml:space="preserve"> arrangement that is an</w:t>
      </w:r>
      <w:r w:rsidR="003E6FF5" w:rsidRPr="00F76596">
        <w:t xml:space="preserve"> OTC Derivative of the kind referred to in column </w:t>
      </w:r>
      <w:r w:rsidR="00A01A6D" w:rsidRPr="00F76596">
        <w:t>3</w:t>
      </w:r>
      <w:r w:rsidR="008A1C92" w:rsidRPr="00F76596">
        <w:t xml:space="preserve">; </w:t>
      </w:r>
    </w:p>
    <w:p w14:paraId="0AEA1A99" w14:textId="77777777" w:rsidR="00683CB1" w:rsidRPr="00F76596" w:rsidRDefault="008A1C92" w:rsidP="008A1C92">
      <w:pPr>
        <w:pStyle w:val="MIRSubsubpara"/>
      </w:pPr>
      <w:r w:rsidRPr="00F76596">
        <w:lastRenderedPageBreak/>
        <w:t>the modification</w:t>
      </w:r>
      <w:r w:rsidR="00683CB1" w:rsidRPr="00F76596">
        <w:t xml:space="preserve"> or</w:t>
      </w:r>
      <w:r w:rsidRPr="00F76596">
        <w:t xml:space="preserve"> termination of </w:t>
      </w:r>
      <w:r w:rsidR="003E3AFD" w:rsidRPr="00F76596">
        <w:t>an</w:t>
      </w:r>
      <w:r w:rsidR="006D53D7" w:rsidRPr="00F76596">
        <w:t xml:space="preserve"> arrangement that is an</w:t>
      </w:r>
      <w:r w:rsidR="004C4E70" w:rsidRPr="00F76596">
        <w:t xml:space="preserve"> </w:t>
      </w:r>
      <w:r w:rsidR="00625709" w:rsidRPr="00F76596">
        <w:t>OTC Derivative</w:t>
      </w:r>
      <w:r w:rsidR="004C4E70" w:rsidRPr="00F76596">
        <w:t xml:space="preserve"> </w:t>
      </w:r>
      <w:r w:rsidR="00D01044" w:rsidRPr="00F76596">
        <w:t>entered into</w:t>
      </w:r>
      <w:r w:rsidR="004C4E70" w:rsidRPr="00F76596">
        <w:t xml:space="preserve"> </w:t>
      </w:r>
      <w:r w:rsidR="00D01044" w:rsidRPr="00F76596">
        <w:t>as referred to</w:t>
      </w:r>
      <w:r w:rsidR="004C4E70" w:rsidRPr="00F76596">
        <w:t xml:space="preserve"> in </w:t>
      </w:r>
      <w:r w:rsidR="006A19CC" w:rsidRPr="00F76596">
        <w:t>sub</w:t>
      </w:r>
      <w:r w:rsidR="004C4E70" w:rsidRPr="00F76596">
        <w:t>paragraph (</w:t>
      </w:r>
      <w:proofErr w:type="spellStart"/>
      <w:r w:rsidR="006A19CC" w:rsidRPr="00F76596">
        <w:t>i</w:t>
      </w:r>
      <w:proofErr w:type="spellEnd"/>
      <w:r w:rsidR="004C4E70" w:rsidRPr="00F76596">
        <w:t>)</w:t>
      </w:r>
      <w:r w:rsidR="00683CB1" w:rsidRPr="00F76596">
        <w:t>; and</w:t>
      </w:r>
    </w:p>
    <w:p w14:paraId="520B178D" w14:textId="77777777" w:rsidR="008A1C92" w:rsidRPr="00F76596" w:rsidRDefault="00683CB1" w:rsidP="008A1C92">
      <w:pPr>
        <w:pStyle w:val="MIRSubsubpara"/>
      </w:pPr>
      <w:r w:rsidRPr="00F76596">
        <w:t>the assignment, by a party to an arrangement that is an OTC Derivative entered into as referred to in subparagraph (</w:t>
      </w:r>
      <w:proofErr w:type="spellStart"/>
      <w:r w:rsidRPr="00F76596">
        <w:t>i</w:t>
      </w:r>
      <w:proofErr w:type="spellEnd"/>
      <w:r w:rsidRPr="00F76596">
        <w:t>), of some or all of the party’s</w:t>
      </w:r>
      <w:r w:rsidR="00E34090" w:rsidRPr="00F76596">
        <w:t xml:space="preserve"> rights and</w:t>
      </w:r>
      <w:r w:rsidRPr="00F76596">
        <w:t xml:space="preserve"> obligations under the arrangement</w:t>
      </w:r>
      <w:r w:rsidR="008743DA" w:rsidRPr="00F76596">
        <w:t>, where the Reporting Entity has actual knowledge of the assignment</w:t>
      </w:r>
      <w:r w:rsidRPr="00F76596">
        <w:t>.</w:t>
      </w:r>
    </w:p>
    <w:p w14:paraId="0E93705D" w14:textId="77777777" w:rsidR="001835E0" w:rsidRPr="00F76596" w:rsidRDefault="007202E9" w:rsidP="001835E0">
      <w:pPr>
        <w:pStyle w:val="MIRBodyText"/>
      </w:pPr>
      <w:r w:rsidRPr="00F76596">
        <w:t>(2)</w:t>
      </w:r>
      <w:r w:rsidR="009426E8" w:rsidRPr="00F76596">
        <w:t xml:space="preserve"> </w:t>
      </w:r>
      <w:r w:rsidR="001835E0" w:rsidRPr="00F76596">
        <w:t xml:space="preserve">A </w:t>
      </w:r>
      <w:r w:rsidR="001835E0" w:rsidRPr="00F76596">
        <w:rPr>
          <w:b/>
          <w:i/>
        </w:rPr>
        <w:t>Reportable Transaction</w:t>
      </w:r>
      <w:r w:rsidR="001835E0" w:rsidRPr="00F76596">
        <w:t xml:space="preserve"> includes a Derivative Transaction referred to in paragraph (1)(b) by an RE or Trustee in its capacity as RE or Trustee of an Australian Entity, and in those circumstances the </w:t>
      </w:r>
      <w:r w:rsidR="001835E0" w:rsidRPr="00F76596">
        <w:rPr>
          <w:b/>
          <w:i/>
        </w:rPr>
        <w:t>Reporting Entity</w:t>
      </w:r>
      <w:r w:rsidR="001835E0" w:rsidRPr="00F76596">
        <w:t xml:space="preserve"> is the RE or Trustee.</w:t>
      </w:r>
    </w:p>
    <w:p w14:paraId="494A6817" w14:textId="77777777" w:rsidR="003E6FF5" w:rsidRPr="00F76596" w:rsidRDefault="00D07D77" w:rsidP="00D07D77">
      <w:pPr>
        <w:pStyle w:val="tabletitlefullwidth"/>
        <w:ind w:hanging="142"/>
      </w:pPr>
      <w:r w:rsidRPr="00F76596">
        <w:t>Table 1: Reporting Entities and OTC Derivatives</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39"/>
        <w:gridCol w:w="2085"/>
        <w:gridCol w:w="5187"/>
      </w:tblGrid>
      <w:tr w:rsidR="00A01A6D" w:rsidRPr="00F76596" w14:paraId="620C1E20" w14:textId="77777777" w:rsidTr="00464CAF">
        <w:trPr>
          <w:cantSplit/>
          <w:tblHeader/>
        </w:trPr>
        <w:tc>
          <w:tcPr>
            <w:tcW w:w="850" w:type="dxa"/>
            <w:shd w:val="clear" w:color="auto" w:fill="C2E3FA"/>
          </w:tcPr>
          <w:p w14:paraId="46881F0F" w14:textId="77777777" w:rsidR="00A01A6D" w:rsidRPr="00F76596" w:rsidRDefault="00464CAF" w:rsidP="001A2CB9">
            <w:pPr>
              <w:pStyle w:val="tablehead"/>
            </w:pPr>
            <w:r w:rsidRPr="00F76596">
              <w:t xml:space="preserve">1. </w:t>
            </w:r>
            <w:r w:rsidR="00A01A6D" w:rsidRPr="00F76596">
              <w:t>Item</w:t>
            </w:r>
          </w:p>
        </w:tc>
        <w:tc>
          <w:tcPr>
            <w:tcW w:w="2127" w:type="dxa"/>
            <w:shd w:val="clear" w:color="auto" w:fill="C2E3FA"/>
          </w:tcPr>
          <w:p w14:paraId="6F1C6115" w14:textId="77777777" w:rsidR="00A01A6D" w:rsidRPr="00F76596" w:rsidRDefault="00464CAF" w:rsidP="001A2CB9">
            <w:pPr>
              <w:pStyle w:val="tablehead"/>
            </w:pPr>
            <w:r w:rsidRPr="00F76596">
              <w:t xml:space="preserve">2. </w:t>
            </w:r>
            <w:r w:rsidR="00A01A6D" w:rsidRPr="00F76596">
              <w:t>Reporting Entity</w:t>
            </w:r>
          </w:p>
        </w:tc>
        <w:tc>
          <w:tcPr>
            <w:tcW w:w="5350" w:type="dxa"/>
            <w:shd w:val="clear" w:color="auto" w:fill="C2E3FA"/>
          </w:tcPr>
          <w:p w14:paraId="2EC54C47" w14:textId="77777777" w:rsidR="00A01A6D" w:rsidRPr="00F76596" w:rsidRDefault="00464CAF" w:rsidP="003A4AB5">
            <w:pPr>
              <w:pStyle w:val="tablehead"/>
            </w:pPr>
            <w:r w:rsidRPr="00F76596">
              <w:t xml:space="preserve">3. </w:t>
            </w:r>
            <w:r w:rsidR="003A4AB5" w:rsidRPr="00F76596">
              <w:t>OTC Derivatives</w:t>
            </w:r>
          </w:p>
        </w:tc>
      </w:tr>
      <w:tr w:rsidR="00A01A6D" w:rsidRPr="00F76596" w14:paraId="4D77E418" w14:textId="77777777" w:rsidTr="00464CAF">
        <w:trPr>
          <w:cantSplit/>
        </w:trPr>
        <w:tc>
          <w:tcPr>
            <w:tcW w:w="850" w:type="dxa"/>
          </w:tcPr>
          <w:p w14:paraId="05ECA5C5" w14:textId="77777777" w:rsidR="00A01A6D" w:rsidRPr="00F76596" w:rsidRDefault="00A01A6D" w:rsidP="001A2CB9">
            <w:pPr>
              <w:pStyle w:val="tbltext"/>
            </w:pPr>
            <w:r w:rsidRPr="00F76596">
              <w:t>1</w:t>
            </w:r>
          </w:p>
        </w:tc>
        <w:tc>
          <w:tcPr>
            <w:tcW w:w="2127" w:type="dxa"/>
          </w:tcPr>
          <w:p w14:paraId="62A01882" w14:textId="77777777" w:rsidR="00A01A6D" w:rsidRPr="00F76596" w:rsidRDefault="00A01A6D" w:rsidP="00E83BD1">
            <w:pPr>
              <w:pStyle w:val="tbltext"/>
            </w:pPr>
            <w:r w:rsidRPr="00F76596">
              <w:t>An Australian Entity</w:t>
            </w:r>
            <w:r w:rsidR="008C35DB" w:rsidRPr="00F76596">
              <w:t>.</w:t>
            </w:r>
          </w:p>
        </w:tc>
        <w:tc>
          <w:tcPr>
            <w:tcW w:w="5350" w:type="dxa"/>
          </w:tcPr>
          <w:p w14:paraId="32D917EE" w14:textId="77777777" w:rsidR="00A01A6D" w:rsidRPr="00F76596" w:rsidRDefault="00A01A6D" w:rsidP="0041777C">
            <w:pPr>
              <w:pStyle w:val="tbltext"/>
            </w:pPr>
            <w:r w:rsidRPr="00F76596">
              <w:t>All OTC Derivatives to which the Reporting Entity is a counterparty</w:t>
            </w:r>
            <w:r w:rsidR="00D97129" w:rsidRPr="00F76596">
              <w:t>, regardless of where the OTC Derivative is entered into</w:t>
            </w:r>
            <w:r w:rsidR="008C35DB" w:rsidRPr="00F76596">
              <w:t>.</w:t>
            </w:r>
          </w:p>
        </w:tc>
      </w:tr>
      <w:tr w:rsidR="00A01A6D" w:rsidRPr="00F76596" w14:paraId="0A5F6F2E" w14:textId="77777777" w:rsidTr="00464CAF">
        <w:trPr>
          <w:cantSplit/>
        </w:trPr>
        <w:tc>
          <w:tcPr>
            <w:tcW w:w="850" w:type="dxa"/>
          </w:tcPr>
          <w:p w14:paraId="0B76565F" w14:textId="77777777" w:rsidR="00A01A6D" w:rsidRPr="00F76596" w:rsidRDefault="00A01A6D" w:rsidP="001A2CB9">
            <w:pPr>
              <w:pStyle w:val="tbltext"/>
            </w:pPr>
            <w:r w:rsidRPr="00F76596">
              <w:t>2</w:t>
            </w:r>
          </w:p>
        </w:tc>
        <w:tc>
          <w:tcPr>
            <w:tcW w:w="2127" w:type="dxa"/>
          </w:tcPr>
          <w:p w14:paraId="55DC3255" w14:textId="77777777" w:rsidR="00A01A6D" w:rsidRPr="00F76596" w:rsidRDefault="00A01A6D" w:rsidP="00E80033">
            <w:pPr>
              <w:pStyle w:val="tbltext"/>
            </w:pPr>
            <w:r w:rsidRPr="00F76596">
              <w:t>A foreign subsidiary of an Australian Entity</w:t>
            </w:r>
            <w:r w:rsidR="00706E42" w:rsidRPr="00F76596">
              <w:t xml:space="preserve"> </w:t>
            </w:r>
            <w:r w:rsidR="008A4140" w:rsidRPr="00F76596">
              <w:t xml:space="preserve">where that Australian Entity is an </w:t>
            </w:r>
            <w:r w:rsidR="00706E42" w:rsidRPr="00F76596">
              <w:t>Australian ADI or AFS Licensee</w:t>
            </w:r>
            <w:r w:rsidR="008C35DB" w:rsidRPr="00F76596">
              <w:t>.</w:t>
            </w:r>
          </w:p>
        </w:tc>
        <w:tc>
          <w:tcPr>
            <w:tcW w:w="5350" w:type="dxa"/>
          </w:tcPr>
          <w:p w14:paraId="7B83CD14" w14:textId="77777777" w:rsidR="00A01A6D" w:rsidRPr="00F76596" w:rsidRDefault="00A01A6D" w:rsidP="001C23E5">
            <w:pPr>
              <w:pStyle w:val="tbltext"/>
            </w:pPr>
            <w:r w:rsidRPr="00F76596">
              <w:t>All OTC Derivative</w:t>
            </w:r>
            <w:r w:rsidR="001C23E5" w:rsidRPr="00F76596">
              <w:t>s</w:t>
            </w:r>
            <w:r w:rsidRPr="00F76596">
              <w:t xml:space="preserve"> to which the Reporting Entity is a counterparty</w:t>
            </w:r>
            <w:r w:rsidR="00D97129" w:rsidRPr="00F76596">
              <w:t>, regardless of where the OTC Derivative is entered into</w:t>
            </w:r>
            <w:r w:rsidR="008C35DB" w:rsidRPr="00F76596">
              <w:t>.</w:t>
            </w:r>
            <w:r w:rsidRPr="00F76596">
              <w:t xml:space="preserve"> </w:t>
            </w:r>
          </w:p>
        </w:tc>
      </w:tr>
      <w:tr w:rsidR="008E3E03" w:rsidRPr="00F76596" w14:paraId="21B87BB8" w14:textId="77777777" w:rsidTr="00464CAF">
        <w:trPr>
          <w:cantSplit/>
        </w:trPr>
        <w:tc>
          <w:tcPr>
            <w:tcW w:w="850" w:type="dxa"/>
          </w:tcPr>
          <w:p w14:paraId="0A38F561" w14:textId="77777777" w:rsidR="008E3E03" w:rsidRPr="00F76596" w:rsidRDefault="008E3E03" w:rsidP="001A2CB9">
            <w:pPr>
              <w:pStyle w:val="tbltext"/>
            </w:pPr>
            <w:r w:rsidRPr="00F76596">
              <w:t>3</w:t>
            </w:r>
          </w:p>
        </w:tc>
        <w:tc>
          <w:tcPr>
            <w:tcW w:w="2127" w:type="dxa"/>
          </w:tcPr>
          <w:p w14:paraId="462A5085" w14:textId="77777777" w:rsidR="008E3E03" w:rsidRPr="00F76596" w:rsidRDefault="008E3E03" w:rsidP="007E78B2">
            <w:pPr>
              <w:pStyle w:val="tbltext"/>
            </w:pPr>
            <w:r w:rsidRPr="00F76596">
              <w:t>A Foreign ADI that has a branch located in this jurisdiction</w:t>
            </w:r>
            <w:r w:rsidR="008C35DB" w:rsidRPr="00F76596">
              <w:t>.</w:t>
            </w:r>
            <w:r w:rsidRPr="00F76596">
              <w:t xml:space="preserve"> </w:t>
            </w:r>
          </w:p>
        </w:tc>
        <w:tc>
          <w:tcPr>
            <w:tcW w:w="5350" w:type="dxa"/>
            <w:vMerge w:val="restart"/>
          </w:tcPr>
          <w:p w14:paraId="605FE6B1" w14:textId="77777777" w:rsidR="008E3E03" w:rsidRPr="00F76596" w:rsidRDefault="008E3E03" w:rsidP="001A2CB9">
            <w:pPr>
              <w:pStyle w:val="tbltext"/>
            </w:pPr>
            <w:r w:rsidRPr="00F76596">
              <w:t>All OTC Derivative</w:t>
            </w:r>
            <w:r w:rsidR="008A1C92" w:rsidRPr="00F76596">
              <w:t>s</w:t>
            </w:r>
            <w:r w:rsidRPr="00F76596">
              <w:t>:</w:t>
            </w:r>
          </w:p>
          <w:p w14:paraId="5A21EF1D" w14:textId="77777777" w:rsidR="008E3E03" w:rsidRPr="00F76596" w:rsidRDefault="008E3E03" w:rsidP="00A01A6D">
            <w:pPr>
              <w:pStyle w:val="tbltext"/>
              <w:ind w:left="284" w:hanging="284"/>
            </w:pPr>
            <w:r w:rsidRPr="00F76596">
              <w:t>(a)</w:t>
            </w:r>
            <w:r w:rsidRPr="00F76596">
              <w:tab/>
              <w:t>booked to the profit or loss account of a branch of the Reporting Entity located in this jurisdiction; or</w:t>
            </w:r>
          </w:p>
          <w:p w14:paraId="62DF0B11" w14:textId="77777777" w:rsidR="008E3E03" w:rsidRPr="00F76596" w:rsidRDefault="008E3E03" w:rsidP="00C1570C">
            <w:pPr>
              <w:pStyle w:val="tbltext"/>
              <w:ind w:left="284" w:hanging="284"/>
            </w:pPr>
            <w:r w:rsidRPr="00F76596">
              <w:t>(b)</w:t>
            </w:r>
            <w:r w:rsidRPr="00F76596">
              <w:tab/>
              <w:t>entered into by the Reporting Entity</w:t>
            </w:r>
            <w:r w:rsidR="008E1C3A" w:rsidRPr="00F76596">
              <w:t xml:space="preserve"> in this jurisdiction</w:t>
            </w:r>
            <w:r w:rsidRPr="00F76596">
              <w:t>.</w:t>
            </w:r>
          </w:p>
        </w:tc>
      </w:tr>
      <w:tr w:rsidR="008E3E03" w:rsidRPr="00F76596" w14:paraId="33624BC5" w14:textId="77777777" w:rsidTr="00464CAF">
        <w:trPr>
          <w:cantSplit/>
        </w:trPr>
        <w:tc>
          <w:tcPr>
            <w:tcW w:w="850" w:type="dxa"/>
          </w:tcPr>
          <w:p w14:paraId="3D6F14F1" w14:textId="77777777" w:rsidR="008E3E03" w:rsidRPr="00F76596" w:rsidRDefault="008E3E03" w:rsidP="001A2CB9">
            <w:pPr>
              <w:pStyle w:val="tbltext"/>
            </w:pPr>
            <w:r w:rsidRPr="00F76596">
              <w:t>4</w:t>
            </w:r>
          </w:p>
        </w:tc>
        <w:tc>
          <w:tcPr>
            <w:tcW w:w="2127" w:type="dxa"/>
          </w:tcPr>
          <w:p w14:paraId="698325E2" w14:textId="77777777" w:rsidR="008E3E03" w:rsidRPr="00F76596" w:rsidRDefault="008E3E03" w:rsidP="00AA6F53">
            <w:pPr>
              <w:pStyle w:val="tbltext"/>
            </w:pPr>
            <w:r w:rsidRPr="00F76596">
              <w:t>A foreign company that is required to be registered under Division 2 of Part</w:t>
            </w:r>
            <w:r w:rsidR="004C0CB4" w:rsidRPr="00F76596">
              <w:t> </w:t>
            </w:r>
            <w:r w:rsidRPr="00F76596">
              <w:t>5B.2 of the Act</w:t>
            </w:r>
            <w:r w:rsidR="008C35DB" w:rsidRPr="00F76596">
              <w:t>.</w:t>
            </w:r>
          </w:p>
        </w:tc>
        <w:tc>
          <w:tcPr>
            <w:tcW w:w="5350" w:type="dxa"/>
            <w:vMerge/>
          </w:tcPr>
          <w:p w14:paraId="6751421D" w14:textId="77777777" w:rsidR="008E3E03" w:rsidRPr="00F76596" w:rsidRDefault="008E3E03" w:rsidP="00EB3061">
            <w:pPr>
              <w:pStyle w:val="tbltext"/>
              <w:ind w:left="568" w:hanging="284"/>
            </w:pPr>
          </w:p>
        </w:tc>
      </w:tr>
    </w:tbl>
    <w:p w14:paraId="5D019A5C" w14:textId="77777777" w:rsidR="00104511" w:rsidRPr="00F76596" w:rsidRDefault="00104511" w:rsidP="00662118">
      <w:pPr>
        <w:pStyle w:val="tblnote"/>
        <w:ind w:left="850" w:firstLine="1"/>
      </w:pPr>
      <w:r w:rsidRPr="00F76596">
        <w:t xml:space="preserve">Note: Where a Reporting Entity is covered by </w:t>
      </w:r>
      <w:r w:rsidR="00FD286F" w:rsidRPr="00F76596">
        <w:t xml:space="preserve">item 3 or 4 in addition to item 2, </w:t>
      </w:r>
      <w:r w:rsidRPr="00F76596">
        <w:t xml:space="preserve">the Reporting Entity must report under </w:t>
      </w:r>
      <w:r w:rsidR="00FD286F" w:rsidRPr="00F76596">
        <w:t>item</w:t>
      </w:r>
      <w:r w:rsidR="00615CB7" w:rsidRPr="00F76596">
        <w:t xml:space="preserve"> 2</w:t>
      </w:r>
      <w:r w:rsidRPr="00F76596">
        <w:t>.</w:t>
      </w:r>
    </w:p>
    <w:p w14:paraId="218B9470" w14:textId="77777777" w:rsidR="00C07F1C" w:rsidRPr="00F76596" w:rsidRDefault="00551F28" w:rsidP="00551F28">
      <w:pPr>
        <w:pStyle w:val="MIRHeading3Rule"/>
      </w:pPr>
      <w:r w:rsidRPr="00F76596">
        <w:t>1.2.6</w:t>
      </w:r>
      <w:r w:rsidR="00F77E66" w:rsidRPr="00F76596">
        <w:tab/>
      </w:r>
      <w:r w:rsidRPr="00F76596">
        <w:t>References to Licensed Repositories or Prescribed Repositories</w:t>
      </w:r>
    </w:p>
    <w:p w14:paraId="02CA5E70" w14:textId="77777777" w:rsidR="00AE7342" w:rsidRPr="00F76596" w:rsidRDefault="00AE7342" w:rsidP="00551F28">
      <w:pPr>
        <w:pStyle w:val="MIRBodyText"/>
      </w:pPr>
      <w:r w:rsidRPr="00F76596">
        <w:t xml:space="preserve">(1) </w:t>
      </w:r>
      <w:r w:rsidR="00551F28" w:rsidRPr="00F76596">
        <w:t>A reference in these Rules to</w:t>
      </w:r>
      <w:r w:rsidR="008A54D1" w:rsidRPr="00F76596">
        <w:t xml:space="preserve"> reporting information about a </w:t>
      </w:r>
      <w:r w:rsidR="00662E0E" w:rsidRPr="00F76596">
        <w:t xml:space="preserve">Reportable </w:t>
      </w:r>
      <w:r w:rsidR="008A54D1" w:rsidRPr="00F76596">
        <w:t>Transaction, or a</w:t>
      </w:r>
      <w:r w:rsidR="0097609A" w:rsidRPr="00F76596">
        <w:t xml:space="preserve"> Reportable Position</w:t>
      </w:r>
      <w:r w:rsidR="00D3457C" w:rsidRPr="00F76596">
        <w:t>,</w:t>
      </w:r>
      <w:r w:rsidR="00F708E7" w:rsidRPr="00F76596">
        <w:t xml:space="preserve"> to a Licensed Repository</w:t>
      </w:r>
      <w:r w:rsidR="00B610DD" w:rsidRPr="00F76596">
        <w:t>,</w:t>
      </w:r>
      <w:r w:rsidR="00F708E7" w:rsidRPr="00F76596">
        <w:t xml:space="preserve"> </w:t>
      </w:r>
      <w:r w:rsidR="008A54D1" w:rsidRPr="00F76596">
        <w:t>is a reference to reporting the information to</w:t>
      </w:r>
      <w:r w:rsidRPr="00F76596">
        <w:t xml:space="preserve"> a Licensed Repository</w:t>
      </w:r>
      <w:r w:rsidR="004C0CB4" w:rsidRPr="00F76596">
        <w:t>,</w:t>
      </w:r>
      <w:r w:rsidRPr="00F76596">
        <w:t xml:space="preserve"> </w:t>
      </w:r>
      <w:r w:rsidR="002042D8" w:rsidRPr="00F76596">
        <w:t>the L</w:t>
      </w:r>
      <w:r w:rsidRPr="00F76596">
        <w:t xml:space="preserve">icence for which authorises the Licensed Repository to provide services in respect of a class of Derivatives that includes the Derivatives to which the </w:t>
      </w:r>
      <w:r w:rsidR="00BF02C2" w:rsidRPr="00F76596">
        <w:t>Reportable</w:t>
      </w:r>
      <w:r w:rsidRPr="00F76596">
        <w:t xml:space="preserve"> Transaction</w:t>
      </w:r>
      <w:r w:rsidR="002C4678" w:rsidRPr="00F76596">
        <w:rPr>
          <w:szCs w:val="20"/>
        </w:rPr>
        <w:t xml:space="preserve"> </w:t>
      </w:r>
      <w:r w:rsidR="002C4678" w:rsidRPr="00F76596">
        <w:t>or Reportable Position</w:t>
      </w:r>
      <w:r w:rsidRPr="00F76596">
        <w:t xml:space="preserve"> relates.</w:t>
      </w:r>
    </w:p>
    <w:p w14:paraId="2895A8AF" w14:textId="77777777" w:rsidR="00551F28" w:rsidRPr="00F76596" w:rsidRDefault="00735B39" w:rsidP="00735B39">
      <w:pPr>
        <w:pStyle w:val="MIRBodyText"/>
      </w:pPr>
      <w:r w:rsidRPr="00F76596">
        <w:t>(</w:t>
      </w:r>
      <w:r w:rsidR="004C0CB4" w:rsidRPr="00F76596">
        <w:t>2</w:t>
      </w:r>
      <w:r w:rsidRPr="00F76596">
        <w:t xml:space="preserve">) A reference in these Rules to reporting information about a </w:t>
      </w:r>
      <w:r w:rsidR="001954BD" w:rsidRPr="00F76596">
        <w:t>Reportable</w:t>
      </w:r>
      <w:r w:rsidRPr="00F76596">
        <w:t xml:space="preserve"> Transaction, or a</w:t>
      </w:r>
      <w:r w:rsidR="0005390C" w:rsidRPr="00F76596">
        <w:t xml:space="preserve"> </w:t>
      </w:r>
      <w:r w:rsidR="009B03D0" w:rsidRPr="00F76596">
        <w:t>Reportable</w:t>
      </w:r>
      <w:r w:rsidR="0005390C" w:rsidRPr="00F76596">
        <w:t xml:space="preserve"> Position</w:t>
      </w:r>
      <w:r w:rsidRPr="00F76596">
        <w:t>, to</w:t>
      </w:r>
      <w:r w:rsidR="00EB792F" w:rsidRPr="00F76596">
        <w:t xml:space="preserve"> </w:t>
      </w:r>
      <w:r w:rsidR="00551F28" w:rsidRPr="00F76596">
        <w:t>a Prescribed Repository</w:t>
      </w:r>
      <w:r w:rsidR="00B610DD" w:rsidRPr="00F76596">
        <w:t>,</w:t>
      </w:r>
      <w:r w:rsidRPr="00F76596">
        <w:t xml:space="preserve"> is a reference to reporting the information to a Prescribed Repository</w:t>
      </w:r>
      <w:r w:rsidR="00551F28" w:rsidRPr="00F76596">
        <w:t xml:space="preserve"> that is prescribed in relation to a class of Derivatives that includes the Derivatives to which the </w:t>
      </w:r>
      <w:r w:rsidR="00FC6CB0" w:rsidRPr="00F76596">
        <w:t>Reportable</w:t>
      </w:r>
      <w:r w:rsidR="00551F28" w:rsidRPr="00F76596">
        <w:t xml:space="preserve"> Transaction</w:t>
      </w:r>
      <w:r w:rsidR="002C4678" w:rsidRPr="00F76596">
        <w:rPr>
          <w:szCs w:val="20"/>
        </w:rPr>
        <w:t xml:space="preserve"> </w:t>
      </w:r>
      <w:r w:rsidR="002C4678" w:rsidRPr="00F76596">
        <w:t>or Reportable Position</w:t>
      </w:r>
      <w:r w:rsidR="00551F28" w:rsidRPr="00F76596">
        <w:t xml:space="preserve"> relates.</w:t>
      </w:r>
    </w:p>
    <w:p w14:paraId="10750BAF" w14:textId="77777777" w:rsidR="007825F9" w:rsidRPr="00F76596" w:rsidRDefault="007825F9" w:rsidP="007825F9">
      <w:pPr>
        <w:pStyle w:val="MIRNote"/>
      </w:pPr>
      <w:r w:rsidRPr="00F76596">
        <w:t xml:space="preserve">Note: See subsection 901A(6) </w:t>
      </w:r>
      <w:r w:rsidR="00F4278F" w:rsidRPr="00F76596">
        <w:t xml:space="preserve">and paragraph 905F(4)(b) </w:t>
      </w:r>
      <w:r w:rsidRPr="00F76596">
        <w:t>of the Act.</w:t>
      </w:r>
    </w:p>
    <w:p w14:paraId="754DF557" w14:textId="77777777" w:rsidR="002922A3" w:rsidRPr="00F76596" w:rsidRDefault="002922A3" w:rsidP="002922A3">
      <w:pPr>
        <w:pStyle w:val="MIRHeading3Rule"/>
      </w:pPr>
      <w:r w:rsidRPr="00F76596">
        <w:lastRenderedPageBreak/>
        <w:t>1.2.7</w:t>
      </w:r>
      <w:r w:rsidRPr="00F76596">
        <w:tab/>
      </w:r>
      <w:r w:rsidR="00B5623A" w:rsidRPr="00F76596">
        <w:t>References to t</w:t>
      </w:r>
      <w:r w:rsidRPr="00F76596">
        <w:t xml:space="preserve">otal </w:t>
      </w:r>
      <w:r w:rsidR="001A3828" w:rsidRPr="00F76596">
        <w:t>g</w:t>
      </w:r>
      <w:r w:rsidRPr="00F76596">
        <w:t xml:space="preserve">ross </w:t>
      </w:r>
      <w:r w:rsidR="001A3828" w:rsidRPr="00F76596">
        <w:t>n</w:t>
      </w:r>
      <w:r w:rsidRPr="00F76596">
        <w:t xml:space="preserve">otional </w:t>
      </w:r>
      <w:r w:rsidR="001A3828" w:rsidRPr="00F76596">
        <w:t>o</w:t>
      </w:r>
      <w:r w:rsidRPr="00F76596">
        <w:t>utstanding</w:t>
      </w:r>
    </w:p>
    <w:p w14:paraId="4AC9F05C" w14:textId="77777777" w:rsidR="007A4D93" w:rsidRPr="00F76596" w:rsidRDefault="005338EE" w:rsidP="002922A3">
      <w:pPr>
        <w:pStyle w:val="MIRBodyText"/>
      </w:pPr>
      <w:r w:rsidRPr="00F76596">
        <w:t>(</w:t>
      </w:r>
      <w:r w:rsidR="00E013F5" w:rsidRPr="00F76596">
        <w:t>1</w:t>
      </w:r>
      <w:r w:rsidRPr="00F76596">
        <w:t xml:space="preserve">) </w:t>
      </w:r>
      <w:r w:rsidR="00082C7B" w:rsidRPr="00F76596">
        <w:t xml:space="preserve">A </w:t>
      </w:r>
      <w:r w:rsidR="001A3828" w:rsidRPr="00F76596">
        <w:t>reference</w:t>
      </w:r>
      <w:r w:rsidR="00B5623A" w:rsidRPr="00F76596">
        <w:t xml:space="preserve"> in these Rules</w:t>
      </w:r>
      <w:r w:rsidR="001A3828" w:rsidRPr="00F76596">
        <w:t xml:space="preserve"> to</w:t>
      </w:r>
      <w:r w:rsidR="00B5623A" w:rsidRPr="00F76596">
        <w:t xml:space="preserve"> the</w:t>
      </w:r>
      <w:r w:rsidR="001A3828" w:rsidRPr="00F76596">
        <w:t xml:space="preserve"> total gross notional outstanding positions </w:t>
      </w:r>
      <w:r w:rsidR="008869AA" w:rsidRPr="00F76596">
        <w:t>held by</w:t>
      </w:r>
      <w:r w:rsidR="001A3828" w:rsidRPr="00F76596">
        <w:t xml:space="preserve"> a </w:t>
      </w:r>
      <w:r w:rsidR="007A4D93" w:rsidRPr="00F76596">
        <w:t>R</w:t>
      </w:r>
      <w:r w:rsidR="001A3828" w:rsidRPr="00F76596">
        <w:t xml:space="preserve">eporting </w:t>
      </w:r>
      <w:r w:rsidR="007A4D93" w:rsidRPr="00F76596">
        <w:t>E</w:t>
      </w:r>
      <w:r w:rsidR="001A3828" w:rsidRPr="00F76596">
        <w:t xml:space="preserve">ntity </w:t>
      </w:r>
      <w:r w:rsidR="007A4D93" w:rsidRPr="00F76596">
        <w:t>is a reference to the</w:t>
      </w:r>
      <w:r w:rsidR="00ED7CA7" w:rsidRPr="00F76596">
        <w:t xml:space="preserve"> Reporting Entity’s</w:t>
      </w:r>
      <w:r w:rsidR="007A4D93" w:rsidRPr="00F76596">
        <w:t xml:space="preserve"> total gross</w:t>
      </w:r>
      <w:r w:rsidR="008869AA" w:rsidRPr="00F76596">
        <w:t xml:space="preserve"> notional outstanding positions </w:t>
      </w:r>
      <w:r w:rsidR="007A4D93" w:rsidRPr="00F76596">
        <w:t>aggregated across:</w:t>
      </w:r>
    </w:p>
    <w:p w14:paraId="4016C6AC" w14:textId="77777777" w:rsidR="007A4D93" w:rsidRPr="00F76596" w:rsidRDefault="007A4D93" w:rsidP="007A4D93">
      <w:pPr>
        <w:pStyle w:val="MIRSubpara"/>
      </w:pPr>
      <w:r w:rsidRPr="00F76596">
        <w:t>all OTC Derivatives; and</w:t>
      </w:r>
    </w:p>
    <w:p w14:paraId="44D098BD" w14:textId="77777777" w:rsidR="007A4D93" w:rsidRPr="00F76596" w:rsidRDefault="007A4D93" w:rsidP="00B30FFA">
      <w:pPr>
        <w:pStyle w:val="MIRSubpara"/>
      </w:pPr>
      <w:r w:rsidRPr="00F76596">
        <w:t xml:space="preserve">all Derivatives that would be OTC Derivatives but for the fact that the Derivatives are not in </w:t>
      </w:r>
      <w:r w:rsidR="00F66486" w:rsidRPr="00F76596">
        <w:t xml:space="preserve">a </w:t>
      </w:r>
      <w:r w:rsidRPr="00F76596">
        <w:t>Prescribed Class,</w:t>
      </w:r>
    </w:p>
    <w:p w14:paraId="118065DA" w14:textId="77777777" w:rsidR="002922A3" w:rsidRPr="00F76596" w:rsidRDefault="007A4D93" w:rsidP="00994587">
      <w:pPr>
        <w:pStyle w:val="MIRBodyText"/>
      </w:pPr>
      <w:r w:rsidRPr="00F76596">
        <w:t xml:space="preserve">but </w:t>
      </w:r>
      <w:r w:rsidR="00400DAF" w:rsidRPr="00F76596">
        <w:t>does not include</w:t>
      </w:r>
      <w:r w:rsidR="001A3828" w:rsidRPr="00F76596">
        <w:rPr>
          <w:szCs w:val="20"/>
        </w:rPr>
        <w:t xml:space="preserve"> positions</w:t>
      </w:r>
      <w:r w:rsidR="001A3828" w:rsidRPr="00F76596">
        <w:t xml:space="preserve"> in OTC Derivatives</w:t>
      </w:r>
      <w:r w:rsidR="00400DAF" w:rsidRPr="00F76596">
        <w:t>:</w:t>
      </w:r>
    </w:p>
    <w:p w14:paraId="05D011D9" w14:textId="77777777" w:rsidR="006C2B3D" w:rsidRPr="00F76596" w:rsidRDefault="006C2B3D" w:rsidP="00BD7FD8">
      <w:pPr>
        <w:pStyle w:val="MIRSubpara"/>
        <w:numPr>
          <w:ilvl w:val="1"/>
          <w:numId w:val="15"/>
        </w:numPr>
      </w:pPr>
      <w:r w:rsidRPr="00F76596">
        <w:t>held by a related body corporate of the Reporting Entity</w:t>
      </w:r>
      <w:r w:rsidR="00E21903" w:rsidRPr="00F76596">
        <w:t>;</w:t>
      </w:r>
      <w:r w:rsidR="00E5069F" w:rsidRPr="00F76596">
        <w:t xml:space="preserve"> or</w:t>
      </w:r>
    </w:p>
    <w:p w14:paraId="1A496769" w14:textId="77777777" w:rsidR="008C7E49" w:rsidRPr="00F76596" w:rsidRDefault="00484B89" w:rsidP="001806EC">
      <w:pPr>
        <w:pStyle w:val="MIRSubpara"/>
      </w:pPr>
      <w:r w:rsidRPr="00F76596">
        <w:t xml:space="preserve">where the entry into, modification, termination </w:t>
      </w:r>
      <w:r w:rsidR="00CF4BB3" w:rsidRPr="00F76596">
        <w:t>or</w:t>
      </w:r>
      <w:r w:rsidRPr="00F76596">
        <w:t xml:space="preserve"> assignment of the OTC Derivative </w:t>
      </w:r>
      <w:r w:rsidR="00B02199" w:rsidRPr="00F76596">
        <w:t xml:space="preserve">to which the position relates </w:t>
      </w:r>
      <w:r w:rsidRPr="00F76596">
        <w:t>is not a Reportable Transaction in relation to the Reporting Entity within the meaning of Rule 1.2.5</w:t>
      </w:r>
      <w:r w:rsidR="00AD56B7" w:rsidRPr="00F76596">
        <w:t xml:space="preserve"> (other than by reason that the Derivatives are not in </w:t>
      </w:r>
      <w:r w:rsidR="00F66486" w:rsidRPr="00F76596">
        <w:t xml:space="preserve">a </w:t>
      </w:r>
      <w:r w:rsidR="00AD56B7" w:rsidRPr="00F76596">
        <w:t>Prescribed Class).</w:t>
      </w:r>
    </w:p>
    <w:p w14:paraId="0D10D5C1" w14:textId="77777777" w:rsidR="00EC5A8A" w:rsidRPr="00F76596" w:rsidRDefault="00E013F5">
      <w:pPr>
        <w:pStyle w:val="MIRBodyText"/>
      </w:pPr>
      <w:r w:rsidRPr="00F76596">
        <w:t xml:space="preserve">(2) For the purposes of the Transaction Reporting Requirements and Position Reporting Requirements that apply in Phase </w:t>
      </w:r>
      <w:r w:rsidR="002F37BE" w:rsidRPr="00F76596">
        <w:t>2</w:t>
      </w:r>
      <w:r w:rsidR="00FC43C9" w:rsidRPr="00F76596">
        <w:t xml:space="preserve"> only</w:t>
      </w:r>
      <w:r w:rsidRPr="00F76596">
        <w:t>, a</w:t>
      </w:r>
      <w:r w:rsidR="005338EE" w:rsidRPr="00F76596">
        <w:t xml:space="preserve"> Reporting Entity that is an RE or Trustee</w:t>
      </w:r>
      <w:r w:rsidRPr="00F76596">
        <w:t xml:space="preserve"> may determine whether </w:t>
      </w:r>
      <w:r w:rsidR="00F72871" w:rsidRPr="00F76596">
        <w:t>the Reporting Entity</w:t>
      </w:r>
      <w:r w:rsidR="002839E6" w:rsidRPr="00F76596">
        <w:t xml:space="preserve"> </w:t>
      </w:r>
      <w:r w:rsidR="00E8692B" w:rsidRPr="00F76596">
        <w:t>h</w:t>
      </w:r>
      <w:r w:rsidR="004B0807" w:rsidRPr="00F76596">
        <w:t>olds</w:t>
      </w:r>
      <w:r w:rsidRPr="00F76596">
        <w:t xml:space="preserve"> total gross notional outstanding positions</w:t>
      </w:r>
      <w:r w:rsidR="00E8692B" w:rsidRPr="00F76596">
        <w:t xml:space="preserve"> of $50 billion or more separately in relation to each</w:t>
      </w:r>
      <w:r w:rsidR="005338EE" w:rsidRPr="00F76596">
        <w:t xml:space="preserve"> managed investment scheme or trus</w:t>
      </w:r>
      <w:r w:rsidR="00E8692B" w:rsidRPr="00F76596">
        <w:t>t</w:t>
      </w:r>
      <w:r w:rsidR="00C348C5" w:rsidRPr="00F76596">
        <w:t xml:space="preserve"> for which the</w:t>
      </w:r>
      <w:r w:rsidR="0076287E" w:rsidRPr="00F76596">
        <w:t xml:space="preserve"> Reporting Entity is the RE or Trustee</w:t>
      </w:r>
      <w:r w:rsidR="00E8692B" w:rsidRPr="00F76596">
        <w:t>.</w:t>
      </w:r>
    </w:p>
    <w:p w14:paraId="7911E63B" w14:textId="77777777" w:rsidR="00F45D23" w:rsidRDefault="0043034A" w:rsidP="0043034A">
      <w:pPr>
        <w:pStyle w:val="MIRNote"/>
        <w:sectPr w:rsidR="00F45D23" w:rsidSect="00AD457C">
          <w:headerReference w:type="default" r:id="rId23"/>
          <w:pgSz w:w="11906" w:h="16838" w:code="9"/>
          <w:pgMar w:top="1644" w:right="1418" w:bottom="1418" w:left="1418" w:header="567" w:footer="567" w:gutter="0"/>
          <w:cols w:space="720"/>
          <w:docGrid w:linePitch="299"/>
        </w:sectPr>
      </w:pPr>
      <w:r w:rsidRPr="00F76596">
        <w:t>Note: See also subrules S1.1.1(2) and S1.2.1(2)</w:t>
      </w:r>
      <w:r w:rsidR="00D7421F" w:rsidRPr="00F76596">
        <w:t>.</w:t>
      </w:r>
    </w:p>
    <w:p w14:paraId="59E4FFD7" w14:textId="1AA9A454" w:rsidR="0043034A" w:rsidRPr="00F76596" w:rsidRDefault="0043034A" w:rsidP="0043034A">
      <w:pPr>
        <w:pStyle w:val="MIRNote"/>
      </w:pPr>
    </w:p>
    <w:p w14:paraId="4137B3D2" w14:textId="77777777" w:rsidR="0063375B" w:rsidRPr="00F76596" w:rsidRDefault="0063375B" w:rsidP="0063375B">
      <w:pPr>
        <w:pStyle w:val="MIRHeading1Chapter"/>
      </w:pPr>
      <w:bookmarkStart w:id="7" w:name="_Toc122081636"/>
      <w:r w:rsidRPr="00F76596">
        <w:lastRenderedPageBreak/>
        <w:t>Chapter 2</w:t>
      </w:r>
      <w:r w:rsidR="007870B2" w:rsidRPr="00F76596">
        <w:t>:</w:t>
      </w:r>
      <w:r w:rsidR="008074EA" w:rsidRPr="00F76596">
        <w:t xml:space="preserve"> Reporting Requirements</w:t>
      </w:r>
      <w:bookmarkEnd w:id="7"/>
    </w:p>
    <w:p w14:paraId="10FA5B87" w14:textId="77777777" w:rsidR="00E129F9" w:rsidRPr="00F76596" w:rsidRDefault="007870B2" w:rsidP="0063375B">
      <w:pPr>
        <w:pStyle w:val="MIRHeading2Part"/>
      </w:pPr>
      <w:bookmarkStart w:id="8" w:name="_Toc122081637"/>
      <w:r w:rsidRPr="00F76596">
        <w:t>Part 2.1</w:t>
      </w:r>
      <w:r w:rsidRPr="00F76596">
        <w:tab/>
      </w:r>
      <w:r w:rsidR="00E129F9" w:rsidRPr="00F76596">
        <w:t>Application</w:t>
      </w:r>
      <w:bookmarkEnd w:id="8"/>
    </w:p>
    <w:p w14:paraId="6F961485" w14:textId="77777777" w:rsidR="00E129F9" w:rsidRPr="00F76596" w:rsidRDefault="00E129F9" w:rsidP="00E129F9">
      <w:pPr>
        <w:pStyle w:val="MIRHeading3Rule"/>
      </w:pPr>
      <w:r w:rsidRPr="00F76596">
        <w:t>2.1.1</w:t>
      </w:r>
      <w:r w:rsidRPr="00F76596">
        <w:tab/>
        <w:t>Application</w:t>
      </w:r>
    </w:p>
    <w:p w14:paraId="6B9E2148" w14:textId="77777777" w:rsidR="00E129F9" w:rsidRPr="00F76596" w:rsidRDefault="00E129F9" w:rsidP="00E129F9">
      <w:pPr>
        <w:pStyle w:val="MIRBodyText"/>
      </w:pPr>
      <w:r w:rsidRPr="00F76596">
        <w:t xml:space="preserve">This Chapter imposes obligations on Reporting Entities to report their Reportable Transactions and Reportable </w:t>
      </w:r>
      <w:r w:rsidR="002179CF" w:rsidRPr="00F76596">
        <w:t>Positions</w:t>
      </w:r>
      <w:r w:rsidRPr="00F76596">
        <w:t xml:space="preserve"> to Licensed Repositories and Prescribed Repositories.</w:t>
      </w:r>
    </w:p>
    <w:p w14:paraId="2C6FC7CF" w14:textId="77777777" w:rsidR="00E129F9" w:rsidRPr="00F76596" w:rsidRDefault="00E129F9" w:rsidP="006D2FBD">
      <w:pPr>
        <w:pStyle w:val="MIRNote"/>
      </w:pPr>
      <w:r w:rsidRPr="00F76596">
        <w:t xml:space="preserve">Note: Schedule 1 </w:t>
      </w:r>
      <w:r w:rsidR="00F261FF" w:rsidRPr="00F76596">
        <w:t>provides for</w:t>
      </w:r>
      <w:r w:rsidRPr="00F76596">
        <w:t xml:space="preserve"> phased implementation of the </w:t>
      </w:r>
      <w:r w:rsidR="00F32A79" w:rsidRPr="00F76596">
        <w:t>R</w:t>
      </w:r>
      <w:r w:rsidRPr="00F76596">
        <w:t xml:space="preserve">eporting </w:t>
      </w:r>
      <w:r w:rsidR="00F32A79" w:rsidRPr="00F76596">
        <w:t>Requirements</w:t>
      </w:r>
      <w:r w:rsidRPr="00F76596">
        <w:t xml:space="preserve"> and Schedule 2 sets out the </w:t>
      </w:r>
      <w:r w:rsidR="00B166D7" w:rsidRPr="00F76596">
        <w:t>Derivative Transaction Information and Derivative Position Information</w:t>
      </w:r>
      <w:r w:rsidRPr="00F76596">
        <w:t xml:space="preserve"> to be reported.</w:t>
      </w:r>
    </w:p>
    <w:p w14:paraId="57512564" w14:textId="77777777" w:rsidR="00AD457C" w:rsidRPr="00F76596" w:rsidRDefault="00474130" w:rsidP="0063375B">
      <w:pPr>
        <w:pStyle w:val="MIRHeading2Part"/>
      </w:pPr>
      <w:bookmarkStart w:id="9" w:name="_Toc122081638"/>
      <w:r w:rsidRPr="00F76596">
        <w:t xml:space="preserve">Part </w:t>
      </w:r>
      <w:r w:rsidR="005C7A1A" w:rsidRPr="00F76596">
        <w:t>2.2</w:t>
      </w:r>
      <w:r w:rsidR="005C7A1A" w:rsidRPr="00F76596">
        <w:tab/>
      </w:r>
      <w:r w:rsidR="001A230A" w:rsidRPr="00F76596">
        <w:t xml:space="preserve">Reporting </w:t>
      </w:r>
      <w:r w:rsidR="00196193" w:rsidRPr="00F76596">
        <w:t>Requirements</w:t>
      </w:r>
      <w:bookmarkEnd w:id="9"/>
    </w:p>
    <w:p w14:paraId="5F145B52" w14:textId="77777777" w:rsidR="006A618C" w:rsidRPr="00F76596" w:rsidRDefault="006A618C" w:rsidP="006A618C">
      <w:pPr>
        <w:pStyle w:val="MIRHeading3Rule"/>
      </w:pPr>
      <w:r w:rsidRPr="00F76596">
        <w:t>2.2.1</w:t>
      </w:r>
      <w:r w:rsidRPr="00F76596">
        <w:tab/>
      </w:r>
      <w:r w:rsidR="005B1657" w:rsidRPr="00F76596">
        <w:t>Transaction Reporting Requirements and Position Reporting Requirements</w:t>
      </w:r>
    </w:p>
    <w:p w14:paraId="2B004B82" w14:textId="77777777" w:rsidR="000B56C6" w:rsidRPr="00F76596" w:rsidRDefault="00F63816" w:rsidP="00994587">
      <w:pPr>
        <w:pStyle w:val="MIRHeading5"/>
      </w:pPr>
      <w:r w:rsidRPr="00F76596">
        <w:t xml:space="preserve">Core </w:t>
      </w:r>
      <w:r w:rsidR="000B56C6" w:rsidRPr="00F76596">
        <w:t>Transaction Reporting Requirements and Position Reporting Requirements</w:t>
      </w:r>
    </w:p>
    <w:p w14:paraId="455D7139" w14:textId="77777777" w:rsidR="00591C71" w:rsidRPr="00F76596" w:rsidRDefault="00781F55" w:rsidP="00BF0B1D">
      <w:pPr>
        <w:pStyle w:val="MIRBodyText"/>
      </w:pPr>
      <w:r w:rsidRPr="00F76596">
        <w:t xml:space="preserve">(1) </w:t>
      </w:r>
      <w:r w:rsidR="00DD2DF1" w:rsidRPr="00F76596">
        <w:t>Subject to subrules (2) and (3)</w:t>
      </w:r>
      <w:r w:rsidR="008E6BC8">
        <w:t>, Rule 2.2.8</w:t>
      </w:r>
      <w:r w:rsidR="001C4834" w:rsidRPr="00F76596">
        <w:t xml:space="preserve"> and Part </w:t>
      </w:r>
      <w:r w:rsidR="00D57319" w:rsidRPr="00F76596">
        <w:t>2.4</w:t>
      </w:r>
      <w:r w:rsidR="00DD2DF1" w:rsidRPr="00F76596">
        <w:t>, a</w:t>
      </w:r>
      <w:r w:rsidRPr="00F76596">
        <w:t xml:space="preserve"> Reporting Entity </w:t>
      </w:r>
      <w:r w:rsidR="00F174A6" w:rsidRPr="00F76596">
        <w:t xml:space="preserve">must </w:t>
      </w:r>
      <w:r w:rsidR="00E92FAD" w:rsidRPr="00F76596">
        <w:t>report information</w:t>
      </w:r>
      <w:r w:rsidR="00334FD7" w:rsidRPr="00F76596">
        <w:t xml:space="preserve"> about</w:t>
      </w:r>
      <w:r w:rsidR="00591C71" w:rsidRPr="00F76596">
        <w:t>:</w:t>
      </w:r>
    </w:p>
    <w:p w14:paraId="2CCD7DFC" w14:textId="77777777" w:rsidR="00781F55" w:rsidRPr="00F76596" w:rsidRDefault="00895E1B" w:rsidP="00591C71">
      <w:pPr>
        <w:pStyle w:val="MIRSubpara"/>
      </w:pPr>
      <w:r w:rsidRPr="00F76596">
        <w:t xml:space="preserve">each </w:t>
      </w:r>
      <w:r w:rsidR="00EF1ABB" w:rsidRPr="00F76596">
        <w:t xml:space="preserve">of its </w:t>
      </w:r>
      <w:r w:rsidR="00134D19" w:rsidRPr="00F76596">
        <w:t>Reportable Transaction</w:t>
      </w:r>
      <w:r w:rsidR="004C0CB4" w:rsidRPr="00F76596">
        <w:t>s</w:t>
      </w:r>
      <w:r w:rsidR="00134D19" w:rsidRPr="00F76596">
        <w:t xml:space="preserve"> in accordance with the Transaction Reporting Requirements in</w:t>
      </w:r>
      <w:r w:rsidR="002B40F4" w:rsidRPr="00F76596">
        <w:t xml:space="preserve"> Part </w:t>
      </w:r>
      <w:r w:rsidR="0081697A" w:rsidRPr="00F76596">
        <w:t>S1.</w:t>
      </w:r>
      <w:r w:rsidR="002B40F4" w:rsidRPr="00F76596">
        <w:t>1 of Schedule 1</w:t>
      </w:r>
      <w:r w:rsidR="00674470" w:rsidRPr="00F76596">
        <w:t xml:space="preserve">, during the </w:t>
      </w:r>
      <w:r w:rsidR="00B201DA" w:rsidRPr="00F76596">
        <w:t xml:space="preserve">applicable </w:t>
      </w:r>
      <w:r w:rsidR="00674470" w:rsidRPr="00F76596">
        <w:t>Reporting Periods set out in</w:t>
      </w:r>
      <w:r w:rsidR="009E508C" w:rsidRPr="00F76596">
        <w:t xml:space="preserve"> that Part</w:t>
      </w:r>
      <w:r w:rsidR="00E129F9" w:rsidRPr="00F76596">
        <w:t>, other than a</w:t>
      </w:r>
      <w:r w:rsidR="000C1DE4" w:rsidRPr="00F76596">
        <w:t xml:space="preserve"> Reportable Transaction that is a</w:t>
      </w:r>
      <w:r w:rsidR="00E129F9" w:rsidRPr="00F76596">
        <w:t xml:space="preserve"> modification, termination or assignment referred to in paragraph (c)</w:t>
      </w:r>
      <w:r w:rsidR="00182CBE" w:rsidRPr="00F76596">
        <w:t>;</w:t>
      </w:r>
    </w:p>
    <w:p w14:paraId="62670410" w14:textId="77777777" w:rsidR="00334FD7" w:rsidRPr="00F76596" w:rsidRDefault="00D42D68" w:rsidP="00BF0B1D">
      <w:pPr>
        <w:pStyle w:val="MIRSubpara"/>
      </w:pPr>
      <w:r w:rsidRPr="00F76596">
        <w:t xml:space="preserve">each of </w:t>
      </w:r>
      <w:r w:rsidR="00EF1ABB" w:rsidRPr="00F76596">
        <w:t xml:space="preserve">its </w:t>
      </w:r>
      <w:r w:rsidR="00A71C89" w:rsidRPr="00F76596">
        <w:t xml:space="preserve">Reportable Positions </w:t>
      </w:r>
      <w:r w:rsidR="00006696" w:rsidRPr="00F76596">
        <w:t>in acc</w:t>
      </w:r>
      <w:r w:rsidR="0052282E" w:rsidRPr="00F76596">
        <w:t xml:space="preserve">ordance with </w:t>
      </w:r>
      <w:r w:rsidR="00591C71" w:rsidRPr="00F76596">
        <w:t xml:space="preserve">the Position Reporting Requirements in </w:t>
      </w:r>
      <w:r w:rsidR="00006696" w:rsidRPr="00F76596">
        <w:t>Part S1.2 of Schedule 1</w:t>
      </w:r>
      <w:r w:rsidR="00674470" w:rsidRPr="00F76596">
        <w:t xml:space="preserve">, by the </w:t>
      </w:r>
      <w:r w:rsidR="00B201DA" w:rsidRPr="00F76596">
        <w:t>applicable</w:t>
      </w:r>
      <w:r w:rsidR="00AA3DC5" w:rsidRPr="00F76596">
        <w:t xml:space="preserve"> </w:t>
      </w:r>
      <w:r w:rsidR="003A4E63" w:rsidRPr="00F76596">
        <w:t xml:space="preserve">Position </w:t>
      </w:r>
      <w:r w:rsidR="00674470" w:rsidRPr="00F76596">
        <w:t>Reporting Date</w:t>
      </w:r>
      <w:r w:rsidR="005806F6" w:rsidRPr="00F76596">
        <w:t xml:space="preserve"> </w:t>
      </w:r>
      <w:r w:rsidR="00B201DA" w:rsidRPr="00F76596">
        <w:t>for that Reportable Position</w:t>
      </w:r>
      <w:r w:rsidR="00F542C8" w:rsidRPr="00F76596">
        <w:t xml:space="preserve"> </w:t>
      </w:r>
      <w:r w:rsidR="00674470" w:rsidRPr="00F76596">
        <w:t xml:space="preserve">set out in that </w:t>
      </w:r>
      <w:r w:rsidR="009E508C" w:rsidRPr="00F76596">
        <w:t>Part</w:t>
      </w:r>
      <w:r w:rsidR="00334FD7" w:rsidRPr="00F76596">
        <w:t>;</w:t>
      </w:r>
      <w:r w:rsidR="00182CBE" w:rsidRPr="00F76596">
        <w:t xml:space="preserve"> and</w:t>
      </w:r>
    </w:p>
    <w:p w14:paraId="2513B9A6" w14:textId="77777777" w:rsidR="00200C83" w:rsidRPr="00F76596" w:rsidRDefault="00080A42" w:rsidP="00BF0B1D">
      <w:pPr>
        <w:pStyle w:val="MIRSubpara"/>
      </w:pPr>
      <w:r w:rsidRPr="00F76596">
        <w:t>each</w:t>
      </w:r>
      <w:r w:rsidR="000C1DE4" w:rsidRPr="00F76596">
        <w:t xml:space="preserve"> Reportable Transaction that is a</w:t>
      </w:r>
      <w:r w:rsidR="00EF1ABB" w:rsidRPr="00F76596">
        <w:t xml:space="preserve"> </w:t>
      </w:r>
      <w:r w:rsidR="00334FD7" w:rsidRPr="00F76596">
        <w:t>modification</w:t>
      </w:r>
      <w:r w:rsidR="00B735CD" w:rsidRPr="00F76596">
        <w:t>,</w:t>
      </w:r>
      <w:r w:rsidR="00334FD7" w:rsidRPr="00F76596">
        <w:t xml:space="preserve"> termination</w:t>
      </w:r>
      <w:r w:rsidR="00B735CD" w:rsidRPr="00F76596">
        <w:t xml:space="preserve"> or assignment</w:t>
      </w:r>
      <w:r w:rsidR="00334FD7" w:rsidRPr="00F76596">
        <w:t xml:space="preserve"> of </w:t>
      </w:r>
      <w:r w:rsidR="004C00D0" w:rsidRPr="00F76596">
        <w:t xml:space="preserve">a </w:t>
      </w:r>
      <w:r w:rsidR="00D55529" w:rsidRPr="00F76596">
        <w:t>Reportable Position</w:t>
      </w:r>
      <w:r w:rsidR="00A14715" w:rsidRPr="00F76596">
        <w:t xml:space="preserve"> </w:t>
      </w:r>
      <w:r w:rsidR="00E00E30" w:rsidRPr="00F76596">
        <w:t xml:space="preserve">and that occurs </w:t>
      </w:r>
      <w:r w:rsidR="00A14715" w:rsidRPr="00F76596">
        <w:t>before the</w:t>
      </w:r>
      <w:r w:rsidR="00B201DA" w:rsidRPr="00F76596">
        <w:t xml:space="preserve"> applicable</w:t>
      </w:r>
      <w:r w:rsidR="00A14715" w:rsidRPr="00F76596">
        <w:t xml:space="preserve"> Position Reporting Date</w:t>
      </w:r>
      <w:r w:rsidR="00F542C8" w:rsidRPr="00F76596">
        <w:t xml:space="preserve"> for that Reportable Position</w:t>
      </w:r>
      <w:r w:rsidR="00334FD7" w:rsidRPr="00F76596">
        <w:t>, in accordance with Rule 2.4.</w:t>
      </w:r>
      <w:r w:rsidR="00270082" w:rsidRPr="00F76596">
        <w:t>4</w:t>
      </w:r>
      <w:r w:rsidR="00200C83" w:rsidRPr="00F76596">
        <w:t>,</w:t>
      </w:r>
    </w:p>
    <w:p w14:paraId="00C5D4FF" w14:textId="77777777" w:rsidR="00BF0B1D" w:rsidRPr="00F76596" w:rsidRDefault="0064587E" w:rsidP="00994587">
      <w:pPr>
        <w:pStyle w:val="MIRBodyText"/>
      </w:pPr>
      <w:r w:rsidRPr="00F76596">
        <w:t xml:space="preserve">and </w:t>
      </w:r>
      <w:r w:rsidR="00420BB6" w:rsidRPr="00F76596">
        <w:t>must report the information</w:t>
      </w:r>
      <w:r w:rsidRPr="00F76596">
        <w:t xml:space="preserve"> </w:t>
      </w:r>
      <w:r w:rsidR="00200C83" w:rsidRPr="00F76596">
        <w:t>in accordance with</w:t>
      </w:r>
      <w:r w:rsidR="0000476B" w:rsidRPr="00F76596">
        <w:t xml:space="preserve"> the requirements of</w:t>
      </w:r>
      <w:r w:rsidR="00200C83" w:rsidRPr="00F76596">
        <w:t xml:space="preserve"> this Part</w:t>
      </w:r>
      <w:r w:rsidR="00455B6E" w:rsidRPr="00F76596">
        <w:t>.</w:t>
      </w:r>
    </w:p>
    <w:p w14:paraId="4088FD40" w14:textId="77777777" w:rsidR="005234C4" w:rsidRPr="00F76596" w:rsidRDefault="005234C4" w:rsidP="005234C4">
      <w:pPr>
        <w:pStyle w:val="MIRNote"/>
      </w:pPr>
      <w:r w:rsidRPr="00F76596">
        <w:t>Note: Part</w:t>
      </w:r>
      <w:r w:rsidR="00EF3831" w:rsidRPr="00F76596">
        <w:t>s</w:t>
      </w:r>
      <w:r w:rsidRPr="00F76596">
        <w:t xml:space="preserve"> S1.1 and S1.2</w:t>
      </w:r>
      <w:r w:rsidR="00EF3831" w:rsidRPr="00F76596">
        <w:t xml:space="preserve"> of Schedule 1</w:t>
      </w:r>
      <w:r w:rsidRPr="00F76596">
        <w:t xml:space="preserve"> deal with phased implementation of the </w:t>
      </w:r>
      <w:r w:rsidR="0065603E" w:rsidRPr="00F76596">
        <w:t xml:space="preserve">Transaction </w:t>
      </w:r>
      <w:r w:rsidRPr="00F76596">
        <w:t>Reporting Requirements</w:t>
      </w:r>
      <w:r w:rsidR="0065603E" w:rsidRPr="00F76596">
        <w:t xml:space="preserve"> and Position Reporting Requirements</w:t>
      </w:r>
      <w:r w:rsidRPr="00F76596">
        <w:t>.</w:t>
      </w:r>
    </w:p>
    <w:p w14:paraId="62684615" w14:textId="77777777" w:rsidR="00ED34C0" w:rsidRPr="00F76596" w:rsidRDefault="00ED34C0" w:rsidP="00F55A6A">
      <w:pPr>
        <w:pStyle w:val="MIRHeading5"/>
      </w:pPr>
      <w:r w:rsidRPr="00F76596">
        <w:t>Exception where no Licensed Repository or Prescribed Repository</w:t>
      </w:r>
    </w:p>
    <w:p w14:paraId="55558405" w14:textId="77777777" w:rsidR="004425AA" w:rsidRPr="00F76596" w:rsidRDefault="0033170A" w:rsidP="0033170A">
      <w:pPr>
        <w:pStyle w:val="MIRBodyText"/>
      </w:pPr>
      <w:r w:rsidRPr="00F76596">
        <w:t>(</w:t>
      </w:r>
      <w:r w:rsidR="000D675B" w:rsidRPr="00F76596">
        <w:t>2</w:t>
      </w:r>
      <w:r w:rsidRPr="00F76596">
        <w:t xml:space="preserve">) A Reporting Entity </w:t>
      </w:r>
      <w:r w:rsidR="00F77E66" w:rsidRPr="00F76596">
        <w:t xml:space="preserve">is </w:t>
      </w:r>
      <w:r w:rsidRPr="00F76596">
        <w:t>not required to comply</w:t>
      </w:r>
      <w:r w:rsidR="00651C27" w:rsidRPr="00F76596">
        <w:t xml:space="preserve"> </w:t>
      </w:r>
      <w:r w:rsidRPr="00F76596">
        <w:t xml:space="preserve">with </w:t>
      </w:r>
      <w:r w:rsidR="00E84DD4" w:rsidRPr="00F76596">
        <w:t>the</w:t>
      </w:r>
      <w:r w:rsidRPr="00F76596">
        <w:t xml:space="preserve"> requirement</w:t>
      </w:r>
      <w:r w:rsidR="00E84DD4" w:rsidRPr="00F76596">
        <w:t>s</w:t>
      </w:r>
      <w:r w:rsidRPr="00F76596">
        <w:t xml:space="preserve"> of </w:t>
      </w:r>
      <w:r w:rsidR="005278F5" w:rsidRPr="00F76596">
        <w:t xml:space="preserve">subrule (1) and </w:t>
      </w:r>
      <w:r w:rsidR="00603669" w:rsidRPr="00F76596">
        <w:t xml:space="preserve">this Part </w:t>
      </w:r>
      <w:r w:rsidRPr="00F76596">
        <w:t xml:space="preserve">that would otherwise apply to the Reporting Entity </w:t>
      </w:r>
      <w:r w:rsidR="00966F65" w:rsidRPr="00F76596">
        <w:t>in relation to a Reportable Transaction</w:t>
      </w:r>
      <w:r w:rsidR="002E0C05" w:rsidRPr="00F76596">
        <w:t xml:space="preserve"> or a </w:t>
      </w:r>
      <w:r w:rsidR="00503FA8" w:rsidRPr="00F76596">
        <w:t xml:space="preserve">Reportable Position </w:t>
      </w:r>
      <w:r w:rsidRPr="00F76596">
        <w:t xml:space="preserve">if, at the time the </w:t>
      </w:r>
      <w:r w:rsidR="000B2B8E" w:rsidRPr="00F76596">
        <w:t>Reporting Entity</w:t>
      </w:r>
      <w:r w:rsidRPr="00F76596">
        <w:t xml:space="preserve"> is required to </w:t>
      </w:r>
      <w:r w:rsidR="000B2B8E" w:rsidRPr="00F76596">
        <w:t>comply with th</w:t>
      </w:r>
      <w:r w:rsidR="00603669" w:rsidRPr="00F76596">
        <w:t>e requirement</w:t>
      </w:r>
      <w:r w:rsidR="00E84DD4" w:rsidRPr="00F76596">
        <w:t>s</w:t>
      </w:r>
      <w:r w:rsidR="004425AA" w:rsidRPr="00F76596">
        <w:t>:</w:t>
      </w:r>
    </w:p>
    <w:p w14:paraId="4CB69F57" w14:textId="77777777" w:rsidR="004425AA" w:rsidRPr="00F76596" w:rsidRDefault="004425AA" w:rsidP="004425AA">
      <w:pPr>
        <w:pStyle w:val="MIRSubpara"/>
      </w:pPr>
      <w:r w:rsidRPr="00F76596">
        <w:lastRenderedPageBreak/>
        <w:t xml:space="preserve">there is no Licensed Repository authorised to </w:t>
      </w:r>
      <w:r w:rsidR="00E470FC" w:rsidRPr="00F76596">
        <w:t>provide services in respect of the</w:t>
      </w:r>
      <w:r w:rsidRPr="00F76596">
        <w:t xml:space="preserve"> class of Derivatives that includes the Derivatives to which the Reportable Transaction or Reportable Position relates; and</w:t>
      </w:r>
    </w:p>
    <w:p w14:paraId="150B992F" w14:textId="77777777" w:rsidR="005C36C3" w:rsidRPr="00F76596" w:rsidRDefault="004425AA" w:rsidP="004425AA">
      <w:pPr>
        <w:pStyle w:val="MIRSubpara"/>
      </w:pPr>
      <w:r w:rsidRPr="00F76596">
        <w:t xml:space="preserve">there is </w:t>
      </w:r>
      <w:r w:rsidR="00FF45DA" w:rsidRPr="00F76596">
        <w:t xml:space="preserve">no </w:t>
      </w:r>
      <w:r w:rsidRPr="00F76596">
        <w:t xml:space="preserve">Prescribed Repository that is prescribed in relation to </w:t>
      </w:r>
      <w:r w:rsidR="000F4BA8" w:rsidRPr="00F76596">
        <w:t>the</w:t>
      </w:r>
      <w:r w:rsidRPr="00F76596">
        <w:t xml:space="preserve"> class of Derivatives that includes the Derivatives to which the Reportable Transaction or Reportable Position relates</w:t>
      </w:r>
      <w:r w:rsidR="00213C44" w:rsidRPr="00F76596">
        <w:t>.</w:t>
      </w:r>
    </w:p>
    <w:p w14:paraId="79006BF9" w14:textId="77777777" w:rsidR="00C06FDD" w:rsidRPr="00F76596" w:rsidRDefault="00AD4B62" w:rsidP="00F55A6A">
      <w:pPr>
        <w:pStyle w:val="MIRHeading5"/>
      </w:pPr>
      <w:r w:rsidRPr="00F76596">
        <w:t>E</w:t>
      </w:r>
      <w:r w:rsidR="00AC7491" w:rsidRPr="00F76596">
        <w:t>xception</w:t>
      </w:r>
      <w:r w:rsidR="00C06FDD" w:rsidRPr="00F76596">
        <w:t xml:space="preserve"> for foreign entities</w:t>
      </w:r>
    </w:p>
    <w:p w14:paraId="203B2FBD" w14:textId="77777777" w:rsidR="00135471" w:rsidRPr="00F76596" w:rsidRDefault="00135471" w:rsidP="0033170A">
      <w:pPr>
        <w:pStyle w:val="MIRBodyText"/>
      </w:pPr>
      <w:r w:rsidRPr="00F76596">
        <w:t xml:space="preserve">(3) A Reporting Entity </w:t>
      </w:r>
      <w:r w:rsidR="005415D7" w:rsidRPr="00F76596">
        <w:t>other than an Australian Entity</w:t>
      </w:r>
      <w:r w:rsidR="00F533EE" w:rsidRPr="00F76596">
        <w:t xml:space="preserve"> or an RE or Trustee acting in its capacity as RE or Trustee of an Australian Entity,</w:t>
      </w:r>
      <w:r w:rsidR="005415D7" w:rsidRPr="00F76596">
        <w:t xml:space="preserve"> </w:t>
      </w:r>
      <w:r w:rsidRPr="00F76596">
        <w:t xml:space="preserve">is not required to comply with the requirements of subrule (1) </w:t>
      </w:r>
      <w:r w:rsidR="0049481F" w:rsidRPr="00F76596">
        <w:t xml:space="preserve">and this Part </w:t>
      </w:r>
      <w:r w:rsidRPr="00F76596">
        <w:t>that would otherwise apply to the Reporting Entity</w:t>
      </w:r>
      <w:r w:rsidR="001305FF" w:rsidRPr="00F76596">
        <w:t xml:space="preserve"> in relation to a Reportable Transaction or a</w:t>
      </w:r>
      <w:r w:rsidR="00D27930" w:rsidRPr="00F76596">
        <w:t xml:space="preserve"> Reportable Position</w:t>
      </w:r>
      <w:r w:rsidR="00D74E31" w:rsidRPr="00F76596">
        <w:t xml:space="preserve"> if, at the time the Reporting Entity is required to comply with </w:t>
      </w:r>
      <w:r w:rsidR="00D9614A" w:rsidRPr="00F76596">
        <w:t>the requirement</w:t>
      </w:r>
      <w:r w:rsidR="009A2063" w:rsidRPr="00F76596">
        <w:t>s</w:t>
      </w:r>
      <w:r w:rsidR="002B14FC" w:rsidRPr="00F76596">
        <w:t>:</w:t>
      </w:r>
    </w:p>
    <w:p w14:paraId="19A317F1" w14:textId="77777777" w:rsidR="008E6BC8" w:rsidRPr="00AE46B3" w:rsidRDefault="008E6BC8" w:rsidP="008E6BC8">
      <w:pPr>
        <w:pStyle w:val="MIRSubpara"/>
        <w:numPr>
          <w:ilvl w:val="1"/>
          <w:numId w:val="54"/>
        </w:numPr>
      </w:pPr>
      <w:r w:rsidRPr="00AE46B3">
        <w:t>the Reporting Entity is</w:t>
      </w:r>
      <w:r>
        <w:t xml:space="preserve"> subject </w:t>
      </w:r>
      <w:r w:rsidRPr="00AE46B3">
        <w:t xml:space="preserve">to reporting requirements </w:t>
      </w:r>
      <w:r>
        <w:t>(</w:t>
      </w:r>
      <w:r w:rsidRPr="00C176E6">
        <w:rPr>
          <w:b/>
          <w:i/>
        </w:rPr>
        <w:t>Alternative Reporting Requirements</w:t>
      </w:r>
      <w:r>
        <w:t>)</w:t>
      </w:r>
      <w:r w:rsidRPr="00AE46B3">
        <w:t xml:space="preserve"> in </w:t>
      </w:r>
      <w:r>
        <w:t xml:space="preserve">one or more </w:t>
      </w:r>
      <w:r w:rsidRPr="00A80FA1">
        <w:t>foreign jurisdiction</w:t>
      </w:r>
      <w:r>
        <w:t>s</w:t>
      </w:r>
      <w:r w:rsidRPr="00AE46B3">
        <w:t xml:space="preserve"> (in this Rule, </w:t>
      </w:r>
      <w:r>
        <w:t>each, a</w:t>
      </w:r>
      <w:r w:rsidRPr="00AE46B3">
        <w:t xml:space="preserve"> </w:t>
      </w:r>
      <w:r w:rsidRPr="00C176E6">
        <w:rPr>
          <w:b/>
          <w:i/>
        </w:rPr>
        <w:t>Foreign Jurisdiction</w:t>
      </w:r>
      <w:r w:rsidRPr="00AE46B3">
        <w:t xml:space="preserve">) that are substantially equivalent to the Reporting Requirements under these Rules; </w:t>
      </w:r>
      <w:r>
        <w:t>and</w:t>
      </w:r>
    </w:p>
    <w:p w14:paraId="20DA2775" w14:textId="77777777" w:rsidR="008E6BC8" w:rsidRPr="00AE46B3" w:rsidRDefault="008E6BC8" w:rsidP="008E6BC8">
      <w:pPr>
        <w:pStyle w:val="MIRSubpara"/>
        <w:numPr>
          <w:ilvl w:val="1"/>
          <w:numId w:val="53"/>
        </w:numPr>
      </w:pPr>
      <w:r>
        <w:t>either:</w:t>
      </w:r>
    </w:p>
    <w:p w14:paraId="6C28821A" w14:textId="77777777" w:rsidR="008E6BC8" w:rsidRDefault="008E6BC8" w:rsidP="008E6BC8">
      <w:pPr>
        <w:pStyle w:val="MIRSubsubpara"/>
      </w:pPr>
      <w:r w:rsidRPr="00AE46B3">
        <w:t>the Reporting Entity or another entity has:</w:t>
      </w:r>
    </w:p>
    <w:p w14:paraId="69140E0A" w14:textId="77777777" w:rsidR="008E6BC8" w:rsidRPr="00AE46B3" w:rsidRDefault="008E6BC8" w:rsidP="008E6BC8">
      <w:pPr>
        <w:pStyle w:val="MIRsubsubsubpara"/>
      </w:pPr>
      <w:r w:rsidRPr="00AE46B3">
        <w:t xml:space="preserve">reported information about the Reportable Transaction or the Reportable Position to a Prescribed Repository, in compliance with the </w:t>
      </w:r>
      <w:r>
        <w:t>Alternative R</w:t>
      </w:r>
      <w:r w:rsidRPr="00AE46B3">
        <w:t xml:space="preserve">eporting </w:t>
      </w:r>
      <w:r>
        <w:t>R</w:t>
      </w:r>
      <w:r w:rsidRPr="00AE46B3">
        <w:t xml:space="preserve">equirements in </w:t>
      </w:r>
      <w:r>
        <w:t>at least one</w:t>
      </w:r>
      <w:r w:rsidRPr="00AE46B3">
        <w:t xml:space="preserve"> Foreign Jurisdiction; and</w:t>
      </w:r>
    </w:p>
    <w:p w14:paraId="416B735E" w14:textId="77777777" w:rsidR="008E6BC8" w:rsidRDefault="008E6BC8" w:rsidP="008E6BC8">
      <w:pPr>
        <w:pStyle w:val="MIRsubsubsubpara"/>
      </w:pPr>
      <w:r w:rsidRPr="00AE46B3">
        <w:t xml:space="preserve">designated the information reported under paragraph (a) as information that </w:t>
      </w:r>
      <w:r w:rsidRPr="006726BF">
        <w:t>has been reported under these Rules</w:t>
      </w:r>
      <w:r w:rsidRPr="00AE46B3">
        <w:t>; or</w:t>
      </w:r>
    </w:p>
    <w:p w14:paraId="5235BFE7" w14:textId="77777777" w:rsidR="008E6BC8" w:rsidRDefault="008E6BC8" w:rsidP="008E6BC8">
      <w:pPr>
        <w:pStyle w:val="MIRSubsubpara"/>
      </w:pPr>
      <w:r w:rsidRPr="00AE46B3">
        <w:t xml:space="preserve">the Reporting Entity is exempt from the requirement in </w:t>
      </w:r>
      <w:r>
        <w:t xml:space="preserve">all of </w:t>
      </w:r>
      <w:r w:rsidRPr="00AE46B3">
        <w:t>the Foreign Jurisdiction</w:t>
      </w:r>
      <w:r>
        <w:t>s</w:t>
      </w:r>
      <w:r w:rsidRPr="00AE46B3">
        <w:t xml:space="preserve"> to report information about the Reportable Transaction or the Reportable Position, or there is no requirement in</w:t>
      </w:r>
      <w:r>
        <w:t xml:space="preserve"> any of</w:t>
      </w:r>
      <w:r w:rsidRPr="00AE46B3">
        <w:t xml:space="preserve"> the Foreign Jurisdiction</w:t>
      </w:r>
      <w:r>
        <w:t>s</w:t>
      </w:r>
      <w:r w:rsidRPr="00AE46B3">
        <w:t xml:space="preserve"> to report information about the Reportable Transaction or Reportable Position</w:t>
      </w:r>
      <w:r>
        <w:t>.</w:t>
      </w:r>
    </w:p>
    <w:p w14:paraId="730FEA30" w14:textId="77777777" w:rsidR="00BF66BE" w:rsidRDefault="00BF66BE" w:rsidP="00BF66BE">
      <w:pPr>
        <w:pStyle w:val="MIRBodyText"/>
      </w:pPr>
      <w:r>
        <w:t>(4) Sub-subparagraph (3)(b)(</w:t>
      </w:r>
      <w:proofErr w:type="spellStart"/>
      <w:r>
        <w:t>i</w:t>
      </w:r>
      <w:proofErr w:type="spellEnd"/>
      <w:r>
        <w:t>)(B) does not apply until 13 April 2015.</w:t>
      </w:r>
    </w:p>
    <w:p w14:paraId="1F2FBEAC" w14:textId="77777777" w:rsidR="00872A03" w:rsidRPr="00F76596" w:rsidRDefault="00872A03" w:rsidP="00872A03">
      <w:pPr>
        <w:pStyle w:val="MIRHeading3Rule"/>
      </w:pPr>
      <w:r w:rsidRPr="00F76596">
        <w:t>2.2.</w:t>
      </w:r>
      <w:r w:rsidR="00700665" w:rsidRPr="00F76596">
        <w:t>2</w:t>
      </w:r>
      <w:r w:rsidRPr="00F76596">
        <w:tab/>
      </w:r>
      <w:r w:rsidR="00A433F7" w:rsidRPr="00F76596">
        <w:t>Reporting Requirement</w:t>
      </w:r>
      <w:r w:rsidR="009A09BA" w:rsidRPr="00F76596">
        <w:t>—</w:t>
      </w:r>
      <w:r w:rsidRPr="00F76596">
        <w:t>Changes</w:t>
      </w:r>
    </w:p>
    <w:p w14:paraId="05B29B2A" w14:textId="77777777" w:rsidR="00C42BFD" w:rsidRPr="00F76596" w:rsidRDefault="00C42BFD" w:rsidP="004E728C">
      <w:pPr>
        <w:pStyle w:val="MIRBodyText"/>
        <w:numPr>
          <w:ilvl w:val="0"/>
          <w:numId w:val="0"/>
        </w:numPr>
        <w:ind w:left="851"/>
      </w:pPr>
      <w:r w:rsidRPr="00F76596">
        <w:t xml:space="preserve">(1) </w:t>
      </w:r>
      <w:r w:rsidR="00872A03" w:rsidRPr="00F76596">
        <w:t>Where a Reporting Entity</w:t>
      </w:r>
      <w:r w:rsidR="00A136DD" w:rsidRPr="00F76596">
        <w:t xml:space="preserve"> </w:t>
      </w:r>
      <w:r w:rsidR="00872A03" w:rsidRPr="00F76596">
        <w:t>has reported in</w:t>
      </w:r>
      <w:r w:rsidR="003E4014" w:rsidRPr="00F76596">
        <w:t>formation</w:t>
      </w:r>
      <w:r w:rsidR="00843BDB" w:rsidRPr="00F76596">
        <w:t xml:space="preserve"> about a Reportable Transaction</w:t>
      </w:r>
      <w:r w:rsidR="00F202AB" w:rsidRPr="00F76596">
        <w:t xml:space="preserve"> or </w:t>
      </w:r>
      <w:r w:rsidR="00F630F1" w:rsidRPr="00F76596">
        <w:t xml:space="preserve">Reportable Position </w:t>
      </w:r>
      <w:r w:rsidR="00D47C70" w:rsidRPr="00F76596">
        <w:t xml:space="preserve">in accordance with </w:t>
      </w:r>
      <w:r w:rsidR="00672908" w:rsidRPr="00F76596">
        <w:t>subr</w:t>
      </w:r>
      <w:r w:rsidR="00D47C70" w:rsidRPr="00F76596">
        <w:t>ule 2.2.1</w:t>
      </w:r>
      <w:r w:rsidR="00672908" w:rsidRPr="00F76596">
        <w:t>(1)</w:t>
      </w:r>
      <w:r w:rsidR="00A136DD" w:rsidRPr="00F76596">
        <w:t xml:space="preserve"> and </w:t>
      </w:r>
      <w:r w:rsidR="00872A03" w:rsidRPr="00F76596">
        <w:t>there is a change to th</w:t>
      </w:r>
      <w:r w:rsidR="002432B2" w:rsidRPr="00F76596">
        <w:t>e</w:t>
      </w:r>
      <w:r w:rsidR="00872A03" w:rsidRPr="00F76596">
        <w:t xml:space="preserve"> information</w:t>
      </w:r>
      <w:r w:rsidR="002432B2" w:rsidRPr="00F76596">
        <w:t xml:space="preserve"> reported</w:t>
      </w:r>
      <w:r w:rsidR="00A136DD" w:rsidRPr="00F76596">
        <w:t xml:space="preserve"> that</w:t>
      </w:r>
      <w:r w:rsidR="003608A2" w:rsidRPr="00F76596">
        <w:t xml:space="preserve"> does not constitute a Reportable Transaction,</w:t>
      </w:r>
      <w:r w:rsidR="00A136DD" w:rsidRPr="00F76596">
        <w:t xml:space="preserve"> </w:t>
      </w:r>
      <w:r w:rsidR="00872A03" w:rsidRPr="00F76596">
        <w:t>the Reporting Entity must report the change</w:t>
      </w:r>
      <w:r w:rsidR="004E728C" w:rsidRPr="00F76596">
        <w:t>, and also the applicable information about the change set out in item 55 of Table S2.1(1),</w:t>
      </w:r>
      <w:r w:rsidR="00125C56" w:rsidRPr="00F76596">
        <w:t xml:space="preserve"> in accordance with </w:t>
      </w:r>
      <w:r w:rsidR="005E2AED" w:rsidRPr="00F76596">
        <w:t xml:space="preserve">the requirements of </w:t>
      </w:r>
      <w:r w:rsidR="00125C56" w:rsidRPr="00F76596">
        <w:t>this Part</w:t>
      </w:r>
      <w:r w:rsidR="009A09BA" w:rsidRPr="00F76596">
        <w:t xml:space="preserve">. </w:t>
      </w:r>
    </w:p>
    <w:p w14:paraId="2FF74318" w14:textId="77777777" w:rsidR="00314095" w:rsidRPr="00F76596" w:rsidRDefault="00314095" w:rsidP="00872A03">
      <w:pPr>
        <w:pStyle w:val="MIRBodyText"/>
      </w:pPr>
      <w:r w:rsidRPr="00F76596">
        <w:t>(2) Without limiting subrule (1)</w:t>
      </w:r>
      <w:r w:rsidR="00CE1278" w:rsidRPr="00F76596">
        <w:t xml:space="preserve"> and subject to subrule (3)</w:t>
      </w:r>
      <w:r w:rsidRPr="00F76596">
        <w:t>, a Reporting Entity must report</w:t>
      </w:r>
      <w:r w:rsidR="009B232E" w:rsidRPr="00F76596">
        <w:t>:</w:t>
      </w:r>
    </w:p>
    <w:p w14:paraId="3BD5C955" w14:textId="77777777" w:rsidR="00314095" w:rsidRPr="00F76596" w:rsidRDefault="000246BC" w:rsidP="00314095">
      <w:pPr>
        <w:pStyle w:val="MIRSubpara"/>
      </w:pPr>
      <w:r w:rsidRPr="00F76596">
        <w:t xml:space="preserve">each </w:t>
      </w:r>
      <w:r w:rsidR="00FC57BA" w:rsidRPr="00F76596">
        <w:t>updated</w:t>
      </w:r>
      <w:r w:rsidR="00314095" w:rsidRPr="00F76596">
        <w:t xml:space="preserve"> m</w:t>
      </w:r>
      <w:r w:rsidR="00FC57BA" w:rsidRPr="00F76596">
        <w:t>ark-to-market</w:t>
      </w:r>
      <w:r w:rsidR="003A4C9D" w:rsidRPr="00F76596">
        <w:t>, mark-to-model or other</w:t>
      </w:r>
      <w:r w:rsidR="00FC57BA" w:rsidRPr="00F76596">
        <w:t xml:space="preserve"> valuation of the </w:t>
      </w:r>
      <w:r w:rsidR="005821AE" w:rsidRPr="00F76596">
        <w:t>OTC Derivative</w:t>
      </w:r>
      <w:r w:rsidR="001E3BE0" w:rsidRPr="00F76596">
        <w:t xml:space="preserve"> to which the Reportable Transaction </w:t>
      </w:r>
      <w:r w:rsidR="005B63BF" w:rsidRPr="00F76596">
        <w:t xml:space="preserve">or Reportable Position </w:t>
      </w:r>
      <w:r w:rsidR="001E3BE0" w:rsidRPr="00F76596">
        <w:t>relates,</w:t>
      </w:r>
      <w:r w:rsidR="00FC57BA" w:rsidRPr="00F76596">
        <w:t xml:space="preserve"> </w:t>
      </w:r>
      <w:r w:rsidR="0046661C" w:rsidRPr="00F76596">
        <w:t xml:space="preserve">whether </w:t>
      </w:r>
      <w:r w:rsidR="00D83727" w:rsidRPr="00F76596">
        <w:t xml:space="preserve">performed </w:t>
      </w:r>
      <w:r w:rsidR="00FC57BA" w:rsidRPr="00F76596">
        <w:t xml:space="preserve">by the Reporting Entity or </w:t>
      </w:r>
      <w:r w:rsidR="002728D6" w:rsidRPr="00F76596">
        <w:t>by another person on behalf of the Reporting Entity</w:t>
      </w:r>
      <w:r w:rsidR="00FC57BA" w:rsidRPr="00F76596">
        <w:t>;</w:t>
      </w:r>
      <w:r w:rsidR="00FC7D63" w:rsidRPr="00F76596">
        <w:t xml:space="preserve"> and</w:t>
      </w:r>
    </w:p>
    <w:p w14:paraId="1399A503" w14:textId="77777777" w:rsidR="00FC57BA" w:rsidRPr="00F76596" w:rsidRDefault="00D47ADF" w:rsidP="00314095">
      <w:pPr>
        <w:pStyle w:val="MIRSubpara"/>
      </w:pPr>
      <w:r w:rsidRPr="00F76596">
        <w:lastRenderedPageBreak/>
        <w:t xml:space="preserve">each </w:t>
      </w:r>
      <w:r w:rsidR="00A20137" w:rsidRPr="00F76596">
        <w:t>change to the collatera</w:t>
      </w:r>
      <w:r w:rsidR="00755DBF" w:rsidRPr="00F76596">
        <w:t xml:space="preserve">l </w:t>
      </w:r>
      <w:r w:rsidR="00A20137" w:rsidRPr="00F76596">
        <w:t>held in relation to the</w:t>
      </w:r>
      <w:r w:rsidR="005E57E6" w:rsidRPr="00F76596">
        <w:t xml:space="preserve"> </w:t>
      </w:r>
      <w:r w:rsidR="00561966" w:rsidRPr="00F76596">
        <w:t>OTC Derivative</w:t>
      </w:r>
      <w:r w:rsidR="00D2464E" w:rsidRPr="00F76596">
        <w:rPr>
          <w:szCs w:val="20"/>
        </w:rPr>
        <w:t xml:space="preserve"> </w:t>
      </w:r>
      <w:r w:rsidR="00D2464E" w:rsidRPr="00F76596">
        <w:t>to which the Reportable Transaction or Reportable Position relates</w:t>
      </w:r>
      <w:r w:rsidR="00A20137" w:rsidRPr="00F76596">
        <w:t>.</w:t>
      </w:r>
    </w:p>
    <w:p w14:paraId="085C237C" w14:textId="77777777" w:rsidR="000A44AE" w:rsidRPr="00F76596" w:rsidRDefault="00A20137" w:rsidP="0015128F">
      <w:pPr>
        <w:pStyle w:val="MIRBodyText"/>
      </w:pPr>
      <w:r w:rsidRPr="00F76596">
        <w:t xml:space="preserve">(3) </w:t>
      </w:r>
      <w:r w:rsidR="00691DA1" w:rsidRPr="00F76596">
        <w:t>If</w:t>
      </w:r>
      <w:r w:rsidR="00D83727" w:rsidRPr="00F76596">
        <w:t xml:space="preserve"> </w:t>
      </w:r>
      <w:r w:rsidR="005210AC" w:rsidRPr="00F76596">
        <w:t xml:space="preserve">there is more than one </w:t>
      </w:r>
      <w:r w:rsidR="00056A7B" w:rsidRPr="00F76596">
        <w:t xml:space="preserve">update or </w:t>
      </w:r>
      <w:r w:rsidR="005210AC" w:rsidRPr="00F76596">
        <w:t>change</w:t>
      </w:r>
      <w:r w:rsidR="001100A5" w:rsidRPr="00F76596">
        <w:t xml:space="preserve"> of the kind</w:t>
      </w:r>
      <w:r w:rsidR="005210AC" w:rsidRPr="00F76596">
        <w:t xml:space="preserve"> referred to in paragraphs (2)(a) </w:t>
      </w:r>
      <w:r w:rsidR="00A205E5" w:rsidRPr="00F76596">
        <w:t>or</w:t>
      </w:r>
      <w:r w:rsidR="005210AC" w:rsidRPr="00F76596">
        <w:t xml:space="preserve"> (b)</w:t>
      </w:r>
      <w:r w:rsidR="00D83727" w:rsidRPr="00F76596">
        <w:t xml:space="preserve"> </w:t>
      </w:r>
      <w:r w:rsidR="00FB3F07" w:rsidRPr="00F76596">
        <w:t>during a</w:t>
      </w:r>
      <w:r w:rsidR="00D83727" w:rsidRPr="00F76596">
        <w:t xml:space="preserve"> </w:t>
      </w:r>
      <w:r w:rsidR="00691DA1" w:rsidRPr="00F76596">
        <w:t>Business D</w:t>
      </w:r>
      <w:r w:rsidR="00D83727" w:rsidRPr="00F76596">
        <w:t xml:space="preserve">ay, the Reporting Entity is </w:t>
      </w:r>
      <w:r w:rsidR="007024EB" w:rsidRPr="00F76596">
        <w:t>only</w:t>
      </w:r>
      <w:r w:rsidR="00D83727" w:rsidRPr="00F76596">
        <w:t xml:space="preserve"> required to report the </w:t>
      </w:r>
      <w:r w:rsidR="00056A7B" w:rsidRPr="00F76596">
        <w:t xml:space="preserve">update or </w:t>
      </w:r>
      <w:r w:rsidR="005210AC" w:rsidRPr="00F76596">
        <w:t>change</w:t>
      </w:r>
      <w:r w:rsidR="005E5101" w:rsidRPr="00F76596">
        <w:t xml:space="preserve"> that occurs closest to the end of</w:t>
      </w:r>
      <w:r w:rsidR="00D83727" w:rsidRPr="00F76596">
        <w:t xml:space="preserve"> </w:t>
      </w:r>
      <w:r w:rsidR="00487DDB" w:rsidRPr="00F76596">
        <w:t>that</w:t>
      </w:r>
      <w:r w:rsidR="00D83727" w:rsidRPr="00F76596">
        <w:t xml:space="preserve"> Business Day.</w:t>
      </w:r>
    </w:p>
    <w:p w14:paraId="4B73DF56" w14:textId="77777777" w:rsidR="003F14C8" w:rsidRPr="00F76596" w:rsidRDefault="003F14C8" w:rsidP="00CB08B1">
      <w:pPr>
        <w:pStyle w:val="MIRHeading3Rule"/>
      </w:pPr>
      <w:r w:rsidRPr="00F76596">
        <w:t>2.</w:t>
      </w:r>
      <w:r w:rsidR="00B50F1E" w:rsidRPr="00F76596">
        <w:t>2</w:t>
      </w:r>
      <w:r w:rsidRPr="00F76596">
        <w:t>.</w:t>
      </w:r>
      <w:r w:rsidR="008E05B0" w:rsidRPr="00F76596">
        <w:t>3</w:t>
      </w:r>
      <w:r w:rsidRPr="00F76596">
        <w:tab/>
      </w:r>
      <w:r w:rsidR="00A433F7" w:rsidRPr="00F76596">
        <w:t>Reporting Requirement</w:t>
      </w:r>
      <w:r w:rsidR="009A09BA" w:rsidRPr="00F76596">
        <w:t>—</w:t>
      </w:r>
      <w:r w:rsidRPr="00F76596">
        <w:t>Timing</w:t>
      </w:r>
      <w:r w:rsidR="00F518AB" w:rsidRPr="00F76596">
        <w:t xml:space="preserve"> (</w:t>
      </w:r>
      <w:r w:rsidR="00A03BE5" w:rsidRPr="00F76596">
        <w:t>generally,</w:t>
      </w:r>
      <w:r w:rsidR="00F518AB" w:rsidRPr="00F76596">
        <w:t xml:space="preserve"> T+1)</w:t>
      </w:r>
    </w:p>
    <w:p w14:paraId="374BC9AC" w14:textId="77777777" w:rsidR="008704E8" w:rsidRPr="00F76596" w:rsidRDefault="00D1026A" w:rsidP="006C4818">
      <w:pPr>
        <w:pStyle w:val="MIRBodyText"/>
        <w:keepNext/>
      </w:pPr>
      <w:r w:rsidRPr="00F76596">
        <w:t>(1) Subject to subrule (</w:t>
      </w:r>
      <w:r w:rsidR="002C04EE" w:rsidRPr="00F76596">
        <w:t>2</w:t>
      </w:r>
      <w:r w:rsidRPr="00F76596">
        <w:t>), a</w:t>
      </w:r>
      <w:r w:rsidR="002535DF" w:rsidRPr="00F76596">
        <w:t xml:space="preserve"> Reporting Entity </w:t>
      </w:r>
      <w:r w:rsidR="00EC0E43" w:rsidRPr="00F76596">
        <w:t>that is required to report</w:t>
      </w:r>
      <w:r w:rsidR="008704E8" w:rsidRPr="00F76596">
        <w:t>:</w:t>
      </w:r>
    </w:p>
    <w:p w14:paraId="7184A6BF" w14:textId="77777777" w:rsidR="008704E8" w:rsidRPr="00F76596" w:rsidRDefault="003F49A4" w:rsidP="008704E8">
      <w:pPr>
        <w:pStyle w:val="MIRSubpara"/>
      </w:pPr>
      <w:r w:rsidRPr="00F76596">
        <w:t>in</w:t>
      </w:r>
      <w:r w:rsidR="004074FF" w:rsidRPr="00F76596">
        <w:t xml:space="preserve">formation </w:t>
      </w:r>
      <w:r w:rsidR="005E7A6B" w:rsidRPr="00F76596">
        <w:t xml:space="preserve">about a </w:t>
      </w:r>
      <w:r w:rsidR="00924410" w:rsidRPr="00F76596">
        <w:t>Reportable</w:t>
      </w:r>
      <w:r w:rsidRPr="00F76596">
        <w:t xml:space="preserve"> Transaction</w:t>
      </w:r>
      <w:r w:rsidR="00122F6C" w:rsidRPr="00F76596">
        <w:t xml:space="preserve"> in accordance with </w:t>
      </w:r>
      <w:r w:rsidR="00352569" w:rsidRPr="00F76596">
        <w:t>paragraph</w:t>
      </w:r>
      <w:r w:rsidR="00122F6C" w:rsidRPr="00F76596">
        <w:t xml:space="preserve"> 2.2.1</w:t>
      </w:r>
      <w:r w:rsidR="005E5817" w:rsidRPr="00F76596">
        <w:t>(1)</w:t>
      </w:r>
      <w:r w:rsidR="00352569" w:rsidRPr="00F76596">
        <w:t>(a)</w:t>
      </w:r>
      <w:r w:rsidR="00204138" w:rsidRPr="00F76596">
        <w:t xml:space="preserve"> </w:t>
      </w:r>
      <w:r w:rsidR="00336C4B" w:rsidRPr="00F76596">
        <w:t>or</w:t>
      </w:r>
      <w:r w:rsidR="00204138" w:rsidRPr="00F76596">
        <w:t xml:space="preserve"> (c)</w:t>
      </w:r>
      <w:r w:rsidR="008704E8" w:rsidRPr="00F76596">
        <w:t>;</w:t>
      </w:r>
      <w:r w:rsidR="006C4818" w:rsidRPr="00F76596">
        <w:t xml:space="preserve"> </w:t>
      </w:r>
      <w:r w:rsidR="008D1C73" w:rsidRPr="00F76596">
        <w:t>or</w:t>
      </w:r>
    </w:p>
    <w:p w14:paraId="08FDD05F" w14:textId="77777777" w:rsidR="008704E8" w:rsidRPr="00F76596" w:rsidRDefault="00AB4268" w:rsidP="008704E8">
      <w:pPr>
        <w:pStyle w:val="MIRSubpara"/>
      </w:pPr>
      <w:r w:rsidRPr="00F76596">
        <w:t xml:space="preserve">a </w:t>
      </w:r>
      <w:r w:rsidR="008704E8" w:rsidRPr="00F76596">
        <w:t>change to information</w:t>
      </w:r>
      <w:r w:rsidR="00E263DA" w:rsidRPr="00F76596">
        <w:t xml:space="preserve"> about a Reportable Transaction or Reportable Position</w:t>
      </w:r>
      <w:r w:rsidR="005E7A6B" w:rsidRPr="00F76596">
        <w:rPr>
          <w:szCs w:val="20"/>
        </w:rPr>
        <w:t xml:space="preserve"> </w:t>
      </w:r>
      <w:r w:rsidR="008704E8" w:rsidRPr="00F76596">
        <w:t xml:space="preserve">in accordance with </w:t>
      </w:r>
      <w:r w:rsidR="00F30723" w:rsidRPr="00F76596">
        <w:t xml:space="preserve">subrule </w:t>
      </w:r>
      <w:r w:rsidR="008704E8" w:rsidRPr="00F76596">
        <w:t>2.2.2</w:t>
      </w:r>
      <w:r w:rsidR="00A03BE5" w:rsidRPr="00F76596">
        <w:t>(1)</w:t>
      </w:r>
      <w:r w:rsidR="008704E8" w:rsidRPr="00F76596">
        <w:t>,</w:t>
      </w:r>
    </w:p>
    <w:p w14:paraId="0C2F7E0B" w14:textId="77777777" w:rsidR="00927303" w:rsidRPr="00F76596" w:rsidRDefault="002535DF" w:rsidP="00994587">
      <w:pPr>
        <w:pStyle w:val="MIRBodyText"/>
      </w:pPr>
      <w:r w:rsidRPr="00F76596">
        <w:t xml:space="preserve">must report </w:t>
      </w:r>
      <w:r w:rsidR="004D51DA" w:rsidRPr="00F76596">
        <w:t>the information</w:t>
      </w:r>
      <w:r w:rsidR="007A0867" w:rsidRPr="00F76596">
        <w:t xml:space="preserve"> </w:t>
      </w:r>
      <w:r w:rsidR="00AD0B6B" w:rsidRPr="00F76596">
        <w:t xml:space="preserve">or change </w:t>
      </w:r>
      <w:r w:rsidRPr="00F76596">
        <w:t xml:space="preserve">by no later than the end of the </w:t>
      </w:r>
      <w:r w:rsidR="00A615EF" w:rsidRPr="00F76596">
        <w:t xml:space="preserve">next </w:t>
      </w:r>
      <w:r w:rsidRPr="00F76596">
        <w:t>Business Day</w:t>
      </w:r>
      <w:r w:rsidR="00582026" w:rsidRPr="00F76596">
        <w:t xml:space="preserve"> after the requirement</w:t>
      </w:r>
      <w:r w:rsidR="00E47645" w:rsidRPr="00F76596">
        <w:t xml:space="preserve"> to report the information or change arises</w:t>
      </w:r>
      <w:r w:rsidR="00927303" w:rsidRPr="00F76596">
        <w:t>.</w:t>
      </w:r>
    </w:p>
    <w:p w14:paraId="150321F3" w14:textId="77777777" w:rsidR="00D1026A" w:rsidRPr="00F76596" w:rsidRDefault="00D1026A" w:rsidP="00927303">
      <w:pPr>
        <w:pStyle w:val="MIRSubpara"/>
        <w:numPr>
          <w:ilvl w:val="0"/>
          <w:numId w:val="0"/>
        </w:numPr>
        <w:ind w:left="851"/>
      </w:pPr>
      <w:r w:rsidRPr="00F76596">
        <w:t>(</w:t>
      </w:r>
      <w:r w:rsidR="002C04EE" w:rsidRPr="00F76596">
        <w:t>2</w:t>
      </w:r>
      <w:r w:rsidRPr="00F76596">
        <w:t xml:space="preserve">) </w:t>
      </w:r>
      <w:r w:rsidR="00DC55C2" w:rsidRPr="00F76596">
        <w:t xml:space="preserve">If the </w:t>
      </w:r>
      <w:r w:rsidR="00F71E6D" w:rsidRPr="00F76596">
        <w:t>Licensed</w:t>
      </w:r>
      <w:r w:rsidR="00DC55C2" w:rsidRPr="00F76596">
        <w:t xml:space="preserve"> Repository</w:t>
      </w:r>
      <w:r w:rsidR="00F71E6D" w:rsidRPr="00F76596">
        <w:t xml:space="preserve"> or Prescribed Repository</w:t>
      </w:r>
      <w:r w:rsidR="00DC55C2" w:rsidRPr="00F76596">
        <w:t xml:space="preserve"> </w:t>
      </w:r>
      <w:r w:rsidR="00087296" w:rsidRPr="00F76596">
        <w:t>to which the</w:t>
      </w:r>
      <w:r w:rsidR="00741DC8" w:rsidRPr="00F76596">
        <w:t xml:space="preserve"> information</w:t>
      </w:r>
      <w:r w:rsidR="00F30723" w:rsidRPr="00F76596">
        <w:t xml:space="preserve"> or change</w:t>
      </w:r>
      <w:r w:rsidR="00087296" w:rsidRPr="00F76596">
        <w:t xml:space="preserve"> </w:t>
      </w:r>
      <w:r w:rsidR="00316158" w:rsidRPr="00F76596">
        <w:t>is</w:t>
      </w:r>
      <w:r w:rsidR="00087296" w:rsidRPr="00F76596">
        <w:t xml:space="preserve"> to be reported </w:t>
      </w:r>
      <w:r w:rsidR="00DC55C2" w:rsidRPr="00F76596">
        <w:t xml:space="preserve">is not </w:t>
      </w:r>
      <w:r w:rsidR="00495AE4" w:rsidRPr="00F76596">
        <w:t>available</w:t>
      </w:r>
      <w:r w:rsidR="00DC55C2" w:rsidRPr="00F76596">
        <w:t xml:space="preserve"> to accept the report of </w:t>
      </w:r>
      <w:r w:rsidR="007F5666" w:rsidRPr="00F76596">
        <w:t>information or changes</w:t>
      </w:r>
      <w:r w:rsidR="00DC55C2" w:rsidRPr="00F76596">
        <w:t xml:space="preserve"> </w:t>
      </w:r>
      <w:r w:rsidR="00B51E2E" w:rsidRPr="00F76596">
        <w:t xml:space="preserve">by the time required under subrule (1), the Reporting Entity must report the </w:t>
      </w:r>
      <w:r w:rsidR="007F5666" w:rsidRPr="00F76596">
        <w:t xml:space="preserve">information or changes </w:t>
      </w:r>
      <w:r w:rsidR="00B51E2E" w:rsidRPr="00F76596">
        <w:t xml:space="preserve">as soon as practicable after the </w:t>
      </w:r>
      <w:r w:rsidR="007D0B02" w:rsidRPr="00F76596">
        <w:t xml:space="preserve">Licensed </w:t>
      </w:r>
      <w:r w:rsidR="00B51E2E" w:rsidRPr="00F76596">
        <w:t>Reposit</w:t>
      </w:r>
      <w:r w:rsidR="008A1053" w:rsidRPr="00F76596">
        <w:t xml:space="preserve">ory </w:t>
      </w:r>
      <w:r w:rsidR="007D0B02" w:rsidRPr="00F76596">
        <w:t xml:space="preserve">or Prescribed Repository </w:t>
      </w:r>
      <w:r w:rsidR="008A1053" w:rsidRPr="00F76596">
        <w:t xml:space="preserve">becomes </w:t>
      </w:r>
      <w:r w:rsidR="00B51E2E" w:rsidRPr="00F76596">
        <w:t>available</w:t>
      </w:r>
      <w:r w:rsidR="00222E9B" w:rsidRPr="00F76596">
        <w:t xml:space="preserve"> to accept the report</w:t>
      </w:r>
      <w:r w:rsidR="00B51E2E" w:rsidRPr="00F76596">
        <w:t>.</w:t>
      </w:r>
    </w:p>
    <w:p w14:paraId="32DF3E45" w14:textId="77777777" w:rsidR="001C58DA" w:rsidRPr="00F76596" w:rsidRDefault="00591E35" w:rsidP="001C58DA">
      <w:pPr>
        <w:pStyle w:val="MIRHeading3Rule"/>
      </w:pPr>
      <w:r w:rsidRPr="00F76596">
        <w:t>2.</w:t>
      </w:r>
      <w:r w:rsidR="00B50F1E" w:rsidRPr="00F76596">
        <w:t>2</w:t>
      </w:r>
      <w:r w:rsidRPr="00F76596">
        <w:t>.</w:t>
      </w:r>
      <w:r w:rsidR="008E05B0" w:rsidRPr="00F76596">
        <w:t>4</w:t>
      </w:r>
      <w:r w:rsidRPr="00F76596">
        <w:tab/>
      </w:r>
      <w:r w:rsidR="000B2817" w:rsidRPr="00F76596">
        <w:t>Reporting Requirement</w:t>
      </w:r>
      <w:r w:rsidR="009A09BA" w:rsidRPr="00F76596">
        <w:t>—</w:t>
      </w:r>
      <w:r w:rsidRPr="00F76596">
        <w:t>Format</w:t>
      </w:r>
    </w:p>
    <w:p w14:paraId="3964B7A8" w14:textId="77777777" w:rsidR="00493655" w:rsidRPr="00F76596" w:rsidRDefault="00591E35" w:rsidP="000E0D97">
      <w:pPr>
        <w:pStyle w:val="MIRBodyText"/>
        <w:keepNext/>
      </w:pPr>
      <w:r w:rsidRPr="00F76596">
        <w:t xml:space="preserve">A Reporting Entity </w:t>
      </w:r>
      <w:r w:rsidR="00493655" w:rsidRPr="00F76596">
        <w:t>that is required to report:</w:t>
      </w:r>
    </w:p>
    <w:p w14:paraId="67E672A8" w14:textId="77777777" w:rsidR="00493655" w:rsidRPr="00F76596" w:rsidRDefault="003F49A4" w:rsidP="00493655">
      <w:pPr>
        <w:pStyle w:val="MIRSubpara"/>
      </w:pPr>
      <w:r w:rsidRPr="00F76596">
        <w:t>in</w:t>
      </w:r>
      <w:r w:rsidR="004074FF" w:rsidRPr="00F76596">
        <w:t xml:space="preserve">formation </w:t>
      </w:r>
      <w:r w:rsidR="00560491" w:rsidRPr="00F76596">
        <w:t xml:space="preserve">about a </w:t>
      </w:r>
      <w:r w:rsidR="0045532E" w:rsidRPr="00F76596">
        <w:t xml:space="preserve">Reportable </w:t>
      </w:r>
      <w:r w:rsidRPr="00F76596">
        <w:t>Transaction</w:t>
      </w:r>
      <w:r w:rsidR="00560491" w:rsidRPr="00F76596">
        <w:t xml:space="preserve"> or a </w:t>
      </w:r>
      <w:r w:rsidR="0045532E" w:rsidRPr="00F76596">
        <w:t>Reportable</w:t>
      </w:r>
      <w:r w:rsidR="00560491" w:rsidRPr="00F76596">
        <w:t xml:space="preserve"> </w:t>
      </w:r>
      <w:r w:rsidR="001E5E90" w:rsidRPr="00F76596">
        <w:t>Position</w:t>
      </w:r>
      <w:r w:rsidR="00122F6C" w:rsidRPr="00F76596">
        <w:t xml:space="preserve"> in accordance with </w:t>
      </w:r>
      <w:r w:rsidR="001255BB" w:rsidRPr="00F76596">
        <w:t>subr</w:t>
      </w:r>
      <w:r w:rsidR="00122F6C" w:rsidRPr="00F76596">
        <w:t>ule 2.2.1</w:t>
      </w:r>
      <w:r w:rsidR="001255BB" w:rsidRPr="00F76596">
        <w:t>(1)</w:t>
      </w:r>
      <w:r w:rsidR="00493655" w:rsidRPr="00F76596">
        <w:t>;</w:t>
      </w:r>
      <w:r w:rsidR="00832765" w:rsidRPr="00F76596">
        <w:t xml:space="preserve"> or</w:t>
      </w:r>
    </w:p>
    <w:p w14:paraId="0EC993F1" w14:textId="77777777" w:rsidR="00493655" w:rsidRPr="00F76596" w:rsidRDefault="006865AE" w:rsidP="00B30FFA">
      <w:pPr>
        <w:pStyle w:val="MIRSubpara"/>
      </w:pPr>
      <w:r w:rsidRPr="00F76596">
        <w:t xml:space="preserve">a </w:t>
      </w:r>
      <w:r w:rsidR="00493655" w:rsidRPr="00F76596">
        <w:t>change to information</w:t>
      </w:r>
      <w:r w:rsidR="0045532E" w:rsidRPr="00F76596">
        <w:t xml:space="preserve"> referred to in paragraph (a), </w:t>
      </w:r>
      <w:r w:rsidR="00493655" w:rsidRPr="00F76596">
        <w:t xml:space="preserve">in accordance with </w:t>
      </w:r>
      <w:r w:rsidR="001255BB" w:rsidRPr="00F76596">
        <w:t>subr</w:t>
      </w:r>
      <w:r w:rsidR="00493655" w:rsidRPr="00F76596">
        <w:t>ule</w:t>
      </w:r>
      <w:r w:rsidR="0081697A" w:rsidRPr="00F76596">
        <w:t> </w:t>
      </w:r>
      <w:r w:rsidR="00493655" w:rsidRPr="00F76596">
        <w:t>2.2.2</w:t>
      </w:r>
      <w:r w:rsidR="001255BB" w:rsidRPr="00F76596">
        <w:t>(1)</w:t>
      </w:r>
      <w:r w:rsidR="00493655" w:rsidRPr="00F76596">
        <w:t>,</w:t>
      </w:r>
    </w:p>
    <w:p w14:paraId="663D3028" w14:textId="77777777" w:rsidR="005509D3" w:rsidRPr="00F76596" w:rsidRDefault="00591E35" w:rsidP="00994587">
      <w:pPr>
        <w:pStyle w:val="MIRBodyText"/>
      </w:pPr>
      <w:r w:rsidRPr="00F76596">
        <w:t xml:space="preserve">must report </w:t>
      </w:r>
      <w:r w:rsidR="00493655" w:rsidRPr="00F76596">
        <w:t xml:space="preserve">the information </w:t>
      </w:r>
      <w:r w:rsidR="00783F02" w:rsidRPr="00F76596">
        <w:t>or</w:t>
      </w:r>
      <w:r w:rsidR="00493655" w:rsidRPr="00F76596">
        <w:t xml:space="preserve"> change in </w:t>
      </w:r>
      <w:r w:rsidRPr="00F76596">
        <w:t xml:space="preserve">an electronic form and in accordance with </w:t>
      </w:r>
      <w:r w:rsidR="00A57FA5" w:rsidRPr="00F76596">
        <w:t>any format requirements</w:t>
      </w:r>
      <w:r w:rsidR="006C4818" w:rsidRPr="00F76596">
        <w:t xml:space="preserve"> specified</w:t>
      </w:r>
      <w:r w:rsidR="005509D3" w:rsidRPr="00F76596">
        <w:t>:</w:t>
      </w:r>
    </w:p>
    <w:p w14:paraId="546D63CB" w14:textId="77777777" w:rsidR="005509D3" w:rsidRPr="00F76596" w:rsidRDefault="00A57FA5" w:rsidP="00BD7FD8">
      <w:pPr>
        <w:pStyle w:val="MIRSubpara"/>
        <w:numPr>
          <w:ilvl w:val="1"/>
          <w:numId w:val="16"/>
        </w:numPr>
      </w:pPr>
      <w:r w:rsidRPr="00F76596">
        <w:t>in these Rules</w:t>
      </w:r>
      <w:r w:rsidR="005509D3" w:rsidRPr="00F76596">
        <w:t>; and</w:t>
      </w:r>
    </w:p>
    <w:p w14:paraId="039A46DB" w14:textId="77777777" w:rsidR="005509D3" w:rsidRPr="00F76596" w:rsidRDefault="005509D3" w:rsidP="005509D3">
      <w:pPr>
        <w:pStyle w:val="MIRSubpara"/>
      </w:pPr>
      <w:r w:rsidRPr="00F76596">
        <w:t>b</w:t>
      </w:r>
      <w:r w:rsidR="00591E35" w:rsidRPr="00F76596">
        <w:t xml:space="preserve">y the </w:t>
      </w:r>
      <w:r w:rsidR="002915A2" w:rsidRPr="00F76596">
        <w:t>Licensed Repository or Prescribed Repository</w:t>
      </w:r>
      <w:r w:rsidR="00591E35" w:rsidRPr="00F76596">
        <w:t xml:space="preserve"> to which the </w:t>
      </w:r>
      <w:r w:rsidR="00493655" w:rsidRPr="00F76596">
        <w:t xml:space="preserve">information or change </w:t>
      </w:r>
      <w:r w:rsidR="00591E35" w:rsidRPr="00F76596">
        <w:t>is reported</w:t>
      </w:r>
      <w:r w:rsidRPr="00F76596">
        <w:t>, to the extent those format requirements are not inconsistent with</w:t>
      </w:r>
      <w:r w:rsidR="000E6E48" w:rsidRPr="00F76596">
        <w:t xml:space="preserve"> any</w:t>
      </w:r>
      <w:r w:rsidRPr="00F76596">
        <w:t xml:space="preserve"> format requirements referred to in paragraph (</w:t>
      </w:r>
      <w:r w:rsidR="00644D45" w:rsidRPr="00F76596">
        <w:t>c</w:t>
      </w:r>
      <w:r w:rsidRPr="00F76596">
        <w:t>).</w:t>
      </w:r>
    </w:p>
    <w:p w14:paraId="2E4187AB" w14:textId="77777777" w:rsidR="00461488" w:rsidRPr="00F76596" w:rsidRDefault="00461488" w:rsidP="00461488">
      <w:pPr>
        <w:pStyle w:val="MIRHeading3Rule"/>
      </w:pPr>
      <w:r w:rsidRPr="00F76596">
        <w:t>2.</w:t>
      </w:r>
      <w:r w:rsidR="00B50F1E" w:rsidRPr="00F76596">
        <w:t>2</w:t>
      </w:r>
      <w:r w:rsidRPr="00F76596">
        <w:t>.</w:t>
      </w:r>
      <w:r w:rsidR="008E05B0" w:rsidRPr="00F76596">
        <w:t>5</w:t>
      </w:r>
      <w:r w:rsidRPr="00F76596">
        <w:tab/>
      </w:r>
      <w:r w:rsidR="000B2817" w:rsidRPr="00F76596">
        <w:t>Reporting Requirement</w:t>
      </w:r>
      <w:r w:rsidRPr="00F76596">
        <w:t>—</w:t>
      </w:r>
      <w:r w:rsidR="00DE77E4" w:rsidRPr="00F76596">
        <w:t>Continuity</w:t>
      </w:r>
      <w:r w:rsidR="00E22D1D" w:rsidRPr="00F76596">
        <w:t xml:space="preserve"> of reporting</w:t>
      </w:r>
    </w:p>
    <w:p w14:paraId="22FE8650" w14:textId="77777777" w:rsidR="000E562A" w:rsidRPr="00F76596" w:rsidRDefault="00AA38E5" w:rsidP="000E562A">
      <w:pPr>
        <w:pStyle w:val="MIRBodyText"/>
      </w:pPr>
      <w:r w:rsidRPr="00F76596">
        <w:t xml:space="preserve">(1) </w:t>
      </w:r>
      <w:r w:rsidR="003F73EF" w:rsidRPr="00F76596">
        <w:t>Subject to subrule (2)</w:t>
      </w:r>
      <w:r w:rsidR="0052708C" w:rsidRPr="00F76596">
        <w:t xml:space="preserve"> and Rule 2.4.</w:t>
      </w:r>
      <w:r w:rsidR="00E83F01" w:rsidRPr="00F76596">
        <w:t>5</w:t>
      </w:r>
      <w:r w:rsidR="003F73EF" w:rsidRPr="00F76596">
        <w:t>, a</w:t>
      </w:r>
      <w:r w:rsidR="000E562A" w:rsidRPr="00F76596">
        <w:t xml:space="preserve"> Reporting Entity that reports</w:t>
      </w:r>
      <w:r w:rsidR="009F134D" w:rsidRPr="00F76596">
        <w:rPr>
          <w:szCs w:val="20"/>
        </w:rPr>
        <w:t xml:space="preserve"> </w:t>
      </w:r>
      <w:r w:rsidR="009F134D" w:rsidRPr="00F76596">
        <w:t>to a Derivative Trade Repository (</w:t>
      </w:r>
      <w:r w:rsidR="00B82228" w:rsidRPr="00F76596">
        <w:t xml:space="preserve">in this Rule, </w:t>
      </w:r>
      <w:r w:rsidR="009F134D" w:rsidRPr="00F76596">
        <w:t xml:space="preserve">the </w:t>
      </w:r>
      <w:r w:rsidR="009F134D" w:rsidRPr="00F76596">
        <w:rPr>
          <w:b/>
          <w:i/>
        </w:rPr>
        <w:t>Original Trade Repository</w:t>
      </w:r>
      <w:r w:rsidR="009F134D" w:rsidRPr="00F76596">
        <w:t>)</w:t>
      </w:r>
      <w:r w:rsidR="000E562A" w:rsidRPr="00F76596">
        <w:t>:</w:t>
      </w:r>
    </w:p>
    <w:p w14:paraId="197360B7" w14:textId="77777777" w:rsidR="000E562A" w:rsidRPr="00F76596" w:rsidRDefault="000E562A" w:rsidP="000E562A">
      <w:pPr>
        <w:pStyle w:val="MIRSubpara"/>
      </w:pPr>
      <w:r w:rsidRPr="00F76596">
        <w:t xml:space="preserve">information about a </w:t>
      </w:r>
      <w:r w:rsidR="009F6E2A" w:rsidRPr="00F76596">
        <w:t>Reportable</w:t>
      </w:r>
      <w:r w:rsidRPr="00F76596">
        <w:t xml:space="preserve"> Transaction</w:t>
      </w:r>
      <w:r w:rsidR="009B22A7" w:rsidRPr="00F76596">
        <w:t xml:space="preserve"> in an OTC Derivative</w:t>
      </w:r>
      <w:r w:rsidRPr="00F76596">
        <w:t xml:space="preserve">, or a </w:t>
      </w:r>
      <w:r w:rsidR="009F6E2A" w:rsidRPr="00F76596">
        <w:t>Reportable</w:t>
      </w:r>
      <w:r w:rsidRPr="00F76596">
        <w:t xml:space="preserve"> </w:t>
      </w:r>
      <w:r w:rsidR="001E5E90" w:rsidRPr="00F76596">
        <w:t>Position</w:t>
      </w:r>
      <w:r w:rsidRPr="00F76596">
        <w:t xml:space="preserve"> in</w:t>
      </w:r>
      <w:r w:rsidR="009B22A7" w:rsidRPr="00F76596">
        <w:t xml:space="preserve"> an OTC Derivative,</w:t>
      </w:r>
      <w:r w:rsidRPr="00F76596">
        <w:t xml:space="preserve"> </w:t>
      </w:r>
      <w:r w:rsidR="00C46F97" w:rsidRPr="00F76596">
        <w:t xml:space="preserve">in </w:t>
      </w:r>
      <w:r w:rsidRPr="00F76596">
        <w:t>accordance with subrule 2.2.1(1);</w:t>
      </w:r>
      <w:r w:rsidR="00E07AEC" w:rsidRPr="00F76596">
        <w:t xml:space="preserve"> or</w:t>
      </w:r>
    </w:p>
    <w:p w14:paraId="7A52020D" w14:textId="77777777" w:rsidR="000E562A" w:rsidRPr="00F76596" w:rsidRDefault="00353B73" w:rsidP="000E562A">
      <w:pPr>
        <w:pStyle w:val="MIRSubpara"/>
      </w:pPr>
      <w:r w:rsidRPr="00F76596">
        <w:lastRenderedPageBreak/>
        <w:t xml:space="preserve">a </w:t>
      </w:r>
      <w:r w:rsidR="000E562A" w:rsidRPr="00F76596">
        <w:t xml:space="preserve">change to information </w:t>
      </w:r>
      <w:r w:rsidR="009F6E2A" w:rsidRPr="00F76596">
        <w:t>referred to in paragraph (a),</w:t>
      </w:r>
      <w:r w:rsidR="000E562A" w:rsidRPr="00F76596">
        <w:t xml:space="preserve"> in accordance with subrule 2.2.2(1),</w:t>
      </w:r>
    </w:p>
    <w:p w14:paraId="3725A80E" w14:textId="77777777" w:rsidR="00461488" w:rsidRPr="00F76596" w:rsidRDefault="005C1FFF" w:rsidP="00994587">
      <w:pPr>
        <w:pStyle w:val="MIRBodyText"/>
      </w:pPr>
      <w:r w:rsidRPr="00F76596">
        <w:t xml:space="preserve">must </w:t>
      </w:r>
      <w:r w:rsidR="005A3F35" w:rsidRPr="00F76596">
        <w:t>take al</w:t>
      </w:r>
      <w:r w:rsidR="00B25B64" w:rsidRPr="00F76596">
        <w:t xml:space="preserve">l reasonable steps to ensure that it reports </w:t>
      </w:r>
      <w:r w:rsidR="00F13783" w:rsidRPr="00F76596">
        <w:t xml:space="preserve">further </w:t>
      </w:r>
      <w:r w:rsidR="00341224" w:rsidRPr="00F76596">
        <w:t>information</w:t>
      </w:r>
      <w:r w:rsidR="009F134D" w:rsidRPr="00F76596">
        <w:t xml:space="preserve"> or changes that relate to the same OTC Derivative</w:t>
      </w:r>
      <w:r w:rsidR="001B2230" w:rsidRPr="00F76596">
        <w:t>,</w:t>
      </w:r>
      <w:r w:rsidR="00D610DD" w:rsidRPr="00F76596">
        <w:t xml:space="preserve"> </w:t>
      </w:r>
      <w:r w:rsidR="00B25B64" w:rsidRPr="00F76596">
        <w:t>to</w:t>
      </w:r>
      <w:r w:rsidR="009F134D" w:rsidRPr="00F76596">
        <w:t xml:space="preserve"> the</w:t>
      </w:r>
      <w:r w:rsidR="00B25B64" w:rsidRPr="00F76596">
        <w:t xml:space="preserve"> </w:t>
      </w:r>
      <w:r w:rsidR="0076181D" w:rsidRPr="00F76596">
        <w:t>Original Trade Repository</w:t>
      </w:r>
      <w:r w:rsidR="00F518AB" w:rsidRPr="00F76596">
        <w:t>.</w:t>
      </w:r>
    </w:p>
    <w:p w14:paraId="3AACFA54" w14:textId="77777777" w:rsidR="000664C4" w:rsidRPr="00F76596" w:rsidRDefault="00E72394" w:rsidP="00176717">
      <w:pPr>
        <w:pStyle w:val="MIRBodyText"/>
      </w:pPr>
      <w:r w:rsidRPr="00F76596">
        <w:t xml:space="preserve">(2) If the Reporting Entity or </w:t>
      </w:r>
      <w:r w:rsidR="004D4445" w:rsidRPr="00F76596">
        <w:t xml:space="preserve">the person </w:t>
      </w:r>
      <w:r w:rsidR="00A8424C" w:rsidRPr="00F76596">
        <w:t>that</w:t>
      </w:r>
      <w:r w:rsidR="004D4445" w:rsidRPr="00F76596">
        <w:t xml:space="preserve"> reports on its behalf</w:t>
      </w:r>
      <w:r w:rsidRPr="00F76596">
        <w:t xml:space="preserve"> is no longer a </w:t>
      </w:r>
      <w:r w:rsidR="00605F79" w:rsidRPr="00F76596">
        <w:t>participant</w:t>
      </w:r>
      <w:r w:rsidRPr="00F76596">
        <w:t xml:space="preserve"> of the Original Trade Repository, </w:t>
      </w:r>
      <w:r w:rsidR="00380A78" w:rsidRPr="00F76596">
        <w:t xml:space="preserve">or </w:t>
      </w:r>
      <w:r w:rsidR="00C02A83" w:rsidRPr="00F76596">
        <w:t xml:space="preserve">the Reporting Entity </w:t>
      </w:r>
      <w:r w:rsidR="00380A78" w:rsidRPr="00F76596">
        <w:t xml:space="preserve">is no longer able to comply with </w:t>
      </w:r>
      <w:r w:rsidR="00F4101D" w:rsidRPr="00F76596">
        <w:t xml:space="preserve">subrule 2.2.1(1) or 2.2.2(1) </w:t>
      </w:r>
      <w:r w:rsidR="00380A78" w:rsidRPr="00F76596">
        <w:t>by reporting the information</w:t>
      </w:r>
      <w:r w:rsidR="001E2E40" w:rsidRPr="00F76596">
        <w:t xml:space="preserve"> or change</w:t>
      </w:r>
      <w:r w:rsidR="00380A78" w:rsidRPr="00F76596">
        <w:t xml:space="preserve"> to the Original Trade Repository, </w:t>
      </w:r>
      <w:r w:rsidRPr="00F76596">
        <w:t xml:space="preserve">the </w:t>
      </w:r>
      <w:r w:rsidR="006C4C9B" w:rsidRPr="00F76596">
        <w:t xml:space="preserve">information </w:t>
      </w:r>
      <w:r w:rsidR="00107816" w:rsidRPr="00F76596">
        <w:t xml:space="preserve">or change </w:t>
      </w:r>
      <w:r w:rsidRPr="00F76596">
        <w:t>must be reported to a</w:t>
      </w:r>
      <w:r w:rsidR="003832EB" w:rsidRPr="00F76596">
        <w:t>nother</w:t>
      </w:r>
      <w:r w:rsidR="00F059BA" w:rsidRPr="00F76596">
        <w:t xml:space="preserve"> Licensed Repository or Prescribed Repository</w:t>
      </w:r>
      <w:r w:rsidR="00AA4381" w:rsidRPr="00F76596">
        <w:t xml:space="preserve"> in accordance with </w:t>
      </w:r>
      <w:r w:rsidR="00D12AA1" w:rsidRPr="00F76596">
        <w:t>the requirements of this Part</w:t>
      </w:r>
      <w:r w:rsidRPr="00F76596">
        <w:t>.</w:t>
      </w:r>
    </w:p>
    <w:p w14:paraId="02863AD6" w14:textId="77777777" w:rsidR="00125402" w:rsidRPr="00F76596" w:rsidRDefault="00125402" w:rsidP="00125402">
      <w:pPr>
        <w:pStyle w:val="MIRHeading3Rule"/>
      </w:pPr>
      <w:r w:rsidRPr="00F76596">
        <w:t>2.</w:t>
      </w:r>
      <w:r w:rsidR="00B50F1E" w:rsidRPr="00F76596">
        <w:t>2</w:t>
      </w:r>
      <w:r w:rsidRPr="00F76596">
        <w:t>.</w:t>
      </w:r>
      <w:r w:rsidR="008E05B0" w:rsidRPr="00F76596">
        <w:t>6</w:t>
      </w:r>
      <w:r w:rsidRPr="00F76596">
        <w:tab/>
      </w:r>
      <w:r w:rsidR="000B2817" w:rsidRPr="00F76596">
        <w:t>Reporting Requirement</w:t>
      </w:r>
      <w:r w:rsidRPr="00F76596">
        <w:t>—Accuracy of reporting</w:t>
      </w:r>
    </w:p>
    <w:p w14:paraId="728BC89B" w14:textId="77777777" w:rsidR="00125402" w:rsidRPr="00F76596" w:rsidRDefault="00125402" w:rsidP="00125402">
      <w:pPr>
        <w:pStyle w:val="MIRBodyText"/>
      </w:pPr>
      <w:r w:rsidRPr="00F76596">
        <w:t xml:space="preserve">A Reporting Entity must take all reasonable steps to ensure that </w:t>
      </w:r>
      <w:r w:rsidR="00661947" w:rsidRPr="00F76596">
        <w:t>information</w:t>
      </w:r>
      <w:r w:rsidR="006B3449" w:rsidRPr="00F76596">
        <w:t xml:space="preserve"> it </w:t>
      </w:r>
      <w:r w:rsidRPr="00F76596">
        <w:t>report</w:t>
      </w:r>
      <w:r w:rsidR="006B3449" w:rsidRPr="00F76596">
        <w:t>s</w:t>
      </w:r>
      <w:r w:rsidRPr="00F76596">
        <w:t xml:space="preserve"> under </w:t>
      </w:r>
      <w:r w:rsidR="00502DA3" w:rsidRPr="00F76596">
        <w:t>subr</w:t>
      </w:r>
      <w:r w:rsidRPr="00F76596">
        <w:t>ule 2.</w:t>
      </w:r>
      <w:r w:rsidR="00E7610C" w:rsidRPr="00F76596">
        <w:t>2</w:t>
      </w:r>
      <w:r w:rsidRPr="00F76596">
        <w:t>.1</w:t>
      </w:r>
      <w:r w:rsidR="00502DA3" w:rsidRPr="00F76596">
        <w:t>(1) and</w:t>
      </w:r>
      <w:r w:rsidRPr="00F76596">
        <w:t xml:space="preserve"> </w:t>
      </w:r>
      <w:r w:rsidR="00661947" w:rsidRPr="00F76596">
        <w:t xml:space="preserve">any change </w:t>
      </w:r>
      <w:r w:rsidR="00A43C3B" w:rsidRPr="00F76596">
        <w:t xml:space="preserve">to that information </w:t>
      </w:r>
      <w:r w:rsidR="006B3449" w:rsidRPr="00F76596">
        <w:t xml:space="preserve">it </w:t>
      </w:r>
      <w:r w:rsidR="00661947" w:rsidRPr="00F76596">
        <w:t>report</w:t>
      </w:r>
      <w:r w:rsidR="006B3449" w:rsidRPr="00F76596">
        <w:t>s</w:t>
      </w:r>
      <w:r w:rsidR="00661947" w:rsidRPr="00F76596">
        <w:t xml:space="preserve"> under </w:t>
      </w:r>
      <w:r w:rsidR="00502DA3" w:rsidRPr="00F76596">
        <w:t>subr</w:t>
      </w:r>
      <w:r w:rsidR="00661947" w:rsidRPr="00F76596">
        <w:t>ule</w:t>
      </w:r>
      <w:r w:rsidR="000B2817" w:rsidRPr="00F76596">
        <w:t xml:space="preserve"> 2.2.2</w:t>
      </w:r>
      <w:r w:rsidR="00502DA3" w:rsidRPr="00F76596">
        <w:t>(1)</w:t>
      </w:r>
      <w:r w:rsidR="00AB6496" w:rsidRPr="00F76596">
        <w:t xml:space="preserve">, whether </w:t>
      </w:r>
      <w:r w:rsidR="000959C7" w:rsidRPr="00F76596">
        <w:t xml:space="preserve">reported </w:t>
      </w:r>
      <w:r w:rsidR="00D85E5B" w:rsidRPr="00F76596">
        <w:t xml:space="preserve">by the Reporting Entity </w:t>
      </w:r>
      <w:r w:rsidR="00AB6496" w:rsidRPr="00F76596">
        <w:t xml:space="preserve">on its own behalf or </w:t>
      </w:r>
      <w:r w:rsidR="00D85E5B" w:rsidRPr="00F76596">
        <w:t>by</w:t>
      </w:r>
      <w:r w:rsidR="00AB6496" w:rsidRPr="00F76596">
        <w:t xml:space="preserve"> </w:t>
      </w:r>
      <w:r w:rsidR="00980949" w:rsidRPr="00F76596">
        <w:t>another person</w:t>
      </w:r>
      <w:r w:rsidR="00D85E5B" w:rsidRPr="00F76596">
        <w:t xml:space="preserve"> on behalf of the Reporting Entity</w:t>
      </w:r>
      <w:r w:rsidR="00AB6496" w:rsidRPr="00F76596">
        <w:t>,</w:t>
      </w:r>
      <w:r w:rsidR="00661947" w:rsidRPr="00F76596">
        <w:t xml:space="preserve"> is </w:t>
      </w:r>
      <w:r w:rsidR="00AC026E" w:rsidRPr="00F76596">
        <w:t>and remains</w:t>
      </w:r>
      <w:r w:rsidR="00DA5E02" w:rsidRPr="00F76596">
        <w:t xml:space="preserve"> at all times</w:t>
      </w:r>
      <w:r w:rsidR="00AC026E" w:rsidRPr="00F76596">
        <w:t xml:space="preserve"> </w:t>
      </w:r>
      <w:r w:rsidRPr="00F76596">
        <w:t>complete</w:t>
      </w:r>
      <w:r w:rsidR="00AC026E" w:rsidRPr="00F76596">
        <w:t>,</w:t>
      </w:r>
      <w:r w:rsidR="00661947" w:rsidRPr="00F76596">
        <w:t xml:space="preserve"> </w:t>
      </w:r>
      <w:r w:rsidRPr="00F76596">
        <w:t>accurate</w:t>
      </w:r>
      <w:r w:rsidR="00AC026E" w:rsidRPr="00F76596">
        <w:t xml:space="preserve"> and </w:t>
      </w:r>
      <w:r w:rsidR="00530C0C" w:rsidRPr="00F76596">
        <w:t>current</w:t>
      </w:r>
      <w:r w:rsidRPr="00F76596">
        <w:t>.</w:t>
      </w:r>
    </w:p>
    <w:p w14:paraId="2EAA4E2B" w14:textId="77777777" w:rsidR="00BA188F" w:rsidRPr="00F76596" w:rsidRDefault="00BA188F" w:rsidP="00BA188F">
      <w:pPr>
        <w:pStyle w:val="MIRHeading3Rule"/>
      </w:pPr>
      <w:r w:rsidRPr="00F76596">
        <w:t>2.</w:t>
      </w:r>
      <w:r w:rsidR="00B50F1E" w:rsidRPr="00F76596">
        <w:t>2</w:t>
      </w:r>
      <w:r w:rsidRPr="00F76596">
        <w:t>.</w:t>
      </w:r>
      <w:r w:rsidR="008E05B0" w:rsidRPr="00F76596">
        <w:t>7</w:t>
      </w:r>
      <w:r w:rsidRPr="00F76596">
        <w:tab/>
      </w:r>
      <w:r w:rsidR="00B72482" w:rsidRPr="00F76596">
        <w:t>Derivative Transaction Information</w:t>
      </w:r>
      <w:r w:rsidRPr="00F76596">
        <w:t>—</w:t>
      </w:r>
      <w:r w:rsidR="00433E53" w:rsidRPr="00F76596">
        <w:t>Delegation of reporting</w:t>
      </w:r>
    </w:p>
    <w:p w14:paraId="56859086" w14:textId="77777777" w:rsidR="00BF66BE" w:rsidRPr="006726BF" w:rsidRDefault="00BF66BE" w:rsidP="00BF66BE">
      <w:pPr>
        <w:pStyle w:val="MIRBodyText"/>
        <w:numPr>
          <w:ilvl w:val="0"/>
          <w:numId w:val="0"/>
        </w:numPr>
        <w:ind w:left="851"/>
      </w:pPr>
      <w:r w:rsidRPr="00AE46B3">
        <w:t xml:space="preserve">(1) A Reporting Entity may appoint one or more </w:t>
      </w:r>
      <w:r w:rsidRPr="006726BF">
        <w:t>persons (in this Rule,</w:t>
      </w:r>
      <w:r>
        <w:t xml:space="preserve"> </w:t>
      </w:r>
      <w:r w:rsidRPr="00AE46B3">
        <w:t xml:space="preserve">each a </w:t>
      </w:r>
      <w:r w:rsidRPr="00D132FD">
        <w:rPr>
          <w:b/>
          <w:i/>
        </w:rPr>
        <w:t>Delegate</w:t>
      </w:r>
      <w:r w:rsidRPr="00AE46B3">
        <w:t>) to</w:t>
      </w:r>
      <w:r>
        <w:t xml:space="preserve"> </w:t>
      </w:r>
      <w:r w:rsidRPr="00AE46B3">
        <w:t>report on behalf</w:t>
      </w:r>
      <w:r>
        <w:t xml:space="preserve"> </w:t>
      </w:r>
      <w:r w:rsidRPr="00AE46B3">
        <w:t>of the Reporting Entity in accordance with Rules 2.2.1 to</w:t>
      </w:r>
      <w:r>
        <w:t xml:space="preserve"> </w:t>
      </w:r>
      <w:r w:rsidRPr="00AE46B3">
        <w:t>2.2.5</w:t>
      </w:r>
      <w:r>
        <w:t xml:space="preserve"> and 2.2.8.</w:t>
      </w:r>
    </w:p>
    <w:p w14:paraId="5D065AC4" w14:textId="77777777" w:rsidR="00BF66BE" w:rsidRPr="00A46189" w:rsidRDefault="00BF66BE" w:rsidP="00BF66BE">
      <w:pPr>
        <w:pStyle w:val="MIRBodyText"/>
      </w:pPr>
      <w:r w:rsidRPr="00A46189">
        <w:t xml:space="preserve">(2) A Reporting Entity that appoints a Delegate in accordance with subrule (1) is taken to have complied with Rules 2.2.1 to 2.2.5 in relation to </w:t>
      </w:r>
      <w:r>
        <w:t>each</w:t>
      </w:r>
      <w:r w:rsidRPr="00A46189">
        <w:t xml:space="preserve"> Reportable Transaction and Reportable Position which the Delegate has been appointed to report, if:</w:t>
      </w:r>
    </w:p>
    <w:p w14:paraId="57D4F53B" w14:textId="77777777" w:rsidR="00BF66BE" w:rsidRPr="00FA14E1" w:rsidRDefault="00BF66BE" w:rsidP="00FA14E1">
      <w:pPr>
        <w:pStyle w:val="MIRSubpara"/>
      </w:pPr>
      <w:r w:rsidRPr="00FA14E1">
        <w:t>the terms of the Delegate’s appointment and any related agreements or arrangements are documented in writing; and</w:t>
      </w:r>
    </w:p>
    <w:p w14:paraId="1FD0C515" w14:textId="77777777" w:rsidR="00BF66BE" w:rsidRPr="00A46189" w:rsidRDefault="00BF66BE" w:rsidP="00FA14E1">
      <w:pPr>
        <w:pStyle w:val="MIRSubpara"/>
      </w:pPr>
      <w:r w:rsidRPr="00FA14E1">
        <w:t>the Reporting Entity makes regular enquiries reasonably designed to determine whether the</w:t>
      </w:r>
      <w:r w:rsidRPr="00A46189">
        <w:t xml:space="preserve"> Delegate is discharging its obligations under the terms of its appointment.</w:t>
      </w:r>
    </w:p>
    <w:p w14:paraId="272578A4" w14:textId="77777777" w:rsidR="00BF66BE" w:rsidRDefault="00BF66BE" w:rsidP="00BF66BE">
      <w:pPr>
        <w:pStyle w:val="MIRNote"/>
      </w:pPr>
      <w:r w:rsidRPr="00AE46B3">
        <w:t>Note</w:t>
      </w:r>
      <w:r>
        <w:t xml:space="preserve"> 1</w:t>
      </w:r>
      <w:r w:rsidRPr="00AE46B3">
        <w:t>: For example, the Reporting Entity may appoint a counterparty of the Reporting Entity, central counterparty, trading platform, service provider, broker or any other third party.</w:t>
      </w:r>
    </w:p>
    <w:p w14:paraId="63920664" w14:textId="77777777" w:rsidR="00BF66BE" w:rsidRDefault="00BF66BE" w:rsidP="00BF66BE">
      <w:pPr>
        <w:pStyle w:val="MIRNote"/>
      </w:pPr>
      <w:r w:rsidRPr="00AE46B3">
        <w:t>Note</w:t>
      </w:r>
      <w:r>
        <w:t xml:space="preserve"> 2</w:t>
      </w:r>
      <w:r w:rsidRPr="00AE46B3">
        <w:t>:</w:t>
      </w:r>
      <w:r>
        <w:t xml:space="preserve"> While other forms of reporting delegation are permitted under the Rules, a Reporting Entity will only be taken under this Rule 2.2.7 to have complied with the reporting obligations in Rules 2.2.1 to 2.2.5 for those Reportable Transactions and Reportable Positions reported by a Delegate in accordance with this Rule 2.2.7.</w:t>
      </w:r>
    </w:p>
    <w:p w14:paraId="740C09DC" w14:textId="77777777" w:rsidR="00650232" w:rsidRPr="00AE46B3" w:rsidRDefault="00650232" w:rsidP="00841965">
      <w:pPr>
        <w:pStyle w:val="MIRHeading3Rule"/>
      </w:pPr>
      <w:r>
        <w:t>2.2.8</w:t>
      </w:r>
      <w:r>
        <w:tab/>
      </w:r>
      <w:r w:rsidRPr="00AE46B3">
        <w:t>Lifecycle or snapshot reporting</w:t>
      </w:r>
    </w:p>
    <w:p w14:paraId="0CE32D78" w14:textId="77777777" w:rsidR="00650232" w:rsidRPr="00163F4C" w:rsidRDefault="00650232" w:rsidP="00650232">
      <w:pPr>
        <w:pStyle w:val="MIRBodyText"/>
        <w:numPr>
          <w:ilvl w:val="0"/>
          <w:numId w:val="53"/>
        </w:numPr>
        <w:tabs>
          <w:tab w:val="clear" w:pos="851"/>
          <w:tab w:val="left" w:pos="2205"/>
        </w:tabs>
      </w:pPr>
      <w:r w:rsidRPr="00163F4C">
        <w:t>(1) A Reporting Entity may comply with Rule 2.2.1 in relation to a Reportable Transaction in an OTC Derivative (</w:t>
      </w:r>
      <w:r w:rsidRPr="00163F4C">
        <w:rPr>
          <w:b/>
          <w:i/>
        </w:rPr>
        <w:t>Relevant OTC Derivative</w:t>
      </w:r>
      <w:r w:rsidRPr="00163F4C">
        <w:t>), other than a Derivative that is an Excluded Derivative or that is in a class of Excluded Derivatives at the time the Reportable Transaction is entered into, that takes place on a day (</w:t>
      </w:r>
      <w:r w:rsidRPr="00163F4C">
        <w:rPr>
          <w:b/>
          <w:i/>
        </w:rPr>
        <w:t>Relevant Day</w:t>
      </w:r>
      <w:r w:rsidRPr="00163F4C">
        <w:t>) by:</w:t>
      </w:r>
    </w:p>
    <w:p w14:paraId="0254017B" w14:textId="77777777" w:rsidR="00650232" w:rsidRPr="00FA14E1" w:rsidRDefault="00650232" w:rsidP="00FA14E1">
      <w:pPr>
        <w:pStyle w:val="MIRSubpara"/>
        <w:numPr>
          <w:ilvl w:val="1"/>
          <w:numId w:val="59"/>
        </w:numPr>
      </w:pPr>
      <w:r w:rsidRPr="00FA14E1">
        <w:lastRenderedPageBreak/>
        <w:t>reporting Derivative Transaction Information for each Reportable Transaction in the Relevant OTC Derivative; or</w:t>
      </w:r>
    </w:p>
    <w:p w14:paraId="6BC97797" w14:textId="77777777" w:rsidR="00650232" w:rsidRPr="00AE46B3" w:rsidRDefault="00650232" w:rsidP="00FA14E1">
      <w:pPr>
        <w:pStyle w:val="MIRSubpara"/>
      </w:pPr>
      <w:r w:rsidRPr="00FA14E1">
        <w:t>reporting Derivative Transaction Information in relation to the Relevant OTC Derivative</w:t>
      </w:r>
      <w:r>
        <w:t xml:space="preserve"> on </w:t>
      </w:r>
      <w:r w:rsidRPr="00547616">
        <w:t>its terms as of the Relevant Day,</w:t>
      </w:r>
    </w:p>
    <w:p w14:paraId="2AFDC6A2" w14:textId="77777777" w:rsidR="00650232" w:rsidRPr="00547616" w:rsidRDefault="00650232" w:rsidP="00650232">
      <w:pPr>
        <w:pStyle w:val="MIRBodyText"/>
      </w:pPr>
      <w:r w:rsidRPr="00547616">
        <w:t>and otherwise reporting the information in accordance with the Rules.</w:t>
      </w:r>
    </w:p>
    <w:p w14:paraId="64B9F91C" w14:textId="77777777" w:rsidR="00650232" w:rsidRPr="00547616" w:rsidRDefault="00650232" w:rsidP="00650232">
      <w:pPr>
        <w:pStyle w:val="MIRBodyText"/>
      </w:pPr>
      <w:r w:rsidRPr="00547616">
        <w:t>(2) Where a Reporting Entity complies with Rule 2.2.1 in relation to a Reportable Transaction that is a modification of an OTC Derivative in accordance with paragraph (1)(b), the Reporting Entity does not have to comply with Rules 2.2.1 and 2.2.2 in relation to that Reportable Transaction to the extent those Rules require a Reporting Entity to report Derivative Transaction Information in Item 55 of Table S2.1(1).</w:t>
      </w:r>
    </w:p>
    <w:p w14:paraId="4D969338" w14:textId="77777777" w:rsidR="00650232" w:rsidRPr="00547616" w:rsidRDefault="00650232" w:rsidP="00650232">
      <w:pPr>
        <w:pStyle w:val="MIRBodyText"/>
      </w:pPr>
      <w:r w:rsidRPr="00547616">
        <w:t xml:space="preserve">(3) ASIC may determine from time to time that an OTC Derivative, or a derivative product class, is an </w:t>
      </w:r>
      <w:r w:rsidRPr="00547616">
        <w:rPr>
          <w:b/>
          <w:i/>
        </w:rPr>
        <w:t>Excluded Derivative</w:t>
      </w:r>
      <w:r w:rsidRPr="00547616">
        <w:t xml:space="preserve"> for the purposes of subrule (1), where, in the opinion o</w:t>
      </w:r>
      <w:r>
        <w:t>f ASIC, making that determination</w:t>
      </w:r>
      <w:r w:rsidRPr="00547616">
        <w:t xml:space="preserve"> </w:t>
      </w:r>
      <w:r>
        <w:t>will</w:t>
      </w:r>
      <w:r w:rsidRPr="00547616">
        <w:t>:</w:t>
      </w:r>
    </w:p>
    <w:p w14:paraId="249AA256" w14:textId="77777777" w:rsidR="00650232" w:rsidRPr="00FA14E1" w:rsidRDefault="00650232" w:rsidP="00FA14E1">
      <w:pPr>
        <w:pStyle w:val="MIRSubpara"/>
      </w:pPr>
      <w:r w:rsidRPr="00FA14E1">
        <w:t xml:space="preserve">enhance the transparency of information available to relevant authorities and the public; </w:t>
      </w:r>
    </w:p>
    <w:p w14:paraId="5B5292A9" w14:textId="77777777" w:rsidR="00650232" w:rsidRPr="00FA14E1" w:rsidRDefault="00650232" w:rsidP="00FA14E1">
      <w:pPr>
        <w:pStyle w:val="MIRSubpara"/>
      </w:pPr>
      <w:r w:rsidRPr="00FA14E1">
        <w:t>promote financial stability; or</w:t>
      </w:r>
    </w:p>
    <w:p w14:paraId="09D139EF" w14:textId="77777777" w:rsidR="00650232" w:rsidRPr="00A03E53" w:rsidRDefault="00650232" w:rsidP="00FA14E1">
      <w:pPr>
        <w:pStyle w:val="MIRSubpara"/>
      </w:pPr>
      <w:r w:rsidRPr="00FA14E1">
        <w:t>support</w:t>
      </w:r>
      <w:r w:rsidRPr="00A03E53">
        <w:t xml:space="preserve"> the detection and prevention of market abuse. </w:t>
      </w:r>
    </w:p>
    <w:p w14:paraId="3AA845D0" w14:textId="77777777" w:rsidR="00650232" w:rsidRPr="00547616" w:rsidRDefault="00650232" w:rsidP="00650232">
      <w:pPr>
        <w:pStyle w:val="MIRBodyText"/>
      </w:pPr>
      <w:r w:rsidRPr="00547616">
        <w:t>(4) A determination by ASIC for the purposes of subrule (3):</w:t>
      </w:r>
    </w:p>
    <w:p w14:paraId="648B1B0C" w14:textId="77777777" w:rsidR="00650232" w:rsidRDefault="00650232" w:rsidP="00FA14E1">
      <w:pPr>
        <w:pStyle w:val="MIRSubpara"/>
      </w:pPr>
      <w:r w:rsidRPr="00547616">
        <w:t>will be published on ASIC’s website; and</w:t>
      </w:r>
    </w:p>
    <w:p w14:paraId="47997712" w14:textId="77777777" w:rsidR="00650232" w:rsidRPr="00547616" w:rsidRDefault="00650232" w:rsidP="00FA14E1">
      <w:pPr>
        <w:pStyle w:val="MIRSubpara"/>
      </w:pPr>
      <w:r w:rsidRPr="00547616">
        <w:t>takes effect on the day specified in the determination that is not less than 90 calendar days</w:t>
      </w:r>
      <w:r>
        <w:t xml:space="preserve"> </w:t>
      </w:r>
      <w:r w:rsidRPr="00AE46B3">
        <w:t xml:space="preserve">after the date the </w:t>
      </w:r>
      <w:r>
        <w:t>determinat</w:t>
      </w:r>
      <w:r w:rsidR="00C05BD7">
        <w:t>i</w:t>
      </w:r>
      <w:r>
        <w:t xml:space="preserve">on </w:t>
      </w:r>
      <w:r w:rsidRPr="00AE46B3">
        <w:t>is</w:t>
      </w:r>
      <w:r>
        <w:t xml:space="preserve"> published on ASIC's website</w:t>
      </w:r>
      <w:r w:rsidRPr="00547616">
        <w:t>.</w:t>
      </w:r>
    </w:p>
    <w:p w14:paraId="6579D3F7" w14:textId="77777777" w:rsidR="00650232" w:rsidRPr="00547616" w:rsidRDefault="00650232" w:rsidP="00650232">
      <w:pPr>
        <w:pStyle w:val="MIRBodyText"/>
      </w:pPr>
      <w:r w:rsidRPr="00547616">
        <w:t>(5) A determination by ASIC for the purposes of subrule (3):</w:t>
      </w:r>
    </w:p>
    <w:p w14:paraId="0DC59030" w14:textId="77777777" w:rsidR="00650232" w:rsidRDefault="00650232" w:rsidP="00FA14E1">
      <w:pPr>
        <w:pStyle w:val="MIRSubpara"/>
      </w:pPr>
      <w:r w:rsidRPr="00547616">
        <w:t xml:space="preserve">may </w:t>
      </w:r>
      <w:r w:rsidRPr="003839C4">
        <w:t>be</w:t>
      </w:r>
      <w:r w:rsidRPr="00547616">
        <w:t xml:space="preserve"> withdrawn by ASIC, from a date specified in a notice of withdrawal that is not less than 90 calendar days</w:t>
      </w:r>
      <w:r>
        <w:t xml:space="preserve"> </w:t>
      </w:r>
      <w:r w:rsidRPr="00AE46B3">
        <w:t>after the date the notice is</w:t>
      </w:r>
      <w:r>
        <w:t xml:space="preserve"> published on ASIC's website</w:t>
      </w:r>
      <w:r w:rsidRPr="00AE46B3">
        <w:t>; and</w:t>
      </w:r>
    </w:p>
    <w:p w14:paraId="6F3932AA" w14:textId="77777777" w:rsidR="00650232" w:rsidRPr="00AE46B3" w:rsidRDefault="00650232" w:rsidP="00FA14E1">
      <w:pPr>
        <w:pStyle w:val="MIRSubpara"/>
      </w:pPr>
      <w:r w:rsidRPr="00AE46B3">
        <w:t>once withdrawn ceases to have effect. </w:t>
      </w:r>
    </w:p>
    <w:p w14:paraId="00598A90" w14:textId="77777777" w:rsidR="00650232" w:rsidRDefault="00650232" w:rsidP="00650232">
      <w:pPr>
        <w:pStyle w:val="MIRBodyText"/>
      </w:pPr>
      <w:r>
        <w:t>(6) A determination under subrule (3) is not a legislative instrument.</w:t>
      </w:r>
    </w:p>
    <w:p w14:paraId="062571E2" w14:textId="77777777" w:rsidR="0024678E" w:rsidRPr="00F76596" w:rsidRDefault="0024678E" w:rsidP="0024678E">
      <w:pPr>
        <w:pStyle w:val="MIRHeading2Part"/>
      </w:pPr>
      <w:bookmarkStart w:id="10" w:name="_Toc122081639"/>
      <w:r w:rsidRPr="00F76596">
        <w:t>Part 2.</w:t>
      </w:r>
      <w:r w:rsidR="00654C59" w:rsidRPr="00F76596">
        <w:t>3</w:t>
      </w:r>
      <w:r w:rsidRPr="00F76596">
        <w:tab/>
        <w:t>Records</w:t>
      </w:r>
      <w:bookmarkEnd w:id="10"/>
    </w:p>
    <w:p w14:paraId="658EAE16" w14:textId="77777777" w:rsidR="0024678E" w:rsidRPr="00F76596" w:rsidRDefault="0024678E" w:rsidP="0024678E">
      <w:pPr>
        <w:pStyle w:val="MIRHeading3Rule"/>
      </w:pPr>
      <w:r w:rsidRPr="00F76596">
        <w:t>2.</w:t>
      </w:r>
      <w:r w:rsidR="00654C59" w:rsidRPr="00F76596">
        <w:t>3</w:t>
      </w:r>
      <w:r w:rsidRPr="00F76596">
        <w:t>.1</w:t>
      </w:r>
      <w:r w:rsidRPr="00F76596">
        <w:tab/>
        <w:t>Keeping of records</w:t>
      </w:r>
    </w:p>
    <w:p w14:paraId="2DB9790A" w14:textId="77777777" w:rsidR="0024678E" w:rsidRPr="00F76596" w:rsidRDefault="0024678E" w:rsidP="0024678E">
      <w:pPr>
        <w:pStyle w:val="MIRBodyText"/>
      </w:pPr>
      <w:r w:rsidRPr="00F76596">
        <w:t>(1) A Reporting Entity must keep records that enable the Reporting Entity to demonstrate it has complied with the requirements of these Rules.</w:t>
      </w:r>
    </w:p>
    <w:p w14:paraId="3F654FAC" w14:textId="77777777" w:rsidR="0024678E" w:rsidRPr="00F76596" w:rsidRDefault="0024678E" w:rsidP="0024678E">
      <w:pPr>
        <w:pStyle w:val="MIRBodyText"/>
      </w:pPr>
      <w:r w:rsidRPr="00F76596">
        <w:t xml:space="preserve">(2) A Reporting Entity must keep the records referred to in subrule (1) for a period of at least </w:t>
      </w:r>
      <w:r w:rsidR="00633525" w:rsidRPr="00F76596">
        <w:t>five</w:t>
      </w:r>
      <w:r w:rsidRPr="00F76596">
        <w:t xml:space="preserve"> years from the date the record is made or amended.</w:t>
      </w:r>
    </w:p>
    <w:p w14:paraId="2CAE4790" w14:textId="77777777" w:rsidR="0024678E" w:rsidRPr="00F76596" w:rsidRDefault="0024678E" w:rsidP="0024678E">
      <w:pPr>
        <w:pStyle w:val="MIRBodyText"/>
      </w:pPr>
      <w:r w:rsidRPr="00F76596">
        <w:t>(3) Without limiting subrule (1) and subject to subrule (</w:t>
      </w:r>
      <w:r w:rsidR="00721861" w:rsidRPr="00F76596">
        <w:t>4</w:t>
      </w:r>
      <w:r w:rsidRPr="00F76596">
        <w:t xml:space="preserve">), a Reporting Entity must keep a record of </w:t>
      </w:r>
      <w:r w:rsidR="00FD23F0" w:rsidRPr="00F76596">
        <w:t>all information</w:t>
      </w:r>
      <w:r w:rsidRPr="00F76596">
        <w:t xml:space="preserve"> that it is required to report under </w:t>
      </w:r>
      <w:r w:rsidR="00C124FA" w:rsidRPr="00F76596">
        <w:t>subrules</w:t>
      </w:r>
      <w:r w:rsidRPr="00F76596">
        <w:t xml:space="preserve"> 2.2.1</w:t>
      </w:r>
      <w:r w:rsidR="00C124FA" w:rsidRPr="00F76596">
        <w:t>(1) and 2.2.2(2)</w:t>
      </w:r>
      <w:r w:rsidRPr="00F76596">
        <w:t>.</w:t>
      </w:r>
    </w:p>
    <w:p w14:paraId="34FC1D21" w14:textId="77777777" w:rsidR="0024678E" w:rsidRPr="00F76596" w:rsidRDefault="0024678E" w:rsidP="0024678E">
      <w:pPr>
        <w:pStyle w:val="MIRBodyText"/>
      </w:pPr>
      <w:r w:rsidRPr="00F76596">
        <w:lastRenderedPageBreak/>
        <w:t>(</w:t>
      </w:r>
      <w:r w:rsidR="00721861" w:rsidRPr="00F76596">
        <w:t>4</w:t>
      </w:r>
      <w:r w:rsidRPr="00F76596">
        <w:t>) A Reporting Entity is not required to keep the records referred to in subrule (3) where the Reporting Entity has arrangements in place to access those records in a</w:t>
      </w:r>
      <w:r w:rsidR="006F21B1" w:rsidRPr="00F76596">
        <w:t xml:space="preserve"> </w:t>
      </w:r>
      <w:r w:rsidR="00511656" w:rsidRPr="00F76596">
        <w:t>Licensed</w:t>
      </w:r>
      <w:r w:rsidR="00596294" w:rsidRPr="00F76596">
        <w:t xml:space="preserve"> Repository</w:t>
      </w:r>
      <w:r w:rsidR="00511656" w:rsidRPr="00F76596">
        <w:t xml:space="preserve"> or Prescribed</w:t>
      </w:r>
      <w:r w:rsidR="00596294" w:rsidRPr="00F76596">
        <w:t xml:space="preserve"> Repository</w:t>
      </w:r>
      <w:r w:rsidRPr="00F76596">
        <w:t>, either directly or through an</w:t>
      </w:r>
      <w:r w:rsidR="0052108B" w:rsidRPr="00F76596">
        <w:t>other</w:t>
      </w:r>
      <w:r w:rsidRPr="00F76596">
        <w:t xml:space="preserve"> </w:t>
      </w:r>
      <w:r w:rsidR="0052108B" w:rsidRPr="00F76596">
        <w:t>person</w:t>
      </w:r>
      <w:r w:rsidRPr="00F76596">
        <w:t>, for the period set out in subrule (2).</w:t>
      </w:r>
    </w:p>
    <w:p w14:paraId="72498462" w14:textId="77777777" w:rsidR="0024678E" w:rsidRPr="00F76596" w:rsidRDefault="0024678E" w:rsidP="0024678E">
      <w:pPr>
        <w:pStyle w:val="MIRHeading3Rule"/>
      </w:pPr>
      <w:r w:rsidRPr="00F76596">
        <w:t>2.</w:t>
      </w:r>
      <w:r w:rsidR="00654C59" w:rsidRPr="00F76596">
        <w:t>3</w:t>
      </w:r>
      <w:r w:rsidRPr="00F76596">
        <w:t>.2</w:t>
      </w:r>
      <w:r w:rsidRPr="00F76596">
        <w:tab/>
        <w:t>Provision of records or other information</w:t>
      </w:r>
    </w:p>
    <w:p w14:paraId="0968A588" w14:textId="77777777" w:rsidR="0024678E" w:rsidRPr="00F76596" w:rsidRDefault="0024678E" w:rsidP="0024678E">
      <w:pPr>
        <w:pStyle w:val="MIRBodyText"/>
      </w:pPr>
      <w:r w:rsidRPr="00F76596">
        <w:t>(1) A Reporting Entity must, on request by ASIC, provide ASIC</w:t>
      </w:r>
      <w:r w:rsidR="00633525" w:rsidRPr="00F76596">
        <w:t xml:space="preserve"> with</w:t>
      </w:r>
      <w:r w:rsidRPr="00F76596">
        <w:t xml:space="preserve"> records or other information relating to compliance with or determining whether there has been compliance with these Rules.</w:t>
      </w:r>
    </w:p>
    <w:p w14:paraId="0EA304B0" w14:textId="77777777" w:rsidR="0024678E" w:rsidRPr="00F76596" w:rsidRDefault="0024678E" w:rsidP="0024678E">
      <w:pPr>
        <w:pStyle w:val="MIRBodyText"/>
      </w:pPr>
      <w:r w:rsidRPr="00F76596">
        <w:t>(2) A request by ASIC under subrule (1) must be in writing and give the Reporting Entity a reasonable time to comply.</w:t>
      </w:r>
    </w:p>
    <w:p w14:paraId="1EF782D8" w14:textId="77777777" w:rsidR="0024678E" w:rsidRPr="00F76596" w:rsidRDefault="0024678E" w:rsidP="0024678E">
      <w:pPr>
        <w:pStyle w:val="MIRBodyText"/>
      </w:pPr>
      <w:r w:rsidRPr="00F76596">
        <w:t>(3) The Reporting Entity must comply with a request under subrule (1) within the time specified in the request or if no time is specified, within a reasonable time.</w:t>
      </w:r>
    </w:p>
    <w:p w14:paraId="3875E5C5" w14:textId="77777777" w:rsidR="00DF4500" w:rsidRPr="00F76596" w:rsidRDefault="00633525" w:rsidP="00DF4500">
      <w:pPr>
        <w:pStyle w:val="MIRHeading2Part"/>
      </w:pPr>
      <w:bookmarkStart w:id="11" w:name="_Toc122081640"/>
      <w:r w:rsidRPr="00F76596">
        <w:t xml:space="preserve">Part </w:t>
      </w:r>
      <w:r w:rsidR="00DF4500" w:rsidRPr="00F76596">
        <w:t>2.</w:t>
      </w:r>
      <w:r w:rsidR="00654C59" w:rsidRPr="00F76596">
        <w:t>4</w:t>
      </w:r>
      <w:r w:rsidR="00DF4500" w:rsidRPr="00F76596">
        <w:tab/>
        <w:t>Transitional matters</w:t>
      </w:r>
      <w:bookmarkEnd w:id="11"/>
    </w:p>
    <w:p w14:paraId="1DFC944E" w14:textId="77777777" w:rsidR="00577ABB" w:rsidRPr="00F76596" w:rsidRDefault="00577ABB" w:rsidP="00577ABB">
      <w:pPr>
        <w:pStyle w:val="MIRHeading3Rule"/>
      </w:pPr>
      <w:r w:rsidRPr="00F76596">
        <w:t>2.</w:t>
      </w:r>
      <w:r w:rsidR="00654C59" w:rsidRPr="00F76596">
        <w:t>4</w:t>
      </w:r>
      <w:r w:rsidRPr="00F76596">
        <w:t>.</w:t>
      </w:r>
      <w:r w:rsidR="002D088D" w:rsidRPr="00F76596">
        <w:t>1</w:t>
      </w:r>
      <w:r w:rsidRPr="00F76596">
        <w:tab/>
      </w:r>
      <w:r w:rsidR="007576A2" w:rsidRPr="00F76596">
        <w:t>Opt-</w:t>
      </w:r>
      <w:r w:rsidR="000B660A" w:rsidRPr="00F76596">
        <w:t>I</w:t>
      </w:r>
      <w:r w:rsidR="007576A2" w:rsidRPr="00F76596">
        <w:t>n</w:t>
      </w:r>
      <w:r w:rsidR="00BC66D4" w:rsidRPr="00F76596">
        <w:t xml:space="preserve"> Reporting Phase</w:t>
      </w:r>
      <w:r w:rsidR="00633525" w:rsidRPr="00F76596">
        <w:t>—</w:t>
      </w:r>
      <w:r w:rsidR="00DE642C" w:rsidRPr="00F76596">
        <w:t>Opt</w:t>
      </w:r>
      <w:r w:rsidR="00633525" w:rsidRPr="00F76596">
        <w:t>-</w:t>
      </w:r>
      <w:r w:rsidR="00DE642C" w:rsidRPr="00F76596">
        <w:t>In Notice</w:t>
      </w:r>
    </w:p>
    <w:p w14:paraId="7DD230BA" w14:textId="77777777" w:rsidR="00577ABB" w:rsidRPr="00F76596" w:rsidRDefault="00577ABB" w:rsidP="00577ABB">
      <w:pPr>
        <w:pStyle w:val="MIRBodyText"/>
      </w:pPr>
      <w:r w:rsidRPr="00F76596">
        <w:t xml:space="preserve">(1) A Reporting Entity may lodge </w:t>
      </w:r>
      <w:r w:rsidR="00537074" w:rsidRPr="00F76596">
        <w:t xml:space="preserve">a </w:t>
      </w:r>
      <w:r w:rsidRPr="00F76596">
        <w:t xml:space="preserve">notice </w:t>
      </w:r>
      <w:r w:rsidR="00537074" w:rsidRPr="00F76596">
        <w:t xml:space="preserve">(the </w:t>
      </w:r>
      <w:r w:rsidR="00537074" w:rsidRPr="00F76596">
        <w:rPr>
          <w:b/>
          <w:i/>
        </w:rPr>
        <w:t>Opt-In Notice</w:t>
      </w:r>
      <w:r w:rsidR="00537074" w:rsidRPr="00F76596">
        <w:t xml:space="preserve">) </w:t>
      </w:r>
      <w:r w:rsidRPr="00F76596">
        <w:t>with ASIC setting out:</w:t>
      </w:r>
    </w:p>
    <w:p w14:paraId="03A438D9" w14:textId="77777777" w:rsidR="00577ABB" w:rsidRPr="00F76596" w:rsidRDefault="00577ABB" w:rsidP="00577ABB">
      <w:pPr>
        <w:pStyle w:val="MIRSubpara"/>
      </w:pPr>
      <w:r w:rsidRPr="00F76596">
        <w:t>the name of the Reporting Entity;</w:t>
      </w:r>
    </w:p>
    <w:p w14:paraId="4E259840" w14:textId="77777777" w:rsidR="00577ABB" w:rsidRPr="00F76596" w:rsidRDefault="00577ABB" w:rsidP="00577ABB">
      <w:pPr>
        <w:pStyle w:val="MIRSubpara"/>
      </w:pPr>
      <w:r w:rsidRPr="00F76596">
        <w:t xml:space="preserve">the Reportable Transactions or class </w:t>
      </w:r>
      <w:r w:rsidR="00624E03" w:rsidRPr="00F76596">
        <w:t xml:space="preserve">or classes </w:t>
      </w:r>
      <w:r w:rsidRPr="00F76596">
        <w:t>of Reportable Transactions</w:t>
      </w:r>
      <w:r w:rsidR="00E34090" w:rsidRPr="00F76596">
        <w:t>,</w:t>
      </w:r>
      <w:r w:rsidR="00A625B7" w:rsidRPr="00F76596">
        <w:t xml:space="preserve"> and </w:t>
      </w:r>
      <w:r w:rsidR="00E34090" w:rsidRPr="00F76596">
        <w:t>positions in relation to those Reportable Transaction</w:t>
      </w:r>
      <w:r w:rsidR="00624E03" w:rsidRPr="00F76596">
        <w:t>s</w:t>
      </w:r>
      <w:r w:rsidR="00E34090" w:rsidRPr="00F76596">
        <w:t>,</w:t>
      </w:r>
      <w:r w:rsidRPr="00F76596">
        <w:t xml:space="preserve"> that the Rep</w:t>
      </w:r>
      <w:r w:rsidR="00C033F3" w:rsidRPr="00F76596">
        <w:t>orting Entity intends to report</w:t>
      </w:r>
      <w:r w:rsidRPr="00F76596">
        <w:t xml:space="preserve"> during the </w:t>
      </w:r>
      <w:r w:rsidR="000B660A" w:rsidRPr="00F76596">
        <w:t>Opt-In</w:t>
      </w:r>
      <w:r w:rsidRPr="00F76596">
        <w:t xml:space="preserve"> Reporting Phase;</w:t>
      </w:r>
    </w:p>
    <w:p w14:paraId="134EAAAA" w14:textId="77777777" w:rsidR="00577ABB" w:rsidRPr="00F76596" w:rsidRDefault="00577ABB" w:rsidP="00577ABB">
      <w:pPr>
        <w:pStyle w:val="MIRNote"/>
      </w:pPr>
      <w:r w:rsidRPr="00F76596">
        <w:t>Note: For example, the Reporting Entity may specify a class of Reportable Transactions that relates to a particular Prescribed Class.</w:t>
      </w:r>
    </w:p>
    <w:p w14:paraId="4BF60650" w14:textId="77777777" w:rsidR="00577ABB" w:rsidRPr="00F76596" w:rsidRDefault="00577ABB" w:rsidP="00577ABB">
      <w:pPr>
        <w:pStyle w:val="MIRSubpara"/>
      </w:pPr>
      <w:r w:rsidRPr="00F76596">
        <w:t>the Derivative Trade Data</w:t>
      </w:r>
      <w:r w:rsidR="00A73FCF" w:rsidRPr="00F76596">
        <w:t xml:space="preserve">, </w:t>
      </w:r>
      <w:r w:rsidR="0029300B" w:rsidRPr="00F76596">
        <w:t>being</w:t>
      </w:r>
      <w:r w:rsidR="00A73FCF" w:rsidRPr="00F76596">
        <w:t xml:space="preserve"> Derivative Transaction Information and Derivative Position Information,</w:t>
      </w:r>
      <w:r w:rsidR="00212BC1" w:rsidRPr="00F76596">
        <w:t xml:space="preserve"> or </w:t>
      </w:r>
      <w:r w:rsidR="00C56BC0" w:rsidRPr="00F76596">
        <w:t xml:space="preserve">information that is </w:t>
      </w:r>
      <w:r w:rsidR="00DB5457" w:rsidRPr="00F76596">
        <w:t>substantially equivalent to the</w:t>
      </w:r>
      <w:r w:rsidR="00C56BC0" w:rsidRPr="00F76596">
        <w:t xml:space="preserve"> Derivative Transaction Information and Derivative Position Information</w:t>
      </w:r>
      <w:r w:rsidR="006C554D" w:rsidRPr="00F76596">
        <w:t>,</w:t>
      </w:r>
      <w:r w:rsidR="00212BC1" w:rsidRPr="00F76596">
        <w:t xml:space="preserve"> that</w:t>
      </w:r>
      <w:r w:rsidRPr="00F76596">
        <w:t xml:space="preserve"> the Reporting Entity intends to report</w:t>
      </w:r>
      <w:r w:rsidR="00DF4500" w:rsidRPr="00F76596">
        <w:t xml:space="preserve"> during the </w:t>
      </w:r>
      <w:r w:rsidR="000B660A" w:rsidRPr="00F76596">
        <w:t>Opt-In</w:t>
      </w:r>
      <w:r w:rsidR="00DF4500" w:rsidRPr="00F76596">
        <w:t xml:space="preserve"> Reporting Phase</w:t>
      </w:r>
      <w:r w:rsidRPr="00F76596">
        <w:t xml:space="preserve"> in relation to the Reportable Transactions</w:t>
      </w:r>
      <w:r w:rsidR="00C85EED" w:rsidRPr="00F76596">
        <w:t>, and positions in relation to Reportable Transactions,</w:t>
      </w:r>
      <w:r w:rsidRPr="00F76596">
        <w:t xml:space="preserve"> referred to in paragraph (</w:t>
      </w:r>
      <w:r w:rsidR="00DF4500" w:rsidRPr="00F76596">
        <w:t>b</w:t>
      </w:r>
      <w:r w:rsidRPr="00F76596">
        <w:t>);</w:t>
      </w:r>
    </w:p>
    <w:p w14:paraId="385CFAA3" w14:textId="77777777" w:rsidR="00212BC1" w:rsidRPr="00F76596" w:rsidRDefault="00577ABB" w:rsidP="006A76E0">
      <w:pPr>
        <w:pStyle w:val="MIRSubpara"/>
      </w:pPr>
      <w:r w:rsidRPr="00F76596">
        <w:t>whether the Reporting Entity intends to report the Derivative Trade Data referred to in paragraph (</w:t>
      </w:r>
      <w:r w:rsidR="00225C6D" w:rsidRPr="00F76596">
        <w:t>c</w:t>
      </w:r>
      <w:r w:rsidRPr="00F76596">
        <w:t>) to</w:t>
      </w:r>
      <w:r w:rsidR="00A0368B" w:rsidRPr="00F76596">
        <w:t xml:space="preserve"> </w:t>
      </w:r>
      <w:r w:rsidRPr="00F76596">
        <w:t>a Licensed Repository or</w:t>
      </w:r>
      <w:r w:rsidR="00A0368B" w:rsidRPr="00F76596">
        <w:t xml:space="preserve"> </w:t>
      </w:r>
      <w:r w:rsidRPr="00F76596">
        <w:t>a Prescribed Repository</w:t>
      </w:r>
      <w:r w:rsidR="006A76E0" w:rsidRPr="00F76596">
        <w:t>, and the name of the Licensed Repository or Prescribed Repository</w:t>
      </w:r>
      <w:r w:rsidR="00212BC1" w:rsidRPr="00F76596">
        <w:t>;</w:t>
      </w:r>
      <w:r w:rsidR="00584888" w:rsidRPr="00F76596">
        <w:t xml:space="preserve"> and</w:t>
      </w:r>
    </w:p>
    <w:p w14:paraId="6208154E" w14:textId="77777777" w:rsidR="00577ABB" w:rsidRPr="00F76596" w:rsidRDefault="00577ABB" w:rsidP="00C70215">
      <w:pPr>
        <w:pStyle w:val="MIRSubpara"/>
      </w:pPr>
      <w:r w:rsidRPr="00F76596">
        <w:t>the date</w:t>
      </w:r>
      <w:r w:rsidR="00DA783B" w:rsidRPr="00F76596">
        <w:t xml:space="preserve"> </w:t>
      </w:r>
      <w:r w:rsidR="004C5A07" w:rsidRPr="00F76596">
        <w:t>(</w:t>
      </w:r>
      <w:r w:rsidR="004C5A07" w:rsidRPr="00F76596">
        <w:rPr>
          <w:b/>
          <w:i/>
        </w:rPr>
        <w:t>Effective Date</w:t>
      </w:r>
      <w:r w:rsidR="004C5A07" w:rsidRPr="00F76596">
        <w:t xml:space="preserve">) </w:t>
      </w:r>
      <w:r w:rsidR="00DA783B" w:rsidRPr="00F76596">
        <w:t xml:space="preserve">or series of </w:t>
      </w:r>
      <w:r w:rsidR="004C5A07" w:rsidRPr="00F76596">
        <w:t>Effective D</w:t>
      </w:r>
      <w:r w:rsidR="00DA783B" w:rsidRPr="00F76596">
        <w:t>ates</w:t>
      </w:r>
      <w:r w:rsidRPr="00F76596">
        <w:t xml:space="preserve"> from which the Reporting Entity intends to report </w:t>
      </w:r>
      <w:r w:rsidR="00AE2C6B" w:rsidRPr="00F76596">
        <w:t xml:space="preserve">during the </w:t>
      </w:r>
      <w:r w:rsidR="000B660A" w:rsidRPr="00F76596">
        <w:t>Opt-In</w:t>
      </w:r>
      <w:r w:rsidR="00AE2C6B" w:rsidRPr="00F76596">
        <w:t xml:space="preserve"> Reporting Phase </w:t>
      </w:r>
      <w:r w:rsidR="00900079" w:rsidRPr="00F76596">
        <w:t>the Derivative Trade Data referred to in paragraph (c)</w:t>
      </w:r>
      <w:r w:rsidR="00DE43FC" w:rsidRPr="00F76596">
        <w:t>,</w:t>
      </w:r>
      <w:r w:rsidR="00900079" w:rsidRPr="00F76596">
        <w:t xml:space="preserve"> in relation to the</w:t>
      </w:r>
      <w:r w:rsidR="00DA783B" w:rsidRPr="00F76596">
        <w:t xml:space="preserve"> Reportable Transaction</w:t>
      </w:r>
      <w:r w:rsidR="00BF6B34" w:rsidRPr="00F76596">
        <w:t>s</w:t>
      </w:r>
      <w:r w:rsidR="00DA783B" w:rsidRPr="00F76596">
        <w:t xml:space="preserve"> or class</w:t>
      </w:r>
      <w:r w:rsidR="00624E03" w:rsidRPr="00F76596">
        <w:t xml:space="preserve"> or classes</w:t>
      </w:r>
      <w:r w:rsidR="00DA783B" w:rsidRPr="00F76596">
        <w:t xml:space="preserve"> of Reportable Transaction</w:t>
      </w:r>
      <w:r w:rsidR="00900ABF" w:rsidRPr="00F76596">
        <w:t>s</w:t>
      </w:r>
      <w:r w:rsidR="00B90F2B" w:rsidRPr="00F76596">
        <w:t xml:space="preserve">, </w:t>
      </w:r>
      <w:r w:rsidR="00E30758" w:rsidRPr="00F76596">
        <w:t>and positions in relation to those Reportable Transactions,</w:t>
      </w:r>
      <w:r w:rsidR="00DA783B" w:rsidRPr="00F76596">
        <w:t xml:space="preserve"> </w:t>
      </w:r>
      <w:r w:rsidR="00927E2B" w:rsidRPr="00F76596">
        <w:t>referred to in paragraph (b)</w:t>
      </w:r>
      <w:r w:rsidR="005D66A4" w:rsidRPr="00F76596">
        <w:t>,</w:t>
      </w:r>
      <w:r w:rsidR="00D37275" w:rsidRPr="00F76596">
        <w:t xml:space="preserve"> to </w:t>
      </w:r>
      <w:r w:rsidR="00C8618C" w:rsidRPr="00F76596">
        <w:t>the</w:t>
      </w:r>
      <w:r w:rsidR="00D37275" w:rsidRPr="00F76596">
        <w:t xml:space="preserve"> Licensed Repository or Prescribed Repository</w:t>
      </w:r>
      <w:r w:rsidR="00C8618C" w:rsidRPr="00F76596">
        <w:t xml:space="preserve"> referred to in paragraph (d)</w:t>
      </w:r>
      <w:r w:rsidRPr="00F76596">
        <w:t>.</w:t>
      </w:r>
    </w:p>
    <w:p w14:paraId="6B264639" w14:textId="77777777" w:rsidR="003433D1" w:rsidRPr="00F76596" w:rsidRDefault="003433D1" w:rsidP="00577ABB">
      <w:pPr>
        <w:pStyle w:val="MIRBodyText"/>
      </w:pPr>
      <w:r w:rsidRPr="00F76596">
        <w:lastRenderedPageBreak/>
        <w:t xml:space="preserve">(2) </w:t>
      </w:r>
      <w:r w:rsidR="00146135" w:rsidRPr="00F76596">
        <w:t>Each</w:t>
      </w:r>
      <w:r w:rsidRPr="00F76596">
        <w:t xml:space="preserve"> Effective Date must be a date that falls on or after 1 July 2013 and on or after the date on which the Opt-In Notice is lodged</w:t>
      </w:r>
      <w:r w:rsidR="002E6909" w:rsidRPr="00F76596">
        <w:t xml:space="preserve">, and </w:t>
      </w:r>
      <w:r w:rsidR="005E34A7" w:rsidRPr="00F76596">
        <w:t>an</w:t>
      </w:r>
      <w:r w:rsidR="002E6909" w:rsidRPr="00F76596">
        <w:t xml:space="preserve"> Effective Date in respect of a </w:t>
      </w:r>
      <w:r w:rsidR="00BF6B34" w:rsidRPr="00F76596">
        <w:t>position in relation to a Reportable Transaction,</w:t>
      </w:r>
      <w:r w:rsidR="002E6909" w:rsidRPr="00F76596">
        <w:t xml:space="preserve"> must be </w:t>
      </w:r>
      <w:r w:rsidR="005E34A7" w:rsidRPr="00F76596">
        <w:t xml:space="preserve">a date </w:t>
      </w:r>
      <w:r w:rsidR="002E6909" w:rsidRPr="00F76596">
        <w:t xml:space="preserve">no later than </w:t>
      </w:r>
      <w:r w:rsidR="00113F4F" w:rsidRPr="00F76596">
        <w:t>30 September 2014</w:t>
      </w:r>
      <w:r w:rsidRPr="00F76596">
        <w:t>.</w:t>
      </w:r>
    </w:p>
    <w:p w14:paraId="3660E055" w14:textId="77777777" w:rsidR="00577ABB" w:rsidRPr="00F76596" w:rsidRDefault="00577ABB" w:rsidP="00577ABB">
      <w:pPr>
        <w:pStyle w:val="MIRBodyText"/>
      </w:pPr>
      <w:r w:rsidRPr="00F76596">
        <w:t>(</w:t>
      </w:r>
      <w:r w:rsidR="003433D1" w:rsidRPr="00F76596">
        <w:t>3</w:t>
      </w:r>
      <w:r w:rsidRPr="00F76596">
        <w:t xml:space="preserve">) ASIC may publish on its website </w:t>
      </w:r>
      <w:r w:rsidR="00324F23" w:rsidRPr="00F76596">
        <w:t>any Opt-In Notice given to it by a Reporting Entity</w:t>
      </w:r>
      <w:r w:rsidRPr="00F76596">
        <w:t>.</w:t>
      </w:r>
    </w:p>
    <w:p w14:paraId="3D8AFED0" w14:textId="77777777" w:rsidR="00C90F1A" w:rsidRPr="00F76596" w:rsidRDefault="00C90F1A" w:rsidP="00C90F1A">
      <w:pPr>
        <w:pStyle w:val="MIRNote"/>
      </w:pPr>
      <w:r w:rsidRPr="00F76596">
        <w:t>Note: Under Rule 2.2.1</w:t>
      </w:r>
      <w:r w:rsidR="00EE52C5" w:rsidRPr="00F76596">
        <w:t xml:space="preserve"> and</w:t>
      </w:r>
      <w:r w:rsidRPr="00F76596">
        <w:t xml:space="preserve"> Part</w:t>
      </w:r>
      <w:r w:rsidR="00EE52C5" w:rsidRPr="00F76596">
        <w:t>s</w:t>
      </w:r>
      <w:r w:rsidRPr="00F76596">
        <w:t xml:space="preserve"> S1.1 and S1.2</w:t>
      </w:r>
      <w:r w:rsidR="00EE52C5" w:rsidRPr="00F76596">
        <w:t xml:space="preserve"> of Schedule 1</w:t>
      </w:r>
      <w:r w:rsidRPr="00F76596">
        <w:t xml:space="preserve">, a Reporting Entity that has lodged an </w:t>
      </w:r>
      <w:r w:rsidR="000B660A" w:rsidRPr="00F76596">
        <w:t>Opt-In</w:t>
      </w:r>
      <w:r w:rsidRPr="00F76596">
        <w:t xml:space="preserve"> Notice </w:t>
      </w:r>
      <w:r w:rsidR="0028775D" w:rsidRPr="00F76596">
        <w:t xml:space="preserve">in accordance with this Rule </w:t>
      </w:r>
      <w:r w:rsidR="00810918" w:rsidRPr="00F76596">
        <w:t>must</w:t>
      </w:r>
      <w:r w:rsidR="00F1750C" w:rsidRPr="00F76596">
        <w:rPr>
          <w:sz w:val="22"/>
          <w:szCs w:val="20"/>
        </w:rPr>
        <w:t xml:space="preserve"> </w:t>
      </w:r>
      <w:r w:rsidR="00810918" w:rsidRPr="00F76596">
        <w:t>comply with</w:t>
      </w:r>
      <w:r w:rsidR="00FA7C43" w:rsidRPr="00F76596">
        <w:t xml:space="preserve"> the</w:t>
      </w:r>
      <w:r w:rsidR="00810918" w:rsidRPr="00F76596">
        <w:t xml:space="preserve"> </w:t>
      </w:r>
      <w:r w:rsidR="001F09AF" w:rsidRPr="00F76596">
        <w:t>applicable</w:t>
      </w:r>
      <w:r w:rsidR="00AC390F" w:rsidRPr="00F76596">
        <w:t xml:space="preserve"> </w:t>
      </w:r>
      <w:r w:rsidR="00810918" w:rsidRPr="00F76596">
        <w:t xml:space="preserve">Transaction Reporting Requirements and Position Reporting Requirements </w:t>
      </w:r>
      <w:r w:rsidR="00AC390F" w:rsidRPr="00F76596">
        <w:t>during the Opt-In Reporting Phase</w:t>
      </w:r>
      <w:r w:rsidRPr="00F76596">
        <w:t>.</w:t>
      </w:r>
    </w:p>
    <w:p w14:paraId="185E348D" w14:textId="77777777" w:rsidR="00B020E6" w:rsidRPr="00F76596" w:rsidRDefault="003F0DFE">
      <w:pPr>
        <w:pStyle w:val="MIRHeading3Rule"/>
      </w:pPr>
      <w:r w:rsidRPr="00F76596">
        <w:t>2.4.2</w:t>
      </w:r>
      <w:r w:rsidRPr="00F76596">
        <w:tab/>
      </w:r>
      <w:r w:rsidR="00A74C7E" w:rsidRPr="00F76596">
        <w:t xml:space="preserve">Conditional </w:t>
      </w:r>
      <w:r w:rsidR="0091574F" w:rsidRPr="00F76596">
        <w:t xml:space="preserve">alternative reporting and </w:t>
      </w:r>
      <w:r w:rsidR="003F41A8" w:rsidRPr="00F76596">
        <w:t>o</w:t>
      </w:r>
      <w:r w:rsidRPr="00F76596">
        <w:t>ne-sided reporting</w:t>
      </w:r>
      <w:r w:rsidR="009608EF" w:rsidRPr="00F76596">
        <w:t xml:space="preserve"> until 1 October 2014</w:t>
      </w:r>
    </w:p>
    <w:p w14:paraId="7112C788" w14:textId="77777777" w:rsidR="0091574F" w:rsidRPr="00F76596" w:rsidRDefault="0091574F" w:rsidP="0091574F">
      <w:pPr>
        <w:pStyle w:val="MIRHeading5"/>
      </w:pPr>
      <w:r w:rsidRPr="00F76596">
        <w:t xml:space="preserve">Alternative reporting—Phase 1 and </w:t>
      </w:r>
      <w:r w:rsidR="00BA653C" w:rsidRPr="00F76596">
        <w:t xml:space="preserve">first stage of </w:t>
      </w:r>
      <w:r w:rsidRPr="00F76596">
        <w:t xml:space="preserve">Phase 2 </w:t>
      </w:r>
    </w:p>
    <w:p w14:paraId="787DA317" w14:textId="77777777" w:rsidR="00624158" w:rsidRPr="00F76596" w:rsidRDefault="0091574F" w:rsidP="00E230D6">
      <w:pPr>
        <w:pStyle w:val="MIRBodyText"/>
      </w:pPr>
      <w:r w:rsidRPr="00F76596">
        <w:t xml:space="preserve">(1) </w:t>
      </w:r>
      <w:r w:rsidR="001F2886" w:rsidRPr="00F76596">
        <w:t>Subject to subrule (4)</w:t>
      </w:r>
      <w:r w:rsidR="00436056" w:rsidRPr="00F76596">
        <w:t xml:space="preserve"> and </w:t>
      </w:r>
      <w:r w:rsidR="008D0E81" w:rsidRPr="00F76596">
        <w:t>Rule 2.4.</w:t>
      </w:r>
      <w:r w:rsidR="00270082" w:rsidRPr="00F76596">
        <w:t>5</w:t>
      </w:r>
      <w:r w:rsidR="001F2886" w:rsidRPr="00F76596">
        <w:t xml:space="preserve">, </w:t>
      </w:r>
      <w:r w:rsidR="00CC60B1" w:rsidRPr="00F76596">
        <w:t>a</w:t>
      </w:r>
      <w:r w:rsidRPr="00F76596">
        <w:t xml:space="preserve"> Reporting Entity that is required </w:t>
      </w:r>
      <w:r w:rsidR="005B7FB4" w:rsidRPr="00F76596">
        <w:t>by</w:t>
      </w:r>
      <w:r w:rsidR="00356DBB" w:rsidRPr="00F76596">
        <w:t xml:space="preserve"> subrule 2.2.1(1) </w:t>
      </w:r>
      <w:r w:rsidRPr="00F76596">
        <w:t>to report Derivative Transaction Information</w:t>
      </w:r>
      <w:r w:rsidR="004044CD" w:rsidRPr="00F76596">
        <w:t xml:space="preserve"> about a Reportable Transaction</w:t>
      </w:r>
      <w:r w:rsidRPr="00F76596">
        <w:t xml:space="preserve"> </w:t>
      </w:r>
      <w:r w:rsidR="004044CD" w:rsidRPr="00F76596">
        <w:t xml:space="preserve">to </w:t>
      </w:r>
      <w:r w:rsidR="00356DBB" w:rsidRPr="00F76596">
        <w:t>a Licensed Repository or Prescribed Repository</w:t>
      </w:r>
      <w:r w:rsidR="00FF6C36" w:rsidRPr="00F76596">
        <w:t xml:space="preserve"> in accordance with the requirements of</w:t>
      </w:r>
      <w:r w:rsidR="0062288C" w:rsidRPr="00F76596">
        <w:t xml:space="preserve"> Part 2.2, is taken to comply with subrule 2.2.1(1) and the requirements of Part 2.2</w:t>
      </w:r>
      <w:r w:rsidR="00E230D6" w:rsidRPr="00F76596">
        <w:t xml:space="preserve"> </w:t>
      </w:r>
      <w:r w:rsidR="003949E1" w:rsidRPr="00F76596">
        <w:t xml:space="preserve">in relation to the Reportable Transaction </w:t>
      </w:r>
      <w:r w:rsidR="00E230D6" w:rsidRPr="00F76596">
        <w:t>where</w:t>
      </w:r>
      <w:r w:rsidR="00624158" w:rsidRPr="00F76596">
        <w:t>:</w:t>
      </w:r>
    </w:p>
    <w:p w14:paraId="06E69EC6" w14:textId="77777777" w:rsidR="00624158" w:rsidRPr="00F76596" w:rsidRDefault="00624158" w:rsidP="00E85C6A">
      <w:pPr>
        <w:pStyle w:val="MIRSubpara"/>
      </w:pPr>
      <w:r w:rsidRPr="00F76596">
        <w:t xml:space="preserve">the </w:t>
      </w:r>
      <w:r w:rsidR="000B1700" w:rsidRPr="00F76596">
        <w:t>Reporting</w:t>
      </w:r>
      <w:r w:rsidRPr="00F76596">
        <w:t xml:space="preserve"> Entity reports information (</w:t>
      </w:r>
      <w:r w:rsidR="00387CEA" w:rsidRPr="00F76596">
        <w:t xml:space="preserve">in this subrule, </w:t>
      </w:r>
      <w:r w:rsidRPr="00F76596">
        <w:t xml:space="preserve">the </w:t>
      </w:r>
      <w:r w:rsidRPr="00F76596">
        <w:rPr>
          <w:b/>
          <w:i/>
        </w:rPr>
        <w:t>Equivalent Information</w:t>
      </w:r>
      <w:r w:rsidRPr="00F76596">
        <w:t xml:space="preserve">) </w:t>
      </w:r>
      <w:r w:rsidR="009B634A" w:rsidRPr="00F76596">
        <w:t>that is substantially equivalent to the Derivative Transaction Information, about the Reportable Transaction, to a Prescribed Repository</w:t>
      </w:r>
      <w:r w:rsidRPr="00F76596">
        <w:t>;</w:t>
      </w:r>
    </w:p>
    <w:p w14:paraId="5865B751" w14:textId="77777777" w:rsidR="00624158" w:rsidRPr="00F76596" w:rsidRDefault="00624158" w:rsidP="00E85C6A">
      <w:pPr>
        <w:pStyle w:val="MIRSubpara"/>
      </w:pPr>
      <w:r w:rsidRPr="00F76596">
        <w:t xml:space="preserve">the Equivalent Information </w:t>
      </w:r>
      <w:r w:rsidR="009B634A" w:rsidRPr="00F76596">
        <w:t xml:space="preserve">is </w:t>
      </w:r>
      <w:r w:rsidRPr="00F76596">
        <w:t>reported</w:t>
      </w:r>
      <w:r w:rsidR="009B634A" w:rsidRPr="00F76596">
        <w:t xml:space="preserve"> substantially in accordance with the requirements of Part 2.2</w:t>
      </w:r>
      <w:r w:rsidRPr="00F76596">
        <w:t>; and</w:t>
      </w:r>
    </w:p>
    <w:p w14:paraId="513690C4" w14:textId="77777777" w:rsidR="00624158" w:rsidRPr="00F76596" w:rsidRDefault="00624158" w:rsidP="00E85C6A">
      <w:pPr>
        <w:pStyle w:val="MIRSubpara"/>
      </w:pPr>
      <w:r w:rsidRPr="00F76596">
        <w:t>the Prescribed Repository has accepted the report.</w:t>
      </w:r>
    </w:p>
    <w:p w14:paraId="355C9016" w14:textId="77777777" w:rsidR="007C299F" w:rsidRPr="00F76596" w:rsidRDefault="00F66486" w:rsidP="00F55A6A">
      <w:pPr>
        <w:pStyle w:val="MIRHeading5"/>
      </w:pPr>
      <w:r w:rsidRPr="00F76596">
        <w:t>One</w:t>
      </w:r>
      <w:r w:rsidR="007C299F" w:rsidRPr="00F76596">
        <w:t>-sided reporting of transactions with another Reporting Entity</w:t>
      </w:r>
    </w:p>
    <w:p w14:paraId="3B107083" w14:textId="77777777" w:rsidR="009D7B07" w:rsidRPr="00F76596" w:rsidRDefault="00306C90" w:rsidP="009D7B07">
      <w:pPr>
        <w:pStyle w:val="MIRBodyText"/>
      </w:pPr>
      <w:r w:rsidRPr="00F76596">
        <w:t>(</w:t>
      </w:r>
      <w:r w:rsidR="0091574F" w:rsidRPr="00F76596">
        <w:t>2</w:t>
      </w:r>
      <w:r w:rsidRPr="00F76596">
        <w:t xml:space="preserve">) </w:t>
      </w:r>
      <w:r w:rsidR="00436056" w:rsidRPr="00F76596">
        <w:t xml:space="preserve">Subject to subrule (4) and </w:t>
      </w:r>
      <w:r w:rsidR="006358DC" w:rsidRPr="00F76596">
        <w:t>Rule 2.4.</w:t>
      </w:r>
      <w:r w:rsidR="00270082" w:rsidRPr="00F76596">
        <w:t>5</w:t>
      </w:r>
      <w:r w:rsidR="0062288C" w:rsidRPr="00F76596">
        <w:t>, a</w:t>
      </w:r>
      <w:r w:rsidR="00C81814" w:rsidRPr="00F76596">
        <w:t xml:space="preserve"> Reporting Entity </w:t>
      </w:r>
      <w:r w:rsidR="00EB5D6E" w:rsidRPr="00F76596">
        <w:t xml:space="preserve">that is required </w:t>
      </w:r>
      <w:r w:rsidR="00997A3C" w:rsidRPr="00F76596">
        <w:t>by</w:t>
      </w:r>
      <w:r w:rsidR="00EB5D6E" w:rsidRPr="00F76596">
        <w:t xml:space="preserve"> </w:t>
      </w:r>
      <w:r w:rsidR="00C076DE" w:rsidRPr="00F76596">
        <w:t>subr</w:t>
      </w:r>
      <w:r w:rsidR="00EB5D6E" w:rsidRPr="00F76596">
        <w:t>ule 2.2.1</w:t>
      </w:r>
      <w:r w:rsidR="00C076DE" w:rsidRPr="00F76596">
        <w:t>(1)</w:t>
      </w:r>
      <w:r w:rsidR="00EB5D6E" w:rsidRPr="00F76596">
        <w:t xml:space="preserve"> to report </w:t>
      </w:r>
      <w:r w:rsidR="00716007" w:rsidRPr="00F76596">
        <w:t xml:space="preserve">Derivative Transaction Information about a </w:t>
      </w:r>
      <w:r w:rsidR="00EB5D6E" w:rsidRPr="00F76596">
        <w:t xml:space="preserve">Reportable Transaction </w:t>
      </w:r>
      <w:r w:rsidR="00716007" w:rsidRPr="00F76596">
        <w:t>to a Licensed Repository or Prescribed Repository</w:t>
      </w:r>
      <w:r w:rsidR="005A49CE" w:rsidRPr="00F76596">
        <w:t xml:space="preserve"> in accordance with the requirements of Part 2.2</w:t>
      </w:r>
      <w:r w:rsidR="00526979" w:rsidRPr="00F76596">
        <w:t>,</w:t>
      </w:r>
      <w:r w:rsidR="00EB5D6E" w:rsidRPr="00F76596">
        <w:t xml:space="preserve"> </w:t>
      </w:r>
      <w:r w:rsidR="00C81814" w:rsidRPr="00F76596">
        <w:t xml:space="preserve">is </w:t>
      </w:r>
      <w:r w:rsidR="00B95F04" w:rsidRPr="00F76596">
        <w:t>taken</w:t>
      </w:r>
      <w:r w:rsidR="00C81814" w:rsidRPr="00F76596">
        <w:t xml:space="preserve"> to comply </w:t>
      </w:r>
      <w:r w:rsidR="00EB5D6E" w:rsidRPr="00F76596">
        <w:t xml:space="preserve">with </w:t>
      </w:r>
      <w:r w:rsidR="00C96D58" w:rsidRPr="00F76596">
        <w:t>subr</w:t>
      </w:r>
      <w:r w:rsidR="00C81814" w:rsidRPr="00F76596">
        <w:t>ule 2.2.1</w:t>
      </w:r>
      <w:r w:rsidR="00C96D58" w:rsidRPr="00F76596">
        <w:t>(1)</w:t>
      </w:r>
      <w:r w:rsidR="005A49CE" w:rsidRPr="00F76596">
        <w:t xml:space="preserve"> and the requirements of Part 2.2</w:t>
      </w:r>
      <w:r w:rsidR="00EB5D6E" w:rsidRPr="00F76596">
        <w:t xml:space="preserve"> in relation to that Reportable Transaction</w:t>
      </w:r>
      <w:r w:rsidR="00C81814" w:rsidRPr="00F76596">
        <w:t xml:space="preserve"> w</w:t>
      </w:r>
      <w:r w:rsidR="0073471D" w:rsidRPr="00F76596">
        <w:t>here:</w:t>
      </w:r>
    </w:p>
    <w:p w14:paraId="00B9273D" w14:textId="77777777" w:rsidR="00716007" w:rsidRPr="00F76596" w:rsidRDefault="00FB3944" w:rsidP="005376C2">
      <w:pPr>
        <w:pStyle w:val="MIRSubpara"/>
      </w:pPr>
      <w:r w:rsidRPr="00F76596">
        <w:t xml:space="preserve">another </w:t>
      </w:r>
      <w:r w:rsidR="00533755" w:rsidRPr="00F76596">
        <w:t>Reporting Entit</w:t>
      </w:r>
      <w:r w:rsidR="00A112B7" w:rsidRPr="00F76596">
        <w:t>y</w:t>
      </w:r>
      <w:r w:rsidR="008F2C9E" w:rsidRPr="00F76596">
        <w:t xml:space="preserve"> </w:t>
      </w:r>
      <w:r w:rsidR="003757B3" w:rsidRPr="00F76596">
        <w:t>(</w:t>
      </w:r>
      <w:r w:rsidR="00AC59E4" w:rsidRPr="00F76596">
        <w:t xml:space="preserve">in this </w:t>
      </w:r>
      <w:r w:rsidR="00723E7E" w:rsidRPr="00F76596">
        <w:t>subr</w:t>
      </w:r>
      <w:r w:rsidR="00AC59E4" w:rsidRPr="00F76596">
        <w:t xml:space="preserve">ule, the </w:t>
      </w:r>
      <w:r w:rsidR="00843B1E" w:rsidRPr="00F76596">
        <w:rPr>
          <w:b/>
          <w:i/>
        </w:rPr>
        <w:t>O</w:t>
      </w:r>
      <w:r w:rsidR="003757B3" w:rsidRPr="00F76596">
        <w:rPr>
          <w:b/>
          <w:i/>
        </w:rPr>
        <w:t>ther Reporting Entity</w:t>
      </w:r>
      <w:r w:rsidR="003757B3" w:rsidRPr="00F76596">
        <w:t xml:space="preserve">) </w:t>
      </w:r>
      <w:r w:rsidR="0073471D" w:rsidRPr="00F76596">
        <w:t xml:space="preserve">is </w:t>
      </w:r>
      <w:r w:rsidR="00716007" w:rsidRPr="00F76596">
        <w:t>required by</w:t>
      </w:r>
      <w:r w:rsidR="0073471D" w:rsidRPr="00F76596">
        <w:t xml:space="preserve"> </w:t>
      </w:r>
      <w:r w:rsidR="00C076DE" w:rsidRPr="00F76596">
        <w:t>subr</w:t>
      </w:r>
      <w:r w:rsidR="0073471D" w:rsidRPr="00F76596">
        <w:t>ule 2.2.1</w:t>
      </w:r>
      <w:r w:rsidR="00C076DE" w:rsidRPr="00F76596">
        <w:t>(1)</w:t>
      </w:r>
      <w:r w:rsidR="00716007" w:rsidRPr="00F76596">
        <w:t xml:space="preserve"> to report</w:t>
      </w:r>
      <w:r w:rsidR="009D7B07" w:rsidRPr="00F76596">
        <w:t xml:space="preserve"> </w:t>
      </w:r>
      <w:r w:rsidR="00751494" w:rsidRPr="00F76596">
        <w:t xml:space="preserve">Derivative Transaction Information about the same Reportable Transaction to a Licensed Repository or Prescribed </w:t>
      </w:r>
      <w:r w:rsidR="008D3065" w:rsidRPr="00F76596">
        <w:t>Repository</w:t>
      </w:r>
      <w:r w:rsidR="00F645EF" w:rsidRPr="00F76596">
        <w:t xml:space="preserve"> in accordance with the requirements of Part 2.2</w:t>
      </w:r>
      <w:r w:rsidR="001F30FC" w:rsidRPr="00F76596">
        <w:t>;</w:t>
      </w:r>
    </w:p>
    <w:p w14:paraId="5A22F3E0" w14:textId="77777777" w:rsidR="003438E5" w:rsidRPr="00F76596" w:rsidRDefault="005E73CF" w:rsidP="00D26B4F">
      <w:pPr>
        <w:pStyle w:val="MIRSubpara"/>
      </w:pPr>
      <w:r w:rsidRPr="00F76596">
        <w:t>the O</w:t>
      </w:r>
      <w:r w:rsidR="00D26B4F" w:rsidRPr="00F76596">
        <w:t xml:space="preserve">ther Reporting Entity has reported </w:t>
      </w:r>
      <w:r w:rsidR="00D41799" w:rsidRPr="00F76596">
        <w:t xml:space="preserve">the </w:t>
      </w:r>
      <w:r w:rsidR="00D26B4F" w:rsidRPr="00F76596">
        <w:t xml:space="preserve">Derivative Transaction Information about the same Reportable Transaction to a Licensed Repository or Prescribed Repository </w:t>
      </w:r>
      <w:r w:rsidR="003438E5" w:rsidRPr="00F76596">
        <w:t xml:space="preserve">in accordance with </w:t>
      </w:r>
      <w:r w:rsidR="00C076DE" w:rsidRPr="00F76596">
        <w:t>subr</w:t>
      </w:r>
      <w:r w:rsidR="003438E5" w:rsidRPr="00F76596">
        <w:t>ule 2.2.1</w:t>
      </w:r>
      <w:r w:rsidR="00C076DE" w:rsidRPr="00F76596">
        <w:t>(1)</w:t>
      </w:r>
      <w:r w:rsidR="00F645EF" w:rsidRPr="00F76596">
        <w:t xml:space="preserve"> and the requirements of Part 2.2</w:t>
      </w:r>
      <w:r w:rsidR="003438E5" w:rsidRPr="00F76596">
        <w:t>;</w:t>
      </w:r>
      <w:r w:rsidR="00752AF2" w:rsidRPr="00F76596">
        <w:t xml:space="preserve"> and</w:t>
      </w:r>
    </w:p>
    <w:p w14:paraId="09F2B25E" w14:textId="77777777" w:rsidR="001F30FC" w:rsidRPr="00F76596" w:rsidRDefault="00D26B4F" w:rsidP="00D26B4F">
      <w:pPr>
        <w:pStyle w:val="MIRSubpara"/>
      </w:pPr>
      <w:r w:rsidRPr="00F76596">
        <w:t>the Licensed Repository or Prescribed Repository (as applicable) has accepted the report.</w:t>
      </w:r>
    </w:p>
    <w:p w14:paraId="3EB184DC" w14:textId="77777777" w:rsidR="006E0C49" w:rsidRPr="00F76596" w:rsidRDefault="00F66486" w:rsidP="00F55A6A">
      <w:pPr>
        <w:pStyle w:val="MIRHeading5"/>
      </w:pPr>
      <w:r w:rsidRPr="00F76596">
        <w:lastRenderedPageBreak/>
        <w:t>One</w:t>
      </w:r>
      <w:r w:rsidR="006E0C49" w:rsidRPr="00F76596">
        <w:t xml:space="preserve">-sided reporting of transactions with </w:t>
      </w:r>
      <w:r w:rsidR="006E1839" w:rsidRPr="00F76596">
        <w:t>another entity that is not a</w:t>
      </w:r>
      <w:r w:rsidR="006E0C49" w:rsidRPr="00F76596">
        <w:t xml:space="preserve"> Reporting Entity</w:t>
      </w:r>
    </w:p>
    <w:p w14:paraId="3B42B50D" w14:textId="77777777" w:rsidR="004E54B1" w:rsidRPr="00F76596" w:rsidRDefault="004E54B1" w:rsidP="004E54B1">
      <w:pPr>
        <w:pStyle w:val="MIRBodyText"/>
      </w:pPr>
      <w:r w:rsidRPr="00F76596">
        <w:t>(</w:t>
      </w:r>
      <w:r w:rsidR="0091574F" w:rsidRPr="00F76596">
        <w:t>3</w:t>
      </w:r>
      <w:r w:rsidRPr="00F76596">
        <w:t xml:space="preserve">) </w:t>
      </w:r>
      <w:r w:rsidR="00B63856" w:rsidRPr="00F76596">
        <w:t>Subject to subrule (4)</w:t>
      </w:r>
      <w:r w:rsidR="00AD2E8A" w:rsidRPr="00F76596">
        <w:t xml:space="preserve"> and</w:t>
      </w:r>
      <w:r w:rsidR="00B63856" w:rsidRPr="00F76596">
        <w:t xml:space="preserve"> </w:t>
      </w:r>
      <w:r w:rsidR="00341E5D" w:rsidRPr="00F76596">
        <w:t>Rule 2.4.</w:t>
      </w:r>
      <w:r w:rsidR="00270082" w:rsidRPr="00F76596">
        <w:t>5</w:t>
      </w:r>
      <w:r w:rsidR="00AD2E8A" w:rsidRPr="00F76596">
        <w:t>,</w:t>
      </w:r>
      <w:r w:rsidR="00B63856" w:rsidRPr="00F76596">
        <w:t xml:space="preserve"> </w:t>
      </w:r>
      <w:r w:rsidR="0062288C" w:rsidRPr="00F76596">
        <w:t>a</w:t>
      </w:r>
      <w:r w:rsidRPr="00F76596">
        <w:t xml:space="preserve"> Reporting Entity that is required by </w:t>
      </w:r>
      <w:r w:rsidR="00C945B7" w:rsidRPr="00F76596">
        <w:t>subr</w:t>
      </w:r>
      <w:r w:rsidRPr="00F76596">
        <w:t>ule 2.2.1</w:t>
      </w:r>
      <w:r w:rsidR="00C945B7" w:rsidRPr="00F76596">
        <w:t>(1)</w:t>
      </w:r>
      <w:r w:rsidRPr="00F76596">
        <w:t xml:space="preserve"> to report Derivative Transaction Information about a Reportable Transaction to a Licensed Repository or Prescribed Repository</w:t>
      </w:r>
      <w:r w:rsidR="00891DB9" w:rsidRPr="00F76596">
        <w:t xml:space="preserve"> in accordance with the requirements of Part 2.2,</w:t>
      </w:r>
      <w:r w:rsidRPr="00F76596">
        <w:t xml:space="preserve"> is </w:t>
      </w:r>
      <w:r w:rsidR="00F77263" w:rsidRPr="00F76596">
        <w:t>taken to</w:t>
      </w:r>
      <w:r w:rsidRPr="00F76596">
        <w:t xml:space="preserve"> comply with </w:t>
      </w:r>
      <w:r w:rsidR="00C06A61" w:rsidRPr="00F76596">
        <w:t>subr</w:t>
      </w:r>
      <w:r w:rsidRPr="00F76596">
        <w:t>ule 2.2.1</w:t>
      </w:r>
      <w:r w:rsidR="00C06A61" w:rsidRPr="00F76596">
        <w:t>(1)</w:t>
      </w:r>
      <w:r w:rsidRPr="00F76596">
        <w:t xml:space="preserve"> </w:t>
      </w:r>
      <w:r w:rsidR="00891DB9" w:rsidRPr="00F76596">
        <w:t xml:space="preserve">and the requirements of Part 2.2 </w:t>
      </w:r>
      <w:r w:rsidRPr="00F76596">
        <w:t>in relation to that Reportable Transaction where:</w:t>
      </w:r>
    </w:p>
    <w:p w14:paraId="0928985B" w14:textId="77777777" w:rsidR="004E54B1" w:rsidRPr="00F76596" w:rsidRDefault="004E54B1" w:rsidP="00DB22C8">
      <w:pPr>
        <w:pStyle w:val="MIRSubpara"/>
      </w:pPr>
      <w:r w:rsidRPr="00F76596">
        <w:t xml:space="preserve">another </w:t>
      </w:r>
      <w:r w:rsidR="00DB22C8" w:rsidRPr="00F76596">
        <w:t xml:space="preserve">entity </w:t>
      </w:r>
      <w:r w:rsidRPr="00F76596">
        <w:t>(</w:t>
      </w:r>
      <w:r w:rsidR="00723E7E" w:rsidRPr="00F76596">
        <w:t>in this subr</w:t>
      </w:r>
      <w:r w:rsidR="00AC59E4" w:rsidRPr="00F76596">
        <w:t xml:space="preserve">ule, the </w:t>
      </w:r>
      <w:r w:rsidR="00DB22C8" w:rsidRPr="00F76596">
        <w:rPr>
          <w:b/>
          <w:i/>
        </w:rPr>
        <w:t>O</w:t>
      </w:r>
      <w:r w:rsidRPr="00F76596">
        <w:rPr>
          <w:b/>
          <w:i/>
        </w:rPr>
        <w:t xml:space="preserve">ther </w:t>
      </w:r>
      <w:r w:rsidR="00DB22C8" w:rsidRPr="00F76596">
        <w:rPr>
          <w:b/>
          <w:i/>
        </w:rPr>
        <w:t>E</w:t>
      </w:r>
      <w:r w:rsidRPr="00F76596">
        <w:rPr>
          <w:b/>
          <w:i/>
        </w:rPr>
        <w:t>ntity</w:t>
      </w:r>
      <w:r w:rsidRPr="00F76596">
        <w:t xml:space="preserve">) is required </w:t>
      </w:r>
      <w:r w:rsidR="00FE1F44" w:rsidRPr="00F76596">
        <w:t xml:space="preserve">under the requirements </w:t>
      </w:r>
      <w:r w:rsidR="000A1D6E" w:rsidRPr="00F76596">
        <w:t>(</w:t>
      </w:r>
      <w:r w:rsidR="00AC59E4" w:rsidRPr="00F76596">
        <w:t xml:space="preserve">in this </w:t>
      </w:r>
      <w:r w:rsidR="00723E7E" w:rsidRPr="00F76596">
        <w:t>subr</w:t>
      </w:r>
      <w:r w:rsidR="00AC59E4" w:rsidRPr="00F76596">
        <w:t xml:space="preserve">ule, the </w:t>
      </w:r>
      <w:r w:rsidR="000A1D6E" w:rsidRPr="00F76596">
        <w:rPr>
          <w:b/>
          <w:i/>
        </w:rPr>
        <w:t>Foreign Requirements</w:t>
      </w:r>
      <w:r w:rsidR="000A1D6E" w:rsidRPr="00F76596">
        <w:t xml:space="preserve">) </w:t>
      </w:r>
      <w:r w:rsidR="00FE1F44" w:rsidRPr="00F76596">
        <w:t>of a</w:t>
      </w:r>
      <w:r w:rsidR="002B17EA" w:rsidRPr="00F76596">
        <w:t xml:space="preserve"> foreign</w:t>
      </w:r>
      <w:r w:rsidR="00FE1F44" w:rsidRPr="00F76596">
        <w:t xml:space="preserve"> jurisdiction to report information</w:t>
      </w:r>
      <w:r w:rsidR="000375B3" w:rsidRPr="00F76596">
        <w:t xml:space="preserve"> (</w:t>
      </w:r>
      <w:r w:rsidR="00AC59E4" w:rsidRPr="00F76596">
        <w:t xml:space="preserve">in this </w:t>
      </w:r>
      <w:r w:rsidR="00723E7E" w:rsidRPr="00F76596">
        <w:t>subr</w:t>
      </w:r>
      <w:r w:rsidR="00AC59E4" w:rsidRPr="00F76596">
        <w:t>ule</w:t>
      </w:r>
      <w:r w:rsidR="00DC1157" w:rsidRPr="00F76596">
        <w:t xml:space="preserve">, </w:t>
      </w:r>
      <w:r w:rsidR="000375B3" w:rsidRPr="00F76596">
        <w:rPr>
          <w:b/>
          <w:i/>
        </w:rPr>
        <w:t>Equivalent Information</w:t>
      </w:r>
      <w:r w:rsidR="000375B3" w:rsidRPr="00F76596">
        <w:t>)</w:t>
      </w:r>
      <w:r w:rsidR="00FE1F44" w:rsidRPr="00F76596">
        <w:t xml:space="preserve"> that is </w:t>
      </w:r>
      <w:r w:rsidR="007311F6" w:rsidRPr="00F76596">
        <w:t>substantially equivalent</w:t>
      </w:r>
      <w:r w:rsidR="00FE1F44" w:rsidRPr="00F76596">
        <w:t xml:space="preserve"> </w:t>
      </w:r>
      <w:r w:rsidR="007311F6" w:rsidRPr="00F76596">
        <w:t xml:space="preserve">to </w:t>
      </w:r>
      <w:r w:rsidR="00FE1F44" w:rsidRPr="00F76596">
        <w:t xml:space="preserve">the </w:t>
      </w:r>
      <w:r w:rsidRPr="00F76596">
        <w:t>Derivative Transaction Information</w:t>
      </w:r>
      <w:r w:rsidR="00FE1F44" w:rsidRPr="00F76596">
        <w:t>,</w:t>
      </w:r>
      <w:r w:rsidRPr="00F76596">
        <w:t xml:space="preserve"> about the same Reportable Transaction</w:t>
      </w:r>
      <w:r w:rsidR="00FE1F44" w:rsidRPr="00F76596">
        <w:t>,</w:t>
      </w:r>
      <w:r w:rsidRPr="00F76596">
        <w:t xml:space="preserve"> to a </w:t>
      </w:r>
      <w:r w:rsidR="00E201BB" w:rsidRPr="00F76596">
        <w:t>Licensed Repository or Prescribed</w:t>
      </w:r>
      <w:r w:rsidR="00FE1F44" w:rsidRPr="00F76596">
        <w:t xml:space="preserve"> Repository</w:t>
      </w:r>
      <w:r w:rsidRPr="00F76596">
        <w:t>;</w:t>
      </w:r>
    </w:p>
    <w:p w14:paraId="75698C5C" w14:textId="77777777" w:rsidR="004E54B1" w:rsidRPr="00F76596" w:rsidRDefault="004E54B1" w:rsidP="00DB22C8">
      <w:pPr>
        <w:pStyle w:val="MIRSubpara"/>
      </w:pPr>
      <w:r w:rsidRPr="00F76596">
        <w:t xml:space="preserve">the </w:t>
      </w:r>
      <w:r w:rsidR="000375B3" w:rsidRPr="00F76596">
        <w:t>Other</w:t>
      </w:r>
      <w:r w:rsidRPr="00F76596">
        <w:t xml:space="preserve"> Entity has reported </w:t>
      </w:r>
      <w:r w:rsidR="000375B3" w:rsidRPr="00F76596">
        <w:t xml:space="preserve">the </w:t>
      </w:r>
      <w:r w:rsidR="000A1D6E" w:rsidRPr="00F76596">
        <w:t xml:space="preserve">Equivalent Information </w:t>
      </w:r>
      <w:r w:rsidR="00D41799" w:rsidRPr="00F76596">
        <w:t xml:space="preserve">about the same Reportable Transaction </w:t>
      </w:r>
      <w:r w:rsidR="000A1D6E" w:rsidRPr="00F76596">
        <w:t>in accordance with th</w:t>
      </w:r>
      <w:r w:rsidR="00B710DA" w:rsidRPr="00F76596">
        <w:t>e Foreign Requirements</w:t>
      </w:r>
      <w:r w:rsidRPr="00F76596">
        <w:t>;</w:t>
      </w:r>
    </w:p>
    <w:p w14:paraId="6D3A9330" w14:textId="77777777" w:rsidR="004E54B1" w:rsidRPr="00F76596" w:rsidRDefault="004E54B1" w:rsidP="00DB22C8">
      <w:pPr>
        <w:pStyle w:val="MIRSubpara"/>
      </w:pPr>
      <w:r w:rsidRPr="00F76596">
        <w:t xml:space="preserve">the </w:t>
      </w:r>
      <w:r w:rsidR="00B710DA" w:rsidRPr="00F76596">
        <w:t>Equivalent</w:t>
      </w:r>
      <w:r w:rsidRPr="00F76596">
        <w:t xml:space="preserve"> Information reported is complete</w:t>
      </w:r>
      <w:r w:rsidR="009A55CF" w:rsidRPr="00F76596">
        <w:t xml:space="preserve"> and</w:t>
      </w:r>
      <w:r w:rsidRPr="00F76596">
        <w:t xml:space="preserve"> accurate; and</w:t>
      </w:r>
    </w:p>
    <w:p w14:paraId="7B2D9CAF" w14:textId="77777777" w:rsidR="004E54B1" w:rsidRPr="00F76596" w:rsidRDefault="004E54B1" w:rsidP="00DB22C8">
      <w:pPr>
        <w:pStyle w:val="MIRSubpara"/>
      </w:pPr>
      <w:r w:rsidRPr="00F76596">
        <w:t xml:space="preserve">the </w:t>
      </w:r>
      <w:r w:rsidR="00E40F02" w:rsidRPr="00F76596">
        <w:t>Licensed Repository or Prescribed Repository</w:t>
      </w:r>
      <w:r w:rsidR="00D0313E" w:rsidRPr="00F76596">
        <w:t xml:space="preserve"> (as applicable)</w:t>
      </w:r>
      <w:r w:rsidRPr="00F76596">
        <w:t xml:space="preserve"> has accepted the report.</w:t>
      </w:r>
    </w:p>
    <w:p w14:paraId="1FE0D658" w14:textId="77777777" w:rsidR="00121D98" w:rsidRPr="00F76596" w:rsidRDefault="00121D98" w:rsidP="00121D98">
      <w:pPr>
        <w:pStyle w:val="MIRBodyText"/>
      </w:pPr>
      <w:r w:rsidRPr="00F76596">
        <w:t xml:space="preserve">(4) </w:t>
      </w:r>
      <w:r w:rsidR="00C61F46" w:rsidRPr="00F76596">
        <w:t xml:space="preserve">Subrules (1), (2) and (3) cease to </w:t>
      </w:r>
      <w:r w:rsidR="009B48C6" w:rsidRPr="00F76596">
        <w:t xml:space="preserve">apply on </w:t>
      </w:r>
      <w:r w:rsidR="00F15AD2" w:rsidRPr="00F76596">
        <w:t>1 October 2014</w:t>
      </w:r>
      <w:r w:rsidR="00483B85" w:rsidRPr="00F76596">
        <w:t>.</w:t>
      </w:r>
    </w:p>
    <w:p w14:paraId="0F8BAFAF" w14:textId="77777777" w:rsidR="000A1B16" w:rsidRPr="00F76596" w:rsidRDefault="00E903E1" w:rsidP="00A14715">
      <w:pPr>
        <w:pStyle w:val="MIRHeading3Rule"/>
      </w:pPr>
      <w:r w:rsidRPr="00F76596" w:rsidDel="00E903E1">
        <w:t xml:space="preserve"> </w:t>
      </w:r>
      <w:r w:rsidR="00A14715" w:rsidRPr="00F76596">
        <w:t>2.4.</w:t>
      </w:r>
      <w:r w:rsidR="00133C07" w:rsidRPr="00F76596">
        <w:t>3</w:t>
      </w:r>
      <w:r w:rsidR="00A14715" w:rsidRPr="00F76596">
        <w:tab/>
      </w:r>
      <w:r w:rsidR="000A1B16" w:rsidRPr="00F76596">
        <w:t>Reporting of valuations, barrier type and barrier value</w:t>
      </w:r>
    </w:p>
    <w:p w14:paraId="7CDF8B83" w14:textId="77777777" w:rsidR="00DC77F9" w:rsidRPr="00F76596" w:rsidRDefault="00DC77F9" w:rsidP="000A1B16">
      <w:pPr>
        <w:pStyle w:val="MIRBodyText"/>
        <w:numPr>
          <w:ilvl w:val="0"/>
          <w:numId w:val="0"/>
        </w:numPr>
        <w:ind w:left="851"/>
      </w:pPr>
      <w:r w:rsidRPr="00F76596">
        <w:t>(</w:t>
      </w:r>
      <w:r w:rsidR="00A14715" w:rsidRPr="00F76596">
        <w:t>1</w:t>
      </w:r>
      <w:r w:rsidRPr="00F76596">
        <w:t xml:space="preserve">) </w:t>
      </w:r>
      <w:r w:rsidR="00E3748F" w:rsidRPr="00F76596">
        <w:t>Subject to subrule (2), a</w:t>
      </w:r>
      <w:r w:rsidRPr="00F76596">
        <w:t xml:space="preserve"> Reporting Entity is not required to comply with </w:t>
      </w:r>
      <w:r w:rsidR="00BA170C" w:rsidRPr="00F76596">
        <w:t>subr</w:t>
      </w:r>
      <w:r w:rsidRPr="00F76596">
        <w:t>ule</w:t>
      </w:r>
      <w:r w:rsidR="00BA170C" w:rsidRPr="00F76596">
        <w:t>s</w:t>
      </w:r>
      <w:r w:rsidRPr="00F76596">
        <w:t xml:space="preserve"> 2.2.1</w:t>
      </w:r>
      <w:r w:rsidR="00BA170C" w:rsidRPr="00F76596">
        <w:t>(1)</w:t>
      </w:r>
      <w:r w:rsidRPr="00F76596">
        <w:t xml:space="preserve"> or 2.2.2</w:t>
      </w:r>
      <w:r w:rsidR="00BA170C" w:rsidRPr="00F76596">
        <w:t>(1)</w:t>
      </w:r>
      <w:r w:rsidRPr="00F76596">
        <w:t xml:space="preserve"> to the extent those </w:t>
      </w:r>
      <w:r w:rsidR="00BA170C" w:rsidRPr="00F76596">
        <w:t>subr</w:t>
      </w:r>
      <w:r w:rsidRPr="00F76596">
        <w:t>ules require t</w:t>
      </w:r>
      <w:r w:rsidR="00413D78" w:rsidRPr="00F76596">
        <w:t>he Reporting Entity to report</w:t>
      </w:r>
      <w:r w:rsidR="0048140D" w:rsidRPr="00F76596">
        <w:t xml:space="preserve"> </w:t>
      </w:r>
      <w:r w:rsidRPr="00F76596">
        <w:t xml:space="preserve">the Derivative Transaction Information in items </w:t>
      </w:r>
      <w:r w:rsidR="00D446C0" w:rsidRPr="00F76596">
        <w:t>30</w:t>
      </w:r>
      <w:r w:rsidR="00E07AEC" w:rsidRPr="00F76596">
        <w:t>–</w:t>
      </w:r>
      <w:r w:rsidR="00D446C0" w:rsidRPr="00F76596">
        <w:t>32</w:t>
      </w:r>
      <w:r w:rsidRPr="00F76596">
        <w:t xml:space="preserve"> (mark-to-market</w:t>
      </w:r>
      <w:r w:rsidR="00E13792" w:rsidRPr="00F76596">
        <w:t>, mark-to-model, or other</w:t>
      </w:r>
      <w:r w:rsidRPr="00F76596">
        <w:t xml:space="preserve"> valuation)</w:t>
      </w:r>
      <w:r w:rsidR="0025624E" w:rsidRPr="00F76596">
        <w:t>,</w:t>
      </w:r>
      <w:r w:rsidRPr="00F76596">
        <w:t xml:space="preserve"> items </w:t>
      </w:r>
      <w:r w:rsidR="00E07BE0" w:rsidRPr="00F76596">
        <w:t>40</w:t>
      </w:r>
      <w:r w:rsidR="00E07AEC" w:rsidRPr="00F76596">
        <w:t>–</w:t>
      </w:r>
      <w:r w:rsidR="00E07BE0" w:rsidRPr="00F76596">
        <w:t>44</w:t>
      </w:r>
      <w:r w:rsidRPr="00F76596">
        <w:t xml:space="preserve"> (collateral) </w:t>
      </w:r>
      <w:r w:rsidR="0025624E" w:rsidRPr="00F76596">
        <w:t>and items 51</w:t>
      </w:r>
      <w:r w:rsidR="00E07AEC" w:rsidRPr="00F76596">
        <w:t>–</w:t>
      </w:r>
      <w:r w:rsidR="0025624E" w:rsidRPr="00F76596">
        <w:t xml:space="preserve">52 (barrier type and value) </w:t>
      </w:r>
      <w:r w:rsidRPr="00F76596">
        <w:t xml:space="preserve">in Table </w:t>
      </w:r>
      <w:r w:rsidR="002D3E19" w:rsidRPr="00F76596">
        <w:t>S2.</w:t>
      </w:r>
      <w:r w:rsidRPr="00F76596">
        <w:t>1</w:t>
      </w:r>
      <w:r w:rsidR="002D3E19" w:rsidRPr="00F76596">
        <w:t>(1)</w:t>
      </w:r>
      <w:r w:rsidR="00D929B2" w:rsidRPr="00F76596">
        <w:t>, or changes to that information</w:t>
      </w:r>
      <w:r w:rsidR="00390C7F" w:rsidRPr="00F76596">
        <w:t>.</w:t>
      </w:r>
    </w:p>
    <w:p w14:paraId="26F8109C" w14:textId="77777777" w:rsidR="007D46A5" w:rsidRPr="00F76596" w:rsidRDefault="00DC77F9" w:rsidP="00DF0023">
      <w:pPr>
        <w:pStyle w:val="MIRBodyText"/>
      </w:pPr>
      <w:r w:rsidRPr="00F76596">
        <w:t>(</w:t>
      </w:r>
      <w:r w:rsidR="00A14715" w:rsidRPr="00F76596">
        <w:t>2</w:t>
      </w:r>
      <w:r w:rsidRPr="00F76596">
        <w:t>) Subrule (</w:t>
      </w:r>
      <w:r w:rsidR="006136D1" w:rsidRPr="00F76596">
        <w:t>1</w:t>
      </w:r>
      <w:r w:rsidRPr="00F76596">
        <w:t>) ceases to apply</w:t>
      </w:r>
      <w:r w:rsidR="007D46A5" w:rsidRPr="00F76596">
        <w:t>:</w:t>
      </w:r>
    </w:p>
    <w:p w14:paraId="15A1F96E" w14:textId="77777777" w:rsidR="007D46A5" w:rsidRPr="00F76596" w:rsidRDefault="00AE780C" w:rsidP="007D46A5">
      <w:pPr>
        <w:pStyle w:val="MIRSubpara"/>
      </w:pPr>
      <w:r w:rsidRPr="00F76596">
        <w:t>on 1 October 2014, for a Reporting Entity that is first required to start complying with subrule</w:t>
      </w:r>
      <w:r w:rsidR="00062487">
        <w:t>s</w:t>
      </w:r>
      <w:r w:rsidRPr="00F76596">
        <w:t xml:space="preserve"> 2.2.1(1) and 2.2.2(1) </w:t>
      </w:r>
      <w:r w:rsidR="008A36F0" w:rsidRPr="00F76596">
        <w:t>as part of Phase 1</w:t>
      </w:r>
      <w:r w:rsidRPr="00F76596">
        <w:t xml:space="preserve"> or Phase 2</w:t>
      </w:r>
      <w:r w:rsidR="00422657" w:rsidRPr="00F76596">
        <w:t>; and</w:t>
      </w:r>
    </w:p>
    <w:p w14:paraId="01EAB2C1" w14:textId="77777777" w:rsidR="00DC77F9" w:rsidRPr="00F76596" w:rsidRDefault="00AE780C" w:rsidP="00AE780C">
      <w:pPr>
        <w:pStyle w:val="MIRSubpara"/>
      </w:pPr>
      <w:r w:rsidRPr="00F76596">
        <w:t>on 1 April 2015, for a Reporting Entity that is first required to start complying with subrule</w:t>
      </w:r>
      <w:r w:rsidR="00062487">
        <w:t>s</w:t>
      </w:r>
      <w:r w:rsidRPr="00F76596">
        <w:t xml:space="preserve"> 2.2.1(1) and 2.2.2(1) </w:t>
      </w:r>
      <w:r w:rsidR="008A36F0" w:rsidRPr="00F76596">
        <w:t>as part of Phase 3</w:t>
      </w:r>
      <w:r w:rsidR="00D845E9" w:rsidRPr="00F76596">
        <w:t>.</w:t>
      </w:r>
    </w:p>
    <w:p w14:paraId="23D835A9" w14:textId="77777777" w:rsidR="00B020E6" w:rsidRPr="00F76596" w:rsidRDefault="0093231B">
      <w:pPr>
        <w:pStyle w:val="MIRHeading3Rule"/>
      </w:pPr>
      <w:r w:rsidRPr="00F76596">
        <w:t>2.4.</w:t>
      </w:r>
      <w:r w:rsidR="00A82481" w:rsidRPr="00F76596">
        <w:t>4</w:t>
      </w:r>
      <w:r w:rsidRPr="00F76596">
        <w:tab/>
        <w:t>Modification, termination or assignment of outstanding positions before the Position Reporting Date</w:t>
      </w:r>
    </w:p>
    <w:p w14:paraId="388F59EE" w14:textId="77777777" w:rsidR="00B71556" w:rsidRPr="00F76596" w:rsidRDefault="00B71556" w:rsidP="00B71556">
      <w:pPr>
        <w:pStyle w:val="MIRBodyText"/>
      </w:pPr>
      <w:r w:rsidRPr="00F76596">
        <w:t>For the purposes of paragraph 2.2.1(1)(c), where:</w:t>
      </w:r>
    </w:p>
    <w:p w14:paraId="6E79DF84" w14:textId="77777777" w:rsidR="00B71556" w:rsidRPr="00F76596" w:rsidRDefault="00B71556" w:rsidP="00B71556">
      <w:pPr>
        <w:pStyle w:val="MIRSubpara"/>
      </w:pPr>
      <w:r w:rsidRPr="00F76596">
        <w:t>a Reporting Entity is required to report information about</w:t>
      </w:r>
      <w:r w:rsidR="007169EA" w:rsidRPr="00F76596">
        <w:rPr>
          <w:szCs w:val="20"/>
        </w:rPr>
        <w:t xml:space="preserve"> </w:t>
      </w:r>
      <w:r w:rsidR="00D45485" w:rsidRPr="00F76596">
        <w:rPr>
          <w:szCs w:val="20"/>
        </w:rPr>
        <w:t xml:space="preserve">a </w:t>
      </w:r>
      <w:r w:rsidR="007169EA" w:rsidRPr="00F76596">
        <w:t>Reportable Position</w:t>
      </w:r>
      <w:r w:rsidRPr="00F76596">
        <w:t xml:space="preserve"> in accordance with the Position Reporting Requirements in Part S1.2 of Schedule 1 to a Licensed Repository or a Prescribed Repository; and</w:t>
      </w:r>
    </w:p>
    <w:p w14:paraId="5480C5E9" w14:textId="77777777" w:rsidR="00C143A7" w:rsidRPr="00F76596" w:rsidRDefault="00B71556" w:rsidP="00C143A7">
      <w:pPr>
        <w:pStyle w:val="MIRSubpara"/>
      </w:pPr>
      <w:r w:rsidRPr="00F76596">
        <w:t xml:space="preserve">before the Position Reporting Date, the </w:t>
      </w:r>
      <w:r w:rsidR="00477A3E" w:rsidRPr="00F76596">
        <w:t xml:space="preserve">arrangement that is the </w:t>
      </w:r>
      <w:r w:rsidR="00F01802" w:rsidRPr="00F76596">
        <w:t xml:space="preserve">OTC </w:t>
      </w:r>
      <w:r w:rsidRPr="00F76596">
        <w:t xml:space="preserve">Derivative to which the </w:t>
      </w:r>
      <w:r w:rsidR="00821748" w:rsidRPr="00F76596">
        <w:t>Reportable P</w:t>
      </w:r>
      <w:r w:rsidRPr="00F76596">
        <w:t xml:space="preserve">osition relates is modified or terminated, or a party to that </w:t>
      </w:r>
      <w:r w:rsidR="001D013D" w:rsidRPr="00F76596">
        <w:t xml:space="preserve">arrangement </w:t>
      </w:r>
      <w:r w:rsidRPr="00F76596">
        <w:t xml:space="preserve">assigns some or all of its rights and obligations under the </w:t>
      </w:r>
      <w:r w:rsidR="00DC1157" w:rsidRPr="00F76596">
        <w:t>arrangement</w:t>
      </w:r>
      <w:r w:rsidRPr="00F76596">
        <w:t>,</w:t>
      </w:r>
    </w:p>
    <w:p w14:paraId="6B355854" w14:textId="77777777" w:rsidR="00B71556" w:rsidRPr="00F76596" w:rsidRDefault="00B71556" w:rsidP="00994587">
      <w:pPr>
        <w:pStyle w:val="MIRBodyText"/>
      </w:pPr>
      <w:r w:rsidRPr="00F76596">
        <w:lastRenderedPageBreak/>
        <w:t>the Reporting Entity must report all of the</w:t>
      </w:r>
      <w:r w:rsidR="00563FCC" w:rsidRPr="00F76596">
        <w:t xml:space="preserve"> applicable</w:t>
      </w:r>
      <w:r w:rsidRPr="00F76596">
        <w:t xml:space="preserve"> information in Tables </w:t>
      </w:r>
      <w:r w:rsidR="00563FCC" w:rsidRPr="00F76596">
        <w:t>S2.</w:t>
      </w:r>
      <w:r w:rsidRPr="00F76596">
        <w:t>1</w:t>
      </w:r>
      <w:r w:rsidR="00563FCC" w:rsidRPr="00F76596">
        <w:t>(1)</w:t>
      </w:r>
      <w:r w:rsidR="00981310" w:rsidRPr="00F76596">
        <w:t>–</w:t>
      </w:r>
      <w:r w:rsidR="00563FCC" w:rsidRPr="00F76596">
        <w:t>(</w:t>
      </w:r>
      <w:r w:rsidRPr="00F76596">
        <w:t>5</w:t>
      </w:r>
      <w:r w:rsidR="00563FCC" w:rsidRPr="00F76596">
        <w:t>)</w:t>
      </w:r>
      <w:r w:rsidRPr="00F76596">
        <w:t xml:space="preserve"> about:</w:t>
      </w:r>
    </w:p>
    <w:p w14:paraId="788A82CD" w14:textId="77777777" w:rsidR="00B71556" w:rsidRPr="00F76596" w:rsidRDefault="00B71556" w:rsidP="00BD7FD8">
      <w:pPr>
        <w:pStyle w:val="MIRSubpara"/>
        <w:numPr>
          <w:ilvl w:val="1"/>
          <w:numId w:val="17"/>
        </w:numPr>
      </w:pPr>
      <w:r w:rsidRPr="00F76596">
        <w:t xml:space="preserve">the </w:t>
      </w:r>
      <w:r w:rsidR="0086011B" w:rsidRPr="00F76596">
        <w:t xml:space="preserve">OTC </w:t>
      </w:r>
      <w:r w:rsidRPr="00F76596">
        <w:t xml:space="preserve">Derivative to which the </w:t>
      </w:r>
      <w:r w:rsidR="00C44F0C" w:rsidRPr="00F76596">
        <w:t>Reportable P</w:t>
      </w:r>
      <w:r w:rsidRPr="00F76596">
        <w:t>osition relates; and</w:t>
      </w:r>
    </w:p>
    <w:p w14:paraId="74C8EF13" w14:textId="77777777" w:rsidR="00B71556" w:rsidRPr="00F76596" w:rsidRDefault="00B71556" w:rsidP="00B71556">
      <w:pPr>
        <w:pStyle w:val="MIRSubpara"/>
      </w:pPr>
      <w:r w:rsidRPr="00F76596">
        <w:t>the</w:t>
      </w:r>
      <w:r w:rsidR="00913E3D" w:rsidRPr="00F76596">
        <w:t xml:space="preserve"> Reportable Transaction that is the</w:t>
      </w:r>
      <w:r w:rsidRPr="00F76596">
        <w:t xml:space="preserve"> modification, termination or assignment of that </w:t>
      </w:r>
      <w:r w:rsidR="0086011B" w:rsidRPr="00F76596">
        <w:t xml:space="preserve">OTC </w:t>
      </w:r>
      <w:r w:rsidRPr="00F76596">
        <w:t>Derivative</w:t>
      </w:r>
      <w:r w:rsidR="00F55A65" w:rsidRPr="00F76596">
        <w:t xml:space="preserve"> (as applicable)</w:t>
      </w:r>
      <w:r w:rsidRPr="00F76596">
        <w:t>,</w:t>
      </w:r>
    </w:p>
    <w:p w14:paraId="5B88AECD" w14:textId="77777777" w:rsidR="00B71556" w:rsidRPr="00F76596" w:rsidRDefault="00B71556" w:rsidP="00B71556">
      <w:pPr>
        <w:pStyle w:val="MIRBodyText"/>
      </w:pPr>
      <w:r w:rsidRPr="00F76596">
        <w:t xml:space="preserve">to the Licensed Repository or Prescribed Repository to which the </w:t>
      </w:r>
      <w:r w:rsidR="009E52F0" w:rsidRPr="00F76596">
        <w:t>Reportable P</w:t>
      </w:r>
      <w:r w:rsidRPr="00F76596">
        <w:t>osition will be reported, and must report the information referred to in paragraphs (c) and (d)</w:t>
      </w:r>
      <w:r w:rsidR="004C7EB9" w:rsidRPr="00F76596">
        <w:t xml:space="preserve"> in accordance with Part 2.2 of these Rules</w:t>
      </w:r>
      <w:r w:rsidRPr="00F76596">
        <w:t>.</w:t>
      </w:r>
    </w:p>
    <w:p w14:paraId="25A6D4E7" w14:textId="77777777" w:rsidR="00B71556" w:rsidRPr="00F76596" w:rsidRDefault="00B71556" w:rsidP="00B71556">
      <w:pPr>
        <w:pStyle w:val="MIRNote"/>
      </w:pPr>
      <w:r w:rsidRPr="00F76596">
        <w:t xml:space="preserve">Note: A requirement to report a modification, termination or assignment under this </w:t>
      </w:r>
      <w:r w:rsidR="00E34090" w:rsidRPr="00F76596">
        <w:t>R</w:t>
      </w:r>
      <w:r w:rsidRPr="00F76596">
        <w:t>ule does not extinguish the requirement to report position information under paragraph 2.2.1(1)(b).</w:t>
      </w:r>
    </w:p>
    <w:p w14:paraId="69906151" w14:textId="77777777" w:rsidR="0066096A" w:rsidRPr="00F76596" w:rsidRDefault="00C71F27" w:rsidP="00C71F27">
      <w:pPr>
        <w:pStyle w:val="MIRHeading3Rule"/>
      </w:pPr>
      <w:r w:rsidRPr="00F76596">
        <w:t>2.4.</w:t>
      </w:r>
      <w:r w:rsidR="00A82481" w:rsidRPr="00F76596">
        <w:t>5</w:t>
      </w:r>
      <w:r w:rsidRPr="00F76596">
        <w:tab/>
      </w:r>
      <w:r w:rsidR="00E903E1" w:rsidRPr="00F76596">
        <w:t>Reporting to Licensed Repositories from 1 October 2014</w:t>
      </w:r>
    </w:p>
    <w:p w14:paraId="62F2473A" w14:textId="77777777" w:rsidR="00B91D8B" w:rsidRPr="00F76596" w:rsidRDefault="004823BA" w:rsidP="00954B4B">
      <w:pPr>
        <w:pStyle w:val="MIRHeading5"/>
      </w:pPr>
      <w:r w:rsidRPr="00F76596">
        <w:t>Reporting E</w:t>
      </w:r>
      <w:r w:rsidR="00B91D8B" w:rsidRPr="00F76596">
        <w:t>ntities relying on alternative reporting</w:t>
      </w:r>
    </w:p>
    <w:p w14:paraId="03A35E01" w14:textId="77777777" w:rsidR="002D75AC" w:rsidRPr="00F76596" w:rsidRDefault="00710532" w:rsidP="00C71F27">
      <w:pPr>
        <w:pStyle w:val="MIRBodyText"/>
        <w:numPr>
          <w:ilvl w:val="0"/>
          <w:numId w:val="0"/>
        </w:numPr>
        <w:ind w:left="851"/>
      </w:pPr>
      <w:r w:rsidRPr="00F76596">
        <w:t xml:space="preserve">(1) </w:t>
      </w:r>
      <w:r w:rsidR="002E0F08" w:rsidRPr="00F76596">
        <w:t>Subrule (3</w:t>
      </w:r>
      <w:r w:rsidR="006D14B7" w:rsidRPr="00F76596">
        <w:t>)</w:t>
      </w:r>
      <w:r w:rsidR="002D75AC" w:rsidRPr="00F76596">
        <w:t xml:space="preserve"> applies</w:t>
      </w:r>
      <w:r w:rsidR="0033399E" w:rsidRPr="00F76596">
        <w:t xml:space="preserve"> to a Reporting Entity</w:t>
      </w:r>
      <w:r w:rsidR="002D75AC" w:rsidRPr="00F76596">
        <w:t xml:space="preserve"> where:</w:t>
      </w:r>
    </w:p>
    <w:p w14:paraId="2D5A0F5A" w14:textId="77777777" w:rsidR="002D75AC" w:rsidRPr="00F76596" w:rsidRDefault="0033399E" w:rsidP="002D75AC">
      <w:pPr>
        <w:pStyle w:val="MIRSubpara"/>
      </w:pPr>
      <w:r w:rsidRPr="00F76596">
        <w:t>the</w:t>
      </w:r>
      <w:r w:rsidR="002D75AC" w:rsidRPr="00F76596">
        <w:t xml:space="preserve"> </w:t>
      </w:r>
      <w:r w:rsidR="00E903E1" w:rsidRPr="00F76596">
        <w:t>Reporting Entity</w:t>
      </w:r>
      <w:r w:rsidR="00763AD6" w:rsidRPr="00F76596">
        <w:t>, on a day prior to 1 October 2014</w:t>
      </w:r>
      <w:r w:rsidR="00710532" w:rsidRPr="00F76596">
        <w:t>,</w:t>
      </w:r>
      <w:r w:rsidR="00C71F27" w:rsidRPr="00F76596">
        <w:t xml:space="preserve"> </w:t>
      </w:r>
      <w:r w:rsidR="001C1D7C" w:rsidRPr="00F76596">
        <w:t>complie</w:t>
      </w:r>
      <w:r w:rsidR="008C2842" w:rsidRPr="00F76596">
        <w:t>d</w:t>
      </w:r>
      <w:r w:rsidR="001C1D7C" w:rsidRPr="00F76596">
        <w:t xml:space="preserve"> with subrule 2.2.1(1) by </w:t>
      </w:r>
      <w:r w:rsidR="00763AD6" w:rsidRPr="00F76596">
        <w:t>report</w:t>
      </w:r>
      <w:r w:rsidR="001C1D7C" w:rsidRPr="00F76596">
        <w:t>ing</w:t>
      </w:r>
      <w:r w:rsidR="00763AD6" w:rsidRPr="00F76596">
        <w:t xml:space="preserve"> </w:t>
      </w:r>
      <w:r w:rsidR="00B14882" w:rsidRPr="00F76596">
        <w:t>Derivative Transaction Information</w:t>
      </w:r>
      <w:r w:rsidR="00F6583D" w:rsidRPr="00F76596">
        <w:t>,</w:t>
      </w:r>
      <w:r w:rsidR="001D7B0C" w:rsidRPr="00F76596">
        <w:t xml:space="preserve"> or substantially equivalent information</w:t>
      </w:r>
      <w:r w:rsidR="00F6583D" w:rsidRPr="00F76596">
        <w:t>,</w:t>
      </w:r>
      <w:r w:rsidR="00B14882" w:rsidRPr="00F76596">
        <w:t xml:space="preserve"> about </w:t>
      </w:r>
      <w:r w:rsidR="00763AD6" w:rsidRPr="00F76596">
        <w:t>a Reportable Transaction</w:t>
      </w:r>
      <w:r w:rsidR="0024594A" w:rsidRPr="00F76596">
        <w:t xml:space="preserve"> (</w:t>
      </w:r>
      <w:r w:rsidR="003B552B" w:rsidRPr="00F76596">
        <w:t>in this Rule, a</w:t>
      </w:r>
      <w:r w:rsidR="0024594A" w:rsidRPr="00F76596">
        <w:t xml:space="preserve"> </w:t>
      </w:r>
      <w:r w:rsidR="0024594A" w:rsidRPr="00F76596">
        <w:rPr>
          <w:b/>
          <w:i/>
        </w:rPr>
        <w:t>Relevant Reportable Transaction</w:t>
      </w:r>
      <w:r w:rsidR="0024594A" w:rsidRPr="00F76596">
        <w:t>)</w:t>
      </w:r>
      <w:r w:rsidR="00763AD6" w:rsidRPr="00F76596">
        <w:t xml:space="preserve"> </w:t>
      </w:r>
      <w:r w:rsidR="00B14882" w:rsidRPr="00F76596">
        <w:t>to a Prescribed Repository</w:t>
      </w:r>
      <w:r w:rsidR="002D75AC" w:rsidRPr="00F76596">
        <w:t>; and</w:t>
      </w:r>
    </w:p>
    <w:p w14:paraId="730BB201" w14:textId="77777777" w:rsidR="002D75AC" w:rsidRPr="00F76596" w:rsidRDefault="002D75AC" w:rsidP="002D75AC">
      <w:pPr>
        <w:pStyle w:val="MIRSubpara"/>
      </w:pPr>
      <w:r w:rsidRPr="00F76596">
        <w:t>the Prescribed Repository</w:t>
      </w:r>
      <w:r w:rsidR="004B4500" w:rsidRPr="00F76596">
        <w:t xml:space="preserve"> to which the </w:t>
      </w:r>
      <w:r w:rsidR="00B14882" w:rsidRPr="00F76596">
        <w:t>Derivative Transaction Information</w:t>
      </w:r>
      <w:r w:rsidR="001D7B0C" w:rsidRPr="00F76596">
        <w:t xml:space="preserve"> or substantially equivalent information</w:t>
      </w:r>
      <w:r w:rsidR="00B14882" w:rsidRPr="00F76596">
        <w:t xml:space="preserve"> </w:t>
      </w:r>
      <w:r w:rsidR="004B4500" w:rsidRPr="00F76596">
        <w:t xml:space="preserve">was reported </w:t>
      </w:r>
      <w:r w:rsidR="006D14B7" w:rsidRPr="00F76596">
        <w:t xml:space="preserve">does not become a </w:t>
      </w:r>
      <w:r w:rsidR="00540023" w:rsidRPr="00F76596">
        <w:t>Licensed Repository by 1 October 2014</w:t>
      </w:r>
      <w:r w:rsidR="006D14B7" w:rsidRPr="00F76596">
        <w:t>.</w:t>
      </w:r>
    </w:p>
    <w:p w14:paraId="22B8C70D" w14:textId="77777777" w:rsidR="00954B4B" w:rsidRPr="00F76596" w:rsidRDefault="00954B4B" w:rsidP="007960BB">
      <w:pPr>
        <w:pStyle w:val="MIRHeading5"/>
      </w:pPr>
      <w:r w:rsidRPr="00F76596">
        <w:t xml:space="preserve">Reporting Entities relying on </w:t>
      </w:r>
      <w:r w:rsidR="007960BB" w:rsidRPr="00F76596">
        <w:t>conditional one-sided reporting</w:t>
      </w:r>
    </w:p>
    <w:p w14:paraId="25B90CC6" w14:textId="77777777" w:rsidR="004059BC" w:rsidRPr="00F76596" w:rsidRDefault="00132B26" w:rsidP="0033399E">
      <w:pPr>
        <w:pStyle w:val="MIRBodyText"/>
      </w:pPr>
      <w:r w:rsidRPr="00F76596">
        <w:t>(</w:t>
      </w:r>
      <w:r w:rsidR="002E0F08" w:rsidRPr="00F76596">
        <w:t>2</w:t>
      </w:r>
      <w:r w:rsidRPr="00F76596">
        <w:t>) Subrule (</w:t>
      </w:r>
      <w:r w:rsidR="002E0F08" w:rsidRPr="00F76596">
        <w:t>3</w:t>
      </w:r>
      <w:r w:rsidRPr="00F76596">
        <w:t xml:space="preserve">) applies to a Reporting Entity where the Reporting Entity, on a day prior to 1 October 2014, </w:t>
      </w:r>
      <w:r w:rsidR="00CE25E4" w:rsidRPr="00F76596">
        <w:t xml:space="preserve">did not </w:t>
      </w:r>
      <w:r w:rsidR="00A3336D" w:rsidRPr="00F76596">
        <w:t>report Derivative Transaction Information</w:t>
      </w:r>
      <w:r w:rsidR="00C2613C" w:rsidRPr="00F76596">
        <w:t>, or substantially equivalent information,</w:t>
      </w:r>
      <w:r w:rsidR="00A3336D" w:rsidRPr="00F76596">
        <w:t xml:space="preserve"> about a Reportable Transaction </w:t>
      </w:r>
      <w:r w:rsidR="0022265F" w:rsidRPr="00F76596">
        <w:t>(</w:t>
      </w:r>
      <w:r w:rsidR="003B552B" w:rsidRPr="00F76596">
        <w:t>in this Rule, a</w:t>
      </w:r>
      <w:r w:rsidR="0022265F" w:rsidRPr="00F76596">
        <w:t xml:space="preserve"> </w:t>
      </w:r>
      <w:r w:rsidR="0022265F" w:rsidRPr="00F76596">
        <w:rPr>
          <w:b/>
          <w:i/>
        </w:rPr>
        <w:t>Relevant Reportable Transaction</w:t>
      </w:r>
      <w:r w:rsidR="0022265F" w:rsidRPr="00F76596">
        <w:t xml:space="preserve">) </w:t>
      </w:r>
      <w:r w:rsidR="00A3336D" w:rsidRPr="00F76596">
        <w:t>to a Licensed Repository or Prescribed Repository, in reliance on subrule 2.4.2(2) or (3).</w:t>
      </w:r>
    </w:p>
    <w:p w14:paraId="472BD39B" w14:textId="77777777" w:rsidR="00956E1C" w:rsidRPr="00F76596" w:rsidRDefault="00956E1C" w:rsidP="00242C03">
      <w:pPr>
        <w:pStyle w:val="MIRHeading5"/>
      </w:pPr>
      <w:r w:rsidRPr="00F76596">
        <w:t>Reporting to a Licensed Repository</w:t>
      </w:r>
    </w:p>
    <w:p w14:paraId="7761CCAE" w14:textId="77777777" w:rsidR="002E0F08" w:rsidRPr="00F76596" w:rsidRDefault="002E0F08" w:rsidP="002E0F08">
      <w:pPr>
        <w:pStyle w:val="MIRBodyText"/>
      </w:pPr>
      <w:r w:rsidRPr="00F76596">
        <w:t xml:space="preserve">(3) The Reporting Entity must, by 1 October 2014, for each </w:t>
      </w:r>
      <w:r w:rsidR="00E30F9E" w:rsidRPr="00F76596">
        <w:t xml:space="preserve">Relevant </w:t>
      </w:r>
      <w:r w:rsidRPr="00F76596">
        <w:t>Reportable Transaction</w:t>
      </w:r>
      <w:r w:rsidR="005360DA" w:rsidRPr="00F76596">
        <w:t>, report to a Licensed Repository</w:t>
      </w:r>
      <w:r w:rsidRPr="00F76596">
        <w:t>:</w:t>
      </w:r>
    </w:p>
    <w:p w14:paraId="7DF61436" w14:textId="77777777" w:rsidR="002E0F08" w:rsidRPr="00F76596" w:rsidRDefault="002E0F08" w:rsidP="002E0F08">
      <w:pPr>
        <w:pStyle w:val="MIRSubpara"/>
      </w:pPr>
      <w:r w:rsidRPr="00F76596">
        <w:t xml:space="preserve">Derivative Transaction Information for the </w:t>
      </w:r>
      <w:r w:rsidR="00E30F9E" w:rsidRPr="00F76596">
        <w:t xml:space="preserve">Relevant </w:t>
      </w:r>
      <w:r w:rsidRPr="00F76596">
        <w:t>Reportable Transaction; or</w:t>
      </w:r>
    </w:p>
    <w:p w14:paraId="64725620" w14:textId="77777777" w:rsidR="002E0F08" w:rsidRPr="00F76596" w:rsidRDefault="002E0F08" w:rsidP="002E0F08">
      <w:pPr>
        <w:pStyle w:val="MIRSubpara"/>
      </w:pPr>
      <w:r w:rsidRPr="00F76596">
        <w:t>Derivative Position Information</w:t>
      </w:r>
      <w:r w:rsidR="005360DA" w:rsidRPr="00F76596">
        <w:t>,</w:t>
      </w:r>
      <w:r w:rsidR="005360DA" w:rsidRPr="00F76596">
        <w:rPr>
          <w:szCs w:val="20"/>
        </w:rPr>
        <w:t xml:space="preserve"> </w:t>
      </w:r>
      <w:r w:rsidR="005360DA" w:rsidRPr="00F76596">
        <w:t>as at the end of 30 September 2014,</w:t>
      </w:r>
      <w:r w:rsidRPr="00F76596">
        <w:t xml:space="preserve"> for the OTC Derivative to which the </w:t>
      </w:r>
      <w:r w:rsidR="005360DA" w:rsidRPr="00F76596">
        <w:t xml:space="preserve">Relevant </w:t>
      </w:r>
      <w:r w:rsidRPr="00F76596">
        <w:t>Reportable Transaction relates.</w:t>
      </w:r>
    </w:p>
    <w:p w14:paraId="115EE2DE" w14:textId="3AFB9D7B" w:rsidR="001E52D2" w:rsidRPr="00F76596" w:rsidRDefault="001E52D2" w:rsidP="001E52D2">
      <w:pPr>
        <w:pStyle w:val="MIRPenalty"/>
      </w:pPr>
    </w:p>
    <w:p w14:paraId="00321EF1" w14:textId="77777777" w:rsidR="00E903E1" w:rsidRPr="00F76596" w:rsidRDefault="00E903E1" w:rsidP="00BE1B77">
      <w:pPr>
        <w:pStyle w:val="MIRSubpara"/>
        <w:numPr>
          <w:ilvl w:val="0"/>
          <w:numId w:val="0"/>
        </w:numPr>
        <w:ind w:left="851"/>
        <w:sectPr w:rsidR="00E903E1" w:rsidRPr="00F76596" w:rsidSect="00F45D23">
          <w:headerReference w:type="default" r:id="rId24"/>
          <w:type w:val="continuous"/>
          <w:pgSz w:w="11906" w:h="16838" w:code="9"/>
          <w:pgMar w:top="1644" w:right="1418" w:bottom="1418" w:left="1418" w:header="567" w:footer="567" w:gutter="0"/>
          <w:cols w:space="720"/>
          <w:docGrid w:linePitch="299"/>
        </w:sectPr>
      </w:pPr>
    </w:p>
    <w:p w14:paraId="1DD9B12F" w14:textId="77777777" w:rsidR="00997780" w:rsidRPr="00F76596" w:rsidRDefault="00997780" w:rsidP="00997780">
      <w:pPr>
        <w:pStyle w:val="MIRHeading1Chapter"/>
      </w:pPr>
      <w:bookmarkStart w:id="12" w:name="_Toc122081641"/>
      <w:r w:rsidRPr="00F76596">
        <w:lastRenderedPageBreak/>
        <w:t>Schedule 1: Reporting Requirement</w:t>
      </w:r>
      <w:r w:rsidR="00A22CCB" w:rsidRPr="00F76596">
        <w:t>s</w:t>
      </w:r>
      <w:r w:rsidR="004C0CB4" w:rsidRPr="00F76596">
        <w:t>—</w:t>
      </w:r>
      <w:r w:rsidR="00A22CCB" w:rsidRPr="00F76596">
        <w:t>Phasing</w:t>
      </w:r>
      <w:bookmarkEnd w:id="12"/>
    </w:p>
    <w:p w14:paraId="436F234E" w14:textId="77777777" w:rsidR="00997780" w:rsidRPr="00F76596" w:rsidRDefault="00997780" w:rsidP="00997780">
      <w:pPr>
        <w:pStyle w:val="MIRHeading2Part"/>
      </w:pPr>
      <w:bookmarkStart w:id="13" w:name="_Toc122081642"/>
      <w:r w:rsidRPr="00F76596">
        <w:t>Part S1.1</w:t>
      </w:r>
      <w:r w:rsidRPr="00F76596">
        <w:tab/>
      </w:r>
      <w:r w:rsidR="006E16F6" w:rsidRPr="00F76596">
        <w:t>Transaction Reporting Requirements</w:t>
      </w:r>
      <w:bookmarkEnd w:id="13"/>
    </w:p>
    <w:p w14:paraId="19AA3749" w14:textId="77777777" w:rsidR="00997780" w:rsidRPr="00F76596" w:rsidRDefault="00997780" w:rsidP="00997780">
      <w:pPr>
        <w:pStyle w:val="MIRHeading3Rule"/>
      </w:pPr>
      <w:r w:rsidRPr="00F76596">
        <w:t>S1.1.1</w:t>
      </w:r>
      <w:r w:rsidRPr="00F76596">
        <w:tab/>
      </w:r>
      <w:r w:rsidR="006E16F6" w:rsidRPr="00F76596">
        <w:t>Transaction Reporting Requirements</w:t>
      </w:r>
    </w:p>
    <w:p w14:paraId="3217BE17" w14:textId="77777777" w:rsidR="001319C8" w:rsidRPr="00F76596" w:rsidRDefault="00270773" w:rsidP="00997780">
      <w:pPr>
        <w:pStyle w:val="MIRBodyText"/>
      </w:pPr>
      <w:r w:rsidRPr="00F76596">
        <w:t xml:space="preserve">(1) </w:t>
      </w:r>
      <w:r w:rsidR="009C0C5E" w:rsidRPr="00F76596">
        <w:t>For the purposes of paragraph 2.2.1(1)(a)</w:t>
      </w:r>
      <w:r w:rsidR="00E83F01" w:rsidRPr="00F76596">
        <w:t xml:space="preserve"> and subject to subrule (2)</w:t>
      </w:r>
      <w:r w:rsidR="001319C8" w:rsidRPr="00F76596">
        <w:t>:</w:t>
      </w:r>
    </w:p>
    <w:p w14:paraId="53E458A3" w14:textId="77777777" w:rsidR="00B86B0F" w:rsidRPr="00F76596" w:rsidRDefault="002D0A4A" w:rsidP="00B86B0F">
      <w:pPr>
        <w:pStyle w:val="MIRSubpara"/>
      </w:pPr>
      <w:r w:rsidRPr="00F76596">
        <w:rPr>
          <w:b/>
          <w:i/>
        </w:rPr>
        <w:t>Opt-In Reporting Phase</w:t>
      </w:r>
      <w:r w:rsidRPr="00F76596">
        <w:t xml:space="preserve">, </w:t>
      </w:r>
      <w:r w:rsidR="00B86B0F" w:rsidRPr="00F76596">
        <w:rPr>
          <w:b/>
          <w:i/>
        </w:rPr>
        <w:t>Phase 1</w:t>
      </w:r>
      <w:r w:rsidR="00B86B0F" w:rsidRPr="00F76596">
        <w:t xml:space="preserve">, </w:t>
      </w:r>
      <w:r w:rsidR="00B86B0F" w:rsidRPr="00F76596">
        <w:rPr>
          <w:b/>
          <w:i/>
        </w:rPr>
        <w:t>Phase 2</w:t>
      </w:r>
      <w:r w:rsidR="00B86B0F" w:rsidRPr="00F76596">
        <w:t xml:space="preserve"> or</w:t>
      </w:r>
      <w:r w:rsidR="00B86B0F" w:rsidRPr="00F76596">
        <w:rPr>
          <w:b/>
          <w:i/>
        </w:rPr>
        <w:t xml:space="preserve"> Phase 3</w:t>
      </w:r>
      <w:r w:rsidR="00B86B0F" w:rsidRPr="00F76596">
        <w:t xml:space="preserve"> means the phase described by that name in column 1 of Table S1.1;</w:t>
      </w:r>
    </w:p>
    <w:p w14:paraId="7A294EB6" w14:textId="77777777" w:rsidR="001319C8" w:rsidRPr="00F76596" w:rsidRDefault="009C0C5E" w:rsidP="001319C8">
      <w:pPr>
        <w:pStyle w:val="MIRSubpara"/>
      </w:pPr>
      <w:r w:rsidRPr="00F76596">
        <w:t xml:space="preserve">the </w:t>
      </w:r>
      <w:r w:rsidRPr="00F76596">
        <w:rPr>
          <w:b/>
          <w:i/>
        </w:rPr>
        <w:t>Transaction Reporting Requirement</w:t>
      </w:r>
      <w:r w:rsidRPr="00F76596">
        <w:t xml:space="preserve"> is, in relation to a </w:t>
      </w:r>
      <w:r w:rsidR="00997780" w:rsidRPr="00F76596">
        <w:t>Reporting Entity specified in column 2, for each Reportable Transaction specified in column 4,</w:t>
      </w:r>
      <w:r w:rsidR="00471719" w:rsidRPr="00F76596">
        <w:t xml:space="preserve"> the requirement specified in column 5</w:t>
      </w:r>
      <w:r w:rsidR="001319C8" w:rsidRPr="00F76596">
        <w:t>; and</w:t>
      </w:r>
    </w:p>
    <w:p w14:paraId="1DBD92BB" w14:textId="77777777" w:rsidR="00850BB6" w:rsidRPr="00F76596" w:rsidRDefault="00997780" w:rsidP="001319C8">
      <w:pPr>
        <w:pStyle w:val="MIRSubpara"/>
      </w:pPr>
      <w:r w:rsidRPr="00F76596">
        <w:t xml:space="preserve">the </w:t>
      </w:r>
      <w:r w:rsidRPr="00F76596">
        <w:rPr>
          <w:b/>
          <w:i/>
        </w:rPr>
        <w:t>Reporting Period</w:t>
      </w:r>
      <w:r w:rsidR="001319C8" w:rsidRPr="00F76596">
        <w:rPr>
          <w:b/>
        </w:rPr>
        <w:t xml:space="preserve"> </w:t>
      </w:r>
      <w:r w:rsidR="00C4196D" w:rsidRPr="00F76596">
        <w:t>in relation to</w:t>
      </w:r>
      <w:r w:rsidR="0035699B" w:rsidRPr="00F76596">
        <w:t xml:space="preserve"> the Transaction Reporting Requirement </w:t>
      </w:r>
      <w:r w:rsidR="001319C8" w:rsidRPr="00F76596">
        <w:t>is the period</w:t>
      </w:r>
      <w:r w:rsidRPr="00F76596">
        <w:t xml:space="preserve"> specified in column 3</w:t>
      </w:r>
      <w:r w:rsidR="00BF7653" w:rsidRPr="00F76596">
        <w:t>.</w:t>
      </w:r>
    </w:p>
    <w:p w14:paraId="0CB2D818" w14:textId="77777777" w:rsidR="005322DE" w:rsidRPr="00F76596" w:rsidRDefault="00D84701" w:rsidP="007032CA">
      <w:pPr>
        <w:pStyle w:val="MIRBodyText"/>
      </w:pPr>
      <w:r w:rsidRPr="00F76596">
        <w:t xml:space="preserve">(2) </w:t>
      </w:r>
      <w:r w:rsidR="003C4B91" w:rsidRPr="00F76596">
        <w:t>Where</w:t>
      </w:r>
      <w:r w:rsidR="005322DE" w:rsidRPr="00F76596">
        <w:t>,</w:t>
      </w:r>
      <w:r w:rsidR="003C4B91" w:rsidRPr="00F76596">
        <w:t xml:space="preserve"> f</w:t>
      </w:r>
      <w:r w:rsidRPr="00F76596">
        <w:t>or the purposes of the Transaction Reporting Requirement in Phase 2, a Reporting Entity has determined in accordance with subrule 1.2.7(2) that a managed investment scheme or trust (</w:t>
      </w:r>
      <w:r w:rsidR="00E40B08" w:rsidRPr="00F76596">
        <w:t xml:space="preserve">in this subrule, the </w:t>
      </w:r>
      <w:r w:rsidRPr="00F76596">
        <w:rPr>
          <w:b/>
          <w:i/>
        </w:rPr>
        <w:t>Reporting Scheme or Trust</w:t>
      </w:r>
      <w:r w:rsidRPr="00F76596">
        <w:t>) for which the Reporting Entity is RE or Trustee holds total gross notional outstanding positions of $50 billion or more as at 31 December 2013, the Reporting Entity is required to</w:t>
      </w:r>
      <w:r w:rsidR="005322DE" w:rsidRPr="00F76596">
        <w:t>:</w:t>
      </w:r>
    </w:p>
    <w:p w14:paraId="4418C11F" w14:textId="77777777" w:rsidR="005322DE" w:rsidRPr="00F76596" w:rsidRDefault="00543370" w:rsidP="005322DE">
      <w:pPr>
        <w:pStyle w:val="MIRSubpara"/>
      </w:pPr>
      <w:r w:rsidRPr="00F76596">
        <w:t>in P</w:t>
      </w:r>
      <w:r w:rsidR="006D328B" w:rsidRPr="00F76596">
        <w:t xml:space="preserve">hase 2,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the Reporting Scheme or Trust, and not in relation to Reportable Transactions in its capacity as RE or Trustee of any managed investment scheme or trust that is not a Reporting Scheme or Trust</w:t>
      </w:r>
      <w:r w:rsidR="005322DE" w:rsidRPr="00F76596">
        <w:t>; and</w:t>
      </w:r>
    </w:p>
    <w:p w14:paraId="04B5A924" w14:textId="77777777" w:rsidR="007032CA" w:rsidRPr="00F76596" w:rsidRDefault="006D328B" w:rsidP="005322DE">
      <w:pPr>
        <w:pStyle w:val="MIRSubpara"/>
      </w:pPr>
      <w:r w:rsidRPr="00F76596">
        <w:t xml:space="preserve">in Phase 3,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any managed i</w:t>
      </w:r>
      <w:r w:rsidRPr="00F76596">
        <w:t>nvestment scheme or trust that wa</w:t>
      </w:r>
      <w:r w:rsidR="00D84701" w:rsidRPr="00F76596">
        <w:t>s not a Reporting Scheme or Trust</w:t>
      </w:r>
      <w:r w:rsidRPr="00F76596">
        <w:t xml:space="preserve"> for the purposes of Phase 2</w:t>
      </w:r>
      <w:r w:rsidR="007032CA" w:rsidRPr="00F76596">
        <w:t>.</w:t>
      </w:r>
    </w:p>
    <w:p w14:paraId="48268C9D" w14:textId="77777777" w:rsidR="00E7589D" w:rsidRPr="00F76596" w:rsidRDefault="00E7589D" w:rsidP="007032CA">
      <w:pPr>
        <w:pStyle w:val="MIRBodyText"/>
        <w:numPr>
          <w:ilvl w:val="0"/>
          <w:numId w:val="0"/>
        </w:numPr>
        <w:ind w:left="851"/>
        <w:sectPr w:rsidR="00E7589D" w:rsidRPr="00F76596" w:rsidSect="00466E5A">
          <w:headerReference w:type="default" r:id="rId25"/>
          <w:pgSz w:w="11906" w:h="16838" w:code="9"/>
          <w:pgMar w:top="1644" w:right="1418" w:bottom="1418" w:left="1418" w:header="567" w:footer="567" w:gutter="0"/>
          <w:cols w:space="720"/>
          <w:docGrid w:linePitch="299"/>
        </w:sectPr>
      </w:pPr>
    </w:p>
    <w:p w14:paraId="09ED4844" w14:textId="77777777" w:rsidR="009C0C5E" w:rsidRPr="00F76596" w:rsidRDefault="009C0C5E" w:rsidP="009C0C5E">
      <w:pPr>
        <w:pStyle w:val="tabletitlefullwidth"/>
      </w:pPr>
      <w:r w:rsidRPr="00F76596">
        <w:lastRenderedPageBreak/>
        <w:t xml:space="preserve">Table </w:t>
      </w:r>
      <w:r w:rsidR="00B36B11" w:rsidRPr="00F76596">
        <w:t>S1.</w:t>
      </w:r>
      <w:r w:rsidRPr="00F76596">
        <w:t>1: Transaction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14"/>
        <w:gridCol w:w="3335"/>
        <w:gridCol w:w="2566"/>
        <w:gridCol w:w="2339"/>
        <w:gridCol w:w="4422"/>
      </w:tblGrid>
      <w:tr w:rsidR="001C6606" w:rsidRPr="00F76596" w14:paraId="1D726D4E" w14:textId="77777777" w:rsidTr="00924FC3">
        <w:trPr>
          <w:cantSplit/>
          <w:tblHeader/>
        </w:trPr>
        <w:tc>
          <w:tcPr>
            <w:tcW w:w="0" w:type="auto"/>
            <w:shd w:val="clear" w:color="auto" w:fill="C2E3FA"/>
          </w:tcPr>
          <w:p w14:paraId="6EFA1B63" w14:textId="77777777" w:rsidR="00997780" w:rsidRPr="00F76596" w:rsidRDefault="00997780" w:rsidP="00C81040">
            <w:pPr>
              <w:pStyle w:val="tablehead"/>
            </w:pPr>
            <w:r w:rsidRPr="00F76596">
              <w:t>1. Phase</w:t>
            </w:r>
          </w:p>
        </w:tc>
        <w:tc>
          <w:tcPr>
            <w:tcW w:w="0" w:type="auto"/>
            <w:shd w:val="clear" w:color="auto" w:fill="C2E3FA"/>
          </w:tcPr>
          <w:p w14:paraId="0BF99822" w14:textId="77777777" w:rsidR="00997780" w:rsidRPr="00F76596" w:rsidRDefault="00997780" w:rsidP="00C81040">
            <w:pPr>
              <w:pStyle w:val="tablehead"/>
            </w:pPr>
            <w:r w:rsidRPr="00F76596">
              <w:t>2. Reporting Entities</w:t>
            </w:r>
          </w:p>
        </w:tc>
        <w:tc>
          <w:tcPr>
            <w:tcW w:w="0" w:type="auto"/>
            <w:shd w:val="clear" w:color="auto" w:fill="C2E3FA"/>
          </w:tcPr>
          <w:p w14:paraId="014E0AE0" w14:textId="77777777" w:rsidR="00997780" w:rsidRPr="00F76596" w:rsidRDefault="00997780" w:rsidP="00C81040">
            <w:pPr>
              <w:pStyle w:val="tablehead"/>
            </w:pPr>
            <w:r w:rsidRPr="00F76596">
              <w:t xml:space="preserve">3. Reporting Period </w:t>
            </w:r>
          </w:p>
        </w:tc>
        <w:tc>
          <w:tcPr>
            <w:tcW w:w="0" w:type="auto"/>
            <w:shd w:val="clear" w:color="auto" w:fill="C2E3FA"/>
          </w:tcPr>
          <w:p w14:paraId="2A03E188" w14:textId="77777777" w:rsidR="00997780" w:rsidRPr="00F76596" w:rsidRDefault="00997780" w:rsidP="00C81040">
            <w:pPr>
              <w:pStyle w:val="tablehead"/>
            </w:pPr>
            <w:r w:rsidRPr="00F76596">
              <w:t>4. Reportable Transaction</w:t>
            </w:r>
          </w:p>
        </w:tc>
        <w:tc>
          <w:tcPr>
            <w:tcW w:w="0" w:type="auto"/>
            <w:shd w:val="clear" w:color="auto" w:fill="C2E3FA"/>
          </w:tcPr>
          <w:p w14:paraId="71EFF40C" w14:textId="77777777" w:rsidR="00997780" w:rsidRPr="00F76596" w:rsidRDefault="00997780" w:rsidP="00C81040">
            <w:pPr>
              <w:pStyle w:val="tablehead"/>
            </w:pPr>
            <w:r w:rsidRPr="00F76596">
              <w:t>5.</w:t>
            </w:r>
            <w:r w:rsidR="006B1ADA" w:rsidRPr="00F76596">
              <w:t>Transaction</w:t>
            </w:r>
            <w:r w:rsidRPr="00F76596">
              <w:t xml:space="preserve"> Reporting Requirement</w:t>
            </w:r>
          </w:p>
        </w:tc>
      </w:tr>
      <w:tr w:rsidR="001C6606" w:rsidRPr="00F76596" w14:paraId="5E3FC225" w14:textId="77777777" w:rsidTr="00924FC3">
        <w:trPr>
          <w:cantSplit/>
        </w:trPr>
        <w:tc>
          <w:tcPr>
            <w:tcW w:w="0" w:type="auto"/>
          </w:tcPr>
          <w:p w14:paraId="49D80BA6" w14:textId="77777777" w:rsidR="00997780" w:rsidRPr="00F76596" w:rsidRDefault="000B660A" w:rsidP="00C81040">
            <w:pPr>
              <w:pStyle w:val="tbltext"/>
            </w:pPr>
            <w:r w:rsidRPr="00F76596">
              <w:t>Opt-In</w:t>
            </w:r>
            <w:r w:rsidR="00997780" w:rsidRPr="00F76596">
              <w:t xml:space="preserve"> Reporting Phase</w:t>
            </w:r>
          </w:p>
          <w:p w14:paraId="0043AFA2" w14:textId="77777777" w:rsidR="00997780" w:rsidRPr="00F76596" w:rsidRDefault="00997780" w:rsidP="00C81040">
            <w:pPr>
              <w:pStyle w:val="tbltext"/>
            </w:pPr>
          </w:p>
        </w:tc>
        <w:tc>
          <w:tcPr>
            <w:tcW w:w="0" w:type="auto"/>
          </w:tcPr>
          <w:p w14:paraId="3FB5828A" w14:textId="77777777" w:rsidR="00997780" w:rsidRPr="00F76596" w:rsidRDefault="00997780" w:rsidP="00C81040">
            <w:pPr>
              <w:pStyle w:val="tbltext"/>
            </w:pPr>
            <w:r w:rsidRPr="00F76596">
              <w:t>A Reporting Entity that has given ASIC an Opt-In Notice</w:t>
            </w:r>
            <w:r w:rsidR="0099386A" w:rsidRPr="00F76596">
              <w:t>.</w:t>
            </w:r>
          </w:p>
        </w:tc>
        <w:tc>
          <w:tcPr>
            <w:tcW w:w="0" w:type="auto"/>
          </w:tcPr>
          <w:p w14:paraId="315DB3D0" w14:textId="77777777" w:rsidR="00997780" w:rsidRPr="00F76596" w:rsidRDefault="00997780" w:rsidP="001D4270">
            <w:pPr>
              <w:pStyle w:val="tbltext"/>
            </w:pPr>
            <w:r w:rsidRPr="00F76596">
              <w:t xml:space="preserve">From </w:t>
            </w:r>
            <w:r w:rsidR="00F22178" w:rsidRPr="00F76596">
              <w:t xml:space="preserve">the </w:t>
            </w:r>
            <w:r w:rsidR="001D4270" w:rsidRPr="00F76596">
              <w:t>E</w:t>
            </w:r>
            <w:r w:rsidR="00F22178" w:rsidRPr="00F76596">
              <w:t xml:space="preserve">ffective </w:t>
            </w:r>
            <w:r w:rsidR="001D4270" w:rsidRPr="00F76596">
              <w:t>D</w:t>
            </w:r>
            <w:r w:rsidR="00F22178" w:rsidRPr="00F76596">
              <w:t>ate</w:t>
            </w:r>
            <w:r w:rsidR="00593C4D" w:rsidRPr="00F76596">
              <w:t>(s)</w:t>
            </w:r>
            <w:r w:rsidR="00F22178" w:rsidRPr="00F76596">
              <w:t xml:space="preserve"> specified in the Opt-In Notice </w:t>
            </w:r>
            <w:r w:rsidRPr="00F76596">
              <w:t>until the date the Reporting Entity is</w:t>
            </w:r>
            <w:r w:rsidR="00A347AD" w:rsidRPr="00F76596">
              <w:t xml:space="preserve"> first</w:t>
            </w:r>
            <w:r w:rsidRPr="00F76596">
              <w:t xml:space="preserve"> required to report the Reportable Transaction under Phase 1</w:t>
            </w:r>
            <w:r w:rsidR="00613BCD" w:rsidRPr="00F76596">
              <w:t>,</w:t>
            </w:r>
            <w:r w:rsidR="000E0D97" w:rsidRPr="00F76596">
              <w:t xml:space="preserve"> </w:t>
            </w:r>
            <w:r w:rsidR="00613BCD" w:rsidRPr="00F76596">
              <w:t>Phase</w:t>
            </w:r>
            <w:r w:rsidRPr="00F76596">
              <w:t xml:space="preserve"> 2</w:t>
            </w:r>
            <w:r w:rsidR="00613BCD" w:rsidRPr="00F76596">
              <w:t xml:space="preserve"> or Phase 3</w:t>
            </w:r>
            <w:r w:rsidR="0099386A" w:rsidRPr="00F76596">
              <w:t>.</w:t>
            </w:r>
          </w:p>
        </w:tc>
        <w:tc>
          <w:tcPr>
            <w:tcW w:w="0" w:type="auto"/>
          </w:tcPr>
          <w:p w14:paraId="72C805F4" w14:textId="77777777" w:rsidR="00997780" w:rsidRPr="00F76596" w:rsidRDefault="00997780" w:rsidP="001C6606">
            <w:pPr>
              <w:pStyle w:val="tbltext"/>
            </w:pPr>
            <w:r w:rsidRPr="00F76596">
              <w:t>All Reportable Transactions</w:t>
            </w:r>
            <w:r w:rsidR="001F6A22" w:rsidRPr="00F76596">
              <w:t>, or</w:t>
            </w:r>
            <w:r w:rsidR="001C6606" w:rsidRPr="00F76596">
              <w:t xml:space="preserve"> Reportable Transactions </w:t>
            </w:r>
            <w:r w:rsidRPr="00F76596">
              <w:t xml:space="preserve">in the class or classes </w:t>
            </w:r>
            <w:r w:rsidR="001F6A22" w:rsidRPr="00F76596">
              <w:t>of Reportable Transactions, specified</w:t>
            </w:r>
            <w:r w:rsidRPr="00F76596">
              <w:t xml:space="preserve"> in the Opt-In Notice</w:t>
            </w:r>
            <w:r w:rsidR="0099386A" w:rsidRPr="00F76596">
              <w:t>.</w:t>
            </w:r>
          </w:p>
        </w:tc>
        <w:tc>
          <w:tcPr>
            <w:tcW w:w="0" w:type="auto"/>
          </w:tcPr>
          <w:p w14:paraId="7E996835" w14:textId="77777777" w:rsidR="00997780" w:rsidRPr="00F76596" w:rsidRDefault="001B70F1" w:rsidP="003D77CD">
            <w:pPr>
              <w:pStyle w:val="tbltext"/>
            </w:pPr>
            <w:r w:rsidRPr="00F76596">
              <w:t xml:space="preserve">A </w:t>
            </w:r>
            <w:r w:rsidR="00997780" w:rsidRPr="00F76596">
              <w:t>Reporting Entit</w:t>
            </w:r>
            <w:r w:rsidRPr="00F76596">
              <w:t>y</w:t>
            </w:r>
            <w:r w:rsidR="00997780" w:rsidRPr="00F76596">
              <w:t xml:space="preserve"> must report</w:t>
            </w:r>
            <w:r w:rsidR="00B71EC9" w:rsidRPr="00F76596">
              <w:t>, for each Reportable Transaction,</w:t>
            </w:r>
            <w:r w:rsidR="00997780" w:rsidRPr="00F76596">
              <w:t xml:space="preserve"> the Derivative Transaction Information</w:t>
            </w:r>
            <w:r w:rsidR="00B71EC9" w:rsidRPr="00F76596">
              <w:t xml:space="preserve"> set out in Part S2.1 of Schedule 2,</w:t>
            </w:r>
            <w:r w:rsidR="00447017" w:rsidRPr="00F76596">
              <w:t xml:space="preserve"> or information that is </w:t>
            </w:r>
            <w:r w:rsidR="003D77CD" w:rsidRPr="00F76596">
              <w:t>substantially equivalent</w:t>
            </w:r>
            <w:r w:rsidR="00447017" w:rsidRPr="00F76596">
              <w:t xml:space="preserve"> </w:t>
            </w:r>
            <w:r w:rsidR="0015469C" w:rsidRPr="00F76596">
              <w:t xml:space="preserve">to </w:t>
            </w:r>
            <w:r w:rsidR="00447017" w:rsidRPr="00F76596">
              <w:t>the Derivative Transaction Information</w:t>
            </w:r>
            <w:r w:rsidR="00B71EC9" w:rsidRPr="00F76596">
              <w:t xml:space="preserve"> set out in Part S2.1 of Schedule 2,</w:t>
            </w:r>
            <w:r w:rsidR="00447017" w:rsidRPr="00F76596">
              <w:t xml:space="preserve"> as</w:t>
            </w:r>
            <w:r w:rsidR="00997780" w:rsidRPr="00F76596">
              <w:t xml:space="preserve"> </w:t>
            </w:r>
            <w:r w:rsidR="00B71EC9" w:rsidRPr="00F76596">
              <w:t>specified</w:t>
            </w:r>
            <w:r w:rsidR="00997780" w:rsidRPr="00F76596">
              <w:t xml:space="preserve"> in the Opt-In Notice</w:t>
            </w:r>
            <w:r w:rsidR="00B71EC9" w:rsidRPr="00F76596">
              <w:t>,</w:t>
            </w:r>
            <w:r w:rsidR="00997780" w:rsidRPr="00F76596">
              <w:rPr>
                <w:szCs w:val="20"/>
              </w:rPr>
              <w:t xml:space="preserve"> </w:t>
            </w:r>
            <w:r w:rsidR="00997780" w:rsidRPr="00F76596">
              <w:t>to the Licensed Repository or Prescribed Repository specified in the Opt-In Notice</w:t>
            </w:r>
            <w:r w:rsidR="0099386A" w:rsidRPr="00F76596">
              <w:t>.</w:t>
            </w:r>
          </w:p>
        </w:tc>
      </w:tr>
      <w:tr w:rsidR="001C6606" w:rsidRPr="00F76596" w14:paraId="4C0955B5" w14:textId="77777777" w:rsidTr="007E1A9F">
        <w:trPr>
          <w:cantSplit/>
          <w:trHeight w:val="900"/>
        </w:trPr>
        <w:tc>
          <w:tcPr>
            <w:tcW w:w="0" w:type="auto"/>
            <w:vMerge w:val="restart"/>
          </w:tcPr>
          <w:p w14:paraId="4F080040" w14:textId="77777777" w:rsidR="00665DE6" w:rsidRPr="00F76596" w:rsidRDefault="00665DE6" w:rsidP="00C81040">
            <w:pPr>
              <w:pStyle w:val="tbltext"/>
            </w:pPr>
            <w:r w:rsidRPr="00F76596">
              <w:t>Phase 1</w:t>
            </w:r>
          </w:p>
        </w:tc>
        <w:tc>
          <w:tcPr>
            <w:tcW w:w="0" w:type="auto"/>
            <w:vMerge w:val="restart"/>
          </w:tcPr>
          <w:p w14:paraId="00FE65EE" w14:textId="77777777" w:rsidR="00665DE6" w:rsidRPr="00F76596" w:rsidRDefault="00665DE6" w:rsidP="00F55A6A">
            <w:pPr>
              <w:pStyle w:val="tbltext"/>
            </w:pPr>
            <w:r w:rsidRPr="00F76596">
              <w:t xml:space="preserve">A Reporting Entity that </w:t>
            </w:r>
            <w:r w:rsidR="00C82BCB" w:rsidRPr="00F76596">
              <w:t xml:space="preserve">is an Australian Entity and that </w:t>
            </w:r>
            <w:r w:rsidRPr="00F76596">
              <w:t xml:space="preserve">is registered or provisionally registered as a swap dealer with the US Commodity Futures Trading Commission in accordance with the </w:t>
            </w:r>
            <w:r w:rsidRPr="00F76596">
              <w:rPr>
                <w:i/>
              </w:rPr>
              <w:t xml:space="preserve">Commodity Exchange Act 1936 </w:t>
            </w:r>
            <w:r w:rsidRPr="00F76596">
              <w:t>(US).</w:t>
            </w:r>
          </w:p>
        </w:tc>
        <w:tc>
          <w:tcPr>
            <w:tcW w:w="0" w:type="auto"/>
          </w:tcPr>
          <w:p w14:paraId="3A99044C" w14:textId="77777777" w:rsidR="00665DE6" w:rsidRPr="00F76596" w:rsidRDefault="00665DE6" w:rsidP="00E029ED">
            <w:pPr>
              <w:pStyle w:val="tbltext"/>
            </w:pPr>
            <w:r w:rsidRPr="00F76596">
              <w:t xml:space="preserve">From 1 October 2013 </w:t>
            </w:r>
            <w:r w:rsidR="00E029ED" w:rsidRPr="00F76596">
              <w:t>until 30 September 2014</w:t>
            </w:r>
            <w:r w:rsidR="002F009C" w:rsidRPr="00F76596">
              <w:t xml:space="preserve"> (inclusive)</w:t>
            </w:r>
          </w:p>
        </w:tc>
        <w:tc>
          <w:tcPr>
            <w:tcW w:w="0" w:type="auto"/>
          </w:tcPr>
          <w:p w14:paraId="1B46B13A" w14:textId="77777777" w:rsidR="00665DE6" w:rsidRPr="00F76596" w:rsidRDefault="00665DE6" w:rsidP="00CE4188">
            <w:pPr>
              <w:pStyle w:val="tbltext"/>
            </w:pPr>
            <w:r w:rsidRPr="00F76596">
              <w:t>All Reportable Transactions</w:t>
            </w:r>
            <w:r w:rsidR="00CE4188" w:rsidRPr="00F76596">
              <w:t>.</w:t>
            </w:r>
          </w:p>
        </w:tc>
        <w:tc>
          <w:tcPr>
            <w:tcW w:w="0" w:type="auto"/>
          </w:tcPr>
          <w:p w14:paraId="0209C64E" w14:textId="77777777" w:rsidR="00665DE6" w:rsidRPr="00F76596" w:rsidRDefault="006875F7" w:rsidP="006875F7">
            <w:pPr>
              <w:pStyle w:val="tbltext"/>
            </w:pPr>
            <w:r w:rsidRPr="00F76596">
              <w:t>A</w:t>
            </w:r>
            <w:r w:rsidR="00665DE6" w:rsidRPr="00F76596">
              <w:t xml:space="preserve"> Reporting Entity must report, for each Reportable Transaction, the Derivative Transaction Information set out in Part S2.1 of Schedule 2 to a Licensed Repository</w:t>
            </w:r>
            <w:r w:rsidR="00DB5E10" w:rsidRPr="00F76596">
              <w:t xml:space="preserve"> or a Prescribed Repository</w:t>
            </w:r>
            <w:r w:rsidR="00665DE6" w:rsidRPr="00F76596">
              <w:t>.</w:t>
            </w:r>
          </w:p>
        </w:tc>
      </w:tr>
      <w:tr w:rsidR="001C6606" w:rsidRPr="00F76596" w14:paraId="4DA79DA2" w14:textId="77777777" w:rsidTr="00924FC3">
        <w:trPr>
          <w:cantSplit/>
          <w:trHeight w:val="900"/>
        </w:trPr>
        <w:tc>
          <w:tcPr>
            <w:tcW w:w="0" w:type="auto"/>
            <w:vMerge/>
          </w:tcPr>
          <w:p w14:paraId="1D29E384" w14:textId="77777777" w:rsidR="00665DE6" w:rsidRPr="00F76596" w:rsidRDefault="00665DE6" w:rsidP="00C81040">
            <w:pPr>
              <w:pStyle w:val="tbltext"/>
            </w:pPr>
          </w:p>
        </w:tc>
        <w:tc>
          <w:tcPr>
            <w:tcW w:w="0" w:type="auto"/>
            <w:vMerge/>
          </w:tcPr>
          <w:p w14:paraId="6B09F280" w14:textId="77777777" w:rsidR="00665DE6" w:rsidRPr="00F76596" w:rsidRDefault="00665DE6" w:rsidP="00F55A6A">
            <w:pPr>
              <w:pStyle w:val="tbltext"/>
            </w:pPr>
          </w:p>
        </w:tc>
        <w:tc>
          <w:tcPr>
            <w:tcW w:w="0" w:type="auto"/>
          </w:tcPr>
          <w:p w14:paraId="77A91780" w14:textId="77777777" w:rsidR="00665DE6" w:rsidRPr="00F76596" w:rsidRDefault="00665DE6" w:rsidP="00665DE6">
            <w:pPr>
              <w:pStyle w:val="tbltext"/>
            </w:pPr>
            <w:r w:rsidRPr="00F76596">
              <w:t>From 1 October 2014 onwards</w:t>
            </w:r>
          </w:p>
        </w:tc>
        <w:tc>
          <w:tcPr>
            <w:tcW w:w="0" w:type="auto"/>
          </w:tcPr>
          <w:p w14:paraId="2CF78535" w14:textId="77777777" w:rsidR="00665DE6" w:rsidRPr="00F76596" w:rsidRDefault="00665DE6" w:rsidP="00C81040">
            <w:pPr>
              <w:pStyle w:val="tbltext"/>
            </w:pPr>
            <w:r w:rsidRPr="00F76596">
              <w:t>All Reportable Transactions</w:t>
            </w:r>
            <w:r w:rsidR="00CE4188" w:rsidRPr="00F76596">
              <w:t>.</w:t>
            </w:r>
          </w:p>
        </w:tc>
        <w:tc>
          <w:tcPr>
            <w:tcW w:w="0" w:type="auto"/>
          </w:tcPr>
          <w:p w14:paraId="2EBE17E6" w14:textId="77777777" w:rsidR="00665DE6" w:rsidRPr="00F76596" w:rsidRDefault="00E35F23" w:rsidP="00766E94">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14:paraId="4381610D" w14:textId="77777777" w:rsidTr="00924FC3">
        <w:trPr>
          <w:cantSplit/>
        </w:trPr>
        <w:tc>
          <w:tcPr>
            <w:tcW w:w="0" w:type="auto"/>
            <w:vMerge w:val="restart"/>
          </w:tcPr>
          <w:p w14:paraId="325729D7" w14:textId="77777777" w:rsidR="00997780" w:rsidRPr="00F76596" w:rsidRDefault="00997780" w:rsidP="00961469">
            <w:pPr>
              <w:pStyle w:val="tbltext"/>
            </w:pPr>
            <w:r w:rsidRPr="00F76596">
              <w:t xml:space="preserve">Phase </w:t>
            </w:r>
            <w:r w:rsidR="00961469" w:rsidRPr="00F76596">
              <w:t>2</w:t>
            </w:r>
          </w:p>
        </w:tc>
        <w:tc>
          <w:tcPr>
            <w:tcW w:w="0" w:type="auto"/>
            <w:vMerge w:val="restart"/>
          </w:tcPr>
          <w:p w14:paraId="54ECFCB7" w14:textId="77777777" w:rsidR="00997780" w:rsidRPr="00F76596" w:rsidRDefault="00997780" w:rsidP="00C81040">
            <w:pPr>
              <w:pStyle w:val="tbltext"/>
            </w:pPr>
            <w:r w:rsidRPr="00F76596">
              <w:t>A Reporting Entity that:</w:t>
            </w:r>
          </w:p>
          <w:p w14:paraId="22A7C9A1" w14:textId="77777777" w:rsidR="00997780" w:rsidRPr="00F76596" w:rsidRDefault="00997780" w:rsidP="00C81040">
            <w:pPr>
              <w:pStyle w:val="tbltext"/>
              <w:ind w:left="284" w:hanging="284"/>
            </w:pPr>
            <w:r w:rsidRPr="00F76596">
              <w:t>(a)</w:t>
            </w:r>
            <w:r w:rsidRPr="00F76596">
              <w:tab/>
              <w:t xml:space="preserve">is an Australian ADI, an AFS Licensee, </w:t>
            </w:r>
            <w:r w:rsidR="00D63A72" w:rsidRPr="00F76596">
              <w:t xml:space="preserve">a CS Facility Licensee, </w:t>
            </w:r>
            <w:r w:rsidRPr="00F76596">
              <w:lastRenderedPageBreak/>
              <w:t>an Exempt Foreign Licensee or</w:t>
            </w:r>
            <w:r w:rsidR="00D63A72" w:rsidRPr="00F76596">
              <w:t xml:space="preserve"> a Foreign ADI</w:t>
            </w:r>
            <w:r w:rsidRPr="00F76596">
              <w:t>; and</w:t>
            </w:r>
          </w:p>
          <w:p w14:paraId="19EEF477" w14:textId="77777777" w:rsidR="002A5599" w:rsidRPr="00F76596" w:rsidRDefault="00997780" w:rsidP="004C0CB4">
            <w:pPr>
              <w:pStyle w:val="tbltext"/>
              <w:ind w:left="284" w:hanging="284"/>
            </w:pPr>
            <w:r w:rsidRPr="00F76596">
              <w:t>(b)</w:t>
            </w:r>
            <w:r w:rsidRPr="00F76596">
              <w:tab/>
            </w:r>
            <w:r w:rsidR="007F4261" w:rsidRPr="00F76596">
              <w:t xml:space="preserve">as at </w:t>
            </w:r>
            <w:r w:rsidR="00CB4443" w:rsidRPr="00F76596">
              <w:t xml:space="preserve">31 December </w:t>
            </w:r>
            <w:r w:rsidR="004C0C36" w:rsidRPr="00F76596">
              <w:t xml:space="preserve">2013 </w:t>
            </w:r>
            <w:r w:rsidRPr="00F76596">
              <w:t>h</w:t>
            </w:r>
            <w:r w:rsidR="008869AA" w:rsidRPr="00F76596">
              <w:t>olds</w:t>
            </w:r>
            <w:r w:rsidRPr="00F76596">
              <w:t xml:space="preserve"> total gross notional outstanding positions of </w:t>
            </w:r>
            <w:r w:rsidR="00BC2322" w:rsidRPr="00F76596">
              <w:t xml:space="preserve">AUD </w:t>
            </w:r>
            <w:r w:rsidRPr="00F76596">
              <w:t>$50 billion or more</w:t>
            </w:r>
            <w:r w:rsidR="002A5599" w:rsidRPr="00F76596">
              <w:t>; and</w:t>
            </w:r>
          </w:p>
          <w:p w14:paraId="7F253DF0" w14:textId="77777777" w:rsidR="004416FD" w:rsidRPr="00F76596" w:rsidRDefault="004416FD" w:rsidP="004416FD">
            <w:pPr>
              <w:pStyle w:val="tbltext"/>
              <w:ind w:left="284" w:hanging="284"/>
            </w:pPr>
            <w:r w:rsidRPr="00F76596">
              <w:t>(c)</w:t>
            </w:r>
            <w:r w:rsidRPr="00F76596">
              <w:tab/>
              <w:t>is not required to report under Phase 1.</w:t>
            </w:r>
          </w:p>
          <w:p w14:paraId="52C60FAE" w14:textId="77777777" w:rsidR="00997780" w:rsidRPr="00F76596" w:rsidRDefault="0073436D" w:rsidP="00747C5E">
            <w:pPr>
              <w:pStyle w:val="tblnote"/>
            </w:pPr>
            <w:r w:rsidRPr="00F76596">
              <w:t>Note: See Rule 1.2.7 in relation to total gross notional outstanding positions</w:t>
            </w:r>
            <w:r w:rsidR="0099386A" w:rsidRPr="00F76596">
              <w:t>.</w:t>
            </w:r>
          </w:p>
        </w:tc>
        <w:tc>
          <w:tcPr>
            <w:tcW w:w="0" w:type="auto"/>
          </w:tcPr>
          <w:p w14:paraId="13546AD8" w14:textId="77777777" w:rsidR="00997780" w:rsidRPr="00F76596" w:rsidRDefault="00997780" w:rsidP="00D90AB7">
            <w:pPr>
              <w:pStyle w:val="tbltext"/>
            </w:pPr>
            <w:r w:rsidRPr="00F76596">
              <w:lastRenderedPageBreak/>
              <w:t xml:space="preserve">From </w:t>
            </w:r>
            <w:r w:rsidR="00CB4443" w:rsidRPr="00F76596">
              <w:t>1</w:t>
            </w:r>
            <w:r w:rsidR="00DE53AA" w:rsidRPr="00F76596">
              <w:t xml:space="preserve"> </w:t>
            </w:r>
            <w:r w:rsidR="00CB4443" w:rsidRPr="00F76596">
              <w:t>April</w:t>
            </w:r>
            <w:r w:rsidR="00DE53AA" w:rsidRPr="00F76596">
              <w:t xml:space="preserve"> 2014</w:t>
            </w:r>
            <w:r w:rsidRPr="00F76596">
              <w:t xml:space="preserve"> to </w:t>
            </w:r>
            <w:r w:rsidR="000072FD" w:rsidRPr="00F76596">
              <w:t>3</w:t>
            </w:r>
            <w:r w:rsidR="00CB4443" w:rsidRPr="00F76596">
              <w:t>0</w:t>
            </w:r>
            <w:r w:rsidR="000072FD" w:rsidRPr="00F76596">
              <w:t xml:space="preserve"> </w:t>
            </w:r>
            <w:r w:rsidR="00CB4443" w:rsidRPr="00F76596">
              <w:t>September</w:t>
            </w:r>
            <w:r w:rsidR="000072FD" w:rsidRPr="00F76596">
              <w:t xml:space="preserve"> 2014</w:t>
            </w:r>
            <w:r w:rsidRPr="00F76596">
              <w:t xml:space="preserve"> (inclusive)</w:t>
            </w:r>
            <w:r w:rsidR="0099386A" w:rsidRPr="00F76596">
              <w:t>.</w:t>
            </w:r>
          </w:p>
        </w:tc>
        <w:tc>
          <w:tcPr>
            <w:tcW w:w="0" w:type="auto"/>
          </w:tcPr>
          <w:p w14:paraId="289391C6" w14:textId="77777777" w:rsidR="002F09F4" w:rsidRPr="00F76596" w:rsidRDefault="00997780" w:rsidP="00F10483">
            <w:pPr>
              <w:pStyle w:val="tbltext"/>
            </w:pPr>
            <w:r w:rsidRPr="00F76596">
              <w:t>All Reportable Transactions in credit derivatives and interest rate derivatives</w:t>
            </w:r>
            <w:r w:rsidR="0099386A" w:rsidRPr="00F76596">
              <w:t>.</w:t>
            </w:r>
          </w:p>
        </w:tc>
        <w:tc>
          <w:tcPr>
            <w:tcW w:w="0" w:type="auto"/>
          </w:tcPr>
          <w:p w14:paraId="404C2056" w14:textId="77777777" w:rsidR="00997780" w:rsidRPr="00F76596" w:rsidRDefault="006875F7" w:rsidP="006875F7">
            <w:pPr>
              <w:pStyle w:val="tbltext"/>
            </w:pPr>
            <w:r w:rsidRPr="00F76596">
              <w:t xml:space="preserve">A </w:t>
            </w:r>
            <w:r w:rsidR="00997780" w:rsidRPr="00F76596">
              <w:t>Reporting Entit</w:t>
            </w:r>
            <w:r w:rsidR="001B70F1" w:rsidRPr="00F76596">
              <w:t>y</w:t>
            </w:r>
            <w:r w:rsidR="00997780" w:rsidRPr="00F76596">
              <w:t xml:space="preserve"> must report</w:t>
            </w:r>
            <w:r w:rsidR="00C065BB" w:rsidRPr="00F76596">
              <w:t>, for each Reportable Transaction,</w:t>
            </w:r>
            <w:r w:rsidR="00997780" w:rsidRPr="00F76596">
              <w:t xml:space="preserve"> the Derivative Transaction Information set out in Part </w:t>
            </w:r>
            <w:r w:rsidR="00C065BB" w:rsidRPr="00F76596">
              <w:t>S2.</w:t>
            </w:r>
            <w:r w:rsidR="00997780" w:rsidRPr="00F76596">
              <w:t>1 of Schedule</w:t>
            </w:r>
            <w:r w:rsidR="000211F0" w:rsidRPr="00F76596">
              <w:t> </w:t>
            </w:r>
            <w:r w:rsidR="00997780" w:rsidRPr="00F76596">
              <w:t>2 to a Licensed Repository</w:t>
            </w:r>
            <w:r w:rsidR="00B0117A" w:rsidRPr="00F76596">
              <w:t xml:space="preserve"> or a</w:t>
            </w:r>
            <w:r w:rsidR="00E82B7F" w:rsidRPr="00F76596">
              <w:rPr>
                <w:rFonts w:ascii="Times New Roman" w:hAnsi="Times New Roman" w:cs="Times New Roman"/>
                <w:sz w:val="22"/>
                <w:szCs w:val="20"/>
              </w:rPr>
              <w:t xml:space="preserve"> </w:t>
            </w:r>
            <w:r w:rsidR="00E82B7F" w:rsidRPr="00F76596">
              <w:t>Prescribed Repository</w:t>
            </w:r>
            <w:r w:rsidR="0099386A" w:rsidRPr="00F76596">
              <w:t>.</w:t>
            </w:r>
          </w:p>
        </w:tc>
      </w:tr>
      <w:tr w:rsidR="001C6606" w:rsidRPr="00F76596" w14:paraId="724AF77B" w14:textId="77777777" w:rsidTr="00924FC3">
        <w:trPr>
          <w:cantSplit/>
        </w:trPr>
        <w:tc>
          <w:tcPr>
            <w:tcW w:w="0" w:type="auto"/>
            <w:vMerge/>
            <w:tcBorders>
              <w:bottom w:val="single" w:sz="4" w:space="0" w:color="999999"/>
            </w:tcBorders>
          </w:tcPr>
          <w:p w14:paraId="55751972" w14:textId="77777777" w:rsidR="00997780" w:rsidRPr="00F76596" w:rsidRDefault="00997780" w:rsidP="00C81040">
            <w:pPr>
              <w:pStyle w:val="tbltext"/>
            </w:pPr>
          </w:p>
        </w:tc>
        <w:tc>
          <w:tcPr>
            <w:tcW w:w="0" w:type="auto"/>
            <w:vMerge/>
            <w:tcBorders>
              <w:bottom w:val="single" w:sz="4" w:space="0" w:color="999999"/>
            </w:tcBorders>
          </w:tcPr>
          <w:p w14:paraId="085E0F92" w14:textId="77777777" w:rsidR="00997780" w:rsidRPr="00F76596" w:rsidRDefault="00997780" w:rsidP="00C81040">
            <w:pPr>
              <w:pStyle w:val="tbltext"/>
            </w:pPr>
          </w:p>
        </w:tc>
        <w:tc>
          <w:tcPr>
            <w:tcW w:w="0" w:type="auto"/>
            <w:tcBorders>
              <w:bottom w:val="single" w:sz="4" w:space="0" w:color="999999"/>
            </w:tcBorders>
          </w:tcPr>
          <w:p w14:paraId="1B880FC2" w14:textId="77777777" w:rsidR="00997780" w:rsidRPr="00F76596" w:rsidRDefault="00997780" w:rsidP="00D90AB7">
            <w:pPr>
              <w:pStyle w:val="tbltext"/>
            </w:pPr>
            <w:r w:rsidRPr="00F76596">
              <w:t xml:space="preserve">From </w:t>
            </w:r>
            <w:r w:rsidR="003B5621" w:rsidRPr="00F76596">
              <w:t xml:space="preserve">1 </w:t>
            </w:r>
            <w:r w:rsidR="00CB4443" w:rsidRPr="00F76596">
              <w:t>October</w:t>
            </w:r>
            <w:r w:rsidR="003B5621" w:rsidRPr="00F76596">
              <w:t xml:space="preserve"> 2014</w:t>
            </w:r>
            <w:r w:rsidRPr="00F76596">
              <w:t xml:space="preserve"> </w:t>
            </w:r>
            <w:r w:rsidR="00470645" w:rsidRPr="00F76596">
              <w:t>onwards</w:t>
            </w:r>
            <w:r w:rsidR="0099386A" w:rsidRPr="00F76596">
              <w:t>.</w:t>
            </w:r>
          </w:p>
        </w:tc>
        <w:tc>
          <w:tcPr>
            <w:tcW w:w="0" w:type="auto"/>
            <w:tcBorders>
              <w:bottom w:val="single" w:sz="4" w:space="0" w:color="999999"/>
            </w:tcBorders>
          </w:tcPr>
          <w:p w14:paraId="4DD15666" w14:textId="77777777" w:rsidR="00997780" w:rsidRPr="00F76596" w:rsidRDefault="00997780" w:rsidP="00C81040">
            <w:pPr>
              <w:pStyle w:val="tbltext"/>
            </w:pPr>
            <w:r w:rsidRPr="00F76596">
              <w:t>All Reportable Transactions</w:t>
            </w:r>
            <w:r w:rsidR="0099386A" w:rsidRPr="00F76596">
              <w:t>.</w:t>
            </w:r>
          </w:p>
        </w:tc>
        <w:tc>
          <w:tcPr>
            <w:tcW w:w="0" w:type="auto"/>
            <w:tcBorders>
              <w:bottom w:val="single" w:sz="4" w:space="0" w:color="999999"/>
            </w:tcBorders>
          </w:tcPr>
          <w:p w14:paraId="72EC677C" w14:textId="77777777" w:rsidR="00997780" w:rsidRPr="00F76596" w:rsidRDefault="00E35F23" w:rsidP="00DB5241">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14:paraId="69ACAF11" w14:textId="77777777" w:rsidTr="00924FC3">
        <w:trPr>
          <w:cantSplit/>
        </w:trPr>
        <w:tc>
          <w:tcPr>
            <w:tcW w:w="0" w:type="auto"/>
            <w:vMerge w:val="restart"/>
          </w:tcPr>
          <w:p w14:paraId="41051834" w14:textId="77777777" w:rsidR="00997780" w:rsidRPr="00F76596" w:rsidRDefault="00997780" w:rsidP="00961469">
            <w:pPr>
              <w:pStyle w:val="tbltext"/>
              <w:keepNext/>
            </w:pPr>
            <w:r w:rsidRPr="00F76596">
              <w:t xml:space="preserve">Phase </w:t>
            </w:r>
            <w:r w:rsidR="00961469" w:rsidRPr="00F76596">
              <w:t>3</w:t>
            </w:r>
          </w:p>
        </w:tc>
        <w:tc>
          <w:tcPr>
            <w:tcW w:w="0" w:type="auto"/>
            <w:vMerge w:val="restart"/>
          </w:tcPr>
          <w:p w14:paraId="7B7E59BB" w14:textId="77777777" w:rsidR="00997780" w:rsidRPr="00F76596" w:rsidRDefault="00997780" w:rsidP="00924FC3">
            <w:pPr>
              <w:pStyle w:val="tbltext"/>
              <w:keepNext/>
            </w:pPr>
            <w:r w:rsidRPr="00F76596">
              <w:t>A Reporting Entity that:</w:t>
            </w:r>
          </w:p>
          <w:p w14:paraId="394548C7" w14:textId="77777777" w:rsidR="00997780" w:rsidRPr="00F76596" w:rsidRDefault="00997780" w:rsidP="00924FC3">
            <w:pPr>
              <w:pStyle w:val="tbltext"/>
              <w:keepNext/>
              <w:ind w:left="284" w:hanging="284"/>
            </w:pPr>
            <w:r w:rsidRPr="00F76596">
              <w:t>(a)</w:t>
            </w:r>
            <w:r w:rsidRPr="00F76596">
              <w:tab/>
            </w:r>
            <w:r w:rsidR="000F1996" w:rsidRPr="00F76596">
              <w:t>is an Australian ADI, an AFS Licensee, a CS Facility Licensee, an Exempt Foreign Licensee or a Foreign ADI</w:t>
            </w:r>
            <w:r w:rsidRPr="00F76596">
              <w:t>; and</w:t>
            </w:r>
          </w:p>
          <w:p w14:paraId="3205DF39" w14:textId="77777777" w:rsidR="00997780" w:rsidRPr="00F76596" w:rsidRDefault="00997780" w:rsidP="00F879A3">
            <w:pPr>
              <w:pStyle w:val="tbltext"/>
              <w:keepNext/>
              <w:ind w:left="284" w:hanging="284"/>
            </w:pPr>
            <w:r w:rsidRPr="00F76596">
              <w:t>(b)</w:t>
            </w:r>
            <w:r w:rsidRPr="00F76596">
              <w:tab/>
              <w:t xml:space="preserve">is not required to report under Phase </w:t>
            </w:r>
            <w:r w:rsidR="00CC2300" w:rsidRPr="00F76596">
              <w:t xml:space="preserve">1 or Phase </w:t>
            </w:r>
            <w:r w:rsidR="00F879A3" w:rsidRPr="00F76596">
              <w:t>2</w:t>
            </w:r>
            <w:r w:rsidR="0099386A" w:rsidRPr="00F76596">
              <w:t>.</w:t>
            </w:r>
          </w:p>
        </w:tc>
        <w:tc>
          <w:tcPr>
            <w:tcW w:w="0" w:type="auto"/>
          </w:tcPr>
          <w:p w14:paraId="26515AE3" w14:textId="77777777" w:rsidR="00B020E6" w:rsidRPr="00F76596" w:rsidRDefault="00997780">
            <w:pPr>
              <w:pStyle w:val="tbltext"/>
              <w:keepNext/>
            </w:pPr>
            <w:r w:rsidRPr="00F76596">
              <w:t xml:space="preserve">From </w:t>
            </w:r>
            <w:r w:rsidR="007649EE" w:rsidRPr="00F76596">
              <w:t xml:space="preserve">1 </w:t>
            </w:r>
            <w:r w:rsidR="00CB4443" w:rsidRPr="00F76596">
              <w:t>October</w:t>
            </w:r>
            <w:r w:rsidR="007649EE" w:rsidRPr="00F76596">
              <w:t xml:space="preserve"> 2014</w:t>
            </w:r>
            <w:r w:rsidRPr="00F76596">
              <w:t xml:space="preserve"> to </w:t>
            </w:r>
            <w:r w:rsidR="00CB4443" w:rsidRPr="00F76596">
              <w:t>31</w:t>
            </w:r>
            <w:r w:rsidR="00F0508D" w:rsidRPr="00F76596">
              <w:t xml:space="preserve"> March 2015</w:t>
            </w:r>
            <w:r w:rsidR="00D472AE" w:rsidRPr="00F76596">
              <w:t xml:space="preserve"> (inclusive)</w:t>
            </w:r>
            <w:r w:rsidR="0099386A" w:rsidRPr="00F76596">
              <w:t>.</w:t>
            </w:r>
          </w:p>
        </w:tc>
        <w:tc>
          <w:tcPr>
            <w:tcW w:w="0" w:type="auto"/>
          </w:tcPr>
          <w:p w14:paraId="1A186D64" w14:textId="77777777" w:rsidR="00997780" w:rsidRPr="00F76596" w:rsidRDefault="00997780" w:rsidP="00924FC3">
            <w:pPr>
              <w:pStyle w:val="tbltext"/>
              <w:keepNext/>
            </w:pPr>
            <w:r w:rsidRPr="00F76596">
              <w:t>All Reportable Transactions in credit derivatives and interest rate derivatives</w:t>
            </w:r>
            <w:r w:rsidR="0099386A" w:rsidRPr="00F76596">
              <w:t>.</w:t>
            </w:r>
          </w:p>
        </w:tc>
        <w:tc>
          <w:tcPr>
            <w:tcW w:w="0" w:type="auto"/>
          </w:tcPr>
          <w:p w14:paraId="36294E46" w14:textId="77777777" w:rsidR="00997780" w:rsidRPr="00F76596" w:rsidRDefault="00E35F23" w:rsidP="00D16F42">
            <w:pPr>
              <w:pStyle w:val="tbltext"/>
              <w:keepNext/>
            </w:pPr>
            <w:r w:rsidRPr="00E35F23">
              <w:t>A Reporting Entity must report, for each Reportable Transaction, the Derivative Transaction Information set out in Part S2.1 of Schedule 2 to a Licensed Repository, or, if there is no Licensed Repository, to a Prescribed Repository.</w:t>
            </w:r>
          </w:p>
        </w:tc>
      </w:tr>
      <w:tr w:rsidR="001C6606" w:rsidRPr="00F76596" w14:paraId="554307B1" w14:textId="77777777" w:rsidTr="00924FC3">
        <w:trPr>
          <w:cantSplit/>
          <w:trHeight w:val="843"/>
        </w:trPr>
        <w:tc>
          <w:tcPr>
            <w:tcW w:w="0" w:type="auto"/>
            <w:vMerge/>
          </w:tcPr>
          <w:p w14:paraId="20C4FEA3" w14:textId="77777777" w:rsidR="00997780" w:rsidRPr="00F76596" w:rsidRDefault="00997780" w:rsidP="00C81040">
            <w:pPr>
              <w:pStyle w:val="tbltext"/>
            </w:pPr>
          </w:p>
        </w:tc>
        <w:tc>
          <w:tcPr>
            <w:tcW w:w="0" w:type="auto"/>
            <w:vMerge/>
          </w:tcPr>
          <w:p w14:paraId="4069766D" w14:textId="77777777" w:rsidR="00997780" w:rsidRPr="00F76596" w:rsidRDefault="00997780" w:rsidP="00C81040">
            <w:pPr>
              <w:pStyle w:val="tbltext"/>
            </w:pPr>
          </w:p>
        </w:tc>
        <w:tc>
          <w:tcPr>
            <w:tcW w:w="0" w:type="auto"/>
          </w:tcPr>
          <w:p w14:paraId="28F10AD1" w14:textId="77777777" w:rsidR="00B020E6" w:rsidRPr="00F76596" w:rsidRDefault="00997780">
            <w:pPr>
              <w:pStyle w:val="tbltext"/>
              <w:keepNext/>
            </w:pPr>
            <w:r w:rsidRPr="00F76596">
              <w:t xml:space="preserve">From </w:t>
            </w:r>
            <w:r w:rsidR="00CB4443" w:rsidRPr="00F76596">
              <w:t>1</w:t>
            </w:r>
            <w:r w:rsidR="00F0508D" w:rsidRPr="00F76596">
              <w:t xml:space="preserve"> </w:t>
            </w:r>
            <w:r w:rsidR="00CB4443" w:rsidRPr="00F76596">
              <w:t>April</w:t>
            </w:r>
            <w:r w:rsidR="00F0508D" w:rsidRPr="00F76596">
              <w:t xml:space="preserve"> 2015</w:t>
            </w:r>
            <w:r w:rsidRPr="00F76596">
              <w:t xml:space="preserve"> onwards</w:t>
            </w:r>
            <w:r w:rsidR="0099386A" w:rsidRPr="00F76596">
              <w:t>.</w:t>
            </w:r>
          </w:p>
        </w:tc>
        <w:tc>
          <w:tcPr>
            <w:tcW w:w="0" w:type="auto"/>
          </w:tcPr>
          <w:p w14:paraId="4238B7E3" w14:textId="77777777" w:rsidR="00997780" w:rsidRPr="00F76596" w:rsidRDefault="00997780" w:rsidP="00C81040">
            <w:pPr>
              <w:pStyle w:val="tbltext"/>
            </w:pPr>
            <w:r w:rsidRPr="00F76596">
              <w:t>All Reportable Transactions</w:t>
            </w:r>
            <w:r w:rsidR="0099386A" w:rsidRPr="00F76596">
              <w:t>.</w:t>
            </w:r>
          </w:p>
        </w:tc>
        <w:tc>
          <w:tcPr>
            <w:tcW w:w="0" w:type="auto"/>
          </w:tcPr>
          <w:p w14:paraId="14F34FA4" w14:textId="77777777" w:rsidR="00997780" w:rsidRPr="00F76596" w:rsidRDefault="00E35F23" w:rsidP="00C81040">
            <w:pPr>
              <w:pStyle w:val="tbltext"/>
            </w:pPr>
            <w:r w:rsidRPr="00E35F23">
              <w:t>A Reporting Entity must report, for each Reportable Transaction, the Derivative Transaction Information set out in Part S2.1 of Schedule 2 to a Licensed Repository, or, if there is no Licensed Repository, to a Prescribed Repository.</w:t>
            </w:r>
          </w:p>
        </w:tc>
      </w:tr>
    </w:tbl>
    <w:p w14:paraId="078AE539" w14:textId="77777777" w:rsidR="0067598C" w:rsidRPr="00F76596" w:rsidRDefault="0067598C"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14:paraId="76887FF7" w14:textId="77777777" w:rsidR="00E2782C" w:rsidRPr="00F76596" w:rsidRDefault="00E2782C" w:rsidP="0067598C">
      <w:pPr>
        <w:pStyle w:val="MIRNote"/>
        <w:sectPr w:rsidR="00E2782C" w:rsidRPr="00F76596" w:rsidSect="00504F11">
          <w:footerReference w:type="default" r:id="rId26"/>
          <w:pgSz w:w="16838" w:h="11906" w:orient="landscape" w:code="9"/>
          <w:pgMar w:top="1418" w:right="1644" w:bottom="1418" w:left="1418" w:header="567" w:footer="567" w:gutter="0"/>
          <w:cols w:space="720"/>
          <w:docGrid w:linePitch="299"/>
        </w:sectPr>
      </w:pPr>
    </w:p>
    <w:p w14:paraId="6DA212C6" w14:textId="77777777" w:rsidR="00973D0E" w:rsidRPr="00F76596" w:rsidRDefault="00997780" w:rsidP="00973D0E">
      <w:pPr>
        <w:pStyle w:val="MIRHeading2Part"/>
      </w:pPr>
      <w:bookmarkStart w:id="14" w:name="_Toc122081643"/>
      <w:r w:rsidRPr="00F76596">
        <w:lastRenderedPageBreak/>
        <w:t>Part S1.2</w:t>
      </w:r>
      <w:r w:rsidRPr="00F76596">
        <w:tab/>
      </w:r>
      <w:r w:rsidR="00686872" w:rsidRPr="00F76596">
        <w:t>Position Reporting Requirements</w:t>
      </w:r>
      <w:bookmarkEnd w:id="14"/>
    </w:p>
    <w:p w14:paraId="7DB7336E" w14:textId="77777777" w:rsidR="00997780" w:rsidRPr="00F76596" w:rsidRDefault="00997780" w:rsidP="00997780">
      <w:pPr>
        <w:pStyle w:val="MIRHeading3Rule"/>
      </w:pPr>
      <w:r w:rsidRPr="00F76596">
        <w:t>S1.</w:t>
      </w:r>
      <w:r w:rsidR="006927FE" w:rsidRPr="00F76596">
        <w:t>2</w:t>
      </w:r>
      <w:r w:rsidRPr="00F76596">
        <w:t>.1</w:t>
      </w:r>
      <w:r w:rsidRPr="00F76596">
        <w:tab/>
      </w:r>
      <w:r w:rsidR="00686872" w:rsidRPr="00F76596">
        <w:t>Position Reporting Requirements</w:t>
      </w:r>
    </w:p>
    <w:p w14:paraId="783D0CC0" w14:textId="77777777" w:rsidR="004933EA" w:rsidRPr="00F76596" w:rsidRDefault="00F9331D" w:rsidP="00997780">
      <w:pPr>
        <w:pStyle w:val="MIRBodyText"/>
      </w:pPr>
      <w:r w:rsidRPr="00F76596">
        <w:t xml:space="preserve">(1) </w:t>
      </w:r>
      <w:r w:rsidR="00D57DCB" w:rsidRPr="00F76596">
        <w:t>For the purposes of paragraph</w:t>
      </w:r>
      <w:r w:rsidR="001F1E14" w:rsidRPr="00F76596">
        <w:t xml:space="preserve"> 2.2.1(1)(b)</w:t>
      </w:r>
      <w:r w:rsidR="00E83F01" w:rsidRPr="00F76596">
        <w:t xml:space="preserve"> and subject to subrule (2)</w:t>
      </w:r>
      <w:r w:rsidR="004933EA" w:rsidRPr="00F76596">
        <w:t>:</w:t>
      </w:r>
    </w:p>
    <w:p w14:paraId="591F2373" w14:textId="77777777" w:rsidR="0091083B" w:rsidRPr="00F76596" w:rsidRDefault="00E4441A" w:rsidP="004933EA">
      <w:pPr>
        <w:pStyle w:val="MIRSubpara"/>
      </w:pPr>
      <w:r w:rsidRPr="00F76596">
        <w:rPr>
          <w:b/>
          <w:i/>
        </w:rPr>
        <w:t>Opt-In Reporting Phase</w:t>
      </w:r>
      <w:r w:rsidRPr="00F76596">
        <w:t>,</w:t>
      </w:r>
      <w:r w:rsidRPr="00F76596">
        <w:rPr>
          <w:b/>
          <w:i/>
        </w:rPr>
        <w:t xml:space="preserve"> </w:t>
      </w:r>
      <w:r w:rsidR="0091083B" w:rsidRPr="00F76596">
        <w:rPr>
          <w:b/>
          <w:i/>
        </w:rPr>
        <w:t>Phase 1</w:t>
      </w:r>
      <w:r w:rsidR="0091083B" w:rsidRPr="00F76596">
        <w:t xml:space="preserve">, </w:t>
      </w:r>
      <w:r w:rsidR="0091083B" w:rsidRPr="00F76596">
        <w:rPr>
          <w:b/>
          <w:i/>
        </w:rPr>
        <w:t>Phase 2</w:t>
      </w:r>
      <w:r w:rsidR="0091083B" w:rsidRPr="00F76596">
        <w:t xml:space="preserve"> or</w:t>
      </w:r>
      <w:r w:rsidR="0091083B" w:rsidRPr="00F76596">
        <w:rPr>
          <w:b/>
          <w:i/>
        </w:rPr>
        <w:t xml:space="preserve"> Phase 3</w:t>
      </w:r>
      <w:r w:rsidR="0091083B" w:rsidRPr="00F76596">
        <w:t xml:space="preserve"> means the phase described by that name in column 1 of Table S1.2;</w:t>
      </w:r>
    </w:p>
    <w:p w14:paraId="1A9FDCCE" w14:textId="77777777" w:rsidR="004933EA" w:rsidRPr="00F76596" w:rsidRDefault="00D814BD" w:rsidP="004933EA">
      <w:pPr>
        <w:pStyle w:val="MIRSubpara"/>
      </w:pPr>
      <w:r w:rsidRPr="00F76596">
        <w:t xml:space="preserve">the </w:t>
      </w:r>
      <w:r w:rsidRPr="00F76596">
        <w:rPr>
          <w:b/>
          <w:i/>
        </w:rPr>
        <w:t>Position Reporting Requirement</w:t>
      </w:r>
      <w:r w:rsidR="007739A3" w:rsidRPr="00F76596">
        <w:t xml:space="preserve"> </w:t>
      </w:r>
      <w:r w:rsidRPr="00F76596">
        <w:t>is, in relation to a</w:t>
      </w:r>
      <w:r w:rsidR="00997780" w:rsidRPr="00F76596">
        <w:t xml:space="preserve"> Reporting Entity specified in column </w:t>
      </w:r>
      <w:r w:rsidR="00DB6F1C" w:rsidRPr="00F76596">
        <w:t>2</w:t>
      </w:r>
      <w:r w:rsidR="00003742" w:rsidRPr="00F76596">
        <w:t xml:space="preserve">, </w:t>
      </w:r>
      <w:r w:rsidR="0005646D" w:rsidRPr="00F76596">
        <w:t>for all outstanding positions</w:t>
      </w:r>
      <w:r w:rsidR="00B45C3C" w:rsidRPr="00F76596">
        <w:t xml:space="preserve"> (</w:t>
      </w:r>
      <w:r w:rsidR="00B45C3C" w:rsidRPr="00F76596">
        <w:rPr>
          <w:b/>
          <w:i/>
        </w:rPr>
        <w:t>Reportable Positions</w:t>
      </w:r>
      <w:r w:rsidR="00B45C3C" w:rsidRPr="00F76596">
        <w:t>)</w:t>
      </w:r>
      <w:r w:rsidR="0005646D" w:rsidRPr="00F76596">
        <w:t xml:space="preserve"> referred to in column 3,</w:t>
      </w:r>
      <w:r w:rsidR="00997780" w:rsidRPr="00F76596">
        <w:t xml:space="preserve"> </w:t>
      </w:r>
      <w:r w:rsidR="00003742" w:rsidRPr="00F76596">
        <w:t xml:space="preserve">the requirement </w:t>
      </w:r>
      <w:r w:rsidR="00997780" w:rsidRPr="00F76596">
        <w:t xml:space="preserve">specified in column </w:t>
      </w:r>
      <w:r w:rsidR="0005646D" w:rsidRPr="00F76596">
        <w:t>4</w:t>
      </w:r>
      <w:r w:rsidR="004933EA" w:rsidRPr="00F76596">
        <w:t>;</w:t>
      </w:r>
      <w:r w:rsidR="00997780" w:rsidRPr="00F76596">
        <w:t xml:space="preserve"> </w:t>
      </w:r>
      <w:r w:rsidR="00003742" w:rsidRPr="00F76596">
        <w:t>and</w:t>
      </w:r>
    </w:p>
    <w:p w14:paraId="01E67F24" w14:textId="77777777" w:rsidR="00686872" w:rsidRPr="00F76596" w:rsidRDefault="00003742" w:rsidP="004933EA">
      <w:pPr>
        <w:pStyle w:val="MIRSubpara"/>
      </w:pPr>
      <w:r w:rsidRPr="00F76596">
        <w:t>the</w:t>
      </w:r>
      <w:r w:rsidR="00997780" w:rsidRPr="00F76596">
        <w:t xml:space="preserve"> </w:t>
      </w:r>
      <w:r w:rsidR="006824DA" w:rsidRPr="00F76596">
        <w:rPr>
          <w:b/>
          <w:i/>
        </w:rPr>
        <w:t>Position Reporting Date</w:t>
      </w:r>
      <w:r w:rsidRPr="00F76596">
        <w:t xml:space="preserve"> </w:t>
      </w:r>
      <w:r w:rsidR="00526111" w:rsidRPr="00F76596">
        <w:t xml:space="preserve">for the Position Reporting Requirement </w:t>
      </w:r>
      <w:r w:rsidRPr="00F76596">
        <w:t>is the date</w:t>
      </w:r>
      <w:r w:rsidR="006824DA" w:rsidRPr="00F76596">
        <w:t xml:space="preserve"> </w:t>
      </w:r>
      <w:r w:rsidR="00997780" w:rsidRPr="00F76596">
        <w:t xml:space="preserve">specified in column </w:t>
      </w:r>
      <w:r w:rsidR="0005646D" w:rsidRPr="00F76596">
        <w:t>5</w:t>
      </w:r>
      <w:r w:rsidR="00997780" w:rsidRPr="00F76596">
        <w:t>.</w:t>
      </w:r>
    </w:p>
    <w:p w14:paraId="02A83351" w14:textId="77777777" w:rsidR="009450B9" w:rsidRPr="00F76596" w:rsidRDefault="00EE2CBF">
      <w:pPr>
        <w:pStyle w:val="MIRBodyText"/>
      </w:pPr>
      <w:r w:rsidRPr="00F76596">
        <w:t xml:space="preserve">(2) </w:t>
      </w:r>
      <w:r w:rsidR="009450B9" w:rsidRPr="00F76596">
        <w:t>Where, f</w:t>
      </w:r>
      <w:r w:rsidRPr="00F76596">
        <w:t>or the purposes of the Position Reporting Requirement in Phase 2, a Reporting Entity has determined in accordance with subrule 1.2.7(2) that a managed investment scheme or trust (</w:t>
      </w:r>
      <w:r w:rsidR="006E1EA0" w:rsidRPr="00F76596">
        <w:t xml:space="preserve">in this subrule, the </w:t>
      </w:r>
      <w:r w:rsidR="00F2545E" w:rsidRPr="00F76596">
        <w:rPr>
          <w:b/>
          <w:i/>
        </w:rPr>
        <w:t>Reporting Scheme or Trust</w:t>
      </w:r>
      <w:r w:rsidRPr="00F76596">
        <w:t xml:space="preserve">) for which the Reporting Entity is </w:t>
      </w:r>
      <w:r w:rsidR="009740CE" w:rsidRPr="00F76596">
        <w:t>RE or Trustee</w:t>
      </w:r>
      <w:r w:rsidRPr="00F76596">
        <w:t xml:space="preserve"> </w:t>
      </w:r>
      <w:r w:rsidR="00464CAF" w:rsidRPr="00F76596">
        <w:t>holds</w:t>
      </w:r>
      <w:r w:rsidRPr="00F76596">
        <w:t xml:space="preserve"> total gross notional outstanding positions of $50 billion or more as at 31</w:t>
      </w:r>
      <w:r w:rsidR="001A4D28" w:rsidRPr="00F76596">
        <w:t> </w:t>
      </w:r>
      <w:r w:rsidRPr="00F76596">
        <w:t>December 2013, the Reporting Entity is required to</w:t>
      </w:r>
      <w:r w:rsidR="009450B9" w:rsidRPr="00F76596">
        <w:t>:</w:t>
      </w:r>
    </w:p>
    <w:p w14:paraId="09C5567D" w14:textId="7758D324" w:rsidR="009450B9" w:rsidRPr="00F76596" w:rsidRDefault="009450B9" w:rsidP="009450B9">
      <w:pPr>
        <w:pStyle w:val="MIRSubpara"/>
      </w:pPr>
      <w:r w:rsidRPr="00F76596">
        <w:t>in Phase 2,</w:t>
      </w:r>
      <w:r w:rsidR="00EE2CBF" w:rsidRPr="00F76596">
        <w:t xml:space="preserve"> comply with the Position Reporting Requirement in </w:t>
      </w:r>
      <w:r w:rsidR="00E35F23">
        <w:t>column 4</w:t>
      </w:r>
      <w:r w:rsidR="00234F96">
        <w:t xml:space="preserve"> </w:t>
      </w:r>
      <w:r w:rsidR="00EE2CBF" w:rsidRPr="00F76596">
        <w:t xml:space="preserve">of Table </w:t>
      </w:r>
      <w:r w:rsidR="00B36B11" w:rsidRPr="00F76596">
        <w:t>S1.</w:t>
      </w:r>
      <w:r w:rsidR="00EE2CBF" w:rsidRPr="00F76596">
        <w:t xml:space="preserve">2 in relation to Reportable Positions held in its capacity as RE or Trustee of the Reporting Scheme or Trust, and not </w:t>
      </w:r>
      <w:r w:rsidR="00F66486" w:rsidRPr="00F76596">
        <w:t xml:space="preserve">in relation to </w:t>
      </w:r>
      <w:r w:rsidR="00EE2CBF" w:rsidRPr="00F76596">
        <w:t>Reportable Positions held in its capacity as RE or Trustee of any managed investment scheme or trust that is not a Reporting Scheme or Trust</w:t>
      </w:r>
      <w:r w:rsidRPr="00F76596">
        <w:t>; and</w:t>
      </w:r>
    </w:p>
    <w:p w14:paraId="7293BC63" w14:textId="77777777" w:rsidR="007F4892" w:rsidRPr="00F76596" w:rsidRDefault="009450B9" w:rsidP="009450B9">
      <w:pPr>
        <w:pStyle w:val="MIRSubpara"/>
      </w:pPr>
      <w:r w:rsidRPr="00F76596">
        <w:t xml:space="preserve">in Phase 3, comply with the Position Reporting Requirement in </w:t>
      </w:r>
      <w:r w:rsidR="00E35F23">
        <w:t>column 4</w:t>
      </w:r>
      <w:r w:rsidRPr="00F76596">
        <w:t>of Table S1.</w:t>
      </w:r>
      <w:r w:rsidR="000C5066" w:rsidRPr="00F76596">
        <w:t>2</w:t>
      </w:r>
      <w:r w:rsidRPr="00F76596">
        <w:t xml:space="preserve"> in relation to Reportable Positions held in its capacity as RE or Trustee of any managed investment scheme or trust that was not a Reporting Scheme or Trust for the purposes of Phase 2</w:t>
      </w:r>
      <w:r w:rsidR="00EE2CBF" w:rsidRPr="00F76596">
        <w:t>.</w:t>
      </w:r>
    </w:p>
    <w:p w14:paraId="28AF2961" w14:textId="77777777" w:rsidR="009450B9" w:rsidRPr="00F76596" w:rsidRDefault="009450B9" w:rsidP="009450B9">
      <w:pPr>
        <w:pStyle w:val="MIRSubpara"/>
        <w:numPr>
          <w:ilvl w:val="0"/>
          <w:numId w:val="0"/>
        </w:numPr>
        <w:ind w:left="851"/>
      </w:pPr>
    </w:p>
    <w:p w14:paraId="62D348FA" w14:textId="77777777" w:rsidR="00924FC3" w:rsidRPr="00F76596" w:rsidRDefault="00924FC3" w:rsidP="00924FC3">
      <w:pPr>
        <w:pStyle w:val="MIRBodyText"/>
        <w:numPr>
          <w:ilvl w:val="0"/>
          <w:numId w:val="0"/>
        </w:numPr>
        <w:ind w:left="851"/>
        <w:sectPr w:rsidR="00924FC3" w:rsidRPr="00F76596" w:rsidSect="00686872">
          <w:footerReference w:type="default" r:id="rId27"/>
          <w:pgSz w:w="11906" w:h="16838" w:code="9"/>
          <w:pgMar w:top="1644" w:right="1418" w:bottom="1418" w:left="1418" w:header="567" w:footer="567" w:gutter="0"/>
          <w:cols w:space="720"/>
          <w:docGrid w:linePitch="299"/>
        </w:sectPr>
      </w:pPr>
    </w:p>
    <w:p w14:paraId="5EA37762" w14:textId="77777777" w:rsidR="00924FC3" w:rsidRPr="00F76596" w:rsidRDefault="00924FC3" w:rsidP="00924FC3">
      <w:pPr>
        <w:pStyle w:val="tabletitlefullwidth"/>
      </w:pPr>
      <w:r w:rsidRPr="00F76596">
        <w:lastRenderedPageBreak/>
        <w:t xml:space="preserve">Table </w:t>
      </w:r>
      <w:r w:rsidR="00B36B11" w:rsidRPr="00F76596">
        <w:t>S1.</w:t>
      </w:r>
      <w:r w:rsidRPr="00F76596">
        <w:t>2: Position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53"/>
        <w:gridCol w:w="3817"/>
        <w:gridCol w:w="3427"/>
        <w:gridCol w:w="3544"/>
        <w:gridCol w:w="1835"/>
      </w:tblGrid>
      <w:tr w:rsidR="003606FE" w:rsidRPr="00F76596" w14:paraId="6B3F5E32" w14:textId="77777777" w:rsidTr="00A25989">
        <w:trPr>
          <w:cantSplit/>
          <w:tblHeader/>
        </w:trPr>
        <w:tc>
          <w:tcPr>
            <w:tcW w:w="0" w:type="auto"/>
            <w:shd w:val="clear" w:color="auto" w:fill="C2E3FA"/>
          </w:tcPr>
          <w:p w14:paraId="4027DF44" w14:textId="77777777" w:rsidR="00C74F2A" w:rsidRPr="00F76596" w:rsidRDefault="00C74F2A" w:rsidP="00C81040">
            <w:pPr>
              <w:pStyle w:val="tablehead"/>
            </w:pPr>
            <w:r w:rsidRPr="00F76596">
              <w:t>1. Phase</w:t>
            </w:r>
          </w:p>
        </w:tc>
        <w:tc>
          <w:tcPr>
            <w:tcW w:w="0" w:type="auto"/>
            <w:shd w:val="clear" w:color="auto" w:fill="C2E3FA"/>
          </w:tcPr>
          <w:p w14:paraId="54AD066C" w14:textId="77777777" w:rsidR="00C74F2A" w:rsidRPr="00F76596" w:rsidRDefault="00C74F2A" w:rsidP="00C81040">
            <w:pPr>
              <w:pStyle w:val="tablehead"/>
            </w:pPr>
            <w:r w:rsidRPr="00F76596">
              <w:t>2. Reporting Entities</w:t>
            </w:r>
          </w:p>
        </w:tc>
        <w:tc>
          <w:tcPr>
            <w:tcW w:w="3427" w:type="dxa"/>
            <w:shd w:val="clear" w:color="auto" w:fill="C2E3FA"/>
          </w:tcPr>
          <w:p w14:paraId="0CDC4B75" w14:textId="77777777" w:rsidR="00C74F2A" w:rsidRPr="00F76596" w:rsidRDefault="00C74F2A" w:rsidP="00AD6176">
            <w:pPr>
              <w:pStyle w:val="tablehead"/>
            </w:pPr>
            <w:r w:rsidRPr="00F76596">
              <w:t xml:space="preserve">3. </w:t>
            </w:r>
            <w:r w:rsidR="00AD6176" w:rsidRPr="00F76596">
              <w:t>Reportable Position</w:t>
            </w:r>
          </w:p>
        </w:tc>
        <w:tc>
          <w:tcPr>
            <w:tcW w:w="3544" w:type="dxa"/>
            <w:shd w:val="clear" w:color="auto" w:fill="C2E3FA"/>
          </w:tcPr>
          <w:p w14:paraId="7A478265" w14:textId="77777777" w:rsidR="00C74F2A" w:rsidRPr="00F76596" w:rsidRDefault="00EC03A3" w:rsidP="000B5A76">
            <w:pPr>
              <w:pStyle w:val="tablehead"/>
            </w:pPr>
            <w:r w:rsidRPr="00F76596">
              <w:t>4</w:t>
            </w:r>
            <w:r w:rsidR="00C74F2A" w:rsidRPr="00F76596">
              <w:t>. Position Reporting Requirement</w:t>
            </w:r>
          </w:p>
        </w:tc>
        <w:tc>
          <w:tcPr>
            <w:tcW w:w="1835" w:type="dxa"/>
            <w:shd w:val="clear" w:color="auto" w:fill="C2E3FA"/>
          </w:tcPr>
          <w:p w14:paraId="2462540E" w14:textId="77777777" w:rsidR="00C74F2A" w:rsidRPr="00F76596" w:rsidRDefault="00EC03A3" w:rsidP="00C81040">
            <w:pPr>
              <w:pStyle w:val="tablehead"/>
            </w:pPr>
            <w:r w:rsidRPr="00F76596">
              <w:t>5</w:t>
            </w:r>
            <w:r w:rsidR="00C74F2A" w:rsidRPr="00F76596">
              <w:t xml:space="preserve">. Position Reporting Date </w:t>
            </w:r>
          </w:p>
        </w:tc>
      </w:tr>
      <w:tr w:rsidR="003606FE" w:rsidRPr="00F76596" w14:paraId="3553D29F" w14:textId="77777777" w:rsidTr="00A25989">
        <w:trPr>
          <w:cantSplit/>
        </w:trPr>
        <w:tc>
          <w:tcPr>
            <w:tcW w:w="0" w:type="auto"/>
          </w:tcPr>
          <w:p w14:paraId="790D9E72" w14:textId="77777777" w:rsidR="00C74F2A" w:rsidRPr="00F76596" w:rsidRDefault="000B660A" w:rsidP="008D1420">
            <w:pPr>
              <w:pStyle w:val="tbltext"/>
            </w:pPr>
            <w:r w:rsidRPr="00F76596">
              <w:t>Opt-In</w:t>
            </w:r>
            <w:r w:rsidR="00C74F2A" w:rsidRPr="00F76596">
              <w:t xml:space="preserve"> Reporting Phase</w:t>
            </w:r>
          </w:p>
        </w:tc>
        <w:tc>
          <w:tcPr>
            <w:tcW w:w="0" w:type="auto"/>
          </w:tcPr>
          <w:p w14:paraId="1A84660A" w14:textId="77777777" w:rsidR="00C74F2A" w:rsidRPr="00F76596" w:rsidRDefault="00C74F2A" w:rsidP="00C81040">
            <w:pPr>
              <w:pStyle w:val="tbltext"/>
            </w:pPr>
            <w:r w:rsidRPr="00F76596">
              <w:t>A Reporting Entity that has given ASIC an Opt</w:t>
            </w:r>
            <w:r w:rsidR="001A4D28" w:rsidRPr="00F76596">
              <w:noBreakHyphen/>
            </w:r>
            <w:r w:rsidRPr="00F76596">
              <w:t>In Notice</w:t>
            </w:r>
            <w:r w:rsidR="0099386A" w:rsidRPr="00F76596">
              <w:t>.</w:t>
            </w:r>
          </w:p>
        </w:tc>
        <w:tc>
          <w:tcPr>
            <w:tcW w:w="3427" w:type="dxa"/>
          </w:tcPr>
          <w:p w14:paraId="644B5364" w14:textId="77777777" w:rsidR="00C74F2A" w:rsidRPr="00F76596" w:rsidRDefault="00C74F2A" w:rsidP="00266FC5">
            <w:pPr>
              <w:pStyle w:val="tbltext"/>
            </w:pPr>
            <w:r w:rsidRPr="00F76596">
              <w:t>The</w:t>
            </w:r>
            <w:r w:rsidR="00266FC5" w:rsidRPr="00F76596">
              <w:t xml:space="preserve"> outstanding</w:t>
            </w:r>
            <w:r w:rsidRPr="00F76596">
              <w:t xml:space="preserve"> positions</w:t>
            </w:r>
            <w:r w:rsidR="00266FC5" w:rsidRPr="00F76596">
              <w:t>, as at the Effective Date</w:t>
            </w:r>
            <w:r w:rsidR="00DA5484" w:rsidRPr="00F76596">
              <w:t>(s)</w:t>
            </w:r>
            <w:r w:rsidR="00266FC5" w:rsidRPr="00F76596">
              <w:t xml:space="preserve"> </w:t>
            </w:r>
            <w:r w:rsidRPr="00F76596">
              <w:t>specified in the Opt-In Notice</w:t>
            </w:r>
            <w:r w:rsidR="00266FC5" w:rsidRPr="00F76596">
              <w:t>,</w:t>
            </w:r>
            <w:r w:rsidRPr="00F76596">
              <w:t xml:space="preserve"> in </w:t>
            </w:r>
            <w:r w:rsidR="00FA10ED" w:rsidRPr="00F76596">
              <w:t xml:space="preserve">relation to </w:t>
            </w:r>
            <w:r w:rsidR="00266FC5" w:rsidRPr="00F76596">
              <w:t>the</w:t>
            </w:r>
            <w:r w:rsidR="004A1D69" w:rsidRPr="00F76596">
              <w:t xml:space="preserve"> Reportable Transactions, or</w:t>
            </w:r>
            <w:r w:rsidRPr="00F76596">
              <w:t xml:space="preserve"> class o</w:t>
            </w:r>
            <w:r w:rsidR="00266FC5" w:rsidRPr="00F76596">
              <w:t>r classes of</w:t>
            </w:r>
            <w:r w:rsidRPr="00F76596">
              <w:t xml:space="preserve"> Reportable Transaction</w:t>
            </w:r>
            <w:r w:rsidR="00266FC5" w:rsidRPr="00F76596">
              <w:t>s</w:t>
            </w:r>
            <w:r w:rsidR="000A40A2" w:rsidRPr="00F76596">
              <w:t>,</w:t>
            </w:r>
            <w:r w:rsidR="00266FC5" w:rsidRPr="00F76596">
              <w:t xml:space="preserve"> specified in the Opt-In Notice</w:t>
            </w:r>
            <w:r w:rsidR="0099386A" w:rsidRPr="00F76596">
              <w:t>.</w:t>
            </w:r>
          </w:p>
        </w:tc>
        <w:tc>
          <w:tcPr>
            <w:tcW w:w="3544" w:type="dxa"/>
          </w:tcPr>
          <w:p w14:paraId="38CB014A" w14:textId="77777777" w:rsidR="00C74F2A" w:rsidRPr="00F76596" w:rsidRDefault="00C74F2A" w:rsidP="00C95C08">
            <w:pPr>
              <w:pStyle w:val="tbltext"/>
            </w:pPr>
            <w:r w:rsidRPr="00F76596">
              <w:t xml:space="preserve">A Reporting Entity must report, for all </w:t>
            </w:r>
            <w:r w:rsidR="00C95C08" w:rsidRPr="00F76596">
              <w:t>Reportable Positions</w:t>
            </w:r>
            <w:r w:rsidRPr="00F76596">
              <w:t xml:space="preserve">, the Derivative Position Information set out </w:t>
            </w:r>
            <w:r w:rsidR="00606BE5" w:rsidRPr="00F76596">
              <w:t>in Part S2.2 of Schedule 2, or information that is the same or substantially the same as the Derivative Position Information set out in Part S2.2</w:t>
            </w:r>
            <w:r w:rsidR="00254738" w:rsidRPr="00F76596">
              <w:t xml:space="preserve"> of Schedule 2</w:t>
            </w:r>
            <w:r w:rsidR="00606BE5" w:rsidRPr="00F76596">
              <w:t xml:space="preserve">, as specified </w:t>
            </w:r>
            <w:r w:rsidRPr="00F76596">
              <w:t>in the Opt-In Notice</w:t>
            </w:r>
            <w:r w:rsidR="001F24BC" w:rsidRPr="00F76596">
              <w:t>,</w:t>
            </w:r>
            <w:r w:rsidRPr="00F76596">
              <w:rPr>
                <w:szCs w:val="20"/>
              </w:rPr>
              <w:t xml:space="preserve"> </w:t>
            </w:r>
            <w:r w:rsidRPr="00F76596">
              <w:t>to the Licensed Repository or Prescribed Repository specified in the Opt-In Notice</w:t>
            </w:r>
            <w:r w:rsidR="0099386A" w:rsidRPr="00F76596">
              <w:t>.</w:t>
            </w:r>
          </w:p>
        </w:tc>
        <w:tc>
          <w:tcPr>
            <w:tcW w:w="1835" w:type="dxa"/>
          </w:tcPr>
          <w:p w14:paraId="5EFD452E" w14:textId="77777777" w:rsidR="00C74F2A" w:rsidRPr="00F76596" w:rsidRDefault="00B87A2C" w:rsidP="00582004">
            <w:pPr>
              <w:pStyle w:val="tbltext"/>
            </w:pPr>
            <w:r w:rsidRPr="00F76596">
              <w:t>T</w:t>
            </w:r>
            <w:r w:rsidR="00C74F2A" w:rsidRPr="00F76596">
              <w:t>he Effective Date</w:t>
            </w:r>
            <w:r w:rsidR="00273D55" w:rsidRPr="00F76596">
              <w:t>(s)</w:t>
            </w:r>
            <w:r w:rsidR="00C74F2A" w:rsidRPr="00F76596">
              <w:t xml:space="preserve"> specified in the Opt</w:t>
            </w:r>
            <w:r w:rsidR="001A4D28" w:rsidRPr="00F76596">
              <w:noBreakHyphen/>
            </w:r>
            <w:r w:rsidR="00C74F2A" w:rsidRPr="00F76596">
              <w:t>In Notice</w:t>
            </w:r>
            <w:r w:rsidR="0072169A" w:rsidRPr="00F76596">
              <w:t xml:space="preserve">, being no later than </w:t>
            </w:r>
            <w:r w:rsidR="00582004" w:rsidRPr="00F76596">
              <w:t>30 September 2014</w:t>
            </w:r>
            <w:r w:rsidR="0099386A" w:rsidRPr="00F76596">
              <w:t>.</w:t>
            </w:r>
          </w:p>
        </w:tc>
      </w:tr>
      <w:tr w:rsidR="001348D7" w:rsidRPr="00F76596" w14:paraId="66D143C0" w14:textId="77777777" w:rsidTr="001348D7">
        <w:trPr>
          <w:trHeight w:val="660"/>
        </w:trPr>
        <w:tc>
          <w:tcPr>
            <w:tcW w:w="0" w:type="auto"/>
          </w:tcPr>
          <w:p w14:paraId="6BC40097" w14:textId="77777777" w:rsidR="001348D7" w:rsidRPr="00F76596" w:rsidRDefault="001348D7" w:rsidP="003F0DFE">
            <w:pPr>
              <w:pStyle w:val="tbltext"/>
            </w:pPr>
            <w:r w:rsidRPr="00F76596">
              <w:t>Phase 1</w:t>
            </w:r>
          </w:p>
        </w:tc>
        <w:tc>
          <w:tcPr>
            <w:tcW w:w="0" w:type="auto"/>
          </w:tcPr>
          <w:p w14:paraId="59579119" w14:textId="77777777" w:rsidR="001348D7" w:rsidRPr="00F76596" w:rsidRDefault="001348D7" w:rsidP="00C54652">
            <w:pPr>
              <w:pStyle w:val="tbltext"/>
            </w:pPr>
            <w:r w:rsidRPr="00F76596">
              <w:t xml:space="preserve">A Reporting Entity </w:t>
            </w:r>
            <w:r w:rsidR="00C54652" w:rsidRPr="00F76596">
              <w:t xml:space="preserve">that is an Australian Entity and that </w:t>
            </w:r>
            <w:r w:rsidRPr="00F76596">
              <w:t>is registered or provisionally registered as a swap dealer with the US Commodity Futures Trading Commission</w:t>
            </w:r>
            <w:r w:rsidRPr="00F76596">
              <w:rPr>
                <w:rFonts w:ascii="Times New Roman" w:hAnsi="Times New Roman" w:cs="Times New Roman"/>
                <w:sz w:val="22"/>
                <w:szCs w:val="22"/>
              </w:rPr>
              <w:t xml:space="preserve"> </w:t>
            </w:r>
            <w:r w:rsidRPr="00F76596">
              <w:t xml:space="preserve">in accordance with the </w:t>
            </w:r>
            <w:r w:rsidRPr="00F76596">
              <w:rPr>
                <w:i/>
              </w:rPr>
              <w:t xml:space="preserve">Commodity Exchange Act 1936 </w:t>
            </w:r>
            <w:r w:rsidRPr="00F76596">
              <w:t>(US)</w:t>
            </w:r>
          </w:p>
        </w:tc>
        <w:tc>
          <w:tcPr>
            <w:tcW w:w="3427" w:type="dxa"/>
          </w:tcPr>
          <w:p w14:paraId="0F6649D2" w14:textId="77777777" w:rsidR="001348D7" w:rsidRPr="00F76596" w:rsidRDefault="00E373DC" w:rsidP="00CE4188">
            <w:pPr>
              <w:pStyle w:val="tbltext"/>
            </w:pPr>
            <w:r w:rsidRPr="00F76596">
              <w:t>All outstanding positions</w:t>
            </w:r>
            <w:r w:rsidR="00FE2BDD" w:rsidRPr="00F76596">
              <w:t xml:space="preserve"> in OTC Derivatives</w:t>
            </w:r>
            <w:r w:rsidRPr="00F76596">
              <w:t xml:space="preserve"> as at </w:t>
            </w:r>
            <w:r w:rsidR="00D244A4" w:rsidRPr="00F76596">
              <w:t>1 October 2013</w:t>
            </w:r>
            <w:r w:rsidRPr="00F76596">
              <w:t xml:space="preserve"> that, if entered into on 1</w:t>
            </w:r>
            <w:r w:rsidR="00197738" w:rsidRPr="00F76596">
              <w:t xml:space="preserve"> </w:t>
            </w:r>
            <w:r w:rsidRPr="00F76596">
              <w:t>October 2013, would be required to be reported by the Reporting Entity in accordance with the Transaction Reporting Requirements.</w:t>
            </w:r>
          </w:p>
        </w:tc>
        <w:tc>
          <w:tcPr>
            <w:tcW w:w="3544" w:type="dxa"/>
          </w:tcPr>
          <w:p w14:paraId="622AB9AE" w14:textId="77777777" w:rsidR="001348D7" w:rsidRPr="00F76596" w:rsidRDefault="00E2536D" w:rsidP="005321A2">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14:paraId="1C22317D" w14:textId="77777777" w:rsidR="001348D7" w:rsidRPr="00F76596" w:rsidRDefault="00247DC7" w:rsidP="007C72B6">
            <w:pPr>
              <w:pStyle w:val="tbltext"/>
            </w:pPr>
            <w:r w:rsidRPr="00F76596">
              <w:t xml:space="preserve">1 </w:t>
            </w:r>
            <w:r w:rsidR="007C72B6" w:rsidRPr="00F76596">
              <w:t>October</w:t>
            </w:r>
            <w:r w:rsidRPr="00F76596">
              <w:t xml:space="preserve"> 2014</w:t>
            </w:r>
          </w:p>
        </w:tc>
      </w:tr>
      <w:tr w:rsidR="003F0DFE" w:rsidRPr="00F76596" w14:paraId="0C24D5AA" w14:textId="77777777" w:rsidTr="005F7FD4">
        <w:tc>
          <w:tcPr>
            <w:tcW w:w="0" w:type="auto"/>
            <w:vMerge w:val="restart"/>
          </w:tcPr>
          <w:p w14:paraId="05211790" w14:textId="77777777" w:rsidR="003F0DFE" w:rsidRPr="00F76596" w:rsidRDefault="008700F8" w:rsidP="004E3606">
            <w:pPr>
              <w:pStyle w:val="tbltext"/>
            </w:pPr>
            <w:r w:rsidRPr="00F76596">
              <w:t>Phase</w:t>
            </w:r>
            <w:r w:rsidR="007522DF" w:rsidRPr="00F76596">
              <w:t> </w:t>
            </w:r>
            <w:r w:rsidRPr="00F76596">
              <w:t>2</w:t>
            </w:r>
          </w:p>
        </w:tc>
        <w:tc>
          <w:tcPr>
            <w:tcW w:w="0" w:type="auto"/>
            <w:vMerge w:val="restart"/>
          </w:tcPr>
          <w:p w14:paraId="6191979F" w14:textId="77777777" w:rsidR="003F0DFE" w:rsidRPr="00F76596" w:rsidRDefault="004E3606" w:rsidP="002522FD">
            <w:pPr>
              <w:pStyle w:val="tbltext"/>
              <w:ind w:left="284" w:hanging="284"/>
            </w:pPr>
            <w:r w:rsidRPr="00F76596">
              <w:t>A</w:t>
            </w:r>
            <w:r w:rsidR="002522FD" w:rsidRPr="00F76596">
              <w:t xml:space="preserve"> </w:t>
            </w:r>
            <w:r w:rsidR="003F0DFE" w:rsidRPr="00F76596">
              <w:t>Reporting Entity that:</w:t>
            </w:r>
          </w:p>
          <w:p w14:paraId="2972A453" w14:textId="77777777" w:rsidR="004E3606" w:rsidRPr="00F76596" w:rsidRDefault="004E3606" w:rsidP="004E3606">
            <w:pPr>
              <w:pStyle w:val="tbltext"/>
              <w:ind w:left="284" w:hanging="284"/>
            </w:pPr>
            <w:r w:rsidRPr="00F76596">
              <w:t>(a)</w:t>
            </w:r>
            <w:r w:rsidRPr="00F76596">
              <w:tab/>
            </w:r>
            <w:r w:rsidR="006E583A" w:rsidRPr="00F76596">
              <w:t>is an Australian ADI, an AFS Licensee, a CS Facility Licensee, an Exempt Foreign Licensee or a Foreign ADI</w:t>
            </w:r>
            <w:r w:rsidR="00F625BB" w:rsidRPr="00F76596">
              <w:t>;</w:t>
            </w:r>
          </w:p>
          <w:p w14:paraId="2E16DDC5" w14:textId="77777777" w:rsidR="00F625BB" w:rsidRPr="00F76596" w:rsidRDefault="004E3606" w:rsidP="00A82D35">
            <w:pPr>
              <w:pStyle w:val="tbltext"/>
              <w:ind w:left="284" w:hanging="284"/>
            </w:pPr>
            <w:r w:rsidRPr="00F76596">
              <w:t>(b)</w:t>
            </w:r>
            <w:r w:rsidR="00A82D35" w:rsidRPr="00F76596">
              <w:rPr>
                <w:rFonts w:ascii="Times New Roman" w:hAnsi="Times New Roman" w:cs="Times New Roman"/>
                <w:sz w:val="22"/>
                <w:szCs w:val="20"/>
              </w:rPr>
              <w:t xml:space="preserve"> </w:t>
            </w:r>
            <w:r w:rsidR="00A82D35" w:rsidRPr="00F76596">
              <w:tab/>
            </w:r>
            <w:r w:rsidRPr="00F76596">
              <w:t>as at 31 December 2013 holds total gross notional outstanding positions of AUD $50 billion or more</w:t>
            </w:r>
            <w:r w:rsidR="00F625BB" w:rsidRPr="00F76596">
              <w:t>; and</w:t>
            </w:r>
          </w:p>
          <w:p w14:paraId="3E468B55" w14:textId="77777777" w:rsidR="003F0DFE" w:rsidRPr="00F76596" w:rsidRDefault="00F625BB" w:rsidP="00F625BB">
            <w:pPr>
              <w:pStyle w:val="tbltext"/>
              <w:ind w:left="284" w:hanging="284"/>
            </w:pPr>
            <w:r w:rsidRPr="00F76596">
              <w:t>(b)</w:t>
            </w:r>
            <w:r w:rsidRPr="00F76596">
              <w:rPr>
                <w:rFonts w:ascii="Times New Roman" w:hAnsi="Times New Roman" w:cs="Times New Roman"/>
                <w:sz w:val="22"/>
                <w:szCs w:val="20"/>
              </w:rPr>
              <w:t xml:space="preserve"> </w:t>
            </w:r>
            <w:r w:rsidRPr="00F76596">
              <w:tab/>
              <w:t>is not required to report under Phase 1.</w:t>
            </w:r>
            <w:r w:rsidRPr="00F76596" w:rsidDel="004E3606">
              <w:t xml:space="preserve"> </w:t>
            </w:r>
          </w:p>
          <w:p w14:paraId="335C21A2" w14:textId="77777777" w:rsidR="008A2F75" w:rsidRPr="00F76596" w:rsidRDefault="008A2F75" w:rsidP="00747C5E">
            <w:pPr>
              <w:pStyle w:val="tblnote"/>
            </w:pPr>
            <w:r w:rsidRPr="00F76596">
              <w:t>Note: See Rule 1.2.7 in relation to total gross notional outstanding positions</w:t>
            </w:r>
            <w:r w:rsidR="0099386A" w:rsidRPr="00F76596">
              <w:t>.</w:t>
            </w:r>
          </w:p>
        </w:tc>
        <w:tc>
          <w:tcPr>
            <w:tcW w:w="3427" w:type="dxa"/>
          </w:tcPr>
          <w:p w14:paraId="708310F3" w14:textId="77777777" w:rsidR="003F0DFE" w:rsidRPr="00F76596" w:rsidRDefault="003F0DFE" w:rsidP="00CF6D42">
            <w:pPr>
              <w:pStyle w:val="tbltext"/>
            </w:pPr>
            <w:r w:rsidRPr="00F76596">
              <w:t xml:space="preserve">All outstanding positions as at </w:t>
            </w:r>
            <w:r w:rsidR="00CB4443" w:rsidRPr="00F76596">
              <w:t>1</w:t>
            </w:r>
            <w:r w:rsidR="001A4D28" w:rsidRPr="00F76596">
              <w:t> </w:t>
            </w:r>
            <w:r w:rsidR="00CB4443" w:rsidRPr="00F76596">
              <w:t>April</w:t>
            </w:r>
            <w:r w:rsidR="001A4D28" w:rsidRPr="00F76596">
              <w:t> </w:t>
            </w:r>
            <w:r w:rsidR="00437B19" w:rsidRPr="00F76596">
              <w:t>2014</w:t>
            </w:r>
            <w:r w:rsidRPr="00F76596">
              <w:t xml:space="preserve"> in </w:t>
            </w:r>
            <w:r w:rsidR="009D7B0F" w:rsidRPr="00F76596">
              <w:t xml:space="preserve">OTC Derivatives that are </w:t>
            </w:r>
            <w:r w:rsidRPr="00F76596">
              <w:t xml:space="preserve">credit derivatives and interest rate derivatives that, if entered into on </w:t>
            </w:r>
            <w:r w:rsidR="00CB4443" w:rsidRPr="00F76596">
              <w:t>1</w:t>
            </w:r>
            <w:r w:rsidR="0001137E" w:rsidRPr="00F76596">
              <w:t xml:space="preserve"> </w:t>
            </w:r>
            <w:r w:rsidR="00CB4443" w:rsidRPr="00F76596">
              <w:t>April</w:t>
            </w:r>
            <w:r w:rsidR="00437B19" w:rsidRPr="00F76596">
              <w:t xml:space="preserve"> 2014</w:t>
            </w:r>
            <w:r w:rsidRPr="00F76596">
              <w:t>, would be required to be reported by the Reporting Entity in accordance with the Transaction Reporting Requirements</w:t>
            </w:r>
            <w:r w:rsidR="0099386A" w:rsidRPr="00F76596">
              <w:t>.</w:t>
            </w:r>
          </w:p>
        </w:tc>
        <w:tc>
          <w:tcPr>
            <w:tcW w:w="3544" w:type="dxa"/>
          </w:tcPr>
          <w:p w14:paraId="6F2E36F5" w14:textId="77777777" w:rsidR="003F0DFE" w:rsidRPr="00F76596" w:rsidRDefault="00E2536D" w:rsidP="008B4B38">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14:paraId="5AFF386F" w14:textId="77777777" w:rsidR="003F0DFE" w:rsidRPr="00F76596" w:rsidRDefault="00876D90" w:rsidP="00876D90">
            <w:pPr>
              <w:pStyle w:val="tbltext"/>
            </w:pPr>
            <w:r w:rsidRPr="00F76596">
              <w:t>1</w:t>
            </w:r>
            <w:r w:rsidR="00197738" w:rsidRPr="00F76596">
              <w:t xml:space="preserve"> </w:t>
            </w:r>
            <w:r w:rsidRPr="00F76596">
              <w:t xml:space="preserve">October </w:t>
            </w:r>
            <w:r w:rsidR="003F0DFE" w:rsidRPr="00F76596">
              <w:t>2014</w:t>
            </w:r>
          </w:p>
        </w:tc>
      </w:tr>
      <w:tr w:rsidR="003F0DFE" w:rsidRPr="00F76596" w14:paraId="1A8B33A4" w14:textId="77777777" w:rsidTr="005F7FD4">
        <w:trPr>
          <w:trHeight w:val="600"/>
        </w:trPr>
        <w:tc>
          <w:tcPr>
            <w:tcW w:w="0" w:type="auto"/>
            <w:vMerge/>
            <w:tcBorders>
              <w:bottom w:val="single" w:sz="4" w:space="0" w:color="999999"/>
            </w:tcBorders>
          </w:tcPr>
          <w:p w14:paraId="7C259E57" w14:textId="77777777" w:rsidR="003F0DFE" w:rsidRPr="00F76596" w:rsidRDefault="003F0DFE" w:rsidP="00C81040">
            <w:pPr>
              <w:pStyle w:val="tbltext"/>
            </w:pPr>
          </w:p>
        </w:tc>
        <w:tc>
          <w:tcPr>
            <w:tcW w:w="0" w:type="auto"/>
            <w:vMerge/>
            <w:tcBorders>
              <w:bottom w:val="single" w:sz="4" w:space="0" w:color="999999"/>
            </w:tcBorders>
          </w:tcPr>
          <w:p w14:paraId="4A3869AA" w14:textId="77777777" w:rsidR="003F0DFE" w:rsidRPr="00F76596" w:rsidRDefault="003F0DFE" w:rsidP="00C81040">
            <w:pPr>
              <w:pStyle w:val="tbltext"/>
            </w:pPr>
          </w:p>
        </w:tc>
        <w:tc>
          <w:tcPr>
            <w:tcW w:w="3427" w:type="dxa"/>
            <w:tcBorders>
              <w:bottom w:val="single" w:sz="4" w:space="0" w:color="999999"/>
            </w:tcBorders>
          </w:tcPr>
          <w:p w14:paraId="713A748C" w14:textId="77777777" w:rsidR="003F0DFE" w:rsidRPr="00F76596" w:rsidRDefault="003F0DFE" w:rsidP="0089746C">
            <w:pPr>
              <w:pStyle w:val="tbltext"/>
            </w:pPr>
            <w:r w:rsidRPr="00F76596">
              <w:t xml:space="preserve">All outstanding positions as at </w:t>
            </w:r>
            <w:r w:rsidR="004D7ECE" w:rsidRPr="00F76596">
              <w:t>1</w:t>
            </w:r>
            <w:r w:rsidR="00197738" w:rsidRPr="00F76596">
              <w:t xml:space="preserve"> </w:t>
            </w:r>
            <w:r w:rsidR="00CB4443" w:rsidRPr="00F76596">
              <w:t>October</w:t>
            </w:r>
            <w:r w:rsidR="001A4D28" w:rsidRPr="00F76596">
              <w:t> </w:t>
            </w:r>
            <w:r w:rsidR="004D7ECE" w:rsidRPr="00F76596">
              <w:t>2014</w:t>
            </w:r>
            <w:r w:rsidRPr="00F76596">
              <w:t xml:space="preserve"> in </w:t>
            </w:r>
            <w:r w:rsidR="006C0FDA" w:rsidRPr="00F76596">
              <w:t xml:space="preserve">OTC Derivatives that are </w:t>
            </w:r>
            <w:r w:rsidR="0089746C" w:rsidRPr="00F76596">
              <w:t xml:space="preserve">equity derivatives, foreign exchange </w:t>
            </w:r>
            <w:r w:rsidR="0089746C" w:rsidRPr="00F76596">
              <w:lastRenderedPageBreak/>
              <w:t>derivatives and commodity derivatives that are not electricity derivatives</w:t>
            </w:r>
            <w:r w:rsidRPr="00F76596">
              <w:t xml:space="preserve"> that, if entered into on </w:t>
            </w:r>
            <w:r w:rsidR="004D7ECE" w:rsidRPr="00F76596">
              <w:t>1</w:t>
            </w:r>
            <w:r w:rsidR="001A4D28" w:rsidRPr="00F76596">
              <w:t> </w:t>
            </w:r>
            <w:r w:rsidR="00CB4443" w:rsidRPr="00F76596">
              <w:t xml:space="preserve">October </w:t>
            </w:r>
            <w:r w:rsidR="004D7ECE" w:rsidRPr="00F76596">
              <w:t>2014</w:t>
            </w:r>
            <w:r w:rsidRPr="00F76596">
              <w:t>,</w:t>
            </w:r>
            <w:r w:rsidRPr="00F76596">
              <w:rPr>
                <w:rFonts w:ascii="Times New Roman" w:hAnsi="Times New Roman" w:cs="Times New Roman"/>
                <w:sz w:val="22"/>
                <w:szCs w:val="20"/>
              </w:rPr>
              <w:t xml:space="preserve"> </w:t>
            </w:r>
            <w:r w:rsidRPr="00F76596">
              <w:t>would be required to be reported by the Reporting Entity in accordance with the Transaction Reporting Requirements</w:t>
            </w:r>
            <w:r w:rsidR="0099386A" w:rsidRPr="00F76596">
              <w:t>.</w:t>
            </w:r>
          </w:p>
        </w:tc>
        <w:tc>
          <w:tcPr>
            <w:tcW w:w="3544" w:type="dxa"/>
            <w:tcBorders>
              <w:bottom w:val="single" w:sz="4" w:space="0" w:color="999999"/>
            </w:tcBorders>
          </w:tcPr>
          <w:p w14:paraId="6A961E3C" w14:textId="77777777" w:rsidR="003F0DFE" w:rsidRPr="00F76596" w:rsidRDefault="00E2536D" w:rsidP="00E53126">
            <w:pPr>
              <w:pStyle w:val="tbltext"/>
            </w:pPr>
            <w:r w:rsidRPr="00E2536D">
              <w:lastRenderedPageBreak/>
              <w:t xml:space="preserve">A Reporting Entity must report, for all Reportable Positions, the Derivative Position Information set out in Part S2.2 </w:t>
            </w:r>
            <w:r w:rsidRPr="00E2536D">
              <w:lastRenderedPageBreak/>
              <w:t>of Schedule 2 to a Licensed Repository, or, if there is no Licensed Repository, to a Prescribed Repository.</w:t>
            </w:r>
          </w:p>
        </w:tc>
        <w:tc>
          <w:tcPr>
            <w:tcW w:w="1835" w:type="dxa"/>
            <w:tcBorders>
              <w:bottom w:val="single" w:sz="4" w:space="0" w:color="999999"/>
            </w:tcBorders>
          </w:tcPr>
          <w:p w14:paraId="1C12DBE9" w14:textId="77777777" w:rsidR="003F0DFE" w:rsidRPr="00F76596" w:rsidRDefault="00876D90" w:rsidP="00876D90">
            <w:pPr>
              <w:pStyle w:val="tbltext"/>
            </w:pPr>
            <w:r w:rsidRPr="00F76596">
              <w:lastRenderedPageBreak/>
              <w:t>1</w:t>
            </w:r>
            <w:r w:rsidR="0001137E" w:rsidRPr="00F76596">
              <w:t xml:space="preserve"> </w:t>
            </w:r>
            <w:r w:rsidRPr="00F76596">
              <w:t xml:space="preserve">April </w:t>
            </w:r>
            <w:r w:rsidR="003F0DFE" w:rsidRPr="00F76596">
              <w:t>201</w:t>
            </w:r>
            <w:r w:rsidRPr="00F76596">
              <w:t>5</w:t>
            </w:r>
          </w:p>
        </w:tc>
      </w:tr>
      <w:tr w:rsidR="003F0DFE" w:rsidRPr="00F76596" w14:paraId="2525422D" w14:textId="77777777" w:rsidTr="00A25989">
        <w:trPr>
          <w:cantSplit/>
          <w:trHeight w:val="1320"/>
        </w:trPr>
        <w:tc>
          <w:tcPr>
            <w:tcW w:w="0" w:type="auto"/>
            <w:vMerge w:val="restart"/>
          </w:tcPr>
          <w:p w14:paraId="6948E4AE" w14:textId="77777777" w:rsidR="003F0DFE" w:rsidRPr="00F76596" w:rsidRDefault="003F0DFE" w:rsidP="007439B1">
            <w:pPr>
              <w:pStyle w:val="tbltext"/>
            </w:pPr>
            <w:r w:rsidRPr="00F76596">
              <w:t xml:space="preserve">Phase </w:t>
            </w:r>
            <w:r w:rsidR="007439B1" w:rsidRPr="00F76596">
              <w:t>3</w:t>
            </w:r>
          </w:p>
        </w:tc>
        <w:tc>
          <w:tcPr>
            <w:tcW w:w="0" w:type="auto"/>
            <w:vMerge w:val="restart"/>
          </w:tcPr>
          <w:p w14:paraId="2C79D9B4" w14:textId="77777777" w:rsidR="003F0DFE" w:rsidRPr="00F76596" w:rsidRDefault="003F0DFE" w:rsidP="00C81040">
            <w:pPr>
              <w:pStyle w:val="tbltext"/>
            </w:pPr>
            <w:r w:rsidRPr="00F76596">
              <w:t>A Reporting Entity that:</w:t>
            </w:r>
          </w:p>
          <w:p w14:paraId="59A196D8" w14:textId="77777777" w:rsidR="003F0DFE" w:rsidRPr="00F76596" w:rsidRDefault="003F0DFE" w:rsidP="00C81040">
            <w:pPr>
              <w:pStyle w:val="tbltext"/>
              <w:ind w:left="284" w:hanging="284"/>
            </w:pPr>
            <w:r w:rsidRPr="00F76596">
              <w:t>(a)</w:t>
            </w:r>
            <w:r w:rsidRPr="00F76596">
              <w:tab/>
            </w:r>
            <w:r w:rsidR="000046AD" w:rsidRPr="00F76596">
              <w:t>is an Australian ADI, an AFS Licensee, a CS Facility Licensee, an Exempt Foreign Licensee or a Foreign ADI</w:t>
            </w:r>
            <w:r w:rsidRPr="00F76596">
              <w:t>; and</w:t>
            </w:r>
          </w:p>
          <w:p w14:paraId="2724CF1C" w14:textId="77777777" w:rsidR="003F0DFE" w:rsidRPr="00F76596" w:rsidRDefault="003F0DFE" w:rsidP="00C81040">
            <w:pPr>
              <w:pStyle w:val="tbltext"/>
              <w:ind w:left="284" w:hanging="284"/>
            </w:pPr>
            <w:r w:rsidRPr="00F76596">
              <w:t>(b)</w:t>
            </w:r>
            <w:r w:rsidRPr="00F76596">
              <w:tab/>
              <w:t>is not required to report under Phase 1</w:t>
            </w:r>
            <w:r w:rsidR="00AD191C" w:rsidRPr="00F76596">
              <w:t xml:space="preserve"> or Phase 2</w:t>
            </w:r>
            <w:r w:rsidR="0099386A" w:rsidRPr="00F76596">
              <w:t>.</w:t>
            </w:r>
          </w:p>
        </w:tc>
        <w:tc>
          <w:tcPr>
            <w:tcW w:w="3427" w:type="dxa"/>
          </w:tcPr>
          <w:p w14:paraId="4A2A3B90" w14:textId="77777777" w:rsidR="003F0DFE" w:rsidRPr="00F76596" w:rsidRDefault="003F0DFE" w:rsidP="00CF6D42">
            <w:pPr>
              <w:pStyle w:val="tbltext"/>
            </w:pPr>
            <w:r w:rsidRPr="00F76596">
              <w:t xml:space="preserve">All outstanding positions as at </w:t>
            </w:r>
            <w:r w:rsidR="009B30D7" w:rsidRPr="00F76596">
              <w:t>1</w:t>
            </w:r>
            <w:r w:rsidR="001A4D28" w:rsidRPr="00F76596">
              <w:t> </w:t>
            </w:r>
            <w:r w:rsidR="00CB4443" w:rsidRPr="00F76596">
              <w:t>October</w:t>
            </w:r>
            <w:r w:rsidR="009B30D7" w:rsidRPr="00F76596">
              <w:t xml:space="preserve"> 2014</w:t>
            </w:r>
            <w:r w:rsidRPr="00F76596">
              <w:t xml:space="preserve"> in </w:t>
            </w:r>
            <w:r w:rsidR="006C0FDA" w:rsidRPr="00F76596">
              <w:t xml:space="preserve">OTC Derivatives that are </w:t>
            </w:r>
            <w:r w:rsidRPr="00F76596">
              <w:t xml:space="preserve">credit derivatives and interest rate derivatives that, if entered into on </w:t>
            </w:r>
            <w:r w:rsidR="009B30D7" w:rsidRPr="00F76596">
              <w:t xml:space="preserve">1 </w:t>
            </w:r>
            <w:r w:rsidR="00CB4443" w:rsidRPr="00F76596">
              <w:t xml:space="preserve">October </w:t>
            </w:r>
            <w:r w:rsidR="009B30D7" w:rsidRPr="00F76596">
              <w:t>2014</w:t>
            </w:r>
            <w:r w:rsidRPr="00F76596">
              <w:t>, would be required to be reported by the Reporting Entity in accordance with the Transaction Reporting Requirements</w:t>
            </w:r>
            <w:r w:rsidR="0099386A" w:rsidRPr="00F76596">
              <w:t>.</w:t>
            </w:r>
          </w:p>
        </w:tc>
        <w:tc>
          <w:tcPr>
            <w:tcW w:w="3544" w:type="dxa"/>
          </w:tcPr>
          <w:p w14:paraId="513BEDB6" w14:textId="77777777" w:rsidR="003F0DFE" w:rsidRPr="00F76596" w:rsidRDefault="00E2536D" w:rsidP="00C81040">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p w14:paraId="031B3643" w14:textId="77777777" w:rsidR="003F0DFE" w:rsidRPr="00F76596" w:rsidRDefault="003F0DFE" w:rsidP="003A464A">
            <w:pPr>
              <w:pStyle w:val="tbltext"/>
            </w:pPr>
          </w:p>
        </w:tc>
        <w:tc>
          <w:tcPr>
            <w:tcW w:w="1835" w:type="dxa"/>
          </w:tcPr>
          <w:p w14:paraId="45FD6555" w14:textId="77777777" w:rsidR="003F0DFE" w:rsidRPr="00F76596" w:rsidRDefault="003F0DFE" w:rsidP="00876D90">
            <w:pPr>
              <w:pStyle w:val="tbltext"/>
            </w:pPr>
            <w:r w:rsidRPr="00F76596">
              <w:t xml:space="preserve">1 </w:t>
            </w:r>
            <w:r w:rsidR="00876D90" w:rsidRPr="00F76596">
              <w:t xml:space="preserve">April </w:t>
            </w:r>
            <w:r w:rsidRPr="00F76596">
              <w:t>201</w:t>
            </w:r>
            <w:r w:rsidR="00876D90" w:rsidRPr="00F76596">
              <w:t>5</w:t>
            </w:r>
          </w:p>
        </w:tc>
      </w:tr>
      <w:tr w:rsidR="003F0DFE" w:rsidRPr="00F76596" w14:paraId="37F73A10" w14:textId="77777777" w:rsidTr="00A25989">
        <w:trPr>
          <w:cantSplit/>
          <w:trHeight w:val="843"/>
        </w:trPr>
        <w:tc>
          <w:tcPr>
            <w:tcW w:w="0" w:type="auto"/>
            <w:vMerge/>
          </w:tcPr>
          <w:p w14:paraId="21689017" w14:textId="77777777" w:rsidR="003F0DFE" w:rsidRPr="00F76596" w:rsidRDefault="003F0DFE" w:rsidP="00C81040">
            <w:pPr>
              <w:pStyle w:val="tbltext"/>
            </w:pPr>
          </w:p>
        </w:tc>
        <w:tc>
          <w:tcPr>
            <w:tcW w:w="0" w:type="auto"/>
            <w:vMerge/>
          </w:tcPr>
          <w:p w14:paraId="436C90BB" w14:textId="77777777" w:rsidR="003F0DFE" w:rsidRPr="00F76596" w:rsidRDefault="003F0DFE" w:rsidP="00C81040">
            <w:pPr>
              <w:pStyle w:val="tbltext"/>
            </w:pPr>
          </w:p>
        </w:tc>
        <w:tc>
          <w:tcPr>
            <w:tcW w:w="3427" w:type="dxa"/>
          </w:tcPr>
          <w:p w14:paraId="36F92FA0" w14:textId="77777777" w:rsidR="003F0DFE" w:rsidRPr="00F76596" w:rsidRDefault="003F0DFE" w:rsidP="00A45CD4">
            <w:pPr>
              <w:pStyle w:val="tbltext"/>
            </w:pPr>
            <w:r w:rsidRPr="00F76596">
              <w:t xml:space="preserve">All outstanding positions as at </w:t>
            </w:r>
            <w:r w:rsidR="00CB4443" w:rsidRPr="00F76596">
              <w:t>1</w:t>
            </w:r>
            <w:r w:rsidR="00B3486F" w:rsidRPr="00F76596">
              <w:t xml:space="preserve"> </w:t>
            </w:r>
            <w:r w:rsidR="00CB4443" w:rsidRPr="00F76596">
              <w:t>April</w:t>
            </w:r>
            <w:r w:rsidR="001A4D28" w:rsidRPr="00F76596">
              <w:t> </w:t>
            </w:r>
            <w:r w:rsidR="00553B2A" w:rsidRPr="00F76596">
              <w:t>2015</w:t>
            </w:r>
            <w:r w:rsidRPr="00F76596">
              <w:t xml:space="preserve"> in </w:t>
            </w:r>
            <w:r w:rsidR="0009079B" w:rsidRPr="00F76596">
              <w:t xml:space="preserve">OTC Derivatives </w:t>
            </w:r>
            <w:r w:rsidR="00001F01" w:rsidRPr="00F76596">
              <w:t xml:space="preserve">that are equity derivatives, foreign exchange derivatives and commodity derivatives that are not electricity derivatives </w:t>
            </w:r>
            <w:r w:rsidRPr="00F76596">
              <w:t xml:space="preserve">that, if entered into on </w:t>
            </w:r>
            <w:r w:rsidR="00CB4443" w:rsidRPr="00F76596">
              <w:t>1</w:t>
            </w:r>
            <w:r w:rsidR="001A4D28" w:rsidRPr="00F76596">
              <w:t> </w:t>
            </w:r>
            <w:r w:rsidR="00CB4443" w:rsidRPr="00F76596">
              <w:t>April</w:t>
            </w:r>
            <w:r w:rsidR="00553B2A" w:rsidRPr="00F76596">
              <w:t xml:space="preserve"> 2015 </w:t>
            </w:r>
            <w:r w:rsidRPr="00F76596">
              <w:t>would be required to be reported by the Reporting Entity in accordance with the Transaction Reporting Requirements</w:t>
            </w:r>
            <w:r w:rsidR="0099386A" w:rsidRPr="00F76596">
              <w:t>.</w:t>
            </w:r>
          </w:p>
        </w:tc>
        <w:tc>
          <w:tcPr>
            <w:tcW w:w="3544" w:type="dxa"/>
          </w:tcPr>
          <w:p w14:paraId="10A4D0DD" w14:textId="77777777" w:rsidR="003F0DFE" w:rsidRPr="00F76596" w:rsidRDefault="00E2536D" w:rsidP="00C42107">
            <w:pPr>
              <w:pStyle w:val="tbltext"/>
            </w:pPr>
            <w:r w:rsidRPr="00E2536D">
              <w:t>A Reporting Entity must report, for all Reportable Positions, the Derivative Position Information set out in Part S2.2 of Schedule 2 to a Licensed Repository, or, if there is no Licensed Repository, to a Prescribed Repository.</w:t>
            </w:r>
          </w:p>
        </w:tc>
        <w:tc>
          <w:tcPr>
            <w:tcW w:w="1835" w:type="dxa"/>
          </w:tcPr>
          <w:p w14:paraId="1DED698E" w14:textId="77777777" w:rsidR="003F0DFE" w:rsidRPr="00F76596" w:rsidRDefault="00876D90" w:rsidP="00876D90">
            <w:pPr>
              <w:pStyle w:val="tbltext"/>
            </w:pPr>
            <w:r w:rsidRPr="00F76596">
              <w:t xml:space="preserve">1 October </w:t>
            </w:r>
            <w:r w:rsidR="003F0DFE" w:rsidRPr="00F76596">
              <w:t>2015</w:t>
            </w:r>
          </w:p>
        </w:tc>
      </w:tr>
    </w:tbl>
    <w:p w14:paraId="227B4A9C" w14:textId="77777777" w:rsidR="004A15DA" w:rsidRPr="00F76596" w:rsidRDefault="004A15DA"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14:paraId="6EEA117E" w14:textId="77777777" w:rsidR="00997780" w:rsidRPr="00F76596" w:rsidRDefault="00997780" w:rsidP="004A15DA">
      <w:pPr>
        <w:pStyle w:val="MIRNote"/>
        <w:sectPr w:rsidR="00997780" w:rsidRPr="00F76596" w:rsidSect="00504F11">
          <w:footerReference w:type="default" r:id="rId28"/>
          <w:pgSz w:w="16838" w:h="11906" w:orient="landscape" w:code="9"/>
          <w:pgMar w:top="1418" w:right="1644" w:bottom="1418" w:left="1418" w:header="567" w:footer="567" w:gutter="0"/>
          <w:cols w:space="720"/>
          <w:docGrid w:linePitch="299"/>
        </w:sectPr>
      </w:pPr>
    </w:p>
    <w:p w14:paraId="24AE1246" w14:textId="77777777" w:rsidR="006F38DF" w:rsidRPr="00F76596" w:rsidRDefault="006F38DF" w:rsidP="006F38DF">
      <w:pPr>
        <w:pStyle w:val="MIRHeading1Chapter"/>
      </w:pPr>
      <w:bookmarkStart w:id="15" w:name="_Toc122081644"/>
      <w:r w:rsidRPr="00F76596">
        <w:lastRenderedPageBreak/>
        <w:t>Schedule 2</w:t>
      </w:r>
      <w:r w:rsidRPr="00F76596">
        <w:tab/>
        <w:t>Information requirements</w:t>
      </w:r>
      <w:bookmarkEnd w:id="15"/>
    </w:p>
    <w:p w14:paraId="44FFD8E0" w14:textId="77777777" w:rsidR="00C5630F" w:rsidRPr="00F76596" w:rsidRDefault="00C5630F" w:rsidP="006F38DF">
      <w:pPr>
        <w:pStyle w:val="MIRHeading2Part"/>
      </w:pPr>
      <w:bookmarkStart w:id="16" w:name="_Toc122081645"/>
      <w:r w:rsidRPr="00F76596">
        <w:t>Part S2.1A</w:t>
      </w:r>
      <w:r w:rsidR="007870B2" w:rsidRPr="00F76596">
        <w:tab/>
      </w:r>
      <w:r w:rsidRPr="00F76596">
        <w:t>Definitions</w:t>
      </w:r>
      <w:bookmarkEnd w:id="16"/>
    </w:p>
    <w:p w14:paraId="262FF43A" w14:textId="77777777" w:rsidR="00520937" w:rsidRPr="00F76596" w:rsidRDefault="00520937" w:rsidP="00520937">
      <w:pPr>
        <w:pStyle w:val="MIRHeading3Rule"/>
      </w:pPr>
      <w:r w:rsidRPr="00F76596">
        <w:t>S2.1A.1 Definitions</w:t>
      </w:r>
    </w:p>
    <w:p w14:paraId="18B9094C" w14:textId="77777777" w:rsidR="00C5630F" w:rsidRPr="00F76596" w:rsidRDefault="00C5630F" w:rsidP="00C5630F">
      <w:pPr>
        <w:pStyle w:val="MIRBodyText"/>
      </w:pPr>
      <w:r w:rsidRPr="00F76596">
        <w:t>In the Tables in Parts S2.1 and S2.2:</w:t>
      </w:r>
    </w:p>
    <w:p w14:paraId="0DA6733E" w14:textId="77777777" w:rsidR="00E2536D" w:rsidRPr="00341BC1" w:rsidRDefault="00E2536D" w:rsidP="00E2536D">
      <w:pPr>
        <w:pStyle w:val="MIRBodyText"/>
      </w:pPr>
      <w:r w:rsidRPr="00341BC1">
        <w:rPr>
          <w:b/>
          <w:i/>
        </w:rPr>
        <w:t>Designated Business Identifier</w:t>
      </w:r>
      <w:r w:rsidRPr="00341BC1">
        <w:t xml:space="preserve"> means:</w:t>
      </w:r>
    </w:p>
    <w:p w14:paraId="459FC1B4" w14:textId="77777777" w:rsidR="00E2536D" w:rsidRPr="0002544A" w:rsidRDefault="00E2536D" w:rsidP="0002544A">
      <w:pPr>
        <w:pStyle w:val="MIRSubpara"/>
      </w:pPr>
      <w:r w:rsidRPr="0002544A">
        <w:t>on or before 12 April 2015, an Australian Business Number (ABN); and</w:t>
      </w:r>
    </w:p>
    <w:p w14:paraId="1CD6E85D" w14:textId="77777777" w:rsidR="00E2536D" w:rsidRPr="00E2536D" w:rsidRDefault="00E2536D" w:rsidP="0002544A">
      <w:pPr>
        <w:pStyle w:val="MIRSubpara"/>
      </w:pPr>
      <w:r w:rsidRPr="0002544A">
        <w:t xml:space="preserve">on or after 13 April 2015, an international business entity identifier issued by </w:t>
      </w:r>
      <w:proofErr w:type="spellStart"/>
      <w:r w:rsidRPr="0002544A">
        <w:t>Avox</w:t>
      </w:r>
      <w:proofErr w:type="spellEnd"/>
      <w:r w:rsidRPr="0002544A">
        <w:t xml:space="preserve"> Limited</w:t>
      </w:r>
      <w:r w:rsidRPr="00341BC1">
        <w:t xml:space="preserve"> (AVID).</w:t>
      </w:r>
    </w:p>
    <w:p w14:paraId="7B9D06AE" w14:textId="77777777" w:rsidR="00C5630F" w:rsidRPr="00F76596" w:rsidRDefault="00C5630F" w:rsidP="00527009">
      <w:pPr>
        <w:pStyle w:val="MIRBodyText"/>
      </w:pPr>
      <w:r w:rsidRPr="00F76596">
        <w:rPr>
          <w:b/>
          <w:i/>
        </w:rPr>
        <w:t>Non-</w:t>
      </w:r>
      <w:r w:rsidR="0075008B" w:rsidRPr="00F76596">
        <w:rPr>
          <w:b/>
          <w:i/>
        </w:rPr>
        <w:t>R</w:t>
      </w:r>
      <w:r w:rsidRPr="00F76596">
        <w:rPr>
          <w:b/>
          <w:i/>
        </w:rPr>
        <w:t>eporting Counterparty</w:t>
      </w:r>
      <w:r w:rsidRPr="00F76596">
        <w:t xml:space="preserve"> means</w:t>
      </w:r>
      <w:r w:rsidR="002B6540" w:rsidRPr="00F76596">
        <w:t xml:space="preserve">, </w:t>
      </w:r>
      <w:r w:rsidR="005B528C" w:rsidRPr="00F76596">
        <w:t xml:space="preserve">in relation to a report of information </w:t>
      </w:r>
      <w:r w:rsidR="00E61A4A" w:rsidRPr="00F76596">
        <w:t>about</w:t>
      </w:r>
      <w:r w:rsidR="005B528C" w:rsidRPr="00F76596">
        <w:t xml:space="preserve"> a Reportable Transaction</w:t>
      </w:r>
      <w:r w:rsidR="002B6540" w:rsidRPr="00F76596">
        <w:t xml:space="preserve"> or Reportable Position,</w:t>
      </w:r>
      <w:r w:rsidRPr="00F76596">
        <w:t xml:space="preserve"> the counterparty to the </w:t>
      </w:r>
      <w:r w:rsidR="00D97C62" w:rsidRPr="00F76596">
        <w:t>Derivative</w:t>
      </w:r>
      <w:r w:rsidR="002B6540" w:rsidRPr="00F76596">
        <w:t xml:space="preserve"> to which the Reportable Transaction or Reportable Position relates,</w:t>
      </w:r>
      <w:r w:rsidRPr="00F76596">
        <w:t xml:space="preserve"> that is not the Reporting Counterparty.</w:t>
      </w:r>
    </w:p>
    <w:p w14:paraId="52164BAD" w14:textId="77777777" w:rsidR="00233953" w:rsidRPr="00F76596" w:rsidRDefault="00233953" w:rsidP="00527009">
      <w:pPr>
        <w:pStyle w:val="MIRBodyText"/>
      </w:pPr>
      <w:r w:rsidRPr="00F76596">
        <w:rPr>
          <w:b/>
          <w:i/>
        </w:rPr>
        <w:t>Portfolio Basis</w:t>
      </w:r>
      <w:r w:rsidR="0083553B" w:rsidRPr="00F76596">
        <w:t>, in relation to collateral,</w:t>
      </w:r>
      <w:r w:rsidRPr="00F76596">
        <w:t xml:space="preserve"> means the collateral was calculated on the basis of net positions resulting from a set of </w:t>
      </w:r>
      <w:r w:rsidR="00411D9A" w:rsidRPr="00F76596">
        <w:t>Derivatives, rather than per Derivative</w:t>
      </w:r>
      <w:r w:rsidRPr="00F76596">
        <w:t>.</w:t>
      </w:r>
    </w:p>
    <w:p w14:paraId="3C621F76" w14:textId="77777777" w:rsidR="005B528C" w:rsidRPr="00F76596" w:rsidRDefault="005B528C" w:rsidP="00042F7B">
      <w:pPr>
        <w:pStyle w:val="MIRBodyText"/>
      </w:pPr>
      <w:r w:rsidRPr="00F76596">
        <w:rPr>
          <w:b/>
          <w:i/>
        </w:rPr>
        <w:t>Reporting Counterparty</w:t>
      </w:r>
      <w:r w:rsidRPr="00F76596">
        <w:t xml:space="preserve"> means, in relation to a report of information </w:t>
      </w:r>
      <w:r w:rsidR="002F2E97" w:rsidRPr="00F76596">
        <w:t>about</w:t>
      </w:r>
      <w:r w:rsidRPr="00F76596">
        <w:t xml:space="preserve"> a Reportable Transaction</w:t>
      </w:r>
      <w:r w:rsidR="00042F7B" w:rsidRPr="00F76596">
        <w:t xml:space="preserve"> or Reportable Position</w:t>
      </w:r>
      <w:r w:rsidRPr="00F76596">
        <w:t>:</w:t>
      </w:r>
    </w:p>
    <w:p w14:paraId="1B5DD620" w14:textId="77777777" w:rsidR="005B528C" w:rsidRPr="00F76596" w:rsidRDefault="005B528C" w:rsidP="005D5804">
      <w:pPr>
        <w:pStyle w:val="MIRSubpara"/>
      </w:pPr>
      <w:r w:rsidRPr="00F76596">
        <w:t>where a Reporting Entity makes the report on its own behalf, that Reporting Entity;</w:t>
      </w:r>
    </w:p>
    <w:p w14:paraId="79EC3E72" w14:textId="77777777" w:rsidR="00116037" w:rsidRPr="00F76596" w:rsidRDefault="005B528C" w:rsidP="005D5804">
      <w:pPr>
        <w:pStyle w:val="MIRSubpara"/>
      </w:pPr>
      <w:r w:rsidRPr="00F76596">
        <w:t>where another person makes a report on behalf of a Reporting Entity, the Reporting Entity on behalf of which the report is made.</w:t>
      </w:r>
    </w:p>
    <w:p w14:paraId="77249DC9" w14:textId="77777777" w:rsidR="006F38DF" w:rsidRPr="00F76596" w:rsidRDefault="006F38DF" w:rsidP="006F38DF">
      <w:pPr>
        <w:pStyle w:val="MIRHeading2Part"/>
      </w:pPr>
      <w:bookmarkStart w:id="17" w:name="_Toc122081646"/>
      <w:r w:rsidRPr="00F76596">
        <w:t>Part S2.1</w:t>
      </w:r>
      <w:r w:rsidRPr="00F76596">
        <w:tab/>
        <w:t>Derivative Transaction Information</w:t>
      </w:r>
      <w:bookmarkEnd w:id="17"/>
    </w:p>
    <w:p w14:paraId="52C62A52" w14:textId="77777777" w:rsidR="006F38DF" w:rsidRPr="00F76596" w:rsidRDefault="006F38DF" w:rsidP="006F38DF">
      <w:pPr>
        <w:pStyle w:val="MIRHeading3Rule"/>
      </w:pPr>
      <w:r w:rsidRPr="00F76596">
        <w:t>S2.1.1</w:t>
      </w:r>
      <w:r w:rsidRPr="00F76596">
        <w:tab/>
        <w:t>Derivative Transaction Information</w:t>
      </w:r>
    </w:p>
    <w:p w14:paraId="175260D6" w14:textId="77777777" w:rsidR="006F38DF" w:rsidRPr="00F76596" w:rsidRDefault="006F38DF" w:rsidP="006F38DF">
      <w:pPr>
        <w:pStyle w:val="MIRBodyText"/>
      </w:pPr>
      <w:r w:rsidRPr="00F76596">
        <w:t xml:space="preserve">For the purposes of these Rules, the </w:t>
      </w:r>
      <w:r w:rsidRPr="00F76596">
        <w:rPr>
          <w:b/>
          <w:i/>
        </w:rPr>
        <w:t>Derivative Transaction Information</w:t>
      </w:r>
      <w:r w:rsidRPr="00F76596">
        <w:t xml:space="preserve"> in relation to a </w:t>
      </w:r>
      <w:r w:rsidR="00642E6B" w:rsidRPr="00F76596">
        <w:t xml:space="preserve">Reportable </w:t>
      </w:r>
      <w:r w:rsidRPr="00F76596">
        <w:t>Transaction is:</w:t>
      </w:r>
    </w:p>
    <w:p w14:paraId="4E59AB70" w14:textId="77777777" w:rsidR="006F38DF" w:rsidRPr="00F76596" w:rsidRDefault="00642E6B" w:rsidP="006F38DF">
      <w:pPr>
        <w:pStyle w:val="MIRSubpara"/>
      </w:pPr>
      <w:r w:rsidRPr="00F76596">
        <w:t>if the Reportable Transaction is the entry into of an arrangement that is a commodity derivative</w:t>
      </w:r>
      <w:r w:rsidR="00AC3BEF" w:rsidRPr="00F76596">
        <w:t xml:space="preserve"> </w:t>
      </w:r>
      <w:r w:rsidR="00097819" w:rsidRPr="00F76596">
        <w:t>that is not an electricity derivative</w:t>
      </w:r>
      <w:r w:rsidRPr="00F76596">
        <w:t>,</w:t>
      </w:r>
      <w:r w:rsidR="006F38DF" w:rsidRPr="00F76596">
        <w:t xml:space="preserve"> the information about the </w:t>
      </w:r>
      <w:r w:rsidRPr="00F76596">
        <w:t>Reportable</w:t>
      </w:r>
      <w:r w:rsidR="006F38DF" w:rsidRPr="00F76596">
        <w:t xml:space="preserve"> Transaction set out </w:t>
      </w:r>
      <w:r w:rsidR="003073CB" w:rsidRPr="00F76596">
        <w:t xml:space="preserve">in </w:t>
      </w:r>
      <w:r w:rsidR="006F38DF" w:rsidRPr="00F76596">
        <w:t xml:space="preserve">column 3 of Table </w:t>
      </w:r>
      <w:r w:rsidR="0003191F" w:rsidRPr="00F76596">
        <w:t>S2.1(</w:t>
      </w:r>
      <w:r w:rsidR="006F38DF" w:rsidRPr="00F76596">
        <w:t>1</w:t>
      </w:r>
      <w:r w:rsidR="0003191F" w:rsidRPr="00F76596">
        <w:t>)</w:t>
      </w:r>
      <w:r w:rsidR="006F38DF" w:rsidRPr="00F76596">
        <w:t xml:space="preserve"> and the additional information about the </w:t>
      </w:r>
      <w:r w:rsidRPr="00F76596">
        <w:t>Reportable</w:t>
      </w:r>
      <w:r w:rsidR="006F38DF" w:rsidRPr="00F76596">
        <w:t xml:space="preserve"> Transaction set out in </w:t>
      </w:r>
      <w:r w:rsidR="001D75AA" w:rsidRPr="00F76596">
        <w:t xml:space="preserve">column 3 of </w:t>
      </w:r>
      <w:r w:rsidR="006F38DF" w:rsidRPr="00F76596">
        <w:t xml:space="preserve">Table </w:t>
      </w:r>
      <w:r w:rsidR="0003191F" w:rsidRPr="00F76596">
        <w:t>S2.1(</w:t>
      </w:r>
      <w:r w:rsidR="006F38DF" w:rsidRPr="00F76596">
        <w:t>2</w:t>
      </w:r>
      <w:r w:rsidR="0003191F" w:rsidRPr="00F76596">
        <w:t>)</w:t>
      </w:r>
      <w:r w:rsidR="00F175BC" w:rsidRPr="00F76596">
        <w:t>, to the extent that information is relevant to the Reportable Transaction</w:t>
      </w:r>
      <w:r w:rsidR="006F38DF" w:rsidRPr="00F76596">
        <w:t>;</w:t>
      </w:r>
    </w:p>
    <w:p w14:paraId="6112BC48" w14:textId="77777777" w:rsidR="00731DC5" w:rsidRPr="00F76596" w:rsidRDefault="00731DC5" w:rsidP="00731DC5">
      <w:pPr>
        <w:pStyle w:val="MIRSubpara"/>
      </w:pPr>
      <w:r w:rsidRPr="00F76596">
        <w:t xml:space="preserve">if the Reportable Transaction is the entry into of an arrangement that is a credit derivative or an equity derivative, the information about the Reportable Transaction set out </w:t>
      </w:r>
      <w:r w:rsidR="003073CB" w:rsidRPr="00F76596">
        <w:t xml:space="preserve">in </w:t>
      </w:r>
      <w:r w:rsidRPr="00F76596">
        <w:t xml:space="preserve">column 3 of Table </w:t>
      </w:r>
      <w:r w:rsidR="0003191F" w:rsidRPr="00F76596">
        <w:t>S2.1(</w:t>
      </w:r>
      <w:r w:rsidRPr="00F76596">
        <w:t>1</w:t>
      </w:r>
      <w:r w:rsidR="0003191F" w:rsidRPr="00F76596">
        <w:t>)</w:t>
      </w:r>
      <w:r w:rsidRPr="00F76596">
        <w:t xml:space="preserve"> and the additional information about the Reportable Transaction set out in column 3 of Table </w:t>
      </w:r>
      <w:r w:rsidR="0003191F" w:rsidRPr="00F76596">
        <w:t>S2.1(</w:t>
      </w:r>
      <w:r w:rsidRPr="00F76596">
        <w:t>3</w:t>
      </w:r>
      <w:r w:rsidR="0003191F" w:rsidRPr="00F76596">
        <w:t>)</w:t>
      </w:r>
      <w:r w:rsidR="00F03AF5" w:rsidRPr="00F76596">
        <w:t>, to the extent that information is relevant to the Reportable Transaction</w:t>
      </w:r>
      <w:r w:rsidRPr="00F76596">
        <w:t>;</w:t>
      </w:r>
    </w:p>
    <w:p w14:paraId="26CDF2C5" w14:textId="77777777" w:rsidR="00731DC5" w:rsidRPr="00F76596" w:rsidRDefault="00731DC5" w:rsidP="00731DC5">
      <w:pPr>
        <w:pStyle w:val="MIRSubpara"/>
      </w:pPr>
      <w:r w:rsidRPr="00F76596">
        <w:lastRenderedPageBreak/>
        <w:t>if the Reportable Transaction is the entry into of an arrangement that is</w:t>
      </w:r>
      <w:r w:rsidR="006F38DF" w:rsidRPr="00F76596">
        <w:t xml:space="preserve"> a foreign exchange derivative, </w:t>
      </w:r>
      <w:r w:rsidRPr="00F76596">
        <w:t xml:space="preserve">the information about the Reportable Transaction set out </w:t>
      </w:r>
      <w:r w:rsidR="003073CB" w:rsidRPr="00F76596">
        <w:t xml:space="preserve">in </w:t>
      </w:r>
      <w:r w:rsidRPr="00F76596">
        <w:t xml:space="preserve">column 3 of Table </w:t>
      </w:r>
      <w:r w:rsidR="00860BB1" w:rsidRPr="00F76596">
        <w:t>S2.1(</w:t>
      </w:r>
      <w:r w:rsidRPr="00F76596">
        <w:t>1</w:t>
      </w:r>
      <w:r w:rsidR="00860BB1" w:rsidRPr="00F76596">
        <w:t>)</w:t>
      </w:r>
      <w:r w:rsidRPr="00F76596">
        <w:t xml:space="preserve"> and the additional information about the Reportable Transaction set out in column 3 of Table </w:t>
      </w:r>
      <w:r w:rsidR="00860BB1" w:rsidRPr="00F76596">
        <w:t>S2.1(</w:t>
      </w:r>
      <w:r w:rsidRPr="00F76596">
        <w:t>4</w:t>
      </w:r>
      <w:r w:rsidR="00860BB1" w:rsidRPr="00F76596">
        <w:t>)</w:t>
      </w:r>
      <w:r w:rsidR="00F03AF5" w:rsidRPr="00F76596">
        <w:t>, to the extent that information is relevant to the Reportable Transaction</w:t>
      </w:r>
      <w:r w:rsidRPr="00F76596">
        <w:t>;</w:t>
      </w:r>
    </w:p>
    <w:p w14:paraId="45E73686" w14:textId="77777777" w:rsidR="00477C1E" w:rsidRPr="00F76596" w:rsidRDefault="00477C1E" w:rsidP="00477C1E">
      <w:pPr>
        <w:pStyle w:val="MIRSubpara"/>
      </w:pPr>
      <w:r w:rsidRPr="00F76596">
        <w:t xml:space="preserve">if the Reportable Transaction is the entry into of an arrangement that is an interest rate derivative, the information about the Reportable Transaction set out </w:t>
      </w:r>
      <w:r w:rsidR="003073CB" w:rsidRPr="00F76596">
        <w:t xml:space="preserve">in </w:t>
      </w:r>
      <w:r w:rsidRPr="00F76596">
        <w:t>column 3 of Table</w:t>
      </w:r>
      <w:r w:rsidR="00A25989" w:rsidRPr="00F76596">
        <w:t> </w:t>
      </w:r>
      <w:r w:rsidR="003A3D05" w:rsidRPr="00F76596">
        <w:t>S2.1(</w:t>
      </w:r>
      <w:r w:rsidRPr="00F76596">
        <w:t>1</w:t>
      </w:r>
      <w:r w:rsidR="003A3D05" w:rsidRPr="00F76596">
        <w:t>)</w:t>
      </w:r>
      <w:r w:rsidRPr="00F76596">
        <w:t xml:space="preserve"> and the additional information about the Reportable Transaction set out in column 3 of Table </w:t>
      </w:r>
      <w:r w:rsidR="003A3D05" w:rsidRPr="00F76596">
        <w:t>S2.1(</w:t>
      </w:r>
      <w:r w:rsidR="003B388F" w:rsidRPr="00F76596">
        <w:t>5</w:t>
      </w:r>
      <w:r w:rsidR="003A3D05" w:rsidRPr="00F76596">
        <w:t>)</w:t>
      </w:r>
      <w:r w:rsidR="00F03AF5" w:rsidRPr="00F76596">
        <w:t>, to the extent that information is relevant to the Reportable Transaction</w:t>
      </w:r>
      <w:r w:rsidR="0015267C" w:rsidRPr="00F76596">
        <w:t>;</w:t>
      </w:r>
    </w:p>
    <w:p w14:paraId="52238D0B" w14:textId="77777777" w:rsidR="0015267C" w:rsidRPr="00F76596" w:rsidRDefault="006F38DF" w:rsidP="006F38DF">
      <w:pPr>
        <w:pStyle w:val="MIRSubpara"/>
      </w:pPr>
      <w:r w:rsidRPr="00F76596">
        <w:t xml:space="preserve">if the </w:t>
      </w:r>
      <w:r w:rsidR="00CC2C9C" w:rsidRPr="00F76596">
        <w:t>Reportable</w:t>
      </w:r>
      <w:r w:rsidRPr="00F76596">
        <w:t xml:space="preserve"> Transaction is the modification</w:t>
      </w:r>
      <w:r w:rsidR="0015267C" w:rsidRPr="00F76596">
        <w:t xml:space="preserve"> or</w:t>
      </w:r>
      <w:r w:rsidRPr="00F76596">
        <w:t xml:space="preserve"> termination</w:t>
      </w:r>
      <w:r w:rsidR="00CC2C9C" w:rsidRPr="00F76596">
        <w:t xml:space="preserve"> </w:t>
      </w:r>
      <w:r w:rsidR="0015267C" w:rsidRPr="00F76596">
        <w:rPr>
          <w:iCs/>
        </w:rPr>
        <w:t>of an</w:t>
      </w:r>
      <w:r w:rsidRPr="00F76596">
        <w:rPr>
          <w:iCs/>
        </w:rPr>
        <w:t xml:space="preserve"> arrangement</w:t>
      </w:r>
      <w:r w:rsidR="00F875AA" w:rsidRPr="00F76596">
        <w:rPr>
          <w:iCs/>
        </w:rPr>
        <w:t xml:space="preserve"> referred to in paragraphs (a)</w:t>
      </w:r>
      <w:r w:rsidR="00A25989" w:rsidRPr="00F76596">
        <w:rPr>
          <w:iCs/>
        </w:rPr>
        <w:t>–</w:t>
      </w:r>
      <w:r w:rsidR="00F875AA" w:rsidRPr="00F76596">
        <w:rPr>
          <w:iCs/>
        </w:rPr>
        <w:t>(d)</w:t>
      </w:r>
      <w:r w:rsidRPr="00F76596">
        <w:rPr>
          <w:iCs/>
        </w:rPr>
        <w:t xml:space="preserve">, any changes to </w:t>
      </w:r>
      <w:r w:rsidRPr="00F76596">
        <w:t xml:space="preserve">the information set out in Tables </w:t>
      </w:r>
      <w:r w:rsidR="009E38BD" w:rsidRPr="00F76596">
        <w:t>S2.1(</w:t>
      </w:r>
      <w:r w:rsidRPr="00F76596">
        <w:t>1</w:t>
      </w:r>
      <w:r w:rsidR="009E38BD" w:rsidRPr="00F76596">
        <w:t>)</w:t>
      </w:r>
      <w:r w:rsidRPr="00F76596">
        <w:t>–</w:t>
      </w:r>
      <w:r w:rsidR="009E38BD" w:rsidRPr="00F76596">
        <w:t>(</w:t>
      </w:r>
      <w:r w:rsidRPr="00F76596">
        <w:t>5</w:t>
      </w:r>
      <w:r w:rsidR="009E38BD" w:rsidRPr="00F76596">
        <w:t>)</w:t>
      </w:r>
      <w:r w:rsidRPr="00F76596">
        <w:t xml:space="preserve"> resulting from the modification</w:t>
      </w:r>
      <w:r w:rsidR="0015267C" w:rsidRPr="00F76596">
        <w:t xml:space="preserve"> or</w:t>
      </w:r>
      <w:r w:rsidRPr="00F76596">
        <w:t xml:space="preserve"> termination</w:t>
      </w:r>
      <w:r w:rsidR="0015267C" w:rsidRPr="00F76596">
        <w:t xml:space="preserve"> </w:t>
      </w:r>
      <w:r w:rsidR="00CC2C9C" w:rsidRPr="00F76596">
        <w:t>of</w:t>
      </w:r>
      <w:r w:rsidRPr="00F76596">
        <w:t xml:space="preserve"> the arrangement</w:t>
      </w:r>
      <w:r w:rsidR="00F03AF5" w:rsidRPr="00F76596">
        <w:t>, to the extent that information is relevant to the Reportable Transaction</w:t>
      </w:r>
      <w:r w:rsidR="0015267C" w:rsidRPr="00F76596">
        <w:t>; and</w:t>
      </w:r>
    </w:p>
    <w:p w14:paraId="38E6BB15" w14:textId="77777777" w:rsidR="006F38DF" w:rsidRPr="00F76596" w:rsidRDefault="0015267C" w:rsidP="006F38DF">
      <w:pPr>
        <w:pStyle w:val="MIRSubpara"/>
      </w:pPr>
      <w:r w:rsidRPr="00F76596">
        <w:t xml:space="preserve">if the Reportable Transaction is the assignment, by a party to an arrangement </w:t>
      </w:r>
      <w:r w:rsidR="00E34090" w:rsidRPr="00F76596">
        <w:rPr>
          <w:iCs/>
        </w:rPr>
        <w:t>referred to in paragraphs (a)–(d)</w:t>
      </w:r>
      <w:r w:rsidRPr="00F76596">
        <w:t xml:space="preserve">, of some or all of the party’s </w:t>
      </w:r>
      <w:r w:rsidR="00E34090" w:rsidRPr="00F76596">
        <w:t xml:space="preserve">rights and </w:t>
      </w:r>
      <w:r w:rsidRPr="00F76596">
        <w:t>obligations under the arrangement</w:t>
      </w:r>
      <w:r w:rsidR="00071CF7" w:rsidRPr="00F76596">
        <w:t xml:space="preserve">, </w:t>
      </w:r>
      <w:r w:rsidR="00071CF7" w:rsidRPr="00F76596">
        <w:rPr>
          <w:iCs/>
        </w:rPr>
        <w:t xml:space="preserve">any changes to </w:t>
      </w:r>
      <w:r w:rsidR="00071CF7" w:rsidRPr="00F76596">
        <w:t xml:space="preserve">the information set out in Tables </w:t>
      </w:r>
      <w:r w:rsidR="009E38BD" w:rsidRPr="00F76596">
        <w:t>S2.1(</w:t>
      </w:r>
      <w:r w:rsidR="00071CF7" w:rsidRPr="00F76596">
        <w:t>1</w:t>
      </w:r>
      <w:r w:rsidR="009E38BD" w:rsidRPr="00F76596">
        <w:t>)</w:t>
      </w:r>
      <w:r w:rsidR="00071CF7" w:rsidRPr="00F76596">
        <w:t>–</w:t>
      </w:r>
      <w:r w:rsidR="009E38BD" w:rsidRPr="00F76596">
        <w:t>(</w:t>
      </w:r>
      <w:r w:rsidR="00071CF7" w:rsidRPr="00F76596">
        <w:t>5</w:t>
      </w:r>
      <w:r w:rsidR="009E38BD" w:rsidRPr="00F76596">
        <w:t>)</w:t>
      </w:r>
      <w:r w:rsidR="00071CF7" w:rsidRPr="00F76596">
        <w:t xml:space="preserve"> resulting from the assig</w:t>
      </w:r>
      <w:r w:rsidR="00CD1231" w:rsidRPr="00F76596">
        <w:t>n</w:t>
      </w:r>
      <w:r w:rsidR="00071CF7" w:rsidRPr="00F76596">
        <w:t>ment</w:t>
      </w:r>
      <w:r w:rsidR="00F03AF5" w:rsidRPr="00F76596">
        <w:t>, to the extent that information is relevant to the Reportable Transaction</w:t>
      </w:r>
      <w:r w:rsidR="00CC2C9C" w:rsidRPr="00F76596">
        <w:t>.</w:t>
      </w:r>
    </w:p>
    <w:p w14:paraId="06A3F78A" w14:textId="77777777" w:rsidR="00AC3BEF" w:rsidRPr="00F76596" w:rsidRDefault="00D72AF0" w:rsidP="00AC3BEF">
      <w:pPr>
        <w:pStyle w:val="MIRNote"/>
      </w:pPr>
      <w:r w:rsidRPr="00F76596">
        <w:t>Note: As at the date the Rules are made</w:t>
      </w:r>
      <w:r w:rsidR="00F54C05" w:rsidRPr="00F76596">
        <w:t xml:space="preserve">, </w:t>
      </w:r>
      <w:r w:rsidR="004644B2" w:rsidRPr="00F76596">
        <w:t xml:space="preserve">the Prescribed Classes under the Corporations (Derivatives) Determination 2013 are commodity derivatives </w:t>
      </w:r>
      <w:r w:rsidR="00097819" w:rsidRPr="00F76596">
        <w:t xml:space="preserve">that are not electricity </w:t>
      </w:r>
      <w:r w:rsidR="004644B2" w:rsidRPr="00F76596">
        <w:t>derivatives,</w:t>
      </w:r>
      <w:r w:rsidR="00872356" w:rsidRPr="00F76596">
        <w:t xml:space="preserve"> credit derivatives,</w:t>
      </w:r>
      <w:r w:rsidR="004644B2" w:rsidRPr="00F76596">
        <w:t xml:space="preserve"> equity derivatives, foreign exchange </w:t>
      </w:r>
      <w:r w:rsidR="008C6F2B" w:rsidRPr="00F76596">
        <w:t>derivatives and interest rate derivatives</w:t>
      </w:r>
      <w:r w:rsidR="008A574B" w:rsidRPr="00F76596">
        <w:t>.</w:t>
      </w:r>
    </w:p>
    <w:p w14:paraId="5B5C139E" w14:textId="77777777" w:rsidR="006F38DF" w:rsidRPr="00F76596" w:rsidRDefault="006F38DF" w:rsidP="00AC3BEF">
      <w:pPr>
        <w:pStyle w:val="tabletitlefullwidth"/>
        <w:ind w:hanging="142"/>
      </w:pPr>
      <w:r w:rsidRPr="00F76596">
        <w:t xml:space="preserve">Table </w:t>
      </w:r>
      <w:r w:rsidR="00F50C17" w:rsidRPr="00F76596">
        <w:t>S2.1(</w:t>
      </w:r>
      <w:r w:rsidRPr="00F76596">
        <w:t>1</w:t>
      </w:r>
      <w:r w:rsidR="00F50C17"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37"/>
        <w:gridCol w:w="2074"/>
        <w:gridCol w:w="5223"/>
      </w:tblGrid>
      <w:tr w:rsidR="006F38DF" w:rsidRPr="00F76596" w14:paraId="2C2859A6" w14:textId="77777777" w:rsidTr="00C54689">
        <w:trPr>
          <w:tblHeader/>
        </w:trPr>
        <w:tc>
          <w:tcPr>
            <w:tcW w:w="850" w:type="dxa"/>
            <w:shd w:val="clear" w:color="auto" w:fill="C2E3FA"/>
          </w:tcPr>
          <w:p w14:paraId="76696DDC" w14:textId="77777777" w:rsidR="006F38DF" w:rsidRPr="00F76596" w:rsidRDefault="00C54689" w:rsidP="00BE32EF">
            <w:pPr>
              <w:pStyle w:val="tablehead"/>
            </w:pPr>
            <w:r w:rsidRPr="00F76596">
              <w:t xml:space="preserve">1. </w:t>
            </w:r>
            <w:r w:rsidR="006F38DF" w:rsidRPr="00F76596">
              <w:t>Item</w:t>
            </w:r>
          </w:p>
        </w:tc>
        <w:tc>
          <w:tcPr>
            <w:tcW w:w="2105" w:type="dxa"/>
            <w:shd w:val="clear" w:color="auto" w:fill="C2E3FA"/>
          </w:tcPr>
          <w:p w14:paraId="45A88C7B" w14:textId="77777777" w:rsidR="006F38DF" w:rsidRPr="00F76596" w:rsidRDefault="00C54689" w:rsidP="00BE32EF">
            <w:pPr>
              <w:pStyle w:val="tablehead"/>
            </w:pPr>
            <w:r w:rsidRPr="00F76596">
              <w:t xml:space="preserve">2. </w:t>
            </w:r>
            <w:r w:rsidR="006F38DF" w:rsidRPr="00F76596">
              <w:t>Label</w:t>
            </w:r>
          </w:p>
        </w:tc>
        <w:tc>
          <w:tcPr>
            <w:tcW w:w="5373" w:type="dxa"/>
            <w:shd w:val="clear" w:color="auto" w:fill="C2E3FA"/>
          </w:tcPr>
          <w:p w14:paraId="6E221263" w14:textId="77777777" w:rsidR="006F38DF" w:rsidRPr="00F76596" w:rsidRDefault="00C54689" w:rsidP="00BE32EF">
            <w:pPr>
              <w:pStyle w:val="tablehead"/>
            </w:pPr>
            <w:r w:rsidRPr="00F76596">
              <w:t xml:space="preserve">3. </w:t>
            </w:r>
            <w:r w:rsidR="006F38DF" w:rsidRPr="00F76596">
              <w:t>Derivative Transaction Information</w:t>
            </w:r>
          </w:p>
        </w:tc>
      </w:tr>
      <w:tr w:rsidR="006F38DF" w:rsidRPr="00F76596" w14:paraId="4E32EDC6" w14:textId="77777777" w:rsidTr="00C54689">
        <w:tc>
          <w:tcPr>
            <w:tcW w:w="850" w:type="dxa"/>
          </w:tcPr>
          <w:p w14:paraId="23040E8C" w14:textId="77777777" w:rsidR="006F38DF" w:rsidRPr="00F76596" w:rsidRDefault="006F38DF" w:rsidP="00BE32EF">
            <w:pPr>
              <w:pStyle w:val="tbltext"/>
            </w:pPr>
            <w:r w:rsidRPr="00F76596">
              <w:t>1</w:t>
            </w:r>
          </w:p>
        </w:tc>
        <w:tc>
          <w:tcPr>
            <w:tcW w:w="2105" w:type="dxa"/>
          </w:tcPr>
          <w:p w14:paraId="6DAED125" w14:textId="77777777" w:rsidR="006F38DF" w:rsidRPr="00F76596" w:rsidRDefault="006F38DF" w:rsidP="00BE32EF">
            <w:pPr>
              <w:pStyle w:val="tbltext"/>
            </w:pPr>
            <w:r w:rsidRPr="00F76596">
              <w:t>Unique transaction identifier</w:t>
            </w:r>
          </w:p>
        </w:tc>
        <w:tc>
          <w:tcPr>
            <w:tcW w:w="5373" w:type="dxa"/>
          </w:tcPr>
          <w:p w14:paraId="669A72CC" w14:textId="77777777" w:rsidR="006F38DF" w:rsidRPr="00F76596" w:rsidRDefault="00F774E3" w:rsidP="009F4C68">
            <w:pPr>
              <w:pStyle w:val="tbltext"/>
            </w:pPr>
            <w:r w:rsidRPr="00F76596">
              <w:t>T</w:t>
            </w:r>
            <w:r w:rsidR="00BF428F" w:rsidRPr="00F76596">
              <w:t xml:space="preserve">he universal transaction identifier for the </w:t>
            </w:r>
            <w:r w:rsidR="00A05AD6" w:rsidRPr="00F76596">
              <w:t xml:space="preserve">Reportable </w:t>
            </w:r>
            <w:r w:rsidR="00BF428F" w:rsidRPr="00F76596">
              <w:t>Transaction or, if no universal transaction identifier is available, the single transaction identifier as used by the counterparties or the trade identifier used by the trading venue (</w:t>
            </w:r>
            <w:r w:rsidR="000D06ED" w:rsidRPr="00F76596">
              <w:t>if applicable</w:t>
            </w:r>
            <w:r w:rsidR="00BF428F" w:rsidRPr="00F76596">
              <w:t xml:space="preserve">) on which the </w:t>
            </w:r>
            <w:r w:rsidR="009F4C68" w:rsidRPr="00F76596">
              <w:t>Reportable</w:t>
            </w:r>
            <w:r w:rsidR="00360740" w:rsidRPr="00F76596">
              <w:t xml:space="preserve"> </w:t>
            </w:r>
            <w:r w:rsidR="00BF428F" w:rsidRPr="00F76596">
              <w:t>Transaction was executed, or if none of these are available, the internal trade identif</w:t>
            </w:r>
            <w:r w:rsidR="00912742" w:rsidRPr="00F76596">
              <w:t>i</w:t>
            </w:r>
            <w:r w:rsidR="00BF428F" w:rsidRPr="00F76596">
              <w:t xml:space="preserve">er used by the </w:t>
            </w:r>
            <w:r w:rsidR="0074687A" w:rsidRPr="00F76596">
              <w:t>Reporting Counterparty</w:t>
            </w:r>
            <w:r w:rsidR="00BF428F" w:rsidRPr="00F76596">
              <w:t>.</w:t>
            </w:r>
          </w:p>
        </w:tc>
      </w:tr>
      <w:tr w:rsidR="006F38DF" w:rsidRPr="00F76596" w14:paraId="2795466D" w14:textId="77777777" w:rsidTr="00C54689">
        <w:tc>
          <w:tcPr>
            <w:tcW w:w="850" w:type="dxa"/>
          </w:tcPr>
          <w:p w14:paraId="12D8B3D4" w14:textId="77777777" w:rsidR="006F38DF" w:rsidRPr="00F76596" w:rsidRDefault="006F38DF" w:rsidP="00BE32EF">
            <w:pPr>
              <w:pStyle w:val="tbltext"/>
            </w:pPr>
            <w:r w:rsidRPr="00F76596">
              <w:t>2</w:t>
            </w:r>
          </w:p>
        </w:tc>
        <w:tc>
          <w:tcPr>
            <w:tcW w:w="2105" w:type="dxa"/>
          </w:tcPr>
          <w:p w14:paraId="1E7778E6" w14:textId="77777777" w:rsidR="006F38DF" w:rsidRPr="00F76596" w:rsidRDefault="006F38DF" w:rsidP="00BE32EF">
            <w:pPr>
              <w:pStyle w:val="tbltext"/>
            </w:pPr>
            <w:r w:rsidRPr="00F76596">
              <w:t>Unique product identifier</w:t>
            </w:r>
          </w:p>
        </w:tc>
        <w:tc>
          <w:tcPr>
            <w:tcW w:w="5373" w:type="dxa"/>
          </w:tcPr>
          <w:p w14:paraId="6865E1D3" w14:textId="77777777" w:rsidR="006F38DF" w:rsidRPr="00F76596" w:rsidRDefault="00700360" w:rsidP="00387693">
            <w:pPr>
              <w:pStyle w:val="tbltext"/>
            </w:pPr>
            <w:r w:rsidRPr="00F76596">
              <w:t xml:space="preserve">The universal product identification code </w:t>
            </w:r>
            <w:r w:rsidR="005E5477" w:rsidRPr="00F76596">
              <w:t xml:space="preserve">for the Derivative </w:t>
            </w:r>
            <w:r w:rsidR="00387693" w:rsidRPr="00F76596">
              <w:t xml:space="preserve">to which </w:t>
            </w:r>
            <w:r w:rsidR="005E5477" w:rsidRPr="00F76596">
              <w:t>the Reportable Transaction</w:t>
            </w:r>
            <w:r w:rsidR="00387693" w:rsidRPr="00F76596">
              <w:t xml:space="preserve"> relates</w:t>
            </w:r>
            <w:r w:rsidR="005E5477" w:rsidRPr="00F76596">
              <w:t xml:space="preserve">, </w:t>
            </w:r>
            <w:r w:rsidRPr="00F76596">
              <w:t xml:space="preserve">based on the taxonomy of the </w:t>
            </w:r>
            <w:r w:rsidR="005E5477" w:rsidRPr="00F76596">
              <w:t>Derivative</w:t>
            </w:r>
            <w:r w:rsidRPr="00F76596">
              <w:t xml:space="preserve"> or, if no universal product </w:t>
            </w:r>
            <w:r w:rsidR="00FD6CBD" w:rsidRPr="00F76596">
              <w:t>identification code</w:t>
            </w:r>
            <w:r w:rsidRPr="00F76596">
              <w:t xml:space="preserve"> is available, a product identification code of the </w:t>
            </w:r>
            <w:r w:rsidR="005E5477" w:rsidRPr="00F76596">
              <w:t>Derivative</w:t>
            </w:r>
            <w:r w:rsidRPr="00F76596">
              <w:t xml:space="preserve"> using an internationally </w:t>
            </w:r>
            <w:r w:rsidR="005E5477" w:rsidRPr="00F76596">
              <w:t>accepted</w:t>
            </w:r>
            <w:r w:rsidRPr="00F76596">
              <w:t xml:space="preserve"> product taxonomy.</w:t>
            </w:r>
          </w:p>
        </w:tc>
      </w:tr>
      <w:tr w:rsidR="006F38DF" w:rsidRPr="00F76596" w14:paraId="1268CDF6" w14:textId="77777777" w:rsidTr="00C54689">
        <w:tc>
          <w:tcPr>
            <w:tcW w:w="850" w:type="dxa"/>
          </w:tcPr>
          <w:p w14:paraId="24BB9738" w14:textId="77777777" w:rsidR="006F38DF" w:rsidRPr="00F76596" w:rsidRDefault="006F38DF" w:rsidP="00BE32EF">
            <w:pPr>
              <w:pStyle w:val="tbltext"/>
            </w:pPr>
            <w:r w:rsidRPr="00F76596">
              <w:t>3</w:t>
            </w:r>
          </w:p>
        </w:tc>
        <w:tc>
          <w:tcPr>
            <w:tcW w:w="2105" w:type="dxa"/>
          </w:tcPr>
          <w:p w14:paraId="4BA50E18" w14:textId="77777777" w:rsidR="006F38DF" w:rsidRPr="00F76596" w:rsidRDefault="006F38DF" w:rsidP="00BE32EF">
            <w:pPr>
              <w:pStyle w:val="tbltext"/>
            </w:pPr>
            <w:r w:rsidRPr="00F76596">
              <w:t>Contract type</w:t>
            </w:r>
          </w:p>
        </w:tc>
        <w:tc>
          <w:tcPr>
            <w:tcW w:w="5373" w:type="dxa"/>
          </w:tcPr>
          <w:p w14:paraId="161A84E4" w14:textId="77777777" w:rsidR="006F38DF" w:rsidRPr="00F76596" w:rsidRDefault="0038342B" w:rsidP="009C4057">
            <w:pPr>
              <w:pStyle w:val="tbltext"/>
            </w:pPr>
            <w:r w:rsidRPr="00F76596">
              <w:t>The type</w:t>
            </w:r>
            <w:r w:rsidR="00387693" w:rsidRPr="00F76596">
              <w:t xml:space="preserve"> of Derivative to which the Reportable Transact</w:t>
            </w:r>
            <w:r w:rsidR="00650C05" w:rsidRPr="00F76596">
              <w:t>i</w:t>
            </w:r>
            <w:r w:rsidR="00387693" w:rsidRPr="00F76596">
              <w:t>on relates</w:t>
            </w:r>
            <w:r w:rsidRPr="00F76596">
              <w:t>, such as “swap”, “swaption”, “forward”, “option”, “basis swap”, “index swap” or “basket swap”</w:t>
            </w:r>
            <w:r w:rsidR="00DF4555" w:rsidRPr="00F76596">
              <w:t>,</w:t>
            </w:r>
            <w:r w:rsidRPr="00F76596">
              <w:t xml:space="preserve"> </w:t>
            </w:r>
            <w:r w:rsidR="00FD6CBD" w:rsidRPr="00F76596">
              <w:t xml:space="preserve">unless </w:t>
            </w:r>
            <w:r w:rsidRPr="00F76596">
              <w:t>this information is contained in the unique product identifier</w:t>
            </w:r>
            <w:r w:rsidR="003C1A1E" w:rsidRPr="00F76596">
              <w:t xml:space="preserve"> referred to in item 2</w:t>
            </w:r>
            <w:r w:rsidR="00FD6CBD" w:rsidRPr="00F76596">
              <w:t>, in which case th</w:t>
            </w:r>
            <w:r w:rsidR="003C1A1E" w:rsidRPr="00F76596">
              <w:t>is</w:t>
            </w:r>
            <w:r w:rsidR="00FD6CBD" w:rsidRPr="00F76596">
              <w:t xml:space="preserve"> field may be left blank or omitted</w:t>
            </w:r>
            <w:r w:rsidRPr="00F76596">
              <w:t>.</w:t>
            </w:r>
          </w:p>
        </w:tc>
      </w:tr>
      <w:tr w:rsidR="006F38DF" w:rsidRPr="00F76596" w14:paraId="14D496FB" w14:textId="77777777" w:rsidTr="00C54689">
        <w:tc>
          <w:tcPr>
            <w:tcW w:w="850" w:type="dxa"/>
          </w:tcPr>
          <w:p w14:paraId="59B21382" w14:textId="77777777" w:rsidR="006F38DF" w:rsidRPr="00F76596" w:rsidRDefault="006F38DF" w:rsidP="00BE32EF">
            <w:pPr>
              <w:pStyle w:val="tbltext"/>
            </w:pPr>
            <w:r w:rsidRPr="00F76596">
              <w:t>4</w:t>
            </w:r>
          </w:p>
        </w:tc>
        <w:tc>
          <w:tcPr>
            <w:tcW w:w="2105" w:type="dxa"/>
          </w:tcPr>
          <w:p w14:paraId="1FA34476" w14:textId="77777777" w:rsidR="006F38DF" w:rsidRPr="00F76596" w:rsidRDefault="006F38DF" w:rsidP="00BE32EF">
            <w:pPr>
              <w:pStyle w:val="tbltext"/>
            </w:pPr>
            <w:r w:rsidRPr="00F76596">
              <w:t>Underlying</w:t>
            </w:r>
          </w:p>
        </w:tc>
        <w:tc>
          <w:tcPr>
            <w:tcW w:w="5373" w:type="dxa"/>
          </w:tcPr>
          <w:p w14:paraId="55861B5D" w14:textId="77777777" w:rsidR="006F38DF" w:rsidRPr="00F76596" w:rsidRDefault="006F38DF" w:rsidP="00A06D42">
            <w:pPr>
              <w:pStyle w:val="tbltext"/>
            </w:pPr>
            <w:r w:rsidRPr="00F76596">
              <w:t xml:space="preserve">A unique identifier for the underlying to the </w:t>
            </w:r>
            <w:r w:rsidR="00F51D42" w:rsidRPr="00F76596">
              <w:t>Derivative</w:t>
            </w:r>
            <w:r w:rsidR="006A6B99" w:rsidRPr="00F76596">
              <w:t xml:space="preserve"> to which </w:t>
            </w:r>
            <w:r w:rsidR="006A6B99" w:rsidRPr="00F76596">
              <w:lastRenderedPageBreak/>
              <w:t>the Reportable Transaction relates</w:t>
            </w:r>
            <w:r w:rsidR="00F323B3" w:rsidRPr="00F76596">
              <w:t>,</w:t>
            </w:r>
            <w:r w:rsidRPr="00F76596">
              <w:t xml:space="preserve"> or, if no unique identifier is available</w:t>
            </w:r>
            <w:r w:rsidRPr="00F76596" w:rsidDel="001A2AEC">
              <w:t xml:space="preserve"> </w:t>
            </w:r>
            <w:r w:rsidRPr="00F76596">
              <w:t>in the case of baskets or indices, a</w:t>
            </w:r>
            <w:r w:rsidR="00A06D42" w:rsidRPr="00F76596">
              <w:t xml:space="preserve"> notation to</w:t>
            </w:r>
            <w:r w:rsidRPr="00F76596">
              <w:t xml:space="preserve"> indicat</w:t>
            </w:r>
            <w:r w:rsidR="00A06D42" w:rsidRPr="00F76596">
              <w:t>e</w:t>
            </w:r>
            <w:r w:rsidRPr="00F76596">
              <w:t xml:space="preserve"> </w:t>
            </w:r>
            <w:r w:rsidR="0066316B" w:rsidRPr="00F76596">
              <w:t>that</w:t>
            </w:r>
            <w:r w:rsidRPr="00F76596">
              <w:t xml:space="preserve"> the </w:t>
            </w:r>
            <w:r w:rsidR="0066316B" w:rsidRPr="00F76596">
              <w:t xml:space="preserve">underlying is a </w:t>
            </w:r>
            <w:r w:rsidRPr="00F76596">
              <w:t>basket or index.</w:t>
            </w:r>
          </w:p>
        </w:tc>
      </w:tr>
      <w:tr w:rsidR="006F38DF" w:rsidRPr="00F76596" w14:paraId="27EF6C79" w14:textId="77777777" w:rsidTr="00C54689">
        <w:tc>
          <w:tcPr>
            <w:tcW w:w="850" w:type="dxa"/>
          </w:tcPr>
          <w:p w14:paraId="3AB0C6A5" w14:textId="77777777" w:rsidR="006F38DF" w:rsidRPr="00F76596" w:rsidRDefault="006F38DF" w:rsidP="00BE32EF">
            <w:pPr>
              <w:pStyle w:val="tbltext"/>
            </w:pPr>
            <w:r w:rsidRPr="00F76596">
              <w:lastRenderedPageBreak/>
              <w:t>5</w:t>
            </w:r>
          </w:p>
        </w:tc>
        <w:tc>
          <w:tcPr>
            <w:tcW w:w="2105" w:type="dxa"/>
          </w:tcPr>
          <w:p w14:paraId="2AC168E8" w14:textId="77777777" w:rsidR="006F38DF" w:rsidRPr="00F76596" w:rsidRDefault="006F38DF" w:rsidP="00BE32EF">
            <w:pPr>
              <w:pStyle w:val="tbltext"/>
            </w:pPr>
            <w:r w:rsidRPr="00F76596">
              <w:t>Identifier of Reporting Counterparty</w:t>
            </w:r>
          </w:p>
        </w:tc>
        <w:tc>
          <w:tcPr>
            <w:tcW w:w="5373" w:type="dxa"/>
          </w:tcPr>
          <w:p w14:paraId="58E25243" w14:textId="77777777" w:rsidR="00B824EF" w:rsidRPr="00F76596" w:rsidRDefault="00DC3C15" w:rsidP="00B824EF">
            <w:pPr>
              <w:pStyle w:val="tbltext"/>
            </w:pPr>
            <w:r w:rsidRPr="00F76596">
              <w:t>An identifier of the Reporting Counterparty, using</w:t>
            </w:r>
            <w:r w:rsidR="00B824EF" w:rsidRPr="00F76596">
              <w:t>:</w:t>
            </w:r>
          </w:p>
          <w:p w14:paraId="7D7AC734" w14:textId="77777777" w:rsidR="00B824EF" w:rsidRPr="00F76596" w:rsidRDefault="00B824EF" w:rsidP="00E2536D">
            <w:pPr>
              <w:pStyle w:val="tbltext"/>
              <w:numPr>
                <w:ilvl w:val="0"/>
                <w:numId w:val="19"/>
              </w:numPr>
            </w:pPr>
            <w:r w:rsidRPr="00F76596">
              <w:t>in the case of an entity,</w:t>
            </w:r>
            <w:r w:rsidR="00DC3C15" w:rsidRPr="00F76596">
              <w:t xml:space="preserve"> a </w:t>
            </w:r>
            <w:r w:rsidR="00670408" w:rsidRPr="00F76596">
              <w:t>Legal Entity Identifier (LEI)</w:t>
            </w:r>
            <w:r w:rsidR="00DC3C15" w:rsidRPr="00F76596">
              <w:t xml:space="preserve"> or interim entity identifier or, if no</w:t>
            </w:r>
            <w:r w:rsidR="00F76CB9" w:rsidRPr="00F76596">
              <w:t xml:space="preserve"> LEI or interim entity identifier is</w:t>
            </w:r>
            <w:r w:rsidR="00DC3C15" w:rsidRPr="00F76596">
              <w:t xml:space="preserve"> available</w:t>
            </w:r>
            <w:r w:rsidR="00F27069" w:rsidRPr="00F76596">
              <w:t xml:space="preserve"> for the entity</w:t>
            </w:r>
            <w:r w:rsidR="00DC3C15" w:rsidRPr="00F76596">
              <w:t xml:space="preserve">, </w:t>
            </w:r>
            <w:r w:rsidR="00E2536D" w:rsidRPr="00E2536D">
              <w:t>a Designated Business Identifier or, if no Designated Business Identifier is available</w:t>
            </w:r>
            <w:r w:rsidR="00DC3C15" w:rsidRPr="00F76596">
              <w:t xml:space="preserve">, a </w:t>
            </w:r>
            <w:r w:rsidR="00852F35" w:rsidRPr="00F76596">
              <w:t>Business Identifier Code (</w:t>
            </w:r>
            <w:r w:rsidR="00DC3C15" w:rsidRPr="00F76596">
              <w:t>BIC code</w:t>
            </w:r>
            <w:r w:rsidR="00852F35" w:rsidRPr="00F76596">
              <w:t>)</w:t>
            </w:r>
            <w:r w:rsidRPr="00F76596">
              <w:t>;</w:t>
            </w:r>
            <w:r w:rsidR="00C75681" w:rsidRPr="00F76596">
              <w:t xml:space="preserve"> or</w:t>
            </w:r>
          </w:p>
          <w:p w14:paraId="6A390130" w14:textId="77777777" w:rsidR="006F38DF" w:rsidRPr="00F76596" w:rsidRDefault="00DC3C15" w:rsidP="00D85148">
            <w:pPr>
              <w:pStyle w:val="tbltext"/>
              <w:numPr>
                <w:ilvl w:val="0"/>
                <w:numId w:val="19"/>
              </w:numPr>
            </w:pPr>
            <w:r w:rsidRPr="00F76596">
              <w:t xml:space="preserve">in the case of </w:t>
            </w:r>
            <w:r w:rsidR="00B824EF" w:rsidRPr="00F76596">
              <w:t xml:space="preserve">an </w:t>
            </w:r>
            <w:r w:rsidRPr="00F76596">
              <w:t>individual, a client code</w:t>
            </w:r>
            <w:r w:rsidR="00131EE8" w:rsidRPr="00F76596">
              <w:t xml:space="preserve"> assigned by the Reporting </w:t>
            </w:r>
            <w:r w:rsidR="00D85148" w:rsidRPr="00F76596">
              <w:t>Counterparty</w:t>
            </w:r>
            <w:r w:rsidRPr="00F76596">
              <w:t>.</w:t>
            </w:r>
          </w:p>
        </w:tc>
      </w:tr>
      <w:tr w:rsidR="006F38DF" w:rsidRPr="00F76596" w14:paraId="554C1E53" w14:textId="77777777" w:rsidTr="00C54689">
        <w:tc>
          <w:tcPr>
            <w:tcW w:w="850" w:type="dxa"/>
          </w:tcPr>
          <w:p w14:paraId="27213639" w14:textId="77777777" w:rsidR="006F38DF" w:rsidRPr="00F76596" w:rsidRDefault="006F38DF" w:rsidP="00BE32EF">
            <w:pPr>
              <w:pStyle w:val="tbltext"/>
            </w:pPr>
            <w:r w:rsidRPr="00F76596">
              <w:t>6</w:t>
            </w:r>
          </w:p>
        </w:tc>
        <w:tc>
          <w:tcPr>
            <w:tcW w:w="2105" w:type="dxa"/>
          </w:tcPr>
          <w:p w14:paraId="402A017F" w14:textId="77777777" w:rsidR="006F38DF" w:rsidRPr="00F76596" w:rsidRDefault="006F38DF" w:rsidP="00BE32EF">
            <w:pPr>
              <w:pStyle w:val="tbltext"/>
            </w:pPr>
            <w:r w:rsidRPr="00F76596">
              <w:t>Name of Reporting Counterparty</w:t>
            </w:r>
          </w:p>
        </w:tc>
        <w:tc>
          <w:tcPr>
            <w:tcW w:w="5373" w:type="dxa"/>
          </w:tcPr>
          <w:p w14:paraId="26884858" w14:textId="77777777" w:rsidR="006F38DF" w:rsidRPr="00F76596" w:rsidRDefault="006F38DF" w:rsidP="00BE32EF">
            <w:pPr>
              <w:pStyle w:val="tbltext"/>
            </w:pPr>
            <w:r w:rsidRPr="00F76596">
              <w:t>The legal name of the Reporting Counterparty</w:t>
            </w:r>
            <w:r w:rsidR="00D157FA" w:rsidRPr="00F76596">
              <w:t xml:space="preserve"> identified under item </w:t>
            </w:r>
            <w:r w:rsidR="000E492E" w:rsidRPr="00F76596">
              <w:t>5</w:t>
            </w:r>
            <w:r w:rsidRPr="00F76596">
              <w:t>.</w:t>
            </w:r>
          </w:p>
        </w:tc>
      </w:tr>
      <w:tr w:rsidR="006F38DF" w:rsidRPr="00F76596" w14:paraId="3C36CD2C" w14:textId="77777777" w:rsidTr="00C54689">
        <w:tc>
          <w:tcPr>
            <w:tcW w:w="850" w:type="dxa"/>
          </w:tcPr>
          <w:p w14:paraId="6434457E" w14:textId="77777777" w:rsidR="006F38DF" w:rsidRPr="00F76596" w:rsidRDefault="006F38DF" w:rsidP="00BE32EF">
            <w:pPr>
              <w:pStyle w:val="tbltext"/>
            </w:pPr>
            <w:r w:rsidRPr="00F76596">
              <w:t>7</w:t>
            </w:r>
          </w:p>
        </w:tc>
        <w:tc>
          <w:tcPr>
            <w:tcW w:w="2105" w:type="dxa"/>
          </w:tcPr>
          <w:p w14:paraId="445AEFD4" w14:textId="77777777" w:rsidR="006F38DF" w:rsidRPr="00F76596" w:rsidRDefault="006F38DF" w:rsidP="0075008B">
            <w:pPr>
              <w:pStyle w:val="tbltext"/>
            </w:pPr>
            <w:r w:rsidRPr="00F76596">
              <w:t>Identifier of Non</w:t>
            </w:r>
            <w:r w:rsidR="007522DF" w:rsidRPr="00F76596">
              <w:noBreakHyphen/>
            </w:r>
            <w:r w:rsidR="0075008B" w:rsidRPr="00F76596">
              <w:t>R</w:t>
            </w:r>
            <w:r w:rsidRPr="00F76596">
              <w:t>eporting Counterparty</w:t>
            </w:r>
          </w:p>
        </w:tc>
        <w:tc>
          <w:tcPr>
            <w:tcW w:w="5373" w:type="dxa"/>
          </w:tcPr>
          <w:p w14:paraId="6FAF77EC" w14:textId="77777777" w:rsidR="00F27069" w:rsidRPr="00F76596" w:rsidRDefault="00B06D5A" w:rsidP="00F27069">
            <w:pPr>
              <w:pStyle w:val="tbltext"/>
            </w:pPr>
            <w:r w:rsidRPr="00F76596">
              <w:t xml:space="preserve">An </w:t>
            </w:r>
            <w:r w:rsidR="00477AB4" w:rsidRPr="00F76596">
              <w:t>i</w:t>
            </w:r>
            <w:r w:rsidRPr="00F76596">
              <w:t>dentifier of the Non-</w:t>
            </w:r>
            <w:r w:rsidR="0075008B" w:rsidRPr="00F76596">
              <w:t>R</w:t>
            </w:r>
            <w:r w:rsidRPr="00F76596">
              <w:t>eporting Counterparty, using</w:t>
            </w:r>
            <w:r w:rsidR="00F27069" w:rsidRPr="00F76596">
              <w:t>:</w:t>
            </w:r>
          </w:p>
          <w:p w14:paraId="399885C1" w14:textId="77777777" w:rsidR="00633220" w:rsidRPr="00F76596" w:rsidRDefault="00F27069" w:rsidP="00E2536D">
            <w:pPr>
              <w:pStyle w:val="tbltext"/>
              <w:numPr>
                <w:ilvl w:val="0"/>
                <w:numId w:val="20"/>
              </w:numPr>
            </w:pPr>
            <w:r w:rsidRPr="00F76596">
              <w:t>in the case of an entity</w:t>
            </w:r>
            <w:r w:rsidR="00A06D42" w:rsidRPr="00F76596">
              <w:t xml:space="preserve">, </w:t>
            </w:r>
            <w:r w:rsidR="00B06D5A" w:rsidRPr="00F76596">
              <w:t xml:space="preserve">a </w:t>
            </w:r>
            <w:r w:rsidR="00670408" w:rsidRPr="00F76596">
              <w:t>Legal Entity Identifier (LEI)</w:t>
            </w:r>
            <w:r w:rsidR="00B06D5A" w:rsidRPr="00F76596">
              <w:t xml:space="preserve"> or interim entity identifier or, if no </w:t>
            </w:r>
            <w:r w:rsidR="00633220" w:rsidRPr="00F76596">
              <w:t xml:space="preserve">LEI or interim entity identifier is </w:t>
            </w:r>
            <w:r w:rsidR="00B06D5A" w:rsidRPr="00F76596">
              <w:t>available</w:t>
            </w:r>
            <w:r w:rsidR="00633220" w:rsidRPr="00F76596">
              <w:t xml:space="preserve"> for the entity</w:t>
            </w:r>
            <w:r w:rsidR="00B06D5A" w:rsidRPr="00F76596">
              <w:t xml:space="preserve">, </w:t>
            </w:r>
            <w:r w:rsidR="00E2536D" w:rsidRPr="00E2536D">
              <w:t>a Designated Business Identifier or, if no Designated Business Identifier is available</w:t>
            </w:r>
            <w:r w:rsidR="00B06D5A" w:rsidRPr="00F76596">
              <w:t xml:space="preserve">, a </w:t>
            </w:r>
            <w:r w:rsidR="00477AB4" w:rsidRPr="00F76596">
              <w:t>Business Identifier Code (</w:t>
            </w:r>
            <w:r w:rsidR="00B06D5A" w:rsidRPr="00F76596">
              <w:t>BIC code</w:t>
            </w:r>
            <w:r w:rsidR="00477AB4" w:rsidRPr="00F76596">
              <w:t>)</w:t>
            </w:r>
            <w:r w:rsidR="00633220" w:rsidRPr="00F76596">
              <w:t>;</w:t>
            </w:r>
            <w:r w:rsidR="00B06D5A" w:rsidRPr="00F76596">
              <w:t xml:space="preserve"> or</w:t>
            </w:r>
          </w:p>
          <w:p w14:paraId="2B50220B" w14:textId="77777777" w:rsidR="006F38DF" w:rsidRPr="00F76596" w:rsidRDefault="00B06D5A" w:rsidP="00404CC4">
            <w:pPr>
              <w:pStyle w:val="tbltext"/>
              <w:numPr>
                <w:ilvl w:val="0"/>
                <w:numId w:val="20"/>
              </w:numPr>
            </w:pPr>
            <w:r w:rsidRPr="00F76596">
              <w:t xml:space="preserve">in the case of </w:t>
            </w:r>
            <w:r w:rsidR="00633220" w:rsidRPr="00F76596">
              <w:t xml:space="preserve">an </w:t>
            </w:r>
            <w:r w:rsidRPr="00F76596">
              <w:t>individual, a client code</w:t>
            </w:r>
            <w:r w:rsidR="00F27FA5" w:rsidRPr="00F76596">
              <w:t xml:space="preserve"> assigned by the Reporting </w:t>
            </w:r>
            <w:r w:rsidR="00404CC4" w:rsidRPr="00F76596">
              <w:t>Counterpart</w:t>
            </w:r>
            <w:r w:rsidR="00F27FA5" w:rsidRPr="00F76596">
              <w:t>y</w:t>
            </w:r>
            <w:r w:rsidRPr="00F76596">
              <w:t>.</w:t>
            </w:r>
          </w:p>
        </w:tc>
      </w:tr>
      <w:tr w:rsidR="006F38DF" w:rsidRPr="00F76596" w14:paraId="3053130D" w14:textId="77777777" w:rsidTr="00C54689">
        <w:tc>
          <w:tcPr>
            <w:tcW w:w="850" w:type="dxa"/>
          </w:tcPr>
          <w:p w14:paraId="1D69EE46" w14:textId="77777777" w:rsidR="006F38DF" w:rsidRPr="00F76596" w:rsidRDefault="006F38DF" w:rsidP="00BE32EF">
            <w:pPr>
              <w:pStyle w:val="tbltext"/>
            </w:pPr>
            <w:r w:rsidRPr="00F76596">
              <w:t>8</w:t>
            </w:r>
          </w:p>
        </w:tc>
        <w:tc>
          <w:tcPr>
            <w:tcW w:w="2105" w:type="dxa"/>
          </w:tcPr>
          <w:p w14:paraId="03E6AC61" w14:textId="77777777" w:rsidR="006F38DF" w:rsidRPr="00F76596" w:rsidRDefault="006F38DF" w:rsidP="0075008B">
            <w:pPr>
              <w:pStyle w:val="tbltext"/>
            </w:pPr>
            <w:r w:rsidRPr="00F76596">
              <w:t>Name of Non-</w:t>
            </w:r>
            <w:r w:rsidR="0075008B" w:rsidRPr="00F76596">
              <w:t>R</w:t>
            </w:r>
            <w:r w:rsidRPr="00F76596">
              <w:t>eporting Counterparty</w:t>
            </w:r>
          </w:p>
        </w:tc>
        <w:tc>
          <w:tcPr>
            <w:tcW w:w="5373" w:type="dxa"/>
          </w:tcPr>
          <w:p w14:paraId="436FBA83" w14:textId="77777777" w:rsidR="006F38DF" w:rsidRPr="00F76596" w:rsidRDefault="006F38DF" w:rsidP="0075008B">
            <w:pPr>
              <w:pStyle w:val="tbltext"/>
            </w:pPr>
            <w:r w:rsidRPr="00F76596">
              <w:t>The legal name of the Non-</w:t>
            </w:r>
            <w:r w:rsidR="0075008B" w:rsidRPr="00F76596">
              <w:t>R</w:t>
            </w:r>
            <w:r w:rsidRPr="00F76596">
              <w:t>eporting Counterparty</w:t>
            </w:r>
            <w:r w:rsidR="000E492E" w:rsidRPr="00F76596">
              <w:t xml:space="preserve"> identified under item 7</w:t>
            </w:r>
            <w:r w:rsidRPr="00F76596">
              <w:t>.</w:t>
            </w:r>
          </w:p>
        </w:tc>
      </w:tr>
      <w:tr w:rsidR="006F38DF" w:rsidRPr="00F76596" w14:paraId="10130393" w14:textId="77777777" w:rsidTr="00C54689">
        <w:tc>
          <w:tcPr>
            <w:tcW w:w="850" w:type="dxa"/>
          </w:tcPr>
          <w:p w14:paraId="7E0E9CEE" w14:textId="77777777" w:rsidR="006F38DF" w:rsidRPr="00F76596" w:rsidRDefault="006F38DF" w:rsidP="00BE32EF">
            <w:pPr>
              <w:pStyle w:val="tbltext"/>
            </w:pPr>
            <w:r w:rsidRPr="00F76596">
              <w:t>9</w:t>
            </w:r>
          </w:p>
        </w:tc>
        <w:tc>
          <w:tcPr>
            <w:tcW w:w="2105" w:type="dxa"/>
          </w:tcPr>
          <w:p w14:paraId="11A7540B" w14:textId="77777777" w:rsidR="006F38DF" w:rsidRPr="00F76596" w:rsidRDefault="006F38DF" w:rsidP="00BE32EF">
            <w:pPr>
              <w:pStyle w:val="tbltext"/>
            </w:pPr>
            <w:r w:rsidRPr="00F76596">
              <w:t xml:space="preserve">Trading capacity of </w:t>
            </w:r>
            <w:r w:rsidR="007959C1" w:rsidRPr="00F76596">
              <w:t>R</w:t>
            </w:r>
            <w:r w:rsidRPr="00F76596">
              <w:t xml:space="preserve">eporting </w:t>
            </w:r>
            <w:r w:rsidR="007959C1" w:rsidRPr="00F76596">
              <w:t>Counter</w:t>
            </w:r>
            <w:r w:rsidRPr="00F76596">
              <w:t xml:space="preserve">party </w:t>
            </w:r>
          </w:p>
        </w:tc>
        <w:tc>
          <w:tcPr>
            <w:tcW w:w="5373" w:type="dxa"/>
          </w:tcPr>
          <w:p w14:paraId="5B4FEDF4" w14:textId="77777777" w:rsidR="00407ABC" w:rsidRPr="00F76596" w:rsidRDefault="006F38DF" w:rsidP="00BE32EF">
            <w:pPr>
              <w:pStyle w:val="tbltext"/>
            </w:pPr>
            <w:r w:rsidRPr="00F76596">
              <w:t xml:space="preserve">A notation to indicate whether the Reporting Counterparty has concluded the </w:t>
            </w:r>
            <w:r w:rsidR="00F51D42" w:rsidRPr="00F76596">
              <w:t>Derivative</w:t>
            </w:r>
            <w:r w:rsidR="00AD44CE" w:rsidRPr="00F76596">
              <w:t xml:space="preserve"> to which the Reportable Transaction relates</w:t>
            </w:r>
            <w:r w:rsidR="00407ABC" w:rsidRPr="00F76596">
              <w:t>:</w:t>
            </w:r>
          </w:p>
          <w:p w14:paraId="2468A02E" w14:textId="77777777" w:rsidR="00407ABC" w:rsidRPr="00F76596" w:rsidRDefault="006F38DF" w:rsidP="00BD7FD8">
            <w:pPr>
              <w:pStyle w:val="tbltext"/>
              <w:numPr>
                <w:ilvl w:val="0"/>
                <w:numId w:val="21"/>
              </w:numPr>
            </w:pPr>
            <w:r w:rsidRPr="00F76596">
              <w:t>as principal on its own account (on its own behalf or on behalf of a client)</w:t>
            </w:r>
            <w:r w:rsidR="00407ABC" w:rsidRPr="00F76596">
              <w:t>;</w:t>
            </w:r>
            <w:r w:rsidRPr="00F76596">
              <w:t xml:space="preserve"> or </w:t>
            </w:r>
          </w:p>
          <w:p w14:paraId="5CD5C5D2" w14:textId="77777777" w:rsidR="006F38DF" w:rsidRPr="00F76596" w:rsidRDefault="006F38DF" w:rsidP="00BD7FD8">
            <w:pPr>
              <w:pStyle w:val="tbltext"/>
              <w:numPr>
                <w:ilvl w:val="0"/>
                <w:numId w:val="21"/>
              </w:numPr>
            </w:pPr>
            <w:r w:rsidRPr="00F76596">
              <w:t>as agent for the account of and on behalf of a client.</w:t>
            </w:r>
          </w:p>
        </w:tc>
      </w:tr>
      <w:tr w:rsidR="006F38DF" w:rsidRPr="00F76596" w14:paraId="242922A4" w14:textId="77777777" w:rsidTr="00C54689">
        <w:tc>
          <w:tcPr>
            <w:tcW w:w="850" w:type="dxa"/>
          </w:tcPr>
          <w:p w14:paraId="447CE2A9" w14:textId="77777777" w:rsidR="006F38DF" w:rsidRPr="00F76596" w:rsidRDefault="006F38DF" w:rsidP="00BE32EF">
            <w:pPr>
              <w:pStyle w:val="tbltext"/>
            </w:pPr>
            <w:r w:rsidRPr="00F76596">
              <w:t>10</w:t>
            </w:r>
          </w:p>
        </w:tc>
        <w:tc>
          <w:tcPr>
            <w:tcW w:w="2105" w:type="dxa"/>
          </w:tcPr>
          <w:p w14:paraId="06105972" w14:textId="77777777" w:rsidR="006F38DF" w:rsidRPr="00F76596" w:rsidRDefault="006F38DF" w:rsidP="00111E42">
            <w:pPr>
              <w:pStyle w:val="tbltext"/>
            </w:pPr>
            <w:r w:rsidRPr="00F76596">
              <w:t xml:space="preserve">Identifier of </w:t>
            </w:r>
            <w:r w:rsidR="00B40775" w:rsidRPr="00F76596">
              <w:t>b</w:t>
            </w:r>
            <w:r w:rsidRPr="00F76596">
              <w:t>eneficiary</w:t>
            </w:r>
          </w:p>
        </w:tc>
        <w:tc>
          <w:tcPr>
            <w:tcW w:w="5373" w:type="dxa"/>
          </w:tcPr>
          <w:p w14:paraId="3C441B0B" w14:textId="77777777" w:rsidR="00356047" w:rsidRPr="00F76596" w:rsidRDefault="003A091D" w:rsidP="00B40775">
            <w:pPr>
              <w:pStyle w:val="tbltext"/>
            </w:pPr>
            <w:r w:rsidRPr="00F76596">
              <w:t>If</w:t>
            </w:r>
            <w:r w:rsidR="00B40775" w:rsidRPr="00F76596">
              <w:t xml:space="preserve"> the beneficiary of the rights and obligations arising from the Derivative to which the Reportable Transaction relates is</w:t>
            </w:r>
            <w:r w:rsidR="0042530D" w:rsidRPr="00F76596">
              <w:t xml:space="preserve"> not the</w:t>
            </w:r>
            <w:r w:rsidR="00B40775" w:rsidRPr="00F76596">
              <w:t xml:space="preserve"> Reporting Counterparty</w:t>
            </w:r>
            <w:r w:rsidR="00356047" w:rsidRPr="00F76596">
              <w:t>:</w:t>
            </w:r>
          </w:p>
          <w:p w14:paraId="1BCE4A6B" w14:textId="77777777" w:rsidR="00836614" w:rsidRPr="00F76596" w:rsidRDefault="00356047" w:rsidP="00BD7FD8">
            <w:pPr>
              <w:pStyle w:val="tbltext"/>
              <w:numPr>
                <w:ilvl w:val="0"/>
                <w:numId w:val="25"/>
              </w:numPr>
            </w:pPr>
            <w:r w:rsidRPr="00F76596">
              <w:t>a</w:t>
            </w:r>
            <w:r w:rsidR="006F38DF" w:rsidRPr="00F76596">
              <w:t>n identifier</w:t>
            </w:r>
            <w:r w:rsidR="00A95230" w:rsidRPr="00F76596">
              <w:t xml:space="preserve"> of the </w:t>
            </w:r>
            <w:r w:rsidR="00AC31FF" w:rsidRPr="00F76596">
              <w:t>b</w:t>
            </w:r>
            <w:r w:rsidR="00A95230" w:rsidRPr="00F76596">
              <w:t>eneficiary</w:t>
            </w:r>
            <w:r w:rsidR="00212428" w:rsidRPr="00F76596">
              <w:t xml:space="preserve"> of the Reporting Counterparty</w:t>
            </w:r>
            <w:r w:rsidR="00836614" w:rsidRPr="00F76596">
              <w:t>, using:</w:t>
            </w:r>
          </w:p>
          <w:p w14:paraId="5409A10B" w14:textId="77777777" w:rsidR="009861BC" w:rsidRPr="00F76596" w:rsidRDefault="00836614" w:rsidP="00E2536D">
            <w:pPr>
              <w:pStyle w:val="tbltext"/>
              <w:numPr>
                <w:ilvl w:val="1"/>
                <w:numId w:val="25"/>
              </w:numPr>
            </w:pPr>
            <w:r w:rsidRPr="00F76596">
              <w:t>in th</w:t>
            </w:r>
            <w:r w:rsidR="00686CBB" w:rsidRPr="00F76596">
              <w:t>e case of</w:t>
            </w:r>
            <w:r w:rsidR="00893987" w:rsidRPr="00F76596">
              <w:t xml:space="preserve"> </w:t>
            </w:r>
            <w:r w:rsidRPr="00F76596">
              <w:t xml:space="preserve">an entity, </w:t>
            </w:r>
            <w:r w:rsidR="000F6C1A" w:rsidRPr="00F76596">
              <w:t xml:space="preserve">a Legal Entity Identifier (LEI) or interim entity identifier or, if no LEI or interim entity identifier is available for the entity, </w:t>
            </w:r>
            <w:r w:rsidR="00E2536D" w:rsidRPr="00E2536D">
              <w:t>a Designated Business Identifier or, if no Designated Business Identifier is available</w:t>
            </w:r>
            <w:r w:rsidR="000F6C1A" w:rsidRPr="00F76596">
              <w:t>, a Business Identifier Code (BIC code)</w:t>
            </w:r>
            <w:r w:rsidR="009861BC" w:rsidRPr="00F76596">
              <w:t>; or</w:t>
            </w:r>
          </w:p>
          <w:p w14:paraId="1074095A" w14:textId="77777777" w:rsidR="00483C02" w:rsidRPr="00F76596" w:rsidRDefault="00483C02" w:rsidP="00BD7FD8">
            <w:pPr>
              <w:pStyle w:val="tbltext"/>
              <w:numPr>
                <w:ilvl w:val="1"/>
                <w:numId w:val="25"/>
              </w:numPr>
            </w:pPr>
            <w:r w:rsidRPr="00F76596">
              <w:t>in the case of an individual, a client code as assigned by the</w:t>
            </w:r>
            <w:r w:rsidR="00AB338E" w:rsidRPr="00F76596">
              <w:t xml:space="preserve"> </w:t>
            </w:r>
            <w:r w:rsidR="004A2046" w:rsidRPr="00F76596">
              <w:t xml:space="preserve">Reporting </w:t>
            </w:r>
            <w:r w:rsidR="00212428" w:rsidRPr="00F76596">
              <w:t>Counterparty</w:t>
            </w:r>
            <w:r w:rsidRPr="00F76596">
              <w:t>; or</w:t>
            </w:r>
          </w:p>
          <w:p w14:paraId="4E9779D1" w14:textId="77777777" w:rsidR="006F38DF" w:rsidRPr="00F76596" w:rsidRDefault="009861BC" w:rsidP="00C904E1">
            <w:pPr>
              <w:pStyle w:val="tbltext"/>
              <w:numPr>
                <w:ilvl w:val="0"/>
                <w:numId w:val="25"/>
              </w:numPr>
            </w:pPr>
            <w:r w:rsidRPr="00F76596">
              <w:lastRenderedPageBreak/>
              <w:t>w</w:t>
            </w:r>
            <w:r w:rsidR="006F38DF" w:rsidRPr="00F76596">
              <w:t>here the</w:t>
            </w:r>
            <w:r w:rsidR="00D21255" w:rsidRPr="00F76596">
              <w:t xml:space="preserve"> Reportable </w:t>
            </w:r>
            <w:r w:rsidR="00A4497A" w:rsidRPr="00F76596">
              <w:t>Transaction</w:t>
            </w:r>
            <w:r w:rsidR="00D21255" w:rsidRPr="00F76596">
              <w:t xml:space="preserve"> </w:t>
            </w:r>
            <w:r w:rsidRPr="00F76596">
              <w:t>was</w:t>
            </w:r>
            <w:r w:rsidR="006F38DF" w:rsidRPr="00F76596">
              <w:t xml:space="preserve"> executed via a structure</w:t>
            </w:r>
            <w:r w:rsidR="00F90574" w:rsidRPr="00F76596">
              <w:t>,</w:t>
            </w:r>
            <w:r w:rsidR="009D48BD" w:rsidRPr="00F76596">
              <w:rPr>
                <w:rFonts w:ascii="Times New Roman" w:hAnsi="Times New Roman" w:cs="Times New Roman"/>
                <w:sz w:val="22"/>
                <w:szCs w:val="22"/>
              </w:rPr>
              <w:t xml:space="preserve"> </w:t>
            </w:r>
            <w:r w:rsidR="009D48BD" w:rsidRPr="00F76596">
              <w:t>such as a trust or managed investment scheme</w:t>
            </w:r>
            <w:r w:rsidR="00E276A5" w:rsidRPr="00F76596">
              <w:t>,</w:t>
            </w:r>
            <w:r w:rsidR="006F38DF" w:rsidRPr="00F76596">
              <w:t xml:space="preserve"> representing a number of </w:t>
            </w:r>
            <w:r w:rsidR="00B40775" w:rsidRPr="00F76596">
              <w:t>b</w:t>
            </w:r>
            <w:r w:rsidR="006F38DF" w:rsidRPr="00F76596">
              <w:t>eneficiaries</w:t>
            </w:r>
            <w:r w:rsidR="00233953" w:rsidRPr="00F76596">
              <w:t xml:space="preserve">, </w:t>
            </w:r>
            <w:r w:rsidRPr="00F76596">
              <w:t xml:space="preserve">an identifier of the </w:t>
            </w:r>
            <w:r w:rsidR="006F38DF" w:rsidRPr="00F76596">
              <w:t>structure (i.e. as the trust or</w:t>
            </w:r>
            <w:r w:rsidRPr="00F76596">
              <w:t xml:space="preserve"> managed investment scheme</w:t>
            </w:r>
            <w:r w:rsidR="006F38DF" w:rsidRPr="00F76596">
              <w:t xml:space="preserve">). </w:t>
            </w:r>
          </w:p>
        </w:tc>
      </w:tr>
      <w:tr w:rsidR="006F38DF" w:rsidRPr="00F76596" w14:paraId="324BF2F1" w14:textId="77777777" w:rsidTr="00C54689">
        <w:tc>
          <w:tcPr>
            <w:tcW w:w="850" w:type="dxa"/>
          </w:tcPr>
          <w:p w14:paraId="5922ADA4" w14:textId="77777777" w:rsidR="006F38DF" w:rsidRPr="00F76596" w:rsidRDefault="006F38DF" w:rsidP="00BE32EF">
            <w:pPr>
              <w:pStyle w:val="tbltext"/>
            </w:pPr>
            <w:r w:rsidRPr="00F76596">
              <w:lastRenderedPageBreak/>
              <w:t>11</w:t>
            </w:r>
          </w:p>
        </w:tc>
        <w:tc>
          <w:tcPr>
            <w:tcW w:w="2105" w:type="dxa"/>
          </w:tcPr>
          <w:p w14:paraId="226C5208" w14:textId="77777777" w:rsidR="006F38DF" w:rsidRPr="00F76596" w:rsidRDefault="006F38DF" w:rsidP="00111E42">
            <w:pPr>
              <w:pStyle w:val="tbltext"/>
            </w:pPr>
            <w:r w:rsidRPr="00F76596">
              <w:t>N</w:t>
            </w:r>
            <w:r w:rsidR="009B3CB5" w:rsidRPr="00F76596">
              <w:t>a</w:t>
            </w:r>
            <w:r w:rsidRPr="00F76596">
              <w:t>m</w:t>
            </w:r>
            <w:r w:rsidR="009B3CB5" w:rsidRPr="00F76596">
              <w:t>e</w:t>
            </w:r>
            <w:r w:rsidRPr="00F76596">
              <w:t xml:space="preserve"> of </w:t>
            </w:r>
            <w:r w:rsidR="00DD5D08" w:rsidRPr="00F76596">
              <w:t>b</w:t>
            </w:r>
            <w:r w:rsidRPr="00F76596">
              <w:t>eneficiary</w:t>
            </w:r>
            <w:r w:rsidR="00927925" w:rsidRPr="00F76596">
              <w:t xml:space="preserve"> or structure</w:t>
            </w:r>
          </w:p>
        </w:tc>
        <w:tc>
          <w:tcPr>
            <w:tcW w:w="5373" w:type="dxa"/>
          </w:tcPr>
          <w:p w14:paraId="3093D480" w14:textId="77777777" w:rsidR="006F38DF" w:rsidRPr="00F76596" w:rsidRDefault="006F38DF" w:rsidP="00C53341">
            <w:pPr>
              <w:pStyle w:val="tbltext"/>
            </w:pPr>
            <w:r w:rsidRPr="00F76596">
              <w:t xml:space="preserve">The legal name of the </w:t>
            </w:r>
            <w:r w:rsidR="005B29C0" w:rsidRPr="00F76596">
              <w:t>b</w:t>
            </w:r>
            <w:r w:rsidRPr="00F76596">
              <w:t>eneficiary</w:t>
            </w:r>
            <w:r w:rsidR="00DD5D08" w:rsidRPr="00F76596">
              <w:t xml:space="preserve"> or structure</w:t>
            </w:r>
            <w:r w:rsidR="00DF3DDA" w:rsidRPr="00F76596">
              <w:t xml:space="preserve"> (if any) </w:t>
            </w:r>
            <w:r w:rsidR="00EC7B1A" w:rsidRPr="00F76596">
              <w:t>identified under item 10</w:t>
            </w:r>
            <w:r w:rsidR="00BC425D" w:rsidRPr="00F76596">
              <w:t>.</w:t>
            </w:r>
          </w:p>
        </w:tc>
      </w:tr>
      <w:tr w:rsidR="006F38DF" w:rsidRPr="00F76596" w14:paraId="1FFF7862" w14:textId="77777777" w:rsidTr="00C54689">
        <w:tc>
          <w:tcPr>
            <w:tcW w:w="850" w:type="dxa"/>
          </w:tcPr>
          <w:p w14:paraId="26B3C31F" w14:textId="77777777" w:rsidR="006F38DF" w:rsidRPr="00F76596" w:rsidRDefault="006F38DF" w:rsidP="00BE32EF">
            <w:pPr>
              <w:pStyle w:val="tbltext"/>
            </w:pPr>
            <w:r w:rsidRPr="00F76596">
              <w:t>12</w:t>
            </w:r>
          </w:p>
        </w:tc>
        <w:tc>
          <w:tcPr>
            <w:tcW w:w="2105" w:type="dxa"/>
          </w:tcPr>
          <w:p w14:paraId="59513F3F" w14:textId="77777777" w:rsidR="006F38DF" w:rsidRPr="00F76596" w:rsidRDefault="006F38DF" w:rsidP="009C4057">
            <w:pPr>
              <w:pStyle w:val="tbltext"/>
            </w:pPr>
            <w:r w:rsidRPr="00F76596">
              <w:t xml:space="preserve">Identifier of </w:t>
            </w:r>
            <w:r w:rsidR="00782B25" w:rsidRPr="00F76596">
              <w:t xml:space="preserve">person </w:t>
            </w:r>
            <w:r w:rsidR="00C02632" w:rsidRPr="00F76596">
              <w:t>making report</w:t>
            </w:r>
          </w:p>
        </w:tc>
        <w:tc>
          <w:tcPr>
            <w:tcW w:w="5373" w:type="dxa"/>
          </w:tcPr>
          <w:p w14:paraId="1CF43C90" w14:textId="77777777" w:rsidR="00F12430" w:rsidRPr="00F76596" w:rsidRDefault="002F14E6" w:rsidP="00C02632">
            <w:pPr>
              <w:pStyle w:val="tbltext"/>
            </w:pPr>
            <w:r w:rsidRPr="00F76596">
              <w:t xml:space="preserve">If the </w:t>
            </w:r>
            <w:r w:rsidR="00282EC3" w:rsidRPr="00F76596">
              <w:t>person</w:t>
            </w:r>
            <w:r w:rsidR="00C02632" w:rsidRPr="00F76596">
              <w:t xml:space="preserve"> </w:t>
            </w:r>
            <w:r w:rsidR="006F38DF" w:rsidRPr="00F76596">
              <w:t xml:space="preserve">reporting the </w:t>
            </w:r>
            <w:r w:rsidR="00C02632" w:rsidRPr="00F76596">
              <w:t xml:space="preserve">Reportable </w:t>
            </w:r>
            <w:r w:rsidR="006F38DF" w:rsidRPr="00F76596">
              <w:t xml:space="preserve">Transaction to the </w:t>
            </w:r>
            <w:r w:rsidR="004B718A" w:rsidRPr="00F76596">
              <w:t xml:space="preserve">Derivative </w:t>
            </w:r>
            <w:r w:rsidR="006F38DF" w:rsidRPr="00F76596">
              <w:t xml:space="preserve">Trade Repository </w:t>
            </w:r>
            <w:r w:rsidRPr="00F76596">
              <w:t>is</w:t>
            </w:r>
            <w:r w:rsidR="006F38DF" w:rsidRPr="00F76596">
              <w:t xml:space="preserve"> not the Reporting Counterparty, </w:t>
            </w:r>
            <w:r w:rsidR="003F5B33" w:rsidRPr="00F76596">
              <w:t xml:space="preserve">an identifier </w:t>
            </w:r>
            <w:r w:rsidR="00E01F8D" w:rsidRPr="00F76596">
              <w:t>of the person</w:t>
            </w:r>
            <w:r w:rsidR="003F5B33" w:rsidRPr="00F76596">
              <w:t xml:space="preserve"> </w:t>
            </w:r>
            <w:r w:rsidR="006F38DF" w:rsidRPr="00F76596">
              <w:t>using</w:t>
            </w:r>
            <w:r w:rsidR="00F12430" w:rsidRPr="00F76596">
              <w:t>:</w:t>
            </w:r>
          </w:p>
          <w:p w14:paraId="60C430A2" w14:textId="77777777" w:rsidR="00F12430" w:rsidRPr="00F76596" w:rsidRDefault="00F12430" w:rsidP="00E2536D">
            <w:pPr>
              <w:pStyle w:val="tbltext"/>
              <w:numPr>
                <w:ilvl w:val="0"/>
                <w:numId w:val="22"/>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C02632" w:rsidRPr="00F76596">
              <w:t xml:space="preserve"> LEI or interim entity identifier is</w:t>
            </w:r>
            <w:r w:rsidR="006F38DF" w:rsidRPr="00F76596">
              <w:t xml:space="preserve"> available</w:t>
            </w:r>
            <w:r w:rsidR="00C02632" w:rsidRPr="00F76596">
              <w:t xml:space="preserve"> for the entity</w:t>
            </w:r>
            <w:r w:rsidR="006F38DF" w:rsidRPr="00F76596">
              <w:t xml:space="preserve">, </w:t>
            </w:r>
            <w:r w:rsidR="00E2536D" w:rsidRPr="00E2536D">
              <w:t>a Designated Business Identifier or, if no Designated Business Identifier is available</w:t>
            </w:r>
            <w:r w:rsidR="00E377D4" w:rsidRPr="00F76596">
              <w:t>, a Business Identifier Code (BIC code)</w:t>
            </w:r>
            <w:r w:rsidRPr="00F76596">
              <w:t xml:space="preserve">; </w:t>
            </w:r>
            <w:r w:rsidR="006F38DF" w:rsidRPr="00F76596">
              <w:t>or</w:t>
            </w:r>
          </w:p>
          <w:p w14:paraId="618AAC43" w14:textId="77777777" w:rsidR="006F38DF" w:rsidRPr="00F76596" w:rsidRDefault="006F38DF" w:rsidP="00BD7FD8">
            <w:pPr>
              <w:pStyle w:val="tbltext"/>
              <w:numPr>
                <w:ilvl w:val="0"/>
                <w:numId w:val="22"/>
              </w:numPr>
            </w:pPr>
            <w:r w:rsidRPr="00F76596">
              <w:t xml:space="preserve">in the case of </w:t>
            </w:r>
            <w:r w:rsidR="00F12430" w:rsidRPr="00F76596">
              <w:t xml:space="preserve">an </w:t>
            </w:r>
            <w:r w:rsidRPr="00F76596">
              <w:t>individual, a client code</w:t>
            </w:r>
            <w:r w:rsidR="00824201" w:rsidRPr="00F76596">
              <w:t xml:space="preserve"> assigned by the Reporting Counterparty</w:t>
            </w:r>
            <w:r w:rsidRPr="00F76596">
              <w:t>.</w:t>
            </w:r>
          </w:p>
        </w:tc>
      </w:tr>
      <w:tr w:rsidR="006F38DF" w:rsidRPr="00F76596" w14:paraId="49341270" w14:textId="77777777" w:rsidTr="00C54689">
        <w:tc>
          <w:tcPr>
            <w:tcW w:w="850" w:type="dxa"/>
          </w:tcPr>
          <w:p w14:paraId="26BA0C9D" w14:textId="77777777" w:rsidR="006F38DF" w:rsidRPr="00F76596" w:rsidRDefault="006F38DF" w:rsidP="00BE32EF">
            <w:pPr>
              <w:pStyle w:val="tbltext"/>
            </w:pPr>
            <w:r w:rsidRPr="00F76596">
              <w:t>13</w:t>
            </w:r>
          </w:p>
        </w:tc>
        <w:tc>
          <w:tcPr>
            <w:tcW w:w="2105" w:type="dxa"/>
          </w:tcPr>
          <w:p w14:paraId="4A82A1AD" w14:textId="77777777" w:rsidR="006F38DF" w:rsidRPr="00F76596" w:rsidRDefault="006F38DF" w:rsidP="008204B4">
            <w:pPr>
              <w:pStyle w:val="tbltext"/>
            </w:pPr>
            <w:r w:rsidRPr="00F76596">
              <w:t xml:space="preserve">Name of </w:t>
            </w:r>
            <w:r w:rsidR="008204B4" w:rsidRPr="00F76596">
              <w:t xml:space="preserve">person </w:t>
            </w:r>
            <w:r w:rsidR="00DC7656" w:rsidRPr="00F76596">
              <w:t>making report</w:t>
            </w:r>
          </w:p>
        </w:tc>
        <w:tc>
          <w:tcPr>
            <w:tcW w:w="5373" w:type="dxa"/>
          </w:tcPr>
          <w:p w14:paraId="10813DFF" w14:textId="77777777" w:rsidR="006F38DF" w:rsidRPr="00F76596" w:rsidRDefault="006F38DF" w:rsidP="008204B4">
            <w:pPr>
              <w:pStyle w:val="tbltext"/>
            </w:pPr>
            <w:r w:rsidRPr="00F76596">
              <w:t xml:space="preserve">The legal name of the </w:t>
            </w:r>
            <w:r w:rsidR="008204B4" w:rsidRPr="00F76596">
              <w:t xml:space="preserve">person </w:t>
            </w:r>
            <w:r w:rsidR="009A2C81" w:rsidRPr="00F76596">
              <w:t>identified under</w:t>
            </w:r>
            <w:r w:rsidR="005A6D7D" w:rsidRPr="00F76596">
              <w:t xml:space="preserve"> item 12</w:t>
            </w:r>
            <w:r w:rsidRPr="00F76596">
              <w:t>.</w:t>
            </w:r>
          </w:p>
        </w:tc>
      </w:tr>
      <w:tr w:rsidR="006F38DF" w:rsidRPr="00F76596" w14:paraId="4601020D" w14:textId="77777777" w:rsidTr="00C54689">
        <w:tc>
          <w:tcPr>
            <w:tcW w:w="850" w:type="dxa"/>
          </w:tcPr>
          <w:p w14:paraId="6DB4325E" w14:textId="77777777" w:rsidR="006F38DF" w:rsidRPr="00F76596" w:rsidRDefault="006F38DF" w:rsidP="00BE32EF">
            <w:pPr>
              <w:pStyle w:val="tbltext"/>
            </w:pPr>
            <w:r w:rsidRPr="00F76596">
              <w:t>14</w:t>
            </w:r>
          </w:p>
        </w:tc>
        <w:tc>
          <w:tcPr>
            <w:tcW w:w="2105" w:type="dxa"/>
          </w:tcPr>
          <w:p w14:paraId="34FD3EA1" w14:textId="77777777" w:rsidR="006F38DF" w:rsidRPr="00F76596" w:rsidRDefault="006F38DF" w:rsidP="0015416E">
            <w:pPr>
              <w:pStyle w:val="tbltext"/>
            </w:pPr>
            <w:r w:rsidRPr="00F76596">
              <w:t xml:space="preserve">Domicile of </w:t>
            </w:r>
            <w:r w:rsidR="0015416E" w:rsidRPr="00F76596">
              <w:t>R</w:t>
            </w:r>
            <w:r w:rsidRPr="00F76596">
              <w:t xml:space="preserve">eporting </w:t>
            </w:r>
            <w:r w:rsidR="0015416E" w:rsidRPr="00F76596">
              <w:t>Counterparty</w:t>
            </w:r>
          </w:p>
        </w:tc>
        <w:tc>
          <w:tcPr>
            <w:tcW w:w="5373" w:type="dxa"/>
          </w:tcPr>
          <w:p w14:paraId="72587157" w14:textId="77777777" w:rsidR="006F38DF" w:rsidRPr="00F76596" w:rsidRDefault="006F38DF" w:rsidP="00DE38E1">
            <w:pPr>
              <w:pStyle w:val="tbltext"/>
            </w:pPr>
            <w:r w:rsidRPr="00F76596">
              <w:t xml:space="preserve">The </w:t>
            </w:r>
            <w:r w:rsidR="00DE38E1" w:rsidRPr="00F76596">
              <w:t>jurisdiction</w:t>
            </w:r>
            <w:r w:rsidRPr="00F76596">
              <w:t xml:space="preserve"> of incorporation or formation of the Reporting Counterparty.</w:t>
            </w:r>
          </w:p>
        </w:tc>
      </w:tr>
      <w:tr w:rsidR="006F38DF" w:rsidRPr="00F76596" w14:paraId="155A0D7E" w14:textId="77777777" w:rsidTr="00C54689">
        <w:tc>
          <w:tcPr>
            <w:tcW w:w="850" w:type="dxa"/>
          </w:tcPr>
          <w:p w14:paraId="2FB898D8" w14:textId="77777777" w:rsidR="006F38DF" w:rsidRPr="00F76596" w:rsidRDefault="006F38DF" w:rsidP="00BE32EF">
            <w:pPr>
              <w:pStyle w:val="tbltext"/>
            </w:pPr>
            <w:r w:rsidRPr="00F76596">
              <w:t>15</w:t>
            </w:r>
          </w:p>
        </w:tc>
        <w:tc>
          <w:tcPr>
            <w:tcW w:w="2105" w:type="dxa"/>
          </w:tcPr>
          <w:p w14:paraId="57CC746D" w14:textId="77777777" w:rsidR="006F38DF" w:rsidRPr="00F76596" w:rsidRDefault="006F38DF" w:rsidP="00BE32EF">
            <w:pPr>
              <w:pStyle w:val="tbltext"/>
            </w:pPr>
            <w:r w:rsidRPr="00F76596">
              <w:t>Identifier of broker</w:t>
            </w:r>
          </w:p>
        </w:tc>
        <w:tc>
          <w:tcPr>
            <w:tcW w:w="5373" w:type="dxa"/>
          </w:tcPr>
          <w:p w14:paraId="599B7142" w14:textId="77777777" w:rsidR="006C7B1E" w:rsidRPr="00F76596" w:rsidRDefault="009A5924" w:rsidP="00E76563">
            <w:pPr>
              <w:pStyle w:val="tbltext"/>
            </w:pPr>
            <w:r w:rsidRPr="00F76596">
              <w:t xml:space="preserve">An identifier of the broker that executed the </w:t>
            </w:r>
            <w:r w:rsidR="00A42961" w:rsidRPr="00F76596">
              <w:t xml:space="preserve">Reportable </w:t>
            </w:r>
            <w:r w:rsidRPr="00F76596">
              <w:t>Transaction on behalf of the Reporting Counterparty (</w:t>
            </w:r>
            <w:r w:rsidR="005E01FF" w:rsidRPr="00F76596">
              <w:t>if applicable</w:t>
            </w:r>
            <w:r w:rsidRPr="00F76596">
              <w:t>), using</w:t>
            </w:r>
            <w:r w:rsidR="006C7B1E" w:rsidRPr="00F76596">
              <w:t>:</w:t>
            </w:r>
          </w:p>
          <w:p w14:paraId="3B54CDE3" w14:textId="77777777" w:rsidR="006C7B1E" w:rsidRPr="00F76596" w:rsidRDefault="006C7B1E" w:rsidP="00E2536D">
            <w:pPr>
              <w:pStyle w:val="tbltext"/>
              <w:numPr>
                <w:ilvl w:val="0"/>
                <w:numId w:val="23"/>
              </w:numPr>
            </w:pPr>
            <w:r w:rsidRPr="00F76596">
              <w:t xml:space="preserve">in the case of an entity, </w:t>
            </w:r>
            <w:r w:rsidR="009A5924" w:rsidRPr="00F76596">
              <w:t xml:space="preserve">a </w:t>
            </w:r>
            <w:r w:rsidR="00670408" w:rsidRPr="00F76596">
              <w:t>Legal Entity Identifier (LEI)</w:t>
            </w:r>
            <w:r w:rsidR="009A5924" w:rsidRPr="00F76596">
              <w:t xml:space="preserve"> or interim entity identifier or, if no</w:t>
            </w:r>
            <w:r w:rsidRPr="00F76596">
              <w:t xml:space="preserve"> LEI or interim entity identifier is</w:t>
            </w:r>
            <w:r w:rsidR="009A5924" w:rsidRPr="00F76596">
              <w:t xml:space="preserve"> available</w:t>
            </w:r>
            <w:r w:rsidR="003F6E4B" w:rsidRPr="00F76596">
              <w:t xml:space="preserve"> for the entity</w:t>
            </w:r>
            <w:r w:rsidR="009A5924" w:rsidRPr="00F76596">
              <w:t xml:space="preserve">, </w:t>
            </w:r>
            <w:r w:rsidR="00E2536D" w:rsidRPr="00E2536D">
              <w:t>a Designated Business Identifier or, if no Designated Business Identifier is available</w:t>
            </w:r>
            <w:r w:rsidR="009A5924" w:rsidRPr="00F76596">
              <w:t xml:space="preserve">, a </w:t>
            </w:r>
            <w:r w:rsidR="00040F59" w:rsidRPr="00F76596">
              <w:t>Business Identifier Code (</w:t>
            </w:r>
            <w:r w:rsidR="009A5924" w:rsidRPr="00F76596">
              <w:t>BIC code</w:t>
            </w:r>
            <w:r w:rsidR="00040F59" w:rsidRPr="00F76596">
              <w:t>)</w:t>
            </w:r>
            <w:r w:rsidRPr="00F76596">
              <w:t>;</w:t>
            </w:r>
            <w:r w:rsidR="009A5924" w:rsidRPr="00F76596">
              <w:t xml:space="preserve"> or</w:t>
            </w:r>
          </w:p>
          <w:p w14:paraId="3F6B604C" w14:textId="77777777" w:rsidR="006F38DF" w:rsidRPr="00F76596" w:rsidRDefault="009A5924" w:rsidP="00BD7FD8">
            <w:pPr>
              <w:pStyle w:val="tbltext"/>
              <w:numPr>
                <w:ilvl w:val="0"/>
                <w:numId w:val="23"/>
              </w:numPr>
            </w:pPr>
            <w:r w:rsidRPr="00F76596">
              <w:t>in the case of</w:t>
            </w:r>
            <w:r w:rsidR="006C7B1E" w:rsidRPr="00F76596">
              <w:t xml:space="preserve"> an</w:t>
            </w:r>
            <w:r w:rsidRPr="00F76596">
              <w:t xml:space="preserve"> individual, a client code</w:t>
            </w:r>
            <w:r w:rsidR="002D12DC" w:rsidRPr="00F76596">
              <w:t xml:space="preserve"> assigned by the Reporting Counterparty</w:t>
            </w:r>
            <w:r w:rsidRPr="00F76596">
              <w:t>.</w:t>
            </w:r>
          </w:p>
        </w:tc>
      </w:tr>
      <w:tr w:rsidR="006F38DF" w:rsidRPr="00F76596" w14:paraId="7CCC6CFC" w14:textId="77777777" w:rsidTr="00C54689">
        <w:tc>
          <w:tcPr>
            <w:tcW w:w="850" w:type="dxa"/>
          </w:tcPr>
          <w:p w14:paraId="3AC451FF" w14:textId="77777777" w:rsidR="006F38DF" w:rsidRPr="00F76596" w:rsidRDefault="006F38DF" w:rsidP="00BE32EF">
            <w:pPr>
              <w:pStyle w:val="tbltext"/>
            </w:pPr>
            <w:r w:rsidRPr="00F76596">
              <w:t>16</w:t>
            </w:r>
          </w:p>
        </w:tc>
        <w:tc>
          <w:tcPr>
            <w:tcW w:w="2105" w:type="dxa"/>
          </w:tcPr>
          <w:p w14:paraId="188A7875" w14:textId="77777777" w:rsidR="006F38DF" w:rsidRPr="00F76596" w:rsidRDefault="006F38DF" w:rsidP="00BE32EF">
            <w:pPr>
              <w:pStyle w:val="tbltext"/>
            </w:pPr>
            <w:r w:rsidRPr="00F76596">
              <w:t>Name of broker</w:t>
            </w:r>
          </w:p>
        </w:tc>
        <w:tc>
          <w:tcPr>
            <w:tcW w:w="5373" w:type="dxa"/>
          </w:tcPr>
          <w:p w14:paraId="133BEBA9" w14:textId="77777777" w:rsidR="006F38DF" w:rsidRPr="00F76596" w:rsidRDefault="006F38DF" w:rsidP="00BE32EF">
            <w:pPr>
              <w:pStyle w:val="tbltext"/>
            </w:pPr>
            <w:r w:rsidRPr="00F76596">
              <w:t>The legal name of the broker</w:t>
            </w:r>
            <w:r w:rsidR="00B96950" w:rsidRPr="00F76596">
              <w:t xml:space="preserve"> </w:t>
            </w:r>
            <w:r w:rsidR="000E08E8" w:rsidRPr="00F76596">
              <w:t xml:space="preserve">(if any) </w:t>
            </w:r>
            <w:r w:rsidR="00B96950" w:rsidRPr="00F76596">
              <w:t>identified under item 15</w:t>
            </w:r>
            <w:r w:rsidRPr="00F76596">
              <w:t>.</w:t>
            </w:r>
          </w:p>
        </w:tc>
      </w:tr>
      <w:tr w:rsidR="006F38DF" w:rsidRPr="00F76596" w14:paraId="378688B4" w14:textId="77777777" w:rsidTr="00C54689">
        <w:tc>
          <w:tcPr>
            <w:tcW w:w="850" w:type="dxa"/>
          </w:tcPr>
          <w:p w14:paraId="497E0166" w14:textId="77777777" w:rsidR="006F38DF" w:rsidRPr="00F76596" w:rsidRDefault="006F38DF" w:rsidP="00BE32EF">
            <w:pPr>
              <w:pStyle w:val="tbltext"/>
            </w:pPr>
            <w:r w:rsidRPr="00F76596">
              <w:t>17</w:t>
            </w:r>
          </w:p>
        </w:tc>
        <w:tc>
          <w:tcPr>
            <w:tcW w:w="2105" w:type="dxa"/>
          </w:tcPr>
          <w:p w14:paraId="020877A8" w14:textId="77777777" w:rsidR="006F38DF" w:rsidRPr="00F76596" w:rsidRDefault="006F38DF" w:rsidP="00E47A07">
            <w:pPr>
              <w:pStyle w:val="tbltext"/>
            </w:pPr>
            <w:r w:rsidRPr="00F76596">
              <w:t xml:space="preserve">Whether the </w:t>
            </w:r>
            <w:r w:rsidR="00E47A07" w:rsidRPr="00F76596">
              <w:t xml:space="preserve">Derivative </w:t>
            </w:r>
            <w:r w:rsidRPr="00F76596">
              <w:t>has been centrally cleared (to be amended if cleared after initial report made)</w:t>
            </w:r>
          </w:p>
        </w:tc>
        <w:tc>
          <w:tcPr>
            <w:tcW w:w="5373" w:type="dxa"/>
          </w:tcPr>
          <w:p w14:paraId="19E31417" w14:textId="77777777" w:rsidR="006F38DF" w:rsidRPr="00F76596" w:rsidRDefault="006F38DF" w:rsidP="00676CDE">
            <w:pPr>
              <w:pStyle w:val="tbltext"/>
            </w:pPr>
            <w:r w:rsidRPr="00F76596">
              <w:t xml:space="preserve">A </w:t>
            </w:r>
            <w:r w:rsidR="00676CDE" w:rsidRPr="00F76596">
              <w:t xml:space="preserve">notation to </w:t>
            </w:r>
            <w:r w:rsidRPr="00F76596">
              <w:t>indicat</w:t>
            </w:r>
            <w:r w:rsidR="00676CDE" w:rsidRPr="00F76596">
              <w:t>e</w:t>
            </w:r>
            <w:r w:rsidRPr="00F76596">
              <w:t xml:space="preserve"> whether the </w:t>
            </w:r>
            <w:r w:rsidR="00DA3D2E" w:rsidRPr="00F76596">
              <w:t xml:space="preserve">Derivative to which the </w:t>
            </w:r>
            <w:r w:rsidR="00821D21" w:rsidRPr="00F76596">
              <w:t xml:space="preserve">Reportable </w:t>
            </w:r>
            <w:r w:rsidRPr="00F76596">
              <w:t xml:space="preserve">Transaction </w:t>
            </w:r>
            <w:r w:rsidR="00DA3D2E" w:rsidRPr="00F76596">
              <w:t xml:space="preserve">relates </w:t>
            </w:r>
            <w:r w:rsidRPr="00F76596">
              <w:t>has been centrally cleared.</w:t>
            </w:r>
          </w:p>
        </w:tc>
      </w:tr>
      <w:tr w:rsidR="006F38DF" w:rsidRPr="00F76596" w14:paraId="462432DE" w14:textId="77777777" w:rsidTr="00C54689">
        <w:tc>
          <w:tcPr>
            <w:tcW w:w="850" w:type="dxa"/>
          </w:tcPr>
          <w:p w14:paraId="3F3743C6" w14:textId="77777777" w:rsidR="006F38DF" w:rsidRPr="00F76596" w:rsidRDefault="006F38DF" w:rsidP="00BE32EF">
            <w:pPr>
              <w:pStyle w:val="tbltext"/>
            </w:pPr>
            <w:r w:rsidRPr="00F76596">
              <w:t>18</w:t>
            </w:r>
          </w:p>
        </w:tc>
        <w:tc>
          <w:tcPr>
            <w:tcW w:w="2105" w:type="dxa"/>
          </w:tcPr>
          <w:p w14:paraId="462FC95D" w14:textId="77777777" w:rsidR="006F38DF" w:rsidRPr="00F76596" w:rsidRDefault="006F38DF" w:rsidP="00BE32EF">
            <w:pPr>
              <w:pStyle w:val="tbltext"/>
            </w:pPr>
            <w:r w:rsidRPr="00F76596">
              <w:t>Name of central clearing facility</w:t>
            </w:r>
          </w:p>
        </w:tc>
        <w:tc>
          <w:tcPr>
            <w:tcW w:w="5373" w:type="dxa"/>
          </w:tcPr>
          <w:p w14:paraId="324CC4BC" w14:textId="77777777" w:rsidR="006F38DF" w:rsidRPr="00F76596" w:rsidRDefault="006F38DF" w:rsidP="00BE32EF">
            <w:pPr>
              <w:pStyle w:val="tbltext"/>
            </w:pPr>
            <w:r w:rsidRPr="00F76596">
              <w:t xml:space="preserve">The name of the central clearing facility where the </w:t>
            </w:r>
            <w:r w:rsidR="00DA3D2E" w:rsidRPr="00F76596">
              <w:t xml:space="preserve">Derivative to which the </w:t>
            </w:r>
            <w:r w:rsidR="004876D4" w:rsidRPr="00F76596">
              <w:t xml:space="preserve">Reportable </w:t>
            </w:r>
            <w:r w:rsidR="00A4497A" w:rsidRPr="00F76596">
              <w:t>Transaction</w:t>
            </w:r>
            <w:r w:rsidRPr="00F76596">
              <w:t xml:space="preserve"> </w:t>
            </w:r>
            <w:r w:rsidR="00DA3D2E" w:rsidRPr="00F76596">
              <w:t xml:space="preserve">relates </w:t>
            </w:r>
            <w:r w:rsidRPr="00F76596">
              <w:t>was cleared (if applicable).</w:t>
            </w:r>
          </w:p>
        </w:tc>
      </w:tr>
      <w:tr w:rsidR="006F38DF" w:rsidRPr="00F76596" w14:paraId="5831C092" w14:textId="77777777" w:rsidTr="00C54689">
        <w:tc>
          <w:tcPr>
            <w:tcW w:w="850" w:type="dxa"/>
          </w:tcPr>
          <w:p w14:paraId="75C04EEE" w14:textId="77777777" w:rsidR="006F38DF" w:rsidRPr="00F76596" w:rsidRDefault="006F38DF" w:rsidP="00BE32EF">
            <w:pPr>
              <w:pStyle w:val="tbltext"/>
            </w:pPr>
            <w:r w:rsidRPr="00F76596">
              <w:t>19</w:t>
            </w:r>
          </w:p>
        </w:tc>
        <w:tc>
          <w:tcPr>
            <w:tcW w:w="2105" w:type="dxa"/>
          </w:tcPr>
          <w:p w14:paraId="6DA0E9F5" w14:textId="77777777" w:rsidR="006F38DF" w:rsidRPr="00F76596" w:rsidRDefault="006F38DF" w:rsidP="00BE32EF">
            <w:pPr>
              <w:pStyle w:val="tbltext"/>
            </w:pPr>
            <w:r w:rsidRPr="00F76596">
              <w:t>Identifier of clearing member</w:t>
            </w:r>
          </w:p>
        </w:tc>
        <w:tc>
          <w:tcPr>
            <w:tcW w:w="5373" w:type="dxa"/>
          </w:tcPr>
          <w:p w14:paraId="513C529D" w14:textId="77777777" w:rsidR="00BD42C1" w:rsidRPr="00F76596" w:rsidRDefault="00994AFE" w:rsidP="00F0774D">
            <w:pPr>
              <w:pStyle w:val="tbltext"/>
            </w:pPr>
            <w:r w:rsidRPr="00F76596">
              <w:t xml:space="preserve">An identifier of the clearing member that cleared the </w:t>
            </w:r>
            <w:r w:rsidR="00F0774D" w:rsidRPr="00F76596">
              <w:t xml:space="preserve">Derivative to which the Reportable </w:t>
            </w:r>
            <w:r w:rsidRPr="00F76596">
              <w:t>Transaction</w:t>
            </w:r>
            <w:r w:rsidR="00F0774D" w:rsidRPr="00F76596">
              <w:t xml:space="preserve"> relates</w:t>
            </w:r>
            <w:r w:rsidR="006626DA" w:rsidRPr="00F76596">
              <w:t xml:space="preserve"> (if applicable)</w:t>
            </w:r>
            <w:r w:rsidRPr="00F76596">
              <w:t xml:space="preserve">, </w:t>
            </w:r>
            <w:r w:rsidRPr="00F76596">
              <w:lastRenderedPageBreak/>
              <w:t>using</w:t>
            </w:r>
            <w:r w:rsidR="00BD42C1" w:rsidRPr="00F76596">
              <w:t>:</w:t>
            </w:r>
          </w:p>
          <w:p w14:paraId="123A3F8F" w14:textId="77777777" w:rsidR="000F2EAA" w:rsidRPr="00F76596" w:rsidRDefault="003F6E4B" w:rsidP="00E2536D">
            <w:pPr>
              <w:pStyle w:val="tbltext"/>
              <w:numPr>
                <w:ilvl w:val="0"/>
                <w:numId w:val="24"/>
              </w:numPr>
            </w:pPr>
            <w:r w:rsidRPr="00F76596">
              <w:t>in the case of an entity,</w:t>
            </w:r>
            <w:r w:rsidR="00994AFE" w:rsidRPr="00F76596">
              <w:t xml:space="preserve"> a </w:t>
            </w:r>
            <w:r w:rsidR="00670408" w:rsidRPr="00F76596">
              <w:t>Legal Entity Identifier (LEI)</w:t>
            </w:r>
            <w:r w:rsidR="00994AFE" w:rsidRPr="00F76596">
              <w:t xml:space="preserve"> or interim entity identifier or, if no</w:t>
            </w:r>
            <w:r w:rsidR="00F0774D" w:rsidRPr="00F76596">
              <w:t xml:space="preserve"> LEI or interim entity identifier is</w:t>
            </w:r>
            <w:r w:rsidR="00994AFE" w:rsidRPr="00F76596">
              <w:t xml:space="preserve"> available</w:t>
            </w:r>
            <w:r w:rsidR="008476F2" w:rsidRPr="00F76596">
              <w:t xml:space="preserve"> for the entity</w:t>
            </w:r>
            <w:r w:rsidR="00994AFE" w:rsidRPr="00F76596">
              <w:t xml:space="preserve">, </w:t>
            </w:r>
            <w:r w:rsidR="00E2536D" w:rsidRPr="00E2536D">
              <w:t>a Designated Business Identifier or, if no Designated Business Identifier is available</w:t>
            </w:r>
            <w:r w:rsidR="00994AFE" w:rsidRPr="00F76596">
              <w:t>, a</w:t>
            </w:r>
            <w:r w:rsidR="00CF2702" w:rsidRPr="00F76596">
              <w:t xml:space="preserve"> Business Identifier Code</w:t>
            </w:r>
            <w:r w:rsidR="00994AFE" w:rsidRPr="00F76596">
              <w:t xml:space="preserve"> </w:t>
            </w:r>
            <w:r w:rsidR="00CF2702" w:rsidRPr="00F76596">
              <w:t>(</w:t>
            </w:r>
            <w:r w:rsidR="00994AFE" w:rsidRPr="00F76596">
              <w:t>BIC code</w:t>
            </w:r>
            <w:r w:rsidR="00CF2702" w:rsidRPr="00F76596">
              <w:t>)</w:t>
            </w:r>
            <w:r w:rsidR="000F2EAA" w:rsidRPr="00F76596">
              <w:t>;</w:t>
            </w:r>
            <w:r w:rsidR="00994AFE" w:rsidRPr="00F76596">
              <w:t xml:space="preserve"> or </w:t>
            </w:r>
          </w:p>
          <w:p w14:paraId="5FA5015A" w14:textId="77777777" w:rsidR="006F38DF" w:rsidRPr="00F76596" w:rsidRDefault="00994AFE" w:rsidP="00687062">
            <w:pPr>
              <w:pStyle w:val="tbltext"/>
              <w:numPr>
                <w:ilvl w:val="0"/>
                <w:numId w:val="24"/>
              </w:numPr>
            </w:pPr>
            <w:r w:rsidRPr="00F76596">
              <w:t xml:space="preserve">in the case of </w:t>
            </w:r>
            <w:r w:rsidR="000F2EAA" w:rsidRPr="00F76596">
              <w:t xml:space="preserve">an </w:t>
            </w:r>
            <w:r w:rsidRPr="00F76596">
              <w:t>individual, a client code</w:t>
            </w:r>
            <w:r w:rsidR="003865A1" w:rsidRPr="00F76596">
              <w:t xml:space="preserve"> assigned by the Reporting Counterparty</w:t>
            </w:r>
            <w:r w:rsidRPr="00F76596">
              <w:t xml:space="preserve">. </w:t>
            </w:r>
          </w:p>
        </w:tc>
      </w:tr>
      <w:tr w:rsidR="006F38DF" w:rsidRPr="00F76596" w14:paraId="2F1662C1" w14:textId="77777777" w:rsidTr="00C54689">
        <w:tc>
          <w:tcPr>
            <w:tcW w:w="850" w:type="dxa"/>
          </w:tcPr>
          <w:p w14:paraId="07B589F1" w14:textId="77777777" w:rsidR="006F38DF" w:rsidRPr="00F76596" w:rsidRDefault="006F38DF" w:rsidP="00BE32EF">
            <w:pPr>
              <w:pStyle w:val="tbltext"/>
            </w:pPr>
            <w:r w:rsidRPr="00F76596">
              <w:lastRenderedPageBreak/>
              <w:t>20</w:t>
            </w:r>
          </w:p>
        </w:tc>
        <w:tc>
          <w:tcPr>
            <w:tcW w:w="2105" w:type="dxa"/>
          </w:tcPr>
          <w:p w14:paraId="5A79A16A" w14:textId="77777777" w:rsidR="006F38DF" w:rsidRPr="00F76596" w:rsidRDefault="006F38DF" w:rsidP="00BE32EF">
            <w:pPr>
              <w:pStyle w:val="tbltext"/>
            </w:pPr>
            <w:r w:rsidRPr="00F76596">
              <w:t>Name of clearing member</w:t>
            </w:r>
          </w:p>
        </w:tc>
        <w:tc>
          <w:tcPr>
            <w:tcW w:w="5373" w:type="dxa"/>
          </w:tcPr>
          <w:p w14:paraId="07324890" w14:textId="77777777" w:rsidR="006F38DF" w:rsidRPr="00F76596" w:rsidRDefault="006F38DF" w:rsidP="00BE32EF">
            <w:pPr>
              <w:pStyle w:val="tbltext"/>
            </w:pPr>
            <w:r w:rsidRPr="00F76596">
              <w:t>The legal name of the clearing member</w:t>
            </w:r>
            <w:r w:rsidR="00EF232A" w:rsidRPr="00F76596">
              <w:t xml:space="preserve"> (if any)</w:t>
            </w:r>
            <w:r w:rsidR="0003352D" w:rsidRPr="00F76596">
              <w:t xml:space="preserve"> identified under item 19</w:t>
            </w:r>
            <w:r w:rsidRPr="00F76596">
              <w:t>.</w:t>
            </w:r>
          </w:p>
        </w:tc>
      </w:tr>
      <w:tr w:rsidR="006F38DF" w:rsidRPr="00F76596" w14:paraId="658D7668" w14:textId="77777777" w:rsidTr="00C54689">
        <w:tc>
          <w:tcPr>
            <w:tcW w:w="850" w:type="dxa"/>
          </w:tcPr>
          <w:p w14:paraId="08D74090" w14:textId="77777777" w:rsidR="006F38DF" w:rsidRPr="00F76596" w:rsidRDefault="006F38DF" w:rsidP="00BE32EF">
            <w:pPr>
              <w:pStyle w:val="tbltext"/>
            </w:pPr>
            <w:r w:rsidRPr="00F76596">
              <w:t>21</w:t>
            </w:r>
          </w:p>
        </w:tc>
        <w:tc>
          <w:tcPr>
            <w:tcW w:w="2105" w:type="dxa"/>
          </w:tcPr>
          <w:p w14:paraId="44D47B80" w14:textId="77777777" w:rsidR="006F38DF" w:rsidRPr="00F76596" w:rsidRDefault="006F38DF" w:rsidP="00BE32EF">
            <w:pPr>
              <w:pStyle w:val="tbltext"/>
            </w:pPr>
            <w:r w:rsidRPr="00F76596">
              <w:t xml:space="preserve">Whether the </w:t>
            </w:r>
            <w:r w:rsidR="00F51D42" w:rsidRPr="00F76596">
              <w:t>Derivative</w:t>
            </w:r>
            <w:r w:rsidRPr="00F76596">
              <w:t xml:space="preserve"> has been confirmed</w:t>
            </w:r>
          </w:p>
        </w:tc>
        <w:tc>
          <w:tcPr>
            <w:tcW w:w="5373" w:type="dxa"/>
          </w:tcPr>
          <w:p w14:paraId="2692B744" w14:textId="77777777" w:rsidR="006F38DF" w:rsidRPr="00F76596" w:rsidRDefault="007E2443" w:rsidP="009A62A6">
            <w:pPr>
              <w:pStyle w:val="tbltext"/>
            </w:pPr>
            <w:r w:rsidRPr="00F76596">
              <w:t>A notation to indicate whether the terms of the Derivative to which the Reportable Transaction relates have been confirmed by both counterparties to the Derivative.</w:t>
            </w:r>
          </w:p>
        </w:tc>
      </w:tr>
      <w:tr w:rsidR="006F38DF" w:rsidRPr="00F76596" w14:paraId="3D923183" w14:textId="77777777" w:rsidTr="00C54689">
        <w:tc>
          <w:tcPr>
            <w:tcW w:w="850" w:type="dxa"/>
          </w:tcPr>
          <w:p w14:paraId="7F04514A" w14:textId="77777777" w:rsidR="006F38DF" w:rsidRPr="00F76596" w:rsidRDefault="006F38DF" w:rsidP="00BE32EF">
            <w:pPr>
              <w:pStyle w:val="tbltext"/>
            </w:pPr>
            <w:r w:rsidRPr="00F76596">
              <w:t>22</w:t>
            </w:r>
          </w:p>
        </w:tc>
        <w:tc>
          <w:tcPr>
            <w:tcW w:w="2105" w:type="dxa"/>
          </w:tcPr>
          <w:p w14:paraId="63AF7818" w14:textId="77777777" w:rsidR="006F38DF" w:rsidRPr="00F76596" w:rsidRDefault="006F38DF" w:rsidP="00BE32EF">
            <w:pPr>
              <w:pStyle w:val="tbltext"/>
            </w:pPr>
            <w:r w:rsidRPr="00F76596">
              <w:t>Form of confirmation</w:t>
            </w:r>
          </w:p>
        </w:tc>
        <w:tc>
          <w:tcPr>
            <w:tcW w:w="5373" w:type="dxa"/>
          </w:tcPr>
          <w:p w14:paraId="5D9F266E" w14:textId="77777777" w:rsidR="006F38DF" w:rsidRPr="00F76596" w:rsidRDefault="001B1059" w:rsidP="0011717A">
            <w:pPr>
              <w:pStyle w:val="tbltext"/>
            </w:pPr>
            <w:r w:rsidRPr="00F76596">
              <w:t xml:space="preserve">If the </w:t>
            </w:r>
            <w:r w:rsidR="00577C65" w:rsidRPr="00F76596">
              <w:t xml:space="preserve">terms of the Derivative to which the </w:t>
            </w:r>
            <w:r w:rsidR="0011717A" w:rsidRPr="00F76596">
              <w:t>Reportable Transaction relates have been confirmed by</w:t>
            </w:r>
            <w:r w:rsidR="0043657D" w:rsidRPr="00F76596">
              <w:t xml:space="preserve"> both counterparties to the Derivative, a</w:t>
            </w:r>
            <w:r w:rsidR="006F38DF" w:rsidRPr="00F76596">
              <w:t xml:space="preserve"> notation to indicate whether the</w:t>
            </w:r>
            <w:r w:rsidR="00A62929" w:rsidRPr="00F76596">
              <w:t xml:space="preserve"> confirmation was electronic or non-electronic</w:t>
            </w:r>
            <w:r w:rsidR="006F38DF" w:rsidRPr="00F76596">
              <w:t>.</w:t>
            </w:r>
          </w:p>
        </w:tc>
      </w:tr>
      <w:tr w:rsidR="006F38DF" w:rsidRPr="00F76596" w14:paraId="0624F897" w14:textId="77777777" w:rsidTr="00C54689">
        <w:tc>
          <w:tcPr>
            <w:tcW w:w="850" w:type="dxa"/>
          </w:tcPr>
          <w:p w14:paraId="2C82497B" w14:textId="77777777" w:rsidR="006F38DF" w:rsidRPr="00F76596" w:rsidRDefault="006F38DF" w:rsidP="00BE32EF">
            <w:pPr>
              <w:pStyle w:val="tbltext"/>
            </w:pPr>
            <w:r w:rsidRPr="00F76596">
              <w:t>23</w:t>
            </w:r>
          </w:p>
        </w:tc>
        <w:tc>
          <w:tcPr>
            <w:tcW w:w="2105" w:type="dxa"/>
          </w:tcPr>
          <w:p w14:paraId="1D49B3D3" w14:textId="77777777" w:rsidR="006F38DF" w:rsidRPr="00F76596" w:rsidRDefault="006F38DF" w:rsidP="00BE32EF">
            <w:pPr>
              <w:pStyle w:val="tbltext"/>
            </w:pPr>
            <w:r w:rsidRPr="00F76596">
              <w:t>Confirmation timestamp</w:t>
            </w:r>
          </w:p>
        </w:tc>
        <w:tc>
          <w:tcPr>
            <w:tcW w:w="5373" w:type="dxa"/>
          </w:tcPr>
          <w:p w14:paraId="2F846BB6" w14:textId="77777777" w:rsidR="006F38DF" w:rsidRPr="00F76596" w:rsidRDefault="006F38DF" w:rsidP="009C4057">
            <w:pPr>
              <w:pStyle w:val="tbltext"/>
            </w:pPr>
            <w:r w:rsidRPr="00F76596">
              <w:t xml:space="preserve">The time and date </w:t>
            </w:r>
            <w:r w:rsidR="00B368D6" w:rsidRPr="00F76596">
              <w:t>(expressed as AEDT/AE</w:t>
            </w:r>
            <w:r w:rsidR="00DF1ADF" w:rsidRPr="00F76596">
              <w:t>S</w:t>
            </w:r>
            <w:r w:rsidR="00B368D6" w:rsidRPr="00F76596">
              <w:t>T as applicable</w:t>
            </w:r>
            <w:r w:rsidR="006C08D2" w:rsidRPr="00F76596">
              <w:t xml:space="preserve"> – see Rule 1.2.1</w:t>
            </w:r>
            <w:r w:rsidR="00B368D6" w:rsidRPr="00F76596">
              <w:t xml:space="preserve">) </w:t>
            </w:r>
            <w:r w:rsidRPr="00F76596">
              <w:t xml:space="preserve">the </w:t>
            </w:r>
            <w:r w:rsidR="001F6D23" w:rsidRPr="00F76596">
              <w:t xml:space="preserve">terms of the </w:t>
            </w:r>
            <w:r w:rsidR="00F51D42" w:rsidRPr="00F76596">
              <w:t>Derivative</w:t>
            </w:r>
            <w:r w:rsidR="00592F97" w:rsidRPr="00F76596">
              <w:t xml:space="preserve"> </w:t>
            </w:r>
            <w:r w:rsidR="00546EAB" w:rsidRPr="00F76596">
              <w:t>to which the Rep</w:t>
            </w:r>
            <w:r w:rsidR="008D312C" w:rsidRPr="00F76596">
              <w:t>ortable Transaction r</w:t>
            </w:r>
            <w:r w:rsidR="00546EAB" w:rsidRPr="00F76596">
              <w:t xml:space="preserve">elates </w:t>
            </w:r>
            <w:r w:rsidRPr="00F76596">
              <w:t>w</w:t>
            </w:r>
            <w:r w:rsidR="006643F6" w:rsidRPr="00F76596">
              <w:t>ere</w:t>
            </w:r>
            <w:r w:rsidRPr="00F76596">
              <w:t xml:space="preserve"> confirmed by both counterparties</w:t>
            </w:r>
            <w:r w:rsidR="00546EAB" w:rsidRPr="00F76596">
              <w:t xml:space="preserve"> (if applicable)</w:t>
            </w:r>
            <w:r w:rsidRPr="00F76596">
              <w:t>.</w:t>
            </w:r>
          </w:p>
        </w:tc>
      </w:tr>
      <w:tr w:rsidR="006F38DF" w:rsidRPr="00F76596" w14:paraId="27FC310B" w14:textId="77777777" w:rsidTr="00C54689">
        <w:tc>
          <w:tcPr>
            <w:tcW w:w="850" w:type="dxa"/>
          </w:tcPr>
          <w:p w14:paraId="536179AB" w14:textId="77777777" w:rsidR="006F38DF" w:rsidRPr="00F76596" w:rsidRDefault="006F38DF" w:rsidP="00BE32EF">
            <w:pPr>
              <w:pStyle w:val="tbltext"/>
            </w:pPr>
            <w:r w:rsidRPr="00F76596">
              <w:t>24</w:t>
            </w:r>
          </w:p>
        </w:tc>
        <w:tc>
          <w:tcPr>
            <w:tcW w:w="2105" w:type="dxa"/>
          </w:tcPr>
          <w:p w14:paraId="5D857387" w14:textId="77777777" w:rsidR="006F38DF" w:rsidRPr="00F76596" w:rsidRDefault="006F38DF" w:rsidP="00BE32EF">
            <w:pPr>
              <w:pStyle w:val="tbltext"/>
            </w:pPr>
            <w:r w:rsidRPr="00F76596">
              <w:t xml:space="preserve">Execution venue </w:t>
            </w:r>
          </w:p>
        </w:tc>
        <w:tc>
          <w:tcPr>
            <w:tcW w:w="5373" w:type="dxa"/>
          </w:tcPr>
          <w:p w14:paraId="63ADFD26" w14:textId="77777777" w:rsidR="00894551" w:rsidRPr="00F76596" w:rsidRDefault="007421E2" w:rsidP="00193DB1">
            <w:pPr>
              <w:pStyle w:val="tbltext"/>
            </w:pPr>
            <w:r w:rsidRPr="00F76596">
              <w:t xml:space="preserve">If the </w:t>
            </w:r>
            <w:r w:rsidR="00894551" w:rsidRPr="00F76596">
              <w:t>Reportable Transaction:</w:t>
            </w:r>
          </w:p>
          <w:p w14:paraId="24D5855B" w14:textId="77777777" w:rsidR="00894551" w:rsidRPr="00F76596" w:rsidRDefault="007421E2" w:rsidP="00BD7FD8">
            <w:pPr>
              <w:pStyle w:val="tbltext"/>
              <w:numPr>
                <w:ilvl w:val="0"/>
                <w:numId w:val="26"/>
              </w:numPr>
            </w:pPr>
            <w:r w:rsidRPr="00F76596">
              <w:t>was executed on a trading venue, an identifier code of the trading venue or, if no identifier code is available</w:t>
            </w:r>
            <w:r w:rsidR="00193DB1" w:rsidRPr="00F76596">
              <w:t xml:space="preserve"> for the trading venue</w:t>
            </w:r>
            <w:r w:rsidRPr="00F76596">
              <w:t>, the name of the trading venue</w:t>
            </w:r>
            <w:r w:rsidR="00894551" w:rsidRPr="00F76596">
              <w:t>; or</w:t>
            </w:r>
          </w:p>
          <w:p w14:paraId="2E69B2C6" w14:textId="77777777" w:rsidR="006F38DF" w:rsidRPr="00F76596" w:rsidRDefault="00A81F73" w:rsidP="00B04248">
            <w:pPr>
              <w:pStyle w:val="tbltext"/>
              <w:numPr>
                <w:ilvl w:val="0"/>
                <w:numId w:val="26"/>
              </w:numPr>
            </w:pPr>
            <w:r w:rsidRPr="00F76596">
              <w:t xml:space="preserve">was </w:t>
            </w:r>
            <w:r w:rsidR="00876D90" w:rsidRPr="00F76596">
              <w:t xml:space="preserve">not </w:t>
            </w:r>
            <w:r w:rsidRPr="00F76596">
              <w:t xml:space="preserve">executed on a trading venue, </w:t>
            </w:r>
            <w:r w:rsidR="007421E2" w:rsidRPr="00F76596">
              <w:t xml:space="preserve">a </w:t>
            </w:r>
            <w:r w:rsidR="00A417A0" w:rsidRPr="00F76596">
              <w:t xml:space="preserve">notation to </w:t>
            </w:r>
            <w:r w:rsidR="007421E2" w:rsidRPr="00F76596">
              <w:t>indicat</w:t>
            </w:r>
            <w:r w:rsidR="00A417A0" w:rsidRPr="00F76596">
              <w:t>e</w:t>
            </w:r>
            <w:r w:rsidR="007421E2" w:rsidRPr="00F76596">
              <w:t xml:space="preserve"> that there was no </w:t>
            </w:r>
            <w:r w:rsidR="00540344" w:rsidRPr="00F76596">
              <w:t>trading</w:t>
            </w:r>
            <w:r w:rsidR="007421E2" w:rsidRPr="00F76596">
              <w:t xml:space="preserve"> venue.</w:t>
            </w:r>
          </w:p>
        </w:tc>
      </w:tr>
      <w:tr w:rsidR="006F38DF" w:rsidRPr="00F76596" w14:paraId="003DDECF" w14:textId="77777777" w:rsidTr="00C54689">
        <w:tc>
          <w:tcPr>
            <w:tcW w:w="850" w:type="dxa"/>
          </w:tcPr>
          <w:p w14:paraId="10F2480B" w14:textId="77777777" w:rsidR="006F38DF" w:rsidRPr="00F76596" w:rsidRDefault="00360B24" w:rsidP="00360B24">
            <w:pPr>
              <w:pStyle w:val="tbltext"/>
            </w:pPr>
            <w:r w:rsidRPr="00F76596">
              <w:t>25</w:t>
            </w:r>
          </w:p>
        </w:tc>
        <w:tc>
          <w:tcPr>
            <w:tcW w:w="2105" w:type="dxa"/>
          </w:tcPr>
          <w:p w14:paraId="39C287B1" w14:textId="77777777" w:rsidR="006F38DF" w:rsidRPr="00F76596" w:rsidRDefault="006F38DF" w:rsidP="00BE32EF">
            <w:pPr>
              <w:pStyle w:val="tbltext"/>
            </w:pPr>
            <w:r w:rsidRPr="00F76596">
              <w:t>Master agreement type</w:t>
            </w:r>
          </w:p>
        </w:tc>
        <w:tc>
          <w:tcPr>
            <w:tcW w:w="5373" w:type="dxa"/>
          </w:tcPr>
          <w:p w14:paraId="76DC65E4" w14:textId="77777777" w:rsidR="006F38DF" w:rsidRPr="00F76596" w:rsidRDefault="006F38DF" w:rsidP="00630D08">
            <w:pPr>
              <w:pStyle w:val="tbltext"/>
            </w:pPr>
            <w:r w:rsidRPr="00F76596">
              <w:t xml:space="preserve">The type of master agreement that was executed in relation to the </w:t>
            </w:r>
            <w:r w:rsidR="00F51D42" w:rsidRPr="00F76596">
              <w:t>Derivative</w:t>
            </w:r>
            <w:r w:rsidR="00630D08" w:rsidRPr="00F76596">
              <w:t xml:space="preserve"> to which the Reportable Transaction relates</w:t>
            </w:r>
            <w:r w:rsidRPr="00F76596">
              <w:t xml:space="preserve"> (e.g. ISDA Master Agreement, Master Power Purchase and Sale Agreement, International </w:t>
            </w:r>
            <w:proofErr w:type="spellStart"/>
            <w:r w:rsidRPr="00F76596">
              <w:t>ForEx</w:t>
            </w:r>
            <w:proofErr w:type="spellEnd"/>
            <w:r w:rsidRPr="00F76596">
              <w:t xml:space="preserve"> Master Agreement, European Master Agreement or any local Master Agreements).</w:t>
            </w:r>
          </w:p>
        </w:tc>
      </w:tr>
      <w:tr w:rsidR="006F38DF" w:rsidRPr="00F76596" w14:paraId="72C33120" w14:textId="77777777" w:rsidTr="00C54689">
        <w:tc>
          <w:tcPr>
            <w:tcW w:w="850" w:type="dxa"/>
          </w:tcPr>
          <w:p w14:paraId="60994BCB" w14:textId="77777777" w:rsidR="006F38DF" w:rsidRPr="00F76596" w:rsidRDefault="00360B24" w:rsidP="00360B24">
            <w:pPr>
              <w:pStyle w:val="tbltext"/>
            </w:pPr>
            <w:r w:rsidRPr="00F76596">
              <w:t>26</w:t>
            </w:r>
          </w:p>
        </w:tc>
        <w:tc>
          <w:tcPr>
            <w:tcW w:w="2105" w:type="dxa"/>
          </w:tcPr>
          <w:p w14:paraId="73FD851C" w14:textId="77777777" w:rsidR="006F38DF" w:rsidRPr="00F76596" w:rsidRDefault="006F38DF" w:rsidP="00BE32EF">
            <w:pPr>
              <w:pStyle w:val="tbltext"/>
            </w:pPr>
            <w:r w:rsidRPr="00F76596">
              <w:t>Master agreement date</w:t>
            </w:r>
          </w:p>
        </w:tc>
        <w:tc>
          <w:tcPr>
            <w:tcW w:w="5373" w:type="dxa"/>
          </w:tcPr>
          <w:p w14:paraId="5FE86DA5" w14:textId="77777777" w:rsidR="006F38DF" w:rsidRPr="00F76596" w:rsidRDefault="006F38DF" w:rsidP="004B7C2F">
            <w:pPr>
              <w:pStyle w:val="tbltext"/>
            </w:pPr>
            <w:r w:rsidRPr="00F76596">
              <w:t xml:space="preserve">The year of the version of the master agreement </w:t>
            </w:r>
            <w:r w:rsidR="004B7C2F" w:rsidRPr="00F76596">
              <w:t>identified under</w:t>
            </w:r>
            <w:r w:rsidR="001F482E" w:rsidRPr="00F76596">
              <w:t xml:space="preserve"> item 25</w:t>
            </w:r>
            <w:r w:rsidRPr="00F76596">
              <w:t>.</w:t>
            </w:r>
          </w:p>
        </w:tc>
      </w:tr>
      <w:tr w:rsidR="006F38DF" w:rsidRPr="00F76596" w14:paraId="16212162" w14:textId="77777777" w:rsidTr="00C54689">
        <w:tc>
          <w:tcPr>
            <w:tcW w:w="850" w:type="dxa"/>
          </w:tcPr>
          <w:p w14:paraId="45407ED4" w14:textId="77777777" w:rsidR="006F38DF" w:rsidRPr="00F76596" w:rsidRDefault="00360B24" w:rsidP="00360B24">
            <w:pPr>
              <w:pStyle w:val="tbltext"/>
            </w:pPr>
            <w:r w:rsidRPr="00F76596">
              <w:t>27</w:t>
            </w:r>
          </w:p>
        </w:tc>
        <w:tc>
          <w:tcPr>
            <w:tcW w:w="2105" w:type="dxa"/>
          </w:tcPr>
          <w:p w14:paraId="564E5B90" w14:textId="77777777" w:rsidR="006F38DF" w:rsidRPr="00F76596" w:rsidRDefault="00F51D42" w:rsidP="00BE32EF">
            <w:pPr>
              <w:pStyle w:val="tbltext"/>
            </w:pPr>
            <w:r w:rsidRPr="00F76596">
              <w:t>Derivative</w:t>
            </w:r>
            <w:r w:rsidR="006F38DF" w:rsidRPr="00F76596">
              <w:t>-effective date or start date</w:t>
            </w:r>
          </w:p>
        </w:tc>
        <w:tc>
          <w:tcPr>
            <w:tcW w:w="5373" w:type="dxa"/>
          </w:tcPr>
          <w:p w14:paraId="171B8745" w14:textId="77777777" w:rsidR="006F38DF" w:rsidRPr="00F76596" w:rsidRDefault="006F38DF" w:rsidP="00BE32EF">
            <w:pPr>
              <w:pStyle w:val="tbltext"/>
            </w:pPr>
            <w:r w:rsidRPr="00F76596">
              <w:t xml:space="preserve">The date when the obligations under the </w:t>
            </w:r>
            <w:r w:rsidR="00F51D42" w:rsidRPr="00F76596">
              <w:t>Derivative</w:t>
            </w:r>
            <w:r w:rsidR="009E7E95" w:rsidRPr="00F76596">
              <w:t xml:space="preserve"> to which the Reportable Transaction relates,</w:t>
            </w:r>
            <w:r w:rsidRPr="00F76596">
              <w:t xml:space="preserve"> come into effect.</w:t>
            </w:r>
          </w:p>
        </w:tc>
      </w:tr>
      <w:tr w:rsidR="006F38DF" w:rsidRPr="00F76596" w14:paraId="1726BEA2" w14:textId="77777777" w:rsidTr="00C54689">
        <w:tc>
          <w:tcPr>
            <w:tcW w:w="850" w:type="dxa"/>
          </w:tcPr>
          <w:p w14:paraId="100A72BD" w14:textId="77777777" w:rsidR="006F38DF" w:rsidRPr="00F76596" w:rsidRDefault="00360B24" w:rsidP="00360B24">
            <w:pPr>
              <w:pStyle w:val="tbltext"/>
            </w:pPr>
            <w:r w:rsidRPr="00F76596">
              <w:t>28</w:t>
            </w:r>
          </w:p>
        </w:tc>
        <w:tc>
          <w:tcPr>
            <w:tcW w:w="2105" w:type="dxa"/>
          </w:tcPr>
          <w:p w14:paraId="7BE070BB" w14:textId="77777777" w:rsidR="006F38DF" w:rsidRPr="00F76596" w:rsidRDefault="006F38DF" w:rsidP="00BE32EF">
            <w:pPr>
              <w:pStyle w:val="tbltext"/>
            </w:pPr>
            <w:r w:rsidRPr="00F76596">
              <w:t>Maturity, termination or end date</w:t>
            </w:r>
          </w:p>
        </w:tc>
        <w:tc>
          <w:tcPr>
            <w:tcW w:w="5373" w:type="dxa"/>
          </w:tcPr>
          <w:p w14:paraId="6C51BF5A" w14:textId="77777777" w:rsidR="006F38DF" w:rsidRPr="00F76596" w:rsidRDefault="006F38DF" w:rsidP="00AD20FE">
            <w:pPr>
              <w:pStyle w:val="tbltext"/>
            </w:pPr>
            <w:r w:rsidRPr="00F76596">
              <w:t xml:space="preserve">The date of expiry of the </w:t>
            </w:r>
            <w:r w:rsidR="00F51D42" w:rsidRPr="00F76596">
              <w:t>Derivative</w:t>
            </w:r>
            <w:r w:rsidR="00AD20FE" w:rsidRPr="00F76596">
              <w:t xml:space="preserve"> to which the Reportable Transaction relates</w:t>
            </w:r>
            <w:r w:rsidRPr="00F76596">
              <w:t>.</w:t>
            </w:r>
          </w:p>
        </w:tc>
      </w:tr>
      <w:tr w:rsidR="006F38DF" w:rsidRPr="00F76596" w14:paraId="2F3D6BEB" w14:textId="77777777" w:rsidTr="00C54689">
        <w:tc>
          <w:tcPr>
            <w:tcW w:w="850" w:type="dxa"/>
          </w:tcPr>
          <w:p w14:paraId="446C05B9" w14:textId="77777777" w:rsidR="006F38DF" w:rsidRPr="00F76596" w:rsidRDefault="00360B24" w:rsidP="00360B24">
            <w:pPr>
              <w:pStyle w:val="tbltext"/>
            </w:pPr>
            <w:r w:rsidRPr="00F76596">
              <w:t>29</w:t>
            </w:r>
          </w:p>
        </w:tc>
        <w:tc>
          <w:tcPr>
            <w:tcW w:w="2105" w:type="dxa"/>
          </w:tcPr>
          <w:p w14:paraId="7F245EDF" w14:textId="77777777" w:rsidR="006F38DF" w:rsidRPr="00F76596" w:rsidRDefault="006F38DF" w:rsidP="00BE32EF">
            <w:pPr>
              <w:pStyle w:val="tbltext"/>
            </w:pPr>
            <w:r w:rsidRPr="00F76596">
              <w:t>Delivery type</w:t>
            </w:r>
          </w:p>
        </w:tc>
        <w:tc>
          <w:tcPr>
            <w:tcW w:w="5373" w:type="dxa"/>
          </w:tcPr>
          <w:p w14:paraId="31589AF5" w14:textId="77777777" w:rsidR="006F38DF" w:rsidRPr="00F76596" w:rsidRDefault="006F38DF" w:rsidP="00C75B17">
            <w:pPr>
              <w:pStyle w:val="tbltext"/>
            </w:pPr>
            <w:r w:rsidRPr="00F76596">
              <w:t xml:space="preserve">A notation to indicate whether the </w:t>
            </w:r>
            <w:r w:rsidR="00F51D42" w:rsidRPr="00F76596">
              <w:t>Derivative</w:t>
            </w:r>
            <w:r w:rsidR="00917369" w:rsidRPr="00F76596">
              <w:t xml:space="preserve"> to which the Reportable Transaction relates</w:t>
            </w:r>
            <w:r w:rsidRPr="00F76596">
              <w:t xml:space="preserve"> is physical (deliverable) or cash (non-deliverable)</w:t>
            </w:r>
            <w:r w:rsidR="00151310" w:rsidRPr="00F76596">
              <w:t xml:space="preserve"> o</w:t>
            </w:r>
            <w:r w:rsidR="00C75B17" w:rsidRPr="00F76596">
              <w:t>r</w:t>
            </w:r>
            <w:r w:rsidR="00151310" w:rsidRPr="00F76596">
              <w:t xml:space="preserve"> a combination of both physical and </w:t>
            </w:r>
            <w:r w:rsidR="00151310" w:rsidRPr="00F76596">
              <w:lastRenderedPageBreak/>
              <w:t>cash</w:t>
            </w:r>
            <w:r w:rsidRPr="00F76596">
              <w:t>.</w:t>
            </w:r>
          </w:p>
        </w:tc>
      </w:tr>
      <w:tr w:rsidR="006F38DF" w:rsidRPr="00F76596" w14:paraId="0BEF9A22" w14:textId="77777777" w:rsidTr="00C54689">
        <w:tc>
          <w:tcPr>
            <w:tcW w:w="850" w:type="dxa"/>
          </w:tcPr>
          <w:p w14:paraId="6261D1B6" w14:textId="77777777" w:rsidR="006F38DF" w:rsidRPr="00F76596" w:rsidRDefault="00360B24" w:rsidP="00360B24">
            <w:pPr>
              <w:pStyle w:val="tbltext"/>
            </w:pPr>
            <w:r w:rsidRPr="00F76596">
              <w:lastRenderedPageBreak/>
              <w:t>30</w:t>
            </w:r>
          </w:p>
        </w:tc>
        <w:tc>
          <w:tcPr>
            <w:tcW w:w="2105" w:type="dxa"/>
          </w:tcPr>
          <w:p w14:paraId="5DB72DEC" w14:textId="77777777" w:rsidR="006F38DF" w:rsidRPr="00F76596" w:rsidRDefault="006F38DF" w:rsidP="00BE32EF">
            <w:pPr>
              <w:pStyle w:val="tbltext"/>
            </w:pPr>
            <w:r w:rsidRPr="00F76596">
              <w:t>Mark-to-market/mark-to-model</w:t>
            </w:r>
            <w:r w:rsidR="005C1E47" w:rsidRPr="00F76596">
              <w:t xml:space="preserve">/other </w:t>
            </w:r>
            <w:r w:rsidRPr="00F76596">
              <w:t xml:space="preserve">value of </w:t>
            </w:r>
            <w:r w:rsidR="00F51D42" w:rsidRPr="00F76596">
              <w:t>Derivative</w:t>
            </w:r>
          </w:p>
        </w:tc>
        <w:tc>
          <w:tcPr>
            <w:tcW w:w="5373" w:type="dxa"/>
          </w:tcPr>
          <w:p w14:paraId="5769ABC5" w14:textId="77777777" w:rsidR="006F38DF" w:rsidRPr="00F76596" w:rsidRDefault="006F38DF" w:rsidP="00115F7A">
            <w:pPr>
              <w:pStyle w:val="tbltext"/>
            </w:pPr>
            <w:r w:rsidRPr="00F76596">
              <w:t>The</w:t>
            </w:r>
            <w:r w:rsidR="005C737E" w:rsidRPr="00F76596">
              <w:t xml:space="preserve"> valuation of the Derivative to which the Reportable Transaction relates, as calculated using the method identified </w:t>
            </w:r>
            <w:r w:rsidR="00115F7A" w:rsidRPr="00F76596">
              <w:t>under</w:t>
            </w:r>
            <w:r w:rsidR="005C737E" w:rsidRPr="00F76596">
              <w:t xml:space="preserve"> item 32</w:t>
            </w:r>
            <w:r w:rsidRPr="00F76596">
              <w:t>.</w:t>
            </w:r>
          </w:p>
        </w:tc>
      </w:tr>
      <w:tr w:rsidR="006F38DF" w:rsidRPr="00F76596" w14:paraId="102DB724" w14:textId="77777777" w:rsidTr="00C54689">
        <w:tc>
          <w:tcPr>
            <w:tcW w:w="850" w:type="dxa"/>
          </w:tcPr>
          <w:p w14:paraId="01F8BD9B" w14:textId="77777777" w:rsidR="006F38DF" w:rsidRPr="00F76596" w:rsidRDefault="009130D5" w:rsidP="009130D5">
            <w:pPr>
              <w:pStyle w:val="tbltext"/>
            </w:pPr>
            <w:r w:rsidRPr="00F76596">
              <w:t>31</w:t>
            </w:r>
          </w:p>
        </w:tc>
        <w:tc>
          <w:tcPr>
            <w:tcW w:w="2105" w:type="dxa"/>
          </w:tcPr>
          <w:p w14:paraId="3E8EA013" w14:textId="77777777" w:rsidR="006F38DF" w:rsidRPr="00F76596" w:rsidRDefault="006F38DF" w:rsidP="00BE32EF">
            <w:pPr>
              <w:pStyle w:val="tbltext"/>
            </w:pPr>
            <w:r w:rsidRPr="00F76596">
              <w:t>Currency used for mark-to-market</w:t>
            </w:r>
            <w:r w:rsidR="008625D9" w:rsidRPr="00F76596">
              <w:t>/mark-to-model/other</w:t>
            </w:r>
            <w:r w:rsidRPr="00F76596">
              <w:t xml:space="preserve"> valuation</w:t>
            </w:r>
          </w:p>
        </w:tc>
        <w:tc>
          <w:tcPr>
            <w:tcW w:w="5373" w:type="dxa"/>
          </w:tcPr>
          <w:p w14:paraId="009FDEA9" w14:textId="77777777" w:rsidR="006F38DF" w:rsidRPr="00F76596" w:rsidRDefault="006F38DF" w:rsidP="00B42BE8">
            <w:pPr>
              <w:pStyle w:val="tbltext"/>
            </w:pPr>
            <w:r w:rsidRPr="00F76596">
              <w:t>The currency used for the valuation referred to in item 3</w:t>
            </w:r>
            <w:r w:rsidR="00CA252A" w:rsidRPr="00F76596">
              <w:t>0</w:t>
            </w:r>
            <w:r w:rsidRPr="00F76596">
              <w:t>.</w:t>
            </w:r>
          </w:p>
        </w:tc>
      </w:tr>
      <w:tr w:rsidR="006F38DF" w:rsidRPr="00F76596" w14:paraId="54D67997" w14:textId="77777777" w:rsidTr="00C54689">
        <w:tc>
          <w:tcPr>
            <w:tcW w:w="850" w:type="dxa"/>
          </w:tcPr>
          <w:p w14:paraId="44D786F8" w14:textId="77777777" w:rsidR="006F38DF" w:rsidRPr="00F76596" w:rsidRDefault="009130D5" w:rsidP="009130D5">
            <w:pPr>
              <w:pStyle w:val="tbltext"/>
            </w:pPr>
            <w:r w:rsidRPr="00F76596">
              <w:t>32</w:t>
            </w:r>
          </w:p>
        </w:tc>
        <w:tc>
          <w:tcPr>
            <w:tcW w:w="2105" w:type="dxa"/>
          </w:tcPr>
          <w:p w14:paraId="1B61A17D" w14:textId="77777777" w:rsidR="006F38DF" w:rsidRPr="00F76596" w:rsidRDefault="006F38DF" w:rsidP="00BE32EF">
            <w:pPr>
              <w:pStyle w:val="tbltext"/>
            </w:pPr>
            <w:r w:rsidRPr="00F76596">
              <w:t>Valuation type (mark-to-market/mark-to-model</w:t>
            </w:r>
            <w:r w:rsidR="00CE5051" w:rsidRPr="00F76596">
              <w:t>/other</w:t>
            </w:r>
            <w:r w:rsidRPr="00F76596">
              <w:t>)</w:t>
            </w:r>
          </w:p>
        </w:tc>
        <w:tc>
          <w:tcPr>
            <w:tcW w:w="5373" w:type="dxa"/>
          </w:tcPr>
          <w:p w14:paraId="0B7CFBD9" w14:textId="77777777" w:rsidR="006F38DF" w:rsidRPr="00F76596" w:rsidRDefault="006F469A" w:rsidP="00010B34">
            <w:pPr>
              <w:pStyle w:val="tbltext"/>
            </w:pPr>
            <w:r w:rsidRPr="00F76596">
              <w:t xml:space="preserve">A notation to indicate whether the </w:t>
            </w:r>
            <w:r w:rsidR="00225E9D" w:rsidRPr="00F76596">
              <w:t xml:space="preserve">valuation </w:t>
            </w:r>
            <w:r w:rsidR="00010B34" w:rsidRPr="00F76596">
              <w:t>referred to in</w:t>
            </w:r>
            <w:r w:rsidR="00225E9D" w:rsidRPr="00F76596">
              <w:t xml:space="preserve"> item 30</w:t>
            </w:r>
            <w:r w:rsidRPr="00F76596">
              <w:t xml:space="preserve"> was a mark-to-market or mark-to-model valuation, or a different form</w:t>
            </w:r>
            <w:r w:rsidR="00A81F73" w:rsidRPr="00F76596">
              <w:t xml:space="preserve"> of valuation</w:t>
            </w:r>
            <w:r w:rsidRPr="00F76596">
              <w:t>.</w:t>
            </w:r>
          </w:p>
        </w:tc>
      </w:tr>
      <w:tr w:rsidR="006F38DF" w:rsidRPr="00F76596" w14:paraId="719CB53A" w14:textId="77777777" w:rsidTr="00C54689">
        <w:tc>
          <w:tcPr>
            <w:tcW w:w="850" w:type="dxa"/>
          </w:tcPr>
          <w:p w14:paraId="430373D1" w14:textId="77777777" w:rsidR="006F38DF" w:rsidRPr="00F76596" w:rsidRDefault="009130D5" w:rsidP="009130D5">
            <w:pPr>
              <w:pStyle w:val="tbltext"/>
            </w:pPr>
            <w:r w:rsidRPr="00F76596">
              <w:t>33</w:t>
            </w:r>
          </w:p>
        </w:tc>
        <w:tc>
          <w:tcPr>
            <w:tcW w:w="2105" w:type="dxa"/>
          </w:tcPr>
          <w:p w14:paraId="767EEA38" w14:textId="77777777" w:rsidR="006F38DF" w:rsidRPr="00F76596" w:rsidRDefault="006F38DF" w:rsidP="00BE32EF">
            <w:pPr>
              <w:pStyle w:val="tbltext"/>
            </w:pPr>
            <w:r w:rsidRPr="00F76596">
              <w:t>Counterparty side (buy/sell)</w:t>
            </w:r>
          </w:p>
        </w:tc>
        <w:tc>
          <w:tcPr>
            <w:tcW w:w="5373" w:type="dxa"/>
          </w:tcPr>
          <w:p w14:paraId="7DEC699D" w14:textId="77777777" w:rsidR="006F38DF" w:rsidRPr="00F76596" w:rsidRDefault="006F38DF" w:rsidP="006A0010">
            <w:pPr>
              <w:pStyle w:val="tbltext"/>
            </w:pPr>
            <w:r w:rsidRPr="00F76596">
              <w:t xml:space="preserve">A notation to </w:t>
            </w:r>
            <w:r w:rsidR="00A52160" w:rsidRPr="00F76596">
              <w:t>indicate</w:t>
            </w:r>
            <w:r w:rsidRPr="00F76596">
              <w:t xml:space="preserve"> whether the </w:t>
            </w:r>
            <w:r w:rsidR="00A52160" w:rsidRPr="00F76596">
              <w:t xml:space="preserve">Reporting Counterparty </w:t>
            </w:r>
            <w:r w:rsidR="00740BCD" w:rsidRPr="00F76596">
              <w:t>i</w:t>
            </w:r>
            <w:r w:rsidR="00A52160" w:rsidRPr="00F76596">
              <w:t>s</w:t>
            </w:r>
            <w:r w:rsidRPr="00F76596">
              <w:t xml:space="preserve"> </w:t>
            </w:r>
            <w:r w:rsidR="00A52160" w:rsidRPr="00F76596">
              <w:t xml:space="preserve">the </w:t>
            </w:r>
            <w:r w:rsidRPr="00F76596">
              <w:t>buy</w:t>
            </w:r>
            <w:r w:rsidR="006A0010" w:rsidRPr="00F76596">
              <w:t>er</w:t>
            </w:r>
            <w:r w:rsidRPr="00F76596">
              <w:t xml:space="preserve"> or sell</w:t>
            </w:r>
            <w:r w:rsidR="006A0010" w:rsidRPr="00F76596">
              <w:t>er o</w:t>
            </w:r>
            <w:r w:rsidR="00A52160" w:rsidRPr="00F76596">
              <w:t>f the</w:t>
            </w:r>
            <w:r w:rsidR="00364231" w:rsidRPr="00F76596">
              <w:t xml:space="preserve"> Derivative to which the</w:t>
            </w:r>
            <w:r w:rsidR="00A52160" w:rsidRPr="00F76596">
              <w:t xml:space="preserve"> Reportable Transaction</w:t>
            </w:r>
            <w:r w:rsidR="00364231" w:rsidRPr="00F76596">
              <w:t xml:space="preserve"> relates</w:t>
            </w:r>
            <w:r w:rsidRPr="00F76596">
              <w:t>.</w:t>
            </w:r>
          </w:p>
        </w:tc>
      </w:tr>
      <w:tr w:rsidR="006F38DF" w:rsidRPr="00F76596" w14:paraId="55A125DF" w14:textId="77777777" w:rsidTr="00C54689">
        <w:tc>
          <w:tcPr>
            <w:tcW w:w="850" w:type="dxa"/>
          </w:tcPr>
          <w:p w14:paraId="23E16264" w14:textId="77777777" w:rsidR="006F38DF" w:rsidRPr="00F76596" w:rsidRDefault="009130D5" w:rsidP="009130D5">
            <w:pPr>
              <w:pStyle w:val="tbltext"/>
            </w:pPr>
            <w:r w:rsidRPr="00F76596">
              <w:t>34</w:t>
            </w:r>
          </w:p>
        </w:tc>
        <w:tc>
          <w:tcPr>
            <w:tcW w:w="2105" w:type="dxa"/>
          </w:tcPr>
          <w:p w14:paraId="18885499" w14:textId="77777777" w:rsidR="006F38DF" w:rsidRPr="00F76596" w:rsidRDefault="006F38DF" w:rsidP="00BE32EF">
            <w:pPr>
              <w:pStyle w:val="tbltext"/>
            </w:pPr>
            <w:r w:rsidRPr="00F76596">
              <w:t>Basis</w:t>
            </w:r>
          </w:p>
        </w:tc>
        <w:tc>
          <w:tcPr>
            <w:tcW w:w="5373" w:type="dxa"/>
          </w:tcPr>
          <w:p w14:paraId="412222E3" w14:textId="77777777" w:rsidR="006F38DF" w:rsidRPr="00F76596" w:rsidRDefault="006F38DF" w:rsidP="00BE32EF">
            <w:pPr>
              <w:pStyle w:val="tbltext"/>
            </w:pPr>
            <w:r w:rsidRPr="00F76596">
              <w:t xml:space="preserve">The day count for calculation of periodic payments under the </w:t>
            </w:r>
            <w:r w:rsidR="00F51D42" w:rsidRPr="00F76596">
              <w:t>Derivative</w:t>
            </w:r>
            <w:r w:rsidR="007B6155" w:rsidRPr="00F76596">
              <w:t xml:space="preserve"> to which the Reportable Transaction relates</w:t>
            </w:r>
            <w:r w:rsidRPr="00F76596">
              <w:t xml:space="preserve"> (e.g. A/365, quarterly, semi-annual)</w:t>
            </w:r>
            <w:r w:rsidR="00D778EB" w:rsidRPr="00F76596">
              <w:t xml:space="preserve"> (if applicable)</w:t>
            </w:r>
            <w:r w:rsidRPr="00F76596">
              <w:t>.</w:t>
            </w:r>
          </w:p>
        </w:tc>
      </w:tr>
      <w:tr w:rsidR="006F38DF" w:rsidRPr="00F76596" w14:paraId="08CBB39C" w14:textId="77777777" w:rsidTr="00C54689">
        <w:tc>
          <w:tcPr>
            <w:tcW w:w="850" w:type="dxa"/>
          </w:tcPr>
          <w:p w14:paraId="2236B9D3" w14:textId="77777777" w:rsidR="006F38DF" w:rsidRPr="00F76596" w:rsidRDefault="009130D5" w:rsidP="009130D5">
            <w:pPr>
              <w:pStyle w:val="tbltext"/>
            </w:pPr>
            <w:r w:rsidRPr="00F76596">
              <w:t>35</w:t>
            </w:r>
          </w:p>
        </w:tc>
        <w:tc>
          <w:tcPr>
            <w:tcW w:w="2105" w:type="dxa"/>
          </w:tcPr>
          <w:p w14:paraId="28839704" w14:textId="77777777" w:rsidR="006F38DF" w:rsidRPr="00F76596" w:rsidRDefault="006F38DF" w:rsidP="00BE32EF">
            <w:pPr>
              <w:pStyle w:val="tbltext"/>
            </w:pPr>
            <w:r w:rsidRPr="00F76596">
              <w:t>Settlement rate or index</w:t>
            </w:r>
          </w:p>
        </w:tc>
        <w:tc>
          <w:tcPr>
            <w:tcW w:w="5373" w:type="dxa"/>
          </w:tcPr>
          <w:p w14:paraId="5B45333E" w14:textId="77777777" w:rsidR="006F38DF" w:rsidRPr="00F76596" w:rsidRDefault="006F38DF" w:rsidP="003B177F">
            <w:pPr>
              <w:pStyle w:val="tbltext"/>
            </w:pPr>
            <w:r w:rsidRPr="00F76596">
              <w:t xml:space="preserve">The index for calculation of settlement payments under the </w:t>
            </w:r>
            <w:r w:rsidR="00F51D42" w:rsidRPr="00F76596">
              <w:t>Derivative</w:t>
            </w:r>
            <w:r w:rsidR="003B177F" w:rsidRPr="00F76596">
              <w:t xml:space="preserve"> to which the Reportable Transaction relates</w:t>
            </w:r>
            <w:r w:rsidRPr="00F76596">
              <w:t xml:space="preserve"> (e.g. the Bank Bill Swap Reference Rate).</w:t>
            </w:r>
          </w:p>
        </w:tc>
      </w:tr>
      <w:tr w:rsidR="006F38DF" w:rsidRPr="00F76596" w14:paraId="6BCA2B36" w14:textId="77777777" w:rsidTr="00C54689">
        <w:tc>
          <w:tcPr>
            <w:tcW w:w="850" w:type="dxa"/>
          </w:tcPr>
          <w:p w14:paraId="09B6123C" w14:textId="77777777" w:rsidR="006F38DF" w:rsidRPr="00F76596" w:rsidRDefault="009130D5" w:rsidP="009130D5">
            <w:pPr>
              <w:pStyle w:val="tbltext"/>
            </w:pPr>
            <w:r w:rsidRPr="00F76596">
              <w:t>36</w:t>
            </w:r>
          </w:p>
        </w:tc>
        <w:tc>
          <w:tcPr>
            <w:tcW w:w="2105" w:type="dxa"/>
          </w:tcPr>
          <w:p w14:paraId="28E641DE" w14:textId="77777777" w:rsidR="006F38DF" w:rsidRPr="00F76596" w:rsidRDefault="006F38DF" w:rsidP="00BE32EF">
            <w:pPr>
              <w:pStyle w:val="tbltext"/>
            </w:pPr>
            <w:r w:rsidRPr="00F76596">
              <w:t>Expiry conventions/cut</w:t>
            </w:r>
          </w:p>
        </w:tc>
        <w:tc>
          <w:tcPr>
            <w:tcW w:w="5373" w:type="dxa"/>
          </w:tcPr>
          <w:p w14:paraId="2479B2B9" w14:textId="77777777" w:rsidR="006F38DF" w:rsidRPr="00F76596" w:rsidRDefault="006F38DF" w:rsidP="00BE32EF">
            <w:pPr>
              <w:pStyle w:val="tbltext"/>
            </w:pPr>
            <w:r w:rsidRPr="00F76596">
              <w:t xml:space="preserve">Place of time zone and time of expiry of </w:t>
            </w:r>
            <w:r w:rsidR="00517DE1" w:rsidRPr="00F76596">
              <w:t xml:space="preserve">the </w:t>
            </w:r>
            <w:r w:rsidR="00F51D42" w:rsidRPr="00F76596">
              <w:t>Derivative</w:t>
            </w:r>
            <w:r w:rsidR="00517DE1" w:rsidRPr="00F76596">
              <w:t xml:space="preserve"> to which the Reportable Transaction relates</w:t>
            </w:r>
            <w:r w:rsidRPr="00F76596">
              <w:t xml:space="preserve"> (e.g. 3</w:t>
            </w:r>
            <w:r w:rsidR="007522DF" w:rsidRPr="00F76596">
              <w:t> </w:t>
            </w:r>
            <w:r w:rsidRPr="00F76596">
              <w:t>pm, Tokyo; 10</w:t>
            </w:r>
            <w:r w:rsidR="007522DF" w:rsidRPr="00F76596">
              <w:t> </w:t>
            </w:r>
            <w:r w:rsidRPr="00F76596">
              <w:t>am, New York).</w:t>
            </w:r>
          </w:p>
        </w:tc>
      </w:tr>
      <w:tr w:rsidR="006F38DF" w:rsidRPr="00F76596" w14:paraId="1CF7BFAD" w14:textId="77777777" w:rsidTr="00C54689">
        <w:tc>
          <w:tcPr>
            <w:tcW w:w="850" w:type="dxa"/>
          </w:tcPr>
          <w:p w14:paraId="45E8A5D0" w14:textId="77777777" w:rsidR="006F38DF" w:rsidRPr="00F76596" w:rsidRDefault="009130D5" w:rsidP="004F2D28">
            <w:pPr>
              <w:pStyle w:val="tbltext"/>
            </w:pPr>
            <w:r w:rsidRPr="00F76596">
              <w:t>3</w:t>
            </w:r>
            <w:r w:rsidR="004F2D28" w:rsidRPr="00F76596">
              <w:t>7</w:t>
            </w:r>
          </w:p>
        </w:tc>
        <w:tc>
          <w:tcPr>
            <w:tcW w:w="2105" w:type="dxa"/>
          </w:tcPr>
          <w:p w14:paraId="092DE552" w14:textId="77777777" w:rsidR="006F38DF" w:rsidRPr="00F76596" w:rsidRDefault="006F38DF" w:rsidP="00BE32EF">
            <w:pPr>
              <w:pStyle w:val="tbltext"/>
            </w:pPr>
            <w:r w:rsidRPr="00F76596">
              <w:t>Execution timestamp</w:t>
            </w:r>
          </w:p>
        </w:tc>
        <w:tc>
          <w:tcPr>
            <w:tcW w:w="5373" w:type="dxa"/>
          </w:tcPr>
          <w:p w14:paraId="40C33C94" w14:textId="77777777" w:rsidR="006F38DF" w:rsidRPr="00F76596" w:rsidRDefault="006F38DF" w:rsidP="009C4057">
            <w:pPr>
              <w:pStyle w:val="tbltext"/>
            </w:pPr>
            <w:r w:rsidRPr="00F76596">
              <w:t xml:space="preserve">If the </w:t>
            </w:r>
            <w:r w:rsidR="005125A7" w:rsidRPr="00F76596">
              <w:t xml:space="preserve">Reportable Transaction </w:t>
            </w:r>
            <w:r w:rsidRPr="00F76596">
              <w:t>was executed on a trading venue, the time and date</w:t>
            </w:r>
            <w:r w:rsidR="008E1A57" w:rsidRPr="00F76596">
              <w:t xml:space="preserve"> (expressed as AEDT/AEST as applicable</w:t>
            </w:r>
            <w:r w:rsidR="006C08D2" w:rsidRPr="00F76596">
              <w:t xml:space="preserve"> -</w:t>
            </w:r>
            <w:r w:rsidR="006C08D2" w:rsidRPr="00F76596">
              <w:rPr>
                <w:rFonts w:ascii="Times New Roman" w:hAnsi="Times New Roman" w:cs="Times New Roman"/>
                <w:sz w:val="22"/>
                <w:szCs w:val="20"/>
              </w:rPr>
              <w:t xml:space="preserve"> </w:t>
            </w:r>
            <w:r w:rsidR="006C08D2" w:rsidRPr="00F76596">
              <w:t>see Rule 1.2.1</w:t>
            </w:r>
            <w:r w:rsidR="008E1A57" w:rsidRPr="00F76596">
              <w:t>)</w:t>
            </w:r>
            <w:r w:rsidRPr="00F76596">
              <w:t xml:space="preserve"> the </w:t>
            </w:r>
            <w:r w:rsidR="00657274" w:rsidRPr="00F76596">
              <w:t xml:space="preserve">Reportable </w:t>
            </w:r>
            <w:r w:rsidR="00A4497A" w:rsidRPr="00F76596">
              <w:t>Transaction</w:t>
            </w:r>
            <w:r w:rsidRPr="00F76596">
              <w:t xml:space="preserve"> was executed on a trading venue.</w:t>
            </w:r>
          </w:p>
        </w:tc>
      </w:tr>
      <w:tr w:rsidR="006F38DF" w:rsidRPr="00F76596" w14:paraId="628BA516" w14:textId="77777777" w:rsidTr="00C54689">
        <w:tc>
          <w:tcPr>
            <w:tcW w:w="850" w:type="dxa"/>
          </w:tcPr>
          <w:p w14:paraId="67811561" w14:textId="77777777" w:rsidR="006F38DF" w:rsidRPr="00F76596" w:rsidRDefault="00D304D9" w:rsidP="00D304D9">
            <w:pPr>
              <w:pStyle w:val="tbltext"/>
            </w:pPr>
            <w:r w:rsidRPr="00F76596">
              <w:t>38</w:t>
            </w:r>
          </w:p>
        </w:tc>
        <w:tc>
          <w:tcPr>
            <w:tcW w:w="2105" w:type="dxa"/>
          </w:tcPr>
          <w:p w14:paraId="5E1E19A8" w14:textId="77777777" w:rsidR="006F38DF" w:rsidRPr="00F76596" w:rsidRDefault="006F38DF" w:rsidP="00BE32EF">
            <w:pPr>
              <w:pStyle w:val="tbltext"/>
            </w:pPr>
            <w:r w:rsidRPr="00F76596">
              <w:t>Clearing timestamp</w:t>
            </w:r>
          </w:p>
        </w:tc>
        <w:tc>
          <w:tcPr>
            <w:tcW w:w="5373" w:type="dxa"/>
          </w:tcPr>
          <w:p w14:paraId="43CB1FB1" w14:textId="77777777" w:rsidR="006F38DF" w:rsidRPr="00F76596" w:rsidRDefault="006F38DF" w:rsidP="00C74B34">
            <w:pPr>
              <w:pStyle w:val="tbltext"/>
            </w:pPr>
            <w:r w:rsidRPr="00F76596">
              <w:t xml:space="preserve">If the </w:t>
            </w:r>
            <w:r w:rsidR="00F51D42" w:rsidRPr="00F76596">
              <w:t>Derivative</w:t>
            </w:r>
            <w:r w:rsidR="005858F7" w:rsidRPr="00F76596">
              <w:t xml:space="preserve"> to which the Reportable Transaction relates</w:t>
            </w:r>
            <w:r w:rsidRPr="00F76596">
              <w:t xml:space="preserve"> was </w:t>
            </w:r>
            <w:r w:rsidR="00153EAF" w:rsidRPr="00F76596">
              <w:t xml:space="preserve">centrally </w:t>
            </w:r>
            <w:r w:rsidRPr="00F76596">
              <w:t xml:space="preserve">cleared, the time and date the </w:t>
            </w:r>
            <w:r w:rsidR="00C74B34" w:rsidRPr="00F76596">
              <w:t>Derivative</w:t>
            </w:r>
            <w:r w:rsidRPr="00F76596">
              <w:t xml:space="preserve"> was cleared.</w:t>
            </w:r>
          </w:p>
        </w:tc>
      </w:tr>
      <w:tr w:rsidR="006F38DF" w:rsidRPr="00F76596" w14:paraId="45CDDAD5" w14:textId="77777777" w:rsidTr="00C54689">
        <w:tc>
          <w:tcPr>
            <w:tcW w:w="850" w:type="dxa"/>
          </w:tcPr>
          <w:p w14:paraId="22492A64" w14:textId="77777777" w:rsidR="006F38DF" w:rsidRPr="00F76596" w:rsidRDefault="00D304D9" w:rsidP="00D304D9">
            <w:pPr>
              <w:pStyle w:val="tbltext"/>
            </w:pPr>
            <w:r w:rsidRPr="00F76596">
              <w:t>39</w:t>
            </w:r>
          </w:p>
        </w:tc>
        <w:tc>
          <w:tcPr>
            <w:tcW w:w="2105" w:type="dxa"/>
          </w:tcPr>
          <w:p w14:paraId="6BEBF94B" w14:textId="77777777" w:rsidR="006F38DF" w:rsidRPr="00F76596" w:rsidRDefault="006F38DF" w:rsidP="00BE32EF">
            <w:pPr>
              <w:pStyle w:val="tbltext"/>
            </w:pPr>
            <w:r w:rsidRPr="00F76596">
              <w:t>Reporting timestamp</w:t>
            </w:r>
          </w:p>
        </w:tc>
        <w:tc>
          <w:tcPr>
            <w:tcW w:w="5373" w:type="dxa"/>
          </w:tcPr>
          <w:p w14:paraId="56C7B093" w14:textId="77777777" w:rsidR="006F38DF" w:rsidRPr="00F76596" w:rsidRDefault="006F38DF" w:rsidP="00283751">
            <w:pPr>
              <w:pStyle w:val="tbltext"/>
            </w:pPr>
            <w:r w:rsidRPr="00F76596">
              <w:t>The time and date</w:t>
            </w:r>
            <w:r w:rsidR="0022277B" w:rsidRPr="00F76596">
              <w:t xml:space="preserve"> (expressed as AEDT/AEST as applicable</w:t>
            </w:r>
            <w:r w:rsidR="00B965C8" w:rsidRPr="00F76596">
              <w:rPr>
                <w:rFonts w:ascii="Times New Roman" w:hAnsi="Times New Roman" w:cs="Times New Roman"/>
                <w:sz w:val="22"/>
                <w:szCs w:val="20"/>
              </w:rPr>
              <w:t xml:space="preserve"> - </w:t>
            </w:r>
            <w:r w:rsidR="00B965C8" w:rsidRPr="00F76596">
              <w:t>see Rule 1.2.1</w:t>
            </w:r>
            <w:r w:rsidR="0022277B" w:rsidRPr="00F76596">
              <w:t>)</w:t>
            </w:r>
            <w:r w:rsidR="00283751" w:rsidRPr="00F76596">
              <w:t xml:space="preserve"> </w:t>
            </w:r>
            <w:r w:rsidRPr="00F76596">
              <w:t xml:space="preserve">the </w:t>
            </w:r>
            <w:r w:rsidR="001A7410" w:rsidRPr="00F76596">
              <w:t xml:space="preserve">Reportable </w:t>
            </w:r>
            <w:r w:rsidR="00A4497A" w:rsidRPr="00F76596">
              <w:t>Transaction</w:t>
            </w:r>
            <w:r w:rsidRPr="00F76596">
              <w:t xml:space="preserve"> </w:t>
            </w:r>
            <w:r w:rsidR="00751C86" w:rsidRPr="00F76596">
              <w:t>i</w:t>
            </w:r>
            <w:r w:rsidRPr="00F76596">
              <w:t xml:space="preserve">s reported to the </w:t>
            </w:r>
            <w:r w:rsidR="004B718A" w:rsidRPr="00F76596">
              <w:t xml:space="preserve">Derivative </w:t>
            </w:r>
            <w:r w:rsidRPr="00F76596">
              <w:t>Trade Repository.</w:t>
            </w:r>
          </w:p>
        </w:tc>
      </w:tr>
      <w:tr w:rsidR="006F38DF" w:rsidRPr="00F76596" w14:paraId="53B7C38C" w14:textId="77777777" w:rsidTr="00C54689">
        <w:tc>
          <w:tcPr>
            <w:tcW w:w="850" w:type="dxa"/>
          </w:tcPr>
          <w:p w14:paraId="0550F8A5" w14:textId="77777777" w:rsidR="006F38DF" w:rsidRPr="00F76596" w:rsidRDefault="009130D5" w:rsidP="00D304D9">
            <w:pPr>
              <w:pStyle w:val="tbltext"/>
            </w:pPr>
            <w:r w:rsidRPr="00F76596">
              <w:t>4</w:t>
            </w:r>
            <w:r w:rsidR="00D304D9" w:rsidRPr="00F76596">
              <w:t>0</w:t>
            </w:r>
          </w:p>
        </w:tc>
        <w:tc>
          <w:tcPr>
            <w:tcW w:w="2105" w:type="dxa"/>
          </w:tcPr>
          <w:p w14:paraId="0E5F8E90" w14:textId="77777777" w:rsidR="006F38DF" w:rsidRPr="00F76596" w:rsidRDefault="006F38DF" w:rsidP="00BE32EF">
            <w:pPr>
              <w:pStyle w:val="tbltext"/>
            </w:pPr>
            <w:r w:rsidRPr="00F76596">
              <w:t xml:space="preserve">Collateralisation </w:t>
            </w:r>
          </w:p>
        </w:tc>
        <w:tc>
          <w:tcPr>
            <w:tcW w:w="5373" w:type="dxa"/>
          </w:tcPr>
          <w:p w14:paraId="02ECDBC5" w14:textId="77777777" w:rsidR="006F38DF" w:rsidRPr="00F76596" w:rsidRDefault="006F38DF" w:rsidP="00BE32EF">
            <w:pPr>
              <w:pStyle w:val="tbltext"/>
            </w:pPr>
            <w:r w:rsidRPr="00F76596">
              <w:t xml:space="preserve">A notation to indicate whether the </w:t>
            </w:r>
            <w:r w:rsidR="009B6BA2" w:rsidRPr="00F76596">
              <w:t xml:space="preserve">Reportable </w:t>
            </w:r>
            <w:r w:rsidRPr="00F76596">
              <w:t xml:space="preserve">Transaction is collateralised by one or both counterparties to the </w:t>
            </w:r>
            <w:r w:rsidR="003F6BD9" w:rsidRPr="00F76596">
              <w:t xml:space="preserve">Reportable </w:t>
            </w:r>
            <w:r w:rsidRPr="00F76596">
              <w:t>Transaction.</w:t>
            </w:r>
          </w:p>
        </w:tc>
      </w:tr>
      <w:tr w:rsidR="006F38DF" w:rsidRPr="00F76596" w14:paraId="2A798EF9" w14:textId="77777777" w:rsidTr="00C54689">
        <w:tc>
          <w:tcPr>
            <w:tcW w:w="850" w:type="dxa"/>
          </w:tcPr>
          <w:p w14:paraId="4BD5A76E" w14:textId="77777777" w:rsidR="006F38DF" w:rsidRPr="00F76596" w:rsidRDefault="00101F8C" w:rsidP="00101F8C">
            <w:pPr>
              <w:pStyle w:val="tbltext"/>
            </w:pPr>
            <w:r w:rsidRPr="00F76596">
              <w:t>41</w:t>
            </w:r>
          </w:p>
        </w:tc>
        <w:tc>
          <w:tcPr>
            <w:tcW w:w="2105" w:type="dxa"/>
          </w:tcPr>
          <w:p w14:paraId="5E850212" w14:textId="77777777" w:rsidR="006F38DF" w:rsidRPr="00F76596" w:rsidRDefault="006F38DF" w:rsidP="00BE32EF">
            <w:pPr>
              <w:pStyle w:val="tbltext"/>
            </w:pPr>
            <w:r w:rsidRPr="00F76596">
              <w:t xml:space="preserve">Collateral portfolio </w:t>
            </w:r>
          </w:p>
        </w:tc>
        <w:tc>
          <w:tcPr>
            <w:tcW w:w="5373" w:type="dxa"/>
          </w:tcPr>
          <w:p w14:paraId="2FAD67F3" w14:textId="77777777" w:rsidR="006F38DF" w:rsidRPr="00F76596" w:rsidRDefault="006F38DF" w:rsidP="00233953">
            <w:pPr>
              <w:pStyle w:val="tbltext"/>
            </w:pPr>
            <w:r w:rsidRPr="00F76596">
              <w:t xml:space="preserve">If the </w:t>
            </w:r>
            <w:r w:rsidR="000F242B" w:rsidRPr="00F76596">
              <w:t xml:space="preserve">Reportable </w:t>
            </w:r>
            <w:r w:rsidRPr="00F76596">
              <w:t xml:space="preserve">Transaction is collateralised, a notation to indicate whether the collateralisation was performed on a </w:t>
            </w:r>
            <w:r w:rsidR="00233953" w:rsidRPr="00F76596">
              <w:t>P</w:t>
            </w:r>
            <w:r w:rsidRPr="00F76596">
              <w:t xml:space="preserve">ortfolio </w:t>
            </w:r>
            <w:r w:rsidR="00233953" w:rsidRPr="00F76596">
              <w:t>B</w:t>
            </w:r>
            <w:r w:rsidRPr="00F76596">
              <w:t xml:space="preserve">asis. </w:t>
            </w:r>
          </w:p>
        </w:tc>
      </w:tr>
      <w:tr w:rsidR="006F38DF" w:rsidRPr="00F76596" w14:paraId="6A586EF7" w14:textId="77777777" w:rsidTr="00C54689">
        <w:tc>
          <w:tcPr>
            <w:tcW w:w="850" w:type="dxa"/>
          </w:tcPr>
          <w:p w14:paraId="146EBB0E" w14:textId="77777777" w:rsidR="006F38DF" w:rsidRPr="00F76596" w:rsidRDefault="00101F8C" w:rsidP="00101F8C">
            <w:pPr>
              <w:pStyle w:val="tbltext"/>
            </w:pPr>
            <w:r w:rsidRPr="00F76596">
              <w:t>42</w:t>
            </w:r>
          </w:p>
        </w:tc>
        <w:tc>
          <w:tcPr>
            <w:tcW w:w="2105" w:type="dxa"/>
          </w:tcPr>
          <w:p w14:paraId="770ABE55" w14:textId="77777777" w:rsidR="006F38DF" w:rsidRPr="00F76596" w:rsidRDefault="006F38DF" w:rsidP="00BE32EF">
            <w:pPr>
              <w:pStyle w:val="tbltext"/>
            </w:pPr>
            <w:r w:rsidRPr="00F76596">
              <w:t>Collateral portfolio code</w:t>
            </w:r>
          </w:p>
        </w:tc>
        <w:tc>
          <w:tcPr>
            <w:tcW w:w="5373" w:type="dxa"/>
          </w:tcPr>
          <w:p w14:paraId="7234B032" w14:textId="77777777" w:rsidR="006F38DF" w:rsidRPr="00F76596" w:rsidRDefault="00555369" w:rsidP="00555369">
            <w:pPr>
              <w:pStyle w:val="tbltext"/>
            </w:pPr>
            <w:r w:rsidRPr="00F76596">
              <w:t xml:space="preserve">If the Reportable Transaction is collateralised and </w:t>
            </w:r>
            <w:r w:rsidR="006F38DF" w:rsidRPr="00F76596">
              <w:t xml:space="preserve">collateral is reported on a </w:t>
            </w:r>
            <w:r w:rsidR="00233953" w:rsidRPr="00F76596">
              <w:t>P</w:t>
            </w:r>
            <w:r w:rsidR="006F38DF" w:rsidRPr="00F76596">
              <w:t xml:space="preserve">ortfolio </w:t>
            </w:r>
            <w:r w:rsidR="00233953" w:rsidRPr="00F76596">
              <w:t>B</w:t>
            </w:r>
            <w:r w:rsidR="006F38DF" w:rsidRPr="00F76596">
              <w:t xml:space="preserve">asis, a unique code, determined by </w:t>
            </w:r>
            <w:r w:rsidR="006F38DF" w:rsidRPr="00F76596">
              <w:lastRenderedPageBreak/>
              <w:t xml:space="preserve">the </w:t>
            </w:r>
            <w:r w:rsidR="00233953" w:rsidRPr="00F76596">
              <w:t>R</w:t>
            </w:r>
            <w:r w:rsidR="006F38DF" w:rsidRPr="00F76596">
              <w:t xml:space="preserve">eporting </w:t>
            </w:r>
            <w:r w:rsidR="00233953" w:rsidRPr="00F76596">
              <w:t>C</w:t>
            </w:r>
            <w:r w:rsidR="006F38DF" w:rsidRPr="00F76596">
              <w:t>ounterparty, to identify the portfolio.</w:t>
            </w:r>
          </w:p>
        </w:tc>
      </w:tr>
      <w:tr w:rsidR="006F38DF" w:rsidRPr="00F76596" w14:paraId="48047391" w14:textId="77777777" w:rsidTr="00C54689">
        <w:tc>
          <w:tcPr>
            <w:tcW w:w="850" w:type="dxa"/>
          </w:tcPr>
          <w:p w14:paraId="5DA5DCDC" w14:textId="77777777" w:rsidR="006F38DF" w:rsidRPr="00F76596" w:rsidRDefault="00101F8C" w:rsidP="00101F8C">
            <w:pPr>
              <w:pStyle w:val="tbltext"/>
            </w:pPr>
            <w:r w:rsidRPr="00F76596">
              <w:lastRenderedPageBreak/>
              <w:t>43</w:t>
            </w:r>
          </w:p>
        </w:tc>
        <w:tc>
          <w:tcPr>
            <w:tcW w:w="2105" w:type="dxa"/>
          </w:tcPr>
          <w:p w14:paraId="3F16C9AD" w14:textId="77777777" w:rsidR="006F38DF" w:rsidRPr="00F76596" w:rsidRDefault="006F38DF" w:rsidP="00BE32EF">
            <w:pPr>
              <w:pStyle w:val="tbltext"/>
            </w:pPr>
            <w:r w:rsidRPr="00F76596">
              <w:t xml:space="preserve">Value of collateral </w:t>
            </w:r>
          </w:p>
        </w:tc>
        <w:tc>
          <w:tcPr>
            <w:tcW w:w="5373" w:type="dxa"/>
          </w:tcPr>
          <w:p w14:paraId="6843BEF2" w14:textId="77777777" w:rsidR="0050123E" w:rsidRPr="00F76596" w:rsidRDefault="00555369" w:rsidP="00555369">
            <w:pPr>
              <w:pStyle w:val="tbltext"/>
            </w:pPr>
            <w:r w:rsidRPr="00F76596">
              <w:t>If the Reportable Transaction is collateralised</w:t>
            </w:r>
            <w:r w:rsidR="0050123E" w:rsidRPr="00F76596">
              <w:t>:</w:t>
            </w:r>
          </w:p>
          <w:p w14:paraId="0A014699" w14:textId="77777777" w:rsidR="0050123E" w:rsidRPr="00F76596" w:rsidRDefault="00555369" w:rsidP="00BD7FD8">
            <w:pPr>
              <w:pStyle w:val="tbltext"/>
              <w:numPr>
                <w:ilvl w:val="0"/>
                <w:numId w:val="27"/>
              </w:numPr>
            </w:pPr>
            <w:r w:rsidRPr="00F76596">
              <w:t>t</w:t>
            </w:r>
            <w:r w:rsidR="006F38DF" w:rsidRPr="00F76596">
              <w:t xml:space="preserve">he value of the collateral posted by the Reporting Counterparty to the </w:t>
            </w:r>
            <w:r w:rsidR="00D849FE" w:rsidRPr="00F76596">
              <w:t>Non-</w:t>
            </w:r>
            <w:r w:rsidR="0075008B" w:rsidRPr="00F76596">
              <w:t>R</w:t>
            </w:r>
            <w:r w:rsidR="00D849FE" w:rsidRPr="00F76596">
              <w:t>eporting</w:t>
            </w:r>
            <w:r w:rsidR="006F38DF" w:rsidRPr="00F76596">
              <w:t xml:space="preserve"> </w:t>
            </w:r>
            <w:r w:rsidR="0075008B" w:rsidRPr="00F76596">
              <w:t>C</w:t>
            </w:r>
            <w:r w:rsidR="006F38DF" w:rsidRPr="00F76596">
              <w:t>ounterparty</w:t>
            </w:r>
            <w:r w:rsidR="0050123E" w:rsidRPr="00F76596">
              <w:t xml:space="preserve">; </w:t>
            </w:r>
            <w:r w:rsidR="002B2D01" w:rsidRPr="00F76596">
              <w:t>or</w:t>
            </w:r>
          </w:p>
          <w:p w14:paraId="6DFE18A5" w14:textId="77777777" w:rsidR="006F38DF" w:rsidRPr="00F76596" w:rsidRDefault="0050123E" w:rsidP="00BD7FD8">
            <w:pPr>
              <w:pStyle w:val="tbltext"/>
              <w:numPr>
                <w:ilvl w:val="0"/>
                <w:numId w:val="27"/>
              </w:numPr>
            </w:pPr>
            <w:r w:rsidRPr="00F76596">
              <w:t>w</w:t>
            </w:r>
            <w:r w:rsidR="006F38DF" w:rsidRPr="00F76596">
              <w:t>here collateral is posted</w:t>
            </w:r>
            <w:r w:rsidR="002B2D01" w:rsidRPr="00F76596">
              <w:t xml:space="preserve"> by the Reporting Counterparty to the Non-</w:t>
            </w:r>
            <w:r w:rsidR="0075008B" w:rsidRPr="00F76596">
              <w:t>R</w:t>
            </w:r>
            <w:r w:rsidR="002B2D01" w:rsidRPr="00F76596">
              <w:t>eporting Counterparty</w:t>
            </w:r>
            <w:r w:rsidR="006F38DF" w:rsidRPr="00F76596">
              <w:t xml:space="preserve"> on a </w:t>
            </w:r>
            <w:r w:rsidR="00233953" w:rsidRPr="00F76596">
              <w:t>P</w:t>
            </w:r>
            <w:r w:rsidR="006F38DF" w:rsidRPr="00F76596">
              <w:t xml:space="preserve">ortfolio </w:t>
            </w:r>
            <w:r w:rsidR="00233953" w:rsidRPr="00F76596">
              <w:t>B</w:t>
            </w:r>
            <w:r w:rsidR="006F38DF" w:rsidRPr="00F76596">
              <w:t>asis, the value of all collateral posted for the portfolio.</w:t>
            </w:r>
          </w:p>
        </w:tc>
      </w:tr>
      <w:tr w:rsidR="006F38DF" w:rsidRPr="00F76596" w14:paraId="0990BE11" w14:textId="77777777" w:rsidTr="00C54689">
        <w:tc>
          <w:tcPr>
            <w:tcW w:w="850" w:type="dxa"/>
          </w:tcPr>
          <w:p w14:paraId="6DD264CE" w14:textId="77777777" w:rsidR="006F38DF" w:rsidRPr="00F76596" w:rsidRDefault="00101F8C" w:rsidP="00101F8C">
            <w:pPr>
              <w:pStyle w:val="tbltext"/>
            </w:pPr>
            <w:r w:rsidRPr="00F76596">
              <w:t>44</w:t>
            </w:r>
          </w:p>
        </w:tc>
        <w:tc>
          <w:tcPr>
            <w:tcW w:w="2105" w:type="dxa"/>
          </w:tcPr>
          <w:p w14:paraId="3B721897" w14:textId="77777777" w:rsidR="006F38DF" w:rsidRPr="00F76596" w:rsidRDefault="006F38DF" w:rsidP="00BE32EF">
            <w:pPr>
              <w:pStyle w:val="tbltext"/>
            </w:pPr>
            <w:r w:rsidRPr="00F76596">
              <w:t>Currency of collateral value</w:t>
            </w:r>
          </w:p>
        </w:tc>
        <w:tc>
          <w:tcPr>
            <w:tcW w:w="5373" w:type="dxa"/>
          </w:tcPr>
          <w:p w14:paraId="2326261C" w14:textId="77777777" w:rsidR="006F38DF" w:rsidRPr="00F76596" w:rsidRDefault="006F38DF" w:rsidP="00E01483">
            <w:pPr>
              <w:pStyle w:val="tbltext"/>
            </w:pPr>
            <w:r w:rsidRPr="00F76596">
              <w:t>The currency of the collateral</w:t>
            </w:r>
            <w:r w:rsidR="00E01483" w:rsidRPr="00F76596">
              <w:t xml:space="preserve"> value identified under i</w:t>
            </w:r>
            <w:r w:rsidR="00172150" w:rsidRPr="00F76596">
              <w:t>tem 43.</w:t>
            </w:r>
          </w:p>
        </w:tc>
      </w:tr>
      <w:tr w:rsidR="006F38DF" w:rsidRPr="00F76596" w14:paraId="18D3B384" w14:textId="77777777" w:rsidTr="00C54689">
        <w:tc>
          <w:tcPr>
            <w:tcW w:w="850" w:type="dxa"/>
          </w:tcPr>
          <w:p w14:paraId="10D84701" w14:textId="77777777" w:rsidR="006F38DF" w:rsidRPr="00F76596" w:rsidRDefault="00101F8C" w:rsidP="00101F8C">
            <w:pPr>
              <w:pStyle w:val="tbltext"/>
            </w:pPr>
            <w:r w:rsidRPr="00F76596">
              <w:t>45</w:t>
            </w:r>
          </w:p>
        </w:tc>
        <w:tc>
          <w:tcPr>
            <w:tcW w:w="2105" w:type="dxa"/>
          </w:tcPr>
          <w:p w14:paraId="5428A703" w14:textId="77777777" w:rsidR="006F38DF" w:rsidRPr="00F76596" w:rsidRDefault="006F38DF" w:rsidP="00BE32EF">
            <w:pPr>
              <w:pStyle w:val="tbltext"/>
            </w:pPr>
            <w:r w:rsidRPr="00F76596">
              <w:t>Option type</w:t>
            </w:r>
          </w:p>
        </w:tc>
        <w:tc>
          <w:tcPr>
            <w:tcW w:w="5373" w:type="dxa"/>
          </w:tcPr>
          <w:p w14:paraId="369BFA07" w14:textId="77777777" w:rsidR="006F38DF" w:rsidRPr="00F76596" w:rsidRDefault="006F38DF" w:rsidP="004929ED">
            <w:pPr>
              <w:pStyle w:val="tbltext"/>
            </w:pPr>
            <w:r w:rsidRPr="00F76596">
              <w:t xml:space="preserve">If the </w:t>
            </w:r>
            <w:r w:rsidR="00F51D42" w:rsidRPr="00F76596">
              <w:t>Derivative</w:t>
            </w:r>
            <w:r w:rsidR="00912F12" w:rsidRPr="00F76596">
              <w:t xml:space="preserve"> to which the </w:t>
            </w:r>
            <w:r w:rsidR="00793140" w:rsidRPr="00F76596">
              <w:t>Reportable</w:t>
            </w:r>
            <w:r w:rsidR="00912F12" w:rsidRPr="00F76596">
              <w:t xml:space="preserve"> Transaction relates</w:t>
            </w:r>
            <w:r w:rsidRPr="00F76596">
              <w:t xml:space="preserve"> is an option, a notation to indicate whether the </w:t>
            </w:r>
            <w:r w:rsidR="004929ED" w:rsidRPr="00F76596">
              <w:t>option</w:t>
            </w:r>
            <w:r w:rsidRPr="00F76596">
              <w:t xml:space="preserve"> is a call or a put.</w:t>
            </w:r>
          </w:p>
        </w:tc>
      </w:tr>
      <w:tr w:rsidR="006F38DF" w:rsidRPr="00F76596" w14:paraId="52C695B8" w14:textId="77777777" w:rsidTr="00C54689">
        <w:tc>
          <w:tcPr>
            <w:tcW w:w="850" w:type="dxa"/>
          </w:tcPr>
          <w:p w14:paraId="0C9A81AF" w14:textId="77777777" w:rsidR="006F38DF" w:rsidRPr="00F76596" w:rsidRDefault="00101F8C" w:rsidP="00101F8C">
            <w:pPr>
              <w:pStyle w:val="tbltext"/>
            </w:pPr>
            <w:r w:rsidRPr="00F76596">
              <w:t>46</w:t>
            </w:r>
          </w:p>
        </w:tc>
        <w:tc>
          <w:tcPr>
            <w:tcW w:w="2105" w:type="dxa"/>
          </w:tcPr>
          <w:p w14:paraId="1E6DC8EE" w14:textId="77777777" w:rsidR="006F38DF" w:rsidRPr="00F76596" w:rsidRDefault="006F38DF" w:rsidP="00BE32EF">
            <w:pPr>
              <w:pStyle w:val="tbltext"/>
            </w:pPr>
            <w:r w:rsidRPr="00F76596">
              <w:t>Option expiration date</w:t>
            </w:r>
          </w:p>
        </w:tc>
        <w:tc>
          <w:tcPr>
            <w:tcW w:w="5373" w:type="dxa"/>
          </w:tcPr>
          <w:p w14:paraId="74C20855" w14:textId="77777777" w:rsidR="006F38DF" w:rsidRPr="00F76596" w:rsidRDefault="006F38DF" w:rsidP="0010245F">
            <w:pPr>
              <w:pStyle w:val="tbltext"/>
            </w:pPr>
            <w:r w:rsidRPr="00F76596">
              <w:t xml:space="preserve">If the </w:t>
            </w:r>
            <w:r w:rsidR="00F51D42" w:rsidRPr="00F76596">
              <w:t>Derivative</w:t>
            </w:r>
            <w:r w:rsidR="00B30832" w:rsidRPr="00F76596">
              <w:t xml:space="preserve"> to which the </w:t>
            </w:r>
            <w:r w:rsidR="00793140" w:rsidRPr="00F76596">
              <w:t xml:space="preserve">Reportable </w:t>
            </w:r>
            <w:r w:rsidR="00B30832" w:rsidRPr="00F76596">
              <w:t>Transaction relates</w:t>
            </w:r>
            <w:r w:rsidRPr="00F76596">
              <w:t xml:space="preserve"> is an option, the expiry</w:t>
            </w:r>
            <w:r w:rsidR="0010245F" w:rsidRPr="00F76596">
              <w:t xml:space="preserve"> </w:t>
            </w:r>
            <w:r w:rsidRPr="00F76596">
              <w:t>date of the option.</w:t>
            </w:r>
          </w:p>
        </w:tc>
      </w:tr>
      <w:tr w:rsidR="006F38DF" w:rsidRPr="00F76596" w14:paraId="7DD8B19A" w14:textId="77777777" w:rsidTr="00C54689">
        <w:tc>
          <w:tcPr>
            <w:tcW w:w="850" w:type="dxa"/>
          </w:tcPr>
          <w:p w14:paraId="276AA2F7" w14:textId="77777777" w:rsidR="006F38DF" w:rsidRPr="00F76596" w:rsidRDefault="00101F8C" w:rsidP="00101F8C">
            <w:pPr>
              <w:pStyle w:val="tbltext"/>
            </w:pPr>
            <w:r w:rsidRPr="00F76596">
              <w:t>47</w:t>
            </w:r>
          </w:p>
        </w:tc>
        <w:tc>
          <w:tcPr>
            <w:tcW w:w="2105" w:type="dxa"/>
          </w:tcPr>
          <w:p w14:paraId="40FA9F85" w14:textId="77777777" w:rsidR="006F38DF" w:rsidRPr="00F76596" w:rsidRDefault="006F38DF" w:rsidP="00BE32EF">
            <w:pPr>
              <w:pStyle w:val="tbltext"/>
            </w:pPr>
            <w:r w:rsidRPr="00F76596">
              <w:t xml:space="preserve">Option premium </w:t>
            </w:r>
          </w:p>
        </w:tc>
        <w:tc>
          <w:tcPr>
            <w:tcW w:w="5373" w:type="dxa"/>
          </w:tcPr>
          <w:p w14:paraId="69C67739" w14:textId="77777777" w:rsidR="006F38DF" w:rsidRPr="00F76596" w:rsidRDefault="006F38DF" w:rsidP="00793140">
            <w:pPr>
              <w:pStyle w:val="tbltext"/>
            </w:pPr>
            <w:r w:rsidRPr="00F76596">
              <w:t xml:space="preserve">If the </w:t>
            </w:r>
            <w:r w:rsidR="00F51D42" w:rsidRPr="00F76596">
              <w:t>Derivative</w:t>
            </w:r>
            <w:r w:rsidR="00526EB0" w:rsidRPr="00F76596">
              <w:t xml:space="preserve"> to which the </w:t>
            </w:r>
            <w:r w:rsidR="00793140" w:rsidRPr="00F76596">
              <w:t>Reportable</w:t>
            </w:r>
            <w:r w:rsidR="00526EB0" w:rsidRPr="00F76596">
              <w:t xml:space="preserve"> Transaction relates</w:t>
            </w:r>
            <w:r w:rsidRPr="00F76596">
              <w:t xml:space="preserve"> is an option, the amount of the premium paid by the buyer to the seller.</w:t>
            </w:r>
          </w:p>
        </w:tc>
      </w:tr>
      <w:tr w:rsidR="006F38DF" w:rsidRPr="00F76596" w14:paraId="0993EDB0" w14:textId="77777777" w:rsidTr="00C54689">
        <w:tc>
          <w:tcPr>
            <w:tcW w:w="850" w:type="dxa"/>
          </w:tcPr>
          <w:p w14:paraId="7D22505C" w14:textId="77777777" w:rsidR="006F38DF" w:rsidRPr="00F76596" w:rsidRDefault="00101F8C" w:rsidP="00101F8C">
            <w:pPr>
              <w:pStyle w:val="tbltext"/>
            </w:pPr>
            <w:r w:rsidRPr="00F76596">
              <w:t>48</w:t>
            </w:r>
          </w:p>
        </w:tc>
        <w:tc>
          <w:tcPr>
            <w:tcW w:w="2105" w:type="dxa"/>
          </w:tcPr>
          <w:p w14:paraId="2871DD86" w14:textId="77777777" w:rsidR="006F38DF" w:rsidRPr="00F76596" w:rsidRDefault="006F38DF" w:rsidP="00BE32EF">
            <w:pPr>
              <w:pStyle w:val="tbltext"/>
            </w:pPr>
            <w:r w:rsidRPr="00F76596">
              <w:t>Option premium currency</w:t>
            </w:r>
          </w:p>
        </w:tc>
        <w:tc>
          <w:tcPr>
            <w:tcW w:w="5373" w:type="dxa"/>
          </w:tcPr>
          <w:p w14:paraId="334C1A26" w14:textId="77777777" w:rsidR="006F38DF" w:rsidRPr="00F76596" w:rsidRDefault="006F38DF" w:rsidP="00BE32B1">
            <w:pPr>
              <w:pStyle w:val="tbltext"/>
            </w:pPr>
            <w:r w:rsidRPr="00F76596">
              <w:t xml:space="preserve">If the </w:t>
            </w:r>
            <w:r w:rsidR="00F51D42" w:rsidRPr="00F76596">
              <w:t>Derivativ</w:t>
            </w:r>
            <w:r w:rsidR="00793140" w:rsidRPr="00F76596">
              <w:t>e</w:t>
            </w:r>
            <w:r w:rsidR="00526EB0" w:rsidRPr="00F76596">
              <w:t xml:space="preserve"> to which the </w:t>
            </w:r>
            <w:r w:rsidR="00793140" w:rsidRPr="00F76596">
              <w:t>Reportable</w:t>
            </w:r>
            <w:r w:rsidR="00526EB0" w:rsidRPr="00F76596">
              <w:t xml:space="preserve"> Transaction relates</w:t>
            </w:r>
            <w:r w:rsidRPr="00F76596">
              <w:t xml:space="preserve"> is an option, the currency used to calculate the option premium </w:t>
            </w:r>
            <w:r w:rsidR="00BE32B1" w:rsidRPr="00F76596">
              <w:t xml:space="preserve">identified under </w:t>
            </w:r>
            <w:r w:rsidRPr="00F76596">
              <w:t xml:space="preserve">item </w:t>
            </w:r>
            <w:r w:rsidR="00F0094A" w:rsidRPr="00F76596">
              <w:t>47</w:t>
            </w:r>
            <w:r w:rsidRPr="00F76596">
              <w:t>.</w:t>
            </w:r>
          </w:p>
        </w:tc>
      </w:tr>
      <w:tr w:rsidR="006F38DF" w:rsidRPr="00F76596" w14:paraId="788093CE" w14:textId="77777777" w:rsidTr="00C54689">
        <w:tc>
          <w:tcPr>
            <w:tcW w:w="850" w:type="dxa"/>
          </w:tcPr>
          <w:p w14:paraId="0B12302A" w14:textId="77777777" w:rsidR="006F38DF" w:rsidRPr="00F76596" w:rsidRDefault="00101F8C" w:rsidP="00101F8C">
            <w:pPr>
              <w:pStyle w:val="tbltext"/>
            </w:pPr>
            <w:r w:rsidRPr="00F76596">
              <w:t>49</w:t>
            </w:r>
          </w:p>
        </w:tc>
        <w:tc>
          <w:tcPr>
            <w:tcW w:w="2105" w:type="dxa"/>
          </w:tcPr>
          <w:p w14:paraId="53CE69B6" w14:textId="77777777" w:rsidR="006F38DF" w:rsidRPr="00F76596" w:rsidRDefault="006F38DF" w:rsidP="00BE32EF">
            <w:pPr>
              <w:pStyle w:val="tbltext"/>
            </w:pPr>
            <w:r w:rsidRPr="00F76596">
              <w:t>Option style</w:t>
            </w:r>
          </w:p>
        </w:tc>
        <w:tc>
          <w:tcPr>
            <w:tcW w:w="5373" w:type="dxa"/>
          </w:tcPr>
          <w:p w14:paraId="30BA5CA3" w14:textId="77777777" w:rsidR="006F38DF" w:rsidRPr="00F76596" w:rsidRDefault="006F38DF" w:rsidP="00A8667C">
            <w:pPr>
              <w:pStyle w:val="tbltext"/>
            </w:pPr>
            <w:r w:rsidRPr="00F76596">
              <w:t xml:space="preserve">If the </w:t>
            </w:r>
            <w:r w:rsidR="00F51D42" w:rsidRPr="00F76596">
              <w:t>Derivative</w:t>
            </w:r>
            <w:r w:rsidR="0075572D" w:rsidRPr="00F76596">
              <w:t xml:space="preserve"> to which the Reportable Transaction relates</w:t>
            </w:r>
            <w:r w:rsidRPr="00F76596">
              <w:t xml:space="preserve"> is an option, a notation to indicate whether the option can be exercised on a fixed date</w:t>
            </w:r>
            <w:r w:rsidR="00D633AD" w:rsidRPr="00F76596">
              <w:t xml:space="preserve"> ( </w:t>
            </w:r>
            <w:r w:rsidR="00D96216" w:rsidRPr="00F76596">
              <w:t>“</w:t>
            </w:r>
            <w:r w:rsidR="00D633AD" w:rsidRPr="00F76596">
              <w:t>European</w:t>
            </w:r>
            <w:r w:rsidR="00D96216" w:rsidRPr="00F76596">
              <w:t>”</w:t>
            </w:r>
            <w:r w:rsidR="00D633AD" w:rsidRPr="00F76596">
              <w:t xml:space="preserve">, </w:t>
            </w:r>
            <w:r w:rsidR="00D96216" w:rsidRPr="00F76596">
              <w:t>“</w:t>
            </w:r>
            <w:r w:rsidR="00D633AD" w:rsidRPr="00F76596">
              <w:t>As</w:t>
            </w:r>
            <w:r w:rsidR="00442BDE" w:rsidRPr="00F76596">
              <w:t>ian</w:t>
            </w:r>
            <w:r w:rsidR="00D96216" w:rsidRPr="00F76596">
              <w:t>”</w:t>
            </w:r>
            <w:r w:rsidR="00442BDE" w:rsidRPr="00F76596">
              <w:t>), on a series of fixed</w:t>
            </w:r>
            <w:r w:rsidR="00D633AD" w:rsidRPr="00F76596">
              <w:t xml:space="preserve"> dates (</w:t>
            </w:r>
            <w:r w:rsidR="00D96216" w:rsidRPr="00F76596">
              <w:t>“</w:t>
            </w:r>
            <w:r w:rsidR="00D633AD" w:rsidRPr="00F76596">
              <w:t>Bermudan</w:t>
            </w:r>
            <w:r w:rsidR="00D96216" w:rsidRPr="00F76596">
              <w:t>”</w:t>
            </w:r>
            <w:r w:rsidR="00D633AD" w:rsidRPr="00F76596">
              <w:t>)</w:t>
            </w:r>
            <w:r w:rsidR="00761503" w:rsidRPr="00F76596">
              <w:t>,</w:t>
            </w:r>
            <w:r w:rsidRPr="00F76596">
              <w:t xml:space="preserve"> or </w:t>
            </w:r>
            <w:r w:rsidR="00D633AD" w:rsidRPr="00F76596">
              <w:t xml:space="preserve">at </w:t>
            </w:r>
            <w:r w:rsidRPr="00F76596">
              <w:t>any</w:t>
            </w:r>
            <w:r w:rsidR="00A25989" w:rsidRPr="00F76596">
              <w:t xml:space="preserve"> </w:t>
            </w:r>
            <w:r w:rsidRPr="00F76596">
              <w:t xml:space="preserve">time during the life of the </w:t>
            </w:r>
            <w:r w:rsidR="00F51D42" w:rsidRPr="00F76596">
              <w:t>Derivative</w:t>
            </w:r>
            <w:r w:rsidRPr="00F76596">
              <w:t xml:space="preserve"> (</w:t>
            </w:r>
            <w:r w:rsidR="00D96216" w:rsidRPr="00F76596">
              <w:t>“</w:t>
            </w:r>
            <w:r w:rsidRPr="00F76596">
              <w:t>American</w:t>
            </w:r>
            <w:r w:rsidR="00D96216" w:rsidRPr="00F76596">
              <w:t>”</w:t>
            </w:r>
            <w:r w:rsidRPr="00F76596">
              <w:t>).</w:t>
            </w:r>
          </w:p>
        </w:tc>
      </w:tr>
      <w:tr w:rsidR="006F38DF" w:rsidRPr="00F76596" w14:paraId="247B9805" w14:textId="77777777" w:rsidTr="00C54689">
        <w:tc>
          <w:tcPr>
            <w:tcW w:w="850" w:type="dxa"/>
          </w:tcPr>
          <w:p w14:paraId="77B347AF" w14:textId="77777777" w:rsidR="006F38DF" w:rsidRPr="00F76596" w:rsidRDefault="00101F8C" w:rsidP="00101F8C">
            <w:pPr>
              <w:pStyle w:val="tbltext"/>
            </w:pPr>
            <w:r w:rsidRPr="00F76596">
              <w:t>50</w:t>
            </w:r>
          </w:p>
        </w:tc>
        <w:tc>
          <w:tcPr>
            <w:tcW w:w="2105" w:type="dxa"/>
          </w:tcPr>
          <w:p w14:paraId="33D1FC89" w14:textId="77777777" w:rsidR="006F38DF" w:rsidRPr="00F76596" w:rsidRDefault="006F38DF" w:rsidP="00BE32EF">
            <w:pPr>
              <w:pStyle w:val="tbltext"/>
            </w:pPr>
            <w:r w:rsidRPr="00F76596">
              <w:t>Strike price (cap/floor rate)</w:t>
            </w:r>
          </w:p>
        </w:tc>
        <w:tc>
          <w:tcPr>
            <w:tcW w:w="5373" w:type="dxa"/>
          </w:tcPr>
          <w:p w14:paraId="19D1E645" w14:textId="77777777" w:rsidR="006F38DF" w:rsidRPr="00F76596" w:rsidRDefault="006F38DF" w:rsidP="00BE32EF">
            <w:pPr>
              <w:pStyle w:val="tbltext"/>
            </w:pPr>
            <w:r w:rsidRPr="00F76596">
              <w:t xml:space="preserve">If the </w:t>
            </w:r>
            <w:r w:rsidR="00F51D42" w:rsidRPr="00F76596">
              <w:t>Derivative</w:t>
            </w:r>
            <w:r w:rsidR="00D515CB" w:rsidRPr="00F76596">
              <w:t xml:space="preserve"> to which the Reportable Transaction relates</w:t>
            </w:r>
            <w:r w:rsidRPr="00F76596">
              <w:t xml:space="preserve"> is an option, the strike price of the option.</w:t>
            </w:r>
          </w:p>
        </w:tc>
      </w:tr>
      <w:tr w:rsidR="006F38DF" w:rsidRPr="00F76596" w14:paraId="5415E198" w14:textId="77777777" w:rsidTr="00C54689">
        <w:tc>
          <w:tcPr>
            <w:tcW w:w="850" w:type="dxa"/>
          </w:tcPr>
          <w:p w14:paraId="3483BF13" w14:textId="77777777" w:rsidR="006F38DF" w:rsidRPr="00F76596" w:rsidRDefault="00101F8C" w:rsidP="00101F8C">
            <w:pPr>
              <w:pStyle w:val="tbltext"/>
            </w:pPr>
            <w:r w:rsidRPr="00F76596">
              <w:t>51</w:t>
            </w:r>
          </w:p>
        </w:tc>
        <w:tc>
          <w:tcPr>
            <w:tcW w:w="2105" w:type="dxa"/>
          </w:tcPr>
          <w:p w14:paraId="3D460BC7" w14:textId="77777777" w:rsidR="006F38DF" w:rsidRPr="00F76596" w:rsidRDefault="0025624E" w:rsidP="00BE32EF">
            <w:pPr>
              <w:pStyle w:val="tbltext"/>
            </w:pPr>
            <w:r w:rsidRPr="00F76596">
              <w:t>Barrier type</w:t>
            </w:r>
          </w:p>
        </w:tc>
        <w:tc>
          <w:tcPr>
            <w:tcW w:w="5373" w:type="dxa"/>
          </w:tcPr>
          <w:p w14:paraId="433E9CE5" w14:textId="77777777" w:rsidR="006F38DF" w:rsidRPr="00F76596" w:rsidRDefault="0025624E" w:rsidP="00A8667C">
            <w:pPr>
              <w:pStyle w:val="tbltext"/>
            </w:pPr>
            <w:r w:rsidRPr="00F76596">
              <w:t xml:space="preserve">If the </w:t>
            </w:r>
            <w:r w:rsidR="00D515CB" w:rsidRPr="00F76596">
              <w:t>Derivative to which the Reportable Transaction relates</w:t>
            </w:r>
            <w:r w:rsidRPr="00F76596">
              <w:t xml:space="preserve"> includes a barrier, the type of barrier in the </w:t>
            </w:r>
            <w:r w:rsidR="00F51D42" w:rsidRPr="00F76596">
              <w:t>Derivative</w:t>
            </w:r>
            <w:r w:rsidRPr="00F76596">
              <w:t xml:space="preserve"> (</w:t>
            </w:r>
            <w:r w:rsidR="0021216D" w:rsidRPr="00F76596">
              <w:t>“</w:t>
            </w:r>
            <w:r w:rsidRPr="00F76596">
              <w:t>European</w:t>
            </w:r>
            <w:r w:rsidR="0021216D" w:rsidRPr="00F76596">
              <w:t>”</w:t>
            </w:r>
            <w:r w:rsidRPr="00F76596">
              <w:t xml:space="preserve">, </w:t>
            </w:r>
            <w:r w:rsidR="0021216D" w:rsidRPr="00F76596">
              <w:t>“</w:t>
            </w:r>
            <w:r w:rsidRPr="00F76596">
              <w:t>American</w:t>
            </w:r>
            <w:r w:rsidR="0021216D" w:rsidRPr="00F76596">
              <w:t>”</w:t>
            </w:r>
            <w:r w:rsidRPr="00F76596">
              <w:t xml:space="preserve">, </w:t>
            </w:r>
            <w:r w:rsidR="0021216D" w:rsidRPr="00F76596">
              <w:t>“</w:t>
            </w:r>
            <w:r w:rsidRPr="00F76596">
              <w:t>Bermudan</w:t>
            </w:r>
            <w:r w:rsidR="0021216D" w:rsidRPr="00F76596">
              <w:t>” or</w:t>
            </w:r>
            <w:r w:rsidR="007921AD" w:rsidRPr="00F76596">
              <w:t xml:space="preserve"> </w:t>
            </w:r>
            <w:r w:rsidR="0021216D" w:rsidRPr="00F76596">
              <w:t>“</w:t>
            </w:r>
            <w:r w:rsidRPr="00F76596">
              <w:t>other</w:t>
            </w:r>
            <w:r w:rsidR="0021216D" w:rsidRPr="00F76596">
              <w:t>”</w:t>
            </w:r>
            <w:r w:rsidRPr="00F76596">
              <w:t>).</w:t>
            </w:r>
          </w:p>
        </w:tc>
      </w:tr>
      <w:tr w:rsidR="006F38DF" w:rsidRPr="00F76596" w14:paraId="5B43B342" w14:textId="77777777" w:rsidTr="00C54689">
        <w:tc>
          <w:tcPr>
            <w:tcW w:w="850" w:type="dxa"/>
          </w:tcPr>
          <w:p w14:paraId="667C6D57" w14:textId="77777777" w:rsidR="006F38DF" w:rsidRPr="00F76596" w:rsidRDefault="00101F8C" w:rsidP="00101F8C">
            <w:pPr>
              <w:pStyle w:val="tbltext"/>
            </w:pPr>
            <w:r w:rsidRPr="00F76596">
              <w:t>52</w:t>
            </w:r>
          </w:p>
        </w:tc>
        <w:tc>
          <w:tcPr>
            <w:tcW w:w="2105" w:type="dxa"/>
          </w:tcPr>
          <w:p w14:paraId="4E7B9CBD" w14:textId="77777777" w:rsidR="006F38DF" w:rsidRPr="00F76596" w:rsidRDefault="0025624E" w:rsidP="00BE32EF">
            <w:pPr>
              <w:pStyle w:val="tbltext"/>
            </w:pPr>
            <w:r w:rsidRPr="00F76596">
              <w:t>Barrier value</w:t>
            </w:r>
          </w:p>
        </w:tc>
        <w:tc>
          <w:tcPr>
            <w:tcW w:w="5373" w:type="dxa"/>
          </w:tcPr>
          <w:p w14:paraId="7738DB58" w14:textId="77777777" w:rsidR="006F38DF" w:rsidRPr="00F76596" w:rsidRDefault="0025624E" w:rsidP="0025624E">
            <w:pPr>
              <w:pStyle w:val="tbltext"/>
            </w:pPr>
            <w:r w:rsidRPr="00F76596">
              <w:t xml:space="preserve">If the </w:t>
            </w:r>
            <w:r w:rsidR="00F51D42" w:rsidRPr="00F76596">
              <w:t>Derivative</w:t>
            </w:r>
            <w:r w:rsidR="00BF0BA7" w:rsidRPr="00F76596">
              <w:rPr>
                <w:rFonts w:ascii="Times New Roman" w:hAnsi="Times New Roman" w:cs="Times New Roman"/>
                <w:sz w:val="22"/>
                <w:szCs w:val="22"/>
              </w:rPr>
              <w:t xml:space="preserve"> </w:t>
            </w:r>
            <w:r w:rsidR="00BF0BA7" w:rsidRPr="00F76596">
              <w:t>to which the Reportable Transaction relates</w:t>
            </w:r>
            <w:r w:rsidRPr="00F76596">
              <w:t xml:space="preserve"> includes a barrier or barriers, the rate or level of the barrier or barriers.</w:t>
            </w:r>
          </w:p>
        </w:tc>
      </w:tr>
      <w:tr w:rsidR="006F38DF" w:rsidRPr="00F76596" w14:paraId="622851F3" w14:textId="77777777" w:rsidTr="00C54689">
        <w:tc>
          <w:tcPr>
            <w:tcW w:w="850" w:type="dxa"/>
          </w:tcPr>
          <w:p w14:paraId="4F40C138" w14:textId="77777777" w:rsidR="006F38DF" w:rsidRPr="00F76596" w:rsidRDefault="00101F8C" w:rsidP="00101F8C">
            <w:pPr>
              <w:pStyle w:val="tbltext"/>
            </w:pPr>
            <w:r w:rsidRPr="00F76596">
              <w:t>53</w:t>
            </w:r>
          </w:p>
        </w:tc>
        <w:tc>
          <w:tcPr>
            <w:tcW w:w="2105" w:type="dxa"/>
          </w:tcPr>
          <w:p w14:paraId="02415DCF" w14:textId="77777777" w:rsidR="006F38DF" w:rsidRPr="00F76596" w:rsidDel="000E5439" w:rsidRDefault="006F38DF" w:rsidP="00BE32EF">
            <w:pPr>
              <w:pStyle w:val="tbltext"/>
            </w:pPr>
            <w:r w:rsidRPr="00F76596">
              <w:t>Rate reset frequency</w:t>
            </w:r>
          </w:p>
        </w:tc>
        <w:tc>
          <w:tcPr>
            <w:tcW w:w="5373" w:type="dxa"/>
          </w:tcPr>
          <w:p w14:paraId="20B88739" w14:textId="77777777" w:rsidR="006F38DF" w:rsidRPr="00F76596" w:rsidRDefault="006F38DF" w:rsidP="00BE32EF">
            <w:pPr>
              <w:pStyle w:val="tbltext"/>
            </w:pPr>
            <w:r w:rsidRPr="00F76596">
              <w:t>Frequency with which the rate leg resets</w:t>
            </w:r>
            <w:r w:rsidR="00544E9D" w:rsidRPr="00F76596">
              <w:t xml:space="preserve"> (if applicable)</w:t>
            </w:r>
            <w:r w:rsidRPr="00F76596">
              <w:t>.</w:t>
            </w:r>
          </w:p>
        </w:tc>
      </w:tr>
      <w:tr w:rsidR="006F38DF" w:rsidRPr="00F76596" w14:paraId="1A10937E" w14:textId="77777777" w:rsidTr="00C54689">
        <w:tc>
          <w:tcPr>
            <w:tcW w:w="850" w:type="dxa"/>
          </w:tcPr>
          <w:p w14:paraId="3FDCC99E" w14:textId="77777777" w:rsidR="006F38DF" w:rsidRPr="00F76596" w:rsidRDefault="005935B3" w:rsidP="005935B3">
            <w:pPr>
              <w:pStyle w:val="tbltext"/>
            </w:pPr>
            <w:r w:rsidRPr="00F76596">
              <w:t>54</w:t>
            </w:r>
          </w:p>
        </w:tc>
        <w:tc>
          <w:tcPr>
            <w:tcW w:w="2105" w:type="dxa"/>
          </w:tcPr>
          <w:p w14:paraId="142F9349" w14:textId="77777777" w:rsidR="006F38DF" w:rsidRPr="00F76596" w:rsidRDefault="006F38DF" w:rsidP="00BE32EF">
            <w:pPr>
              <w:pStyle w:val="tbltext"/>
            </w:pPr>
            <w:r w:rsidRPr="00F76596">
              <w:t>Hedging transaction</w:t>
            </w:r>
          </w:p>
        </w:tc>
        <w:tc>
          <w:tcPr>
            <w:tcW w:w="5373" w:type="dxa"/>
          </w:tcPr>
          <w:p w14:paraId="003205AE" w14:textId="77777777" w:rsidR="006F38DF" w:rsidRPr="00F76596" w:rsidRDefault="00E2536D" w:rsidP="00BE32EF">
            <w:pPr>
              <w:pStyle w:val="tbltext"/>
            </w:pPr>
            <w:r w:rsidRPr="00E2536D">
              <w:t xml:space="preserve">If the Reporting Entity is not an Australian ADI, an AFS Licensee, a CS Facility Licensee, an Exempt Foreign Licensee or a Foreign ADI, an </w:t>
            </w:r>
            <w:r w:rsidR="006F38DF" w:rsidRPr="00F76596">
              <w:t xml:space="preserve">indication of whether the </w:t>
            </w:r>
            <w:r w:rsidR="00F51D42" w:rsidRPr="00F76596">
              <w:t>Derivative</w:t>
            </w:r>
            <w:r w:rsidR="002D66B4" w:rsidRPr="00F76596">
              <w:rPr>
                <w:rFonts w:ascii="Times New Roman" w:hAnsi="Times New Roman" w:cs="Times New Roman"/>
                <w:sz w:val="22"/>
                <w:szCs w:val="22"/>
              </w:rPr>
              <w:t xml:space="preserve"> </w:t>
            </w:r>
            <w:r w:rsidR="002D66B4" w:rsidRPr="00F76596">
              <w:t>to which the Reportable Transaction relates</w:t>
            </w:r>
            <w:r w:rsidR="006F38DF" w:rsidRPr="00F76596">
              <w:t xml:space="preserve"> is entered into</w:t>
            </w:r>
            <w:r w:rsidR="00D16547" w:rsidRPr="00F76596">
              <w:t xml:space="preserve"> by the Reporting Entity</w:t>
            </w:r>
            <w:r w:rsidR="006F38DF" w:rsidRPr="00F76596">
              <w:t xml:space="preserve"> for the purpose of managing a financial risk that arises in the ordinary course of business.</w:t>
            </w:r>
          </w:p>
        </w:tc>
      </w:tr>
      <w:tr w:rsidR="006F38DF" w:rsidRPr="00F76596" w14:paraId="68BDADC5" w14:textId="77777777" w:rsidTr="00C54689">
        <w:tc>
          <w:tcPr>
            <w:tcW w:w="850" w:type="dxa"/>
          </w:tcPr>
          <w:p w14:paraId="08F713DB" w14:textId="77777777" w:rsidR="006F38DF" w:rsidRPr="00F76596" w:rsidRDefault="00075CA2" w:rsidP="00075CA2">
            <w:pPr>
              <w:pStyle w:val="tbltext"/>
            </w:pPr>
            <w:r w:rsidRPr="00F76596">
              <w:lastRenderedPageBreak/>
              <w:t>55</w:t>
            </w:r>
          </w:p>
        </w:tc>
        <w:tc>
          <w:tcPr>
            <w:tcW w:w="2105" w:type="dxa"/>
          </w:tcPr>
          <w:p w14:paraId="09C17A8E" w14:textId="77777777" w:rsidR="006F38DF" w:rsidRPr="00F76596" w:rsidRDefault="006E1D8B" w:rsidP="00BE32EF">
            <w:pPr>
              <w:pStyle w:val="tbltext"/>
            </w:pPr>
            <w:r w:rsidRPr="00F76596">
              <w:t>Action type</w:t>
            </w:r>
          </w:p>
        </w:tc>
        <w:tc>
          <w:tcPr>
            <w:tcW w:w="5373" w:type="dxa"/>
          </w:tcPr>
          <w:p w14:paraId="5E8755E2" w14:textId="2C88A1B1" w:rsidR="0039195A" w:rsidRPr="00F76596" w:rsidRDefault="0039195A" w:rsidP="00CB2B66">
            <w:pPr>
              <w:pStyle w:val="tbltext"/>
            </w:pPr>
            <w:r w:rsidRPr="00F76596">
              <w:t>A notation to indicate w</w:t>
            </w:r>
            <w:r w:rsidR="00CB2B66" w:rsidRPr="00F76596">
              <w:t>hether the report</w:t>
            </w:r>
            <w:r w:rsidR="009F5007" w:rsidRPr="00F76596">
              <w:t xml:space="preserve"> being made</w:t>
            </w:r>
            <w:r w:rsidR="004858E4" w:rsidRPr="00F76596">
              <w:t xml:space="preserve"> relates to</w:t>
            </w:r>
            <w:r w:rsidR="00CB2B66" w:rsidRPr="00F76596">
              <w:t>:</w:t>
            </w:r>
          </w:p>
          <w:p w14:paraId="08F6A943" w14:textId="77777777" w:rsidR="00981310" w:rsidRPr="00F76596" w:rsidRDefault="00E86943" w:rsidP="00BD7FD8">
            <w:pPr>
              <w:pStyle w:val="tbltext"/>
              <w:numPr>
                <w:ilvl w:val="0"/>
                <w:numId w:val="14"/>
              </w:numPr>
              <w:ind w:left="284" w:hanging="284"/>
            </w:pPr>
            <w:r w:rsidRPr="00F76596">
              <w:t xml:space="preserve">a Reportable Transaction that is an </w:t>
            </w:r>
            <w:r w:rsidR="004858E4" w:rsidRPr="00F76596">
              <w:t xml:space="preserve">entry into </w:t>
            </w:r>
            <w:r w:rsidR="008F2224" w:rsidRPr="00F76596">
              <w:t xml:space="preserve">of </w:t>
            </w:r>
            <w:r w:rsidR="004858E4" w:rsidRPr="00F76596">
              <w:t>an arrangement that is a Derivative</w:t>
            </w:r>
            <w:r w:rsidR="00CB2B66" w:rsidRPr="00F76596">
              <w:t xml:space="preserve">, in which case </w:t>
            </w:r>
            <w:r w:rsidRPr="00F76596">
              <w:t>the notation must be</w:t>
            </w:r>
            <w:r w:rsidR="00CB2B66" w:rsidRPr="00F76596">
              <w:t xml:space="preserve"> </w:t>
            </w:r>
            <w:r w:rsidR="001A4D28" w:rsidRPr="00F76596">
              <w:t>“</w:t>
            </w:r>
            <w:r w:rsidR="00CB2B66" w:rsidRPr="00F76596">
              <w:t>new</w:t>
            </w:r>
            <w:r w:rsidR="001A4D28" w:rsidRPr="00F76596">
              <w:t>”</w:t>
            </w:r>
            <w:r w:rsidR="008B2B34" w:rsidRPr="00F76596">
              <w:t>;</w:t>
            </w:r>
          </w:p>
          <w:p w14:paraId="79C81314" w14:textId="77777777" w:rsidR="00981310" w:rsidRPr="00F76596" w:rsidRDefault="00BC6A75" w:rsidP="00BD7FD8">
            <w:pPr>
              <w:pStyle w:val="tbltext"/>
              <w:numPr>
                <w:ilvl w:val="0"/>
                <w:numId w:val="14"/>
              </w:numPr>
              <w:ind w:left="284" w:hanging="284"/>
            </w:pPr>
            <w:r w:rsidRPr="00F76596">
              <w:t xml:space="preserve">a </w:t>
            </w:r>
            <w:r w:rsidR="00E86943" w:rsidRPr="00F76596">
              <w:t>Reportable Transaction that is</w:t>
            </w:r>
            <w:r w:rsidRPr="00F76596">
              <w:t xml:space="preserve"> a </w:t>
            </w:r>
            <w:r w:rsidR="009A6962" w:rsidRPr="00F76596">
              <w:t>modification of</w:t>
            </w:r>
            <w:r w:rsidR="00093F6D" w:rsidRPr="00F76596">
              <w:t xml:space="preserve"> an arrangement that is a Derivative</w:t>
            </w:r>
            <w:r w:rsidR="00CB2B66" w:rsidRPr="00F76596">
              <w:t xml:space="preserve">, in which case </w:t>
            </w:r>
            <w:r w:rsidR="00CD337C" w:rsidRPr="00F76596">
              <w:t>the notation must be</w:t>
            </w:r>
            <w:r w:rsidR="00CB2B66" w:rsidRPr="00F76596">
              <w:t xml:space="preserve"> </w:t>
            </w:r>
            <w:r w:rsidR="001A4D28" w:rsidRPr="00F76596">
              <w:t>“</w:t>
            </w:r>
            <w:r w:rsidR="00CB2B66" w:rsidRPr="00F76596">
              <w:t>modify</w:t>
            </w:r>
            <w:r w:rsidR="001A4D28" w:rsidRPr="00F76596">
              <w:t>”</w:t>
            </w:r>
            <w:r w:rsidR="00310E98" w:rsidRPr="00F76596">
              <w:t>;</w:t>
            </w:r>
          </w:p>
          <w:p w14:paraId="0B90D8C2" w14:textId="77777777" w:rsidR="00981310" w:rsidRPr="00F76596" w:rsidRDefault="00B049AC" w:rsidP="00BD7FD8">
            <w:pPr>
              <w:pStyle w:val="tbltext"/>
              <w:numPr>
                <w:ilvl w:val="0"/>
                <w:numId w:val="14"/>
              </w:numPr>
              <w:ind w:left="284" w:hanging="284"/>
            </w:pPr>
            <w:r w:rsidRPr="00F76596">
              <w:t xml:space="preserve">a Reportable Transaction that is </w:t>
            </w:r>
            <w:r w:rsidR="00CB2B66" w:rsidRPr="00F76596">
              <w:t>a termination of a</w:t>
            </w:r>
            <w:r w:rsidRPr="00F76596">
              <w:t>n arrangement that is a</w:t>
            </w:r>
            <w:r w:rsidR="00F764B5" w:rsidRPr="00F76596">
              <w:t xml:space="preserve"> </w:t>
            </w:r>
            <w:r w:rsidR="00F51D42" w:rsidRPr="00F76596">
              <w:t>Derivative</w:t>
            </w:r>
            <w:r w:rsidR="00CB2B66" w:rsidRPr="00F76596">
              <w:t xml:space="preserve">, in which case </w:t>
            </w:r>
            <w:r w:rsidR="007E4216" w:rsidRPr="00F76596">
              <w:t>the notation must be</w:t>
            </w:r>
            <w:r w:rsidR="00CB2B66" w:rsidRPr="00F76596">
              <w:t xml:space="preserve"> </w:t>
            </w:r>
            <w:r w:rsidR="001A4D28" w:rsidRPr="00F76596">
              <w:t>“</w:t>
            </w:r>
            <w:r w:rsidR="00CB2B66" w:rsidRPr="00F76596">
              <w:t>cancel</w:t>
            </w:r>
            <w:r w:rsidR="001A4D28" w:rsidRPr="00F76596">
              <w:t>”</w:t>
            </w:r>
            <w:r w:rsidR="00CB2B66" w:rsidRPr="00F76596">
              <w:t>;</w:t>
            </w:r>
            <w:r w:rsidR="00F64135" w:rsidRPr="00F76596">
              <w:t xml:space="preserve"> or</w:t>
            </w:r>
          </w:p>
          <w:p w14:paraId="4ED852EF" w14:textId="77777777" w:rsidR="00981310" w:rsidRPr="00F76596" w:rsidRDefault="00CB2B66" w:rsidP="00BD7FD8">
            <w:pPr>
              <w:pStyle w:val="tbltext"/>
              <w:numPr>
                <w:ilvl w:val="0"/>
                <w:numId w:val="14"/>
              </w:numPr>
              <w:ind w:left="284" w:hanging="284"/>
            </w:pPr>
            <w:r w:rsidRPr="00F76596">
              <w:t xml:space="preserve">a compression of </w:t>
            </w:r>
            <w:r w:rsidR="00F56F1E" w:rsidRPr="00F76596">
              <w:t>a</w:t>
            </w:r>
            <w:r w:rsidRPr="00F76596">
              <w:t xml:space="preserve"> </w:t>
            </w:r>
            <w:r w:rsidR="00F51D42" w:rsidRPr="00F76596">
              <w:t>Derivative</w:t>
            </w:r>
            <w:r w:rsidRPr="00F76596">
              <w:t xml:space="preserve">, in which case </w:t>
            </w:r>
            <w:r w:rsidR="003A0B4F" w:rsidRPr="00F76596">
              <w:t>the notation must be</w:t>
            </w:r>
            <w:r w:rsidRPr="00F76596">
              <w:t xml:space="preserve"> </w:t>
            </w:r>
            <w:r w:rsidR="001A4D28" w:rsidRPr="00F76596">
              <w:t>“</w:t>
            </w:r>
            <w:r w:rsidRPr="00F76596">
              <w:t>compression</w:t>
            </w:r>
            <w:r w:rsidR="001A4D28" w:rsidRPr="00F76596">
              <w:t>”</w:t>
            </w:r>
            <w:r w:rsidR="00F64135" w:rsidRPr="00F76596">
              <w:t>.</w:t>
            </w:r>
          </w:p>
          <w:p w14:paraId="5BF2671A" w14:textId="77777777" w:rsidR="00135FAF" w:rsidRPr="00F76596" w:rsidRDefault="00135FAF" w:rsidP="00135FAF">
            <w:pPr>
              <w:pStyle w:val="tbltext"/>
            </w:pPr>
            <w:r w:rsidRPr="00F76596">
              <w:t xml:space="preserve">For the purposes of </w:t>
            </w:r>
            <w:r w:rsidR="00C325C6" w:rsidRPr="00F76596">
              <w:t>subr</w:t>
            </w:r>
            <w:r w:rsidRPr="00F76596">
              <w:t>ule 2.2.2</w:t>
            </w:r>
            <w:r w:rsidR="00C325C6" w:rsidRPr="00F76596">
              <w:t>(1)</w:t>
            </w:r>
            <w:r w:rsidRPr="00F76596">
              <w:t xml:space="preserve">, </w:t>
            </w:r>
            <w:r w:rsidR="00C325C6" w:rsidRPr="00F76596">
              <w:t>a notation to indicate whether the change relates to</w:t>
            </w:r>
            <w:r w:rsidRPr="00F76596">
              <w:t>:</w:t>
            </w:r>
          </w:p>
          <w:p w14:paraId="7D6A26D6" w14:textId="77777777" w:rsidR="000A44AE" w:rsidRPr="00F76596" w:rsidRDefault="000A44AE" w:rsidP="000A44AE">
            <w:pPr>
              <w:pStyle w:val="tbltext"/>
              <w:numPr>
                <w:ilvl w:val="0"/>
                <w:numId w:val="36"/>
              </w:numPr>
            </w:pPr>
            <w:r w:rsidRPr="00F76596">
              <w:t>a cancellation of a</w:t>
            </w:r>
            <w:r w:rsidR="004D22F7" w:rsidRPr="00F76596">
              <w:t xml:space="preserve"> </w:t>
            </w:r>
            <w:r w:rsidRPr="00F76596">
              <w:t xml:space="preserve">report </w:t>
            </w:r>
            <w:r w:rsidR="00103F7B" w:rsidRPr="00F76596">
              <w:t xml:space="preserve">previously </w:t>
            </w:r>
            <w:r w:rsidR="0044621D" w:rsidRPr="00F76596">
              <w:t xml:space="preserve">made </w:t>
            </w:r>
            <w:r w:rsidRPr="00F76596">
              <w:t>in error, in which case, the notation must be “error”;</w:t>
            </w:r>
          </w:p>
          <w:p w14:paraId="6C60CA23" w14:textId="77777777" w:rsidR="007B6F1D" w:rsidRPr="00F76596" w:rsidRDefault="007B6F1D" w:rsidP="007B6F1D">
            <w:pPr>
              <w:pStyle w:val="tbltext"/>
              <w:numPr>
                <w:ilvl w:val="0"/>
                <w:numId w:val="36"/>
              </w:numPr>
            </w:pPr>
            <w:r w:rsidRPr="00F76596">
              <w:t xml:space="preserve">a </w:t>
            </w:r>
            <w:r w:rsidR="004C008A" w:rsidRPr="00F76596">
              <w:t xml:space="preserve">change or </w:t>
            </w:r>
            <w:r w:rsidRPr="00F76596">
              <w:t xml:space="preserve">update </w:t>
            </w:r>
            <w:r w:rsidR="004C008A" w:rsidRPr="00F76596">
              <w:t>to</w:t>
            </w:r>
            <w:r w:rsidRPr="00F76596">
              <w:t xml:space="preserve"> </w:t>
            </w:r>
            <w:r w:rsidR="00D946D0" w:rsidRPr="00F76596">
              <w:t>the</w:t>
            </w:r>
            <w:r w:rsidRPr="00F76596">
              <w:t xml:space="preserve"> </w:t>
            </w:r>
            <w:r w:rsidR="00E058EB" w:rsidRPr="00F76596">
              <w:t>information referred to in</w:t>
            </w:r>
            <w:r w:rsidR="004C008A" w:rsidRPr="00F76596">
              <w:t xml:space="preserve"> items </w:t>
            </w:r>
            <w:r w:rsidR="003F66D4" w:rsidRPr="00F76596">
              <w:t>30</w:t>
            </w:r>
            <w:r w:rsidR="004C008A" w:rsidRPr="00F76596">
              <w:t>–</w:t>
            </w:r>
            <w:r w:rsidR="003F66D4" w:rsidRPr="00F76596">
              <w:t>32</w:t>
            </w:r>
            <w:r w:rsidR="004C008A" w:rsidRPr="00F76596">
              <w:t xml:space="preserve"> (mark-to-market</w:t>
            </w:r>
            <w:r w:rsidR="003F66D4" w:rsidRPr="00F76596">
              <w:t>, mark-to-model, or other</w:t>
            </w:r>
            <w:r w:rsidR="004C008A" w:rsidRPr="00F76596">
              <w:t xml:space="preserve"> valuation)</w:t>
            </w:r>
            <w:r w:rsidR="00C36AB4" w:rsidRPr="00F76596">
              <w:t xml:space="preserve"> or items </w:t>
            </w:r>
            <w:r w:rsidR="00C20775" w:rsidRPr="00F76596">
              <w:t>40</w:t>
            </w:r>
            <w:r w:rsidR="00C36AB4" w:rsidRPr="00F76596">
              <w:t>–</w:t>
            </w:r>
            <w:r w:rsidR="00C20775" w:rsidRPr="00F76596">
              <w:t>44</w:t>
            </w:r>
            <w:r w:rsidR="00C36AB4" w:rsidRPr="00F76596">
              <w:t xml:space="preserve"> (collateral)</w:t>
            </w:r>
            <w:r w:rsidRPr="00F76596">
              <w:t xml:space="preserve">, in which case </w:t>
            </w:r>
            <w:r w:rsidR="004C008A" w:rsidRPr="00F76596">
              <w:t>the notation</w:t>
            </w:r>
            <w:r w:rsidRPr="00F76596">
              <w:t xml:space="preserve"> must be “valuation update”; </w:t>
            </w:r>
            <w:r w:rsidR="002A4717" w:rsidRPr="00F76596">
              <w:t>or</w:t>
            </w:r>
          </w:p>
          <w:p w14:paraId="58379E38" w14:textId="77777777" w:rsidR="00135FAF" w:rsidRPr="00F76596" w:rsidRDefault="004539E2" w:rsidP="00944DA4">
            <w:pPr>
              <w:pStyle w:val="tbltext"/>
              <w:numPr>
                <w:ilvl w:val="0"/>
                <w:numId w:val="36"/>
              </w:numPr>
            </w:pPr>
            <w:r w:rsidRPr="00F76596">
              <w:t>any other amendment</w:t>
            </w:r>
            <w:r w:rsidR="009453D5" w:rsidRPr="00F76596">
              <w:t>s</w:t>
            </w:r>
            <w:r w:rsidRPr="00F76596">
              <w:t xml:space="preserve"> to </w:t>
            </w:r>
            <w:r w:rsidR="009453D5" w:rsidRPr="00F76596">
              <w:t>a</w:t>
            </w:r>
            <w:r w:rsidRPr="00F76596">
              <w:t xml:space="preserve"> </w:t>
            </w:r>
            <w:r w:rsidR="00944DA4" w:rsidRPr="00F76596">
              <w:t xml:space="preserve">report </w:t>
            </w:r>
            <w:r w:rsidR="00103F7B" w:rsidRPr="00F76596">
              <w:t xml:space="preserve">previously </w:t>
            </w:r>
            <w:r w:rsidR="00944DA4" w:rsidRPr="00F76596">
              <w:t>made</w:t>
            </w:r>
            <w:r w:rsidRPr="00F76596">
              <w:t xml:space="preserve">, in which case </w:t>
            </w:r>
            <w:r w:rsidR="008C6810" w:rsidRPr="00F76596">
              <w:t>the notation</w:t>
            </w:r>
            <w:r w:rsidRPr="00F76596">
              <w:t xml:space="preserve"> must be “other”.</w:t>
            </w:r>
          </w:p>
        </w:tc>
      </w:tr>
    </w:tbl>
    <w:p w14:paraId="4FC06031" w14:textId="77777777" w:rsidR="006F38DF" w:rsidRPr="00F76596" w:rsidRDefault="006F38DF" w:rsidP="006F38DF">
      <w:pPr>
        <w:pStyle w:val="tabletitlefullwidth"/>
        <w:ind w:left="851" w:firstLine="0"/>
      </w:pPr>
      <w:r w:rsidRPr="00F76596">
        <w:t xml:space="preserve">Table </w:t>
      </w:r>
      <w:r w:rsidR="001334C1" w:rsidRPr="00F76596">
        <w:t>S2.1(</w:t>
      </w:r>
      <w:r w:rsidRPr="00F76596">
        <w:t>2</w:t>
      </w:r>
      <w:r w:rsidR="001334C1"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39"/>
        <w:gridCol w:w="2069"/>
        <w:gridCol w:w="5226"/>
      </w:tblGrid>
      <w:tr w:rsidR="006F38DF" w:rsidRPr="00F76596" w14:paraId="5392EC8A" w14:textId="77777777" w:rsidTr="0002494D">
        <w:trPr>
          <w:cantSplit/>
          <w:tblHeader/>
        </w:trPr>
        <w:tc>
          <w:tcPr>
            <w:tcW w:w="849" w:type="dxa"/>
            <w:shd w:val="clear" w:color="auto" w:fill="C2E3FA"/>
          </w:tcPr>
          <w:p w14:paraId="22371AC8" w14:textId="77777777"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14:paraId="370B4279" w14:textId="77777777"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14:paraId="4601F14D" w14:textId="77777777" w:rsidR="006F38DF" w:rsidRPr="00F76596" w:rsidRDefault="00C54689"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14:paraId="025EA47B" w14:textId="77777777" w:rsidTr="0002494D">
        <w:trPr>
          <w:cantSplit/>
        </w:trPr>
        <w:tc>
          <w:tcPr>
            <w:tcW w:w="849" w:type="dxa"/>
          </w:tcPr>
          <w:p w14:paraId="4689549B" w14:textId="77777777" w:rsidR="006F38DF" w:rsidRPr="00F76596" w:rsidRDefault="006F38DF" w:rsidP="00BE32EF">
            <w:pPr>
              <w:pStyle w:val="tbltext"/>
            </w:pPr>
            <w:r w:rsidRPr="00F76596">
              <w:t>1</w:t>
            </w:r>
          </w:p>
        </w:tc>
        <w:tc>
          <w:tcPr>
            <w:tcW w:w="2104" w:type="dxa"/>
          </w:tcPr>
          <w:p w14:paraId="1D7F9C6C" w14:textId="77777777" w:rsidR="006F38DF" w:rsidRPr="00F76596" w:rsidRDefault="006F38DF" w:rsidP="00BE32EF">
            <w:pPr>
              <w:pStyle w:val="tbltext"/>
            </w:pPr>
            <w:r w:rsidRPr="00F76596">
              <w:t>Notional amount</w:t>
            </w:r>
          </w:p>
        </w:tc>
        <w:tc>
          <w:tcPr>
            <w:tcW w:w="5375" w:type="dxa"/>
          </w:tcPr>
          <w:p w14:paraId="43A0941B" w14:textId="77777777" w:rsidR="006F38DF" w:rsidRPr="00F76596" w:rsidRDefault="006F38DF" w:rsidP="00C936DE">
            <w:pPr>
              <w:pStyle w:val="tbltext"/>
            </w:pPr>
            <w:r w:rsidRPr="00F76596">
              <w:t>The total notional amount</w:t>
            </w:r>
            <w:r w:rsidR="0025624E" w:rsidRPr="00F76596">
              <w:t>,</w:t>
            </w:r>
            <w:r w:rsidRPr="00F76596">
              <w:t xml:space="preserve"> or total quantity in the unit of measure of the commodity</w:t>
            </w:r>
            <w:r w:rsidR="00C936DE" w:rsidRPr="00F76596">
              <w:t xml:space="preserve"> underlying the De</w:t>
            </w:r>
            <w:r w:rsidR="00583209" w:rsidRPr="00F76596">
              <w:t>rivative to which the Reportable</w:t>
            </w:r>
            <w:r w:rsidR="00C936DE" w:rsidRPr="00F76596">
              <w:t xml:space="preserve"> Transaction relates</w:t>
            </w:r>
            <w:r w:rsidR="0025624E" w:rsidRPr="00F76596">
              <w:t xml:space="preserve">, or payout where a fixed payment is made at maturity based on certain conditions being met at expiry or during the life of the </w:t>
            </w:r>
            <w:r w:rsidR="00F51D42" w:rsidRPr="00F76596">
              <w:t>Derivative</w:t>
            </w:r>
            <w:r w:rsidR="00E80FEF" w:rsidRPr="00F76596">
              <w:t xml:space="preserve"> to which the Reportable Transaction relates</w:t>
            </w:r>
            <w:r w:rsidRPr="00F76596">
              <w:t>.</w:t>
            </w:r>
          </w:p>
        </w:tc>
      </w:tr>
      <w:tr w:rsidR="006F38DF" w:rsidRPr="00F76596" w14:paraId="77B6A914" w14:textId="77777777" w:rsidTr="0002494D">
        <w:trPr>
          <w:cantSplit/>
        </w:trPr>
        <w:tc>
          <w:tcPr>
            <w:tcW w:w="849" w:type="dxa"/>
          </w:tcPr>
          <w:p w14:paraId="03D8BFE7" w14:textId="77777777" w:rsidR="006F38DF" w:rsidRPr="00F76596" w:rsidRDefault="006F38DF" w:rsidP="00BE32EF">
            <w:pPr>
              <w:pStyle w:val="tbltext"/>
            </w:pPr>
            <w:r w:rsidRPr="00F76596">
              <w:t>2</w:t>
            </w:r>
          </w:p>
        </w:tc>
        <w:tc>
          <w:tcPr>
            <w:tcW w:w="2104" w:type="dxa"/>
          </w:tcPr>
          <w:p w14:paraId="2D46C3C2" w14:textId="77777777" w:rsidR="006F38DF" w:rsidRPr="00F76596" w:rsidRDefault="006F38DF" w:rsidP="00BE32EF">
            <w:pPr>
              <w:pStyle w:val="tbltext"/>
            </w:pPr>
            <w:r w:rsidRPr="00F76596">
              <w:t>Notional currency</w:t>
            </w:r>
          </w:p>
        </w:tc>
        <w:tc>
          <w:tcPr>
            <w:tcW w:w="5375" w:type="dxa"/>
          </w:tcPr>
          <w:p w14:paraId="0ED0B4D9" w14:textId="77777777" w:rsidR="006F38DF" w:rsidRPr="00F76596" w:rsidRDefault="006F38DF" w:rsidP="009F0C67">
            <w:pPr>
              <w:pStyle w:val="tbltext"/>
            </w:pPr>
            <w:r w:rsidRPr="00F76596">
              <w:t xml:space="preserve">The currency of the </w:t>
            </w:r>
            <w:r w:rsidR="00BD0E0B" w:rsidRPr="00F76596">
              <w:t xml:space="preserve">total </w:t>
            </w:r>
            <w:r w:rsidRPr="00F76596">
              <w:t xml:space="preserve">notional amount </w:t>
            </w:r>
            <w:r w:rsidR="00BD0E0B" w:rsidRPr="00F76596">
              <w:t xml:space="preserve">or payout (if applicable) </w:t>
            </w:r>
            <w:r w:rsidR="009F0C67" w:rsidRPr="00F76596">
              <w:t>identifi</w:t>
            </w:r>
            <w:r w:rsidR="001E2F29" w:rsidRPr="00F76596">
              <w:t>ed under</w:t>
            </w:r>
            <w:r w:rsidRPr="00F76596">
              <w:t xml:space="preserve"> item 1.</w:t>
            </w:r>
          </w:p>
        </w:tc>
      </w:tr>
      <w:tr w:rsidR="006F38DF" w:rsidRPr="00F76596" w14:paraId="7E36C371" w14:textId="77777777" w:rsidTr="0002494D">
        <w:trPr>
          <w:cantSplit/>
        </w:trPr>
        <w:tc>
          <w:tcPr>
            <w:tcW w:w="849" w:type="dxa"/>
          </w:tcPr>
          <w:p w14:paraId="35816E52" w14:textId="77777777" w:rsidR="006F38DF" w:rsidRPr="00F76596" w:rsidRDefault="006F38DF" w:rsidP="00BE32EF">
            <w:pPr>
              <w:pStyle w:val="tbltext"/>
            </w:pPr>
            <w:r w:rsidRPr="00F76596">
              <w:t>3</w:t>
            </w:r>
          </w:p>
        </w:tc>
        <w:tc>
          <w:tcPr>
            <w:tcW w:w="2104" w:type="dxa"/>
            <w:vAlign w:val="bottom"/>
          </w:tcPr>
          <w:p w14:paraId="4172205F" w14:textId="77777777" w:rsidR="006F38DF" w:rsidRPr="00F76596" w:rsidRDefault="006F38DF" w:rsidP="00BE32EF">
            <w:pPr>
              <w:pStyle w:val="tbltext"/>
            </w:pPr>
            <w:r w:rsidRPr="00F76596">
              <w:t>Grade</w:t>
            </w:r>
          </w:p>
        </w:tc>
        <w:tc>
          <w:tcPr>
            <w:tcW w:w="5375" w:type="dxa"/>
          </w:tcPr>
          <w:p w14:paraId="5250BB85" w14:textId="77777777" w:rsidR="006F38DF" w:rsidRPr="00F76596" w:rsidRDefault="006F38DF" w:rsidP="00BE32EF">
            <w:pPr>
              <w:pStyle w:val="tbltext"/>
            </w:pPr>
            <w:r w:rsidRPr="00F76596">
              <w:t>The grade of product being delivered.</w:t>
            </w:r>
          </w:p>
        </w:tc>
      </w:tr>
      <w:tr w:rsidR="006F38DF" w:rsidRPr="00F76596" w14:paraId="0347BAA8" w14:textId="77777777" w:rsidTr="0002494D">
        <w:trPr>
          <w:cantSplit/>
        </w:trPr>
        <w:tc>
          <w:tcPr>
            <w:tcW w:w="849" w:type="dxa"/>
          </w:tcPr>
          <w:p w14:paraId="15F4B5FF" w14:textId="77777777" w:rsidR="006F38DF" w:rsidRPr="00F76596" w:rsidRDefault="006F38DF" w:rsidP="00BE32EF">
            <w:pPr>
              <w:pStyle w:val="tbltext"/>
            </w:pPr>
            <w:r w:rsidRPr="00F76596">
              <w:t>4</w:t>
            </w:r>
          </w:p>
        </w:tc>
        <w:tc>
          <w:tcPr>
            <w:tcW w:w="2104" w:type="dxa"/>
          </w:tcPr>
          <w:p w14:paraId="67F6B97F" w14:textId="77777777" w:rsidR="006F38DF" w:rsidRPr="00F76596" w:rsidRDefault="006F38DF" w:rsidP="00246783">
            <w:pPr>
              <w:pStyle w:val="tbltext"/>
            </w:pPr>
            <w:r w:rsidRPr="00F76596">
              <w:t>Amount of upfront payment, if any</w:t>
            </w:r>
          </w:p>
        </w:tc>
        <w:tc>
          <w:tcPr>
            <w:tcW w:w="5375" w:type="dxa"/>
          </w:tcPr>
          <w:p w14:paraId="7F37305F" w14:textId="77777777" w:rsidR="006F38DF" w:rsidRPr="00F76596" w:rsidRDefault="006F38DF" w:rsidP="00BE32EF">
            <w:pPr>
              <w:pStyle w:val="tbltext"/>
            </w:pPr>
            <w:r w:rsidRPr="00F76596">
              <w:t xml:space="preserve">The amount of any upfront payment the Reporting Counterparty </w:t>
            </w:r>
            <w:r w:rsidR="002B47DE" w:rsidRPr="00F76596">
              <w:t xml:space="preserve">has </w:t>
            </w:r>
            <w:r w:rsidRPr="00F76596">
              <w:t>made or received</w:t>
            </w:r>
            <w:r w:rsidR="00C87401" w:rsidRPr="00F76596">
              <w:t xml:space="preserve"> in relation to the Derivative to which the Reportable Transaction relates</w:t>
            </w:r>
            <w:r w:rsidRPr="00F76596">
              <w:t>.</w:t>
            </w:r>
          </w:p>
        </w:tc>
      </w:tr>
      <w:tr w:rsidR="006F38DF" w:rsidRPr="00F76596" w14:paraId="1654141B" w14:textId="77777777" w:rsidTr="0002494D">
        <w:trPr>
          <w:cantSplit/>
        </w:trPr>
        <w:tc>
          <w:tcPr>
            <w:tcW w:w="849" w:type="dxa"/>
          </w:tcPr>
          <w:p w14:paraId="71D0622B" w14:textId="77777777" w:rsidR="006F38DF" w:rsidRPr="00F76596" w:rsidRDefault="006F38DF" w:rsidP="00BE32EF">
            <w:pPr>
              <w:pStyle w:val="tbltext"/>
            </w:pPr>
            <w:r w:rsidRPr="00F76596">
              <w:t>5</w:t>
            </w:r>
          </w:p>
        </w:tc>
        <w:tc>
          <w:tcPr>
            <w:tcW w:w="2104" w:type="dxa"/>
          </w:tcPr>
          <w:p w14:paraId="62531318" w14:textId="77777777" w:rsidR="006F38DF" w:rsidRPr="00F76596" w:rsidRDefault="001C1EAB" w:rsidP="00BE32EF">
            <w:pPr>
              <w:pStyle w:val="tbltext"/>
            </w:pPr>
            <w:r w:rsidRPr="00F76596">
              <w:t>Payment frequency</w:t>
            </w:r>
          </w:p>
        </w:tc>
        <w:tc>
          <w:tcPr>
            <w:tcW w:w="5375" w:type="dxa"/>
          </w:tcPr>
          <w:p w14:paraId="281059DC" w14:textId="77777777" w:rsidR="006F38DF" w:rsidRPr="00F76596" w:rsidRDefault="006F38DF" w:rsidP="00EA4F8E">
            <w:pPr>
              <w:pStyle w:val="tbltext"/>
            </w:pPr>
            <w:r w:rsidRPr="00F76596">
              <w:t>The dates</w:t>
            </w:r>
            <w:r w:rsidR="00C42A51" w:rsidRPr="00F76596">
              <w:t xml:space="preserve"> on</w:t>
            </w:r>
            <w:r w:rsidR="00EA4F8E" w:rsidRPr="00F76596">
              <w:t>, or frequency with</w:t>
            </w:r>
            <w:r w:rsidR="00C42A51" w:rsidRPr="00F76596">
              <w:t xml:space="preserve"> which</w:t>
            </w:r>
            <w:r w:rsidR="00EA4F8E" w:rsidRPr="00F76596">
              <w:t>,</w:t>
            </w:r>
            <w:r w:rsidRPr="00F76596">
              <w:t xml:space="preserve"> the</w:t>
            </w:r>
            <w:r w:rsidR="00C87401" w:rsidRPr="00F76596">
              <w:t xml:space="preserve"> agreement </w:t>
            </w:r>
            <w:r w:rsidR="00BF0C02" w:rsidRPr="00F76596">
              <w:t xml:space="preserve">executed </w:t>
            </w:r>
            <w:r w:rsidR="00C87401" w:rsidRPr="00F76596">
              <w:t>in relation to the Derivative to which the Reportable</w:t>
            </w:r>
            <w:r w:rsidRPr="00F76596">
              <w:t xml:space="preserve"> Transaction</w:t>
            </w:r>
            <w:r w:rsidR="00F62AA2" w:rsidRPr="00F76596">
              <w:t xml:space="preserve"> relates</w:t>
            </w:r>
            <w:r w:rsidRPr="00F76596">
              <w:t xml:space="preserve"> requires payments to be made.</w:t>
            </w:r>
          </w:p>
        </w:tc>
      </w:tr>
      <w:tr w:rsidR="006F38DF" w:rsidRPr="00F76596" w14:paraId="460EEE18" w14:textId="77777777" w:rsidTr="0002494D">
        <w:trPr>
          <w:cantSplit/>
        </w:trPr>
        <w:tc>
          <w:tcPr>
            <w:tcW w:w="849" w:type="dxa"/>
          </w:tcPr>
          <w:p w14:paraId="329418B7" w14:textId="77777777" w:rsidR="006F38DF" w:rsidRPr="00F76596" w:rsidRDefault="006F38DF" w:rsidP="00BE32EF">
            <w:pPr>
              <w:pStyle w:val="tbltext"/>
            </w:pPr>
            <w:r w:rsidRPr="00F76596">
              <w:lastRenderedPageBreak/>
              <w:t>6</w:t>
            </w:r>
          </w:p>
        </w:tc>
        <w:tc>
          <w:tcPr>
            <w:tcW w:w="2104" w:type="dxa"/>
          </w:tcPr>
          <w:p w14:paraId="7684F433" w14:textId="77777777" w:rsidR="006F38DF" w:rsidRPr="00F76596" w:rsidRDefault="006F38DF" w:rsidP="00BE32EF">
            <w:pPr>
              <w:pStyle w:val="tbltext"/>
            </w:pPr>
            <w:r w:rsidRPr="00F76596">
              <w:t>Quantity unit</w:t>
            </w:r>
          </w:p>
        </w:tc>
        <w:tc>
          <w:tcPr>
            <w:tcW w:w="5375" w:type="dxa"/>
          </w:tcPr>
          <w:p w14:paraId="659952EB" w14:textId="77777777" w:rsidR="006F38DF" w:rsidRPr="00F76596" w:rsidRDefault="006F38DF" w:rsidP="00BE32EF">
            <w:pPr>
              <w:pStyle w:val="tbltext"/>
            </w:pPr>
            <w:r w:rsidRPr="00F76596">
              <w:t xml:space="preserve">A unit to measure the quantity of each side of the </w:t>
            </w:r>
            <w:r w:rsidR="00E87DB0" w:rsidRPr="00F76596">
              <w:t xml:space="preserve">Derivative to which the Reportable </w:t>
            </w:r>
            <w:r w:rsidR="00A4497A" w:rsidRPr="00F76596">
              <w:t>Transaction</w:t>
            </w:r>
            <w:r w:rsidR="003B3BB3" w:rsidRPr="00F76596">
              <w:t xml:space="preserve"> relates</w:t>
            </w:r>
            <w:r w:rsidRPr="00F76596">
              <w:t xml:space="preserve"> (e.g. barrels, bushels).</w:t>
            </w:r>
          </w:p>
        </w:tc>
      </w:tr>
      <w:tr w:rsidR="006F38DF" w:rsidRPr="00F76596" w14:paraId="64BC00C5" w14:textId="77777777" w:rsidTr="0002494D">
        <w:trPr>
          <w:cantSplit/>
        </w:trPr>
        <w:tc>
          <w:tcPr>
            <w:tcW w:w="849" w:type="dxa"/>
          </w:tcPr>
          <w:p w14:paraId="45D0D7B3" w14:textId="77777777" w:rsidR="006F38DF" w:rsidRPr="00F76596" w:rsidRDefault="006F38DF" w:rsidP="00BE32EF">
            <w:pPr>
              <w:pStyle w:val="tbltext"/>
            </w:pPr>
            <w:r w:rsidRPr="00F76596">
              <w:t>7</w:t>
            </w:r>
          </w:p>
        </w:tc>
        <w:tc>
          <w:tcPr>
            <w:tcW w:w="2104" w:type="dxa"/>
          </w:tcPr>
          <w:p w14:paraId="77EFC4B7" w14:textId="77777777" w:rsidR="006F38DF" w:rsidRPr="00F76596" w:rsidRDefault="006F38DF" w:rsidP="00BE32EF">
            <w:pPr>
              <w:pStyle w:val="tbltext"/>
            </w:pPr>
            <w:r w:rsidRPr="00F76596">
              <w:t>Quantity</w:t>
            </w:r>
          </w:p>
        </w:tc>
        <w:tc>
          <w:tcPr>
            <w:tcW w:w="5375" w:type="dxa"/>
          </w:tcPr>
          <w:p w14:paraId="445AA6C1" w14:textId="77777777" w:rsidR="006F38DF" w:rsidRPr="00F76596" w:rsidRDefault="006F38DF" w:rsidP="00BE32EF">
            <w:pPr>
              <w:pStyle w:val="tbltext"/>
            </w:pPr>
            <w:r w:rsidRPr="00F76596">
              <w:t xml:space="preserve">The amount of the commodity (the number of quantity units) quoted on the </w:t>
            </w:r>
            <w:r w:rsidR="00F51D42" w:rsidRPr="00F76596">
              <w:t>Derivative</w:t>
            </w:r>
            <w:r w:rsidR="00255F9D" w:rsidRPr="00F76596">
              <w:t xml:space="preserve"> to which the Reportable Transaction relates</w:t>
            </w:r>
            <w:r w:rsidRPr="00F76596">
              <w:t>.</w:t>
            </w:r>
          </w:p>
        </w:tc>
      </w:tr>
      <w:tr w:rsidR="006F38DF" w:rsidRPr="00F76596" w14:paraId="41906670" w14:textId="77777777" w:rsidTr="0002494D">
        <w:trPr>
          <w:cantSplit/>
        </w:trPr>
        <w:tc>
          <w:tcPr>
            <w:tcW w:w="849" w:type="dxa"/>
          </w:tcPr>
          <w:p w14:paraId="1B766A6C" w14:textId="77777777" w:rsidR="006F38DF" w:rsidRPr="00F76596" w:rsidRDefault="006F38DF" w:rsidP="00BE32EF">
            <w:pPr>
              <w:pStyle w:val="tbltext"/>
            </w:pPr>
            <w:r w:rsidRPr="00F76596">
              <w:t>8</w:t>
            </w:r>
          </w:p>
        </w:tc>
        <w:tc>
          <w:tcPr>
            <w:tcW w:w="2104" w:type="dxa"/>
          </w:tcPr>
          <w:p w14:paraId="28DD7772" w14:textId="77777777" w:rsidR="006F38DF" w:rsidRPr="00F76596" w:rsidRDefault="006F38DF" w:rsidP="00BE32EF">
            <w:pPr>
              <w:pStyle w:val="tbltext"/>
            </w:pPr>
            <w:r w:rsidRPr="00F76596">
              <w:t>Quantity frequency</w:t>
            </w:r>
          </w:p>
        </w:tc>
        <w:tc>
          <w:tcPr>
            <w:tcW w:w="5375" w:type="dxa"/>
          </w:tcPr>
          <w:p w14:paraId="533C0B75" w14:textId="77777777" w:rsidR="006F38DF" w:rsidRPr="00F76596" w:rsidRDefault="006F38DF" w:rsidP="00BE32EF">
            <w:pPr>
              <w:pStyle w:val="tbltext"/>
            </w:pPr>
            <w:r w:rsidRPr="00F76596">
              <w:t xml:space="preserve">The rate at which the quantity is quoted on the </w:t>
            </w:r>
            <w:r w:rsidR="00F51D42" w:rsidRPr="00F76596">
              <w:t>Derivative</w:t>
            </w:r>
            <w:r w:rsidR="00C619F3" w:rsidRPr="00F76596">
              <w:t xml:space="preserve"> to which the Reportable Transaction relates</w:t>
            </w:r>
            <w:r w:rsidRPr="00F76596">
              <w:t xml:space="preserve"> (e.g. hourly, daily, weekly, monthly).</w:t>
            </w:r>
          </w:p>
        </w:tc>
      </w:tr>
      <w:tr w:rsidR="006F38DF" w:rsidRPr="00F76596" w14:paraId="181764A3" w14:textId="77777777" w:rsidTr="0002494D">
        <w:trPr>
          <w:cantSplit/>
        </w:trPr>
        <w:tc>
          <w:tcPr>
            <w:tcW w:w="849" w:type="dxa"/>
          </w:tcPr>
          <w:p w14:paraId="5BB6B5D8" w14:textId="77777777" w:rsidR="006F38DF" w:rsidRPr="00F76596" w:rsidRDefault="006F38DF" w:rsidP="00BE32EF">
            <w:pPr>
              <w:pStyle w:val="tbltext"/>
            </w:pPr>
            <w:r w:rsidRPr="00F76596">
              <w:t>9</w:t>
            </w:r>
          </w:p>
        </w:tc>
        <w:tc>
          <w:tcPr>
            <w:tcW w:w="2104" w:type="dxa"/>
          </w:tcPr>
          <w:p w14:paraId="0B6B1389" w14:textId="77777777" w:rsidR="006F38DF" w:rsidRPr="00F76596" w:rsidRDefault="006F38DF" w:rsidP="00A25989">
            <w:pPr>
              <w:pStyle w:val="tbltext"/>
            </w:pPr>
            <w:r w:rsidRPr="00F76596">
              <w:t>Total quantity</w:t>
            </w:r>
          </w:p>
        </w:tc>
        <w:tc>
          <w:tcPr>
            <w:tcW w:w="5375" w:type="dxa"/>
          </w:tcPr>
          <w:p w14:paraId="25D9301C" w14:textId="77777777" w:rsidR="006F38DF" w:rsidRPr="00F76596" w:rsidRDefault="006F38DF" w:rsidP="00BE32EF">
            <w:pPr>
              <w:pStyle w:val="tbltext"/>
            </w:pPr>
            <w:r w:rsidRPr="00F76596">
              <w:t xml:space="preserve">The quantity of the commodity for the entire term of the </w:t>
            </w:r>
            <w:r w:rsidR="00F51D42" w:rsidRPr="00F76596">
              <w:t>Derivative</w:t>
            </w:r>
            <w:r w:rsidR="00B852F5" w:rsidRPr="00F76596">
              <w:t xml:space="preserve"> to which the Reportable Transaction relates</w:t>
            </w:r>
            <w:r w:rsidRPr="00F76596">
              <w:t>.</w:t>
            </w:r>
          </w:p>
        </w:tc>
      </w:tr>
      <w:tr w:rsidR="006F38DF" w:rsidRPr="00F76596" w14:paraId="743F4704" w14:textId="77777777" w:rsidTr="0002494D">
        <w:trPr>
          <w:cantSplit/>
        </w:trPr>
        <w:tc>
          <w:tcPr>
            <w:tcW w:w="849" w:type="dxa"/>
          </w:tcPr>
          <w:p w14:paraId="547C791C" w14:textId="77777777" w:rsidR="006F38DF" w:rsidRPr="00F76596" w:rsidRDefault="006F38DF" w:rsidP="00BE32EF">
            <w:pPr>
              <w:pStyle w:val="tbltext"/>
            </w:pPr>
            <w:r w:rsidRPr="00F76596">
              <w:t>10</w:t>
            </w:r>
          </w:p>
        </w:tc>
        <w:tc>
          <w:tcPr>
            <w:tcW w:w="2104" w:type="dxa"/>
          </w:tcPr>
          <w:p w14:paraId="463F1458" w14:textId="77777777" w:rsidR="006F38DF" w:rsidRPr="00F76596" w:rsidRDefault="006F38DF" w:rsidP="00BE32EF">
            <w:pPr>
              <w:pStyle w:val="tbltext"/>
            </w:pPr>
            <w:r w:rsidRPr="00F76596">
              <w:t xml:space="preserve">Delivery point or zone </w:t>
            </w:r>
          </w:p>
        </w:tc>
        <w:tc>
          <w:tcPr>
            <w:tcW w:w="5375" w:type="dxa"/>
          </w:tcPr>
          <w:p w14:paraId="7CFC4064" w14:textId="77777777" w:rsidR="006F38DF" w:rsidRPr="00F76596" w:rsidRDefault="006F38DF" w:rsidP="00346F08">
            <w:pPr>
              <w:pStyle w:val="tbltext"/>
            </w:pPr>
            <w:r w:rsidRPr="00F76596">
              <w:t>The location of the delivery</w:t>
            </w:r>
            <w:r w:rsidR="00346F08" w:rsidRPr="00F76596">
              <w:t xml:space="preserve"> of the commodity underlying the Derivative to which the Reportable Transaction relates</w:t>
            </w:r>
            <w:r w:rsidRPr="00F76596">
              <w:t>.</w:t>
            </w:r>
            <w:r w:rsidR="001504A8" w:rsidRPr="00F76596">
              <w:t xml:space="preserve"> </w:t>
            </w:r>
          </w:p>
        </w:tc>
      </w:tr>
      <w:tr w:rsidR="006F38DF" w:rsidRPr="00F76596" w14:paraId="1FD7F3A2" w14:textId="77777777" w:rsidTr="0002494D">
        <w:trPr>
          <w:cantSplit/>
        </w:trPr>
        <w:tc>
          <w:tcPr>
            <w:tcW w:w="849" w:type="dxa"/>
          </w:tcPr>
          <w:p w14:paraId="3A946D0C" w14:textId="77777777" w:rsidR="006F38DF" w:rsidRPr="00F76596" w:rsidRDefault="006F38DF" w:rsidP="00BE32EF">
            <w:pPr>
              <w:pStyle w:val="tbltext"/>
            </w:pPr>
            <w:r w:rsidRPr="00F76596">
              <w:t>11</w:t>
            </w:r>
          </w:p>
        </w:tc>
        <w:tc>
          <w:tcPr>
            <w:tcW w:w="2104" w:type="dxa"/>
          </w:tcPr>
          <w:p w14:paraId="6B28444B" w14:textId="77777777" w:rsidR="006F38DF" w:rsidRPr="00F76596" w:rsidRDefault="006F38DF" w:rsidP="00BE32EF">
            <w:pPr>
              <w:pStyle w:val="tbltext"/>
            </w:pPr>
            <w:r w:rsidRPr="00F76596">
              <w:t xml:space="preserve">Delivery start date and time </w:t>
            </w:r>
          </w:p>
        </w:tc>
        <w:tc>
          <w:tcPr>
            <w:tcW w:w="5375" w:type="dxa"/>
          </w:tcPr>
          <w:p w14:paraId="02D0D069" w14:textId="77777777" w:rsidR="006F38DF" w:rsidRPr="00F76596" w:rsidRDefault="006F38DF" w:rsidP="00BE32EF">
            <w:pPr>
              <w:pStyle w:val="tbltext"/>
            </w:pPr>
            <w:r w:rsidRPr="00F76596">
              <w:t xml:space="preserve">The start date and time </w:t>
            </w:r>
            <w:r w:rsidR="009A245E" w:rsidRPr="00F76596">
              <w:t>(expressed as AEDT/AEST as applicable</w:t>
            </w:r>
            <w:r w:rsidR="00827287" w:rsidRPr="00F76596">
              <w:t xml:space="preserve"> -</w:t>
            </w:r>
            <w:r w:rsidR="00620B4A" w:rsidRPr="00F76596">
              <w:t xml:space="preserve"> see Rule 1.2.1</w:t>
            </w:r>
            <w:r w:rsidR="009A245E"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14:paraId="4CCF59E6" w14:textId="77777777" w:rsidTr="0002494D">
        <w:trPr>
          <w:cantSplit/>
        </w:trPr>
        <w:tc>
          <w:tcPr>
            <w:tcW w:w="849" w:type="dxa"/>
          </w:tcPr>
          <w:p w14:paraId="3AAA5D21" w14:textId="77777777" w:rsidR="006F38DF" w:rsidRPr="00F76596" w:rsidRDefault="006F38DF" w:rsidP="00BE32EF">
            <w:pPr>
              <w:pStyle w:val="tbltext"/>
            </w:pPr>
            <w:r w:rsidRPr="00F76596">
              <w:t>12</w:t>
            </w:r>
          </w:p>
        </w:tc>
        <w:tc>
          <w:tcPr>
            <w:tcW w:w="2104" w:type="dxa"/>
          </w:tcPr>
          <w:p w14:paraId="34C38C36" w14:textId="77777777" w:rsidR="006F38DF" w:rsidRPr="00F76596" w:rsidRDefault="006F38DF" w:rsidP="00BE32EF">
            <w:pPr>
              <w:pStyle w:val="tbltext"/>
            </w:pPr>
            <w:r w:rsidRPr="00F76596">
              <w:t xml:space="preserve">Delivery end date and time </w:t>
            </w:r>
          </w:p>
        </w:tc>
        <w:tc>
          <w:tcPr>
            <w:tcW w:w="5375" w:type="dxa"/>
          </w:tcPr>
          <w:p w14:paraId="4CE6C98F" w14:textId="77777777" w:rsidR="006F38DF" w:rsidRPr="00F76596" w:rsidRDefault="006F38DF" w:rsidP="00BE32EF">
            <w:pPr>
              <w:pStyle w:val="tbltext"/>
            </w:pPr>
            <w:r w:rsidRPr="00F76596">
              <w:t xml:space="preserve">The end date and time </w:t>
            </w:r>
            <w:r w:rsidR="001755E6" w:rsidRPr="00F76596">
              <w:t>(expressed as AEDT/AEST as applicable</w:t>
            </w:r>
            <w:r w:rsidR="00DF58C1" w:rsidRPr="00F76596">
              <w:t xml:space="preserve"> -</w:t>
            </w:r>
            <w:r w:rsidR="00B02AC7" w:rsidRPr="00F76596">
              <w:rPr>
                <w:rFonts w:ascii="Times New Roman" w:hAnsi="Times New Roman" w:cs="Times New Roman"/>
                <w:sz w:val="22"/>
                <w:szCs w:val="20"/>
              </w:rPr>
              <w:t xml:space="preserve"> </w:t>
            </w:r>
            <w:r w:rsidR="00B02AC7" w:rsidRPr="00F76596">
              <w:t>see Rule 1.2.1</w:t>
            </w:r>
            <w:r w:rsidR="001755E6"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14:paraId="33AA7F30" w14:textId="77777777" w:rsidTr="0002494D">
        <w:trPr>
          <w:cantSplit/>
        </w:trPr>
        <w:tc>
          <w:tcPr>
            <w:tcW w:w="849" w:type="dxa"/>
          </w:tcPr>
          <w:p w14:paraId="49B8BC6C" w14:textId="77777777" w:rsidR="006F38DF" w:rsidRPr="00F76596" w:rsidRDefault="006F38DF" w:rsidP="00BE32EF">
            <w:pPr>
              <w:pStyle w:val="tbltext"/>
            </w:pPr>
            <w:r w:rsidRPr="00F76596">
              <w:t>13</w:t>
            </w:r>
          </w:p>
        </w:tc>
        <w:tc>
          <w:tcPr>
            <w:tcW w:w="2104" w:type="dxa"/>
          </w:tcPr>
          <w:p w14:paraId="4F215C57" w14:textId="77777777" w:rsidR="006F38DF" w:rsidRPr="00F76596" w:rsidRDefault="00F51D42" w:rsidP="00BE32EF">
            <w:pPr>
              <w:pStyle w:val="tbltext"/>
            </w:pPr>
            <w:r w:rsidRPr="00F76596">
              <w:t>Derivative</w:t>
            </w:r>
            <w:r w:rsidR="006F38DF" w:rsidRPr="00F76596">
              <w:t xml:space="preserve"> capacity </w:t>
            </w:r>
          </w:p>
        </w:tc>
        <w:tc>
          <w:tcPr>
            <w:tcW w:w="5375" w:type="dxa"/>
          </w:tcPr>
          <w:p w14:paraId="4DE05F07" w14:textId="77777777" w:rsidR="006F38DF" w:rsidRPr="00F76596" w:rsidRDefault="006F38DF" w:rsidP="00BE32EF">
            <w:pPr>
              <w:pStyle w:val="tbltext"/>
            </w:pPr>
            <w:r w:rsidRPr="00F76596">
              <w:t>The quantity per delivery time interval</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14:paraId="74EF9615" w14:textId="77777777" w:rsidTr="0002494D">
        <w:trPr>
          <w:cantSplit/>
        </w:trPr>
        <w:tc>
          <w:tcPr>
            <w:tcW w:w="849" w:type="dxa"/>
          </w:tcPr>
          <w:p w14:paraId="2EDE20A4" w14:textId="77777777" w:rsidR="006F38DF" w:rsidRPr="00F76596" w:rsidRDefault="006F38DF" w:rsidP="00BE32EF">
            <w:pPr>
              <w:pStyle w:val="tbltext"/>
            </w:pPr>
            <w:r w:rsidRPr="00F76596">
              <w:t>14</w:t>
            </w:r>
          </w:p>
        </w:tc>
        <w:tc>
          <w:tcPr>
            <w:tcW w:w="2104" w:type="dxa"/>
          </w:tcPr>
          <w:p w14:paraId="1A970301" w14:textId="77777777" w:rsidR="006F38DF" w:rsidRPr="00F76596" w:rsidRDefault="006F38DF" w:rsidP="00BE32EF">
            <w:pPr>
              <w:pStyle w:val="tbltext"/>
            </w:pPr>
            <w:r w:rsidRPr="00F76596">
              <w:t>Commodity base</w:t>
            </w:r>
          </w:p>
        </w:tc>
        <w:tc>
          <w:tcPr>
            <w:tcW w:w="5375" w:type="dxa"/>
          </w:tcPr>
          <w:p w14:paraId="2E5B0585" w14:textId="77777777" w:rsidR="006F38DF" w:rsidRPr="00F76596" w:rsidRDefault="006F38DF" w:rsidP="00BE32EF">
            <w:pPr>
              <w:pStyle w:val="tbltext"/>
            </w:pPr>
            <w:r w:rsidRPr="00F76596">
              <w:t xml:space="preserve">A notation to indicate the type of commodity underlying the </w:t>
            </w:r>
            <w:r w:rsidR="00F51D42" w:rsidRPr="00F76596">
              <w:t>Derivative</w:t>
            </w:r>
            <w:r w:rsidR="0028014B" w:rsidRPr="00F76596">
              <w:t xml:space="preserve"> to </w:t>
            </w:r>
            <w:r w:rsidR="00965202" w:rsidRPr="00F76596">
              <w:t>which the Reportable Transaction relates</w:t>
            </w:r>
            <w:r w:rsidRPr="00F76596">
              <w:t>.</w:t>
            </w:r>
          </w:p>
        </w:tc>
      </w:tr>
    </w:tbl>
    <w:p w14:paraId="265D8A82" w14:textId="77777777" w:rsidR="006F38DF" w:rsidRPr="00F76596" w:rsidRDefault="006F38DF" w:rsidP="006F38DF">
      <w:pPr>
        <w:pStyle w:val="tabletitlefullwidth"/>
        <w:ind w:left="851" w:firstLine="0"/>
      </w:pPr>
      <w:r w:rsidRPr="00F76596">
        <w:t xml:space="preserve">Table </w:t>
      </w:r>
      <w:r w:rsidR="001334C1" w:rsidRPr="00F76596">
        <w:t>S2.1(</w:t>
      </w:r>
      <w:r w:rsidRPr="00F76596">
        <w:t>3</w:t>
      </w:r>
      <w:r w:rsidR="001334C1" w:rsidRPr="00F76596">
        <w:t>)</w:t>
      </w:r>
      <w:r w:rsidRPr="00F76596">
        <w:t>: Equity derivative and credit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38"/>
        <w:gridCol w:w="2070"/>
        <w:gridCol w:w="5226"/>
      </w:tblGrid>
      <w:tr w:rsidR="006F38DF" w:rsidRPr="00F76596" w14:paraId="3FC1B813" w14:textId="77777777" w:rsidTr="0002494D">
        <w:trPr>
          <w:cantSplit/>
          <w:tblHeader/>
        </w:trPr>
        <w:tc>
          <w:tcPr>
            <w:tcW w:w="849" w:type="dxa"/>
            <w:shd w:val="clear" w:color="auto" w:fill="C2E3FA"/>
          </w:tcPr>
          <w:p w14:paraId="6D975FD6" w14:textId="77777777"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14:paraId="634480F0" w14:textId="77777777"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14:paraId="56135C1D" w14:textId="77777777" w:rsidR="006F38DF" w:rsidRPr="00F76596" w:rsidRDefault="009D6251" w:rsidP="00BE32EF">
            <w:pPr>
              <w:pStyle w:val="tablehead"/>
            </w:pPr>
            <w:r w:rsidRPr="00F76596">
              <w:t xml:space="preserve">Derivative Transaction </w:t>
            </w:r>
            <w:r w:rsidR="006F38DF" w:rsidRPr="00F76596">
              <w:t>Information</w:t>
            </w:r>
          </w:p>
        </w:tc>
      </w:tr>
      <w:tr w:rsidR="006F38DF" w:rsidRPr="00F76596" w14:paraId="6716F4AC" w14:textId="77777777" w:rsidTr="0002494D">
        <w:trPr>
          <w:cantSplit/>
        </w:trPr>
        <w:tc>
          <w:tcPr>
            <w:tcW w:w="849" w:type="dxa"/>
          </w:tcPr>
          <w:p w14:paraId="05BF8E31" w14:textId="77777777" w:rsidR="006F38DF" w:rsidRPr="00F76596" w:rsidRDefault="006F38DF" w:rsidP="00BE32EF">
            <w:pPr>
              <w:pStyle w:val="tabletext"/>
            </w:pPr>
            <w:r w:rsidRPr="00F76596">
              <w:t>1</w:t>
            </w:r>
          </w:p>
        </w:tc>
        <w:tc>
          <w:tcPr>
            <w:tcW w:w="2104" w:type="dxa"/>
          </w:tcPr>
          <w:p w14:paraId="20BEA6C0" w14:textId="77777777" w:rsidR="006F38DF" w:rsidRPr="00F76596" w:rsidRDefault="006F38DF" w:rsidP="00BE32EF">
            <w:pPr>
              <w:pStyle w:val="tabletext"/>
            </w:pPr>
            <w:r w:rsidRPr="00F76596">
              <w:t>Identifier of counterparty purchasing protection</w:t>
            </w:r>
          </w:p>
        </w:tc>
        <w:tc>
          <w:tcPr>
            <w:tcW w:w="5375" w:type="dxa"/>
          </w:tcPr>
          <w:p w14:paraId="4D0FC906" w14:textId="77777777" w:rsidR="0007526F" w:rsidRPr="00F76596" w:rsidRDefault="006F38DF" w:rsidP="00F6031B">
            <w:pPr>
              <w:pStyle w:val="tabletext"/>
            </w:pPr>
            <w:r w:rsidRPr="00F76596">
              <w:t>The identifier of the counterparty purchasing protection</w:t>
            </w:r>
            <w:r w:rsidR="00CE204D" w:rsidRPr="00F76596">
              <w:t>,</w:t>
            </w:r>
            <w:r w:rsidRPr="00F76596">
              <w:t xml:space="preserve"> using</w:t>
            </w:r>
            <w:r w:rsidR="0007526F" w:rsidRPr="00F76596">
              <w:t>:</w:t>
            </w:r>
          </w:p>
          <w:p w14:paraId="719FCAA3" w14:textId="77777777" w:rsidR="0007526F" w:rsidRPr="00F76596" w:rsidRDefault="00F942E1" w:rsidP="00E2536D">
            <w:pPr>
              <w:pStyle w:val="tabletext"/>
              <w:numPr>
                <w:ilvl w:val="0"/>
                <w:numId w:val="28"/>
              </w:numPr>
            </w:pPr>
            <w:r w:rsidRPr="00F76596">
              <w:t>in the case of an entity,</w:t>
            </w:r>
            <w:r w:rsidR="002473E2" w:rsidRPr="00F76596">
              <w:t xml:space="preserve">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F6031B" w:rsidRPr="00F76596">
              <w:t xml:space="preserve"> LEI or interim entity identifier is</w:t>
            </w:r>
            <w:r w:rsidR="006F38DF" w:rsidRPr="00F76596">
              <w:t xml:space="preserve"> available</w:t>
            </w:r>
            <w:r w:rsidR="00F6031B" w:rsidRPr="00F76596">
              <w:t xml:space="preserve"> for the </w:t>
            </w:r>
            <w:r w:rsidR="001E4228" w:rsidRPr="00F76596">
              <w:t>entity</w:t>
            </w:r>
            <w:r w:rsidR="006F38DF" w:rsidRPr="00F76596">
              <w:t xml:space="preserve">, </w:t>
            </w:r>
            <w:r w:rsidR="00E2536D" w:rsidRPr="00E2536D">
              <w:t>a Designated Business Identifier or, if no Designated Business Identifier is available</w:t>
            </w:r>
            <w:r w:rsidR="00E377D4" w:rsidRPr="00F76596">
              <w:t>, a Business Identifier Code (BIC code)</w:t>
            </w:r>
            <w:r w:rsidR="0007526F" w:rsidRPr="00F76596">
              <w:t>;</w:t>
            </w:r>
            <w:r w:rsidR="006F38DF" w:rsidRPr="00F76596">
              <w:t xml:space="preserve"> or</w:t>
            </w:r>
          </w:p>
          <w:p w14:paraId="1A2DB8CB" w14:textId="77777777" w:rsidR="006F38DF" w:rsidRPr="00F76596" w:rsidRDefault="006F38DF" w:rsidP="00BD7FD8">
            <w:pPr>
              <w:pStyle w:val="tabletext"/>
              <w:numPr>
                <w:ilvl w:val="0"/>
                <w:numId w:val="28"/>
              </w:numPr>
            </w:pPr>
            <w:r w:rsidRPr="00F76596">
              <w:t xml:space="preserve">in the case of </w:t>
            </w:r>
            <w:r w:rsidR="00F6031B" w:rsidRPr="00F76596">
              <w:t xml:space="preserve">an </w:t>
            </w:r>
            <w:r w:rsidRPr="00F76596">
              <w:t>individual, a client code</w:t>
            </w:r>
            <w:r w:rsidR="00FE7511" w:rsidRPr="00F76596">
              <w:t xml:space="preserve"> assigned by the Reporting Counterparty</w:t>
            </w:r>
            <w:r w:rsidRPr="00F76596">
              <w:t xml:space="preserve">. </w:t>
            </w:r>
          </w:p>
        </w:tc>
      </w:tr>
      <w:tr w:rsidR="006F38DF" w:rsidRPr="00F76596" w14:paraId="01D25890" w14:textId="77777777" w:rsidTr="0002494D">
        <w:trPr>
          <w:cantSplit/>
        </w:trPr>
        <w:tc>
          <w:tcPr>
            <w:tcW w:w="849" w:type="dxa"/>
          </w:tcPr>
          <w:p w14:paraId="76B55BC6" w14:textId="77777777" w:rsidR="006F38DF" w:rsidRPr="00F76596" w:rsidRDefault="006F38DF" w:rsidP="00BE32EF">
            <w:pPr>
              <w:pStyle w:val="tabletext"/>
            </w:pPr>
            <w:r w:rsidRPr="00F76596">
              <w:t>2</w:t>
            </w:r>
          </w:p>
        </w:tc>
        <w:tc>
          <w:tcPr>
            <w:tcW w:w="2104" w:type="dxa"/>
          </w:tcPr>
          <w:p w14:paraId="268EAD59" w14:textId="77777777" w:rsidR="006F38DF" w:rsidRPr="00F76596" w:rsidRDefault="006F38DF" w:rsidP="00BE32EF">
            <w:pPr>
              <w:pStyle w:val="tabletext"/>
            </w:pPr>
            <w:r w:rsidRPr="00F76596">
              <w:t>Name of counterparty purchasing protection</w:t>
            </w:r>
          </w:p>
        </w:tc>
        <w:tc>
          <w:tcPr>
            <w:tcW w:w="5375" w:type="dxa"/>
          </w:tcPr>
          <w:p w14:paraId="4A9CF0E5" w14:textId="77777777" w:rsidR="006F38DF" w:rsidRPr="00F76596" w:rsidRDefault="006F38DF" w:rsidP="00BE32EF">
            <w:pPr>
              <w:pStyle w:val="tabletext"/>
            </w:pPr>
            <w:r w:rsidRPr="00F76596">
              <w:t>The legal name of the counterparty purchasing protection</w:t>
            </w:r>
            <w:r w:rsidR="00DA1489" w:rsidRPr="00F76596">
              <w:t xml:space="preserve"> identified under item 1</w:t>
            </w:r>
            <w:r w:rsidRPr="00F76596">
              <w:t>.</w:t>
            </w:r>
          </w:p>
        </w:tc>
      </w:tr>
      <w:tr w:rsidR="006F38DF" w:rsidRPr="00F76596" w14:paraId="76E68F45" w14:textId="77777777" w:rsidTr="0002494D">
        <w:trPr>
          <w:cantSplit/>
        </w:trPr>
        <w:tc>
          <w:tcPr>
            <w:tcW w:w="849" w:type="dxa"/>
          </w:tcPr>
          <w:p w14:paraId="7D9C37D8" w14:textId="77777777" w:rsidR="006F38DF" w:rsidRPr="00F76596" w:rsidRDefault="006F38DF" w:rsidP="00BE32EF">
            <w:pPr>
              <w:pStyle w:val="tabletext"/>
            </w:pPr>
            <w:r w:rsidRPr="00F76596">
              <w:lastRenderedPageBreak/>
              <w:t>3</w:t>
            </w:r>
          </w:p>
        </w:tc>
        <w:tc>
          <w:tcPr>
            <w:tcW w:w="2104" w:type="dxa"/>
          </w:tcPr>
          <w:p w14:paraId="6D1747C3" w14:textId="77777777" w:rsidR="006F38DF" w:rsidRPr="00F76596" w:rsidRDefault="006F38DF" w:rsidP="00BE32EF">
            <w:pPr>
              <w:pStyle w:val="tabletext"/>
            </w:pPr>
            <w:r w:rsidRPr="00F76596">
              <w:t>Identifier of counterparty selling protection</w:t>
            </w:r>
          </w:p>
        </w:tc>
        <w:tc>
          <w:tcPr>
            <w:tcW w:w="5375" w:type="dxa"/>
          </w:tcPr>
          <w:p w14:paraId="31290325" w14:textId="77777777" w:rsidR="00C33A21" w:rsidRPr="00F76596" w:rsidRDefault="006F38DF" w:rsidP="00C33A21">
            <w:pPr>
              <w:pStyle w:val="tabletext"/>
            </w:pPr>
            <w:r w:rsidRPr="00F76596">
              <w:t>The identifier of counterparty selling protection, using</w:t>
            </w:r>
            <w:r w:rsidR="00C33A21" w:rsidRPr="00F76596">
              <w:t>:</w:t>
            </w:r>
          </w:p>
          <w:p w14:paraId="0D6A6D4C" w14:textId="77777777" w:rsidR="00C33A21" w:rsidRPr="00F76596" w:rsidRDefault="00C33A21" w:rsidP="00E2536D">
            <w:pPr>
              <w:pStyle w:val="tabletext"/>
              <w:numPr>
                <w:ilvl w:val="0"/>
                <w:numId w:val="29"/>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651725" w:rsidRPr="00F76596">
              <w:t>, a Business Identifier Code (BIC code)</w:t>
            </w:r>
            <w:r w:rsidR="00421743" w:rsidRPr="00F76596">
              <w:t>;</w:t>
            </w:r>
            <w:r w:rsidR="006F38DF" w:rsidRPr="00F76596">
              <w:t xml:space="preserve"> or</w:t>
            </w:r>
          </w:p>
          <w:p w14:paraId="46EFC1B1" w14:textId="77777777" w:rsidR="006F38DF" w:rsidRPr="00F76596" w:rsidRDefault="006F38DF" w:rsidP="00BD7FD8">
            <w:pPr>
              <w:pStyle w:val="tabletext"/>
              <w:numPr>
                <w:ilvl w:val="0"/>
                <w:numId w:val="29"/>
              </w:numPr>
            </w:pPr>
            <w:r w:rsidRPr="00F76596">
              <w:t>in the case of</w:t>
            </w:r>
            <w:r w:rsidR="00C33A21" w:rsidRPr="00F76596">
              <w:t xml:space="preserve"> an</w:t>
            </w:r>
            <w:r w:rsidRPr="00F76596">
              <w:t xml:space="preserve"> individual, a client code</w:t>
            </w:r>
            <w:r w:rsidR="007263B6" w:rsidRPr="00F76596">
              <w:t xml:space="preserve"> assigned by the Reporting Counterparty</w:t>
            </w:r>
            <w:r w:rsidRPr="00F76596">
              <w:t>.</w:t>
            </w:r>
          </w:p>
        </w:tc>
      </w:tr>
      <w:tr w:rsidR="006F38DF" w:rsidRPr="00F76596" w14:paraId="49658C63" w14:textId="77777777" w:rsidTr="0002494D">
        <w:trPr>
          <w:cantSplit/>
        </w:trPr>
        <w:tc>
          <w:tcPr>
            <w:tcW w:w="849" w:type="dxa"/>
          </w:tcPr>
          <w:p w14:paraId="06134075" w14:textId="77777777" w:rsidR="006F38DF" w:rsidRPr="00F76596" w:rsidRDefault="006F38DF" w:rsidP="00BE32EF">
            <w:pPr>
              <w:pStyle w:val="tabletext"/>
            </w:pPr>
            <w:r w:rsidRPr="00F76596">
              <w:t>4</w:t>
            </w:r>
          </w:p>
        </w:tc>
        <w:tc>
          <w:tcPr>
            <w:tcW w:w="2104" w:type="dxa"/>
          </w:tcPr>
          <w:p w14:paraId="2B9C7BAE" w14:textId="77777777" w:rsidR="006F38DF" w:rsidRPr="00F76596" w:rsidRDefault="006F38DF" w:rsidP="00BE32EF">
            <w:pPr>
              <w:pStyle w:val="tabletext"/>
            </w:pPr>
            <w:r w:rsidRPr="00F76596">
              <w:t>Name of counterparty selling protection</w:t>
            </w:r>
          </w:p>
        </w:tc>
        <w:tc>
          <w:tcPr>
            <w:tcW w:w="5375" w:type="dxa"/>
          </w:tcPr>
          <w:p w14:paraId="2D419E60" w14:textId="77777777" w:rsidR="006F38DF" w:rsidRPr="00F76596" w:rsidRDefault="006F38DF" w:rsidP="00BE32EF">
            <w:pPr>
              <w:pStyle w:val="tabletext"/>
            </w:pPr>
            <w:r w:rsidRPr="00F76596">
              <w:t>The legal name of the counterparty selling protection</w:t>
            </w:r>
            <w:r w:rsidR="00F85E94" w:rsidRPr="00F76596">
              <w:t xml:space="preserve"> identified under item 3</w:t>
            </w:r>
            <w:r w:rsidRPr="00F76596">
              <w:t>.</w:t>
            </w:r>
          </w:p>
        </w:tc>
      </w:tr>
      <w:tr w:rsidR="006F38DF" w:rsidRPr="00F76596" w14:paraId="01DFEE18" w14:textId="77777777" w:rsidTr="0002494D">
        <w:trPr>
          <w:cantSplit/>
        </w:trPr>
        <w:tc>
          <w:tcPr>
            <w:tcW w:w="849" w:type="dxa"/>
          </w:tcPr>
          <w:p w14:paraId="57C77EB1" w14:textId="77777777" w:rsidR="006F38DF" w:rsidRPr="00F76596" w:rsidRDefault="006F38DF" w:rsidP="00BE32EF">
            <w:pPr>
              <w:pStyle w:val="tabletext"/>
            </w:pPr>
            <w:r w:rsidRPr="00F76596">
              <w:t>5</w:t>
            </w:r>
          </w:p>
        </w:tc>
        <w:tc>
          <w:tcPr>
            <w:tcW w:w="2104" w:type="dxa"/>
          </w:tcPr>
          <w:p w14:paraId="1B542624" w14:textId="77777777" w:rsidR="006F38DF" w:rsidRPr="00F76596" w:rsidRDefault="006F38DF" w:rsidP="00BE32EF">
            <w:pPr>
              <w:pStyle w:val="tabletext"/>
            </w:pPr>
            <w:r w:rsidRPr="00F76596">
              <w:t>Information identifying the reference entity</w:t>
            </w:r>
          </w:p>
        </w:tc>
        <w:tc>
          <w:tcPr>
            <w:tcW w:w="5375" w:type="dxa"/>
          </w:tcPr>
          <w:p w14:paraId="064804C1" w14:textId="77777777" w:rsidR="008579C5" w:rsidRPr="00F76596" w:rsidRDefault="006F38DF" w:rsidP="00E76563">
            <w:pPr>
              <w:pStyle w:val="tabletext"/>
            </w:pPr>
            <w:r w:rsidRPr="00F76596">
              <w:t>The identifier of the entity that is the subject of the protection being purchased and sold, using</w:t>
            </w:r>
            <w:r w:rsidR="008579C5" w:rsidRPr="00F76596">
              <w:t>:</w:t>
            </w:r>
          </w:p>
          <w:p w14:paraId="13EB1324" w14:textId="77777777" w:rsidR="008579C5" w:rsidRPr="00F76596" w:rsidRDefault="008579C5" w:rsidP="00E2536D">
            <w:pPr>
              <w:pStyle w:val="tabletext"/>
              <w:numPr>
                <w:ilvl w:val="0"/>
                <w:numId w:val="30"/>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6F38DF" w:rsidRPr="00F76596">
              <w:t xml:space="preserve"> or</w:t>
            </w:r>
          </w:p>
          <w:p w14:paraId="3C4A1A4E" w14:textId="77777777" w:rsidR="006F38DF" w:rsidRPr="00F76596" w:rsidRDefault="006F38DF" w:rsidP="00BD7FD8">
            <w:pPr>
              <w:pStyle w:val="tabletext"/>
              <w:numPr>
                <w:ilvl w:val="0"/>
                <w:numId w:val="30"/>
              </w:numPr>
            </w:pPr>
            <w:r w:rsidRPr="00F76596">
              <w:t xml:space="preserve">in the case of </w:t>
            </w:r>
            <w:r w:rsidR="008579C5" w:rsidRPr="00F76596">
              <w:t xml:space="preserve">an </w:t>
            </w:r>
            <w:r w:rsidRPr="00F76596">
              <w:t>individual, a client code</w:t>
            </w:r>
            <w:r w:rsidR="00AB478F" w:rsidRPr="00F76596">
              <w:t xml:space="preserve"> assigned by the Reporting Counterparty</w:t>
            </w:r>
            <w:r w:rsidRPr="00F76596">
              <w:t>.</w:t>
            </w:r>
          </w:p>
        </w:tc>
      </w:tr>
      <w:tr w:rsidR="006F38DF" w:rsidRPr="00F76596" w14:paraId="401B3D5A" w14:textId="77777777" w:rsidTr="0002494D">
        <w:trPr>
          <w:cantSplit/>
        </w:trPr>
        <w:tc>
          <w:tcPr>
            <w:tcW w:w="849" w:type="dxa"/>
          </w:tcPr>
          <w:p w14:paraId="06BDB456" w14:textId="77777777" w:rsidR="006F38DF" w:rsidRPr="00F76596" w:rsidDel="00E21903" w:rsidRDefault="006F38DF" w:rsidP="00BE32EF">
            <w:pPr>
              <w:pStyle w:val="tabletext"/>
            </w:pPr>
            <w:r w:rsidRPr="00F76596">
              <w:t>6</w:t>
            </w:r>
          </w:p>
        </w:tc>
        <w:tc>
          <w:tcPr>
            <w:tcW w:w="2104" w:type="dxa"/>
          </w:tcPr>
          <w:p w14:paraId="36BC01C4" w14:textId="77777777" w:rsidR="006F38DF" w:rsidRPr="00F76596" w:rsidRDefault="006F38DF" w:rsidP="00BE32EF">
            <w:pPr>
              <w:pStyle w:val="tabletext"/>
            </w:pPr>
            <w:r w:rsidRPr="00F76596">
              <w:t>Name of the reference entity</w:t>
            </w:r>
          </w:p>
        </w:tc>
        <w:tc>
          <w:tcPr>
            <w:tcW w:w="5375" w:type="dxa"/>
          </w:tcPr>
          <w:p w14:paraId="659C815A" w14:textId="77777777" w:rsidR="006F38DF" w:rsidRPr="00F76596" w:rsidRDefault="006F38DF" w:rsidP="0022231C">
            <w:pPr>
              <w:pStyle w:val="tabletext"/>
            </w:pPr>
            <w:r w:rsidRPr="00F76596">
              <w:t>The legal name of the reference entity</w:t>
            </w:r>
            <w:r w:rsidR="0022231C" w:rsidRPr="00F76596">
              <w:t xml:space="preserve"> identified under item 5</w:t>
            </w:r>
            <w:r w:rsidRPr="00F76596">
              <w:t>.</w:t>
            </w:r>
          </w:p>
        </w:tc>
      </w:tr>
      <w:tr w:rsidR="006F38DF" w:rsidRPr="00F76596" w14:paraId="5A33B5E2" w14:textId="77777777" w:rsidTr="0002494D">
        <w:trPr>
          <w:cantSplit/>
        </w:trPr>
        <w:tc>
          <w:tcPr>
            <w:tcW w:w="849" w:type="dxa"/>
          </w:tcPr>
          <w:p w14:paraId="700D6F7F" w14:textId="77777777" w:rsidR="006F38DF" w:rsidRPr="00F76596" w:rsidRDefault="006F38DF" w:rsidP="00BE32EF">
            <w:pPr>
              <w:pStyle w:val="tabletext"/>
            </w:pPr>
            <w:r w:rsidRPr="00F76596">
              <w:t>7</w:t>
            </w:r>
          </w:p>
        </w:tc>
        <w:tc>
          <w:tcPr>
            <w:tcW w:w="2104" w:type="dxa"/>
          </w:tcPr>
          <w:p w14:paraId="4E7B581E" w14:textId="77777777" w:rsidR="006F38DF" w:rsidRPr="00F76596" w:rsidRDefault="006F38DF" w:rsidP="00BE32EF">
            <w:pPr>
              <w:pStyle w:val="tabletext"/>
            </w:pPr>
            <w:r w:rsidRPr="00F76596">
              <w:t xml:space="preserve">Notional amount </w:t>
            </w:r>
          </w:p>
        </w:tc>
        <w:tc>
          <w:tcPr>
            <w:tcW w:w="5375" w:type="dxa"/>
          </w:tcPr>
          <w:p w14:paraId="6CF04FD6" w14:textId="77777777" w:rsidR="006F38DF" w:rsidRPr="00F76596" w:rsidRDefault="006F38DF" w:rsidP="00D72086">
            <w:pPr>
              <w:pStyle w:val="tabletext"/>
            </w:pPr>
            <w:r w:rsidRPr="00F76596">
              <w:t>The total notional amount</w:t>
            </w:r>
            <w:r w:rsidR="0025624E" w:rsidRPr="00F76596">
              <w:t>,</w:t>
            </w:r>
            <w:r w:rsidRPr="00F76596">
              <w:t xml:space="preserve"> or total quantity in the unit of measure of an instrument</w:t>
            </w:r>
            <w:r w:rsidR="00D72086" w:rsidRPr="00F76596">
              <w:t xml:space="preserve"> underlying the Derivative to which the Reportable Transaction relates</w:t>
            </w:r>
            <w:r w:rsidR="0025624E" w:rsidRPr="00F76596">
              <w:t xml:space="preserve">, or payout where a fixed payment is made at maturity based on certain conditions being met at expiry or during the life of the </w:t>
            </w:r>
            <w:r w:rsidR="00F51D42" w:rsidRPr="00F76596">
              <w:t>Derivative</w:t>
            </w:r>
            <w:r w:rsidR="00D72086" w:rsidRPr="00F76596">
              <w:t xml:space="preserve"> to which the Reportable Transaction relates</w:t>
            </w:r>
            <w:r w:rsidRPr="00F76596">
              <w:t>.</w:t>
            </w:r>
          </w:p>
        </w:tc>
      </w:tr>
      <w:tr w:rsidR="006F38DF" w:rsidRPr="00F76596" w14:paraId="3264FD95" w14:textId="77777777" w:rsidTr="0002494D">
        <w:trPr>
          <w:cantSplit/>
        </w:trPr>
        <w:tc>
          <w:tcPr>
            <w:tcW w:w="849" w:type="dxa"/>
          </w:tcPr>
          <w:p w14:paraId="0CD583BC" w14:textId="77777777" w:rsidR="006F38DF" w:rsidRPr="00F76596" w:rsidRDefault="006F38DF" w:rsidP="00BE32EF">
            <w:pPr>
              <w:pStyle w:val="tabletext"/>
            </w:pPr>
            <w:r w:rsidRPr="00F76596">
              <w:t>8</w:t>
            </w:r>
          </w:p>
        </w:tc>
        <w:tc>
          <w:tcPr>
            <w:tcW w:w="2104" w:type="dxa"/>
          </w:tcPr>
          <w:p w14:paraId="762B7499" w14:textId="77777777" w:rsidR="006F38DF" w:rsidRPr="00F76596" w:rsidRDefault="006F38DF" w:rsidP="00BE32EF">
            <w:pPr>
              <w:pStyle w:val="tabletext"/>
            </w:pPr>
            <w:r w:rsidRPr="00F76596">
              <w:t>Notional currency</w:t>
            </w:r>
          </w:p>
        </w:tc>
        <w:tc>
          <w:tcPr>
            <w:tcW w:w="5375" w:type="dxa"/>
          </w:tcPr>
          <w:p w14:paraId="7C24FF59" w14:textId="77777777" w:rsidR="006F38DF" w:rsidRPr="00F76596" w:rsidRDefault="00B63E38" w:rsidP="000E55DE">
            <w:pPr>
              <w:pStyle w:val="tabletext"/>
            </w:pPr>
            <w:r w:rsidRPr="00F76596">
              <w:t xml:space="preserve">The currency of the notional amount identified under item </w:t>
            </w:r>
            <w:r w:rsidR="0072684A" w:rsidRPr="00F76596">
              <w:t>7</w:t>
            </w:r>
            <w:r w:rsidR="006F38DF" w:rsidRPr="00F76596">
              <w:t>.</w:t>
            </w:r>
          </w:p>
        </w:tc>
      </w:tr>
      <w:tr w:rsidR="006F38DF" w:rsidRPr="00F76596" w14:paraId="1C03E4AD" w14:textId="77777777" w:rsidTr="0002494D">
        <w:trPr>
          <w:cantSplit/>
        </w:trPr>
        <w:tc>
          <w:tcPr>
            <w:tcW w:w="849" w:type="dxa"/>
          </w:tcPr>
          <w:p w14:paraId="67610788" w14:textId="77777777" w:rsidR="006F38DF" w:rsidRPr="00F76596" w:rsidRDefault="006F38DF" w:rsidP="00BE32EF">
            <w:pPr>
              <w:pStyle w:val="tabletext"/>
            </w:pPr>
            <w:r w:rsidRPr="00F76596">
              <w:t>9</w:t>
            </w:r>
          </w:p>
        </w:tc>
        <w:tc>
          <w:tcPr>
            <w:tcW w:w="2104" w:type="dxa"/>
          </w:tcPr>
          <w:p w14:paraId="106AD469" w14:textId="77777777" w:rsidR="006F38DF" w:rsidRPr="00F76596" w:rsidRDefault="006F38DF" w:rsidP="00BE32EF">
            <w:pPr>
              <w:pStyle w:val="tabletext"/>
            </w:pPr>
            <w:r w:rsidRPr="00F76596">
              <w:t>Amount of upfront payment, if any</w:t>
            </w:r>
          </w:p>
        </w:tc>
        <w:tc>
          <w:tcPr>
            <w:tcW w:w="5375" w:type="dxa"/>
          </w:tcPr>
          <w:p w14:paraId="6D63781D" w14:textId="77777777" w:rsidR="006F38DF" w:rsidRPr="00F76596" w:rsidRDefault="006F38DF" w:rsidP="00BE32EF">
            <w:pPr>
              <w:pStyle w:val="tabletext"/>
            </w:pPr>
            <w:r w:rsidRPr="00F76596">
              <w:t xml:space="preserve">The amount of any upfront payment the Reporting Counterparty </w:t>
            </w:r>
            <w:r w:rsidR="00C60A06" w:rsidRPr="00F76596">
              <w:t xml:space="preserve">has </w:t>
            </w:r>
            <w:r w:rsidRPr="00F76596">
              <w:t>made or received</w:t>
            </w:r>
            <w:r w:rsidR="00C60A06" w:rsidRPr="00F76596">
              <w:t xml:space="preserve"> in relation to the Derivative to which the Reportable Transaction relates</w:t>
            </w:r>
            <w:r w:rsidRPr="00F76596">
              <w:t>.</w:t>
            </w:r>
          </w:p>
        </w:tc>
      </w:tr>
      <w:tr w:rsidR="006F38DF" w:rsidRPr="00F76596" w14:paraId="1EF91200" w14:textId="77777777" w:rsidTr="0002494D">
        <w:trPr>
          <w:cantSplit/>
        </w:trPr>
        <w:tc>
          <w:tcPr>
            <w:tcW w:w="849" w:type="dxa"/>
          </w:tcPr>
          <w:p w14:paraId="5C68894D" w14:textId="77777777" w:rsidR="006F38DF" w:rsidRPr="00F76596" w:rsidRDefault="006F38DF" w:rsidP="00BE32EF">
            <w:pPr>
              <w:pStyle w:val="tabletext"/>
            </w:pPr>
            <w:r w:rsidRPr="00F76596">
              <w:t>10</w:t>
            </w:r>
          </w:p>
        </w:tc>
        <w:tc>
          <w:tcPr>
            <w:tcW w:w="2104" w:type="dxa"/>
          </w:tcPr>
          <w:p w14:paraId="3168419D" w14:textId="77777777" w:rsidR="006F38DF" w:rsidRPr="00F76596" w:rsidRDefault="006F38DF" w:rsidP="00111E42">
            <w:pPr>
              <w:pStyle w:val="tabletext"/>
            </w:pPr>
            <w:r w:rsidRPr="00F76596">
              <w:t xml:space="preserve">Description of the payment stream of </w:t>
            </w:r>
            <w:r w:rsidR="00111E42" w:rsidRPr="00F76596">
              <w:t>R</w:t>
            </w:r>
            <w:r w:rsidRPr="00F76596">
              <w:t xml:space="preserve">eporting </w:t>
            </w:r>
            <w:r w:rsidR="00111E42" w:rsidRPr="00F76596">
              <w:t>C</w:t>
            </w:r>
            <w:r w:rsidRPr="00F76596">
              <w:t>ounterparty</w:t>
            </w:r>
          </w:p>
        </w:tc>
        <w:tc>
          <w:tcPr>
            <w:tcW w:w="5375" w:type="dxa"/>
          </w:tcPr>
          <w:p w14:paraId="07A9FA6E" w14:textId="77777777" w:rsidR="006F38DF" w:rsidRPr="00F76596" w:rsidRDefault="006F38DF" w:rsidP="00BE32EF">
            <w:pPr>
              <w:pStyle w:val="tabletext"/>
            </w:pPr>
            <w:r w:rsidRPr="00F76596">
              <w:t>A description of the payment stream of the Reporting Counterparty (e.g. coupon).</w:t>
            </w:r>
          </w:p>
        </w:tc>
      </w:tr>
      <w:tr w:rsidR="006F38DF" w:rsidRPr="00F76596" w14:paraId="380C77C2" w14:textId="77777777" w:rsidTr="0002494D">
        <w:trPr>
          <w:cantSplit/>
        </w:trPr>
        <w:tc>
          <w:tcPr>
            <w:tcW w:w="849" w:type="dxa"/>
          </w:tcPr>
          <w:p w14:paraId="54343AC7" w14:textId="77777777" w:rsidR="006F38DF" w:rsidRPr="00F76596" w:rsidRDefault="006F38DF" w:rsidP="00BE32EF">
            <w:pPr>
              <w:pStyle w:val="tabletext"/>
            </w:pPr>
            <w:r w:rsidRPr="00F76596">
              <w:t>11</w:t>
            </w:r>
          </w:p>
        </w:tc>
        <w:tc>
          <w:tcPr>
            <w:tcW w:w="2104" w:type="dxa"/>
          </w:tcPr>
          <w:p w14:paraId="72BFC7A5" w14:textId="77777777" w:rsidR="006F38DF" w:rsidRPr="00F76596" w:rsidRDefault="006F38DF" w:rsidP="00A55D27">
            <w:pPr>
              <w:pStyle w:val="tabletext"/>
            </w:pPr>
            <w:r w:rsidRPr="00F76596">
              <w:t xml:space="preserve">Description of the payment stream of </w:t>
            </w:r>
            <w:r w:rsidR="00111E42" w:rsidRPr="00F76596">
              <w:t>N</w:t>
            </w:r>
            <w:r w:rsidRPr="00F76596">
              <w:t>on-</w:t>
            </w:r>
            <w:r w:rsidR="00A55D27" w:rsidRPr="00F76596">
              <w:t>R</w:t>
            </w:r>
            <w:r w:rsidRPr="00F76596">
              <w:t xml:space="preserve">eporting </w:t>
            </w:r>
            <w:r w:rsidR="00111E42" w:rsidRPr="00F76596">
              <w:t>C</w:t>
            </w:r>
            <w:r w:rsidRPr="00F76596">
              <w:t>ounterparty</w:t>
            </w:r>
          </w:p>
        </w:tc>
        <w:tc>
          <w:tcPr>
            <w:tcW w:w="5375" w:type="dxa"/>
          </w:tcPr>
          <w:p w14:paraId="425AFF99" w14:textId="77777777" w:rsidR="006F38DF" w:rsidRPr="00F76596" w:rsidRDefault="006F38DF" w:rsidP="00111E42">
            <w:pPr>
              <w:pStyle w:val="tabletext"/>
            </w:pPr>
            <w:r w:rsidRPr="00F76596">
              <w:t>A description of the payment stream of the Non-</w:t>
            </w:r>
            <w:r w:rsidR="00A55D27" w:rsidRPr="00F76596">
              <w:t>R</w:t>
            </w:r>
            <w:r w:rsidRPr="00F76596">
              <w:t>eporting Counterparty (e.g. coupon).</w:t>
            </w:r>
          </w:p>
        </w:tc>
      </w:tr>
      <w:tr w:rsidR="006F38DF" w:rsidRPr="00F76596" w14:paraId="209E648E" w14:textId="77777777" w:rsidTr="0002494D">
        <w:trPr>
          <w:cantSplit/>
        </w:trPr>
        <w:tc>
          <w:tcPr>
            <w:tcW w:w="849" w:type="dxa"/>
          </w:tcPr>
          <w:p w14:paraId="515B2BE3" w14:textId="77777777" w:rsidR="006F38DF" w:rsidRPr="00F76596" w:rsidRDefault="006F38DF" w:rsidP="00BE32EF">
            <w:pPr>
              <w:pStyle w:val="tabletext"/>
            </w:pPr>
            <w:r w:rsidRPr="00F76596">
              <w:t>12</w:t>
            </w:r>
          </w:p>
        </w:tc>
        <w:tc>
          <w:tcPr>
            <w:tcW w:w="2104" w:type="dxa"/>
          </w:tcPr>
          <w:p w14:paraId="31AF7836" w14:textId="77777777" w:rsidR="006F38DF" w:rsidRPr="00F76596" w:rsidRDefault="006F38DF" w:rsidP="00BE32EF">
            <w:pPr>
              <w:pStyle w:val="tabletext"/>
            </w:pPr>
            <w:r w:rsidRPr="00F76596">
              <w:t>Payment frequency</w:t>
            </w:r>
          </w:p>
        </w:tc>
        <w:tc>
          <w:tcPr>
            <w:tcW w:w="5375" w:type="dxa"/>
          </w:tcPr>
          <w:p w14:paraId="33A373CE" w14:textId="77777777" w:rsidR="006F38DF" w:rsidRPr="00F76596" w:rsidRDefault="006F38DF" w:rsidP="000121AF">
            <w:pPr>
              <w:pStyle w:val="tabletext"/>
            </w:pPr>
            <w:r w:rsidRPr="00F76596">
              <w:t>The dates</w:t>
            </w:r>
            <w:r w:rsidR="000121AF" w:rsidRPr="00F76596">
              <w:t xml:space="preserve"> on, or frequency with which,</w:t>
            </w:r>
            <w:r w:rsidRPr="00F76596">
              <w:t xml:space="preserve"> the </w:t>
            </w:r>
            <w:r w:rsidR="00926E46" w:rsidRPr="00F76596">
              <w:t>agreement</w:t>
            </w:r>
            <w:r w:rsidR="00BF0C02" w:rsidRPr="00F76596">
              <w:t xml:space="preserve"> executed</w:t>
            </w:r>
            <w:r w:rsidR="00926E46" w:rsidRPr="00F76596">
              <w:t xml:space="preserve"> in relation to the </w:t>
            </w:r>
            <w:r w:rsidR="00F51D42" w:rsidRPr="00F76596">
              <w:t>Derivative</w:t>
            </w:r>
            <w:r w:rsidRPr="00F76596">
              <w:t xml:space="preserve"> </w:t>
            </w:r>
            <w:r w:rsidR="00926E46" w:rsidRPr="00F76596">
              <w:t xml:space="preserve">to which the Reportable Transaction relates </w:t>
            </w:r>
            <w:r w:rsidRPr="00F76596">
              <w:t>requires payments to be made.</w:t>
            </w:r>
          </w:p>
        </w:tc>
      </w:tr>
    </w:tbl>
    <w:p w14:paraId="77845055" w14:textId="77777777" w:rsidR="006F38DF" w:rsidRPr="00F76596" w:rsidRDefault="006F38DF" w:rsidP="006F38DF">
      <w:pPr>
        <w:pStyle w:val="tabletitlefullwidth"/>
        <w:ind w:left="851" w:firstLine="0"/>
      </w:pPr>
      <w:r w:rsidRPr="00F76596">
        <w:lastRenderedPageBreak/>
        <w:t xml:space="preserve">Table </w:t>
      </w:r>
      <w:r w:rsidR="001334C1" w:rsidRPr="00F76596">
        <w:t>S2.1(</w:t>
      </w:r>
      <w:r w:rsidRPr="00F76596">
        <w:t>4</w:t>
      </w:r>
      <w:r w:rsidR="001334C1"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1"/>
        <w:gridCol w:w="2065"/>
        <w:gridCol w:w="5228"/>
      </w:tblGrid>
      <w:tr w:rsidR="006F38DF" w:rsidRPr="00F76596" w14:paraId="381D0213" w14:textId="77777777" w:rsidTr="0002494D">
        <w:trPr>
          <w:cantSplit/>
          <w:tblHeader/>
        </w:trPr>
        <w:tc>
          <w:tcPr>
            <w:tcW w:w="851" w:type="dxa"/>
            <w:shd w:val="clear" w:color="auto" w:fill="C2E3FA"/>
          </w:tcPr>
          <w:p w14:paraId="2A0AC84A" w14:textId="77777777"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14:paraId="7AB278A6" w14:textId="77777777"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14:paraId="2BCB7A3B" w14:textId="77777777"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14:paraId="4E07AEF1" w14:textId="77777777" w:rsidTr="0002494D">
        <w:trPr>
          <w:cantSplit/>
        </w:trPr>
        <w:tc>
          <w:tcPr>
            <w:tcW w:w="851" w:type="dxa"/>
          </w:tcPr>
          <w:p w14:paraId="4BE5682C" w14:textId="77777777" w:rsidR="006F38DF" w:rsidRPr="00F76596" w:rsidRDefault="006F38DF" w:rsidP="00BE32EF">
            <w:pPr>
              <w:pStyle w:val="tabletext"/>
            </w:pPr>
            <w:r w:rsidRPr="00F76596">
              <w:t>1</w:t>
            </w:r>
          </w:p>
        </w:tc>
        <w:tc>
          <w:tcPr>
            <w:tcW w:w="2104" w:type="dxa"/>
          </w:tcPr>
          <w:p w14:paraId="3ADA2E96" w14:textId="77777777" w:rsidR="006F38DF" w:rsidRPr="00F76596" w:rsidRDefault="006F38DF" w:rsidP="00BE32EF">
            <w:pPr>
              <w:pStyle w:val="tabletext"/>
            </w:pPr>
            <w:r w:rsidRPr="00F76596">
              <w:t>Notional amount 1</w:t>
            </w:r>
          </w:p>
        </w:tc>
        <w:tc>
          <w:tcPr>
            <w:tcW w:w="5375" w:type="dxa"/>
          </w:tcPr>
          <w:p w14:paraId="5F39F8B9" w14:textId="77777777" w:rsidR="006F38DF" w:rsidRPr="00F76596" w:rsidRDefault="006F38DF" w:rsidP="00BE32EF">
            <w:pPr>
              <w:pStyle w:val="tabletext"/>
            </w:pPr>
            <w:r w:rsidRPr="00F76596">
              <w:t>Total amount of the first underlying currency</w:t>
            </w:r>
            <w:r w:rsidR="0025624E" w:rsidRPr="00F76596">
              <w:t xml:space="preserve"> or payout where a fixed payment is made at maturity based on certain conditions being met at expiry or during the life of the </w:t>
            </w:r>
            <w:r w:rsidR="00F51D42" w:rsidRPr="00F76596">
              <w:t>Derivative</w:t>
            </w:r>
            <w:r w:rsidR="002614F2" w:rsidRPr="00F76596">
              <w:t xml:space="preserve"> to which the Reportable Transaction relates</w:t>
            </w:r>
            <w:r w:rsidRPr="00F76596">
              <w:t>.</w:t>
            </w:r>
          </w:p>
        </w:tc>
      </w:tr>
      <w:tr w:rsidR="006F38DF" w:rsidRPr="00F76596" w14:paraId="4A9486AF" w14:textId="77777777" w:rsidTr="0002494D">
        <w:trPr>
          <w:cantSplit/>
        </w:trPr>
        <w:tc>
          <w:tcPr>
            <w:tcW w:w="851" w:type="dxa"/>
          </w:tcPr>
          <w:p w14:paraId="17CF364F" w14:textId="77777777" w:rsidR="006F38DF" w:rsidRPr="00F76596" w:rsidRDefault="006F38DF" w:rsidP="00BE32EF">
            <w:pPr>
              <w:pStyle w:val="tabletext"/>
            </w:pPr>
            <w:r w:rsidRPr="00F76596">
              <w:t>2</w:t>
            </w:r>
          </w:p>
        </w:tc>
        <w:tc>
          <w:tcPr>
            <w:tcW w:w="2104" w:type="dxa"/>
          </w:tcPr>
          <w:p w14:paraId="0363379D" w14:textId="77777777" w:rsidR="006F38DF" w:rsidRPr="00F76596" w:rsidRDefault="006F38DF" w:rsidP="00BE32EF">
            <w:pPr>
              <w:pStyle w:val="tabletext"/>
            </w:pPr>
            <w:r w:rsidRPr="00F76596">
              <w:t>Notional amount 2</w:t>
            </w:r>
          </w:p>
        </w:tc>
        <w:tc>
          <w:tcPr>
            <w:tcW w:w="5375" w:type="dxa"/>
          </w:tcPr>
          <w:p w14:paraId="10593D62" w14:textId="77777777" w:rsidR="006F38DF" w:rsidRPr="00F76596" w:rsidRDefault="006F38DF" w:rsidP="00BE32EF">
            <w:pPr>
              <w:pStyle w:val="tabletext"/>
            </w:pPr>
            <w:r w:rsidRPr="00F76596">
              <w:t>Total amount of the second underlying currency.</w:t>
            </w:r>
          </w:p>
        </w:tc>
      </w:tr>
      <w:tr w:rsidR="006F38DF" w:rsidRPr="00F76596" w14:paraId="573A2475" w14:textId="77777777" w:rsidTr="0002494D">
        <w:trPr>
          <w:cantSplit/>
        </w:trPr>
        <w:tc>
          <w:tcPr>
            <w:tcW w:w="851" w:type="dxa"/>
          </w:tcPr>
          <w:p w14:paraId="3EFFB640" w14:textId="77777777" w:rsidR="006F38DF" w:rsidRPr="00F76596" w:rsidRDefault="006F38DF" w:rsidP="00BE32EF">
            <w:pPr>
              <w:pStyle w:val="tabletext"/>
            </w:pPr>
            <w:r w:rsidRPr="00F76596">
              <w:t>3</w:t>
            </w:r>
          </w:p>
        </w:tc>
        <w:tc>
          <w:tcPr>
            <w:tcW w:w="2104" w:type="dxa"/>
          </w:tcPr>
          <w:p w14:paraId="72FF8472" w14:textId="77777777" w:rsidR="006F38DF" w:rsidRPr="00F76596" w:rsidRDefault="006F38DF" w:rsidP="00BE32EF">
            <w:pPr>
              <w:pStyle w:val="tabletext"/>
            </w:pPr>
            <w:r w:rsidRPr="00F76596">
              <w:t>Currency 1</w:t>
            </w:r>
          </w:p>
        </w:tc>
        <w:tc>
          <w:tcPr>
            <w:tcW w:w="5375" w:type="dxa"/>
          </w:tcPr>
          <w:p w14:paraId="4F890964" w14:textId="77777777" w:rsidR="006F38DF" w:rsidRPr="00F76596" w:rsidRDefault="006F38DF" w:rsidP="00111E42">
            <w:pPr>
              <w:pStyle w:val="tabletext"/>
            </w:pPr>
            <w:r w:rsidRPr="00F76596">
              <w:t xml:space="preserve">The notional currency payable by </w:t>
            </w:r>
            <w:r w:rsidR="003A1D9C" w:rsidRPr="00F76596">
              <w:t xml:space="preserve">the </w:t>
            </w:r>
            <w:r w:rsidR="00111E42" w:rsidRPr="00F76596">
              <w:t>R</w:t>
            </w:r>
            <w:r w:rsidRPr="00F76596">
              <w:t xml:space="preserve">eporting </w:t>
            </w:r>
            <w:r w:rsidR="00111E42" w:rsidRPr="00F76596">
              <w:t>C</w:t>
            </w:r>
            <w:r w:rsidRPr="00F76596">
              <w:t>ounterparty.</w:t>
            </w:r>
          </w:p>
        </w:tc>
      </w:tr>
      <w:tr w:rsidR="006F38DF" w:rsidRPr="00F76596" w14:paraId="707DFB6D" w14:textId="77777777" w:rsidTr="0002494D">
        <w:trPr>
          <w:cantSplit/>
        </w:trPr>
        <w:tc>
          <w:tcPr>
            <w:tcW w:w="851" w:type="dxa"/>
          </w:tcPr>
          <w:p w14:paraId="6C958241" w14:textId="77777777" w:rsidR="006F38DF" w:rsidRPr="00F76596" w:rsidRDefault="006F38DF" w:rsidP="00BE32EF">
            <w:pPr>
              <w:pStyle w:val="tabletext"/>
            </w:pPr>
            <w:r w:rsidRPr="00F76596">
              <w:t>4</w:t>
            </w:r>
          </w:p>
        </w:tc>
        <w:tc>
          <w:tcPr>
            <w:tcW w:w="2104" w:type="dxa"/>
          </w:tcPr>
          <w:p w14:paraId="3EB2EB14" w14:textId="77777777" w:rsidR="006F38DF" w:rsidRPr="00F76596" w:rsidRDefault="006F38DF" w:rsidP="00BE32EF">
            <w:pPr>
              <w:pStyle w:val="tabletext"/>
            </w:pPr>
            <w:r w:rsidRPr="00F76596">
              <w:t>Currency 2</w:t>
            </w:r>
          </w:p>
        </w:tc>
        <w:tc>
          <w:tcPr>
            <w:tcW w:w="5375" w:type="dxa"/>
          </w:tcPr>
          <w:p w14:paraId="70F134A8" w14:textId="77777777" w:rsidR="006F38DF" w:rsidRPr="00F76596" w:rsidRDefault="006F38DF" w:rsidP="00A55D27">
            <w:pPr>
              <w:pStyle w:val="tabletext"/>
            </w:pPr>
            <w:r w:rsidRPr="00F76596">
              <w:t xml:space="preserve">The notional currency payable by </w:t>
            </w:r>
            <w:r w:rsidR="003A1D9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14:paraId="7B211E31" w14:textId="77777777" w:rsidTr="0002494D">
        <w:trPr>
          <w:cantSplit/>
        </w:trPr>
        <w:tc>
          <w:tcPr>
            <w:tcW w:w="851" w:type="dxa"/>
          </w:tcPr>
          <w:p w14:paraId="2C23821B" w14:textId="77777777" w:rsidR="006F38DF" w:rsidRPr="00F76596" w:rsidRDefault="006F38DF" w:rsidP="00BE32EF">
            <w:pPr>
              <w:pStyle w:val="tabletext"/>
            </w:pPr>
            <w:r w:rsidRPr="00F76596">
              <w:t>5</w:t>
            </w:r>
          </w:p>
        </w:tc>
        <w:tc>
          <w:tcPr>
            <w:tcW w:w="2104" w:type="dxa"/>
          </w:tcPr>
          <w:p w14:paraId="694302DF" w14:textId="77777777" w:rsidR="006F38DF" w:rsidRPr="00F76596" w:rsidRDefault="006F38DF" w:rsidP="00BE32EF">
            <w:pPr>
              <w:pStyle w:val="tabletext"/>
            </w:pPr>
            <w:r w:rsidRPr="00F76596">
              <w:t>Exchange rate</w:t>
            </w:r>
          </w:p>
        </w:tc>
        <w:tc>
          <w:tcPr>
            <w:tcW w:w="5375" w:type="dxa"/>
          </w:tcPr>
          <w:p w14:paraId="4AD226A3" w14:textId="77777777" w:rsidR="006F38DF" w:rsidRPr="00F76596" w:rsidRDefault="006F38DF" w:rsidP="00D81225">
            <w:pPr>
              <w:pStyle w:val="tabletext"/>
            </w:pPr>
            <w:r w:rsidRPr="00F76596">
              <w:t>The rate of exchange of the currencies</w:t>
            </w:r>
            <w:r w:rsidR="00FC45F5" w:rsidRPr="00F76596">
              <w:t xml:space="preserve"> referred to in items 3 and 4</w:t>
            </w:r>
            <w:r w:rsidRPr="00F76596">
              <w:t>.</w:t>
            </w:r>
          </w:p>
        </w:tc>
      </w:tr>
      <w:tr w:rsidR="006F38DF" w:rsidRPr="00F76596" w14:paraId="1735C44C" w14:textId="77777777" w:rsidTr="0002494D">
        <w:trPr>
          <w:cantSplit/>
        </w:trPr>
        <w:tc>
          <w:tcPr>
            <w:tcW w:w="851" w:type="dxa"/>
          </w:tcPr>
          <w:p w14:paraId="40903BFB" w14:textId="77777777" w:rsidR="006F38DF" w:rsidRPr="00F76596" w:rsidRDefault="006F38DF" w:rsidP="00BE32EF">
            <w:pPr>
              <w:pStyle w:val="tabletext"/>
            </w:pPr>
            <w:r w:rsidRPr="00F76596">
              <w:t>6</w:t>
            </w:r>
          </w:p>
        </w:tc>
        <w:tc>
          <w:tcPr>
            <w:tcW w:w="2104" w:type="dxa"/>
            <w:vAlign w:val="bottom"/>
          </w:tcPr>
          <w:p w14:paraId="7859E186" w14:textId="77777777" w:rsidR="006F38DF" w:rsidRPr="00F76596" w:rsidRDefault="006F38DF" w:rsidP="00BE32EF">
            <w:pPr>
              <w:pStyle w:val="tabletext"/>
            </w:pPr>
            <w:r w:rsidRPr="00F76596">
              <w:t>Forward exchange rate</w:t>
            </w:r>
          </w:p>
        </w:tc>
        <w:tc>
          <w:tcPr>
            <w:tcW w:w="5375" w:type="dxa"/>
          </w:tcPr>
          <w:p w14:paraId="2B2DCD9D" w14:textId="77777777" w:rsidR="006F38DF" w:rsidRPr="00F76596" w:rsidRDefault="006F38DF" w:rsidP="00BE32EF">
            <w:pPr>
              <w:pStyle w:val="tabletext"/>
            </w:pPr>
            <w:r w:rsidRPr="00F76596">
              <w:t xml:space="preserve">The forward exchange rate on </w:t>
            </w:r>
            <w:r w:rsidR="003A1D9C" w:rsidRPr="00F76596">
              <w:t xml:space="preserve">the </w:t>
            </w:r>
            <w:r w:rsidRPr="00F76596">
              <w:t>value date.</w:t>
            </w:r>
          </w:p>
        </w:tc>
      </w:tr>
    </w:tbl>
    <w:p w14:paraId="04B85D4C" w14:textId="77777777" w:rsidR="006F38DF" w:rsidRPr="00F76596" w:rsidRDefault="006F38DF" w:rsidP="006F38DF">
      <w:pPr>
        <w:pStyle w:val="tabletitlefullwidth"/>
        <w:ind w:left="851" w:firstLine="0"/>
      </w:pPr>
      <w:r w:rsidRPr="00F76596">
        <w:t xml:space="preserve">Table </w:t>
      </w:r>
      <w:r w:rsidR="001334C1" w:rsidRPr="00F76596">
        <w:t>S2.1(</w:t>
      </w:r>
      <w:r w:rsidRPr="00F76596">
        <w:t>5</w:t>
      </w:r>
      <w:r w:rsidR="001334C1" w:rsidRPr="00F76596">
        <w:t>)</w:t>
      </w:r>
      <w:r w:rsidRPr="00F76596">
        <w:t>: Interest rate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0"/>
        <w:gridCol w:w="2062"/>
        <w:gridCol w:w="5232"/>
      </w:tblGrid>
      <w:tr w:rsidR="006F38DF" w:rsidRPr="00F76596" w14:paraId="696BE453" w14:textId="77777777" w:rsidTr="0002494D">
        <w:trPr>
          <w:cantSplit/>
          <w:tblHeader/>
        </w:trPr>
        <w:tc>
          <w:tcPr>
            <w:tcW w:w="851" w:type="dxa"/>
            <w:shd w:val="clear" w:color="auto" w:fill="C2E3FA"/>
          </w:tcPr>
          <w:p w14:paraId="2FDFDD3D" w14:textId="77777777"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14:paraId="3A374294" w14:textId="77777777"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14:paraId="7502044D" w14:textId="77777777"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14:paraId="50BF0E47" w14:textId="77777777" w:rsidTr="0002494D">
        <w:trPr>
          <w:cantSplit/>
        </w:trPr>
        <w:tc>
          <w:tcPr>
            <w:tcW w:w="851" w:type="dxa"/>
          </w:tcPr>
          <w:p w14:paraId="6B2322C9" w14:textId="77777777" w:rsidR="006F38DF" w:rsidRPr="00F76596" w:rsidRDefault="006F38DF" w:rsidP="00BE32EF">
            <w:pPr>
              <w:pStyle w:val="tabletext"/>
            </w:pPr>
            <w:r w:rsidRPr="00F76596">
              <w:t>1</w:t>
            </w:r>
          </w:p>
        </w:tc>
        <w:tc>
          <w:tcPr>
            <w:tcW w:w="2104" w:type="dxa"/>
          </w:tcPr>
          <w:p w14:paraId="3DFA62AB" w14:textId="77777777" w:rsidR="006F38DF" w:rsidRPr="00F76596" w:rsidRDefault="006F38DF" w:rsidP="00BE32EF">
            <w:pPr>
              <w:pStyle w:val="tabletext"/>
            </w:pPr>
            <w:r w:rsidRPr="00F76596">
              <w:t>Notional amount for leg 1</w:t>
            </w:r>
          </w:p>
        </w:tc>
        <w:tc>
          <w:tcPr>
            <w:tcW w:w="5375" w:type="dxa"/>
          </w:tcPr>
          <w:p w14:paraId="49A81875" w14:textId="77777777" w:rsidR="006F38DF" w:rsidRPr="00F76596" w:rsidRDefault="006F38DF" w:rsidP="00BE32EF">
            <w:pPr>
              <w:pStyle w:val="tabletext"/>
            </w:pPr>
            <w:r w:rsidRPr="00F76596">
              <w:t>The total notional amount</w:t>
            </w:r>
            <w:r w:rsidR="008338C0" w:rsidRPr="00F76596">
              <w:t>,</w:t>
            </w:r>
            <w:r w:rsidRPr="00F76596">
              <w:t xml:space="preserve"> or total quantity in the unit of measure of leg 1 of the </w:t>
            </w:r>
            <w:r w:rsidR="00F51D42" w:rsidRPr="00F76596">
              <w:t>Derivative</w:t>
            </w:r>
            <w:r w:rsidR="00F30647" w:rsidRPr="00F76596">
              <w:t xml:space="preserve"> to which the Reportable Transaction relates</w:t>
            </w:r>
            <w:r w:rsidR="008338C0" w:rsidRPr="00F76596">
              <w:t>,</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Pr="00F76596">
              <w:t>.</w:t>
            </w:r>
          </w:p>
        </w:tc>
      </w:tr>
      <w:tr w:rsidR="006F38DF" w:rsidRPr="00F76596" w14:paraId="7BCAC621" w14:textId="77777777" w:rsidTr="0002494D">
        <w:trPr>
          <w:cantSplit/>
        </w:trPr>
        <w:tc>
          <w:tcPr>
            <w:tcW w:w="851" w:type="dxa"/>
          </w:tcPr>
          <w:p w14:paraId="4C93A876" w14:textId="77777777" w:rsidR="006F38DF" w:rsidRPr="00F76596" w:rsidRDefault="006F38DF" w:rsidP="00BE32EF">
            <w:pPr>
              <w:pStyle w:val="tabletext"/>
            </w:pPr>
            <w:r w:rsidRPr="00F76596">
              <w:t>2</w:t>
            </w:r>
          </w:p>
        </w:tc>
        <w:tc>
          <w:tcPr>
            <w:tcW w:w="2104" w:type="dxa"/>
          </w:tcPr>
          <w:p w14:paraId="57B29B92" w14:textId="77777777" w:rsidR="006F38DF" w:rsidRPr="00F76596" w:rsidRDefault="006F38DF" w:rsidP="00BE32EF">
            <w:pPr>
              <w:pStyle w:val="tabletext"/>
            </w:pPr>
            <w:r w:rsidRPr="00F76596">
              <w:t>Notional amount for leg 2</w:t>
            </w:r>
          </w:p>
        </w:tc>
        <w:tc>
          <w:tcPr>
            <w:tcW w:w="5375" w:type="dxa"/>
          </w:tcPr>
          <w:p w14:paraId="7A070EAC" w14:textId="77777777" w:rsidR="006F38DF" w:rsidRPr="00F76596" w:rsidRDefault="006F38DF" w:rsidP="00BE32EF">
            <w:pPr>
              <w:pStyle w:val="tabletext"/>
            </w:pPr>
            <w:r w:rsidRPr="00F76596">
              <w:t xml:space="preserve">Total notional amount or total quantity in the unit of measure of leg 2 of the </w:t>
            </w:r>
            <w:r w:rsidR="00F51D42" w:rsidRPr="00F76596">
              <w:t>Derivative</w:t>
            </w:r>
            <w:r w:rsidR="00F30647" w:rsidRPr="00F76596">
              <w:t xml:space="preserve"> to which the Reportable Transaction relates</w:t>
            </w:r>
            <w:r w:rsidRPr="00F76596">
              <w:t>.</w:t>
            </w:r>
          </w:p>
        </w:tc>
      </w:tr>
      <w:tr w:rsidR="006F38DF" w:rsidRPr="00F76596" w14:paraId="677F1A9D" w14:textId="77777777" w:rsidTr="0002494D">
        <w:trPr>
          <w:cantSplit/>
        </w:trPr>
        <w:tc>
          <w:tcPr>
            <w:tcW w:w="851" w:type="dxa"/>
          </w:tcPr>
          <w:p w14:paraId="2D1FE4B0" w14:textId="77777777" w:rsidR="006F38DF" w:rsidRPr="00F76596" w:rsidRDefault="006F38DF" w:rsidP="00BE32EF">
            <w:pPr>
              <w:pStyle w:val="tabletext"/>
            </w:pPr>
            <w:r w:rsidRPr="00F76596">
              <w:t>3</w:t>
            </w:r>
          </w:p>
        </w:tc>
        <w:tc>
          <w:tcPr>
            <w:tcW w:w="2104" w:type="dxa"/>
          </w:tcPr>
          <w:p w14:paraId="3B9501CA" w14:textId="77777777" w:rsidR="006F38DF" w:rsidRPr="00F76596" w:rsidRDefault="006F38DF" w:rsidP="00BE32EF">
            <w:pPr>
              <w:pStyle w:val="tabletext"/>
            </w:pPr>
            <w:r w:rsidRPr="00F76596">
              <w:t>Notional currency for leg 1</w:t>
            </w:r>
          </w:p>
        </w:tc>
        <w:tc>
          <w:tcPr>
            <w:tcW w:w="5375" w:type="dxa"/>
          </w:tcPr>
          <w:p w14:paraId="5E7271A8" w14:textId="77777777" w:rsidR="006F38DF" w:rsidRPr="00F76596" w:rsidRDefault="00981A41" w:rsidP="00981A41">
            <w:pPr>
              <w:pStyle w:val="tabletext"/>
            </w:pPr>
            <w:r w:rsidRPr="00F76596">
              <w:t>The currency of the total notional amount or payout identified under item 1.</w:t>
            </w:r>
          </w:p>
        </w:tc>
      </w:tr>
      <w:tr w:rsidR="006F38DF" w:rsidRPr="00F76596" w14:paraId="67FDF7F7" w14:textId="77777777" w:rsidTr="0002494D">
        <w:trPr>
          <w:cantSplit/>
        </w:trPr>
        <w:tc>
          <w:tcPr>
            <w:tcW w:w="851" w:type="dxa"/>
          </w:tcPr>
          <w:p w14:paraId="122CD80C" w14:textId="77777777" w:rsidR="006F38DF" w:rsidRPr="00F76596" w:rsidRDefault="006F38DF" w:rsidP="00BE32EF">
            <w:pPr>
              <w:pStyle w:val="tabletext"/>
            </w:pPr>
            <w:r w:rsidRPr="00F76596">
              <w:t>4</w:t>
            </w:r>
          </w:p>
        </w:tc>
        <w:tc>
          <w:tcPr>
            <w:tcW w:w="2104" w:type="dxa"/>
            <w:vAlign w:val="bottom"/>
          </w:tcPr>
          <w:p w14:paraId="5D69041F" w14:textId="77777777" w:rsidR="006F38DF" w:rsidRPr="00F76596" w:rsidRDefault="006F38DF" w:rsidP="00BE32EF">
            <w:pPr>
              <w:pStyle w:val="tabletext"/>
            </w:pPr>
            <w:r w:rsidRPr="00F76596">
              <w:t>Notional currency for leg 2</w:t>
            </w:r>
          </w:p>
        </w:tc>
        <w:tc>
          <w:tcPr>
            <w:tcW w:w="5375" w:type="dxa"/>
          </w:tcPr>
          <w:p w14:paraId="20D00935" w14:textId="77777777" w:rsidR="006F38DF" w:rsidRPr="00F76596" w:rsidRDefault="00981A41" w:rsidP="00981A41">
            <w:pPr>
              <w:pStyle w:val="tabletext"/>
            </w:pPr>
            <w:r w:rsidRPr="00F76596">
              <w:t>The currency of the total notional amount or payout identified under item 2.</w:t>
            </w:r>
          </w:p>
        </w:tc>
      </w:tr>
      <w:tr w:rsidR="006F38DF" w:rsidRPr="00F76596" w14:paraId="37EA357A" w14:textId="77777777" w:rsidTr="0002494D">
        <w:trPr>
          <w:cantSplit/>
        </w:trPr>
        <w:tc>
          <w:tcPr>
            <w:tcW w:w="851" w:type="dxa"/>
          </w:tcPr>
          <w:p w14:paraId="151EA409" w14:textId="77777777" w:rsidR="006F38DF" w:rsidRPr="00F76596" w:rsidRDefault="006F38DF" w:rsidP="00BE32EF">
            <w:pPr>
              <w:pStyle w:val="tabletext"/>
            </w:pPr>
            <w:r w:rsidRPr="00F76596">
              <w:t>5</w:t>
            </w:r>
          </w:p>
        </w:tc>
        <w:tc>
          <w:tcPr>
            <w:tcW w:w="2104" w:type="dxa"/>
          </w:tcPr>
          <w:p w14:paraId="5387B6EC" w14:textId="77777777" w:rsidR="006F38DF" w:rsidRPr="00F76596" w:rsidRDefault="006F38DF" w:rsidP="00653F2B">
            <w:pPr>
              <w:pStyle w:val="tabletext"/>
            </w:pPr>
            <w:r w:rsidRPr="00F76596">
              <w:t>Amount of upfront payment, if any</w:t>
            </w:r>
          </w:p>
        </w:tc>
        <w:tc>
          <w:tcPr>
            <w:tcW w:w="5375" w:type="dxa"/>
          </w:tcPr>
          <w:p w14:paraId="18816AC8" w14:textId="77777777" w:rsidR="006F38DF" w:rsidRPr="00F76596" w:rsidRDefault="006F38DF" w:rsidP="00653F2B">
            <w:pPr>
              <w:pStyle w:val="tabletext"/>
            </w:pPr>
            <w:r w:rsidRPr="00F76596">
              <w:t>The amount of any upfront payment</w:t>
            </w:r>
            <w:r w:rsidR="00BB3BE8" w:rsidRPr="00F76596">
              <w:t xml:space="preserve"> the Reporting Counterparty has made or received in relation to the Derivative to which the Reportable Transaction relates</w:t>
            </w:r>
            <w:r w:rsidRPr="00F76596">
              <w:t>.</w:t>
            </w:r>
          </w:p>
        </w:tc>
      </w:tr>
      <w:tr w:rsidR="006F38DF" w:rsidRPr="00F76596" w14:paraId="71558C7B" w14:textId="77777777" w:rsidTr="0002494D">
        <w:trPr>
          <w:cantSplit/>
        </w:trPr>
        <w:tc>
          <w:tcPr>
            <w:tcW w:w="851" w:type="dxa"/>
          </w:tcPr>
          <w:p w14:paraId="2F12535A" w14:textId="77777777" w:rsidR="006F38DF" w:rsidRPr="00F76596" w:rsidRDefault="006F38DF" w:rsidP="00BE32EF">
            <w:pPr>
              <w:pStyle w:val="tabletext"/>
            </w:pPr>
            <w:r w:rsidRPr="00F76596">
              <w:t>6</w:t>
            </w:r>
          </w:p>
        </w:tc>
        <w:tc>
          <w:tcPr>
            <w:tcW w:w="2104" w:type="dxa"/>
          </w:tcPr>
          <w:p w14:paraId="6D1468DA" w14:textId="77777777" w:rsidR="006F38DF" w:rsidRPr="00F76596" w:rsidRDefault="006F38DF" w:rsidP="00BE32EF">
            <w:pPr>
              <w:pStyle w:val="tabletext"/>
            </w:pPr>
            <w:r w:rsidRPr="00F76596">
              <w:t>Payer (fixed rate)</w:t>
            </w:r>
          </w:p>
        </w:tc>
        <w:tc>
          <w:tcPr>
            <w:tcW w:w="5375" w:type="dxa"/>
          </w:tcPr>
          <w:p w14:paraId="43076623" w14:textId="77777777" w:rsidR="00122680" w:rsidRPr="00F76596" w:rsidRDefault="006F38DF" w:rsidP="00122680">
            <w:pPr>
              <w:pStyle w:val="tabletext"/>
            </w:pPr>
            <w:r w:rsidRPr="00F76596">
              <w:t>An identifier of the counterparty that pays the fixed rate, using</w:t>
            </w:r>
            <w:r w:rsidR="00122680" w:rsidRPr="00F76596">
              <w:t>:</w:t>
            </w:r>
          </w:p>
          <w:p w14:paraId="0DE618C5" w14:textId="77777777" w:rsidR="00122680" w:rsidRPr="00F76596" w:rsidRDefault="00122680" w:rsidP="00E2536D">
            <w:pPr>
              <w:pStyle w:val="tabletext"/>
              <w:numPr>
                <w:ilvl w:val="0"/>
                <w:numId w:val="31"/>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421743" w:rsidRPr="00F76596">
              <w:t xml:space="preserve"> or</w:t>
            </w:r>
          </w:p>
          <w:p w14:paraId="4F50FF0E" w14:textId="77777777" w:rsidR="006F38DF" w:rsidRPr="00F76596" w:rsidRDefault="006F38DF" w:rsidP="00BD7FD8">
            <w:pPr>
              <w:pStyle w:val="tabletext"/>
              <w:numPr>
                <w:ilvl w:val="0"/>
                <w:numId w:val="31"/>
              </w:numPr>
            </w:pPr>
            <w:r w:rsidRPr="00F76596">
              <w:t xml:space="preserve">in the case of </w:t>
            </w:r>
            <w:r w:rsidR="00292D19" w:rsidRPr="00F76596">
              <w:t xml:space="preserve">an </w:t>
            </w:r>
            <w:r w:rsidRPr="00F76596">
              <w:t>individual, a client code</w:t>
            </w:r>
            <w:r w:rsidR="0040268B" w:rsidRPr="00F76596">
              <w:t xml:space="preserve"> assigned by the Reporting Counterparty</w:t>
            </w:r>
            <w:r w:rsidRPr="00F76596">
              <w:t>.</w:t>
            </w:r>
          </w:p>
        </w:tc>
      </w:tr>
      <w:tr w:rsidR="006F38DF" w:rsidRPr="00F76596" w14:paraId="3F7EEF90" w14:textId="77777777" w:rsidTr="0002494D">
        <w:trPr>
          <w:cantSplit/>
        </w:trPr>
        <w:tc>
          <w:tcPr>
            <w:tcW w:w="851" w:type="dxa"/>
          </w:tcPr>
          <w:p w14:paraId="79FB4710" w14:textId="77777777" w:rsidR="006F38DF" w:rsidRPr="00F76596" w:rsidRDefault="006F38DF" w:rsidP="00BE32EF">
            <w:pPr>
              <w:pStyle w:val="tabletext"/>
            </w:pPr>
            <w:r w:rsidRPr="00F76596">
              <w:lastRenderedPageBreak/>
              <w:t>7</w:t>
            </w:r>
          </w:p>
        </w:tc>
        <w:tc>
          <w:tcPr>
            <w:tcW w:w="2104" w:type="dxa"/>
          </w:tcPr>
          <w:p w14:paraId="37E21EBC" w14:textId="77777777" w:rsidR="006F38DF" w:rsidRPr="00F76596" w:rsidRDefault="006F38DF" w:rsidP="00BE32EF">
            <w:pPr>
              <w:pStyle w:val="tabletext"/>
            </w:pPr>
            <w:r w:rsidRPr="00F76596">
              <w:t>Name of payer (fixed rate)</w:t>
            </w:r>
          </w:p>
        </w:tc>
        <w:tc>
          <w:tcPr>
            <w:tcW w:w="5375" w:type="dxa"/>
          </w:tcPr>
          <w:p w14:paraId="78C1D7C1" w14:textId="77777777" w:rsidR="006F38DF" w:rsidRPr="00F76596" w:rsidRDefault="006F38DF" w:rsidP="00BE32EF">
            <w:pPr>
              <w:pStyle w:val="tabletext"/>
            </w:pPr>
            <w:r w:rsidRPr="00F76596">
              <w:t>The legal name of the payer (fixed rate)</w:t>
            </w:r>
            <w:r w:rsidR="00881A42" w:rsidRPr="00F76596">
              <w:t xml:space="preserve"> identified under item 6</w:t>
            </w:r>
            <w:r w:rsidRPr="00F76596">
              <w:t>.</w:t>
            </w:r>
          </w:p>
        </w:tc>
      </w:tr>
      <w:tr w:rsidR="006F38DF" w:rsidRPr="00F76596" w14:paraId="04A56DC5" w14:textId="77777777" w:rsidTr="0002494D">
        <w:trPr>
          <w:cantSplit/>
        </w:trPr>
        <w:tc>
          <w:tcPr>
            <w:tcW w:w="851" w:type="dxa"/>
          </w:tcPr>
          <w:p w14:paraId="03B9493F" w14:textId="77777777" w:rsidR="006F38DF" w:rsidRPr="00F76596" w:rsidRDefault="006F38DF" w:rsidP="00BE32EF">
            <w:pPr>
              <w:pStyle w:val="tabletext"/>
            </w:pPr>
            <w:r w:rsidRPr="00F76596">
              <w:t>8</w:t>
            </w:r>
          </w:p>
        </w:tc>
        <w:tc>
          <w:tcPr>
            <w:tcW w:w="2104" w:type="dxa"/>
          </w:tcPr>
          <w:p w14:paraId="763BB8DF" w14:textId="77777777" w:rsidR="006F38DF" w:rsidRPr="00F76596" w:rsidRDefault="006F38DF" w:rsidP="00BE32EF">
            <w:pPr>
              <w:pStyle w:val="tabletext"/>
            </w:pPr>
            <w:r w:rsidRPr="00F76596">
              <w:t>Payer (floating rate leg 1)</w:t>
            </w:r>
          </w:p>
        </w:tc>
        <w:tc>
          <w:tcPr>
            <w:tcW w:w="5375" w:type="dxa"/>
          </w:tcPr>
          <w:p w14:paraId="6C302BAF" w14:textId="77777777" w:rsidR="004B7887" w:rsidRPr="00F76596" w:rsidRDefault="006F38DF" w:rsidP="00E76563">
            <w:pPr>
              <w:pStyle w:val="tabletext"/>
            </w:pPr>
            <w:r w:rsidRPr="00F76596">
              <w:t>The identifier of the counterparty that pays the floating rate leg 1, using</w:t>
            </w:r>
            <w:r w:rsidR="004B7887" w:rsidRPr="00F76596">
              <w:t>:</w:t>
            </w:r>
          </w:p>
          <w:p w14:paraId="0F08CF57" w14:textId="77777777" w:rsidR="004B7887" w:rsidRPr="00F76596" w:rsidRDefault="004B7887" w:rsidP="00E2536D">
            <w:pPr>
              <w:pStyle w:val="tabletext"/>
              <w:numPr>
                <w:ilvl w:val="0"/>
                <w:numId w:val="32"/>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 </w:t>
            </w:r>
            <w:r w:rsidR="006F38DF" w:rsidRPr="00F76596">
              <w:t>available</w:t>
            </w:r>
            <w:r w:rsidRPr="00F76596">
              <w:t xml:space="preserve"> for the </w:t>
            </w:r>
            <w:r w:rsidR="001E4228" w:rsidRPr="00F76596">
              <w:t>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 xml:space="preserve">; </w:t>
            </w:r>
            <w:r w:rsidR="006F38DF" w:rsidRPr="00F76596">
              <w:t>or</w:t>
            </w:r>
          </w:p>
          <w:p w14:paraId="6006EC55" w14:textId="77777777" w:rsidR="006F38DF" w:rsidRPr="00F76596" w:rsidRDefault="006F38DF" w:rsidP="00BD7FD8">
            <w:pPr>
              <w:pStyle w:val="tabletext"/>
              <w:numPr>
                <w:ilvl w:val="0"/>
                <w:numId w:val="32"/>
              </w:numPr>
            </w:pPr>
            <w:r w:rsidRPr="00F76596">
              <w:t>in the case of</w:t>
            </w:r>
            <w:r w:rsidR="004B7887" w:rsidRPr="00F76596">
              <w:t xml:space="preserve"> an</w:t>
            </w:r>
            <w:r w:rsidRPr="00F76596">
              <w:t xml:space="preserve"> individual, a client code</w:t>
            </w:r>
            <w:r w:rsidR="00E94CF7" w:rsidRPr="00F76596">
              <w:t xml:space="preserve"> assigned by the Reporting Counterparty</w:t>
            </w:r>
            <w:r w:rsidRPr="00F76596">
              <w:t>.</w:t>
            </w:r>
          </w:p>
        </w:tc>
      </w:tr>
      <w:tr w:rsidR="006F38DF" w:rsidRPr="00F76596" w14:paraId="3B649320" w14:textId="77777777" w:rsidTr="0002494D">
        <w:trPr>
          <w:cantSplit/>
        </w:trPr>
        <w:tc>
          <w:tcPr>
            <w:tcW w:w="851" w:type="dxa"/>
          </w:tcPr>
          <w:p w14:paraId="5970DFD4" w14:textId="77777777" w:rsidR="006F38DF" w:rsidRPr="00F76596" w:rsidRDefault="006F38DF" w:rsidP="00BE32EF">
            <w:pPr>
              <w:pStyle w:val="tabletext"/>
            </w:pPr>
            <w:r w:rsidRPr="00F76596">
              <w:t>9</w:t>
            </w:r>
          </w:p>
        </w:tc>
        <w:tc>
          <w:tcPr>
            <w:tcW w:w="2104" w:type="dxa"/>
          </w:tcPr>
          <w:p w14:paraId="5A47A9DF" w14:textId="77777777" w:rsidR="006F38DF" w:rsidRPr="00F76596" w:rsidRDefault="006F38DF" w:rsidP="00BE32EF">
            <w:pPr>
              <w:pStyle w:val="tabletext"/>
            </w:pPr>
            <w:r w:rsidRPr="00F76596">
              <w:t>Name of payer (floating rate leg 1)</w:t>
            </w:r>
          </w:p>
        </w:tc>
        <w:tc>
          <w:tcPr>
            <w:tcW w:w="5375" w:type="dxa"/>
          </w:tcPr>
          <w:p w14:paraId="0A4CB265" w14:textId="77777777" w:rsidR="006F38DF" w:rsidRPr="00F76596" w:rsidRDefault="006F38DF" w:rsidP="00BE32EF">
            <w:pPr>
              <w:pStyle w:val="tabletext"/>
            </w:pPr>
            <w:r w:rsidRPr="00F76596">
              <w:t>The legal name of the payer (floating rate leg 1)</w:t>
            </w:r>
            <w:r w:rsidR="002F1BBE" w:rsidRPr="00F76596">
              <w:t xml:space="preserve"> identified under item 8</w:t>
            </w:r>
            <w:r w:rsidRPr="00F76596">
              <w:t>.</w:t>
            </w:r>
          </w:p>
        </w:tc>
      </w:tr>
      <w:tr w:rsidR="006F38DF" w:rsidRPr="00F76596" w14:paraId="1E9F6386" w14:textId="77777777" w:rsidTr="0002494D">
        <w:trPr>
          <w:cantSplit/>
        </w:trPr>
        <w:tc>
          <w:tcPr>
            <w:tcW w:w="851" w:type="dxa"/>
          </w:tcPr>
          <w:p w14:paraId="1C6D0293" w14:textId="77777777" w:rsidR="006F38DF" w:rsidRPr="00F76596" w:rsidRDefault="006F38DF" w:rsidP="00BE32EF">
            <w:pPr>
              <w:pStyle w:val="tabletext"/>
            </w:pPr>
            <w:r w:rsidRPr="00F76596">
              <w:t>10</w:t>
            </w:r>
          </w:p>
        </w:tc>
        <w:tc>
          <w:tcPr>
            <w:tcW w:w="2104" w:type="dxa"/>
          </w:tcPr>
          <w:p w14:paraId="1D0893FA" w14:textId="77777777" w:rsidR="006F38DF" w:rsidRPr="00F76596" w:rsidRDefault="006F38DF" w:rsidP="00BE32EF">
            <w:pPr>
              <w:pStyle w:val="tabletext"/>
            </w:pPr>
            <w:r w:rsidRPr="00F76596">
              <w:t>Payer (floating rate leg 2)</w:t>
            </w:r>
          </w:p>
        </w:tc>
        <w:tc>
          <w:tcPr>
            <w:tcW w:w="5375" w:type="dxa"/>
          </w:tcPr>
          <w:p w14:paraId="6D2197BD" w14:textId="77777777" w:rsidR="00456517" w:rsidRPr="00F76596" w:rsidRDefault="006F38DF" w:rsidP="00E76563">
            <w:pPr>
              <w:pStyle w:val="tabletext"/>
            </w:pPr>
            <w:r w:rsidRPr="00F76596">
              <w:t>The identifier of the counterparty that pays the floating rate leg 2, using</w:t>
            </w:r>
            <w:r w:rsidR="00456517" w:rsidRPr="00F76596">
              <w:t>:</w:t>
            </w:r>
          </w:p>
          <w:p w14:paraId="3CC71729" w14:textId="77777777" w:rsidR="00456517" w:rsidRPr="00F76596" w:rsidRDefault="00456517" w:rsidP="00E2536D">
            <w:pPr>
              <w:pStyle w:val="tabletext"/>
              <w:numPr>
                <w:ilvl w:val="0"/>
                <w:numId w:val="33"/>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xml:space="preserve">, </w:t>
            </w:r>
            <w:r w:rsidR="00E2536D" w:rsidRPr="00E2536D">
              <w:t>a Designated Business Identifier or, if no Designated Business Identifier is available</w:t>
            </w:r>
            <w:r w:rsidR="00780BE2" w:rsidRPr="00F76596">
              <w:t>, a Business Identifier Code (BIC code)</w:t>
            </w:r>
            <w:r w:rsidRPr="00F76596">
              <w:t>;</w:t>
            </w:r>
            <w:r w:rsidR="006F38DF" w:rsidRPr="00F76596">
              <w:t xml:space="preserve"> or</w:t>
            </w:r>
          </w:p>
          <w:p w14:paraId="3CD05025" w14:textId="77777777" w:rsidR="006F38DF" w:rsidRPr="00F76596" w:rsidRDefault="006F38DF" w:rsidP="00BC04BC">
            <w:pPr>
              <w:pStyle w:val="tabletext"/>
              <w:numPr>
                <w:ilvl w:val="0"/>
                <w:numId w:val="33"/>
              </w:numPr>
            </w:pPr>
            <w:r w:rsidRPr="00F76596">
              <w:t>in the case of</w:t>
            </w:r>
            <w:r w:rsidR="00456517" w:rsidRPr="00F76596">
              <w:t xml:space="preserve"> an</w:t>
            </w:r>
            <w:r w:rsidRPr="00F76596">
              <w:t xml:space="preserve"> individual, a client code</w:t>
            </w:r>
            <w:r w:rsidR="00CF34FE" w:rsidRPr="00F76596">
              <w:t xml:space="preserve"> assigned by the Reporting Counterparty</w:t>
            </w:r>
          </w:p>
        </w:tc>
      </w:tr>
      <w:tr w:rsidR="006F38DF" w:rsidRPr="00F76596" w14:paraId="32CBA41A" w14:textId="77777777" w:rsidTr="0002494D">
        <w:trPr>
          <w:cantSplit/>
        </w:trPr>
        <w:tc>
          <w:tcPr>
            <w:tcW w:w="851" w:type="dxa"/>
          </w:tcPr>
          <w:p w14:paraId="63B9DB7A" w14:textId="77777777" w:rsidR="006F38DF" w:rsidRPr="00F76596" w:rsidRDefault="006F38DF" w:rsidP="00BE32EF">
            <w:pPr>
              <w:pStyle w:val="tabletext"/>
            </w:pPr>
            <w:r w:rsidRPr="00F76596">
              <w:t>11</w:t>
            </w:r>
          </w:p>
        </w:tc>
        <w:tc>
          <w:tcPr>
            <w:tcW w:w="2104" w:type="dxa"/>
          </w:tcPr>
          <w:p w14:paraId="6C25C251" w14:textId="77777777" w:rsidR="006F38DF" w:rsidRPr="00F76596" w:rsidRDefault="006F38DF" w:rsidP="00BE32EF">
            <w:pPr>
              <w:pStyle w:val="tabletext"/>
            </w:pPr>
            <w:r w:rsidRPr="00F76596">
              <w:t>Name of payer (floating rate leg 2)</w:t>
            </w:r>
          </w:p>
        </w:tc>
        <w:tc>
          <w:tcPr>
            <w:tcW w:w="5375" w:type="dxa"/>
          </w:tcPr>
          <w:p w14:paraId="7F9C85F2" w14:textId="77777777" w:rsidR="006F38DF" w:rsidRPr="00F76596" w:rsidDel="009B59BA" w:rsidRDefault="006F38DF" w:rsidP="00171395">
            <w:pPr>
              <w:pStyle w:val="tabletext"/>
            </w:pPr>
            <w:r w:rsidRPr="00F76596">
              <w:t>The legal name of the payer (floating rate leg 2)</w:t>
            </w:r>
            <w:r w:rsidR="00456517" w:rsidRPr="00F76596">
              <w:t xml:space="preserve"> identified under item 1</w:t>
            </w:r>
            <w:r w:rsidR="00171395" w:rsidRPr="00F76596">
              <w:t>0</w:t>
            </w:r>
            <w:r w:rsidRPr="00F76596">
              <w:t>.</w:t>
            </w:r>
          </w:p>
        </w:tc>
      </w:tr>
      <w:tr w:rsidR="006F38DF" w:rsidRPr="00F76596" w14:paraId="353CB032" w14:textId="77777777" w:rsidTr="0002494D">
        <w:trPr>
          <w:cantSplit/>
        </w:trPr>
        <w:tc>
          <w:tcPr>
            <w:tcW w:w="851" w:type="dxa"/>
          </w:tcPr>
          <w:p w14:paraId="496357C8" w14:textId="77777777" w:rsidR="006F38DF" w:rsidRPr="00F76596" w:rsidRDefault="006F38DF" w:rsidP="00BE32EF">
            <w:pPr>
              <w:pStyle w:val="tabletext"/>
            </w:pPr>
            <w:r w:rsidRPr="00F76596">
              <w:t>12</w:t>
            </w:r>
          </w:p>
        </w:tc>
        <w:tc>
          <w:tcPr>
            <w:tcW w:w="2104" w:type="dxa"/>
          </w:tcPr>
          <w:p w14:paraId="032B6170" w14:textId="77777777" w:rsidR="006F38DF" w:rsidRPr="00F76596" w:rsidRDefault="006F38DF" w:rsidP="00BE32EF">
            <w:pPr>
              <w:pStyle w:val="tabletext"/>
            </w:pPr>
            <w:r w:rsidRPr="00F76596">
              <w:t xml:space="preserve">Direction </w:t>
            </w:r>
          </w:p>
        </w:tc>
        <w:tc>
          <w:tcPr>
            <w:tcW w:w="5375" w:type="dxa"/>
          </w:tcPr>
          <w:p w14:paraId="3245A7A2" w14:textId="77777777" w:rsidR="006F38DF" w:rsidRPr="00F76596" w:rsidRDefault="006F38DF" w:rsidP="00111E42">
            <w:pPr>
              <w:pStyle w:val="tabletext"/>
            </w:pPr>
            <w:r w:rsidRPr="00F76596">
              <w:t xml:space="preserve">A notation to indicate whether the </w:t>
            </w:r>
            <w:r w:rsidR="00111E42" w:rsidRPr="00F76596">
              <w:t>R</w:t>
            </w:r>
            <w:r w:rsidRPr="00F76596">
              <w:t xml:space="preserve">eporting </w:t>
            </w:r>
            <w:r w:rsidR="00111E42" w:rsidRPr="00F76596">
              <w:t>C</w:t>
            </w:r>
            <w:r w:rsidRPr="00F76596">
              <w:t>ounterparty is paying or receiving the fixed rate.</w:t>
            </w:r>
          </w:p>
        </w:tc>
      </w:tr>
      <w:tr w:rsidR="006F38DF" w:rsidRPr="00F76596" w14:paraId="677D1EE6" w14:textId="77777777" w:rsidTr="0002494D">
        <w:trPr>
          <w:cantSplit/>
        </w:trPr>
        <w:tc>
          <w:tcPr>
            <w:tcW w:w="851" w:type="dxa"/>
          </w:tcPr>
          <w:p w14:paraId="74403D6F" w14:textId="77777777" w:rsidR="006F38DF" w:rsidRPr="00F76596" w:rsidRDefault="006F38DF" w:rsidP="00BE32EF">
            <w:pPr>
              <w:pStyle w:val="tabletext"/>
            </w:pPr>
            <w:r w:rsidRPr="00F76596">
              <w:t>13</w:t>
            </w:r>
          </w:p>
        </w:tc>
        <w:tc>
          <w:tcPr>
            <w:tcW w:w="2104" w:type="dxa"/>
          </w:tcPr>
          <w:p w14:paraId="5F81D245" w14:textId="77777777" w:rsidR="006F38DF" w:rsidRPr="00F76596" w:rsidRDefault="006F38DF" w:rsidP="00BE32EF">
            <w:pPr>
              <w:pStyle w:val="tabletext"/>
            </w:pPr>
            <w:r w:rsidRPr="00F76596">
              <w:t>Fixed rate</w:t>
            </w:r>
          </w:p>
        </w:tc>
        <w:tc>
          <w:tcPr>
            <w:tcW w:w="5375" w:type="dxa"/>
            <w:vAlign w:val="bottom"/>
          </w:tcPr>
          <w:p w14:paraId="126C8027" w14:textId="77777777" w:rsidR="006F38DF" w:rsidRPr="00F76596" w:rsidRDefault="006F38DF" w:rsidP="009D62CE">
            <w:pPr>
              <w:pStyle w:val="tabletext"/>
            </w:pPr>
            <w:r w:rsidRPr="00F76596">
              <w:t>A notation to indicate the fixed rate used.</w:t>
            </w:r>
          </w:p>
        </w:tc>
      </w:tr>
      <w:tr w:rsidR="006F38DF" w:rsidRPr="00F76596" w14:paraId="53B2693C" w14:textId="77777777" w:rsidTr="0002494D">
        <w:trPr>
          <w:cantSplit/>
        </w:trPr>
        <w:tc>
          <w:tcPr>
            <w:tcW w:w="851" w:type="dxa"/>
          </w:tcPr>
          <w:p w14:paraId="46174960" w14:textId="77777777" w:rsidR="006F38DF" w:rsidRPr="00F76596" w:rsidRDefault="006F38DF" w:rsidP="00BE32EF">
            <w:pPr>
              <w:pStyle w:val="tabletext"/>
            </w:pPr>
            <w:r w:rsidRPr="00F76596">
              <w:t>14</w:t>
            </w:r>
          </w:p>
        </w:tc>
        <w:tc>
          <w:tcPr>
            <w:tcW w:w="2104" w:type="dxa"/>
          </w:tcPr>
          <w:p w14:paraId="0666D054" w14:textId="77777777" w:rsidR="006F38DF" w:rsidRPr="00F76596" w:rsidRDefault="006F38DF" w:rsidP="00BE32EF">
            <w:pPr>
              <w:pStyle w:val="tabletext"/>
            </w:pPr>
            <w:r w:rsidRPr="00F76596">
              <w:t>Fixed rate day count fraction</w:t>
            </w:r>
          </w:p>
        </w:tc>
        <w:tc>
          <w:tcPr>
            <w:tcW w:w="5375" w:type="dxa"/>
          </w:tcPr>
          <w:p w14:paraId="3152E1EF" w14:textId="77777777" w:rsidR="006F38DF" w:rsidRPr="00F76596" w:rsidRDefault="006F38DF" w:rsidP="00BE32EF">
            <w:pPr>
              <w:pStyle w:val="tabletext"/>
            </w:pPr>
            <w:r w:rsidRPr="00F76596">
              <w:t>The actual number of days in the relevant fixed rate payer calculation period.</w:t>
            </w:r>
          </w:p>
        </w:tc>
      </w:tr>
      <w:tr w:rsidR="006F38DF" w:rsidRPr="00F76596" w14:paraId="0227C10E" w14:textId="77777777" w:rsidTr="0002494D">
        <w:trPr>
          <w:cantSplit/>
        </w:trPr>
        <w:tc>
          <w:tcPr>
            <w:tcW w:w="851" w:type="dxa"/>
          </w:tcPr>
          <w:p w14:paraId="7E7C13B6" w14:textId="77777777" w:rsidR="006F38DF" w:rsidRPr="00F76596" w:rsidRDefault="006F38DF" w:rsidP="00BE32EF">
            <w:pPr>
              <w:pStyle w:val="tabletext"/>
            </w:pPr>
            <w:r w:rsidRPr="00F76596">
              <w:t>15</w:t>
            </w:r>
          </w:p>
        </w:tc>
        <w:tc>
          <w:tcPr>
            <w:tcW w:w="2104" w:type="dxa"/>
          </w:tcPr>
          <w:p w14:paraId="790D230D" w14:textId="77777777" w:rsidR="006F38DF" w:rsidRPr="00F76596" w:rsidRDefault="006F38DF" w:rsidP="00BE32EF">
            <w:pPr>
              <w:pStyle w:val="tabletext"/>
            </w:pPr>
            <w:r w:rsidRPr="00F76596">
              <w:t>Fixed leg payment frequency</w:t>
            </w:r>
          </w:p>
        </w:tc>
        <w:tc>
          <w:tcPr>
            <w:tcW w:w="5375" w:type="dxa"/>
          </w:tcPr>
          <w:p w14:paraId="0806A655" w14:textId="77777777" w:rsidR="006F38DF" w:rsidRPr="00F76596" w:rsidRDefault="002127C5" w:rsidP="002127C5">
            <w:pPr>
              <w:pStyle w:val="tabletext"/>
            </w:pPr>
            <w:r w:rsidRPr="00F76596">
              <w:t>F</w:t>
            </w:r>
            <w:r w:rsidR="006F38DF" w:rsidRPr="00F76596">
              <w:t>or the fixed rate leg</w:t>
            </w:r>
            <w:r w:rsidRPr="00F76596">
              <w:t>, the dates on, or frequency with which, the agreement executed in relation to the Derivative to which the Reportable Transaction relates requires payments to be made</w:t>
            </w:r>
            <w:r w:rsidR="00383F6A" w:rsidRPr="00F76596">
              <w:t>.</w:t>
            </w:r>
          </w:p>
        </w:tc>
      </w:tr>
      <w:tr w:rsidR="006F38DF" w:rsidRPr="00F76596" w14:paraId="534E1592" w14:textId="77777777" w:rsidTr="0002494D">
        <w:trPr>
          <w:cantSplit/>
        </w:trPr>
        <w:tc>
          <w:tcPr>
            <w:tcW w:w="851" w:type="dxa"/>
          </w:tcPr>
          <w:p w14:paraId="4A25F613" w14:textId="77777777" w:rsidR="006F38DF" w:rsidRPr="00F76596" w:rsidRDefault="006F38DF" w:rsidP="00BE32EF">
            <w:pPr>
              <w:pStyle w:val="tabletext"/>
            </w:pPr>
            <w:r w:rsidRPr="00F76596">
              <w:t>16</w:t>
            </w:r>
          </w:p>
        </w:tc>
        <w:tc>
          <w:tcPr>
            <w:tcW w:w="2104" w:type="dxa"/>
          </w:tcPr>
          <w:p w14:paraId="2D5E1564" w14:textId="77777777" w:rsidR="006F38DF" w:rsidRPr="00F76596" w:rsidRDefault="006F38DF" w:rsidP="002C70F3">
            <w:pPr>
              <w:pStyle w:val="tabletext"/>
            </w:pPr>
            <w:r w:rsidRPr="00F76596">
              <w:t>Floating rate payment frequency</w:t>
            </w:r>
          </w:p>
        </w:tc>
        <w:tc>
          <w:tcPr>
            <w:tcW w:w="5375" w:type="dxa"/>
          </w:tcPr>
          <w:p w14:paraId="0D6769AF" w14:textId="77777777" w:rsidR="006F38DF" w:rsidRPr="00F76596" w:rsidRDefault="002C70F3" w:rsidP="002C70F3">
            <w:pPr>
              <w:pStyle w:val="tabletext"/>
            </w:pPr>
            <w:r w:rsidRPr="00F76596">
              <w:t>F</w:t>
            </w:r>
            <w:r w:rsidR="006F38DF" w:rsidRPr="00F76596">
              <w:t>or the floating rate leg</w:t>
            </w:r>
            <w:r w:rsidRPr="00F76596">
              <w:t>, the dates on, or frequency with which, the agreement executed in relation to the Derivative to which the Reportable Transaction relates requires payments to be made.</w:t>
            </w:r>
          </w:p>
        </w:tc>
      </w:tr>
      <w:tr w:rsidR="006F38DF" w:rsidRPr="00F76596" w14:paraId="43FBD0A7" w14:textId="77777777" w:rsidTr="0002494D">
        <w:trPr>
          <w:cantSplit/>
        </w:trPr>
        <w:tc>
          <w:tcPr>
            <w:tcW w:w="851" w:type="dxa"/>
          </w:tcPr>
          <w:p w14:paraId="759E6850" w14:textId="77777777" w:rsidR="006F38DF" w:rsidRPr="00F76596" w:rsidRDefault="006F38DF" w:rsidP="00BE32EF">
            <w:pPr>
              <w:pStyle w:val="tabletext"/>
            </w:pPr>
            <w:r w:rsidRPr="00F76596">
              <w:t>17</w:t>
            </w:r>
          </w:p>
        </w:tc>
        <w:tc>
          <w:tcPr>
            <w:tcW w:w="2104" w:type="dxa"/>
          </w:tcPr>
          <w:p w14:paraId="5914C2F1" w14:textId="77777777" w:rsidR="006F38DF" w:rsidRPr="00F76596" w:rsidRDefault="006F38DF" w:rsidP="00FB6FF6">
            <w:pPr>
              <w:pStyle w:val="tabletext"/>
            </w:pPr>
            <w:r w:rsidRPr="00F76596">
              <w:t>Floating rate index name (leg 1)</w:t>
            </w:r>
          </w:p>
        </w:tc>
        <w:tc>
          <w:tcPr>
            <w:tcW w:w="5375" w:type="dxa"/>
          </w:tcPr>
          <w:p w14:paraId="0C877763" w14:textId="77777777" w:rsidR="006F38DF" w:rsidRPr="00F76596" w:rsidRDefault="001A0D11" w:rsidP="00B2451B">
            <w:pPr>
              <w:pStyle w:val="tabletext"/>
            </w:pPr>
            <w:r w:rsidRPr="00F76596">
              <w:t>For floating rate leg 1</w:t>
            </w:r>
            <w:r w:rsidR="00B2451B" w:rsidRPr="00F76596">
              <w:t xml:space="preserve">, </w:t>
            </w:r>
            <w:r w:rsidR="00856A10" w:rsidRPr="00F76596">
              <w:t xml:space="preserve">the name of the rate used to </w:t>
            </w:r>
            <w:r w:rsidR="00270DCD" w:rsidRPr="00F76596">
              <w:t>determine the payment amount</w:t>
            </w:r>
            <w:r w:rsidR="00856A10" w:rsidRPr="00F76596">
              <w:t xml:space="preserve"> at predetermined intervals</w:t>
            </w:r>
            <w:r w:rsidR="00EB1C65" w:rsidRPr="00F76596">
              <w:t>.</w:t>
            </w:r>
          </w:p>
        </w:tc>
      </w:tr>
      <w:tr w:rsidR="006F38DF" w:rsidRPr="00F76596" w14:paraId="03F2471A" w14:textId="77777777" w:rsidTr="0002494D">
        <w:trPr>
          <w:cantSplit/>
        </w:trPr>
        <w:tc>
          <w:tcPr>
            <w:tcW w:w="851" w:type="dxa"/>
          </w:tcPr>
          <w:p w14:paraId="2E807FA5" w14:textId="77777777" w:rsidR="006F38DF" w:rsidRPr="00F76596" w:rsidRDefault="006F38DF" w:rsidP="00BE32EF">
            <w:pPr>
              <w:pStyle w:val="tabletext"/>
            </w:pPr>
            <w:r w:rsidRPr="00F76596">
              <w:t>18</w:t>
            </w:r>
          </w:p>
        </w:tc>
        <w:tc>
          <w:tcPr>
            <w:tcW w:w="2104" w:type="dxa"/>
          </w:tcPr>
          <w:p w14:paraId="12ADA2C7" w14:textId="77777777" w:rsidR="006F38DF" w:rsidRPr="00F76596" w:rsidRDefault="006F38DF" w:rsidP="00FB6FF6">
            <w:pPr>
              <w:pStyle w:val="tabletext"/>
            </w:pPr>
            <w:r w:rsidRPr="00F76596">
              <w:t>Floating rate index name (leg 2)</w:t>
            </w:r>
          </w:p>
        </w:tc>
        <w:tc>
          <w:tcPr>
            <w:tcW w:w="5375" w:type="dxa"/>
          </w:tcPr>
          <w:p w14:paraId="2A4A6ADC" w14:textId="77777777" w:rsidR="006F38DF" w:rsidRPr="00F76596" w:rsidRDefault="001A0D11" w:rsidP="00EB1C65">
            <w:pPr>
              <w:pStyle w:val="tabletext"/>
            </w:pPr>
            <w:r w:rsidRPr="00F76596">
              <w:t>For floating rate leg 2</w:t>
            </w:r>
            <w:r w:rsidR="00FB6FF6" w:rsidRPr="00F76596">
              <w:t xml:space="preserve">, </w:t>
            </w:r>
            <w:r w:rsidR="005C6F1A" w:rsidRPr="00F76596">
              <w:t>t</w:t>
            </w:r>
            <w:r w:rsidR="00856A10" w:rsidRPr="00F76596">
              <w:t>he name of the rate used to</w:t>
            </w:r>
            <w:r w:rsidR="00B17D22" w:rsidRPr="00F76596">
              <w:t xml:space="preserve"> determine</w:t>
            </w:r>
            <w:r w:rsidR="00856A10" w:rsidRPr="00F76596">
              <w:t xml:space="preserve"> </w:t>
            </w:r>
            <w:r w:rsidR="00270DCD" w:rsidRPr="00F76596">
              <w:t xml:space="preserve">the payment amount </w:t>
            </w:r>
            <w:r w:rsidR="00856A10" w:rsidRPr="00F76596">
              <w:t>at predetermined intervals</w:t>
            </w:r>
            <w:r w:rsidR="00290C68" w:rsidRPr="00F76596">
              <w:t>.</w:t>
            </w:r>
            <w:r w:rsidR="00BE546A" w:rsidRPr="00F76596" w:rsidDel="00BE546A">
              <w:t xml:space="preserve"> </w:t>
            </w:r>
          </w:p>
        </w:tc>
      </w:tr>
      <w:tr w:rsidR="00290C68" w:rsidRPr="00F76596" w14:paraId="1A900401" w14:textId="77777777" w:rsidTr="0002494D">
        <w:trPr>
          <w:cantSplit/>
        </w:trPr>
        <w:tc>
          <w:tcPr>
            <w:tcW w:w="851" w:type="dxa"/>
          </w:tcPr>
          <w:p w14:paraId="009E675F" w14:textId="77777777" w:rsidR="00290C68" w:rsidRPr="00F76596" w:rsidRDefault="00290C68" w:rsidP="00BE32EF">
            <w:pPr>
              <w:pStyle w:val="tabletext"/>
            </w:pPr>
            <w:r w:rsidRPr="00F76596">
              <w:lastRenderedPageBreak/>
              <w:t>19</w:t>
            </w:r>
          </w:p>
        </w:tc>
        <w:tc>
          <w:tcPr>
            <w:tcW w:w="2104" w:type="dxa"/>
          </w:tcPr>
          <w:p w14:paraId="57F06075" w14:textId="77777777" w:rsidR="00290C68" w:rsidRPr="00F76596" w:rsidRDefault="00290C68" w:rsidP="00F02604">
            <w:pPr>
              <w:pStyle w:val="tabletext"/>
            </w:pPr>
            <w:r w:rsidRPr="00F76596">
              <w:t xml:space="preserve">Floating </w:t>
            </w:r>
            <w:r w:rsidR="00F02604" w:rsidRPr="00F76596">
              <w:t>rate</w:t>
            </w:r>
            <w:r w:rsidRPr="00F76596">
              <w:t xml:space="preserve"> reset frequency</w:t>
            </w:r>
          </w:p>
        </w:tc>
        <w:tc>
          <w:tcPr>
            <w:tcW w:w="5375" w:type="dxa"/>
          </w:tcPr>
          <w:p w14:paraId="3BB14425" w14:textId="77777777" w:rsidR="00290C68" w:rsidRPr="00F76596" w:rsidRDefault="00B20FC7" w:rsidP="00B20FC7">
            <w:pPr>
              <w:pStyle w:val="tabletext"/>
            </w:pPr>
            <w:r w:rsidRPr="00F76596">
              <w:t>T</w:t>
            </w:r>
            <w:r w:rsidR="00466322" w:rsidRPr="00F76596">
              <w:t xml:space="preserve">he </w:t>
            </w:r>
            <w:r w:rsidRPr="00F76596">
              <w:t xml:space="preserve">dates on, or frequency with which, </w:t>
            </w:r>
            <w:r w:rsidR="00466322" w:rsidRPr="00F76596">
              <w:t>the interest rate is reset by reference to the rate</w:t>
            </w:r>
            <w:r w:rsidRPr="00F76596">
              <w:t>s identified under items 17 and 18.</w:t>
            </w:r>
          </w:p>
        </w:tc>
      </w:tr>
    </w:tbl>
    <w:p w14:paraId="21F6558F" w14:textId="77777777" w:rsidR="006F38DF" w:rsidRPr="00F76596" w:rsidRDefault="006F38DF" w:rsidP="006F38DF">
      <w:pPr>
        <w:pStyle w:val="MIRHeading2Part"/>
      </w:pPr>
      <w:bookmarkStart w:id="18" w:name="_Toc122081647"/>
      <w:r w:rsidRPr="00F76596">
        <w:t>Part S2.2</w:t>
      </w:r>
      <w:r w:rsidRPr="00F76596">
        <w:tab/>
        <w:t>Derivative Position Information</w:t>
      </w:r>
      <w:bookmarkEnd w:id="18"/>
    </w:p>
    <w:p w14:paraId="023D1576" w14:textId="77777777" w:rsidR="006F38DF" w:rsidRPr="00F76596" w:rsidRDefault="006F38DF" w:rsidP="006F38DF">
      <w:pPr>
        <w:pStyle w:val="MIRHeading3Rule"/>
      </w:pPr>
      <w:r w:rsidRPr="00F76596">
        <w:t>S2.2.1</w:t>
      </w:r>
      <w:r w:rsidRPr="00F76596">
        <w:tab/>
        <w:t>Derivative Position Information</w:t>
      </w:r>
    </w:p>
    <w:p w14:paraId="7C6D006B" w14:textId="77777777" w:rsidR="006F38DF" w:rsidRPr="00F76596" w:rsidRDefault="006F38DF" w:rsidP="006F38DF">
      <w:pPr>
        <w:pStyle w:val="MIRBodyText"/>
      </w:pPr>
      <w:r w:rsidRPr="00F76596">
        <w:t xml:space="preserve">The </w:t>
      </w:r>
      <w:r w:rsidRPr="00F76596">
        <w:rPr>
          <w:b/>
          <w:i/>
        </w:rPr>
        <w:t>Derivative Position Information</w:t>
      </w:r>
      <w:r w:rsidRPr="00F76596">
        <w:t xml:space="preserve"> in relation to a </w:t>
      </w:r>
      <w:r w:rsidR="009A67E0" w:rsidRPr="00F76596">
        <w:t xml:space="preserve">Reportable Position </w:t>
      </w:r>
      <w:r w:rsidRPr="00F76596">
        <w:t>is:</w:t>
      </w:r>
    </w:p>
    <w:p w14:paraId="7CB5FDAF" w14:textId="77777777" w:rsidR="007F3155" w:rsidRPr="00F76596" w:rsidRDefault="007F3155" w:rsidP="007F3155">
      <w:pPr>
        <w:pStyle w:val="MIRSubpara"/>
      </w:pPr>
      <w:r w:rsidRPr="00F76596">
        <w:t xml:space="preserve">if the </w:t>
      </w:r>
      <w:r w:rsidR="004C7C9F" w:rsidRPr="00F76596">
        <w:t>Reportable P</w:t>
      </w:r>
      <w:r w:rsidRPr="00F76596">
        <w:t>osition is in a commodity derivative</w:t>
      </w:r>
      <w:r w:rsidR="00097819" w:rsidRPr="00F76596">
        <w:t xml:space="preserve"> that is not an electricity derivative</w:t>
      </w:r>
      <w:r w:rsidRPr="00F76596">
        <w:t xml:space="preserve">, the information about the </w:t>
      </w:r>
      <w:r w:rsidR="004C7C9F" w:rsidRPr="00F76596">
        <w:t>Reportable P</w:t>
      </w:r>
      <w:r w:rsidRPr="00F76596">
        <w:t xml:space="preserve">osition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w:t>
      </w:r>
      <w:r w:rsidR="004C7C9F" w:rsidRPr="00F76596">
        <w:t>Reportable P</w:t>
      </w:r>
      <w:r w:rsidRPr="00F76596">
        <w:t xml:space="preserve">osition set out in column 3 of Table </w:t>
      </w:r>
      <w:r w:rsidR="003F0141" w:rsidRPr="00F76596">
        <w:t>S2.2(</w:t>
      </w:r>
      <w:r w:rsidRPr="00F76596">
        <w:t>2</w:t>
      </w:r>
      <w:r w:rsidR="003F0141" w:rsidRPr="00F76596">
        <w:t>)</w:t>
      </w:r>
      <w:r w:rsidR="009A67E0" w:rsidRPr="00F76596">
        <w:t xml:space="preserve">, to the extent that information is relevant to the Reportable </w:t>
      </w:r>
      <w:r w:rsidR="00700DEE" w:rsidRPr="00F76596">
        <w:t>Position</w:t>
      </w:r>
      <w:r w:rsidRPr="00F76596">
        <w:t>;</w:t>
      </w:r>
    </w:p>
    <w:p w14:paraId="6CD21A3B" w14:textId="77777777" w:rsidR="007F3155" w:rsidRPr="00F76596" w:rsidRDefault="007F3155" w:rsidP="007F3155">
      <w:pPr>
        <w:pStyle w:val="MIRSubpara"/>
      </w:pPr>
      <w:r w:rsidRPr="00F76596">
        <w:t xml:space="preserve">if the </w:t>
      </w:r>
      <w:r w:rsidR="004C7C9F" w:rsidRPr="00F76596">
        <w:t>Reportable P</w:t>
      </w:r>
      <w:r w:rsidRPr="00F76596">
        <w:t xml:space="preserve">osition is in a credit derivative or an equity derivative, 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3</w:t>
      </w:r>
      <w:r w:rsidR="003F0141" w:rsidRPr="00F76596">
        <w:t>)</w:t>
      </w:r>
      <w:r w:rsidR="00700DEE" w:rsidRPr="00F76596">
        <w:t>, to the extent that information is relevant to the Reportable Position</w:t>
      </w:r>
      <w:r w:rsidRPr="00F76596">
        <w:t>;</w:t>
      </w:r>
    </w:p>
    <w:p w14:paraId="53454CC8" w14:textId="77777777" w:rsidR="007F3155" w:rsidRPr="00F76596" w:rsidRDefault="007F3155" w:rsidP="007F3155">
      <w:pPr>
        <w:pStyle w:val="MIRSubpara"/>
      </w:pPr>
      <w:r w:rsidRPr="00F76596">
        <w:t xml:space="preserve">if the </w:t>
      </w:r>
      <w:r w:rsidR="004C7C9F" w:rsidRPr="00F76596">
        <w:t>Reportable P</w:t>
      </w:r>
      <w:r w:rsidR="00BC06F4" w:rsidRPr="00F76596">
        <w:t>osition</w:t>
      </w:r>
      <w:r w:rsidRPr="00F76596">
        <w:t xml:space="preserve"> </w:t>
      </w:r>
      <w:r w:rsidR="00BC06F4" w:rsidRPr="00F76596">
        <w:t xml:space="preserve">is in </w:t>
      </w:r>
      <w:r w:rsidR="006F38DF" w:rsidRPr="00F76596">
        <w:t xml:space="preserve">a foreign exchange derivative, </w:t>
      </w:r>
      <w:r w:rsidRPr="00F76596">
        <w:t xml:space="preserve">the information about the </w:t>
      </w:r>
      <w:r w:rsidR="004C7C9F" w:rsidRPr="00F76596">
        <w:t>Reportable P</w:t>
      </w:r>
      <w:r w:rsidR="00BC06F4" w:rsidRPr="00F76596">
        <w:t>osition</w:t>
      </w:r>
      <w:r w:rsidRPr="00F76596">
        <w:t xml:space="preserve">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4</w:t>
      </w:r>
      <w:r w:rsidR="003F0141" w:rsidRPr="00F76596">
        <w:t>)</w:t>
      </w:r>
      <w:r w:rsidR="006F0151" w:rsidRPr="00F76596">
        <w:t>, to the extent that information is relevant to the Reportable Position</w:t>
      </w:r>
      <w:r w:rsidRPr="00F76596">
        <w:t>;</w:t>
      </w:r>
      <w:r w:rsidR="00016488" w:rsidRPr="00F76596">
        <w:t xml:space="preserve"> or</w:t>
      </w:r>
    </w:p>
    <w:p w14:paraId="249F7E88" w14:textId="77777777" w:rsidR="007F3155" w:rsidRPr="00F76596" w:rsidRDefault="007F3155" w:rsidP="007F3155">
      <w:pPr>
        <w:pStyle w:val="MIRSubpara"/>
      </w:pPr>
      <w:r w:rsidRPr="00F76596">
        <w:t xml:space="preserve">if the </w:t>
      </w:r>
      <w:r w:rsidR="004C7C9F" w:rsidRPr="00F76596">
        <w:t>Reportable P</w:t>
      </w:r>
      <w:r w:rsidR="00E05603" w:rsidRPr="00F76596">
        <w:t>osition</w:t>
      </w:r>
      <w:r w:rsidRPr="00F76596">
        <w:t xml:space="preserve"> </w:t>
      </w:r>
      <w:r w:rsidR="00E05603" w:rsidRPr="00F76596">
        <w:t xml:space="preserve">is in </w:t>
      </w:r>
      <w:r w:rsidR="006F38DF" w:rsidRPr="00F76596">
        <w:t>a</w:t>
      </w:r>
      <w:r w:rsidRPr="00F76596">
        <w:t>n</w:t>
      </w:r>
      <w:r w:rsidR="006F38DF" w:rsidRPr="00F76596">
        <w:t xml:space="preserve"> </w:t>
      </w:r>
      <w:r w:rsidRPr="00F76596">
        <w:t>interest rate</w:t>
      </w:r>
      <w:r w:rsidR="006F38DF" w:rsidRPr="00F76596">
        <w:t xml:space="preserve"> derivative, </w:t>
      </w:r>
      <w:r w:rsidRPr="00F76596">
        <w:t xml:space="preserve">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5</w:t>
      </w:r>
      <w:r w:rsidR="003F0141" w:rsidRPr="00F76596">
        <w:t>)</w:t>
      </w:r>
      <w:r w:rsidR="007E169F" w:rsidRPr="00F76596">
        <w:t>, to the extent that information is relevant to the Reportable Position</w:t>
      </w:r>
      <w:r w:rsidRPr="00F76596">
        <w:t>.</w:t>
      </w:r>
    </w:p>
    <w:p w14:paraId="15C5F423" w14:textId="77777777" w:rsidR="00C07C0E" w:rsidRPr="00F76596" w:rsidRDefault="00C07C0E" w:rsidP="000A3160">
      <w:pPr>
        <w:pStyle w:val="MIRNote"/>
      </w:pPr>
      <w:r w:rsidRPr="00F76596">
        <w:t xml:space="preserve">Note: As at the date the Rules are made, the Prescribed Classes under the </w:t>
      </w:r>
      <w:r w:rsidRPr="00F76596">
        <w:rPr>
          <w:i/>
        </w:rPr>
        <w:t>Corporations (Derivatives) Determination 2013</w:t>
      </w:r>
      <w:r w:rsidRPr="00F76596">
        <w:t xml:space="preserve"> are commodity derivatives </w:t>
      </w:r>
      <w:r w:rsidR="00097819" w:rsidRPr="00F76596">
        <w:t>that are not electricity derivatives</w:t>
      </w:r>
      <w:r w:rsidRPr="00F76596">
        <w:t>, credit derivatives, equity derivatives, foreign exchange derivatives and interest rate derivatives.</w:t>
      </w:r>
    </w:p>
    <w:p w14:paraId="66339630" w14:textId="77777777" w:rsidR="006F38DF" w:rsidRPr="00F76596" w:rsidRDefault="006F38DF" w:rsidP="006F38DF">
      <w:pPr>
        <w:pStyle w:val="tabletitlefullwidth"/>
        <w:ind w:left="851" w:firstLine="1"/>
      </w:pPr>
      <w:r w:rsidRPr="00F76596">
        <w:t xml:space="preserve">Table </w:t>
      </w:r>
      <w:r w:rsidR="00F75094" w:rsidRPr="00F76596">
        <w:t>S2.2(</w:t>
      </w:r>
      <w:r w:rsidRPr="00F76596">
        <w:t>1</w:t>
      </w:r>
      <w:r w:rsidR="00F75094"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38"/>
        <w:gridCol w:w="2075"/>
        <w:gridCol w:w="5221"/>
      </w:tblGrid>
      <w:tr w:rsidR="006F38DF" w:rsidRPr="00F76596" w14:paraId="487FA3B4" w14:textId="77777777" w:rsidTr="00FF6E76">
        <w:trPr>
          <w:tblHeader/>
        </w:trPr>
        <w:tc>
          <w:tcPr>
            <w:tcW w:w="851" w:type="dxa"/>
            <w:shd w:val="clear" w:color="auto" w:fill="C2E3FA"/>
          </w:tcPr>
          <w:p w14:paraId="6415A779" w14:textId="77777777"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14:paraId="2DC6A659" w14:textId="77777777"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14:paraId="38E8728F" w14:textId="77777777"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14:paraId="613E913D" w14:textId="77777777" w:rsidTr="00FF6E76">
        <w:tc>
          <w:tcPr>
            <w:tcW w:w="851" w:type="dxa"/>
          </w:tcPr>
          <w:p w14:paraId="63B7FC5E" w14:textId="77777777" w:rsidR="006F38DF" w:rsidRPr="00F76596" w:rsidRDefault="006F38DF" w:rsidP="00BE32EF">
            <w:pPr>
              <w:pStyle w:val="tabletext"/>
            </w:pPr>
            <w:r w:rsidRPr="00F76596">
              <w:t>1</w:t>
            </w:r>
          </w:p>
        </w:tc>
        <w:tc>
          <w:tcPr>
            <w:tcW w:w="2104" w:type="dxa"/>
          </w:tcPr>
          <w:p w14:paraId="24598308" w14:textId="77777777" w:rsidR="006F38DF" w:rsidRPr="00F76596" w:rsidRDefault="006F38DF" w:rsidP="00BE32EF">
            <w:pPr>
              <w:pStyle w:val="tabletext"/>
            </w:pPr>
            <w:r w:rsidRPr="00F76596">
              <w:t>Unique product identifier</w:t>
            </w:r>
          </w:p>
        </w:tc>
        <w:tc>
          <w:tcPr>
            <w:tcW w:w="5375" w:type="dxa"/>
          </w:tcPr>
          <w:p w14:paraId="19049E6E" w14:textId="77777777" w:rsidR="006F38DF" w:rsidRPr="00F76596" w:rsidRDefault="00E75C74" w:rsidP="00CA39A9">
            <w:pPr>
              <w:pStyle w:val="tabletext"/>
            </w:pPr>
            <w:r w:rsidRPr="00F76596">
              <w:t xml:space="preserve">The universal product identification code for the Derivative to which the Reportable </w:t>
            </w:r>
            <w:r w:rsidR="00CA39A9" w:rsidRPr="00F76596">
              <w:t>Position</w:t>
            </w:r>
            <w:r w:rsidRPr="00F76596">
              <w:t xml:space="preserve"> relates, based on the taxonomy of the Derivative or, if no universal product identification code is available, a product identification code of the Derivative using an internationally accepted product taxonomy.</w:t>
            </w:r>
          </w:p>
        </w:tc>
      </w:tr>
      <w:tr w:rsidR="006F38DF" w:rsidRPr="00F76596" w14:paraId="255D4279" w14:textId="77777777" w:rsidTr="00FF6E76">
        <w:tc>
          <w:tcPr>
            <w:tcW w:w="851" w:type="dxa"/>
          </w:tcPr>
          <w:p w14:paraId="3856C29A" w14:textId="77777777" w:rsidR="006F38DF" w:rsidRPr="00F76596" w:rsidRDefault="006F38DF" w:rsidP="00BE32EF">
            <w:pPr>
              <w:pStyle w:val="tabletext"/>
            </w:pPr>
            <w:r w:rsidRPr="00F76596">
              <w:t>2</w:t>
            </w:r>
          </w:p>
        </w:tc>
        <w:tc>
          <w:tcPr>
            <w:tcW w:w="2104" w:type="dxa"/>
          </w:tcPr>
          <w:p w14:paraId="737467EE" w14:textId="77777777" w:rsidR="006F38DF" w:rsidRPr="00F76596" w:rsidRDefault="006F38DF" w:rsidP="00BE32EF">
            <w:pPr>
              <w:pStyle w:val="tabletext"/>
            </w:pPr>
            <w:r w:rsidRPr="00F76596">
              <w:t>Contract type</w:t>
            </w:r>
          </w:p>
        </w:tc>
        <w:tc>
          <w:tcPr>
            <w:tcW w:w="5375" w:type="dxa"/>
          </w:tcPr>
          <w:p w14:paraId="53C41B6F" w14:textId="77777777" w:rsidR="006F38DF" w:rsidRPr="00F76596" w:rsidRDefault="000C1CEE" w:rsidP="009C4057">
            <w:pPr>
              <w:pStyle w:val="tabletext"/>
            </w:pPr>
            <w:r w:rsidRPr="00F76596">
              <w:t>The type of Der</w:t>
            </w:r>
            <w:r w:rsidR="00CA1869" w:rsidRPr="00F76596">
              <w:t>ivative to which the Reportable Position</w:t>
            </w:r>
            <w:r w:rsidRPr="00F76596">
              <w:t xml:space="preserve"> relates, such as “swap”, “swaption”, “forward”, “option”, “basis swap”, “index swap” or “basket swap”, unless this information is contained in the unique product identifier</w:t>
            </w:r>
            <w:r w:rsidR="00E826F0" w:rsidRPr="00F76596">
              <w:t xml:space="preserve"> referred to in item 1</w:t>
            </w:r>
            <w:r w:rsidRPr="00F76596">
              <w:t>, in which case this field may be left blank or omitted.</w:t>
            </w:r>
          </w:p>
        </w:tc>
      </w:tr>
      <w:tr w:rsidR="006F38DF" w:rsidRPr="00F76596" w14:paraId="141AFB30" w14:textId="77777777" w:rsidTr="00FF6E76">
        <w:tc>
          <w:tcPr>
            <w:tcW w:w="851" w:type="dxa"/>
          </w:tcPr>
          <w:p w14:paraId="05CBEAEF" w14:textId="77777777" w:rsidR="006F38DF" w:rsidRPr="00F76596" w:rsidRDefault="006F38DF" w:rsidP="00BE32EF">
            <w:pPr>
              <w:pStyle w:val="tabletext"/>
            </w:pPr>
            <w:r w:rsidRPr="00F76596">
              <w:lastRenderedPageBreak/>
              <w:t>3</w:t>
            </w:r>
          </w:p>
        </w:tc>
        <w:tc>
          <w:tcPr>
            <w:tcW w:w="2104" w:type="dxa"/>
          </w:tcPr>
          <w:p w14:paraId="7B009788" w14:textId="77777777" w:rsidR="006F38DF" w:rsidRPr="00F76596" w:rsidRDefault="006F38DF" w:rsidP="00BE32EF">
            <w:pPr>
              <w:pStyle w:val="tabletext"/>
            </w:pPr>
            <w:r w:rsidRPr="00F76596">
              <w:t>Underlying</w:t>
            </w:r>
          </w:p>
        </w:tc>
        <w:tc>
          <w:tcPr>
            <w:tcW w:w="5375" w:type="dxa"/>
          </w:tcPr>
          <w:p w14:paraId="60C22BE6" w14:textId="77777777" w:rsidR="006F38DF" w:rsidRPr="00F76596" w:rsidRDefault="007D3EA9" w:rsidP="00CA1869">
            <w:pPr>
              <w:pStyle w:val="tabletext"/>
            </w:pPr>
            <w:r w:rsidRPr="00F76596">
              <w:t xml:space="preserve">A unique identifier for the underlying to the Derivative to which the Reportable </w:t>
            </w:r>
            <w:r w:rsidR="00CA1869" w:rsidRPr="00F76596">
              <w:t>Position</w:t>
            </w:r>
            <w:r w:rsidRPr="00F76596">
              <w:t xml:space="preserve"> relates, or, if no unique identifier is available</w:t>
            </w:r>
            <w:r w:rsidRPr="00F76596" w:rsidDel="001A2AEC">
              <w:t xml:space="preserve"> </w:t>
            </w:r>
            <w:r w:rsidRPr="00F76596">
              <w:t>in the case of baskets or indices, a notation to indicate that the underlying is a basket or index.</w:t>
            </w:r>
          </w:p>
        </w:tc>
      </w:tr>
      <w:tr w:rsidR="006F38DF" w:rsidRPr="00F76596" w14:paraId="21EBB3D1" w14:textId="77777777" w:rsidTr="00FF6E76">
        <w:tc>
          <w:tcPr>
            <w:tcW w:w="851" w:type="dxa"/>
          </w:tcPr>
          <w:p w14:paraId="6A2311BD" w14:textId="77777777" w:rsidR="006F38DF" w:rsidRPr="00F76596" w:rsidRDefault="006F38DF" w:rsidP="00BE32EF">
            <w:pPr>
              <w:pStyle w:val="tabletext"/>
            </w:pPr>
            <w:r w:rsidRPr="00F76596">
              <w:t>4</w:t>
            </w:r>
          </w:p>
        </w:tc>
        <w:tc>
          <w:tcPr>
            <w:tcW w:w="2104" w:type="dxa"/>
          </w:tcPr>
          <w:p w14:paraId="5E6C6D6E" w14:textId="77777777" w:rsidR="006F38DF" w:rsidRPr="00F76596" w:rsidRDefault="006F38DF" w:rsidP="00BE32EF">
            <w:pPr>
              <w:pStyle w:val="tabletext"/>
            </w:pPr>
            <w:r w:rsidRPr="00F76596">
              <w:t>Identifier of Reporting Counterparty</w:t>
            </w:r>
          </w:p>
        </w:tc>
        <w:tc>
          <w:tcPr>
            <w:tcW w:w="5375" w:type="dxa"/>
          </w:tcPr>
          <w:p w14:paraId="00AEF2C6" w14:textId="77777777" w:rsidR="00E826F0" w:rsidRPr="00F76596" w:rsidRDefault="00E826F0" w:rsidP="00E826F0">
            <w:pPr>
              <w:pStyle w:val="tbltext"/>
            </w:pPr>
            <w:r w:rsidRPr="00F76596">
              <w:t>An identifier of the Reporting Counterparty, using:</w:t>
            </w:r>
          </w:p>
          <w:p w14:paraId="52A4594A" w14:textId="77777777" w:rsidR="005C076F" w:rsidRPr="00F76596" w:rsidRDefault="00E826F0" w:rsidP="009676FB">
            <w:pPr>
              <w:pStyle w:val="tbltext"/>
              <w:numPr>
                <w:ilvl w:val="0"/>
                <w:numId w:val="37"/>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a Business Identifier Code (BIC code); or</w:t>
            </w:r>
          </w:p>
          <w:p w14:paraId="0602510B" w14:textId="77777777" w:rsidR="006F38DF" w:rsidRPr="00F76596" w:rsidRDefault="00E826F0" w:rsidP="004043B2">
            <w:pPr>
              <w:pStyle w:val="tbltext"/>
              <w:numPr>
                <w:ilvl w:val="0"/>
                <w:numId w:val="37"/>
              </w:numPr>
            </w:pPr>
            <w:r w:rsidRPr="00F76596">
              <w:t>in the case of an individual, a client code assigned by the Reporting Counterparty.</w:t>
            </w:r>
          </w:p>
        </w:tc>
      </w:tr>
      <w:tr w:rsidR="006F38DF" w:rsidRPr="00F76596" w14:paraId="1FDA8B9B" w14:textId="77777777" w:rsidTr="00FF6E76">
        <w:tc>
          <w:tcPr>
            <w:tcW w:w="851" w:type="dxa"/>
          </w:tcPr>
          <w:p w14:paraId="6A5E21D4" w14:textId="77777777" w:rsidR="006F38DF" w:rsidRPr="00F76596" w:rsidRDefault="006F38DF" w:rsidP="00BE32EF">
            <w:pPr>
              <w:pStyle w:val="tabletext"/>
            </w:pPr>
            <w:r w:rsidRPr="00F76596">
              <w:t>5</w:t>
            </w:r>
          </w:p>
        </w:tc>
        <w:tc>
          <w:tcPr>
            <w:tcW w:w="2104" w:type="dxa"/>
          </w:tcPr>
          <w:p w14:paraId="3844B81A" w14:textId="77777777" w:rsidR="006F38DF" w:rsidRPr="00F76596" w:rsidRDefault="006F38DF" w:rsidP="00BE32EF">
            <w:pPr>
              <w:pStyle w:val="tabletext"/>
            </w:pPr>
            <w:r w:rsidRPr="00F76596">
              <w:t>Name of Reporting Counterparty</w:t>
            </w:r>
          </w:p>
        </w:tc>
        <w:tc>
          <w:tcPr>
            <w:tcW w:w="5375" w:type="dxa"/>
          </w:tcPr>
          <w:p w14:paraId="3F57A17A" w14:textId="77777777" w:rsidR="006F38DF" w:rsidRPr="00F76596" w:rsidRDefault="002A5CA5" w:rsidP="002A5CA5">
            <w:pPr>
              <w:pStyle w:val="tabletext"/>
            </w:pPr>
            <w:r w:rsidRPr="00F76596">
              <w:t>The legal name of the Reporting Counterparty identified under item 4.</w:t>
            </w:r>
          </w:p>
        </w:tc>
      </w:tr>
      <w:tr w:rsidR="006F38DF" w:rsidRPr="00F76596" w14:paraId="49A8BAAD" w14:textId="77777777" w:rsidTr="00FF6E76">
        <w:tc>
          <w:tcPr>
            <w:tcW w:w="851" w:type="dxa"/>
          </w:tcPr>
          <w:p w14:paraId="1E2A7B53" w14:textId="77777777" w:rsidR="006F38DF" w:rsidRPr="00F76596" w:rsidRDefault="006F38DF" w:rsidP="00BE32EF">
            <w:pPr>
              <w:pStyle w:val="tabletext"/>
            </w:pPr>
            <w:r w:rsidRPr="00F76596">
              <w:t>6</w:t>
            </w:r>
          </w:p>
        </w:tc>
        <w:tc>
          <w:tcPr>
            <w:tcW w:w="2104" w:type="dxa"/>
          </w:tcPr>
          <w:p w14:paraId="5EC9D39A" w14:textId="77777777" w:rsidR="006F38DF" w:rsidRPr="00F76596" w:rsidRDefault="006F38DF" w:rsidP="00A55D27">
            <w:pPr>
              <w:pStyle w:val="tabletext"/>
            </w:pPr>
            <w:r w:rsidRPr="00F76596">
              <w:t>Identifier of Non</w:t>
            </w:r>
            <w:r w:rsidR="00A53E57" w:rsidRPr="00F76596">
              <w:noBreakHyphen/>
            </w:r>
            <w:r w:rsidR="00A55D27" w:rsidRPr="00F76596">
              <w:t>R</w:t>
            </w:r>
            <w:r w:rsidRPr="00F76596">
              <w:t>eporting Counterparty</w:t>
            </w:r>
          </w:p>
        </w:tc>
        <w:tc>
          <w:tcPr>
            <w:tcW w:w="5375" w:type="dxa"/>
          </w:tcPr>
          <w:p w14:paraId="7FC79A7A" w14:textId="77777777" w:rsidR="009A2003" w:rsidRPr="00F76596" w:rsidRDefault="009A2003" w:rsidP="009A2003">
            <w:pPr>
              <w:pStyle w:val="tbltext"/>
            </w:pPr>
            <w:r w:rsidRPr="00F76596">
              <w:t xml:space="preserve"> An identifier of the Non-</w:t>
            </w:r>
            <w:r w:rsidR="00A55D27" w:rsidRPr="00F76596">
              <w:t>R</w:t>
            </w:r>
            <w:r w:rsidRPr="00F76596">
              <w:t>eporting Counterparty, using:</w:t>
            </w:r>
          </w:p>
          <w:p w14:paraId="277E2ADD" w14:textId="77777777" w:rsidR="009A2003" w:rsidRPr="00F76596" w:rsidRDefault="009A2003" w:rsidP="009676FB">
            <w:pPr>
              <w:pStyle w:val="tbltext"/>
              <w:numPr>
                <w:ilvl w:val="0"/>
                <w:numId w:val="38"/>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a Business Identifier Code (BIC code); or</w:t>
            </w:r>
          </w:p>
          <w:p w14:paraId="2E3F3388" w14:textId="77777777" w:rsidR="006F38DF" w:rsidRPr="00F76596" w:rsidRDefault="009A2003" w:rsidP="004043B2">
            <w:pPr>
              <w:pStyle w:val="tbltext"/>
              <w:numPr>
                <w:ilvl w:val="0"/>
                <w:numId w:val="38"/>
              </w:numPr>
            </w:pPr>
            <w:r w:rsidRPr="00F76596">
              <w:t>in the case of an individual, a client code assigned by the Reporting Counterparty.</w:t>
            </w:r>
          </w:p>
        </w:tc>
      </w:tr>
      <w:tr w:rsidR="006F38DF" w:rsidRPr="00F76596" w14:paraId="5B2D44DD" w14:textId="77777777" w:rsidTr="00FF6E76">
        <w:tc>
          <w:tcPr>
            <w:tcW w:w="851" w:type="dxa"/>
          </w:tcPr>
          <w:p w14:paraId="690E699E" w14:textId="77777777" w:rsidR="006F38DF" w:rsidRPr="00F76596" w:rsidRDefault="006F38DF" w:rsidP="00BE32EF">
            <w:pPr>
              <w:pStyle w:val="tabletext"/>
            </w:pPr>
            <w:r w:rsidRPr="00F76596">
              <w:t>7</w:t>
            </w:r>
          </w:p>
        </w:tc>
        <w:tc>
          <w:tcPr>
            <w:tcW w:w="2104" w:type="dxa"/>
          </w:tcPr>
          <w:p w14:paraId="68F6CC61" w14:textId="77777777" w:rsidR="006F38DF" w:rsidRPr="00F76596" w:rsidRDefault="006F38DF" w:rsidP="00A55D27">
            <w:pPr>
              <w:pStyle w:val="tabletext"/>
            </w:pPr>
            <w:r w:rsidRPr="00F76596">
              <w:t>Name of Non</w:t>
            </w:r>
            <w:r w:rsidR="00A53E57" w:rsidRPr="00F76596">
              <w:noBreakHyphen/>
            </w:r>
            <w:r w:rsidR="00A55D27" w:rsidRPr="00F76596">
              <w:t>R</w:t>
            </w:r>
            <w:r w:rsidRPr="00F76596">
              <w:t>eporting Counterparty</w:t>
            </w:r>
          </w:p>
        </w:tc>
        <w:tc>
          <w:tcPr>
            <w:tcW w:w="5375" w:type="dxa"/>
          </w:tcPr>
          <w:p w14:paraId="5F0B9A5A" w14:textId="77777777" w:rsidR="006F38DF" w:rsidRPr="00F76596" w:rsidRDefault="00F270F1" w:rsidP="00BE32EF">
            <w:pPr>
              <w:pStyle w:val="tabletext"/>
            </w:pPr>
            <w:r w:rsidRPr="00F76596">
              <w:t>The legal name of the Non-</w:t>
            </w:r>
            <w:r w:rsidR="00A55D27" w:rsidRPr="00F76596">
              <w:t>R</w:t>
            </w:r>
            <w:r w:rsidRPr="00F76596">
              <w:t>eporting Counterparty identified under item 6.</w:t>
            </w:r>
          </w:p>
        </w:tc>
      </w:tr>
      <w:tr w:rsidR="006F38DF" w:rsidRPr="00F76596" w14:paraId="1F91FE7E" w14:textId="77777777" w:rsidTr="00FF6E76">
        <w:tc>
          <w:tcPr>
            <w:tcW w:w="851" w:type="dxa"/>
          </w:tcPr>
          <w:p w14:paraId="72B7A7C7" w14:textId="77777777" w:rsidR="006F38DF" w:rsidRPr="00F76596" w:rsidRDefault="006F38DF" w:rsidP="00BE32EF">
            <w:pPr>
              <w:pStyle w:val="tabletext"/>
            </w:pPr>
            <w:r w:rsidRPr="00F76596">
              <w:t>8</w:t>
            </w:r>
          </w:p>
        </w:tc>
        <w:tc>
          <w:tcPr>
            <w:tcW w:w="2104" w:type="dxa"/>
          </w:tcPr>
          <w:p w14:paraId="0AAC60CD" w14:textId="77777777" w:rsidR="006F38DF" w:rsidRPr="00F76596" w:rsidRDefault="006F38DF" w:rsidP="00A317AA">
            <w:pPr>
              <w:pStyle w:val="tabletext"/>
            </w:pPr>
            <w:r w:rsidRPr="00F76596">
              <w:t xml:space="preserve">Identifier of </w:t>
            </w:r>
            <w:r w:rsidR="00A317AA" w:rsidRPr="00F76596">
              <w:t>b</w:t>
            </w:r>
            <w:r w:rsidRPr="00F76596">
              <w:t>eneficiary</w:t>
            </w:r>
          </w:p>
        </w:tc>
        <w:tc>
          <w:tcPr>
            <w:tcW w:w="5375" w:type="dxa"/>
          </w:tcPr>
          <w:p w14:paraId="120A5458" w14:textId="77777777" w:rsidR="00A024A5" w:rsidRPr="00F76596" w:rsidRDefault="00A024A5" w:rsidP="00A024A5">
            <w:pPr>
              <w:pStyle w:val="tbltext"/>
            </w:pPr>
            <w:r w:rsidRPr="00F76596">
              <w:t xml:space="preserve">If the beneficiary of the rights and obligations arising from the Derivative to which the Reportable </w:t>
            </w:r>
            <w:r w:rsidR="00CA1869" w:rsidRPr="00F76596">
              <w:t>Position</w:t>
            </w:r>
            <w:r w:rsidRPr="00F76596">
              <w:t xml:space="preserve"> relates is not the Reporting Counterparty:</w:t>
            </w:r>
          </w:p>
          <w:p w14:paraId="31526C77" w14:textId="77777777" w:rsidR="00A024A5" w:rsidRPr="00F76596" w:rsidRDefault="00A024A5" w:rsidP="004043B2">
            <w:pPr>
              <w:pStyle w:val="tbltext"/>
              <w:numPr>
                <w:ilvl w:val="0"/>
                <w:numId w:val="39"/>
              </w:numPr>
            </w:pPr>
            <w:r w:rsidRPr="00F76596">
              <w:t>an identifier of the beneficiary of the Reporting Counterparty, using:</w:t>
            </w:r>
          </w:p>
          <w:p w14:paraId="4217E96C" w14:textId="77777777" w:rsidR="00A024A5" w:rsidRPr="00F76596" w:rsidRDefault="00A024A5" w:rsidP="009676FB">
            <w:pPr>
              <w:pStyle w:val="tbltext"/>
              <w:numPr>
                <w:ilvl w:val="1"/>
                <w:numId w:val="39"/>
              </w:numPr>
            </w:pPr>
            <w:r w:rsidRPr="00F76596">
              <w:t xml:space="preserve">in the case of an entity, </w:t>
            </w:r>
            <w:r w:rsidR="001E3999" w:rsidRPr="00F76596">
              <w:t xml:space="preserve">a Legal Entity Identifier (LEI) or interim entity identifier or, if no LEI or interim entity identifier is available for the entity, </w:t>
            </w:r>
            <w:r w:rsidR="009676FB" w:rsidRPr="009676FB">
              <w:t>a Designated Business Identifier or, if no Designated Business Identifier is available</w:t>
            </w:r>
            <w:r w:rsidR="001E3999" w:rsidRPr="00F76596">
              <w:t>, a Business Identifier Code (BIC code)</w:t>
            </w:r>
            <w:r w:rsidRPr="00F76596">
              <w:t>; or</w:t>
            </w:r>
          </w:p>
          <w:p w14:paraId="2A62A60F" w14:textId="77777777" w:rsidR="00A024A5" w:rsidRPr="00F76596" w:rsidRDefault="00A024A5" w:rsidP="004043B2">
            <w:pPr>
              <w:pStyle w:val="tbltext"/>
              <w:numPr>
                <w:ilvl w:val="1"/>
                <w:numId w:val="39"/>
              </w:numPr>
            </w:pPr>
            <w:r w:rsidRPr="00F76596">
              <w:t>in the case of an individual, a client code as assigned by the Reporting Counterparty; or</w:t>
            </w:r>
          </w:p>
          <w:p w14:paraId="25894E6A" w14:textId="77777777" w:rsidR="006F38DF" w:rsidRPr="00F76596" w:rsidRDefault="00A024A5" w:rsidP="004043B2">
            <w:pPr>
              <w:pStyle w:val="tbltext"/>
              <w:numPr>
                <w:ilvl w:val="0"/>
                <w:numId w:val="39"/>
              </w:numPr>
            </w:pPr>
            <w:r w:rsidRPr="00F76596">
              <w:t xml:space="preserve">where the Reportable </w:t>
            </w:r>
            <w:r w:rsidR="00CE7236" w:rsidRPr="00F76596">
              <w:t>Position</w:t>
            </w:r>
            <w:r w:rsidRPr="00F76596">
              <w:t xml:space="preserve"> was executed via a structure,</w:t>
            </w:r>
            <w:r w:rsidRPr="00F76596">
              <w:rPr>
                <w:rFonts w:ascii="Times New Roman" w:hAnsi="Times New Roman" w:cs="Times New Roman"/>
                <w:sz w:val="22"/>
                <w:szCs w:val="22"/>
              </w:rPr>
              <w:t xml:space="preserve"> </w:t>
            </w:r>
            <w:r w:rsidRPr="00F76596">
              <w:t>such as a trust or managed investment scheme, representing a number of beneficiaries, an identifier of the structure (i.e. as the trust or managed investment scheme).</w:t>
            </w:r>
          </w:p>
        </w:tc>
      </w:tr>
      <w:tr w:rsidR="006F38DF" w:rsidRPr="00F76596" w14:paraId="1F182794" w14:textId="77777777" w:rsidTr="00FF6E76">
        <w:tc>
          <w:tcPr>
            <w:tcW w:w="851" w:type="dxa"/>
          </w:tcPr>
          <w:p w14:paraId="3EDCF447" w14:textId="77777777" w:rsidR="006F38DF" w:rsidRPr="00F76596" w:rsidRDefault="006F38DF" w:rsidP="00BE32EF">
            <w:pPr>
              <w:pStyle w:val="tabletext"/>
            </w:pPr>
            <w:r w:rsidRPr="00F76596">
              <w:lastRenderedPageBreak/>
              <w:t>9</w:t>
            </w:r>
          </w:p>
        </w:tc>
        <w:tc>
          <w:tcPr>
            <w:tcW w:w="2104" w:type="dxa"/>
          </w:tcPr>
          <w:p w14:paraId="3D940CBA" w14:textId="77777777" w:rsidR="006F38DF" w:rsidRPr="00F76596" w:rsidRDefault="006F38DF" w:rsidP="00A317AA">
            <w:pPr>
              <w:pStyle w:val="tabletext"/>
            </w:pPr>
            <w:r w:rsidRPr="00F76596">
              <w:t xml:space="preserve">Name of </w:t>
            </w:r>
            <w:r w:rsidR="00A317AA" w:rsidRPr="00F76596">
              <w:t>b</w:t>
            </w:r>
            <w:r w:rsidRPr="00F76596">
              <w:t>eneficiary</w:t>
            </w:r>
            <w:r w:rsidR="00A317AA" w:rsidRPr="00F76596">
              <w:t xml:space="preserve"> or structure</w:t>
            </w:r>
          </w:p>
        </w:tc>
        <w:tc>
          <w:tcPr>
            <w:tcW w:w="5375" w:type="dxa"/>
          </w:tcPr>
          <w:p w14:paraId="73B9199A" w14:textId="77777777" w:rsidR="006F38DF" w:rsidRPr="00F76596" w:rsidRDefault="00A317AA" w:rsidP="00A317AA">
            <w:pPr>
              <w:pStyle w:val="tabletext"/>
            </w:pPr>
            <w:r w:rsidRPr="00F76596">
              <w:t xml:space="preserve">The legal name of the beneficiary or structure (if any) identified under item </w:t>
            </w:r>
            <w:r w:rsidR="00FD2FBB" w:rsidRPr="00F76596">
              <w:t>8</w:t>
            </w:r>
            <w:r w:rsidRPr="00F76596">
              <w:t>.</w:t>
            </w:r>
          </w:p>
        </w:tc>
      </w:tr>
      <w:tr w:rsidR="006F38DF" w:rsidRPr="00F76596" w14:paraId="6C53B9F8" w14:textId="77777777" w:rsidTr="00FF6E76">
        <w:tc>
          <w:tcPr>
            <w:tcW w:w="851" w:type="dxa"/>
          </w:tcPr>
          <w:p w14:paraId="7CB30B57" w14:textId="77777777" w:rsidR="006F38DF" w:rsidRPr="00F76596" w:rsidRDefault="006F38DF" w:rsidP="00BE32EF">
            <w:pPr>
              <w:pStyle w:val="tabletext"/>
            </w:pPr>
            <w:r w:rsidRPr="00F76596">
              <w:t>10</w:t>
            </w:r>
          </w:p>
        </w:tc>
        <w:tc>
          <w:tcPr>
            <w:tcW w:w="2104" w:type="dxa"/>
          </w:tcPr>
          <w:p w14:paraId="7BC6F9BE" w14:textId="77777777" w:rsidR="006F38DF" w:rsidRPr="00F76596" w:rsidRDefault="006F38DF" w:rsidP="007B4C41">
            <w:pPr>
              <w:pStyle w:val="tabletext"/>
            </w:pPr>
            <w:r w:rsidRPr="00F76596">
              <w:t xml:space="preserve">Identifier of </w:t>
            </w:r>
            <w:r w:rsidR="007B4C41" w:rsidRPr="00F76596">
              <w:t>person making report</w:t>
            </w:r>
          </w:p>
        </w:tc>
        <w:tc>
          <w:tcPr>
            <w:tcW w:w="5375" w:type="dxa"/>
          </w:tcPr>
          <w:p w14:paraId="1B67F905" w14:textId="77777777" w:rsidR="007B4C41" w:rsidRPr="00F76596" w:rsidRDefault="007B4C41" w:rsidP="007B4C41">
            <w:pPr>
              <w:pStyle w:val="tbltext"/>
            </w:pPr>
            <w:r w:rsidRPr="00F76596">
              <w:t xml:space="preserve">If the person reporting the Reportable </w:t>
            </w:r>
            <w:r w:rsidR="00AA6610" w:rsidRPr="00F76596">
              <w:t>Position</w:t>
            </w:r>
            <w:r w:rsidRPr="00F76596">
              <w:t xml:space="preserve"> to the Derivative Trade Repository is not the Reporting Counterparty, an identifier of the person using:</w:t>
            </w:r>
          </w:p>
          <w:p w14:paraId="7EC8E631" w14:textId="77777777" w:rsidR="004F7021" w:rsidRPr="00F76596" w:rsidRDefault="007B4C41" w:rsidP="009676FB">
            <w:pPr>
              <w:pStyle w:val="tbltext"/>
              <w:numPr>
                <w:ilvl w:val="0"/>
                <w:numId w:val="40"/>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780BE2" w:rsidRPr="00F76596">
              <w:t>, a Business Identifier Code (BIC code)</w:t>
            </w:r>
            <w:r w:rsidRPr="00F76596">
              <w:t>; or</w:t>
            </w:r>
          </w:p>
          <w:p w14:paraId="7C33DA89" w14:textId="77777777" w:rsidR="006F38DF" w:rsidRPr="00F76596" w:rsidRDefault="007B4C41" w:rsidP="004043B2">
            <w:pPr>
              <w:pStyle w:val="tbltext"/>
              <w:numPr>
                <w:ilvl w:val="0"/>
                <w:numId w:val="40"/>
              </w:numPr>
            </w:pPr>
            <w:r w:rsidRPr="00F76596">
              <w:t>in the case of an individual, a client code assigned by the Reporting Counterparty.</w:t>
            </w:r>
          </w:p>
        </w:tc>
      </w:tr>
      <w:tr w:rsidR="006F38DF" w:rsidRPr="00F76596" w14:paraId="45B50C14" w14:textId="77777777" w:rsidTr="00FF6E76">
        <w:tc>
          <w:tcPr>
            <w:tcW w:w="851" w:type="dxa"/>
          </w:tcPr>
          <w:p w14:paraId="63125734" w14:textId="77777777" w:rsidR="006F38DF" w:rsidRPr="00F76596" w:rsidRDefault="006F38DF" w:rsidP="00BE32EF">
            <w:pPr>
              <w:pStyle w:val="tabletext"/>
            </w:pPr>
            <w:r w:rsidRPr="00F76596">
              <w:t>11</w:t>
            </w:r>
          </w:p>
        </w:tc>
        <w:tc>
          <w:tcPr>
            <w:tcW w:w="2104" w:type="dxa"/>
          </w:tcPr>
          <w:p w14:paraId="51A84653" w14:textId="77777777" w:rsidR="006F38DF" w:rsidRPr="00F76596" w:rsidRDefault="006F38DF" w:rsidP="00927795">
            <w:pPr>
              <w:pStyle w:val="tabletext"/>
            </w:pPr>
            <w:r w:rsidRPr="00F76596">
              <w:t xml:space="preserve">Name of </w:t>
            </w:r>
            <w:r w:rsidR="00927795" w:rsidRPr="00F76596">
              <w:t>person making report</w:t>
            </w:r>
          </w:p>
        </w:tc>
        <w:tc>
          <w:tcPr>
            <w:tcW w:w="5375" w:type="dxa"/>
          </w:tcPr>
          <w:p w14:paraId="3F9EAF3A" w14:textId="77777777" w:rsidR="006F38DF" w:rsidRPr="00F76596" w:rsidRDefault="00CB689D" w:rsidP="00BE32EF">
            <w:pPr>
              <w:pStyle w:val="tabletext"/>
            </w:pPr>
            <w:r w:rsidRPr="00F76596">
              <w:t xml:space="preserve">The legal name of the </w:t>
            </w:r>
            <w:r w:rsidR="00ED590A" w:rsidRPr="00F76596">
              <w:t>person</w:t>
            </w:r>
            <w:r w:rsidRPr="00F76596">
              <w:t xml:space="preserve"> identified under item 10.</w:t>
            </w:r>
          </w:p>
        </w:tc>
      </w:tr>
      <w:tr w:rsidR="006F38DF" w:rsidRPr="00F76596" w14:paraId="48523F19" w14:textId="77777777" w:rsidTr="00FF6E76">
        <w:tc>
          <w:tcPr>
            <w:tcW w:w="851" w:type="dxa"/>
          </w:tcPr>
          <w:p w14:paraId="4D9D2418" w14:textId="77777777" w:rsidR="006F38DF" w:rsidRPr="00F76596" w:rsidRDefault="006F38DF" w:rsidP="00BE32EF">
            <w:pPr>
              <w:pStyle w:val="tabletext"/>
            </w:pPr>
            <w:r w:rsidRPr="00F76596">
              <w:t>12</w:t>
            </w:r>
          </w:p>
        </w:tc>
        <w:tc>
          <w:tcPr>
            <w:tcW w:w="2104" w:type="dxa"/>
          </w:tcPr>
          <w:p w14:paraId="207E9BD7" w14:textId="77777777" w:rsidR="006F38DF" w:rsidRPr="00F76596" w:rsidRDefault="006F38DF" w:rsidP="0015416E">
            <w:pPr>
              <w:pStyle w:val="tabletext"/>
            </w:pPr>
            <w:r w:rsidRPr="00F76596">
              <w:t xml:space="preserve">Domicile of </w:t>
            </w:r>
            <w:r w:rsidR="0015416E" w:rsidRPr="00F76596">
              <w:t>R</w:t>
            </w:r>
            <w:r w:rsidRPr="00F76596">
              <w:t xml:space="preserve">eporting </w:t>
            </w:r>
            <w:r w:rsidR="0015416E" w:rsidRPr="00F76596">
              <w:t>Counterparty</w:t>
            </w:r>
          </w:p>
        </w:tc>
        <w:tc>
          <w:tcPr>
            <w:tcW w:w="5375" w:type="dxa"/>
          </w:tcPr>
          <w:p w14:paraId="342D48E5" w14:textId="77777777" w:rsidR="006F38DF" w:rsidRPr="00F76596" w:rsidRDefault="005763C1" w:rsidP="00BE32EF">
            <w:pPr>
              <w:pStyle w:val="tabletext"/>
            </w:pPr>
            <w:r w:rsidRPr="00F76596">
              <w:t>The jurisdiction of incorporation or formation of the Reporting Counterparty.</w:t>
            </w:r>
          </w:p>
        </w:tc>
      </w:tr>
      <w:tr w:rsidR="006F38DF" w:rsidRPr="00F76596" w14:paraId="0CD2883B" w14:textId="77777777" w:rsidTr="00FF6E76">
        <w:tc>
          <w:tcPr>
            <w:tcW w:w="851" w:type="dxa"/>
          </w:tcPr>
          <w:p w14:paraId="164B8DFB" w14:textId="77777777" w:rsidR="006F38DF" w:rsidRPr="00F76596" w:rsidRDefault="006F38DF" w:rsidP="00BE32EF">
            <w:pPr>
              <w:pStyle w:val="tabletext"/>
            </w:pPr>
            <w:r w:rsidRPr="00F76596">
              <w:t>13</w:t>
            </w:r>
          </w:p>
        </w:tc>
        <w:tc>
          <w:tcPr>
            <w:tcW w:w="2104" w:type="dxa"/>
          </w:tcPr>
          <w:p w14:paraId="6B929F3D" w14:textId="77777777" w:rsidR="006F38DF" w:rsidRPr="00F76596" w:rsidRDefault="006F38DF" w:rsidP="00DF516C">
            <w:pPr>
              <w:pStyle w:val="tabletext"/>
            </w:pPr>
            <w:r w:rsidRPr="00F76596">
              <w:t xml:space="preserve">Whether the </w:t>
            </w:r>
            <w:r w:rsidR="00E47A07" w:rsidRPr="00F76596">
              <w:t>Derivative</w:t>
            </w:r>
            <w:r w:rsidRPr="00F76596">
              <w:t xml:space="preserve"> has been centrally cleared</w:t>
            </w:r>
          </w:p>
        </w:tc>
        <w:tc>
          <w:tcPr>
            <w:tcW w:w="5375" w:type="dxa"/>
          </w:tcPr>
          <w:p w14:paraId="72F3C4D1" w14:textId="77777777" w:rsidR="006F38DF" w:rsidRPr="00F76596" w:rsidRDefault="00500501" w:rsidP="00500501">
            <w:pPr>
              <w:pStyle w:val="tabletext"/>
            </w:pPr>
            <w:r w:rsidRPr="00F76596">
              <w:t>A notation to indicate whether the Derivative to which the Reportable Position relates has been centrally cleared</w:t>
            </w:r>
            <w:r w:rsidR="00344A58" w:rsidRPr="00F76596">
              <w:t>.</w:t>
            </w:r>
          </w:p>
        </w:tc>
      </w:tr>
      <w:tr w:rsidR="006F38DF" w:rsidRPr="00F76596" w14:paraId="75AEF52C" w14:textId="77777777" w:rsidTr="00FF6E76">
        <w:tc>
          <w:tcPr>
            <w:tcW w:w="851" w:type="dxa"/>
          </w:tcPr>
          <w:p w14:paraId="03C0EE1E" w14:textId="77777777" w:rsidR="006F38DF" w:rsidRPr="00F76596" w:rsidRDefault="006F38DF" w:rsidP="00BE32EF">
            <w:pPr>
              <w:pStyle w:val="tabletext"/>
            </w:pPr>
            <w:r w:rsidRPr="00F76596">
              <w:t>14</w:t>
            </w:r>
          </w:p>
        </w:tc>
        <w:tc>
          <w:tcPr>
            <w:tcW w:w="2104" w:type="dxa"/>
          </w:tcPr>
          <w:p w14:paraId="1B7BAE99" w14:textId="77777777" w:rsidR="006F38DF" w:rsidRPr="00F76596" w:rsidRDefault="006F38DF" w:rsidP="00BE32EF">
            <w:pPr>
              <w:pStyle w:val="tabletext"/>
            </w:pPr>
            <w:r w:rsidRPr="00F76596">
              <w:t xml:space="preserve">Name of central clearing facility </w:t>
            </w:r>
          </w:p>
        </w:tc>
        <w:tc>
          <w:tcPr>
            <w:tcW w:w="5375" w:type="dxa"/>
          </w:tcPr>
          <w:p w14:paraId="72E5D1CF" w14:textId="77777777" w:rsidR="006F38DF" w:rsidRPr="00F76596" w:rsidRDefault="006812F7" w:rsidP="006812F7">
            <w:pPr>
              <w:pStyle w:val="tabletext"/>
            </w:pPr>
            <w:r w:rsidRPr="00F76596">
              <w:t>The name of the central clearing facility where the Derivative to which the Reportable Position relates was cleared (if applicable).</w:t>
            </w:r>
          </w:p>
        </w:tc>
      </w:tr>
      <w:tr w:rsidR="006F38DF" w:rsidRPr="00F76596" w14:paraId="23000164" w14:textId="77777777" w:rsidTr="00FF6E76">
        <w:tc>
          <w:tcPr>
            <w:tcW w:w="851" w:type="dxa"/>
          </w:tcPr>
          <w:p w14:paraId="5400864E" w14:textId="77777777" w:rsidR="006F38DF" w:rsidRPr="00F76596" w:rsidRDefault="006F38DF" w:rsidP="00BE32EF">
            <w:pPr>
              <w:pStyle w:val="tabletext"/>
            </w:pPr>
            <w:r w:rsidRPr="00F76596">
              <w:t>15</w:t>
            </w:r>
          </w:p>
        </w:tc>
        <w:tc>
          <w:tcPr>
            <w:tcW w:w="2104" w:type="dxa"/>
          </w:tcPr>
          <w:p w14:paraId="332D38C7" w14:textId="77777777" w:rsidR="006F38DF" w:rsidRPr="00F76596" w:rsidRDefault="006F38DF" w:rsidP="00BE32EF">
            <w:pPr>
              <w:pStyle w:val="tabletext"/>
            </w:pPr>
            <w:r w:rsidRPr="00F76596">
              <w:t>Identif</w:t>
            </w:r>
            <w:r w:rsidR="00111E42" w:rsidRPr="00F76596">
              <w:t>i</w:t>
            </w:r>
            <w:r w:rsidRPr="00F76596">
              <w:t>er of clearing member</w:t>
            </w:r>
          </w:p>
        </w:tc>
        <w:tc>
          <w:tcPr>
            <w:tcW w:w="5375" w:type="dxa"/>
          </w:tcPr>
          <w:p w14:paraId="68E7E6FC" w14:textId="77777777" w:rsidR="00123800" w:rsidRPr="00F76596" w:rsidRDefault="00123800" w:rsidP="00123800">
            <w:pPr>
              <w:pStyle w:val="tbltext"/>
            </w:pPr>
            <w:r w:rsidRPr="00F76596">
              <w:t>An identifier of the clearing member that cleared the Derivative to which the Reportable Position relates</w:t>
            </w:r>
            <w:r w:rsidR="001F3BC7" w:rsidRPr="00F76596">
              <w:t xml:space="preserve"> (if applicable)</w:t>
            </w:r>
            <w:r w:rsidRPr="00F76596">
              <w:t>, using:</w:t>
            </w:r>
          </w:p>
          <w:p w14:paraId="23953055" w14:textId="77777777" w:rsidR="00123800" w:rsidRPr="00F76596" w:rsidRDefault="00123800" w:rsidP="009676FB">
            <w:pPr>
              <w:pStyle w:val="tbltext"/>
              <w:numPr>
                <w:ilvl w:val="0"/>
                <w:numId w:val="41"/>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Pr="00F76596">
              <w:t xml:space="preserve">, a Business Identifier Code (BIC code); or </w:t>
            </w:r>
          </w:p>
          <w:p w14:paraId="2D6BFE1A" w14:textId="77777777" w:rsidR="006F38DF" w:rsidRPr="00F76596" w:rsidRDefault="00123800" w:rsidP="004043B2">
            <w:pPr>
              <w:pStyle w:val="tbltext"/>
              <w:numPr>
                <w:ilvl w:val="0"/>
                <w:numId w:val="41"/>
              </w:numPr>
            </w:pPr>
            <w:r w:rsidRPr="00F76596">
              <w:t xml:space="preserve">in the case of an individual, a client code assigned by the Reporting Counterparty. </w:t>
            </w:r>
          </w:p>
        </w:tc>
      </w:tr>
      <w:tr w:rsidR="006F38DF" w:rsidRPr="00F76596" w14:paraId="026D3F1D" w14:textId="77777777" w:rsidTr="00FF6E76">
        <w:tc>
          <w:tcPr>
            <w:tcW w:w="851" w:type="dxa"/>
          </w:tcPr>
          <w:p w14:paraId="524219EA" w14:textId="77777777" w:rsidR="006F38DF" w:rsidRPr="00F76596" w:rsidRDefault="006F38DF" w:rsidP="00BE32EF">
            <w:pPr>
              <w:pStyle w:val="tabletext"/>
            </w:pPr>
            <w:r w:rsidRPr="00F76596">
              <w:t>16</w:t>
            </w:r>
          </w:p>
        </w:tc>
        <w:tc>
          <w:tcPr>
            <w:tcW w:w="2104" w:type="dxa"/>
          </w:tcPr>
          <w:p w14:paraId="4CE915E0" w14:textId="77777777" w:rsidR="006F38DF" w:rsidRPr="00F76596" w:rsidRDefault="006F38DF" w:rsidP="00BE32EF">
            <w:pPr>
              <w:pStyle w:val="tabletext"/>
            </w:pPr>
            <w:r w:rsidRPr="00F76596">
              <w:t>Name of clearing member</w:t>
            </w:r>
          </w:p>
        </w:tc>
        <w:tc>
          <w:tcPr>
            <w:tcW w:w="5375" w:type="dxa"/>
          </w:tcPr>
          <w:p w14:paraId="24F9137C" w14:textId="77777777" w:rsidR="006F38DF" w:rsidRPr="00F76596" w:rsidRDefault="002B7133" w:rsidP="00BE32EF">
            <w:pPr>
              <w:pStyle w:val="tabletext"/>
            </w:pPr>
            <w:r w:rsidRPr="00F76596">
              <w:t>The legal name of the clearing member (if any) identified under item 15.</w:t>
            </w:r>
          </w:p>
        </w:tc>
      </w:tr>
      <w:tr w:rsidR="006F38DF" w:rsidRPr="00F76596" w14:paraId="33787A25" w14:textId="77777777" w:rsidTr="00FF6E76">
        <w:tc>
          <w:tcPr>
            <w:tcW w:w="851" w:type="dxa"/>
          </w:tcPr>
          <w:p w14:paraId="341ADE74" w14:textId="77777777" w:rsidR="006F38DF" w:rsidRPr="00F76596" w:rsidRDefault="006F38DF" w:rsidP="00BE32EF">
            <w:pPr>
              <w:pStyle w:val="tabletext"/>
            </w:pPr>
            <w:r w:rsidRPr="00F76596">
              <w:t>17</w:t>
            </w:r>
          </w:p>
        </w:tc>
        <w:tc>
          <w:tcPr>
            <w:tcW w:w="2104" w:type="dxa"/>
          </w:tcPr>
          <w:p w14:paraId="05D4D459" w14:textId="77777777" w:rsidR="006F38DF" w:rsidRPr="00F76596" w:rsidRDefault="006F38DF" w:rsidP="00985ED5">
            <w:pPr>
              <w:pStyle w:val="tabletext"/>
            </w:pPr>
            <w:r w:rsidRPr="00F76596">
              <w:t xml:space="preserve">Whether the </w:t>
            </w:r>
            <w:r w:rsidR="00985ED5" w:rsidRPr="00F76596">
              <w:t>Derivative</w:t>
            </w:r>
            <w:r w:rsidRPr="00F76596">
              <w:t xml:space="preserve"> has been confirmed</w:t>
            </w:r>
          </w:p>
        </w:tc>
        <w:tc>
          <w:tcPr>
            <w:tcW w:w="5375" w:type="dxa"/>
          </w:tcPr>
          <w:p w14:paraId="50E31A65" w14:textId="77777777" w:rsidR="006F38DF" w:rsidRPr="00F76596" w:rsidRDefault="00950C66" w:rsidP="007E65D2">
            <w:pPr>
              <w:pStyle w:val="tabletext"/>
            </w:pPr>
            <w:r w:rsidRPr="00F76596">
              <w:t xml:space="preserve">A notation to indicate whether the terms of the Derivative to which the Reportable </w:t>
            </w:r>
            <w:r w:rsidR="007E65D2" w:rsidRPr="00F76596">
              <w:t xml:space="preserve">Position </w:t>
            </w:r>
            <w:r w:rsidRPr="00F76596">
              <w:t>relates have been confirmed by both counterparties to the Derivative.</w:t>
            </w:r>
          </w:p>
        </w:tc>
      </w:tr>
      <w:tr w:rsidR="006F38DF" w:rsidRPr="00F76596" w14:paraId="5E9CAB8B" w14:textId="77777777" w:rsidTr="00FF6E76">
        <w:tc>
          <w:tcPr>
            <w:tcW w:w="851" w:type="dxa"/>
          </w:tcPr>
          <w:p w14:paraId="2FF2B509" w14:textId="77777777" w:rsidR="006F38DF" w:rsidRPr="00F76596" w:rsidRDefault="006F38DF" w:rsidP="00BE32EF">
            <w:pPr>
              <w:pStyle w:val="tabletext"/>
            </w:pPr>
            <w:r w:rsidRPr="00F76596">
              <w:t>18</w:t>
            </w:r>
          </w:p>
        </w:tc>
        <w:tc>
          <w:tcPr>
            <w:tcW w:w="2104" w:type="dxa"/>
          </w:tcPr>
          <w:p w14:paraId="0D17DAB6" w14:textId="77777777" w:rsidR="006F38DF" w:rsidRPr="00F76596" w:rsidRDefault="006F38DF" w:rsidP="00BE32EF">
            <w:pPr>
              <w:pStyle w:val="tabletext"/>
            </w:pPr>
            <w:r w:rsidRPr="00F76596">
              <w:t xml:space="preserve">Execution venue </w:t>
            </w:r>
          </w:p>
        </w:tc>
        <w:tc>
          <w:tcPr>
            <w:tcW w:w="5375" w:type="dxa"/>
          </w:tcPr>
          <w:p w14:paraId="672E33AF" w14:textId="77777777" w:rsidR="00EA241C" w:rsidRPr="00F76596" w:rsidRDefault="00EA241C" w:rsidP="00EA241C">
            <w:pPr>
              <w:pStyle w:val="tbltext"/>
            </w:pPr>
            <w:r w:rsidRPr="00F76596">
              <w:t xml:space="preserve">If the Reportable </w:t>
            </w:r>
            <w:r w:rsidR="00C6006A" w:rsidRPr="00F76596">
              <w:t>Position</w:t>
            </w:r>
            <w:r w:rsidRPr="00F76596">
              <w:t>:</w:t>
            </w:r>
          </w:p>
          <w:p w14:paraId="7281A9EC" w14:textId="77777777" w:rsidR="00AE5A05" w:rsidRPr="00F76596" w:rsidRDefault="00EA241C" w:rsidP="004043B2">
            <w:pPr>
              <w:pStyle w:val="tbltext"/>
              <w:numPr>
                <w:ilvl w:val="0"/>
                <w:numId w:val="42"/>
              </w:numPr>
            </w:pPr>
            <w:r w:rsidRPr="00F76596">
              <w:t>was executed on a trading venue, an identifier code of the trading venue or, if no identifier code is available for the trading venue, the name of the trading venue; or</w:t>
            </w:r>
          </w:p>
          <w:p w14:paraId="7360AB68" w14:textId="77777777" w:rsidR="006F38DF" w:rsidRPr="00F76596" w:rsidRDefault="00EA241C" w:rsidP="004043B2">
            <w:pPr>
              <w:pStyle w:val="tbltext"/>
              <w:numPr>
                <w:ilvl w:val="0"/>
                <w:numId w:val="42"/>
              </w:numPr>
            </w:pPr>
            <w:r w:rsidRPr="00F76596">
              <w:t xml:space="preserve">was not executed on a trading venue, </w:t>
            </w:r>
            <w:r w:rsidR="00AB1F9E" w:rsidRPr="00F76596">
              <w:t>a</w:t>
            </w:r>
            <w:r w:rsidRPr="00F76596">
              <w:t xml:space="preserve"> notation to indicate that there was no trading venue.</w:t>
            </w:r>
          </w:p>
        </w:tc>
      </w:tr>
      <w:tr w:rsidR="006F38DF" w:rsidRPr="00F76596" w14:paraId="68B7C437" w14:textId="77777777" w:rsidTr="00FF6E76">
        <w:tc>
          <w:tcPr>
            <w:tcW w:w="851" w:type="dxa"/>
          </w:tcPr>
          <w:p w14:paraId="3B6DC997" w14:textId="77777777" w:rsidR="006F38DF" w:rsidRPr="00F76596" w:rsidRDefault="006F38DF" w:rsidP="00BE32EF">
            <w:pPr>
              <w:pStyle w:val="tabletext"/>
            </w:pPr>
            <w:r w:rsidRPr="00F76596">
              <w:lastRenderedPageBreak/>
              <w:t>19</w:t>
            </w:r>
          </w:p>
        </w:tc>
        <w:tc>
          <w:tcPr>
            <w:tcW w:w="2104" w:type="dxa"/>
          </w:tcPr>
          <w:p w14:paraId="7DDB7460" w14:textId="77777777" w:rsidR="006F38DF" w:rsidRPr="00F76596" w:rsidRDefault="006F38DF" w:rsidP="00BE32EF">
            <w:pPr>
              <w:pStyle w:val="tabletext"/>
            </w:pPr>
            <w:r w:rsidRPr="00F76596">
              <w:t xml:space="preserve">Delivery type </w:t>
            </w:r>
          </w:p>
        </w:tc>
        <w:tc>
          <w:tcPr>
            <w:tcW w:w="5375" w:type="dxa"/>
          </w:tcPr>
          <w:p w14:paraId="670C94DD" w14:textId="77777777" w:rsidR="006F38DF" w:rsidRPr="00F76596" w:rsidRDefault="004D794C" w:rsidP="004D794C">
            <w:pPr>
              <w:pStyle w:val="tabletext"/>
            </w:pPr>
            <w:r w:rsidRPr="00F76596">
              <w:t>A notation to indicate whether the Derivative to which the Reportable Position relates is physical (deliverable) or cash (non-deliverable) of a combination of both physical and cash.</w:t>
            </w:r>
          </w:p>
        </w:tc>
      </w:tr>
      <w:tr w:rsidR="006F38DF" w:rsidRPr="00F76596" w14:paraId="6AE3808B" w14:textId="77777777" w:rsidTr="00FF6E76">
        <w:tc>
          <w:tcPr>
            <w:tcW w:w="851" w:type="dxa"/>
          </w:tcPr>
          <w:p w14:paraId="6CEF5B54" w14:textId="77777777" w:rsidR="006F38DF" w:rsidRPr="00F76596" w:rsidRDefault="006F38DF" w:rsidP="00BE32EF">
            <w:pPr>
              <w:pStyle w:val="tabletext"/>
            </w:pPr>
            <w:r w:rsidRPr="00F76596">
              <w:t>20</w:t>
            </w:r>
          </w:p>
        </w:tc>
        <w:tc>
          <w:tcPr>
            <w:tcW w:w="2104" w:type="dxa"/>
          </w:tcPr>
          <w:p w14:paraId="358F8E31" w14:textId="77777777" w:rsidR="006F38DF" w:rsidRPr="00F76596" w:rsidRDefault="006F38DF" w:rsidP="004D062D">
            <w:pPr>
              <w:pStyle w:val="tabletext"/>
            </w:pPr>
            <w:r w:rsidRPr="00F76596">
              <w:t>Mark-to-market/mark-to-model</w:t>
            </w:r>
            <w:r w:rsidR="004D062D" w:rsidRPr="00F76596">
              <w:t>/other</w:t>
            </w:r>
            <w:r w:rsidRPr="00F76596">
              <w:t xml:space="preserve"> value of </w:t>
            </w:r>
            <w:r w:rsidR="004D062D" w:rsidRPr="00F76596">
              <w:t>Derivative</w:t>
            </w:r>
          </w:p>
        </w:tc>
        <w:tc>
          <w:tcPr>
            <w:tcW w:w="5375" w:type="dxa"/>
          </w:tcPr>
          <w:p w14:paraId="5F4EBE32" w14:textId="77777777" w:rsidR="006F38DF" w:rsidRPr="00F76596" w:rsidRDefault="004D062D" w:rsidP="00F16C1A">
            <w:pPr>
              <w:pStyle w:val="tabletext"/>
            </w:pPr>
            <w:r w:rsidRPr="00F76596">
              <w:t xml:space="preserve">The valuation of the Derivative to which the Reportable </w:t>
            </w:r>
            <w:r w:rsidR="00AA6610" w:rsidRPr="00F76596">
              <w:t>Position</w:t>
            </w:r>
            <w:r w:rsidRPr="00F76596">
              <w:t xml:space="preserve"> relates, as calculated using </w:t>
            </w:r>
            <w:r w:rsidR="00E5766F" w:rsidRPr="00F76596">
              <w:t xml:space="preserve">the method identified </w:t>
            </w:r>
            <w:r w:rsidR="00F16C1A" w:rsidRPr="00F76596">
              <w:t>under</w:t>
            </w:r>
            <w:r w:rsidR="00E5766F" w:rsidRPr="00F76596">
              <w:t xml:space="preserve"> item 22</w:t>
            </w:r>
            <w:r w:rsidRPr="00F76596">
              <w:t>.</w:t>
            </w:r>
          </w:p>
        </w:tc>
      </w:tr>
      <w:tr w:rsidR="006F38DF" w:rsidRPr="00F76596" w14:paraId="1550B384" w14:textId="77777777" w:rsidTr="00FF6E76">
        <w:tc>
          <w:tcPr>
            <w:tcW w:w="851" w:type="dxa"/>
          </w:tcPr>
          <w:p w14:paraId="34C7426B" w14:textId="77777777" w:rsidR="006F38DF" w:rsidRPr="00F76596" w:rsidRDefault="006F38DF" w:rsidP="00BE32EF">
            <w:pPr>
              <w:pStyle w:val="tabletext"/>
            </w:pPr>
            <w:r w:rsidRPr="00F76596">
              <w:t>21</w:t>
            </w:r>
          </w:p>
        </w:tc>
        <w:tc>
          <w:tcPr>
            <w:tcW w:w="2104" w:type="dxa"/>
          </w:tcPr>
          <w:p w14:paraId="5B4BC854" w14:textId="77777777" w:rsidR="006F38DF" w:rsidRPr="00F76596" w:rsidRDefault="006F38DF" w:rsidP="00BE32EF">
            <w:pPr>
              <w:pStyle w:val="tabletext"/>
            </w:pPr>
            <w:r w:rsidRPr="00F76596">
              <w:t>Currency used for mark-to-market</w:t>
            </w:r>
            <w:r w:rsidR="005652BC" w:rsidRPr="00F76596">
              <w:t>/mark-to-model/other</w:t>
            </w:r>
            <w:r w:rsidR="00471CE9" w:rsidRPr="00F76596">
              <w:t xml:space="preserve"> </w:t>
            </w:r>
            <w:r w:rsidRPr="00F76596">
              <w:t>valuation</w:t>
            </w:r>
          </w:p>
        </w:tc>
        <w:tc>
          <w:tcPr>
            <w:tcW w:w="5375" w:type="dxa"/>
          </w:tcPr>
          <w:p w14:paraId="055126F8" w14:textId="77777777" w:rsidR="006F38DF" w:rsidRPr="00F76596" w:rsidRDefault="005652BC" w:rsidP="00BE32EF">
            <w:pPr>
              <w:pStyle w:val="tabletext"/>
            </w:pPr>
            <w:r w:rsidRPr="00F76596">
              <w:t>The currency used for the valuation referred to in item 20.</w:t>
            </w:r>
          </w:p>
        </w:tc>
      </w:tr>
      <w:tr w:rsidR="006F38DF" w:rsidRPr="00F76596" w14:paraId="26114C02" w14:textId="77777777" w:rsidTr="00FF6E76">
        <w:tc>
          <w:tcPr>
            <w:tcW w:w="851" w:type="dxa"/>
          </w:tcPr>
          <w:p w14:paraId="54038400" w14:textId="77777777" w:rsidR="006F38DF" w:rsidRPr="00F76596" w:rsidRDefault="006F38DF" w:rsidP="00BE32EF">
            <w:pPr>
              <w:pStyle w:val="tabletext"/>
            </w:pPr>
            <w:r w:rsidRPr="00F76596">
              <w:t>22</w:t>
            </w:r>
          </w:p>
        </w:tc>
        <w:tc>
          <w:tcPr>
            <w:tcW w:w="2104" w:type="dxa"/>
          </w:tcPr>
          <w:p w14:paraId="25EBE4EB" w14:textId="77777777" w:rsidR="006F38DF" w:rsidRPr="00F76596" w:rsidRDefault="006F38DF" w:rsidP="00BE32EF">
            <w:pPr>
              <w:pStyle w:val="tabletext"/>
            </w:pPr>
            <w:r w:rsidRPr="00F76596">
              <w:t>Valuation type (mark-to-market/mark-to-model</w:t>
            </w:r>
            <w:r w:rsidR="004D643F" w:rsidRPr="00F76596">
              <w:t>/other</w:t>
            </w:r>
            <w:r w:rsidRPr="00F76596">
              <w:t>)</w:t>
            </w:r>
          </w:p>
        </w:tc>
        <w:tc>
          <w:tcPr>
            <w:tcW w:w="5375" w:type="dxa"/>
          </w:tcPr>
          <w:p w14:paraId="65B9DAF1" w14:textId="77777777" w:rsidR="006F38DF" w:rsidRPr="00F76596" w:rsidRDefault="004D643F" w:rsidP="0086570A">
            <w:pPr>
              <w:pStyle w:val="tabletext"/>
            </w:pPr>
            <w:r w:rsidRPr="00F76596">
              <w:t>A notation to indicate whether the valuation referred to in item 20 was a mark-to-market or mark-to-model valuation, or a different form of valuation.</w:t>
            </w:r>
          </w:p>
        </w:tc>
      </w:tr>
      <w:tr w:rsidR="006F38DF" w:rsidRPr="00F76596" w14:paraId="50C30D47" w14:textId="77777777" w:rsidTr="00FF6E76">
        <w:tc>
          <w:tcPr>
            <w:tcW w:w="851" w:type="dxa"/>
          </w:tcPr>
          <w:p w14:paraId="009DB741" w14:textId="77777777" w:rsidR="006F38DF" w:rsidRPr="00F76596" w:rsidRDefault="006F38DF" w:rsidP="00BE32EF">
            <w:pPr>
              <w:pStyle w:val="tabletext"/>
            </w:pPr>
            <w:r w:rsidRPr="00F76596">
              <w:t>23</w:t>
            </w:r>
          </w:p>
        </w:tc>
        <w:tc>
          <w:tcPr>
            <w:tcW w:w="2104" w:type="dxa"/>
          </w:tcPr>
          <w:p w14:paraId="3D8BF9E0" w14:textId="77777777" w:rsidR="006F38DF" w:rsidRPr="00F76596" w:rsidRDefault="006F38DF" w:rsidP="00BE32EF">
            <w:pPr>
              <w:pStyle w:val="tabletext"/>
            </w:pPr>
            <w:r w:rsidRPr="00F76596">
              <w:t>Counterparty side (buy/sell)</w:t>
            </w:r>
          </w:p>
        </w:tc>
        <w:tc>
          <w:tcPr>
            <w:tcW w:w="5375" w:type="dxa"/>
          </w:tcPr>
          <w:p w14:paraId="3DFDE83C" w14:textId="77777777" w:rsidR="006F38DF" w:rsidRPr="00F76596" w:rsidRDefault="00954626" w:rsidP="00111E42">
            <w:pPr>
              <w:pStyle w:val="tabletext"/>
            </w:pPr>
            <w:r w:rsidRPr="00F76596">
              <w:t>A notation to indicate whether the Reporting Counterparty is the buyer or seller of the Derivative to which the</w:t>
            </w:r>
            <w:r w:rsidR="00BF42C7" w:rsidRPr="00F76596">
              <w:t xml:space="preserve"> Reportable Position</w:t>
            </w:r>
            <w:r w:rsidRPr="00F76596">
              <w:t xml:space="preserve"> relates.</w:t>
            </w:r>
          </w:p>
        </w:tc>
      </w:tr>
      <w:tr w:rsidR="006F38DF" w:rsidRPr="00F76596" w14:paraId="474D9A5E" w14:textId="77777777" w:rsidTr="00FF6E76">
        <w:tc>
          <w:tcPr>
            <w:tcW w:w="851" w:type="dxa"/>
          </w:tcPr>
          <w:p w14:paraId="65E14192" w14:textId="77777777" w:rsidR="006F38DF" w:rsidRPr="00F76596" w:rsidRDefault="006F38DF" w:rsidP="00BE32EF">
            <w:pPr>
              <w:pStyle w:val="tabletext"/>
            </w:pPr>
            <w:r w:rsidRPr="00F76596">
              <w:t>24</w:t>
            </w:r>
          </w:p>
        </w:tc>
        <w:tc>
          <w:tcPr>
            <w:tcW w:w="2104" w:type="dxa"/>
          </w:tcPr>
          <w:p w14:paraId="0D9D63A5" w14:textId="77777777" w:rsidR="006F38DF" w:rsidRPr="00F76596" w:rsidRDefault="006F38DF" w:rsidP="00BE32EF">
            <w:pPr>
              <w:pStyle w:val="tabletext"/>
            </w:pPr>
            <w:r w:rsidRPr="00F76596">
              <w:t>Basis</w:t>
            </w:r>
          </w:p>
        </w:tc>
        <w:tc>
          <w:tcPr>
            <w:tcW w:w="5375" w:type="dxa"/>
          </w:tcPr>
          <w:p w14:paraId="6A04701B" w14:textId="77777777" w:rsidR="006F38DF" w:rsidRPr="00F76596" w:rsidRDefault="00D27829" w:rsidP="00BE32EF">
            <w:pPr>
              <w:pStyle w:val="tabletext"/>
            </w:pPr>
            <w:r w:rsidRPr="00F76596">
              <w:t xml:space="preserve">The day count for calculation of periodic payments under the Derivative to </w:t>
            </w:r>
            <w:r w:rsidR="00BF42C7" w:rsidRPr="00F76596">
              <w:t>which the Reportable Position</w:t>
            </w:r>
            <w:r w:rsidRPr="00F76596">
              <w:t xml:space="preserve"> relates (e.g. A/365, quarterly, semi-annual)</w:t>
            </w:r>
            <w:r w:rsidR="00F76596">
              <w:t xml:space="preserve"> (if applicable)</w:t>
            </w:r>
            <w:r w:rsidRPr="00F76596">
              <w:t>.</w:t>
            </w:r>
          </w:p>
        </w:tc>
      </w:tr>
      <w:tr w:rsidR="006F38DF" w:rsidRPr="00F76596" w14:paraId="47364578" w14:textId="77777777" w:rsidTr="00FF6E76">
        <w:tc>
          <w:tcPr>
            <w:tcW w:w="851" w:type="dxa"/>
          </w:tcPr>
          <w:p w14:paraId="0727EAD5" w14:textId="77777777" w:rsidR="006F38DF" w:rsidRPr="00F76596" w:rsidRDefault="006F38DF" w:rsidP="00BE32EF">
            <w:pPr>
              <w:pStyle w:val="tabletext"/>
            </w:pPr>
            <w:r w:rsidRPr="00F76596">
              <w:t>25</w:t>
            </w:r>
          </w:p>
        </w:tc>
        <w:tc>
          <w:tcPr>
            <w:tcW w:w="2104" w:type="dxa"/>
          </w:tcPr>
          <w:p w14:paraId="2168A953" w14:textId="77777777" w:rsidR="006F38DF" w:rsidRPr="00F76596" w:rsidRDefault="006F38DF" w:rsidP="00BE32EF">
            <w:pPr>
              <w:pStyle w:val="tabletext"/>
            </w:pPr>
            <w:r w:rsidRPr="00F76596">
              <w:t>Settlement rate or index</w:t>
            </w:r>
          </w:p>
        </w:tc>
        <w:tc>
          <w:tcPr>
            <w:tcW w:w="5375" w:type="dxa"/>
          </w:tcPr>
          <w:p w14:paraId="4734949E" w14:textId="77777777" w:rsidR="006F38DF" w:rsidRPr="00F76596" w:rsidRDefault="00C348DB" w:rsidP="00BE32EF">
            <w:pPr>
              <w:pStyle w:val="tabletext"/>
            </w:pPr>
            <w:r w:rsidRPr="00F76596">
              <w:t>The index for calculation of settlement payments under the Derivative</w:t>
            </w:r>
            <w:r w:rsidR="00585ADD" w:rsidRPr="00F76596">
              <w:t xml:space="preserve"> to which the Reportable Position </w:t>
            </w:r>
            <w:r w:rsidRPr="00F76596">
              <w:t>relates (e.g. the Bank Bill Swap Reference Rate).</w:t>
            </w:r>
          </w:p>
        </w:tc>
      </w:tr>
      <w:tr w:rsidR="006F38DF" w:rsidRPr="00F76596" w14:paraId="5BAC7F29" w14:textId="77777777" w:rsidTr="00FF6E76">
        <w:tc>
          <w:tcPr>
            <w:tcW w:w="851" w:type="dxa"/>
          </w:tcPr>
          <w:p w14:paraId="0813DECB" w14:textId="77777777" w:rsidR="006F38DF" w:rsidRPr="00F76596" w:rsidRDefault="006F38DF" w:rsidP="00BE32EF">
            <w:pPr>
              <w:pStyle w:val="tabletext"/>
            </w:pPr>
            <w:r w:rsidRPr="00F76596">
              <w:t>26</w:t>
            </w:r>
          </w:p>
        </w:tc>
        <w:tc>
          <w:tcPr>
            <w:tcW w:w="2104" w:type="dxa"/>
          </w:tcPr>
          <w:p w14:paraId="7D56CF2F" w14:textId="77777777" w:rsidR="006F38DF" w:rsidRPr="00F76596" w:rsidRDefault="006F38DF" w:rsidP="00BE32EF">
            <w:pPr>
              <w:pStyle w:val="tabletext"/>
            </w:pPr>
            <w:r w:rsidRPr="00F76596">
              <w:t>Expiry Conventions/Cut</w:t>
            </w:r>
          </w:p>
        </w:tc>
        <w:tc>
          <w:tcPr>
            <w:tcW w:w="5375" w:type="dxa"/>
          </w:tcPr>
          <w:p w14:paraId="06573C2F" w14:textId="77777777" w:rsidR="006F38DF" w:rsidRPr="00F76596" w:rsidRDefault="007E16F9" w:rsidP="00BE32EF">
            <w:pPr>
              <w:pStyle w:val="tabletext"/>
            </w:pPr>
            <w:r w:rsidRPr="00F76596">
              <w:t>Place of time zone and time of expiry of the Derivative to which the Reportable Position relates (e.g. 3 pm, Tokyo; 10 am, New York).</w:t>
            </w:r>
          </w:p>
        </w:tc>
      </w:tr>
      <w:tr w:rsidR="006F38DF" w:rsidRPr="00F76596" w14:paraId="449046B9" w14:textId="77777777" w:rsidTr="00FF6E76">
        <w:tc>
          <w:tcPr>
            <w:tcW w:w="851" w:type="dxa"/>
          </w:tcPr>
          <w:p w14:paraId="0397288E" w14:textId="77777777" w:rsidR="006F38DF" w:rsidRPr="00F76596" w:rsidRDefault="006F38DF" w:rsidP="00BE32EF">
            <w:pPr>
              <w:pStyle w:val="tabletext"/>
            </w:pPr>
            <w:r w:rsidRPr="00F76596">
              <w:t>27</w:t>
            </w:r>
          </w:p>
        </w:tc>
        <w:tc>
          <w:tcPr>
            <w:tcW w:w="2104" w:type="dxa"/>
          </w:tcPr>
          <w:p w14:paraId="58FB8F33" w14:textId="77777777" w:rsidR="006F38DF" w:rsidRPr="00F76596" w:rsidRDefault="006F38DF" w:rsidP="00BE32EF">
            <w:pPr>
              <w:pStyle w:val="tabletext"/>
            </w:pPr>
            <w:r w:rsidRPr="00F76596">
              <w:t xml:space="preserve">Collateralisation </w:t>
            </w:r>
          </w:p>
        </w:tc>
        <w:tc>
          <w:tcPr>
            <w:tcW w:w="5375" w:type="dxa"/>
          </w:tcPr>
          <w:p w14:paraId="45B17989" w14:textId="77777777" w:rsidR="006F38DF" w:rsidRPr="00F76596" w:rsidRDefault="00681F71" w:rsidP="00BE32EF">
            <w:pPr>
              <w:pStyle w:val="tabletext"/>
            </w:pPr>
            <w:r w:rsidRPr="00F76596">
              <w:t xml:space="preserve">A notation to indicate whether the Reportable </w:t>
            </w:r>
            <w:r w:rsidR="007F7EB1" w:rsidRPr="00F76596">
              <w:t>Position</w:t>
            </w:r>
            <w:r w:rsidRPr="00F76596">
              <w:t xml:space="preserve"> is collateralised by one or both counterparties to the Reportable </w:t>
            </w:r>
            <w:r w:rsidR="007F7EB1" w:rsidRPr="00F76596">
              <w:t>Position</w:t>
            </w:r>
            <w:r w:rsidRPr="00F76596">
              <w:t>.</w:t>
            </w:r>
          </w:p>
        </w:tc>
      </w:tr>
      <w:tr w:rsidR="006F38DF" w:rsidRPr="00F76596" w14:paraId="71544DB3" w14:textId="77777777" w:rsidTr="00FF6E76">
        <w:tc>
          <w:tcPr>
            <w:tcW w:w="851" w:type="dxa"/>
          </w:tcPr>
          <w:p w14:paraId="6DF60BC2" w14:textId="77777777" w:rsidR="006F38DF" w:rsidRPr="00F76596" w:rsidRDefault="006F38DF" w:rsidP="00BE32EF">
            <w:pPr>
              <w:pStyle w:val="tabletext"/>
            </w:pPr>
            <w:r w:rsidRPr="00F76596">
              <w:t>28</w:t>
            </w:r>
          </w:p>
        </w:tc>
        <w:tc>
          <w:tcPr>
            <w:tcW w:w="2104" w:type="dxa"/>
          </w:tcPr>
          <w:p w14:paraId="132E088A" w14:textId="77777777" w:rsidR="006F38DF" w:rsidRPr="00F76596" w:rsidRDefault="006F38DF" w:rsidP="00BE32EF">
            <w:pPr>
              <w:pStyle w:val="tabletext"/>
            </w:pPr>
            <w:r w:rsidRPr="00F76596">
              <w:t>Collateral portfolio</w:t>
            </w:r>
          </w:p>
        </w:tc>
        <w:tc>
          <w:tcPr>
            <w:tcW w:w="5375" w:type="dxa"/>
          </w:tcPr>
          <w:p w14:paraId="680A61BC" w14:textId="77777777" w:rsidR="006F38DF" w:rsidRPr="00F76596" w:rsidRDefault="00B64254" w:rsidP="00233953">
            <w:pPr>
              <w:pStyle w:val="tabletext"/>
            </w:pPr>
            <w:r w:rsidRPr="00F76596">
              <w:t xml:space="preserve">If the Reportable </w:t>
            </w:r>
            <w:r w:rsidR="00E77D56" w:rsidRPr="00F76596">
              <w:t>Position</w:t>
            </w:r>
            <w:r w:rsidRPr="00F76596">
              <w:t xml:space="preserve"> is collateralised, a notation to indicate whether the collateralisation was performed on a Portfolio Basis.</w:t>
            </w:r>
          </w:p>
        </w:tc>
      </w:tr>
      <w:tr w:rsidR="006F38DF" w:rsidRPr="00F76596" w14:paraId="5FDF3C31" w14:textId="77777777" w:rsidTr="00FF6E76">
        <w:tc>
          <w:tcPr>
            <w:tcW w:w="851" w:type="dxa"/>
          </w:tcPr>
          <w:p w14:paraId="4A35B527" w14:textId="77777777" w:rsidR="006F38DF" w:rsidRPr="00F76596" w:rsidRDefault="006F38DF" w:rsidP="00BE32EF">
            <w:pPr>
              <w:pStyle w:val="tabletext"/>
            </w:pPr>
            <w:r w:rsidRPr="00F76596">
              <w:t>29</w:t>
            </w:r>
          </w:p>
        </w:tc>
        <w:tc>
          <w:tcPr>
            <w:tcW w:w="2104" w:type="dxa"/>
          </w:tcPr>
          <w:p w14:paraId="09736D04" w14:textId="77777777" w:rsidR="006F38DF" w:rsidRPr="00F76596" w:rsidRDefault="006F38DF" w:rsidP="00BE32EF">
            <w:pPr>
              <w:pStyle w:val="tabletext"/>
            </w:pPr>
            <w:r w:rsidRPr="00F76596">
              <w:t>Collateral portfolio</w:t>
            </w:r>
            <w:r w:rsidR="007739A3" w:rsidRPr="00F76596">
              <w:t xml:space="preserve"> </w:t>
            </w:r>
            <w:r w:rsidRPr="00F76596">
              <w:t>code</w:t>
            </w:r>
          </w:p>
        </w:tc>
        <w:tc>
          <w:tcPr>
            <w:tcW w:w="5375" w:type="dxa"/>
          </w:tcPr>
          <w:p w14:paraId="2C29EFBF" w14:textId="77777777" w:rsidR="006F38DF" w:rsidRPr="00F76596" w:rsidRDefault="00E77D56" w:rsidP="00233953">
            <w:pPr>
              <w:pStyle w:val="tabletext"/>
            </w:pPr>
            <w:r w:rsidRPr="00F76596">
              <w:t>If the Reportable Position</w:t>
            </w:r>
            <w:r w:rsidR="00EA425E" w:rsidRPr="00F76596">
              <w:t xml:space="preserve"> is collateralised and collateral is reported on a Portfolio Basis, a unique code, determined by the Reporting Counterparty, to identify the portfolio.</w:t>
            </w:r>
          </w:p>
        </w:tc>
      </w:tr>
      <w:tr w:rsidR="006F38DF" w:rsidRPr="00F76596" w14:paraId="655CD8B9" w14:textId="77777777" w:rsidTr="00FF6E76">
        <w:tc>
          <w:tcPr>
            <w:tcW w:w="851" w:type="dxa"/>
          </w:tcPr>
          <w:p w14:paraId="1214FA6C" w14:textId="77777777" w:rsidR="006F38DF" w:rsidRPr="00F76596" w:rsidRDefault="006F38DF" w:rsidP="00BE32EF">
            <w:pPr>
              <w:pStyle w:val="tabletext"/>
            </w:pPr>
            <w:r w:rsidRPr="00F76596">
              <w:t>30</w:t>
            </w:r>
          </w:p>
        </w:tc>
        <w:tc>
          <w:tcPr>
            <w:tcW w:w="2104" w:type="dxa"/>
          </w:tcPr>
          <w:p w14:paraId="49D7B3D0" w14:textId="77777777" w:rsidR="006F38DF" w:rsidRPr="00F76596" w:rsidRDefault="006F38DF" w:rsidP="00BE32EF">
            <w:pPr>
              <w:pStyle w:val="tabletext"/>
            </w:pPr>
            <w:r w:rsidRPr="00F76596">
              <w:t>Value of collateral</w:t>
            </w:r>
          </w:p>
        </w:tc>
        <w:tc>
          <w:tcPr>
            <w:tcW w:w="5375" w:type="dxa"/>
          </w:tcPr>
          <w:p w14:paraId="7319FD57" w14:textId="77777777" w:rsidR="001F5569" w:rsidRPr="00F76596" w:rsidRDefault="001F5569" w:rsidP="001F5569">
            <w:pPr>
              <w:pStyle w:val="tbltext"/>
            </w:pPr>
            <w:r w:rsidRPr="00F76596">
              <w:t xml:space="preserve"> </w:t>
            </w:r>
            <w:r w:rsidR="00601E9D" w:rsidRPr="00F76596">
              <w:t>If the Reportable Position</w:t>
            </w:r>
            <w:r w:rsidRPr="00F76596">
              <w:t xml:space="preserve"> is collateralised:</w:t>
            </w:r>
          </w:p>
          <w:p w14:paraId="4718D716" w14:textId="77777777" w:rsidR="00043F97" w:rsidRPr="00F76596" w:rsidRDefault="001F5569" w:rsidP="004043B2">
            <w:pPr>
              <w:pStyle w:val="tbltext"/>
              <w:numPr>
                <w:ilvl w:val="0"/>
                <w:numId w:val="43"/>
              </w:numPr>
            </w:pPr>
            <w:r w:rsidRPr="00F76596">
              <w:t>the value of the collateral posted by the Reporting Counterparty to the Non-</w:t>
            </w:r>
            <w:r w:rsidR="00A55D27" w:rsidRPr="00F76596">
              <w:t>R</w:t>
            </w:r>
            <w:r w:rsidRPr="00F76596">
              <w:t>eporting counterparty; and</w:t>
            </w:r>
          </w:p>
          <w:p w14:paraId="1F0030CD" w14:textId="77777777" w:rsidR="006F38DF" w:rsidRPr="00F76596" w:rsidRDefault="001F5569" w:rsidP="00357ADC">
            <w:pPr>
              <w:pStyle w:val="tbltext"/>
              <w:numPr>
                <w:ilvl w:val="0"/>
                <w:numId w:val="43"/>
              </w:numPr>
            </w:pPr>
            <w:r w:rsidRPr="00F76596">
              <w:t xml:space="preserve">where collateral </w:t>
            </w:r>
            <w:r w:rsidR="00357ADC" w:rsidRPr="00F76596">
              <w:t>is posted by the Reporting Counterparty to the Non-</w:t>
            </w:r>
            <w:r w:rsidR="00A55D27" w:rsidRPr="00F76596">
              <w:t>R</w:t>
            </w:r>
            <w:r w:rsidR="00357ADC" w:rsidRPr="00F76596">
              <w:t>eporting Counterparty on a Portfolio Basis</w:t>
            </w:r>
            <w:r w:rsidRPr="00F76596">
              <w:t>, the value of all collateral posted for the portfolio.</w:t>
            </w:r>
          </w:p>
        </w:tc>
      </w:tr>
      <w:tr w:rsidR="006F38DF" w:rsidRPr="00F76596" w14:paraId="607E7837" w14:textId="77777777" w:rsidTr="00FF6E76">
        <w:tc>
          <w:tcPr>
            <w:tcW w:w="851" w:type="dxa"/>
          </w:tcPr>
          <w:p w14:paraId="35F33083" w14:textId="77777777" w:rsidR="006F38DF" w:rsidRPr="00F76596" w:rsidRDefault="006F38DF" w:rsidP="00BE32EF">
            <w:pPr>
              <w:pStyle w:val="tabletext"/>
            </w:pPr>
            <w:r w:rsidRPr="00F76596">
              <w:lastRenderedPageBreak/>
              <w:t>31</w:t>
            </w:r>
          </w:p>
        </w:tc>
        <w:tc>
          <w:tcPr>
            <w:tcW w:w="2104" w:type="dxa"/>
          </w:tcPr>
          <w:p w14:paraId="4D98DC5E" w14:textId="77777777" w:rsidR="006F38DF" w:rsidRPr="00F76596" w:rsidRDefault="006F38DF" w:rsidP="00BE32EF">
            <w:pPr>
              <w:pStyle w:val="tabletext"/>
            </w:pPr>
            <w:r w:rsidRPr="00F76596">
              <w:t>Currency of collateral value</w:t>
            </w:r>
          </w:p>
        </w:tc>
        <w:tc>
          <w:tcPr>
            <w:tcW w:w="5375" w:type="dxa"/>
          </w:tcPr>
          <w:p w14:paraId="7C4AE6A0" w14:textId="77777777" w:rsidR="006F38DF" w:rsidRPr="00F76596" w:rsidRDefault="00FE0001" w:rsidP="00FE0001">
            <w:pPr>
              <w:pStyle w:val="tabletext"/>
            </w:pPr>
            <w:r w:rsidRPr="00F76596">
              <w:t xml:space="preserve">The currency of the collateral value identified under </w:t>
            </w:r>
            <w:r w:rsidR="004B44BE" w:rsidRPr="00F76596">
              <w:t>item 30</w:t>
            </w:r>
            <w:r w:rsidRPr="00F76596">
              <w:t>.</w:t>
            </w:r>
          </w:p>
        </w:tc>
      </w:tr>
      <w:tr w:rsidR="006F38DF" w:rsidRPr="00F76596" w14:paraId="53EC46AF" w14:textId="77777777" w:rsidTr="00FF6E76">
        <w:tc>
          <w:tcPr>
            <w:tcW w:w="851" w:type="dxa"/>
          </w:tcPr>
          <w:p w14:paraId="6ED6CBFD" w14:textId="77777777" w:rsidR="006F38DF" w:rsidRPr="00F76596" w:rsidRDefault="006F38DF" w:rsidP="00BE32EF">
            <w:pPr>
              <w:pStyle w:val="tabletext"/>
            </w:pPr>
            <w:r w:rsidRPr="00F76596">
              <w:t>32</w:t>
            </w:r>
          </w:p>
        </w:tc>
        <w:tc>
          <w:tcPr>
            <w:tcW w:w="2104" w:type="dxa"/>
          </w:tcPr>
          <w:p w14:paraId="415CAC56" w14:textId="77777777" w:rsidR="006F38DF" w:rsidRPr="00F76596" w:rsidRDefault="006F38DF" w:rsidP="00BE32EF">
            <w:pPr>
              <w:pStyle w:val="tabletext"/>
            </w:pPr>
            <w:r w:rsidRPr="00F76596">
              <w:t>Option type</w:t>
            </w:r>
          </w:p>
        </w:tc>
        <w:tc>
          <w:tcPr>
            <w:tcW w:w="5375" w:type="dxa"/>
          </w:tcPr>
          <w:p w14:paraId="1B4C29CC" w14:textId="77777777" w:rsidR="006F38DF" w:rsidRPr="00F76596" w:rsidRDefault="00CD1992" w:rsidP="00021A98">
            <w:pPr>
              <w:pStyle w:val="tabletext"/>
            </w:pPr>
            <w:r w:rsidRPr="00F76596">
              <w:t xml:space="preserve">If the Derivative to which the Reportable Position relates is an option, a notation to indicate whether the </w:t>
            </w:r>
            <w:r w:rsidR="00021A98" w:rsidRPr="00F76596">
              <w:t>option</w:t>
            </w:r>
            <w:r w:rsidRPr="00F76596">
              <w:t xml:space="preserve"> is a call or a put.</w:t>
            </w:r>
          </w:p>
        </w:tc>
      </w:tr>
      <w:tr w:rsidR="006F38DF" w:rsidRPr="00F76596" w14:paraId="0CA0E889" w14:textId="77777777" w:rsidTr="00FF6E76">
        <w:tc>
          <w:tcPr>
            <w:tcW w:w="851" w:type="dxa"/>
          </w:tcPr>
          <w:p w14:paraId="2A607DAB" w14:textId="77777777" w:rsidR="006F38DF" w:rsidRPr="00F76596" w:rsidRDefault="006F38DF" w:rsidP="00BE32EF">
            <w:pPr>
              <w:pStyle w:val="tabletext"/>
            </w:pPr>
            <w:r w:rsidRPr="00F76596">
              <w:t>33</w:t>
            </w:r>
          </w:p>
        </w:tc>
        <w:tc>
          <w:tcPr>
            <w:tcW w:w="2104" w:type="dxa"/>
          </w:tcPr>
          <w:p w14:paraId="52C1D7A5" w14:textId="77777777" w:rsidR="006F38DF" w:rsidRPr="00F76596" w:rsidRDefault="006F38DF" w:rsidP="00BE32EF">
            <w:pPr>
              <w:pStyle w:val="tabletext"/>
            </w:pPr>
            <w:r w:rsidRPr="00F76596">
              <w:t>Option expiration date</w:t>
            </w:r>
          </w:p>
        </w:tc>
        <w:tc>
          <w:tcPr>
            <w:tcW w:w="5375" w:type="dxa"/>
          </w:tcPr>
          <w:p w14:paraId="717ABC91" w14:textId="77777777" w:rsidR="006F38DF" w:rsidRPr="00F76596" w:rsidRDefault="00C57676" w:rsidP="004D326F">
            <w:pPr>
              <w:pStyle w:val="tabletext"/>
            </w:pPr>
            <w:r w:rsidRPr="00F76596">
              <w:t xml:space="preserve">If the Derivative to which the Reportable </w:t>
            </w:r>
            <w:r w:rsidR="004D326F" w:rsidRPr="00F76596">
              <w:t>Position</w:t>
            </w:r>
            <w:r w:rsidRPr="00F76596">
              <w:t xml:space="preserve"> relates is an option, the expir</w:t>
            </w:r>
            <w:r w:rsidR="00F4193E" w:rsidRPr="00F76596">
              <w:t>y</w:t>
            </w:r>
            <w:r w:rsidR="0013454B" w:rsidRPr="00F76596">
              <w:t xml:space="preserve"> </w:t>
            </w:r>
            <w:r w:rsidRPr="00F76596">
              <w:t>date of the option</w:t>
            </w:r>
            <w:r w:rsidR="00B72A4F" w:rsidRPr="00F76596">
              <w:t>.</w:t>
            </w:r>
          </w:p>
        </w:tc>
      </w:tr>
      <w:tr w:rsidR="006F38DF" w:rsidRPr="00F76596" w14:paraId="28535B5A" w14:textId="77777777" w:rsidTr="00FF6E76">
        <w:tc>
          <w:tcPr>
            <w:tcW w:w="851" w:type="dxa"/>
          </w:tcPr>
          <w:p w14:paraId="14058BF1" w14:textId="77777777" w:rsidR="006F38DF" w:rsidRPr="00F76596" w:rsidRDefault="006F38DF" w:rsidP="00BE32EF">
            <w:pPr>
              <w:pStyle w:val="tabletext"/>
            </w:pPr>
            <w:r w:rsidRPr="00F76596">
              <w:t>34</w:t>
            </w:r>
          </w:p>
        </w:tc>
        <w:tc>
          <w:tcPr>
            <w:tcW w:w="2104" w:type="dxa"/>
          </w:tcPr>
          <w:p w14:paraId="33D64A8F" w14:textId="77777777" w:rsidR="006F38DF" w:rsidRPr="00F76596" w:rsidRDefault="006F38DF" w:rsidP="00BE32EF">
            <w:pPr>
              <w:pStyle w:val="tabletext"/>
            </w:pPr>
            <w:r w:rsidRPr="00F76596">
              <w:t xml:space="preserve">Option premium </w:t>
            </w:r>
          </w:p>
        </w:tc>
        <w:tc>
          <w:tcPr>
            <w:tcW w:w="5375" w:type="dxa"/>
          </w:tcPr>
          <w:p w14:paraId="3EF717A8" w14:textId="77777777" w:rsidR="006F38DF" w:rsidRPr="00F76596" w:rsidRDefault="00C83470" w:rsidP="004D326F">
            <w:pPr>
              <w:pStyle w:val="tabletext"/>
            </w:pPr>
            <w:r w:rsidRPr="00F76596">
              <w:t xml:space="preserve">If the Derivative to which the Reportable </w:t>
            </w:r>
            <w:r w:rsidR="004D326F" w:rsidRPr="00F76596">
              <w:t>Position</w:t>
            </w:r>
            <w:r w:rsidRPr="00F76596">
              <w:t xml:space="preserve"> relates is an option, the amount of the premium paid by the buyer to the seller.</w:t>
            </w:r>
          </w:p>
        </w:tc>
      </w:tr>
      <w:tr w:rsidR="006F38DF" w:rsidRPr="00F76596" w14:paraId="6B7EBDBA" w14:textId="77777777" w:rsidTr="00FF6E76">
        <w:tc>
          <w:tcPr>
            <w:tcW w:w="851" w:type="dxa"/>
          </w:tcPr>
          <w:p w14:paraId="20E464F0" w14:textId="77777777" w:rsidR="006F38DF" w:rsidRPr="00F76596" w:rsidRDefault="006F38DF" w:rsidP="00BE32EF">
            <w:pPr>
              <w:pStyle w:val="tabletext"/>
            </w:pPr>
            <w:r w:rsidRPr="00F76596">
              <w:t>35</w:t>
            </w:r>
          </w:p>
        </w:tc>
        <w:tc>
          <w:tcPr>
            <w:tcW w:w="2104" w:type="dxa"/>
          </w:tcPr>
          <w:p w14:paraId="75010B79" w14:textId="77777777" w:rsidR="006F38DF" w:rsidRPr="00F76596" w:rsidRDefault="006F38DF" w:rsidP="00BE32EF">
            <w:pPr>
              <w:pStyle w:val="tabletext"/>
            </w:pPr>
            <w:r w:rsidRPr="00F76596">
              <w:t>Option premium currency</w:t>
            </w:r>
          </w:p>
        </w:tc>
        <w:tc>
          <w:tcPr>
            <w:tcW w:w="5375" w:type="dxa"/>
          </w:tcPr>
          <w:p w14:paraId="44221B51" w14:textId="77777777" w:rsidR="006F38DF" w:rsidRPr="00F76596" w:rsidRDefault="00CA0CA2" w:rsidP="00A66F9A">
            <w:pPr>
              <w:pStyle w:val="tabletext"/>
            </w:pPr>
            <w:r w:rsidRPr="00F76596">
              <w:t>If the Derivative to which the Reportable</w:t>
            </w:r>
            <w:r w:rsidR="00A366CA" w:rsidRPr="00F76596">
              <w:t xml:space="preserve"> Position</w:t>
            </w:r>
            <w:r w:rsidRPr="00F76596">
              <w:t xml:space="preserve"> relates is an option, the currency used to calculate the option premium </w:t>
            </w:r>
            <w:r w:rsidR="00A66F9A" w:rsidRPr="00F76596">
              <w:t>identified under</w:t>
            </w:r>
            <w:r w:rsidRPr="00F76596">
              <w:t xml:space="preserve"> item </w:t>
            </w:r>
            <w:r w:rsidR="00971F42" w:rsidRPr="00F76596">
              <w:t>34.</w:t>
            </w:r>
          </w:p>
        </w:tc>
      </w:tr>
      <w:tr w:rsidR="006F38DF" w:rsidRPr="00F76596" w14:paraId="6BA81880" w14:textId="77777777" w:rsidTr="00FF6E76">
        <w:tc>
          <w:tcPr>
            <w:tcW w:w="851" w:type="dxa"/>
          </w:tcPr>
          <w:p w14:paraId="78417776" w14:textId="77777777" w:rsidR="006F38DF" w:rsidRPr="00F76596" w:rsidRDefault="006F38DF" w:rsidP="00BE32EF">
            <w:pPr>
              <w:pStyle w:val="tabletext"/>
            </w:pPr>
            <w:r w:rsidRPr="00F76596">
              <w:t>36</w:t>
            </w:r>
          </w:p>
        </w:tc>
        <w:tc>
          <w:tcPr>
            <w:tcW w:w="2104" w:type="dxa"/>
          </w:tcPr>
          <w:p w14:paraId="0290E37B" w14:textId="77777777" w:rsidR="006F38DF" w:rsidRPr="00F76596" w:rsidRDefault="006F38DF" w:rsidP="00BE32EF">
            <w:pPr>
              <w:pStyle w:val="tabletext"/>
            </w:pPr>
            <w:r w:rsidRPr="00F76596">
              <w:t>Option style</w:t>
            </w:r>
          </w:p>
        </w:tc>
        <w:tc>
          <w:tcPr>
            <w:tcW w:w="5375" w:type="dxa"/>
          </w:tcPr>
          <w:p w14:paraId="0B7391AC" w14:textId="77777777" w:rsidR="006F38DF" w:rsidRPr="00F76596" w:rsidRDefault="00D415B3" w:rsidP="000B1150">
            <w:pPr>
              <w:pStyle w:val="tabletext"/>
            </w:pPr>
            <w:r w:rsidRPr="00F76596">
              <w:t xml:space="preserve">If the Derivative to which the Reportable </w:t>
            </w:r>
            <w:r w:rsidR="000B1150" w:rsidRPr="00F76596">
              <w:t>Position</w:t>
            </w:r>
            <w:r w:rsidRPr="00F76596">
              <w:t xml:space="preserve"> relates is an option, a notation to indicate whether the option can be exercised on a fixed date ( “European”, “Asian”), on a series of fixed dates (“Bermudan”) or at any time during the life of the Derivative (“American”).</w:t>
            </w:r>
          </w:p>
        </w:tc>
      </w:tr>
      <w:tr w:rsidR="006F38DF" w:rsidRPr="00F76596" w14:paraId="6E13C99D" w14:textId="77777777" w:rsidTr="00FF6E76">
        <w:tc>
          <w:tcPr>
            <w:tcW w:w="851" w:type="dxa"/>
          </w:tcPr>
          <w:p w14:paraId="2AC0CCFF" w14:textId="77777777" w:rsidR="006F38DF" w:rsidRPr="00F76596" w:rsidRDefault="006F38DF" w:rsidP="00BE32EF">
            <w:pPr>
              <w:pStyle w:val="tabletext"/>
            </w:pPr>
            <w:r w:rsidRPr="00F76596">
              <w:t>37</w:t>
            </w:r>
          </w:p>
        </w:tc>
        <w:tc>
          <w:tcPr>
            <w:tcW w:w="2104" w:type="dxa"/>
          </w:tcPr>
          <w:p w14:paraId="4185098F" w14:textId="77777777" w:rsidR="006F38DF" w:rsidRPr="00F76596" w:rsidRDefault="006F38DF" w:rsidP="00BE32EF">
            <w:pPr>
              <w:pStyle w:val="tabletext"/>
            </w:pPr>
            <w:r w:rsidRPr="00F76596">
              <w:t>Strike price (cap/floor rate)</w:t>
            </w:r>
          </w:p>
        </w:tc>
        <w:tc>
          <w:tcPr>
            <w:tcW w:w="5375" w:type="dxa"/>
          </w:tcPr>
          <w:p w14:paraId="27CC9243" w14:textId="77777777" w:rsidR="006F38DF" w:rsidRPr="00F76596" w:rsidRDefault="00C23F2F" w:rsidP="000B1150">
            <w:pPr>
              <w:pStyle w:val="tabletext"/>
            </w:pPr>
            <w:r w:rsidRPr="00F76596">
              <w:t xml:space="preserve">If the Derivative to which the Reportable </w:t>
            </w:r>
            <w:r w:rsidR="000B1150" w:rsidRPr="00F76596">
              <w:t>Position</w:t>
            </w:r>
            <w:r w:rsidRPr="00F76596">
              <w:t xml:space="preserve"> relates is an option, the strike price of the option.</w:t>
            </w:r>
          </w:p>
        </w:tc>
      </w:tr>
      <w:tr w:rsidR="006F38DF" w:rsidRPr="00F76596" w14:paraId="6A208BF6" w14:textId="77777777" w:rsidTr="00FF6E76">
        <w:tc>
          <w:tcPr>
            <w:tcW w:w="851" w:type="dxa"/>
          </w:tcPr>
          <w:p w14:paraId="082A6B7F" w14:textId="77777777" w:rsidR="006F38DF" w:rsidRPr="00F76596" w:rsidRDefault="00C65066" w:rsidP="00C65066">
            <w:pPr>
              <w:pStyle w:val="tabletext"/>
            </w:pPr>
            <w:r w:rsidRPr="00F76596">
              <w:t>38</w:t>
            </w:r>
          </w:p>
        </w:tc>
        <w:tc>
          <w:tcPr>
            <w:tcW w:w="2104" w:type="dxa"/>
          </w:tcPr>
          <w:p w14:paraId="5E6AAA7F" w14:textId="77777777" w:rsidR="006F38DF" w:rsidRPr="00F76596" w:rsidRDefault="0025624E" w:rsidP="00BE32EF">
            <w:pPr>
              <w:pStyle w:val="tabletext"/>
            </w:pPr>
            <w:r w:rsidRPr="00F76596">
              <w:t>Barrier type</w:t>
            </w:r>
          </w:p>
        </w:tc>
        <w:tc>
          <w:tcPr>
            <w:tcW w:w="5375" w:type="dxa"/>
          </w:tcPr>
          <w:p w14:paraId="3D1BAF4A" w14:textId="77777777" w:rsidR="006F38DF" w:rsidRPr="00F76596" w:rsidRDefault="00BE1130" w:rsidP="00BE32EF">
            <w:pPr>
              <w:pStyle w:val="tabletext"/>
            </w:pPr>
            <w:r w:rsidRPr="00F76596">
              <w:t xml:space="preserve">If the Derivative to </w:t>
            </w:r>
            <w:r w:rsidR="005559DF" w:rsidRPr="00F76596">
              <w:t>which the Reportable Position</w:t>
            </w:r>
            <w:r w:rsidRPr="00F76596">
              <w:t xml:space="preserve"> relates includes a barrier, the type of barrier in the Derivative (“European”, “American”, “Bermudan” or “other”).</w:t>
            </w:r>
          </w:p>
        </w:tc>
      </w:tr>
      <w:tr w:rsidR="006F38DF" w:rsidRPr="00F76596" w14:paraId="5E9EB244" w14:textId="77777777" w:rsidTr="00FF6E76">
        <w:tc>
          <w:tcPr>
            <w:tcW w:w="851" w:type="dxa"/>
          </w:tcPr>
          <w:p w14:paraId="7DA653A6" w14:textId="77777777" w:rsidR="006F38DF" w:rsidRPr="00F76596" w:rsidRDefault="00C65066" w:rsidP="00C65066">
            <w:pPr>
              <w:pStyle w:val="tabletext"/>
            </w:pPr>
            <w:r w:rsidRPr="00F76596">
              <w:t>39</w:t>
            </w:r>
          </w:p>
        </w:tc>
        <w:tc>
          <w:tcPr>
            <w:tcW w:w="2104" w:type="dxa"/>
          </w:tcPr>
          <w:p w14:paraId="70E40E19" w14:textId="77777777" w:rsidR="006F38DF" w:rsidRPr="00F76596" w:rsidRDefault="0025624E" w:rsidP="00BE32EF">
            <w:pPr>
              <w:pStyle w:val="tabletext"/>
            </w:pPr>
            <w:r w:rsidRPr="00F76596">
              <w:t>Barrier value</w:t>
            </w:r>
          </w:p>
        </w:tc>
        <w:tc>
          <w:tcPr>
            <w:tcW w:w="5375" w:type="dxa"/>
          </w:tcPr>
          <w:p w14:paraId="77FDCC97" w14:textId="77777777" w:rsidR="006F38DF" w:rsidRPr="00F76596" w:rsidRDefault="000528E2" w:rsidP="00FB0B31">
            <w:pPr>
              <w:pStyle w:val="tabletext"/>
            </w:pPr>
            <w:r w:rsidRPr="00F76596">
              <w:t xml:space="preserve">If the Derivative to which the Reportable </w:t>
            </w:r>
            <w:r w:rsidR="00DD43B6" w:rsidRPr="00F76596">
              <w:t>Position</w:t>
            </w:r>
            <w:r w:rsidRPr="00F76596">
              <w:t xml:space="preserve"> relates includes a barrier or barriers, the rate or level of the barrier or barriers.</w:t>
            </w:r>
          </w:p>
        </w:tc>
      </w:tr>
    </w:tbl>
    <w:p w14:paraId="0929CCD3" w14:textId="77777777" w:rsidR="006F38DF" w:rsidRPr="00F76596" w:rsidRDefault="006F38DF" w:rsidP="006F38DF">
      <w:pPr>
        <w:pStyle w:val="tabletitlefullwidth"/>
        <w:ind w:left="851" w:firstLine="1"/>
      </w:pPr>
      <w:r w:rsidRPr="00F76596">
        <w:t xml:space="preserve">Table </w:t>
      </w:r>
      <w:r w:rsidR="00F75094" w:rsidRPr="00F76596">
        <w:t>S2.2(</w:t>
      </w:r>
      <w:r w:rsidRPr="00F76596">
        <w:t>2</w:t>
      </w:r>
      <w:r w:rsidR="00F75094"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2"/>
        <w:gridCol w:w="2062"/>
        <w:gridCol w:w="5230"/>
      </w:tblGrid>
      <w:tr w:rsidR="006F38DF" w:rsidRPr="00F76596" w14:paraId="257534BC" w14:textId="77777777" w:rsidTr="00FF6E76">
        <w:trPr>
          <w:cantSplit/>
          <w:tblHeader/>
        </w:trPr>
        <w:tc>
          <w:tcPr>
            <w:tcW w:w="851" w:type="dxa"/>
            <w:shd w:val="clear" w:color="auto" w:fill="C2E3FA"/>
          </w:tcPr>
          <w:p w14:paraId="23A36045" w14:textId="77777777"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14:paraId="4DB0F196" w14:textId="77777777"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14:paraId="1830DC04" w14:textId="77777777"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14:paraId="50806E57" w14:textId="77777777" w:rsidTr="00FF6E76">
        <w:trPr>
          <w:cantSplit/>
        </w:trPr>
        <w:tc>
          <w:tcPr>
            <w:tcW w:w="851" w:type="dxa"/>
          </w:tcPr>
          <w:p w14:paraId="1C74DB61" w14:textId="77777777" w:rsidR="006F38DF" w:rsidRPr="00F76596" w:rsidRDefault="006F38DF" w:rsidP="00BE32EF">
            <w:pPr>
              <w:pStyle w:val="tabletext"/>
            </w:pPr>
            <w:r w:rsidRPr="00F76596">
              <w:t>1</w:t>
            </w:r>
          </w:p>
        </w:tc>
        <w:tc>
          <w:tcPr>
            <w:tcW w:w="2104" w:type="dxa"/>
          </w:tcPr>
          <w:p w14:paraId="4A10CBDD" w14:textId="77777777" w:rsidR="006F38DF" w:rsidRPr="00F76596" w:rsidRDefault="006F38DF" w:rsidP="00BE32EF">
            <w:pPr>
              <w:pStyle w:val="tabletext"/>
            </w:pPr>
            <w:r w:rsidRPr="00F76596">
              <w:t>Notional amount</w:t>
            </w:r>
          </w:p>
        </w:tc>
        <w:tc>
          <w:tcPr>
            <w:tcW w:w="5375" w:type="dxa"/>
          </w:tcPr>
          <w:p w14:paraId="0169BCE6" w14:textId="77777777" w:rsidR="006F38DF" w:rsidRPr="00F76596" w:rsidRDefault="008C0208" w:rsidP="00AA6610">
            <w:pPr>
              <w:pStyle w:val="tabletext"/>
            </w:pPr>
            <w:r w:rsidRPr="00F76596">
              <w:t xml:space="preserve">The total notional amount, or total quantity in the unit of measure of the commodity underlying the Derivative to which the Reportable Position relates, or payout where a fixed payment is made at maturity based on certain conditions being met at expiry or during the life of the Derivative to which the Reportable </w:t>
            </w:r>
            <w:r w:rsidR="00AA6610" w:rsidRPr="00F76596">
              <w:t>Position</w:t>
            </w:r>
            <w:r w:rsidRPr="00F76596">
              <w:t xml:space="preserve"> relates.</w:t>
            </w:r>
          </w:p>
        </w:tc>
      </w:tr>
      <w:tr w:rsidR="006F38DF" w:rsidRPr="00F76596" w14:paraId="154D66B3" w14:textId="77777777" w:rsidTr="00FF6E76">
        <w:trPr>
          <w:cantSplit/>
        </w:trPr>
        <w:tc>
          <w:tcPr>
            <w:tcW w:w="851" w:type="dxa"/>
          </w:tcPr>
          <w:p w14:paraId="6A15CE94" w14:textId="77777777" w:rsidR="006F38DF" w:rsidRPr="00F76596" w:rsidRDefault="006F38DF" w:rsidP="00BE32EF">
            <w:pPr>
              <w:pStyle w:val="tabletext"/>
            </w:pPr>
            <w:r w:rsidRPr="00F76596">
              <w:t>2</w:t>
            </w:r>
          </w:p>
        </w:tc>
        <w:tc>
          <w:tcPr>
            <w:tcW w:w="2104" w:type="dxa"/>
          </w:tcPr>
          <w:p w14:paraId="61A2FA4D" w14:textId="77777777" w:rsidR="006F38DF" w:rsidRPr="00F76596" w:rsidRDefault="006F38DF" w:rsidP="00BE32EF">
            <w:pPr>
              <w:pStyle w:val="tabletext"/>
            </w:pPr>
            <w:r w:rsidRPr="00F76596">
              <w:t>Notional currency</w:t>
            </w:r>
          </w:p>
        </w:tc>
        <w:tc>
          <w:tcPr>
            <w:tcW w:w="5375" w:type="dxa"/>
          </w:tcPr>
          <w:p w14:paraId="44694373" w14:textId="77777777" w:rsidR="006F38DF" w:rsidRPr="00F76596" w:rsidRDefault="00863609" w:rsidP="00BE32EF">
            <w:pPr>
              <w:pStyle w:val="tabletext"/>
            </w:pPr>
            <w:r w:rsidRPr="00F76596">
              <w:t>The currency of the total notional amount or payout (if applicable) identified under item 1.</w:t>
            </w:r>
          </w:p>
        </w:tc>
      </w:tr>
    </w:tbl>
    <w:p w14:paraId="5569A549" w14:textId="77777777" w:rsidR="006F38DF" w:rsidRPr="00F76596" w:rsidRDefault="006F38DF" w:rsidP="006F38DF">
      <w:pPr>
        <w:pStyle w:val="tabletitlefullwidth"/>
        <w:ind w:left="851" w:firstLine="1"/>
      </w:pPr>
      <w:r w:rsidRPr="00F76596">
        <w:lastRenderedPageBreak/>
        <w:t xml:space="preserve">Table </w:t>
      </w:r>
      <w:r w:rsidR="00F75094" w:rsidRPr="00F76596">
        <w:t>S2.2(</w:t>
      </w:r>
      <w:r w:rsidRPr="00F76596">
        <w:t>3</w:t>
      </w:r>
      <w:r w:rsidR="00F75094" w:rsidRPr="00F76596">
        <w:t>)</w:t>
      </w:r>
      <w:r w:rsidRPr="00F76596">
        <w:t>: Credit derivative and equity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1"/>
        <w:gridCol w:w="2068"/>
        <w:gridCol w:w="5225"/>
      </w:tblGrid>
      <w:tr w:rsidR="006F38DF" w:rsidRPr="00F76596" w14:paraId="0BA2E5AC" w14:textId="77777777" w:rsidTr="002566CA">
        <w:trPr>
          <w:cantSplit/>
          <w:tblHeader/>
        </w:trPr>
        <w:tc>
          <w:tcPr>
            <w:tcW w:w="851" w:type="dxa"/>
            <w:shd w:val="clear" w:color="auto" w:fill="C2E3FA"/>
          </w:tcPr>
          <w:p w14:paraId="50F6CD91" w14:textId="77777777" w:rsidR="006F38DF" w:rsidRPr="00F76596" w:rsidRDefault="00D46EC6" w:rsidP="00BE32EF">
            <w:pPr>
              <w:pStyle w:val="tablehead"/>
            </w:pPr>
            <w:r w:rsidRPr="00F76596">
              <w:t xml:space="preserve">1. </w:t>
            </w:r>
            <w:r w:rsidR="006F38DF" w:rsidRPr="00F76596">
              <w:t>Item</w:t>
            </w:r>
          </w:p>
        </w:tc>
        <w:tc>
          <w:tcPr>
            <w:tcW w:w="2104" w:type="dxa"/>
            <w:shd w:val="clear" w:color="auto" w:fill="C2E3FA"/>
          </w:tcPr>
          <w:p w14:paraId="27390AAB" w14:textId="77777777" w:rsidR="006F38DF" w:rsidRPr="00F76596" w:rsidRDefault="00D46EC6" w:rsidP="00BE32EF">
            <w:pPr>
              <w:pStyle w:val="tablehead"/>
            </w:pPr>
            <w:r w:rsidRPr="00F76596">
              <w:t xml:space="preserve">2. </w:t>
            </w:r>
            <w:r w:rsidR="006F38DF" w:rsidRPr="00F76596">
              <w:t>Label</w:t>
            </w:r>
          </w:p>
        </w:tc>
        <w:tc>
          <w:tcPr>
            <w:tcW w:w="5375" w:type="dxa"/>
            <w:shd w:val="clear" w:color="auto" w:fill="C2E3FA"/>
          </w:tcPr>
          <w:p w14:paraId="525B178A" w14:textId="77777777" w:rsidR="006F38DF" w:rsidRPr="00F76596" w:rsidRDefault="00D46EC6" w:rsidP="00BE32EF">
            <w:pPr>
              <w:pStyle w:val="tablehead"/>
            </w:pPr>
            <w:r w:rsidRPr="00F76596">
              <w:t xml:space="preserve">3. </w:t>
            </w:r>
            <w:r w:rsidR="006F38DF" w:rsidRPr="00F76596">
              <w:t>Information</w:t>
            </w:r>
          </w:p>
        </w:tc>
      </w:tr>
      <w:tr w:rsidR="006F38DF" w:rsidRPr="00F76596" w14:paraId="7A24EE72" w14:textId="77777777" w:rsidTr="002566CA">
        <w:trPr>
          <w:cantSplit/>
        </w:trPr>
        <w:tc>
          <w:tcPr>
            <w:tcW w:w="851" w:type="dxa"/>
          </w:tcPr>
          <w:p w14:paraId="0351B77A" w14:textId="77777777" w:rsidR="006F38DF" w:rsidRPr="00F76596" w:rsidRDefault="006F38DF" w:rsidP="00BE32EF">
            <w:pPr>
              <w:pStyle w:val="tabletext"/>
            </w:pPr>
            <w:r w:rsidRPr="00F76596">
              <w:t>1</w:t>
            </w:r>
          </w:p>
        </w:tc>
        <w:tc>
          <w:tcPr>
            <w:tcW w:w="2104" w:type="dxa"/>
          </w:tcPr>
          <w:p w14:paraId="70F87B70" w14:textId="77777777" w:rsidR="006F38DF" w:rsidRPr="00F76596" w:rsidRDefault="006F38DF" w:rsidP="00BE32EF">
            <w:pPr>
              <w:pStyle w:val="tabletext"/>
            </w:pPr>
            <w:r w:rsidRPr="00F76596">
              <w:t>Identifier of counterparty purchasing protection</w:t>
            </w:r>
          </w:p>
        </w:tc>
        <w:tc>
          <w:tcPr>
            <w:tcW w:w="5375" w:type="dxa"/>
          </w:tcPr>
          <w:p w14:paraId="07A479C5" w14:textId="77777777" w:rsidR="00BE660C" w:rsidRPr="00F76596" w:rsidRDefault="00BE660C" w:rsidP="00BE660C">
            <w:pPr>
              <w:pStyle w:val="tabletext"/>
            </w:pPr>
            <w:r w:rsidRPr="00F76596">
              <w:t>The identifier of the counterparty purchasing protection</w:t>
            </w:r>
            <w:r w:rsidR="00B14C7C" w:rsidRPr="00F76596">
              <w:t>,</w:t>
            </w:r>
            <w:r w:rsidRPr="00F76596">
              <w:t xml:space="preserve"> using:</w:t>
            </w:r>
          </w:p>
          <w:p w14:paraId="4BE02B58" w14:textId="77777777" w:rsidR="00BE660C" w:rsidRPr="00F76596" w:rsidRDefault="00BE660C" w:rsidP="009676FB">
            <w:pPr>
              <w:pStyle w:val="tabletext"/>
              <w:numPr>
                <w:ilvl w:val="0"/>
                <w:numId w:val="44"/>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14:paraId="71EBB252" w14:textId="77777777" w:rsidR="006F38DF" w:rsidRPr="00F76596" w:rsidRDefault="00BE660C" w:rsidP="004043B2">
            <w:pPr>
              <w:pStyle w:val="tabletext"/>
              <w:numPr>
                <w:ilvl w:val="0"/>
                <w:numId w:val="44"/>
              </w:numPr>
            </w:pPr>
            <w:r w:rsidRPr="00F76596">
              <w:t>in the case of an individual, a client code assigned by the Reporting Counterparty.</w:t>
            </w:r>
          </w:p>
        </w:tc>
      </w:tr>
      <w:tr w:rsidR="006F38DF" w:rsidRPr="00F76596" w14:paraId="0C820BBA" w14:textId="77777777" w:rsidTr="002566CA">
        <w:trPr>
          <w:cantSplit/>
        </w:trPr>
        <w:tc>
          <w:tcPr>
            <w:tcW w:w="851" w:type="dxa"/>
          </w:tcPr>
          <w:p w14:paraId="75DC7296" w14:textId="77777777" w:rsidR="006F38DF" w:rsidRPr="00F76596" w:rsidRDefault="006F38DF" w:rsidP="00BE32EF">
            <w:pPr>
              <w:pStyle w:val="tabletext"/>
            </w:pPr>
            <w:r w:rsidRPr="00F76596">
              <w:t>2</w:t>
            </w:r>
          </w:p>
        </w:tc>
        <w:tc>
          <w:tcPr>
            <w:tcW w:w="2104" w:type="dxa"/>
          </w:tcPr>
          <w:p w14:paraId="2524E958" w14:textId="77777777" w:rsidR="006F38DF" w:rsidRPr="00F76596" w:rsidRDefault="006F38DF" w:rsidP="00BE32EF">
            <w:pPr>
              <w:pStyle w:val="tabletext"/>
            </w:pPr>
            <w:r w:rsidRPr="00F76596">
              <w:t>Name of counterparty purchasing protection</w:t>
            </w:r>
          </w:p>
        </w:tc>
        <w:tc>
          <w:tcPr>
            <w:tcW w:w="5375" w:type="dxa"/>
          </w:tcPr>
          <w:p w14:paraId="14188A65" w14:textId="77777777" w:rsidR="006F38DF" w:rsidRPr="00F76596" w:rsidRDefault="00B14C7C" w:rsidP="00BE32EF">
            <w:pPr>
              <w:pStyle w:val="tabletext"/>
            </w:pPr>
            <w:r w:rsidRPr="00F76596">
              <w:t>The legal name of the counterparty purchasing protection identified under item 1.</w:t>
            </w:r>
          </w:p>
        </w:tc>
      </w:tr>
      <w:tr w:rsidR="006F38DF" w:rsidRPr="00F76596" w14:paraId="333EBD2A" w14:textId="77777777" w:rsidTr="002566CA">
        <w:trPr>
          <w:cantSplit/>
        </w:trPr>
        <w:tc>
          <w:tcPr>
            <w:tcW w:w="851" w:type="dxa"/>
          </w:tcPr>
          <w:p w14:paraId="74089989" w14:textId="77777777" w:rsidR="006F38DF" w:rsidRPr="00F76596" w:rsidRDefault="006F38DF" w:rsidP="00BE32EF">
            <w:pPr>
              <w:pStyle w:val="tabletext"/>
            </w:pPr>
            <w:r w:rsidRPr="00F76596">
              <w:t>3</w:t>
            </w:r>
          </w:p>
        </w:tc>
        <w:tc>
          <w:tcPr>
            <w:tcW w:w="2104" w:type="dxa"/>
          </w:tcPr>
          <w:p w14:paraId="08F71B1A" w14:textId="77777777" w:rsidR="006F38DF" w:rsidRPr="00F76596" w:rsidRDefault="006F38DF" w:rsidP="00BE32EF">
            <w:pPr>
              <w:pStyle w:val="tabletext"/>
            </w:pPr>
            <w:r w:rsidRPr="00F76596">
              <w:t>Identifier of counterparty selling protection</w:t>
            </w:r>
          </w:p>
        </w:tc>
        <w:tc>
          <w:tcPr>
            <w:tcW w:w="5375" w:type="dxa"/>
          </w:tcPr>
          <w:p w14:paraId="0AD77184" w14:textId="77777777" w:rsidR="00CE204D" w:rsidRPr="00F76596" w:rsidRDefault="00CE204D" w:rsidP="00CE204D">
            <w:pPr>
              <w:pStyle w:val="tabletext"/>
            </w:pPr>
            <w:r w:rsidRPr="00F76596">
              <w:t>The identifier of counterparty selling protection, using:</w:t>
            </w:r>
          </w:p>
          <w:p w14:paraId="062A89DB" w14:textId="77777777" w:rsidR="00CE204D" w:rsidRPr="00F76596" w:rsidRDefault="00CE204D" w:rsidP="009676FB">
            <w:pPr>
              <w:pStyle w:val="tabletext"/>
              <w:numPr>
                <w:ilvl w:val="0"/>
                <w:numId w:val="45"/>
              </w:numPr>
            </w:pPr>
            <w:r w:rsidRPr="00F76596">
              <w:t xml:space="preserve">in the case of an entity, a Legal Entity Identifier (LEI) or interim entity identifier or, if no LEI or interim entity identifier available for the entity, </w:t>
            </w:r>
            <w:r w:rsidR="009676FB" w:rsidRPr="009676FB">
              <w:t>a Designated Business Identifier or, if no Designated Business Identifier is available</w:t>
            </w:r>
            <w:r w:rsidR="000475A0" w:rsidRPr="00F76596">
              <w:t>, a Business Identifier Code (BIC code)</w:t>
            </w:r>
            <w:r w:rsidR="00BE5AA9" w:rsidRPr="00F76596">
              <w:t>;</w:t>
            </w:r>
            <w:r w:rsidRPr="00F76596">
              <w:t xml:space="preserve"> or</w:t>
            </w:r>
          </w:p>
          <w:p w14:paraId="28F7532D" w14:textId="77777777" w:rsidR="006F38DF" w:rsidRPr="00F76596" w:rsidRDefault="00CE204D" w:rsidP="004043B2">
            <w:pPr>
              <w:pStyle w:val="tabletext"/>
              <w:numPr>
                <w:ilvl w:val="0"/>
                <w:numId w:val="45"/>
              </w:numPr>
            </w:pPr>
            <w:r w:rsidRPr="00F76596">
              <w:t>in the case of an individual, a client code assigned by the Reporting Counterparty.</w:t>
            </w:r>
          </w:p>
        </w:tc>
      </w:tr>
      <w:tr w:rsidR="006F38DF" w:rsidRPr="00F76596" w14:paraId="0083FDED" w14:textId="77777777" w:rsidTr="002566CA">
        <w:trPr>
          <w:cantSplit/>
        </w:trPr>
        <w:tc>
          <w:tcPr>
            <w:tcW w:w="851" w:type="dxa"/>
          </w:tcPr>
          <w:p w14:paraId="08EBC99B" w14:textId="77777777" w:rsidR="006F38DF" w:rsidRPr="00F76596" w:rsidRDefault="006F38DF" w:rsidP="00BE32EF">
            <w:pPr>
              <w:pStyle w:val="tabletext"/>
            </w:pPr>
            <w:r w:rsidRPr="00F76596">
              <w:t>4</w:t>
            </w:r>
          </w:p>
        </w:tc>
        <w:tc>
          <w:tcPr>
            <w:tcW w:w="2104" w:type="dxa"/>
          </w:tcPr>
          <w:p w14:paraId="58A1EE83" w14:textId="77777777" w:rsidR="006F38DF" w:rsidRPr="00F76596" w:rsidRDefault="006F38DF" w:rsidP="00BE32EF">
            <w:pPr>
              <w:pStyle w:val="tabletext"/>
            </w:pPr>
            <w:r w:rsidRPr="00F76596">
              <w:t>Name of counterparty selling protection</w:t>
            </w:r>
          </w:p>
        </w:tc>
        <w:tc>
          <w:tcPr>
            <w:tcW w:w="5375" w:type="dxa"/>
          </w:tcPr>
          <w:p w14:paraId="57480210" w14:textId="77777777" w:rsidR="006F38DF" w:rsidRPr="00F76596" w:rsidRDefault="00AD7590" w:rsidP="00BE32EF">
            <w:pPr>
              <w:pStyle w:val="tabletext"/>
            </w:pPr>
            <w:r w:rsidRPr="00F76596">
              <w:t>The legal name of the counterparty selling protection identified under item 3.</w:t>
            </w:r>
          </w:p>
        </w:tc>
      </w:tr>
      <w:tr w:rsidR="006F38DF" w:rsidRPr="00F76596" w14:paraId="1B8BD162" w14:textId="77777777" w:rsidTr="002566CA">
        <w:trPr>
          <w:cantSplit/>
        </w:trPr>
        <w:tc>
          <w:tcPr>
            <w:tcW w:w="851" w:type="dxa"/>
          </w:tcPr>
          <w:p w14:paraId="62B125F7" w14:textId="77777777" w:rsidR="006F38DF" w:rsidRPr="00F76596" w:rsidRDefault="006F38DF" w:rsidP="00BE32EF">
            <w:pPr>
              <w:pStyle w:val="tabletext"/>
            </w:pPr>
            <w:r w:rsidRPr="00F76596">
              <w:t>5</w:t>
            </w:r>
          </w:p>
        </w:tc>
        <w:tc>
          <w:tcPr>
            <w:tcW w:w="2104" w:type="dxa"/>
          </w:tcPr>
          <w:p w14:paraId="410A6FC4" w14:textId="77777777" w:rsidR="006F38DF" w:rsidRPr="00F76596" w:rsidRDefault="006F38DF" w:rsidP="00BE32EF">
            <w:pPr>
              <w:pStyle w:val="tabletext"/>
            </w:pPr>
            <w:r w:rsidRPr="00F76596">
              <w:t>Information identifying the reference entity</w:t>
            </w:r>
          </w:p>
        </w:tc>
        <w:tc>
          <w:tcPr>
            <w:tcW w:w="5375" w:type="dxa"/>
          </w:tcPr>
          <w:p w14:paraId="486E7AE2" w14:textId="77777777" w:rsidR="00F6640E" w:rsidRPr="00F76596" w:rsidRDefault="00F6640E" w:rsidP="00F6640E">
            <w:pPr>
              <w:pStyle w:val="tabletext"/>
            </w:pPr>
            <w:r w:rsidRPr="00F76596">
              <w:t>The identifier of the entity that is the subject of the protection being purchased and sold, using:</w:t>
            </w:r>
          </w:p>
          <w:p w14:paraId="516D1148" w14:textId="77777777" w:rsidR="00F6640E" w:rsidRPr="00F76596" w:rsidRDefault="00F6640E" w:rsidP="009676FB">
            <w:pPr>
              <w:pStyle w:val="tabletext"/>
              <w:numPr>
                <w:ilvl w:val="0"/>
                <w:numId w:val="46"/>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14:paraId="603CE78C" w14:textId="77777777" w:rsidR="006F38DF" w:rsidRPr="00F76596" w:rsidRDefault="00F6640E" w:rsidP="004043B2">
            <w:pPr>
              <w:pStyle w:val="tabletext"/>
              <w:numPr>
                <w:ilvl w:val="0"/>
                <w:numId w:val="46"/>
              </w:numPr>
            </w:pPr>
            <w:r w:rsidRPr="00F76596">
              <w:t>in the case of an individual, a client code assigned by the Reporting Counterparty.</w:t>
            </w:r>
          </w:p>
        </w:tc>
      </w:tr>
      <w:tr w:rsidR="006F38DF" w:rsidRPr="00F76596" w14:paraId="0BB35FEC" w14:textId="77777777" w:rsidTr="002566CA">
        <w:trPr>
          <w:cantSplit/>
        </w:trPr>
        <w:tc>
          <w:tcPr>
            <w:tcW w:w="851" w:type="dxa"/>
          </w:tcPr>
          <w:p w14:paraId="5DEC692D" w14:textId="77777777" w:rsidR="006F38DF" w:rsidRPr="00F76596" w:rsidRDefault="006F38DF" w:rsidP="00BE32EF">
            <w:pPr>
              <w:pStyle w:val="tabletext"/>
            </w:pPr>
            <w:r w:rsidRPr="00F76596">
              <w:t>6</w:t>
            </w:r>
          </w:p>
        </w:tc>
        <w:tc>
          <w:tcPr>
            <w:tcW w:w="2104" w:type="dxa"/>
          </w:tcPr>
          <w:p w14:paraId="518BD59D" w14:textId="77777777" w:rsidR="006F38DF" w:rsidRPr="00F76596" w:rsidRDefault="006F38DF" w:rsidP="00BE32EF">
            <w:pPr>
              <w:pStyle w:val="tabletext"/>
            </w:pPr>
            <w:r w:rsidRPr="00F76596">
              <w:t>Name of the reference entity</w:t>
            </w:r>
          </w:p>
        </w:tc>
        <w:tc>
          <w:tcPr>
            <w:tcW w:w="5375" w:type="dxa"/>
          </w:tcPr>
          <w:p w14:paraId="7C8EC1F2" w14:textId="77777777" w:rsidR="006F38DF" w:rsidRPr="00F76596" w:rsidRDefault="002C250C" w:rsidP="00BE32EF">
            <w:pPr>
              <w:pStyle w:val="tabletext"/>
            </w:pPr>
            <w:r w:rsidRPr="00F76596">
              <w:t>The legal name of the reference entity identified under item 5.</w:t>
            </w:r>
          </w:p>
        </w:tc>
      </w:tr>
      <w:tr w:rsidR="006F38DF" w:rsidRPr="00F76596" w14:paraId="75DE443A" w14:textId="77777777" w:rsidTr="002566CA">
        <w:trPr>
          <w:cantSplit/>
        </w:trPr>
        <w:tc>
          <w:tcPr>
            <w:tcW w:w="851" w:type="dxa"/>
          </w:tcPr>
          <w:p w14:paraId="7B738FB6" w14:textId="77777777" w:rsidR="006F38DF" w:rsidRPr="00F76596" w:rsidRDefault="006F38DF" w:rsidP="00BE32EF">
            <w:pPr>
              <w:pStyle w:val="tabletext"/>
            </w:pPr>
            <w:r w:rsidRPr="00F76596">
              <w:t>7</w:t>
            </w:r>
          </w:p>
        </w:tc>
        <w:tc>
          <w:tcPr>
            <w:tcW w:w="2104" w:type="dxa"/>
          </w:tcPr>
          <w:p w14:paraId="1B5D350D" w14:textId="77777777" w:rsidR="006F38DF" w:rsidRPr="00F76596" w:rsidRDefault="006F38DF" w:rsidP="00BE32EF">
            <w:pPr>
              <w:pStyle w:val="tabletext"/>
            </w:pPr>
            <w:r w:rsidRPr="00F76596">
              <w:t xml:space="preserve">Notional amount </w:t>
            </w:r>
          </w:p>
        </w:tc>
        <w:tc>
          <w:tcPr>
            <w:tcW w:w="5375" w:type="dxa"/>
          </w:tcPr>
          <w:p w14:paraId="61C8F7FB" w14:textId="77777777" w:rsidR="006F38DF" w:rsidRPr="00F76596" w:rsidRDefault="0032530C" w:rsidP="007E0F9D">
            <w:pPr>
              <w:pStyle w:val="tabletext"/>
            </w:pPr>
            <w:r w:rsidRPr="00F76596">
              <w:t xml:space="preserve">The total notional amount, or total quantity in the unit of measure of an instrument underlying the Derivative to which the Reportable </w:t>
            </w:r>
            <w:r w:rsidR="00CA5F85" w:rsidRPr="00F76596">
              <w:t>Position r</w:t>
            </w:r>
            <w:r w:rsidRPr="00F76596">
              <w:t xml:space="preserve">elates, or payout where a fixed payment is made at maturity based on certain conditions being met at expiry or during the life of the Derivative to which the Reportable </w:t>
            </w:r>
            <w:r w:rsidR="007E0F9D" w:rsidRPr="00F76596">
              <w:t>Posit</w:t>
            </w:r>
            <w:r w:rsidR="00DE109D" w:rsidRPr="00F76596">
              <w:t>i</w:t>
            </w:r>
            <w:r w:rsidR="007E0F9D" w:rsidRPr="00F76596">
              <w:t xml:space="preserve">on </w:t>
            </w:r>
            <w:r w:rsidRPr="00F76596">
              <w:t>relates.</w:t>
            </w:r>
          </w:p>
        </w:tc>
      </w:tr>
      <w:tr w:rsidR="006F38DF" w:rsidRPr="00F76596" w14:paraId="4D914806" w14:textId="77777777" w:rsidTr="002566CA">
        <w:trPr>
          <w:cantSplit/>
        </w:trPr>
        <w:tc>
          <w:tcPr>
            <w:tcW w:w="851" w:type="dxa"/>
          </w:tcPr>
          <w:p w14:paraId="6AEC626C" w14:textId="77777777" w:rsidR="006F38DF" w:rsidRPr="00F76596" w:rsidRDefault="006F38DF" w:rsidP="00BE32EF">
            <w:pPr>
              <w:pStyle w:val="tabletext"/>
            </w:pPr>
            <w:r w:rsidRPr="00F76596">
              <w:t>8</w:t>
            </w:r>
          </w:p>
        </w:tc>
        <w:tc>
          <w:tcPr>
            <w:tcW w:w="2104" w:type="dxa"/>
          </w:tcPr>
          <w:p w14:paraId="0988C518" w14:textId="77777777" w:rsidR="006F38DF" w:rsidRPr="00F76596" w:rsidRDefault="006F38DF" w:rsidP="00BE32EF">
            <w:pPr>
              <w:pStyle w:val="tabletext"/>
            </w:pPr>
            <w:r w:rsidRPr="00F76596">
              <w:t>Notional currency</w:t>
            </w:r>
          </w:p>
        </w:tc>
        <w:tc>
          <w:tcPr>
            <w:tcW w:w="5375" w:type="dxa"/>
          </w:tcPr>
          <w:p w14:paraId="5EFDE6EF" w14:textId="77777777" w:rsidR="006F38DF" w:rsidRPr="00F76596" w:rsidRDefault="004D275D" w:rsidP="004E5211">
            <w:pPr>
              <w:pStyle w:val="tabletext"/>
            </w:pPr>
            <w:r w:rsidRPr="00F76596">
              <w:t xml:space="preserve">The currency </w:t>
            </w:r>
            <w:r w:rsidR="004E5211" w:rsidRPr="00F76596">
              <w:t>of</w:t>
            </w:r>
            <w:r w:rsidRPr="00F76596">
              <w:t xml:space="preserve"> the notional amount identified under item 7.</w:t>
            </w:r>
          </w:p>
        </w:tc>
      </w:tr>
      <w:tr w:rsidR="006F38DF" w:rsidRPr="00F76596" w14:paraId="0ABC6E22" w14:textId="77777777" w:rsidTr="002566CA">
        <w:trPr>
          <w:cantSplit/>
        </w:trPr>
        <w:tc>
          <w:tcPr>
            <w:tcW w:w="851" w:type="dxa"/>
          </w:tcPr>
          <w:p w14:paraId="5984E8EB" w14:textId="77777777" w:rsidR="006F38DF" w:rsidRPr="00F76596" w:rsidRDefault="006F38DF" w:rsidP="00BE32EF">
            <w:pPr>
              <w:pStyle w:val="tabletext"/>
            </w:pPr>
            <w:r w:rsidRPr="00F76596">
              <w:t>9</w:t>
            </w:r>
          </w:p>
        </w:tc>
        <w:tc>
          <w:tcPr>
            <w:tcW w:w="2104" w:type="dxa"/>
          </w:tcPr>
          <w:p w14:paraId="5AE857EF" w14:textId="77777777" w:rsidR="006F38DF" w:rsidRPr="00F76596" w:rsidRDefault="006F38DF" w:rsidP="00BE32EF">
            <w:pPr>
              <w:pStyle w:val="tabletext"/>
            </w:pPr>
            <w:r w:rsidRPr="00F76596">
              <w:t>Payment frequency</w:t>
            </w:r>
          </w:p>
        </w:tc>
        <w:tc>
          <w:tcPr>
            <w:tcW w:w="5375" w:type="dxa"/>
          </w:tcPr>
          <w:p w14:paraId="1E82607D" w14:textId="77777777" w:rsidR="006F38DF" w:rsidRPr="00F76596" w:rsidRDefault="00393EEB" w:rsidP="008C2E85">
            <w:pPr>
              <w:pStyle w:val="tabletext"/>
            </w:pPr>
            <w:r w:rsidRPr="00F76596">
              <w:t>The dates</w:t>
            </w:r>
            <w:r w:rsidR="00C919C4" w:rsidRPr="00F76596">
              <w:t xml:space="preserve"> on, or frequency with which, </w:t>
            </w:r>
            <w:r w:rsidRPr="00F76596">
              <w:t xml:space="preserve">the agreement executed in relation to the Derivative to which the Reportable </w:t>
            </w:r>
            <w:r w:rsidR="00FE2593" w:rsidRPr="00F76596">
              <w:t>Position</w:t>
            </w:r>
            <w:r w:rsidRPr="00F76596">
              <w:t xml:space="preserve"> relates requires payments to be made.</w:t>
            </w:r>
          </w:p>
        </w:tc>
      </w:tr>
    </w:tbl>
    <w:p w14:paraId="79D9D634" w14:textId="77777777" w:rsidR="006F38DF" w:rsidRPr="00F76596" w:rsidRDefault="006F38DF" w:rsidP="006F38DF">
      <w:pPr>
        <w:pStyle w:val="tabletitlefullwidth"/>
        <w:ind w:left="851" w:firstLine="1"/>
      </w:pPr>
      <w:r w:rsidRPr="00F76596">
        <w:lastRenderedPageBreak/>
        <w:t xml:space="preserve">Table </w:t>
      </w:r>
      <w:r w:rsidR="00F75094" w:rsidRPr="00F76596">
        <w:t>S2.2(</w:t>
      </w:r>
      <w:r w:rsidRPr="00F76596">
        <w:t>4</w:t>
      </w:r>
      <w:r w:rsidR="00F75094"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1"/>
        <w:gridCol w:w="2065"/>
        <w:gridCol w:w="5228"/>
      </w:tblGrid>
      <w:tr w:rsidR="006F38DF" w:rsidRPr="00F76596" w14:paraId="240980ED" w14:textId="77777777" w:rsidTr="002566CA">
        <w:trPr>
          <w:cantSplit/>
          <w:tblHeader/>
        </w:trPr>
        <w:tc>
          <w:tcPr>
            <w:tcW w:w="851" w:type="dxa"/>
            <w:shd w:val="clear" w:color="auto" w:fill="C2E3FA"/>
          </w:tcPr>
          <w:p w14:paraId="34FB9083" w14:textId="77777777"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14:paraId="31E3C2BD" w14:textId="77777777"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14:paraId="09B29BA3" w14:textId="77777777"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14:paraId="331A3439" w14:textId="77777777" w:rsidTr="002566CA">
        <w:trPr>
          <w:cantSplit/>
        </w:trPr>
        <w:tc>
          <w:tcPr>
            <w:tcW w:w="851" w:type="dxa"/>
          </w:tcPr>
          <w:p w14:paraId="1BA3CD3B" w14:textId="77777777" w:rsidR="006F38DF" w:rsidRPr="00F76596" w:rsidRDefault="006F38DF" w:rsidP="00BE32EF">
            <w:pPr>
              <w:pStyle w:val="tabletext"/>
            </w:pPr>
            <w:r w:rsidRPr="00F76596">
              <w:t>1</w:t>
            </w:r>
          </w:p>
        </w:tc>
        <w:tc>
          <w:tcPr>
            <w:tcW w:w="2104" w:type="dxa"/>
          </w:tcPr>
          <w:p w14:paraId="76050EB2" w14:textId="77777777" w:rsidR="006F38DF" w:rsidRPr="00F76596" w:rsidRDefault="006F38DF" w:rsidP="00BE32EF">
            <w:pPr>
              <w:pStyle w:val="tabletext"/>
            </w:pPr>
            <w:r w:rsidRPr="00F76596">
              <w:t>Notional amount 1</w:t>
            </w:r>
          </w:p>
        </w:tc>
        <w:tc>
          <w:tcPr>
            <w:tcW w:w="5375" w:type="dxa"/>
          </w:tcPr>
          <w:p w14:paraId="3B11C0B2" w14:textId="77777777" w:rsidR="006F38DF" w:rsidRPr="00F76596" w:rsidRDefault="006F38DF" w:rsidP="00BE32EF">
            <w:pPr>
              <w:pStyle w:val="tabletext"/>
            </w:pPr>
            <w:r w:rsidRPr="00F76596">
              <w:t>Total amount of the first underlying currency</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00602A40" w:rsidRPr="00F76596">
              <w:t xml:space="preserve"> to which the Reportable Position relates</w:t>
            </w:r>
            <w:r w:rsidRPr="00F76596">
              <w:t>.</w:t>
            </w:r>
          </w:p>
        </w:tc>
      </w:tr>
      <w:tr w:rsidR="006F38DF" w:rsidRPr="00F76596" w14:paraId="42787EFB" w14:textId="77777777" w:rsidTr="002566CA">
        <w:trPr>
          <w:cantSplit/>
        </w:trPr>
        <w:tc>
          <w:tcPr>
            <w:tcW w:w="851" w:type="dxa"/>
          </w:tcPr>
          <w:p w14:paraId="0F523418" w14:textId="77777777" w:rsidR="006F38DF" w:rsidRPr="00F76596" w:rsidRDefault="006F38DF" w:rsidP="00BE32EF">
            <w:pPr>
              <w:pStyle w:val="tabletext"/>
            </w:pPr>
            <w:r w:rsidRPr="00F76596">
              <w:t>2</w:t>
            </w:r>
          </w:p>
        </w:tc>
        <w:tc>
          <w:tcPr>
            <w:tcW w:w="2104" w:type="dxa"/>
          </w:tcPr>
          <w:p w14:paraId="5FA537D6" w14:textId="77777777" w:rsidR="006F38DF" w:rsidRPr="00F76596" w:rsidRDefault="006F38DF" w:rsidP="00BE32EF">
            <w:pPr>
              <w:pStyle w:val="tabletext"/>
            </w:pPr>
            <w:r w:rsidRPr="00F76596">
              <w:t>Notional amount 2</w:t>
            </w:r>
          </w:p>
        </w:tc>
        <w:tc>
          <w:tcPr>
            <w:tcW w:w="5375" w:type="dxa"/>
          </w:tcPr>
          <w:p w14:paraId="605BF2A5" w14:textId="77777777" w:rsidR="006F38DF" w:rsidRPr="00F76596" w:rsidRDefault="006F38DF" w:rsidP="00BE32EF">
            <w:pPr>
              <w:pStyle w:val="tabletext"/>
            </w:pPr>
            <w:r w:rsidRPr="00F76596">
              <w:t>Total amount of the second underlying currency.</w:t>
            </w:r>
          </w:p>
        </w:tc>
      </w:tr>
      <w:tr w:rsidR="006F38DF" w:rsidRPr="00F76596" w14:paraId="265BECE3" w14:textId="77777777" w:rsidTr="002566CA">
        <w:trPr>
          <w:cantSplit/>
        </w:trPr>
        <w:tc>
          <w:tcPr>
            <w:tcW w:w="851" w:type="dxa"/>
          </w:tcPr>
          <w:p w14:paraId="23AC3143" w14:textId="77777777" w:rsidR="006F38DF" w:rsidRPr="00F76596" w:rsidRDefault="006F38DF" w:rsidP="00BE32EF">
            <w:pPr>
              <w:pStyle w:val="tabletext"/>
            </w:pPr>
            <w:r w:rsidRPr="00F76596">
              <w:t>3</w:t>
            </w:r>
          </w:p>
        </w:tc>
        <w:tc>
          <w:tcPr>
            <w:tcW w:w="2104" w:type="dxa"/>
          </w:tcPr>
          <w:p w14:paraId="1FEA9528" w14:textId="77777777" w:rsidR="006F38DF" w:rsidRPr="00F76596" w:rsidRDefault="006F38DF" w:rsidP="00BE32EF">
            <w:pPr>
              <w:pStyle w:val="tabletext"/>
            </w:pPr>
            <w:r w:rsidRPr="00F76596">
              <w:t>Currency 1</w:t>
            </w:r>
          </w:p>
        </w:tc>
        <w:tc>
          <w:tcPr>
            <w:tcW w:w="5375" w:type="dxa"/>
          </w:tcPr>
          <w:p w14:paraId="0568F3C1" w14:textId="77777777"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R</w:t>
            </w:r>
            <w:r w:rsidRPr="00F76596">
              <w:t xml:space="preserve">eporting </w:t>
            </w:r>
            <w:r w:rsidR="00111E42" w:rsidRPr="00F76596">
              <w:t>C</w:t>
            </w:r>
            <w:r w:rsidRPr="00F76596">
              <w:t>ounterparty.</w:t>
            </w:r>
          </w:p>
        </w:tc>
      </w:tr>
      <w:tr w:rsidR="006F38DF" w:rsidRPr="00F76596" w14:paraId="5E48FBF8" w14:textId="77777777" w:rsidTr="002566CA">
        <w:trPr>
          <w:cantSplit/>
        </w:trPr>
        <w:tc>
          <w:tcPr>
            <w:tcW w:w="851" w:type="dxa"/>
          </w:tcPr>
          <w:p w14:paraId="2F9B75AA" w14:textId="77777777" w:rsidR="006F38DF" w:rsidRPr="00F76596" w:rsidRDefault="006F38DF" w:rsidP="00BE32EF">
            <w:pPr>
              <w:pStyle w:val="tabletext"/>
            </w:pPr>
            <w:r w:rsidRPr="00F76596">
              <w:t>4</w:t>
            </w:r>
          </w:p>
        </w:tc>
        <w:tc>
          <w:tcPr>
            <w:tcW w:w="2104" w:type="dxa"/>
          </w:tcPr>
          <w:p w14:paraId="79FDD33F" w14:textId="77777777" w:rsidR="006F38DF" w:rsidRPr="00F76596" w:rsidRDefault="006F38DF" w:rsidP="00BE32EF">
            <w:pPr>
              <w:pStyle w:val="tabletext"/>
            </w:pPr>
            <w:r w:rsidRPr="00F76596">
              <w:t>Currency 2</w:t>
            </w:r>
          </w:p>
        </w:tc>
        <w:tc>
          <w:tcPr>
            <w:tcW w:w="5375" w:type="dxa"/>
          </w:tcPr>
          <w:p w14:paraId="199E0596" w14:textId="77777777"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14:paraId="0A609869" w14:textId="77777777" w:rsidTr="002566CA">
        <w:trPr>
          <w:cantSplit/>
        </w:trPr>
        <w:tc>
          <w:tcPr>
            <w:tcW w:w="851" w:type="dxa"/>
          </w:tcPr>
          <w:p w14:paraId="30F746F1" w14:textId="77777777" w:rsidR="006F38DF" w:rsidRPr="00F76596" w:rsidRDefault="006F38DF" w:rsidP="00BE32EF">
            <w:pPr>
              <w:pStyle w:val="tabletext"/>
            </w:pPr>
            <w:r w:rsidRPr="00F76596">
              <w:t>5</w:t>
            </w:r>
          </w:p>
        </w:tc>
        <w:tc>
          <w:tcPr>
            <w:tcW w:w="2104" w:type="dxa"/>
          </w:tcPr>
          <w:p w14:paraId="196949F8" w14:textId="77777777" w:rsidR="006F38DF" w:rsidRPr="00F76596" w:rsidRDefault="006F38DF" w:rsidP="00BE32EF">
            <w:pPr>
              <w:pStyle w:val="tabletext"/>
            </w:pPr>
            <w:r w:rsidRPr="00F76596">
              <w:t>Exchange rate</w:t>
            </w:r>
          </w:p>
        </w:tc>
        <w:tc>
          <w:tcPr>
            <w:tcW w:w="5375" w:type="dxa"/>
          </w:tcPr>
          <w:p w14:paraId="77476E55" w14:textId="77777777" w:rsidR="006F38DF" w:rsidRPr="00F76596" w:rsidRDefault="006F38DF" w:rsidP="006E3EBD">
            <w:pPr>
              <w:pStyle w:val="tabletext"/>
            </w:pPr>
            <w:r w:rsidRPr="00F76596">
              <w:t>The rate of exchange of the currencies</w:t>
            </w:r>
            <w:r w:rsidR="001948E2" w:rsidRPr="00F76596">
              <w:rPr>
                <w:rFonts w:ascii="Times New Roman" w:hAnsi="Times New Roman" w:cs="Times New Roman"/>
                <w:sz w:val="22"/>
                <w:szCs w:val="20"/>
              </w:rPr>
              <w:t xml:space="preserve"> </w:t>
            </w:r>
            <w:r w:rsidR="001948E2" w:rsidRPr="00F76596">
              <w:t>referred to in items 3 and 4</w:t>
            </w:r>
            <w:r w:rsidRPr="00F76596">
              <w:t>.</w:t>
            </w:r>
          </w:p>
        </w:tc>
      </w:tr>
      <w:tr w:rsidR="006F38DF" w:rsidRPr="00F76596" w14:paraId="3214C6AF" w14:textId="77777777" w:rsidTr="002566CA">
        <w:trPr>
          <w:cantSplit/>
        </w:trPr>
        <w:tc>
          <w:tcPr>
            <w:tcW w:w="851" w:type="dxa"/>
          </w:tcPr>
          <w:p w14:paraId="36C3AC6B" w14:textId="77777777" w:rsidR="006F38DF" w:rsidRPr="00F76596" w:rsidRDefault="006F38DF" w:rsidP="00BE32EF">
            <w:pPr>
              <w:pStyle w:val="tabletext"/>
            </w:pPr>
            <w:r w:rsidRPr="00F76596">
              <w:t>6</w:t>
            </w:r>
          </w:p>
        </w:tc>
        <w:tc>
          <w:tcPr>
            <w:tcW w:w="2104" w:type="dxa"/>
          </w:tcPr>
          <w:p w14:paraId="0BBA4829" w14:textId="77777777" w:rsidR="006F38DF" w:rsidRPr="00F76596" w:rsidRDefault="006F38DF" w:rsidP="00BE32EF">
            <w:pPr>
              <w:pStyle w:val="tabletext"/>
            </w:pPr>
            <w:r w:rsidRPr="00F76596">
              <w:t>Forward exchange rate</w:t>
            </w:r>
          </w:p>
        </w:tc>
        <w:tc>
          <w:tcPr>
            <w:tcW w:w="5375" w:type="dxa"/>
          </w:tcPr>
          <w:p w14:paraId="046F04B8" w14:textId="77777777" w:rsidR="006F38DF" w:rsidRPr="00F76596" w:rsidRDefault="006F38DF" w:rsidP="00BE32EF">
            <w:pPr>
              <w:pStyle w:val="tabletext"/>
            </w:pPr>
            <w:r w:rsidRPr="00F76596">
              <w:t xml:space="preserve">The forward exchange rate on </w:t>
            </w:r>
            <w:r w:rsidR="006151BC" w:rsidRPr="00F76596">
              <w:t xml:space="preserve">the </w:t>
            </w:r>
            <w:r w:rsidRPr="00F76596">
              <w:t>value date.</w:t>
            </w:r>
          </w:p>
        </w:tc>
      </w:tr>
    </w:tbl>
    <w:p w14:paraId="6216F81F" w14:textId="77777777" w:rsidR="006F38DF" w:rsidRPr="00F76596" w:rsidRDefault="006F38DF" w:rsidP="006F38DF">
      <w:pPr>
        <w:pStyle w:val="tabletitlefullwidth"/>
        <w:ind w:left="851" w:firstLine="1"/>
      </w:pPr>
      <w:r w:rsidRPr="00F76596">
        <w:t xml:space="preserve">Table </w:t>
      </w:r>
      <w:r w:rsidR="00F75094" w:rsidRPr="00F76596">
        <w:t>S2.2(</w:t>
      </w:r>
      <w:r w:rsidRPr="00F76596">
        <w:t>5</w:t>
      </w:r>
      <w:r w:rsidR="00F75094" w:rsidRPr="00F76596">
        <w:t>)</w:t>
      </w:r>
      <w:r w:rsidRPr="00F76596">
        <w:t xml:space="preserve">: Interest </w:t>
      </w:r>
      <w:r w:rsidR="009D6251" w:rsidRPr="00F76596">
        <w:t>r</w:t>
      </w:r>
      <w:r w:rsidRPr="00F76596">
        <w:t xml:space="preserve">ate </w:t>
      </w:r>
      <w:r w:rsidR="009D6251" w:rsidRPr="00F76596">
        <w:t>d</w:t>
      </w:r>
      <w:r w:rsidRPr="00F76596">
        <w:t>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40"/>
        <w:gridCol w:w="2062"/>
        <w:gridCol w:w="5232"/>
      </w:tblGrid>
      <w:tr w:rsidR="006F38DF" w:rsidRPr="00F76596" w14:paraId="1305CA7C" w14:textId="77777777" w:rsidTr="00C26EA8">
        <w:trPr>
          <w:cantSplit/>
          <w:tblHeader/>
        </w:trPr>
        <w:tc>
          <w:tcPr>
            <w:tcW w:w="851" w:type="dxa"/>
            <w:shd w:val="clear" w:color="auto" w:fill="C2E3FA"/>
          </w:tcPr>
          <w:p w14:paraId="2639A138" w14:textId="77777777"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14:paraId="0BEAA0A9" w14:textId="77777777"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14:paraId="43223987" w14:textId="77777777"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14:paraId="0E8EC929" w14:textId="77777777" w:rsidTr="00C26EA8">
        <w:trPr>
          <w:cantSplit/>
        </w:trPr>
        <w:tc>
          <w:tcPr>
            <w:tcW w:w="851" w:type="dxa"/>
          </w:tcPr>
          <w:p w14:paraId="6035B3BD" w14:textId="77777777" w:rsidR="006F38DF" w:rsidRPr="00F76596" w:rsidRDefault="006F38DF" w:rsidP="00BE32EF">
            <w:pPr>
              <w:pStyle w:val="tabletext"/>
            </w:pPr>
            <w:r w:rsidRPr="00F76596">
              <w:t>1</w:t>
            </w:r>
          </w:p>
        </w:tc>
        <w:tc>
          <w:tcPr>
            <w:tcW w:w="2104" w:type="dxa"/>
          </w:tcPr>
          <w:p w14:paraId="073D3873" w14:textId="77777777" w:rsidR="006F38DF" w:rsidRPr="00F76596" w:rsidRDefault="006F38DF" w:rsidP="00BE32EF">
            <w:pPr>
              <w:pStyle w:val="tabletext"/>
            </w:pPr>
            <w:r w:rsidRPr="00F76596">
              <w:t>Notional amount for leg 1</w:t>
            </w:r>
          </w:p>
        </w:tc>
        <w:tc>
          <w:tcPr>
            <w:tcW w:w="5375" w:type="dxa"/>
          </w:tcPr>
          <w:p w14:paraId="52AB3EA3" w14:textId="77777777" w:rsidR="006F38DF" w:rsidRPr="00F76596" w:rsidRDefault="00C85587" w:rsidP="00CD30CF">
            <w:pPr>
              <w:pStyle w:val="tabletext"/>
            </w:pPr>
            <w:r w:rsidRPr="00F76596">
              <w:t xml:space="preserve">The total notional amount, or total quantity in the unit of measure of leg 1 of the Derivative to which the Reportable </w:t>
            </w:r>
            <w:r w:rsidR="00CD30CF" w:rsidRPr="00F76596">
              <w:t>Position</w:t>
            </w:r>
            <w:r w:rsidRPr="00F76596">
              <w:t xml:space="preserve"> relates, or payout where a fixed payment is made at maturity based on certain conditions being met at expiry or during the life of the Derivative.</w:t>
            </w:r>
          </w:p>
        </w:tc>
      </w:tr>
      <w:tr w:rsidR="006F38DF" w:rsidRPr="00F76596" w14:paraId="177E99F1" w14:textId="77777777" w:rsidTr="00C26EA8">
        <w:trPr>
          <w:cantSplit/>
        </w:trPr>
        <w:tc>
          <w:tcPr>
            <w:tcW w:w="851" w:type="dxa"/>
          </w:tcPr>
          <w:p w14:paraId="16C7EA7C" w14:textId="77777777" w:rsidR="006F38DF" w:rsidRPr="00F76596" w:rsidRDefault="006F38DF" w:rsidP="00BE32EF">
            <w:pPr>
              <w:pStyle w:val="tabletext"/>
            </w:pPr>
            <w:r w:rsidRPr="00F76596">
              <w:t>2</w:t>
            </w:r>
          </w:p>
        </w:tc>
        <w:tc>
          <w:tcPr>
            <w:tcW w:w="2104" w:type="dxa"/>
          </w:tcPr>
          <w:p w14:paraId="0E7B608E" w14:textId="77777777" w:rsidR="006F38DF" w:rsidRPr="00F76596" w:rsidRDefault="006F38DF" w:rsidP="00BE32EF">
            <w:pPr>
              <w:pStyle w:val="tabletext"/>
            </w:pPr>
            <w:r w:rsidRPr="00F76596">
              <w:t>Notional amount for leg 2</w:t>
            </w:r>
          </w:p>
        </w:tc>
        <w:tc>
          <w:tcPr>
            <w:tcW w:w="5375" w:type="dxa"/>
          </w:tcPr>
          <w:p w14:paraId="2E33E255" w14:textId="77777777" w:rsidR="006F38DF" w:rsidRPr="00F76596" w:rsidRDefault="00C4190F" w:rsidP="00BE32EF">
            <w:pPr>
              <w:pStyle w:val="tabletext"/>
            </w:pPr>
            <w:r w:rsidRPr="00F76596">
              <w:t>Total notional amount or total quantity in the unit of measure of leg 2 of the Derivative to which the Reportable Position relates.</w:t>
            </w:r>
          </w:p>
        </w:tc>
      </w:tr>
      <w:tr w:rsidR="006F38DF" w:rsidRPr="00F76596" w14:paraId="1BDFBC9D" w14:textId="77777777" w:rsidTr="00C26EA8">
        <w:trPr>
          <w:cantSplit/>
        </w:trPr>
        <w:tc>
          <w:tcPr>
            <w:tcW w:w="851" w:type="dxa"/>
          </w:tcPr>
          <w:p w14:paraId="6EE47BD4" w14:textId="77777777" w:rsidR="006F38DF" w:rsidRPr="00F76596" w:rsidRDefault="006F38DF" w:rsidP="00BE32EF">
            <w:pPr>
              <w:pStyle w:val="tabletext"/>
            </w:pPr>
            <w:r w:rsidRPr="00F76596">
              <w:t>3</w:t>
            </w:r>
          </w:p>
        </w:tc>
        <w:tc>
          <w:tcPr>
            <w:tcW w:w="2104" w:type="dxa"/>
          </w:tcPr>
          <w:p w14:paraId="4E6F6695" w14:textId="77777777" w:rsidR="006F38DF" w:rsidRPr="00F76596" w:rsidRDefault="006F38DF" w:rsidP="00BE32EF">
            <w:pPr>
              <w:pStyle w:val="tabletext"/>
            </w:pPr>
            <w:r w:rsidRPr="00F76596">
              <w:t>Notional currency for leg 1</w:t>
            </w:r>
          </w:p>
        </w:tc>
        <w:tc>
          <w:tcPr>
            <w:tcW w:w="5375" w:type="dxa"/>
          </w:tcPr>
          <w:p w14:paraId="22BF31A1" w14:textId="77777777" w:rsidR="006F38DF" w:rsidRPr="00F76596" w:rsidRDefault="00757692" w:rsidP="009318B6">
            <w:pPr>
              <w:pStyle w:val="tabletext"/>
            </w:pPr>
            <w:r w:rsidRPr="00F76596">
              <w:t>The currency of the total notional amount or payout identified under item 1.</w:t>
            </w:r>
          </w:p>
        </w:tc>
      </w:tr>
      <w:tr w:rsidR="006F38DF" w:rsidRPr="00F76596" w14:paraId="2BE64841" w14:textId="77777777" w:rsidTr="00C26EA8">
        <w:trPr>
          <w:cantSplit/>
        </w:trPr>
        <w:tc>
          <w:tcPr>
            <w:tcW w:w="851" w:type="dxa"/>
          </w:tcPr>
          <w:p w14:paraId="7153A5AE" w14:textId="77777777" w:rsidR="006F38DF" w:rsidRPr="00F76596" w:rsidRDefault="006F38DF" w:rsidP="00BE32EF">
            <w:pPr>
              <w:pStyle w:val="tabletext"/>
            </w:pPr>
            <w:r w:rsidRPr="00F76596">
              <w:t>4</w:t>
            </w:r>
          </w:p>
        </w:tc>
        <w:tc>
          <w:tcPr>
            <w:tcW w:w="2104" w:type="dxa"/>
          </w:tcPr>
          <w:p w14:paraId="3107EB77" w14:textId="77777777" w:rsidR="006F38DF" w:rsidRPr="00F76596" w:rsidRDefault="006F38DF" w:rsidP="00BE32EF">
            <w:pPr>
              <w:pStyle w:val="tabletext"/>
            </w:pPr>
            <w:r w:rsidRPr="00F76596">
              <w:t>Notional currency for leg 2</w:t>
            </w:r>
          </w:p>
        </w:tc>
        <w:tc>
          <w:tcPr>
            <w:tcW w:w="5375" w:type="dxa"/>
          </w:tcPr>
          <w:p w14:paraId="17E0F366" w14:textId="77777777" w:rsidR="006F38DF" w:rsidRPr="00F76596" w:rsidRDefault="00757692" w:rsidP="00D34557">
            <w:pPr>
              <w:pStyle w:val="tabletext"/>
            </w:pPr>
            <w:r w:rsidRPr="00F76596">
              <w:t>The currency of the total notional amount or payout identified under item 2.</w:t>
            </w:r>
          </w:p>
        </w:tc>
      </w:tr>
      <w:tr w:rsidR="006F38DF" w:rsidRPr="00F76596" w14:paraId="3A3AB405" w14:textId="77777777" w:rsidTr="00C26EA8">
        <w:trPr>
          <w:cantSplit/>
        </w:trPr>
        <w:tc>
          <w:tcPr>
            <w:tcW w:w="851" w:type="dxa"/>
          </w:tcPr>
          <w:p w14:paraId="3C6EA1EE" w14:textId="77777777" w:rsidR="006F38DF" w:rsidRPr="00F76596" w:rsidRDefault="006F38DF" w:rsidP="00BE32EF">
            <w:pPr>
              <w:pStyle w:val="tabletext"/>
            </w:pPr>
            <w:r w:rsidRPr="00F76596">
              <w:t>5</w:t>
            </w:r>
          </w:p>
        </w:tc>
        <w:tc>
          <w:tcPr>
            <w:tcW w:w="2104" w:type="dxa"/>
          </w:tcPr>
          <w:p w14:paraId="7B4709C3" w14:textId="77777777" w:rsidR="006F38DF" w:rsidRPr="00F76596" w:rsidRDefault="006F38DF" w:rsidP="00BE32EF">
            <w:pPr>
              <w:pStyle w:val="tabletext"/>
            </w:pPr>
            <w:r w:rsidRPr="00F76596">
              <w:t>Payer (fixed rate)</w:t>
            </w:r>
          </w:p>
        </w:tc>
        <w:tc>
          <w:tcPr>
            <w:tcW w:w="5375" w:type="dxa"/>
          </w:tcPr>
          <w:p w14:paraId="6F4E8A07" w14:textId="77777777" w:rsidR="008800C3" w:rsidRPr="00F76596" w:rsidRDefault="008800C3" w:rsidP="008800C3">
            <w:pPr>
              <w:pStyle w:val="tabletext"/>
            </w:pPr>
            <w:r w:rsidRPr="00F76596">
              <w:t>An identifier of the counterparty that pays the fixed rate, using:</w:t>
            </w:r>
          </w:p>
          <w:p w14:paraId="3312290D" w14:textId="77777777" w:rsidR="008800C3" w:rsidRPr="00F76596" w:rsidRDefault="008800C3" w:rsidP="009676FB">
            <w:pPr>
              <w:pStyle w:val="tabletext"/>
              <w:numPr>
                <w:ilvl w:val="0"/>
                <w:numId w:val="47"/>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w:t>
            </w:r>
          </w:p>
          <w:p w14:paraId="5ABDB0F6" w14:textId="77777777" w:rsidR="006F38DF" w:rsidRPr="00F76596" w:rsidRDefault="008800C3" w:rsidP="004043B2">
            <w:pPr>
              <w:pStyle w:val="tabletext"/>
              <w:numPr>
                <w:ilvl w:val="0"/>
                <w:numId w:val="47"/>
              </w:numPr>
            </w:pPr>
            <w:r w:rsidRPr="00F76596">
              <w:t>or, in the case of an individual, a client code assigned by the Reporting Counterparty</w:t>
            </w:r>
            <w:r w:rsidR="002C25C5" w:rsidRPr="00F76596">
              <w:t>.</w:t>
            </w:r>
          </w:p>
        </w:tc>
      </w:tr>
      <w:tr w:rsidR="006F38DF" w:rsidRPr="00F76596" w14:paraId="2A0D0011" w14:textId="77777777" w:rsidTr="00C26EA8">
        <w:trPr>
          <w:cantSplit/>
        </w:trPr>
        <w:tc>
          <w:tcPr>
            <w:tcW w:w="851" w:type="dxa"/>
          </w:tcPr>
          <w:p w14:paraId="7918F7CF" w14:textId="77777777" w:rsidR="006F38DF" w:rsidRPr="00F76596" w:rsidRDefault="006F38DF" w:rsidP="00BE32EF">
            <w:pPr>
              <w:pStyle w:val="tabletext"/>
            </w:pPr>
            <w:r w:rsidRPr="00F76596">
              <w:t>6</w:t>
            </w:r>
          </w:p>
        </w:tc>
        <w:tc>
          <w:tcPr>
            <w:tcW w:w="2104" w:type="dxa"/>
          </w:tcPr>
          <w:p w14:paraId="4DE7B1CA" w14:textId="77777777" w:rsidR="006F38DF" w:rsidRPr="00F76596" w:rsidRDefault="006F38DF" w:rsidP="00BE32EF">
            <w:pPr>
              <w:pStyle w:val="tabletext"/>
            </w:pPr>
            <w:r w:rsidRPr="00F76596">
              <w:t>Name of payer (fixed rate)</w:t>
            </w:r>
          </w:p>
        </w:tc>
        <w:tc>
          <w:tcPr>
            <w:tcW w:w="5375" w:type="dxa"/>
          </w:tcPr>
          <w:p w14:paraId="4C9C7A4F" w14:textId="77777777" w:rsidR="006F38DF" w:rsidRPr="00F76596" w:rsidRDefault="005F5CBB" w:rsidP="00BE32EF">
            <w:pPr>
              <w:pStyle w:val="tabletext"/>
            </w:pPr>
            <w:r w:rsidRPr="00F76596">
              <w:t>The legal name of the payer (fixed rate)</w:t>
            </w:r>
            <w:r w:rsidR="00612E72" w:rsidRPr="00F76596">
              <w:t xml:space="preserve"> identified under item 5</w:t>
            </w:r>
            <w:r w:rsidRPr="00F76596">
              <w:t>.</w:t>
            </w:r>
          </w:p>
        </w:tc>
      </w:tr>
      <w:tr w:rsidR="006F38DF" w:rsidRPr="00F76596" w14:paraId="4533625E" w14:textId="77777777" w:rsidTr="00C26EA8">
        <w:trPr>
          <w:cantSplit/>
        </w:trPr>
        <w:tc>
          <w:tcPr>
            <w:tcW w:w="851" w:type="dxa"/>
          </w:tcPr>
          <w:p w14:paraId="4FC85E12" w14:textId="77777777" w:rsidR="006F38DF" w:rsidRPr="00F76596" w:rsidRDefault="006F38DF" w:rsidP="00BE32EF">
            <w:pPr>
              <w:pStyle w:val="tabletext"/>
            </w:pPr>
            <w:r w:rsidRPr="00F76596">
              <w:lastRenderedPageBreak/>
              <w:t>7</w:t>
            </w:r>
          </w:p>
        </w:tc>
        <w:tc>
          <w:tcPr>
            <w:tcW w:w="2104" w:type="dxa"/>
          </w:tcPr>
          <w:p w14:paraId="54CDC6D5" w14:textId="77777777" w:rsidR="006F38DF" w:rsidRPr="00F76596" w:rsidRDefault="006F38DF" w:rsidP="00BE32EF">
            <w:pPr>
              <w:pStyle w:val="tabletext"/>
            </w:pPr>
            <w:r w:rsidRPr="00F76596">
              <w:t>Payer (floating rate leg 1)</w:t>
            </w:r>
          </w:p>
        </w:tc>
        <w:tc>
          <w:tcPr>
            <w:tcW w:w="5375" w:type="dxa"/>
          </w:tcPr>
          <w:p w14:paraId="7551C19A" w14:textId="77777777" w:rsidR="0064694F" w:rsidRPr="00F76596" w:rsidRDefault="0064694F" w:rsidP="0064694F">
            <w:pPr>
              <w:pStyle w:val="tabletext"/>
            </w:pPr>
            <w:r w:rsidRPr="00F76596">
              <w:t>The identifier of the counterparty that pays the floating rate leg 1, using:</w:t>
            </w:r>
          </w:p>
          <w:p w14:paraId="5C7D242F" w14:textId="77777777" w:rsidR="0064694F" w:rsidRPr="00F76596" w:rsidRDefault="0064694F" w:rsidP="009676FB">
            <w:pPr>
              <w:pStyle w:val="tabletext"/>
              <w:numPr>
                <w:ilvl w:val="0"/>
                <w:numId w:val="48"/>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14:paraId="47E20700" w14:textId="77777777" w:rsidR="006F38DF" w:rsidRPr="00F76596" w:rsidRDefault="0064694F" w:rsidP="004043B2">
            <w:pPr>
              <w:pStyle w:val="tabletext"/>
              <w:numPr>
                <w:ilvl w:val="0"/>
                <w:numId w:val="48"/>
              </w:numPr>
            </w:pPr>
            <w:r w:rsidRPr="00F76596">
              <w:t>in the case of an individual, a client code assigned by the Reporting Counterparty.</w:t>
            </w:r>
          </w:p>
        </w:tc>
      </w:tr>
      <w:tr w:rsidR="006F38DF" w:rsidRPr="00F76596" w14:paraId="2080600D" w14:textId="77777777" w:rsidTr="00C26EA8">
        <w:trPr>
          <w:cantSplit/>
        </w:trPr>
        <w:tc>
          <w:tcPr>
            <w:tcW w:w="851" w:type="dxa"/>
          </w:tcPr>
          <w:p w14:paraId="5F51820B" w14:textId="77777777" w:rsidR="006F38DF" w:rsidRPr="00F76596" w:rsidRDefault="006F38DF" w:rsidP="00BE32EF">
            <w:pPr>
              <w:pStyle w:val="tabletext"/>
            </w:pPr>
            <w:r w:rsidRPr="00F76596">
              <w:t>8</w:t>
            </w:r>
          </w:p>
        </w:tc>
        <w:tc>
          <w:tcPr>
            <w:tcW w:w="2104" w:type="dxa"/>
          </w:tcPr>
          <w:p w14:paraId="54F6CE4A" w14:textId="77777777" w:rsidR="006F38DF" w:rsidRPr="00F76596" w:rsidRDefault="006F38DF" w:rsidP="00BE32EF">
            <w:pPr>
              <w:pStyle w:val="tabletext"/>
            </w:pPr>
            <w:r w:rsidRPr="00F76596">
              <w:t>Name of payer (floating rate leg 1)</w:t>
            </w:r>
          </w:p>
        </w:tc>
        <w:tc>
          <w:tcPr>
            <w:tcW w:w="5375" w:type="dxa"/>
          </w:tcPr>
          <w:p w14:paraId="1B54D51C" w14:textId="77777777" w:rsidR="006F38DF" w:rsidRPr="00F76596" w:rsidRDefault="00181054" w:rsidP="00181054">
            <w:pPr>
              <w:pStyle w:val="tabletext"/>
            </w:pPr>
            <w:r w:rsidRPr="00F76596">
              <w:t>The legal name of the payer (floating rate leg 1) identified under item 7.</w:t>
            </w:r>
          </w:p>
        </w:tc>
      </w:tr>
      <w:tr w:rsidR="006F38DF" w:rsidRPr="00F76596" w14:paraId="0A7942D2" w14:textId="77777777" w:rsidTr="00C26EA8">
        <w:trPr>
          <w:cantSplit/>
        </w:trPr>
        <w:tc>
          <w:tcPr>
            <w:tcW w:w="851" w:type="dxa"/>
          </w:tcPr>
          <w:p w14:paraId="77F19422" w14:textId="77777777" w:rsidR="006F38DF" w:rsidRPr="00F76596" w:rsidRDefault="006F38DF" w:rsidP="00BE32EF">
            <w:pPr>
              <w:pStyle w:val="tabletext"/>
            </w:pPr>
            <w:r w:rsidRPr="00F76596">
              <w:t>9</w:t>
            </w:r>
          </w:p>
        </w:tc>
        <w:tc>
          <w:tcPr>
            <w:tcW w:w="2104" w:type="dxa"/>
          </w:tcPr>
          <w:p w14:paraId="09CCCC26" w14:textId="77777777" w:rsidR="006F38DF" w:rsidRPr="00F76596" w:rsidRDefault="006F38DF" w:rsidP="00BE32EF">
            <w:pPr>
              <w:pStyle w:val="tabletext"/>
            </w:pPr>
            <w:r w:rsidRPr="00F76596">
              <w:t>Payer (floating rate leg 2)</w:t>
            </w:r>
          </w:p>
        </w:tc>
        <w:tc>
          <w:tcPr>
            <w:tcW w:w="5375" w:type="dxa"/>
          </w:tcPr>
          <w:p w14:paraId="10C08195" w14:textId="77777777" w:rsidR="00A45BB1" w:rsidRPr="00F76596" w:rsidRDefault="00A45BB1" w:rsidP="00A45BB1">
            <w:pPr>
              <w:pStyle w:val="tabletext"/>
            </w:pPr>
            <w:r w:rsidRPr="00F76596">
              <w:t>The identifier of the counterparty that pays the floating rate leg 2, using:</w:t>
            </w:r>
          </w:p>
          <w:p w14:paraId="4437F850" w14:textId="77777777" w:rsidR="00A45BB1" w:rsidRPr="00F76596" w:rsidRDefault="00A45BB1" w:rsidP="009676FB">
            <w:pPr>
              <w:pStyle w:val="tabletext"/>
              <w:numPr>
                <w:ilvl w:val="0"/>
                <w:numId w:val="49"/>
              </w:numPr>
            </w:pPr>
            <w:r w:rsidRPr="00F76596">
              <w:t xml:space="preserve">in the case of an entity, a Legal Entity Identifier (LEI) or interim entity identifier, or if no LEI or interim entity identifier is available for the entity, </w:t>
            </w:r>
            <w:r w:rsidR="009676FB" w:rsidRPr="009676FB">
              <w:t>a Designated Business Identifier or, if no Designated Business Identifier is available</w:t>
            </w:r>
            <w:r w:rsidR="000475A0" w:rsidRPr="00F76596">
              <w:t>, a Business Identifier Code (BIC code)</w:t>
            </w:r>
            <w:r w:rsidRPr="00F76596">
              <w:t>; or</w:t>
            </w:r>
          </w:p>
          <w:p w14:paraId="323DDDF8" w14:textId="77777777" w:rsidR="006F38DF" w:rsidRPr="00F76596" w:rsidRDefault="00A45BB1" w:rsidP="00BC04BC">
            <w:pPr>
              <w:pStyle w:val="tabletext"/>
              <w:numPr>
                <w:ilvl w:val="0"/>
                <w:numId w:val="49"/>
              </w:numPr>
            </w:pPr>
            <w:r w:rsidRPr="00F76596">
              <w:t>in the case of an individual, a client code assigned by the Reporting Counterparty</w:t>
            </w:r>
          </w:p>
        </w:tc>
      </w:tr>
      <w:tr w:rsidR="006F38DF" w:rsidRPr="00F76596" w14:paraId="79DEB400" w14:textId="77777777" w:rsidTr="00C26EA8">
        <w:trPr>
          <w:cantSplit/>
        </w:trPr>
        <w:tc>
          <w:tcPr>
            <w:tcW w:w="851" w:type="dxa"/>
          </w:tcPr>
          <w:p w14:paraId="69052FF4" w14:textId="77777777" w:rsidR="006F38DF" w:rsidRPr="00F76596" w:rsidRDefault="006F38DF" w:rsidP="00BE32EF">
            <w:pPr>
              <w:pStyle w:val="tabletext"/>
            </w:pPr>
            <w:r w:rsidRPr="00F76596">
              <w:t>10</w:t>
            </w:r>
          </w:p>
        </w:tc>
        <w:tc>
          <w:tcPr>
            <w:tcW w:w="2104" w:type="dxa"/>
          </w:tcPr>
          <w:p w14:paraId="070D904A" w14:textId="77777777" w:rsidR="006F38DF" w:rsidRPr="00F76596" w:rsidRDefault="006F38DF" w:rsidP="00BE32EF">
            <w:pPr>
              <w:pStyle w:val="tabletext"/>
            </w:pPr>
            <w:r w:rsidRPr="00F76596">
              <w:t>Name of payer (floating rate leg 2)</w:t>
            </w:r>
          </w:p>
        </w:tc>
        <w:tc>
          <w:tcPr>
            <w:tcW w:w="5375" w:type="dxa"/>
          </w:tcPr>
          <w:p w14:paraId="2E6528E5" w14:textId="77777777" w:rsidR="006F38DF" w:rsidRPr="00F76596" w:rsidRDefault="00260756" w:rsidP="00BE32EF">
            <w:pPr>
              <w:pStyle w:val="tabletext"/>
            </w:pPr>
            <w:r w:rsidRPr="00F76596">
              <w:t>The legal name of the payer (floating rate leg 2) identified under item 9.</w:t>
            </w:r>
          </w:p>
        </w:tc>
      </w:tr>
      <w:tr w:rsidR="006F38DF" w:rsidRPr="00F76596" w14:paraId="22A0E9CA" w14:textId="77777777" w:rsidTr="00C26EA8">
        <w:trPr>
          <w:cantSplit/>
        </w:trPr>
        <w:tc>
          <w:tcPr>
            <w:tcW w:w="851" w:type="dxa"/>
          </w:tcPr>
          <w:p w14:paraId="6FAC69E5" w14:textId="77777777" w:rsidR="006F38DF" w:rsidRPr="00F76596" w:rsidRDefault="006F38DF" w:rsidP="00BE32EF">
            <w:pPr>
              <w:pStyle w:val="tabletext"/>
            </w:pPr>
            <w:r w:rsidRPr="00F76596">
              <w:t>11</w:t>
            </w:r>
          </w:p>
        </w:tc>
        <w:tc>
          <w:tcPr>
            <w:tcW w:w="2104" w:type="dxa"/>
          </w:tcPr>
          <w:p w14:paraId="446766CF" w14:textId="77777777" w:rsidR="006F38DF" w:rsidRPr="00F76596" w:rsidRDefault="006F38DF" w:rsidP="00BE32EF">
            <w:pPr>
              <w:pStyle w:val="tabletext"/>
            </w:pPr>
            <w:r w:rsidRPr="00F76596">
              <w:t xml:space="preserve">Direction </w:t>
            </w:r>
          </w:p>
        </w:tc>
        <w:tc>
          <w:tcPr>
            <w:tcW w:w="5375" w:type="dxa"/>
          </w:tcPr>
          <w:p w14:paraId="4DDFED56" w14:textId="77777777" w:rsidR="006F38DF" w:rsidRPr="00F76596" w:rsidRDefault="002D4987" w:rsidP="002D4987">
            <w:pPr>
              <w:pStyle w:val="tabletext"/>
            </w:pPr>
            <w:r w:rsidRPr="00F76596">
              <w:t>A notation to indicate whether the Reporting Counterparty is paying or receiving the fixed rate.</w:t>
            </w:r>
          </w:p>
        </w:tc>
      </w:tr>
      <w:tr w:rsidR="006F38DF" w:rsidRPr="00F76596" w14:paraId="3022CAE4" w14:textId="77777777" w:rsidTr="00C26EA8">
        <w:trPr>
          <w:cantSplit/>
        </w:trPr>
        <w:tc>
          <w:tcPr>
            <w:tcW w:w="851" w:type="dxa"/>
          </w:tcPr>
          <w:p w14:paraId="1235B34B" w14:textId="77777777" w:rsidR="006F38DF" w:rsidRPr="00F76596" w:rsidRDefault="006F38DF" w:rsidP="00BE32EF">
            <w:pPr>
              <w:pStyle w:val="tabletext"/>
            </w:pPr>
            <w:r w:rsidRPr="00F76596">
              <w:t>12</w:t>
            </w:r>
          </w:p>
        </w:tc>
        <w:tc>
          <w:tcPr>
            <w:tcW w:w="2104" w:type="dxa"/>
          </w:tcPr>
          <w:p w14:paraId="312BED9C" w14:textId="77777777" w:rsidR="006F38DF" w:rsidRPr="00F76596" w:rsidRDefault="006F38DF" w:rsidP="00BE32EF">
            <w:pPr>
              <w:pStyle w:val="tabletext"/>
            </w:pPr>
            <w:r w:rsidRPr="00F76596">
              <w:t>Fixed rate</w:t>
            </w:r>
          </w:p>
        </w:tc>
        <w:tc>
          <w:tcPr>
            <w:tcW w:w="5375" w:type="dxa"/>
            <w:vAlign w:val="bottom"/>
          </w:tcPr>
          <w:p w14:paraId="7D473756" w14:textId="77777777" w:rsidR="006F38DF" w:rsidRPr="00F76596" w:rsidRDefault="002D5EE0" w:rsidP="009C4057">
            <w:pPr>
              <w:pStyle w:val="tabletext"/>
            </w:pPr>
            <w:r w:rsidRPr="00F76596">
              <w:t>A notation to indicate the fixed rate used</w:t>
            </w:r>
          </w:p>
        </w:tc>
      </w:tr>
      <w:tr w:rsidR="006F38DF" w:rsidRPr="00F76596" w14:paraId="7028D4DD" w14:textId="77777777" w:rsidTr="00C26EA8">
        <w:trPr>
          <w:cantSplit/>
        </w:trPr>
        <w:tc>
          <w:tcPr>
            <w:tcW w:w="851" w:type="dxa"/>
          </w:tcPr>
          <w:p w14:paraId="41CE4EFD" w14:textId="77777777" w:rsidR="006F38DF" w:rsidRPr="00F76596" w:rsidRDefault="006F38DF" w:rsidP="00BE32EF">
            <w:pPr>
              <w:pStyle w:val="tabletext"/>
            </w:pPr>
            <w:r w:rsidRPr="00F76596">
              <w:t>13</w:t>
            </w:r>
          </w:p>
        </w:tc>
        <w:tc>
          <w:tcPr>
            <w:tcW w:w="2104" w:type="dxa"/>
          </w:tcPr>
          <w:p w14:paraId="22B928A9" w14:textId="77777777" w:rsidR="006F38DF" w:rsidRPr="00F76596" w:rsidRDefault="006F38DF" w:rsidP="00CB66CB">
            <w:pPr>
              <w:pStyle w:val="tabletext"/>
            </w:pPr>
            <w:r w:rsidRPr="00F76596">
              <w:t>Fixed rate day count fraction</w:t>
            </w:r>
          </w:p>
        </w:tc>
        <w:tc>
          <w:tcPr>
            <w:tcW w:w="5375" w:type="dxa"/>
          </w:tcPr>
          <w:p w14:paraId="3459B2B0" w14:textId="77777777" w:rsidR="006F38DF" w:rsidRPr="00F76596" w:rsidRDefault="005B6CF8" w:rsidP="00BE32EF">
            <w:pPr>
              <w:pStyle w:val="tabletext"/>
            </w:pPr>
            <w:r w:rsidRPr="00F76596">
              <w:t>The actual number of days in the relevant fixed rate payer calculation period.</w:t>
            </w:r>
          </w:p>
        </w:tc>
      </w:tr>
      <w:tr w:rsidR="006F38DF" w:rsidRPr="00F76596" w14:paraId="70FA549F" w14:textId="77777777" w:rsidTr="00C26EA8">
        <w:trPr>
          <w:cantSplit/>
        </w:trPr>
        <w:tc>
          <w:tcPr>
            <w:tcW w:w="851" w:type="dxa"/>
          </w:tcPr>
          <w:p w14:paraId="697B14B3" w14:textId="77777777" w:rsidR="006F38DF" w:rsidRPr="00F76596" w:rsidRDefault="006F38DF" w:rsidP="00BE32EF">
            <w:pPr>
              <w:pStyle w:val="tabletext"/>
            </w:pPr>
            <w:r w:rsidRPr="00F76596">
              <w:t>14</w:t>
            </w:r>
          </w:p>
        </w:tc>
        <w:tc>
          <w:tcPr>
            <w:tcW w:w="2104" w:type="dxa"/>
          </w:tcPr>
          <w:p w14:paraId="31D5FEF4" w14:textId="77777777" w:rsidR="006F38DF" w:rsidRPr="00F76596" w:rsidRDefault="006F38DF" w:rsidP="00757692">
            <w:pPr>
              <w:pStyle w:val="tabletext"/>
            </w:pPr>
            <w:r w:rsidRPr="00F76596">
              <w:t>Fixed leg payment frequency</w:t>
            </w:r>
          </w:p>
        </w:tc>
        <w:tc>
          <w:tcPr>
            <w:tcW w:w="5375" w:type="dxa"/>
          </w:tcPr>
          <w:p w14:paraId="79A2AE01" w14:textId="77777777" w:rsidR="006F38DF" w:rsidRPr="00F76596" w:rsidRDefault="00757692" w:rsidP="00757692">
            <w:pPr>
              <w:pStyle w:val="tabletext"/>
            </w:pPr>
            <w:r w:rsidRPr="00F76596">
              <w:t>For the fixed rate leg, the dates on, or frequency with which, the agreement executed in relation to the Derivative to which the Reportable Position relates requires payments to be made.</w:t>
            </w:r>
          </w:p>
        </w:tc>
      </w:tr>
      <w:tr w:rsidR="006F38DF" w:rsidRPr="00F76596" w14:paraId="3D91C50F" w14:textId="77777777" w:rsidTr="00C26EA8">
        <w:trPr>
          <w:cantSplit/>
        </w:trPr>
        <w:tc>
          <w:tcPr>
            <w:tcW w:w="851" w:type="dxa"/>
          </w:tcPr>
          <w:p w14:paraId="4E8D4621" w14:textId="77777777" w:rsidR="006F38DF" w:rsidRPr="00F76596" w:rsidRDefault="006F38DF" w:rsidP="00BE32EF">
            <w:pPr>
              <w:pStyle w:val="tabletext"/>
            </w:pPr>
            <w:r w:rsidRPr="00F76596">
              <w:t>15</w:t>
            </w:r>
          </w:p>
        </w:tc>
        <w:tc>
          <w:tcPr>
            <w:tcW w:w="2104" w:type="dxa"/>
          </w:tcPr>
          <w:p w14:paraId="1CC84F42" w14:textId="77777777" w:rsidR="006F38DF" w:rsidRPr="00F76596" w:rsidRDefault="006F38DF" w:rsidP="00C82330">
            <w:pPr>
              <w:pStyle w:val="tabletext"/>
            </w:pPr>
            <w:r w:rsidRPr="00F76596">
              <w:t>Floating rate payment frequency</w:t>
            </w:r>
          </w:p>
        </w:tc>
        <w:tc>
          <w:tcPr>
            <w:tcW w:w="5375" w:type="dxa"/>
          </w:tcPr>
          <w:p w14:paraId="4B9566B3" w14:textId="77777777" w:rsidR="006F38DF" w:rsidRPr="00F76596" w:rsidRDefault="00C82330" w:rsidP="00C13644">
            <w:pPr>
              <w:pStyle w:val="tabletext"/>
            </w:pPr>
            <w:r w:rsidRPr="00F76596">
              <w:t xml:space="preserve">For the floating rate leg, the dates on, or frequency with which, the agreement executed in relation to the Derivative to which the Reportable </w:t>
            </w:r>
            <w:r w:rsidR="00C13644" w:rsidRPr="00F76596">
              <w:t>Position</w:t>
            </w:r>
            <w:r w:rsidRPr="00F76596">
              <w:t xml:space="preserve"> relates requires payments to be made.</w:t>
            </w:r>
          </w:p>
        </w:tc>
      </w:tr>
      <w:tr w:rsidR="006F38DF" w:rsidRPr="00F76596" w14:paraId="26AF9A20" w14:textId="77777777" w:rsidTr="00C26EA8">
        <w:trPr>
          <w:cantSplit/>
        </w:trPr>
        <w:tc>
          <w:tcPr>
            <w:tcW w:w="851" w:type="dxa"/>
          </w:tcPr>
          <w:p w14:paraId="1C4196BC" w14:textId="77777777" w:rsidR="006F38DF" w:rsidRPr="00F76596" w:rsidRDefault="0068619E" w:rsidP="0068619E">
            <w:pPr>
              <w:pStyle w:val="tabletext"/>
            </w:pPr>
            <w:r w:rsidRPr="00F76596">
              <w:t>16</w:t>
            </w:r>
          </w:p>
        </w:tc>
        <w:tc>
          <w:tcPr>
            <w:tcW w:w="2104" w:type="dxa"/>
          </w:tcPr>
          <w:p w14:paraId="1B406C50" w14:textId="77777777" w:rsidR="006F38DF" w:rsidRPr="00F76596" w:rsidRDefault="006F38DF" w:rsidP="00210F10">
            <w:pPr>
              <w:pStyle w:val="tabletext"/>
            </w:pPr>
            <w:r w:rsidRPr="00F76596">
              <w:t>Floating rate index name (leg 1)</w:t>
            </w:r>
          </w:p>
        </w:tc>
        <w:tc>
          <w:tcPr>
            <w:tcW w:w="5375" w:type="dxa"/>
          </w:tcPr>
          <w:p w14:paraId="1187ED84" w14:textId="77777777" w:rsidR="006F38DF" w:rsidRPr="00F76596" w:rsidRDefault="008E3D15" w:rsidP="008E3D15">
            <w:pPr>
              <w:pStyle w:val="tabletext"/>
            </w:pPr>
            <w:r w:rsidRPr="00F76596">
              <w:t>For floating rate leg 1, the name of the rate used to determine the payment amount at predetermined intervals.</w:t>
            </w:r>
          </w:p>
        </w:tc>
      </w:tr>
      <w:tr w:rsidR="006F38DF" w:rsidRPr="00F76596" w14:paraId="66E4AE8B" w14:textId="77777777" w:rsidTr="00C26EA8">
        <w:trPr>
          <w:cantSplit/>
        </w:trPr>
        <w:tc>
          <w:tcPr>
            <w:tcW w:w="851" w:type="dxa"/>
          </w:tcPr>
          <w:p w14:paraId="39B887CE" w14:textId="77777777" w:rsidR="006F38DF" w:rsidRPr="00F76596" w:rsidRDefault="0068619E" w:rsidP="0068619E">
            <w:pPr>
              <w:pStyle w:val="tabletext"/>
            </w:pPr>
            <w:r w:rsidRPr="00F76596">
              <w:t>17</w:t>
            </w:r>
          </w:p>
        </w:tc>
        <w:tc>
          <w:tcPr>
            <w:tcW w:w="2104" w:type="dxa"/>
          </w:tcPr>
          <w:p w14:paraId="773EBCEE" w14:textId="77777777" w:rsidR="006F38DF" w:rsidRPr="00F76596" w:rsidRDefault="006F38DF" w:rsidP="00210F10">
            <w:pPr>
              <w:pStyle w:val="tabletext"/>
            </w:pPr>
            <w:r w:rsidRPr="00F76596">
              <w:t>Floating rate index name (leg 2)</w:t>
            </w:r>
          </w:p>
        </w:tc>
        <w:tc>
          <w:tcPr>
            <w:tcW w:w="5375" w:type="dxa"/>
          </w:tcPr>
          <w:p w14:paraId="3CE2E129" w14:textId="77777777" w:rsidR="006F38DF" w:rsidRPr="00F76596" w:rsidRDefault="00BE1E87" w:rsidP="00BE1E87">
            <w:pPr>
              <w:pStyle w:val="tabletext"/>
            </w:pPr>
            <w:r w:rsidRPr="00F76596">
              <w:t>For floating rate leg 2, the name of the rate used to determine the payment amount at predetermined intervals.</w:t>
            </w:r>
          </w:p>
        </w:tc>
      </w:tr>
      <w:tr w:rsidR="0068619E" w:rsidRPr="005B21BB" w14:paraId="0F890630" w14:textId="77777777" w:rsidTr="00C26EA8">
        <w:trPr>
          <w:cantSplit/>
        </w:trPr>
        <w:tc>
          <w:tcPr>
            <w:tcW w:w="851" w:type="dxa"/>
          </w:tcPr>
          <w:p w14:paraId="6E0903BA" w14:textId="77777777" w:rsidR="0068619E" w:rsidRPr="00F76596" w:rsidRDefault="0068619E" w:rsidP="00BE32EF">
            <w:pPr>
              <w:pStyle w:val="tabletext"/>
            </w:pPr>
            <w:r w:rsidRPr="00F76596">
              <w:t>18</w:t>
            </w:r>
          </w:p>
        </w:tc>
        <w:tc>
          <w:tcPr>
            <w:tcW w:w="2104" w:type="dxa"/>
            <w:vAlign w:val="bottom"/>
          </w:tcPr>
          <w:p w14:paraId="6AE0F2B9" w14:textId="77777777" w:rsidR="0068619E" w:rsidRPr="00F76596" w:rsidRDefault="0068619E" w:rsidP="00210F10">
            <w:pPr>
              <w:pStyle w:val="tabletext"/>
            </w:pPr>
            <w:r w:rsidRPr="00F76596">
              <w:t>Floating rate reset frequency</w:t>
            </w:r>
          </w:p>
        </w:tc>
        <w:tc>
          <w:tcPr>
            <w:tcW w:w="5375" w:type="dxa"/>
          </w:tcPr>
          <w:p w14:paraId="52CCA2A9" w14:textId="136190A3" w:rsidR="00ED6F23" w:rsidRPr="00BE1E87" w:rsidRDefault="0068619E" w:rsidP="0068619E">
            <w:pPr>
              <w:pStyle w:val="tabletext"/>
            </w:pPr>
            <w:r w:rsidRPr="00F76596">
              <w:t>The dates on, or frequency with which, the interest rate is reset by reference to the rates identified under items 16 and 17.</w:t>
            </w:r>
          </w:p>
        </w:tc>
      </w:tr>
    </w:tbl>
    <w:p w14:paraId="641A8DBC" w14:textId="77777777" w:rsidR="00764091" w:rsidRPr="005B21BB" w:rsidRDefault="00764091" w:rsidP="00ED6F23">
      <w:pPr>
        <w:pStyle w:val="MIRBodyText"/>
      </w:pPr>
    </w:p>
    <w:sectPr w:rsidR="00764091" w:rsidRPr="005B21BB" w:rsidSect="00FA14E1">
      <w:headerReference w:type="default" r:id="rId29"/>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DD16" w14:textId="77777777" w:rsidR="005E57B5" w:rsidRDefault="005E57B5">
      <w:r>
        <w:separator/>
      </w:r>
    </w:p>
    <w:p w14:paraId="0C499F3D" w14:textId="77777777" w:rsidR="005E57B5" w:rsidRDefault="005E57B5"/>
  </w:endnote>
  <w:endnote w:type="continuationSeparator" w:id="0">
    <w:p w14:paraId="53A7946F" w14:textId="77777777" w:rsidR="005E57B5" w:rsidRDefault="005E57B5">
      <w:r>
        <w:continuationSeparator/>
      </w:r>
    </w:p>
    <w:p w14:paraId="5EF64DF3" w14:textId="77777777" w:rsidR="005E57B5" w:rsidRDefault="005E57B5"/>
  </w:endnote>
  <w:endnote w:type="continuationNotice" w:id="1">
    <w:p w14:paraId="267E0BBC" w14:textId="77777777" w:rsidR="005E57B5" w:rsidRDefault="005E57B5">
      <w:pPr>
        <w:spacing w:after="0"/>
      </w:pPr>
    </w:p>
    <w:p w14:paraId="4C94F1BB" w14:textId="77777777" w:rsidR="005E57B5" w:rsidRDefault="005E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837" w14:textId="77777777" w:rsidR="00506750" w:rsidRDefault="00506750"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noProof/>
        <w:color w:val="117DC7"/>
      </w:rPr>
      <w:t>19</w:t>
    </w:r>
    <w:r w:rsidRPr="00FE43C9">
      <w:rPr>
        <w:color w:val="117DC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8C08" w14:textId="77777777" w:rsidR="00506750" w:rsidRDefault="00506750" w:rsidP="00FE43C9">
    <w:pPr>
      <w:pStyle w:val="Footer"/>
      <w:pBdr>
        <w:top w:val="single" w:sz="4" w:space="1" w:color="117DC7"/>
      </w:pBd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noProof/>
        <w:color w:val="117DC7"/>
      </w:rPr>
      <w:t>1</w:t>
    </w:r>
    <w:r w:rsidRPr="00FE43C9">
      <w:rP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B177" w14:textId="77777777" w:rsidR="00506750" w:rsidRDefault="00506750" w:rsidP="00E04478">
    <w:pPr>
      <w:pStyle w:val="Footer"/>
      <w:pBdr>
        <w:top w:val="single" w:sz="4" w:space="1" w:color="117DC7"/>
      </w:pBdr>
      <w:rPr>
        <w:b/>
        <w:color w:val="117DC7"/>
      </w:rPr>
    </w:pPr>
    <w:r>
      <w:rPr>
        <w:color w:val="117DC7"/>
      </w:rPr>
      <w:tab/>
    </w:r>
    <w:r>
      <w:rPr>
        <w:color w:val="117DC7"/>
      </w:rPr>
      <w:ptab w:relativeTo="margin" w:alignment="right" w:leader="none"/>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noProof/>
        <w:color w:val="117DC7"/>
      </w:rPr>
      <w:t>21</w:t>
    </w:r>
    <w:r w:rsidRPr="00FE43C9">
      <w:rPr>
        <w:color w:val="117DC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55D5" w14:textId="77777777" w:rsidR="00506750" w:rsidRDefault="00506750" w:rsidP="00924FC3">
    <w:pPr>
      <w:pStyle w:val="Footer"/>
      <w:pBdr>
        <w:top w:val="single" w:sz="4" w:space="1" w:color="117DC7"/>
      </w:pBdr>
      <w:tabs>
        <w:tab w:val="clear" w:pos="9070"/>
        <w:tab w:val="right" w:pos="9072"/>
        <w:tab w:val="right" w:pos="13750"/>
      </w:tabs>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noProof/>
        <w:color w:val="117DC7"/>
      </w:rPr>
      <w:t>22</w:t>
    </w:r>
    <w:r w:rsidRPr="00FE43C9">
      <w:rPr>
        <w:color w:val="117DC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3D7E" w14:textId="77777777" w:rsidR="00506750" w:rsidRDefault="00506750" w:rsidP="00777A2D">
    <w:pPr>
      <w:pStyle w:val="Footer"/>
      <w:pBdr>
        <w:top w:val="single" w:sz="4" w:space="1" w:color="117DC7"/>
      </w:pBdr>
      <w:tabs>
        <w:tab w:val="clear" w:pos="9070"/>
        <w:tab w:val="right" w:pos="13750"/>
      </w:tabs>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Pr>
        <w:b/>
        <w:noProof/>
        <w:color w:val="117DC7"/>
      </w:rPr>
      <w:t>24</w:t>
    </w:r>
    <w:r w:rsidRPr="00FE43C9">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3D42" w14:textId="77777777" w:rsidR="005E57B5" w:rsidRDefault="005E57B5">
      <w:r>
        <w:separator/>
      </w:r>
    </w:p>
    <w:p w14:paraId="3B11FA39" w14:textId="77777777" w:rsidR="005E57B5" w:rsidRDefault="005E57B5"/>
  </w:footnote>
  <w:footnote w:type="continuationSeparator" w:id="0">
    <w:p w14:paraId="4A7CF565" w14:textId="77777777" w:rsidR="005E57B5" w:rsidRDefault="005E57B5">
      <w:r>
        <w:continuationSeparator/>
      </w:r>
    </w:p>
    <w:p w14:paraId="36DEFDFB" w14:textId="77777777" w:rsidR="005E57B5" w:rsidRDefault="005E57B5"/>
  </w:footnote>
  <w:footnote w:type="continuationNotice" w:id="1">
    <w:p w14:paraId="72357FFF" w14:textId="77777777" w:rsidR="005E57B5" w:rsidRDefault="005E57B5">
      <w:pPr>
        <w:spacing w:after="0"/>
      </w:pPr>
    </w:p>
    <w:p w14:paraId="097C507A" w14:textId="77777777" w:rsidR="005E57B5" w:rsidRDefault="005E5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E7B3" w14:textId="77777777" w:rsidR="00506750" w:rsidRDefault="00506750" w:rsidP="008759DE">
    <w:pPr>
      <w:pStyle w:val="Header"/>
      <w:pBdr>
        <w:bottom w:val="none" w:sz="0" w:space="0" w:color="auto"/>
      </w:pBdr>
      <w:jc w:val="center"/>
      <w:rPr>
        <w:b/>
        <w:bCs/>
        <w:color w:val="C0C0C0"/>
        <w:sz w:val="48"/>
        <w:lang w:val="en-US"/>
      </w:rPr>
    </w:pPr>
  </w:p>
  <w:p w14:paraId="6D94AF8B" w14:textId="77777777" w:rsidR="00506750" w:rsidRPr="00774064" w:rsidRDefault="00506750" w:rsidP="008759D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0F82" w14:textId="77777777" w:rsidR="00506750" w:rsidRPr="003F134F" w:rsidRDefault="00506750" w:rsidP="00457AC6">
    <w:pPr>
      <w:pStyle w:val="Footer"/>
      <w:pBdr>
        <w:bottom w:val="single" w:sz="4" w:space="0" w:color="117DC7"/>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359D" w14:textId="261CC594" w:rsidR="00506750" w:rsidRPr="008E0C35" w:rsidRDefault="00506750" w:rsidP="0093204B">
    <w:pPr>
      <w:pStyle w:val="Footer"/>
      <w:pBdr>
        <w:bottom w:val="single" w:sz="4" w:space="1" w:color="117DC7"/>
      </w:pBdr>
      <w:rPr>
        <w:color w:val="117DC7"/>
      </w:rPr>
    </w:pPr>
    <w:r w:rsidRPr="0093204B">
      <w:rPr>
        <w:color w:val="117DC7"/>
      </w:rPr>
      <w:t>ASIC Derivative Transaction Rules (Reporting) 20</w:t>
    </w:r>
    <w:r>
      <w:rPr>
        <w:color w:val="117DC7"/>
      </w:rPr>
      <w:t>22</w:t>
    </w:r>
  </w:p>
  <w:p w14:paraId="0805EF25" w14:textId="77777777" w:rsidR="00506750" w:rsidRPr="00E0006B" w:rsidRDefault="00506750" w:rsidP="00333F5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EAB9" w14:textId="38D48AE5" w:rsidR="00506750" w:rsidRPr="008E0C35" w:rsidRDefault="00506750" w:rsidP="0097458E">
    <w:pPr>
      <w:pStyle w:val="Footer"/>
      <w:pBdr>
        <w:bottom w:val="single" w:sz="4" w:space="1" w:color="117DC7"/>
      </w:pBdr>
      <w:rPr>
        <w:color w:val="117DC7"/>
      </w:rPr>
    </w:pPr>
    <w:r w:rsidRPr="0093204B">
      <w:rPr>
        <w:color w:val="117DC7"/>
      </w:rPr>
      <w:t xml:space="preserve">ASIC Derivative Transaction Rules (Reporting) </w:t>
    </w:r>
    <w:r>
      <w:rPr>
        <w:color w:val="117DC7"/>
      </w:rPr>
      <w:t>2022</w:t>
    </w:r>
    <w:r>
      <w:rPr>
        <w:color w:val="117DC7"/>
      </w:rPr>
      <w:tab/>
      <w:t>Chapter 1: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C0F1" w14:textId="4CE13BA6" w:rsidR="00506750" w:rsidRPr="008E0C35" w:rsidRDefault="00506750" w:rsidP="0097458E">
    <w:pPr>
      <w:pStyle w:val="Footer"/>
      <w:pBdr>
        <w:bottom w:val="single" w:sz="4" w:space="1" w:color="117DC7"/>
      </w:pBdr>
      <w:rPr>
        <w:color w:val="117DC7"/>
      </w:rPr>
    </w:pPr>
    <w:r w:rsidRPr="0093204B">
      <w:rPr>
        <w:color w:val="117DC7"/>
      </w:rPr>
      <w:t xml:space="preserve">ASIC Derivative Transaction Rules (Reporting) </w:t>
    </w:r>
    <w:r>
      <w:rPr>
        <w:color w:val="117DC7"/>
      </w:rPr>
      <w:t>2022</w:t>
    </w:r>
    <w:r>
      <w:rPr>
        <w:color w:val="117DC7"/>
      </w:rPr>
      <w:tab/>
      <w:t>Chapter 2: Reporting requirements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BAA4" w14:textId="77BA1B94" w:rsidR="00506750" w:rsidRPr="008E0C35" w:rsidRDefault="00506750" w:rsidP="0097458E">
    <w:pPr>
      <w:pStyle w:val="Footer"/>
      <w:pBdr>
        <w:bottom w:val="single" w:sz="4" w:space="1" w:color="117DC7"/>
      </w:pBdr>
      <w:rPr>
        <w:color w:val="117DC7"/>
      </w:rPr>
    </w:pPr>
    <w:r w:rsidRPr="0093204B">
      <w:rPr>
        <w:color w:val="117DC7"/>
      </w:rPr>
      <w:t xml:space="preserve">ASIC Derivative Transaction Rules (Reporting) </w:t>
    </w:r>
    <w:r>
      <w:rPr>
        <w:color w:val="117DC7"/>
      </w:rPr>
      <w:t>2022</w:t>
    </w:r>
    <w:r>
      <w:rPr>
        <w:color w:val="117DC7"/>
      </w:rPr>
      <w:tab/>
      <w:t>Schedule 1: Reporting requirements</w:t>
    </w:r>
    <w:r>
      <w:rPr>
        <w:rFonts w:ascii="Arial Nova" w:hAnsi="Arial Nova"/>
        <w:color w:val="117DC7"/>
      </w:rPr>
      <w:t>—phasing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C43E" w14:textId="39C0F986" w:rsidR="00506750" w:rsidRPr="008E0C35" w:rsidRDefault="00506750" w:rsidP="0097458E">
    <w:pPr>
      <w:pStyle w:val="Footer"/>
      <w:pBdr>
        <w:bottom w:val="single" w:sz="4" w:space="1" w:color="117DC7"/>
      </w:pBdr>
      <w:rPr>
        <w:color w:val="117DC7"/>
      </w:rPr>
    </w:pPr>
    <w:r w:rsidRPr="0093204B">
      <w:rPr>
        <w:color w:val="117DC7"/>
      </w:rPr>
      <w:t xml:space="preserve">ASIC Derivative Transaction Rules (Reporting) </w:t>
    </w:r>
    <w:r>
      <w:rPr>
        <w:color w:val="117DC7"/>
      </w:rPr>
      <w:t>2022</w:t>
    </w:r>
    <w:r>
      <w:rPr>
        <w:color w:val="117DC7"/>
      </w:rPr>
      <w:tab/>
      <w:t>Schedule 2: Information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032DC"/>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ED709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15:restartNumberingAfterBreak="0">
    <w:nsid w:val="12BF69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064C41"/>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446BA3"/>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A526736"/>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1F581AD5"/>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832DA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47E394D"/>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C95B71"/>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6405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6D75C8"/>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AE27CA"/>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7E6325"/>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2F3286"/>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5D86E2A"/>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AA6017"/>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80101C"/>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5" w15:restartNumberingAfterBreak="0">
    <w:nsid w:val="3F031762"/>
    <w:multiLevelType w:val="hybridMultilevel"/>
    <w:tmpl w:val="9FC0EEE8"/>
    <w:lvl w:ilvl="0" w:tplc="B4604A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1F00A4"/>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C206E4"/>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B3E1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96F3F"/>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FD431D"/>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04C0AB8"/>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C5471"/>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8A427B7"/>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BC2A65"/>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6CEF56E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211AC3"/>
    <w:multiLevelType w:val="hybridMultilevel"/>
    <w:tmpl w:val="4956E988"/>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2" w15:restartNumberingAfterBreak="0">
    <w:nsid w:val="72044D8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5D07FCD"/>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66B2ED2"/>
    <w:multiLevelType w:val="multilevel"/>
    <w:tmpl w:val="7B5E2D78"/>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5" w15:restartNumberingAfterBreak="0">
    <w:nsid w:val="781624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66670"/>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D9B7AC6"/>
    <w:multiLevelType w:val="hybridMultilevel"/>
    <w:tmpl w:val="A66E5704"/>
    <w:lvl w:ilvl="0" w:tplc="CFDE05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E530C7C"/>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E5A1199"/>
    <w:multiLevelType w:val="multilevel"/>
    <w:tmpl w:val="51185BA2"/>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1" w15:restartNumberingAfterBreak="0">
    <w:nsid w:val="7E641671"/>
    <w:multiLevelType w:val="hybridMultilevel"/>
    <w:tmpl w:val="694602BA"/>
    <w:lvl w:ilvl="0" w:tplc="F028C1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14"/>
  </w:num>
  <w:num w:numId="3">
    <w:abstractNumId w:val="37"/>
  </w:num>
  <w:num w:numId="4">
    <w:abstractNumId w:val="1"/>
  </w:num>
  <w:num w:numId="5">
    <w:abstractNumId w:val="34"/>
  </w:num>
  <w:num w:numId="6">
    <w:abstractNumId w:val="11"/>
  </w:num>
  <w:num w:numId="7">
    <w:abstractNumId w:val="8"/>
  </w:num>
  <w:num w:numId="8">
    <w:abstractNumId w:val="46"/>
  </w:num>
  <w:num w:numId="9">
    <w:abstractNumId w:val="28"/>
  </w:num>
  <w:num w:numId="10">
    <w:abstractNumId w:val="30"/>
  </w:num>
  <w:num w:numId="11">
    <w:abstractNumId w:val="0"/>
  </w:num>
  <w:num w:numId="12">
    <w:abstractNumId w:val="18"/>
  </w:num>
  <w:num w:numId="13">
    <w:abstractNumId w:val="44"/>
    <w:lvlOverride w:ilvl="0">
      <w:startOverride w:val="2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44"/>
    <w:lvlOverride w:ilvl="0">
      <w:startOverride w:val="2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9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3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7"/>
  </w:num>
  <w:num w:numId="20">
    <w:abstractNumId w:val="16"/>
  </w:num>
  <w:num w:numId="21">
    <w:abstractNumId w:val="25"/>
  </w:num>
  <w:num w:numId="22">
    <w:abstractNumId w:val="43"/>
  </w:num>
  <w:num w:numId="23">
    <w:abstractNumId w:val="48"/>
  </w:num>
  <w:num w:numId="24">
    <w:abstractNumId w:val="22"/>
  </w:num>
  <w:num w:numId="25">
    <w:abstractNumId w:val="2"/>
  </w:num>
  <w:num w:numId="26">
    <w:abstractNumId w:val="45"/>
  </w:num>
  <w:num w:numId="27">
    <w:abstractNumId w:val="49"/>
  </w:num>
  <w:num w:numId="28">
    <w:abstractNumId w:val="20"/>
  </w:num>
  <w:num w:numId="29">
    <w:abstractNumId w:val="21"/>
  </w:num>
  <w:num w:numId="30">
    <w:abstractNumId w:val="26"/>
  </w:num>
  <w:num w:numId="31">
    <w:abstractNumId w:val="13"/>
  </w:num>
  <w:num w:numId="32">
    <w:abstractNumId w:val="9"/>
  </w:num>
  <w:num w:numId="33">
    <w:abstractNumId w:val="42"/>
  </w:num>
  <w:num w:numId="34">
    <w:abstractNumId w:val="17"/>
  </w:num>
  <w:num w:numId="35">
    <w:abstractNumId w:val="29"/>
  </w:num>
  <w:num w:numId="36">
    <w:abstractNumId w:val="51"/>
  </w:num>
  <w:num w:numId="37">
    <w:abstractNumId w:val="33"/>
  </w:num>
  <w:num w:numId="38">
    <w:abstractNumId w:val="23"/>
  </w:num>
  <w:num w:numId="39">
    <w:abstractNumId w:val="6"/>
  </w:num>
  <w:num w:numId="40">
    <w:abstractNumId w:val="36"/>
  </w:num>
  <w:num w:numId="41">
    <w:abstractNumId w:val="12"/>
  </w:num>
  <w:num w:numId="42">
    <w:abstractNumId w:val="4"/>
  </w:num>
  <w:num w:numId="43">
    <w:abstractNumId w:val="27"/>
  </w:num>
  <w:num w:numId="44">
    <w:abstractNumId w:val="5"/>
  </w:num>
  <w:num w:numId="45">
    <w:abstractNumId w:val="47"/>
  </w:num>
  <w:num w:numId="46">
    <w:abstractNumId w:val="19"/>
  </w:num>
  <w:num w:numId="47">
    <w:abstractNumId w:val="32"/>
  </w:num>
  <w:num w:numId="48">
    <w:abstractNumId w:val="31"/>
  </w:num>
  <w:num w:numId="49">
    <w:abstractNumId w:val="39"/>
  </w:num>
  <w:num w:numId="50">
    <w:abstractNumId w:val="35"/>
  </w:num>
  <w:num w:numId="51">
    <w:abstractNumId w:val="15"/>
  </w:num>
  <w:num w:numId="52">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50"/>
  </w:num>
  <w:num w:numId="57">
    <w:abstractNumId w:val="38"/>
  </w:num>
  <w:num w:numId="58">
    <w:abstractNumId w:val="3"/>
  </w:num>
  <w:num w:numId="59">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50">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DB"/>
    <w:rsid w:val="000000DB"/>
    <w:rsid w:val="00000101"/>
    <w:rsid w:val="0000037C"/>
    <w:rsid w:val="00000E7D"/>
    <w:rsid w:val="000012BD"/>
    <w:rsid w:val="000018BA"/>
    <w:rsid w:val="00001CEB"/>
    <w:rsid w:val="00001F01"/>
    <w:rsid w:val="00003742"/>
    <w:rsid w:val="00003891"/>
    <w:rsid w:val="0000421B"/>
    <w:rsid w:val="0000456E"/>
    <w:rsid w:val="000046AD"/>
    <w:rsid w:val="0000476B"/>
    <w:rsid w:val="00004BA9"/>
    <w:rsid w:val="00004C44"/>
    <w:rsid w:val="000054B7"/>
    <w:rsid w:val="00005C08"/>
    <w:rsid w:val="00005EE1"/>
    <w:rsid w:val="0000649D"/>
    <w:rsid w:val="00006696"/>
    <w:rsid w:val="00006ABF"/>
    <w:rsid w:val="00006B54"/>
    <w:rsid w:val="00006CBA"/>
    <w:rsid w:val="00006F2F"/>
    <w:rsid w:val="000072FD"/>
    <w:rsid w:val="0000765E"/>
    <w:rsid w:val="00007AEF"/>
    <w:rsid w:val="00007B72"/>
    <w:rsid w:val="00007DC6"/>
    <w:rsid w:val="00010243"/>
    <w:rsid w:val="00010968"/>
    <w:rsid w:val="00010B34"/>
    <w:rsid w:val="00010BC4"/>
    <w:rsid w:val="00011358"/>
    <w:rsid w:val="0001137E"/>
    <w:rsid w:val="00011444"/>
    <w:rsid w:val="00011675"/>
    <w:rsid w:val="00011D84"/>
    <w:rsid w:val="00012040"/>
    <w:rsid w:val="000121AF"/>
    <w:rsid w:val="000123E0"/>
    <w:rsid w:val="00012C22"/>
    <w:rsid w:val="0001339C"/>
    <w:rsid w:val="000133CC"/>
    <w:rsid w:val="000139C6"/>
    <w:rsid w:val="00013D49"/>
    <w:rsid w:val="00013DDE"/>
    <w:rsid w:val="00013E6C"/>
    <w:rsid w:val="000141F7"/>
    <w:rsid w:val="000143B8"/>
    <w:rsid w:val="0001490A"/>
    <w:rsid w:val="000152FF"/>
    <w:rsid w:val="00015698"/>
    <w:rsid w:val="00015CA0"/>
    <w:rsid w:val="00015FE5"/>
    <w:rsid w:val="00015FEC"/>
    <w:rsid w:val="00016488"/>
    <w:rsid w:val="00016B18"/>
    <w:rsid w:val="0001718C"/>
    <w:rsid w:val="000174BC"/>
    <w:rsid w:val="0001799A"/>
    <w:rsid w:val="00017D10"/>
    <w:rsid w:val="0002000E"/>
    <w:rsid w:val="0002047D"/>
    <w:rsid w:val="000207F6"/>
    <w:rsid w:val="00020E23"/>
    <w:rsid w:val="000211F0"/>
    <w:rsid w:val="000213A1"/>
    <w:rsid w:val="000213A9"/>
    <w:rsid w:val="00021A98"/>
    <w:rsid w:val="00021AB5"/>
    <w:rsid w:val="00022134"/>
    <w:rsid w:val="00022214"/>
    <w:rsid w:val="000226AF"/>
    <w:rsid w:val="00022888"/>
    <w:rsid w:val="000230F1"/>
    <w:rsid w:val="00023437"/>
    <w:rsid w:val="0002387F"/>
    <w:rsid w:val="00023E19"/>
    <w:rsid w:val="00023F7F"/>
    <w:rsid w:val="000240EB"/>
    <w:rsid w:val="000246BC"/>
    <w:rsid w:val="0002494D"/>
    <w:rsid w:val="00024AA6"/>
    <w:rsid w:val="00024C37"/>
    <w:rsid w:val="00024D12"/>
    <w:rsid w:val="0002544A"/>
    <w:rsid w:val="000254B0"/>
    <w:rsid w:val="000255C5"/>
    <w:rsid w:val="00025A63"/>
    <w:rsid w:val="00025CD6"/>
    <w:rsid w:val="00025DE9"/>
    <w:rsid w:val="00027563"/>
    <w:rsid w:val="0002766B"/>
    <w:rsid w:val="00027963"/>
    <w:rsid w:val="00027CFD"/>
    <w:rsid w:val="00027F21"/>
    <w:rsid w:val="00030552"/>
    <w:rsid w:val="00030E24"/>
    <w:rsid w:val="00031442"/>
    <w:rsid w:val="00031856"/>
    <w:rsid w:val="0003191F"/>
    <w:rsid w:val="00031BBD"/>
    <w:rsid w:val="00031D16"/>
    <w:rsid w:val="00032853"/>
    <w:rsid w:val="00032FA8"/>
    <w:rsid w:val="0003352D"/>
    <w:rsid w:val="00033763"/>
    <w:rsid w:val="00033B6D"/>
    <w:rsid w:val="00034058"/>
    <w:rsid w:val="0003417A"/>
    <w:rsid w:val="000344EE"/>
    <w:rsid w:val="000345F5"/>
    <w:rsid w:val="00034B33"/>
    <w:rsid w:val="00034F1F"/>
    <w:rsid w:val="00034F36"/>
    <w:rsid w:val="000350A7"/>
    <w:rsid w:val="00035365"/>
    <w:rsid w:val="000357BD"/>
    <w:rsid w:val="00036286"/>
    <w:rsid w:val="0003656B"/>
    <w:rsid w:val="00036BE9"/>
    <w:rsid w:val="00036C7E"/>
    <w:rsid w:val="00037285"/>
    <w:rsid w:val="000375B3"/>
    <w:rsid w:val="000376FF"/>
    <w:rsid w:val="0003781D"/>
    <w:rsid w:val="00040442"/>
    <w:rsid w:val="00040D7B"/>
    <w:rsid w:val="00040F59"/>
    <w:rsid w:val="000415C0"/>
    <w:rsid w:val="00041873"/>
    <w:rsid w:val="0004262A"/>
    <w:rsid w:val="00042736"/>
    <w:rsid w:val="00042F12"/>
    <w:rsid w:val="00042F7B"/>
    <w:rsid w:val="00043994"/>
    <w:rsid w:val="00043C10"/>
    <w:rsid w:val="00043F97"/>
    <w:rsid w:val="000443F2"/>
    <w:rsid w:val="0004471A"/>
    <w:rsid w:val="00044853"/>
    <w:rsid w:val="00044A51"/>
    <w:rsid w:val="00045454"/>
    <w:rsid w:val="00045763"/>
    <w:rsid w:val="00045B16"/>
    <w:rsid w:val="00045C80"/>
    <w:rsid w:val="00046485"/>
    <w:rsid w:val="00046FC7"/>
    <w:rsid w:val="0004752C"/>
    <w:rsid w:val="000475A0"/>
    <w:rsid w:val="000477A2"/>
    <w:rsid w:val="00047978"/>
    <w:rsid w:val="00050B21"/>
    <w:rsid w:val="000513A6"/>
    <w:rsid w:val="0005188D"/>
    <w:rsid w:val="000519AE"/>
    <w:rsid w:val="00051D32"/>
    <w:rsid w:val="000520BD"/>
    <w:rsid w:val="000528E2"/>
    <w:rsid w:val="00052A6E"/>
    <w:rsid w:val="00052CFD"/>
    <w:rsid w:val="00052DE6"/>
    <w:rsid w:val="00052EF1"/>
    <w:rsid w:val="000531A0"/>
    <w:rsid w:val="000537DB"/>
    <w:rsid w:val="0005390C"/>
    <w:rsid w:val="00053C95"/>
    <w:rsid w:val="00053D3F"/>
    <w:rsid w:val="0005416B"/>
    <w:rsid w:val="0005456A"/>
    <w:rsid w:val="00054E29"/>
    <w:rsid w:val="0005540E"/>
    <w:rsid w:val="000558BC"/>
    <w:rsid w:val="00055A07"/>
    <w:rsid w:val="00055E09"/>
    <w:rsid w:val="0005646D"/>
    <w:rsid w:val="00056800"/>
    <w:rsid w:val="0005699F"/>
    <w:rsid w:val="00056A7B"/>
    <w:rsid w:val="00056AC1"/>
    <w:rsid w:val="0005714D"/>
    <w:rsid w:val="000571B5"/>
    <w:rsid w:val="00057CC8"/>
    <w:rsid w:val="0006034F"/>
    <w:rsid w:val="00061AEE"/>
    <w:rsid w:val="00061C9F"/>
    <w:rsid w:val="00061CDE"/>
    <w:rsid w:val="00061CFB"/>
    <w:rsid w:val="00061EC3"/>
    <w:rsid w:val="00062487"/>
    <w:rsid w:val="00062897"/>
    <w:rsid w:val="00062C70"/>
    <w:rsid w:val="00063178"/>
    <w:rsid w:val="0006343E"/>
    <w:rsid w:val="000639A8"/>
    <w:rsid w:val="00063DAB"/>
    <w:rsid w:val="00064A6B"/>
    <w:rsid w:val="00064B6A"/>
    <w:rsid w:val="00064C12"/>
    <w:rsid w:val="00064DFF"/>
    <w:rsid w:val="0006513E"/>
    <w:rsid w:val="000654E7"/>
    <w:rsid w:val="00065608"/>
    <w:rsid w:val="0006572A"/>
    <w:rsid w:val="00065ABC"/>
    <w:rsid w:val="00065B3E"/>
    <w:rsid w:val="000660DE"/>
    <w:rsid w:val="00066102"/>
    <w:rsid w:val="000664C4"/>
    <w:rsid w:val="000665EC"/>
    <w:rsid w:val="00066BB5"/>
    <w:rsid w:val="00066DBE"/>
    <w:rsid w:val="00067167"/>
    <w:rsid w:val="0006794A"/>
    <w:rsid w:val="000700C0"/>
    <w:rsid w:val="0007053E"/>
    <w:rsid w:val="00070546"/>
    <w:rsid w:val="0007063A"/>
    <w:rsid w:val="0007063D"/>
    <w:rsid w:val="000712A6"/>
    <w:rsid w:val="000716B2"/>
    <w:rsid w:val="000716DA"/>
    <w:rsid w:val="0007176A"/>
    <w:rsid w:val="00071AAD"/>
    <w:rsid w:val="00071C56"/>
    <w:rsid w:val="00071CF7"/>
    <w:rsid w:val="00072601"/>
    <w:rsid w:val="00072B9F"/>
    <w:rsid w:val="0007348A"/>
    <w:rsid w:val="000736E6"/>
    <w:rsid w:val="0007391D"/>
    <w:rsid w:val="000739B0"/>
    <w:rsid w:val="00073B74"/>
    <w:rsid w:val="00074789"/>
    <w:rsid w:val="0007526F"/>
    <w:rsid w:val="0007582B"/>
    <w:rsid w:val="00075CA2"/>
    <w:rsid w:val="000761AD"/>
    <w:rsid w:val="0007633F"/>
    <w:rsid w:val="00076577"/>
    <w:rsid w:val="00076703"/>
    <w:rsid w:val="00076B1B"/>
    <w:rsid w:val="00076FCC"/>
    <w:rsid w:val="000771E4"/>
    <w:rsid w:val="00077806"/>
    <w:rsid w:val="000779EB"/>
    <w:rsid w:val="00077DEF"/>
    <w:rsid w:val="00077FF8"/>
    <w:rsid w:val="00080A11"/>
    <w:rsid w:val="00080A42"/>
    <w:rsid w:val="00080CCD"/>
    <w:rsid w:val="000815D8"/>
    <w:rsid w:val="00081725"/>
    <w:rsid w:val="00081B9E"/>
    <w:rsid w:val="00081BC8"/>
    <w:rsid w:val="00081BF8"/>
    <w:rsid w:val="00081D68"/>
    <w:rsid w:val="00081DEC"/>
    <w:rsid w:val="000823B5"/>
    <w:rsid w:val="000825D5"/>
    <w:rsid w:val="00082899"/>
    <w:rsid w:val="00082C5E"/>
    <w:rsid w:val="00082C7B"/>
    <w:rsid w:val="00082F6A"/>
    <w:rsid w:val="000832D6"/>
    <w:rsid w:val="00083468"/>
    <w:rsid w:val="000834F1"/>
    <w:rsid w:val="000836D7"/>
    <w:rsid w:val="00083BD0"/>
    <w:rsid w:val="00083E4F"/>
    <w:rsid w:val="00084738"/>
    <w:rsid w:val="00084CA4"/>
    <w:rsid w:val="00084F36"/>
    <w:rsid w:val="00085293"/>
    <w:rsid w:val="000861F7"/>
    <w:rsid w:val="00086EE4"/>
    <w:rsid w:val="00087296"/>
    <w:rsid w:val="000875BF"/>
    <w:rsid w:val="000876F7"/>
    <w:rsid w:val="00087756"/>
    <w:rsid w:val="0008790E"/>
    <w:rsid w:val="00087B50"/>
    <w:rsid w:val="00087EBB"/>
    <w:rsid w:val="000900CF"/>
    <w:rsid w:val="0009011A"/>
    <w:rsid w:val="00090677"/>
    <w:rsid w:val="0009079B"/>
    <w:rsid w:val="000907BA"/>
    <w:rsid w:val="000907C5"/>
    <w:rsid w:val="00090A93"/>
    <w:rsid w:val="00090B4D"/>
    <w:rsid w:val="000910CB"/>
    <w:rsid w:val="00091148"/>
    <w:rsid w:val="00091392"/>
    <w:rsid w:val="00091495"/>
    <w:rsid w:val="000915BE"/>
    <w:rsid w:val="00091CEA"/>
    <w:rsid w:val="00091F84"/>
    <w:rsid w:val="000921A0"/>
    <w:rsid w:val="00092B10"/>
    <w:rsid w:val="00092B45"/>
    <w:rsid w:val="0009316C"/>
    <w:rsid w:val="00093D03"/>
    <w:rsid w:val="00093F6D"/>
    <w:rsid w:val="00094437"/>
    <w:rsid w:val="00094440"/>
    <w:rsid w:val="00094FAF"/>
    <w:rsid w:val="00095375"/>
    <w:rsid w:val="0009544F"/>
    <w:rsid w:val="0009568F"/>
    <w:rsid w:val="000959C7"/>
    <w:rsid w:val="00095D03"/>
    <w:rsid w:val="00096006"/>
    <w:rsid w:val="0009677F"/>
    <w:rsid w:val="0009699C"/>
    <w:rsid w:val="00097139"/>
    <w:rsid w:val="0009744F"/>
    <w:rsid w:val="00097819"/>
    <w:rsid w:val="00097A05"/>
    <w:rsid w:val="000A036C"/>
    <w:rsid w:val="000A05EF"/>
    <w:rsid w:val="000A0777"/>
    <w:rsid w:val="000A079F"/>
    <w:rsid w:val="000A08B9"/>
    <w:rsid w:val="000A0C72"/>
    <w:rsid w:val="000A0D6C"/>
    <w:rsid w:val="000A1B16"/>
    <w:rsid w:val="000A1D6E"/>
    <w:rsid w:val="000A26C6"/>
    <w:rsid w:val="000A2A27"/>
    <w:rsid w:val="000A2CD8"/>
    <w:rsid w:val="000A3135"/>
    <w:rsid w:val="000A3160"/>
    <w:rsid w:val="000A3510"/>
    <w:rsid w:val="000A3850"/>
    <w:rsid w:val="000A3B49"/>
    <w:rsid w:val="000A3C76"/>
    <w:rsid w:val="000A40A2"/>
    <w:rsid w:val="000A4235"/>
    <w:rsid w:val="000A44AE"/>
    <w:rsid w:val="000A4AE1"/>
    <w:rsid w:val="000A4C97"/>
    <w:rsid w:val="000A4CE8"/>
    <w:rsid w:val="000A500F"/>
    <w:rsid w:val="000A519A"/>
    <w:rsid w:val="000A5C53"/>
    <w:rsid w:val="000A5DEC"/>
    <w:rsid w:val="000A5F8A"/>
    <w:rsid w:val="000A661C"/>
    <w:rsid w:val="000A667A"/>
    <w:rsid w:val="000A71E5"/>
    <w:rsid w:val="000A727C"/>
    <w:rsid w:val="000A753C"/>
    <w:rsid w:val="000A7BED"/>
    <w:rsid w:val="000A7C07"/>
    <w:rsid w:val="000A7FFD"/>
    <w:rsid w:val="000B003E"/>
    <w:rsid w:val="000B01DC"/>
    <w:rsid w:val="000B0283"/>
    <w:rsid w:val="000B0374"/>
    <w:rsid w:val="000B0597"/>
    <w:rsid w:val="000B0834"/>
    <w:rsid w:val="000B0A99"/>
    <w:rsid w:val="000B1147"/>
    <w:rsid w:val="000B1150"/>
    <w:rsid w:val="000B119F"/>
    <w:rsid w:val="000B157F"/>
    <w:rsid w:val="000B1700"/>
    <w:rsid w:val="000B1CFF"/>
    <w:rsid w:val="000B2179"/>
    <w:rsid w:val="000B228E"/>
    <w:rsid w:val="000B27CD"/>
    <w:rsid w:val="000B2817"/>
    <w:rsid w:val="000B2B13"/>
    <w:rsid w:val="000B2B8E"/>
    <w:rsid w:val="000B3004"/>
    <w:rsid w:val="000B3F58"/>
    <w:rsid w:val="000B46EB"/>
    <w:rsid w:val="000B494C"/>
    <w:rsid w:val="000B4D85"/>
    <w:rsid w:val="000B5656"/>
    <w:rsid w:val="000B56C6"/>
    <w:rsid w:val="000B5A76"/>
    <w:rsid w:val="000B5F01"/>
    <w:rsid w:val="000B6059"/>
    <w:rsid w:val="000B660A"/>
    <w:rsid w:val="000B6E2A"/>
    <w:rsid w:val="000B6FC7"/>
    <w:rsid w:val="000B7897"/>
    <w:rsid w:val="000B7B4D"/>
    <w:rsid w:val="000C000D"/>
    <w:rsid w:val="000C090E"/>
    <w:rsid w:val="000C0AC5"/>
    <w:rsid w:val="000C0E78"/>
    <w:rsid w:val="000C114F"/>
    <w:rsid w:val="000C1AC5"/>
    <w:rsid w:val="000C1C64"/>
    <w:rsid w:val="000C1CEE"/>
    <w:rsid w:val="000C1DE4"/>
    <w:rsid w:val="000C2193"/>
    <w:rsid w:val="000C2194"/>
    <w:rsid w:val="000C2627"/>
    <w:rsid w:val="000C262F"/>
    <w:rsid w:val="000C29B4"/>
    <w:rsid w:val="000C2F85"/>
    <w:rsid w:val="000C30F2"/>
    <w:rsid w:val="000C3108"/>
    <w:rsid w:val="000C311F"/>
    <w:rsid w:val="000C4339"/>
    <w:rsid w:val="000C476C"/>
    <w:rsid w:val="000C4DF7"/>
    <w:rsid w:val="000C5066"/>
    <w:rsid w:val="000C5201"/>
    <w:rsid w:val="000C523B"/>
    <w:rsid w:val="000C5853"/>
    <w:rsid w:val="000C6438"/>
    <w:rsid w:val="000C66F6"/>
    <w:rsid w:val="000C68A5"/>
    <w:rsid w:val="000C68CE"/>
    <w:rsid w:val="000C6988"/>
    <w:rsid w:val="000C6F99"/>
    <w:rsid w:val="000C7140"/>
    <w:rsid w:val="000D025F"/>
    <w:rsid w:val="000D06ED"/>
    <w:rsid w:val="000D0AB1"/>
    <w:rsid w:val="000D0C3F"/>
    <w:rsid w:val="000D1044"/>
    <w:rsid w:val="000D15B0"/>
    <w:rsid w:val="000D1A9E"/>
    <w:rsid w:val="000D1D81"/>
    <w:rsid w:val="000D1E71"/>
    <w:rsid w:val="000D25A7"/>
    <w:rsid w:val="000D25E6"/>
    <w:rsid w:val="000D2DA0"/>
    <w:rsid w:val="000D2FC0"/>
    <w:rsid w:val="000D31B8"/>
    <w:rsid w:val="000D4596"/>
    <w:rsid w:val="000D46A1"/>
    <w:rsid w:val="000D4ECD"/>
    <w:rsid w:val="000D4F30"/>
    <w:rsid w:val="000D513C"/>
    <w:rsid w:val="000D5448"/>
    <w:rsid w:val="000D564A"/>
    <w:rsid w:val="000D5C7C"/>
    <w:rsid w:val="000D6386"/>
    <w:rsid w:val="000D63E1"/>
    <w:rsid w:val="000D675B"/>
    <w:rsid w:val="000D7021"/>
    <w:rsid w:val="000D728A"/>
    <w:rsid w:val="000D7A12"/>
    <w:rsid w:val="000D7AE0"/>
    <w:rsid w:val="000D7CA1"/>
    <w:rsid w:val="000D7F01"/>
    <w:rsid w:val="000E04EB"/>
    <w:rsid w:val="000E08E8"/>
    <w:rsid w:val="000E0D97"/>
    <w:rsid w:val="000E1199"/>
    <w:rsid w:val="000E12C2"/>
    <w:rsid w:val="000E18E9"/>
    <w:rsid w:val="000E1C39"/>
    <w:rsid w:val="000E1CF5"/>
    <w:rsid w:val="000E2737"/>
    <w:rsid w:val="000E2D90"/>
    <w:rsid w:val="000E3110"/>
    <w:rsid w:val="000E3150"/>
    <w:rsid w:val="000E31A3"/>
    <w:rsid w:val="000E32B5"/>
    <w:rsid w:val="000E492E"/>
    <w:rsid w:val="000E4B05"/>
    <w:rsid w:val="000E4D73"/>
    <w:rsid w:val="000E4FCD"/>
    <w:rsid w:val="000E55DE"/>
    <w:rsid w:val="000E562A"/>
    <w:rsid w:val="000E59AB"/>
    <w:rsid w:val="000E5A38"/>
    <w:rsid w:val="000E5E8E"/>
    <w:rsid w:val="000E6B3A"/>
    <w:rsid w:val="000E6BF1"/>
    <w:rsid w:val="000E6E48"/>
    <w:rsid w:val="000E6E63"/>
    <w:rsid w:val="000E6F60"/>
    <w:rsid w:val="000E70CD"/>
    <w:rsid w:val="000E72DE"/>
    <w:rsid w:val="000E74AC"/>
    <w:rsid w:val="000F088A"/>
    <w:rsid w:val="000F10B7"/>
    <w:rsid w:val="000F18D9"/>
    <w:rsid w:val="000F1996"/>
    <w:rsid w:val="000F242B"/>
    <w:rsid w:val="000F2EAA"/>
    <w:rsid w:val="000F3800"/>
    <w:rsid w:val="000F389A"/>
    <w:rsid w:val="000F39F6"/>
    <w:rsid w:val="000F47E2"/>
    <w:rsid w:val="000F485E"/>
    <w:rsid w:val="000F4A42"/>
    <w:rsid w:val="000F4BA8"/>
    <w:rsid w:val="000F4BC8"/>
    <w:rsid w:val="000F4DBD"/>
    <w:rsid w:val="000F53EC"/>
    <w:rsid w:val="000F5BFF"/>
    <w:rsid w:val="000F5F57"/>
    <w:rsid w:val="000F5FE5"/>
    <w:rsid w:val="000F693B"/>
    <w:rsid w:val="000F6C1A"/>
    <w:rsid w:val="000F6D8A"/>
    <w:rsid w:val="000F7845"/>
    <w:rsid w:val="00100096"/>
    <w:rsid w:val="001003D5"/>
    <w:rsid w:val="00101ABC"/>
    <w:rsid w:val="00101E5E"/>
    <w:rsid w:val="00101F8C"/>
    <w:rsid w:val="0010245F"/>
    <w:rsid w:val="0010344A"/>
    <w:rsid w:val="00103729"/>
    <w:rsid w:val="00103F7B"/>
    <w:rsid w:val="00104095"/>
    <w:rsid w:val="00104315"/>
    <w:rsid w:val="0010442C"/>
    <w:rsid w:val="00104511"/>
    <w:rsid w:val="00104A1E"/>
    <w:rsid w:val="00104B33"/>
    <w:rsid w:val="00105D4E"/>
    <w:rsid w:val="00106004"/>
    <w:rsid w:val="0010645F"/>
    <w:rsid w:val="00106CD2"/>
    <w:rsid w:val="00107816"/>
    <w:rsid w:val="00107FDA"/>
    <w:rsid w:val="001100A5"/>
    <w:rsid w:val="001102F1"/>
    <w:rsid w:val="00110DF7"/>
    <w:rsid w:val="00111230"/>
    <w:rsid w:val="001116A1"/>
    <w:rsid w:val="001116C3"/>
    <w:rsid w:val="00111738"/>
    <w:rsid w:val="00111C9C"/>
    <w:rsid w:val="00111E42"/>
    <w:rsid w:val="001120BB"/>
    <w:rsid w:val="00112652"/>
    <w:rsid w:val="001139EF"/>
    <w:rsid w:val="00113F4F"/>
    <w:rsid w:val="0011400E"/>
    <w:rsid w:val="001144B6"/>
    <w:rsid w:val="00114714"/>
    <w:rsid w:val="00114B6A"/>
    <w:rsid w:val="00114BD6"/>
    <w:rsid w:val="00115182"/>
    <w:rsid w:val="00115423"/>
    <w:rsid w:val="00115B67"/>
    <w:rsid w:val="00115BF8"/>
    <w:rsid w:val="00115C9F"/>
    <w:rsid w:val="00115F7A"/>
    <w:rsid w:val="00116037"/>
    <w:rsid w:val="0011667E"/>
    <w:rsid w:val="00116819"/>
    <w:rsid w:val="00116D6E"/>
    <w:rsid w:val="0011717A"/>
    <w:rsid w:val="001171D2"/>
    <w:rsid w:val="0011791B"/>
    <w:rsid w:val="00120095"/>
    <w:rsid w:val="0012013A"/>
    <w:rsid w:val="001206A9"/>
    <w:rsid w:val="00120946"/>
    <w:rsid w:val="00121578"/>
    <w:rsid w:val="00121956"/>
    <w:rsid w:val="00121D98"/>
    <w:rsid w:val="00121DBA"/>
    <w:rsid w:val="00122680"/>
    <w:rsid w:val="00122C11"/>
    <w:rsid w:val="00122C8D"/>
    <w:rsid w:val="00122F6C"/>
    <w:rsid w:val="0012305D"/>
    <w:rsid w:val="001230B9"/>
    <w:rsid w:val="001235F3"/>
    <w:rsid w:val="00123800"/>
    <w:rsid w:val="00123CBA"/>
    <w:rsid w:val="00123E21"/>
    <w:rsid w:val="0012404F"/>
    <w:rsid w:val="00124507"/>
    <w:rsid w:val="001248FE"/>
    <w:rsid w:val="00124DB4"/>
    <w:rsid w:val="00124DBD"/>
    <w:rsid w:val="0012502D"/>
    <w:rsid w:val="001251F3"/>
    <w:rsid w:val="00125402"/>
    <w:rsid w:val="00125483"/>
    <w:rsid w:val="001255BB"/>
    <w:rsid w:val="00125963"/>
    <w:rsid w:val="00125B9C"/>
    <w:rsid w:val="00125C56"/>
    <w:rsid w:val="00125CC1"/>
    <w:rsid w:val="00125F7C"/>
    <w:rsid w:val="00126129"/>
    <w:rsid w:val="00127237"/>
    <w:rsid w:val="00127715"/>
    <w:rsid w:val="001277F4"/>
    <w:rsid w:val="00127985"/>
    <w:rsid w:val="00127AA0"/>
    <w:rsid w:val="001305FF"/>
    <w:rsid w:val="001319C8"/>
    <w:rsid w:val="00131C6A"/>
    <w:rsid w:val="00131EE8"/>
    <w:rsid w:val="0013260A"/>
    <w:rsid w:val="00132B26"/>
    <w:rsid w:val="00132B5D"/>
    <w:rsid w:val="00133284"/>
    <w:rsid w:val="001334C1"/>
    <w:rsid w:val="001338BD"/>
    <w:rsid w:val="00133AF7"/>
    <w:rsid w:val="00133C07"/>
    <w:rsid w:val="00134225"/>
    <w:rsid w:val="0013454B"/>
    <w:rsid w:val="001348D7"/>
    <w:rsid w:val="00134BE7"/>
    <w:rsid w:val="00134D19"/>
    <w:rsid w:val="00135471"/>
    <w:rsid w:val="001359A3"/>
    <w:rsid w:val="00135C10"/>
    <w:rsid w:val="00135FAF"/>
    <w:rsid w:val="0013604C"/>
    <w:rsid w:val="001363CA"/>
    <w:rsid w:val="00136696"/>
    <w:rsid w:val="001366BA"/>
    <w:rsid w:val="00136CFB"/>
    <w:rsid w:val="00136E94"/>
    <w:rsid w:val="0013716C"/>
    <w:rsid w:val="00137445"/>
    <w:rsid w:val="00137712"/>
    <w:rsid w:val="00137722"/>
    <w:rsid w:val="00137C07"/>
    <w:rsid w:val="00137D91"/>
    <w:rsid w:val="0014013E"/>
    <w:rsid w:val="001408FD"/>
    <w:rsid w:val="00140F91"/>
    <w:rsid w:val="0014105C"/>
    <w:rsid w:val="001419CE"/>
    <w:rsid w:val="00141F62"/>
    <w:rsid w:val="00141F66"/>
    <w:rsid w:val="001429F8"/>
    <w:rsid w:val="00142AC3"/>
    <w:rsid w:val="0014300C"/>
    <w:rsid w:val="00143189"/>
    <w:rsid w:val="0014351A"/>
    <w:rsid w:val="001451B0"/>
    <w:rsid w:val="00145257"/>
    <w:rsid w:val="001454D4"/>
    <w:rsid w:val="0014596D"/>
    <w:rsid w:val="00145B0F"/>
    <w:rsid w:val="00145BDA"/>
    <w:rsid w:val="00145E4C"/>
    <w:rsid w:val="00146135"/>
    <w:rsid w:val="00146EA4"/>
    <w:rsid w:val="00147413"/>
    <w:rsid w:val="00147E12"/>
    <w:rsid w:val="001504A8"/>
    <w:rsid w:val="001506E4"/>
    <w:rsid w:val="001506FB"/>
    <w:rsid w:val="001509E5"/>
    <w:rsid w:val="00150DC1"/>
    <w:rsid w:val="0015128F"/>
    <w:rsid w:val="00151310"/>
    <w:rsid w:val="0015167C"/>
    <w:rsid w:val="001516D6"/>
    <w:rsid w:val="001516EB"/>
    <w:rsid w:val="001519A0"/>
    <w:rsid w:val="00151D52"/>
    <w:rsid w:val="00151EC2"/>
    <w:rsid w:val="00151F12"/>
    <w:rsid w:val="001520B0"/>
    <w:rsid w:val="0015267C"/>
    <w:rsid w:val="001536EB"/>
    <w:rsid w:val="00153EAF"/>
    <w:rsid w:val="0015416E"/>
    <w:rsid w:val="0015423F"/>
    <w:rsid w:val="0015469C"/>
    <w:rsid w:val="00154A8D"/>
    <w:rsid w:val="00154D7A"/>
    <w:rsid w:val="0015632B"/>
    <w:rsid w:val="0015648E"/>
    <w:rsid w:val="001565EC"/>
    <w:rsid w:val="00156889"/>
    <w:rsid w:val="00157328"/>
    <w:rsid w:val="00157574"/>
    <w:rsid w:val="001577B8"/>
    <w:rsid w:val="001601D7"/>
    <w:rsid w:val="00160244"/>
    <w:rsid w:val="001609CD"/>
    <w:rsid w:val="00160AB1"/>
    <w:rsid w:val="00160CAA"/>
    <w:rsid w:val="00160CDC"/>
    <w:rsid w:val="001616B9"/>
    <w:rsid w:val="00161930"/>
    <w:rsid w:val="00161BBB"/>
    <w:rsid w:val="00162393"/>
    <w:rsid w:val="001626E7"/>
    <w:rsid w:val="00162B62"/>
    <w:rsid w:val="00162E21"/>
    <w:rsid w:val="00163046"/>
    <w:rsid w:val="0016308A"/>
    <w:rsid w:val="001639A0"/>
    <w:rsid w:val="001644DB"/>
    <w:rsid w:val="00164505"/>
    <w:rsid w:val="0016476C"/>
    <w:rsid w:val="0016484C"/>
    <w:rsid w:val="00164E7E"/>
    <w:rsid w:val="00164E8D"/>
    <w:rsid w:val="001658D3"/>
    <w:rsid w:val="00166173"/>
    <w:rsid w:val="0016685B"/>
    <w:rsid w:val="00166EE0"/>
    <w:rsid w:val="001673BF"/>
    <w:rsid w:val="0016752A"/>
    <w:rsid w:val="0016763D"/>
    <w:rsid w:val="001676A2"/>
    <w:rsid w:val="00167820"/>
    <w:rsid w:val="00167B35"/>
    <w:rsid w:val="00167E57"/>
    <w:rsid w:val="00170601"/>
    <w:rsid w:val="001706EF"/>
    <w:rsid w:val="00170BC7"/>
    <w:rsid w:val="00171395"/>
    <w:rsid w:val="001715AA"/>
    <w:rsid w:val="00171863"/>
    <w:rsid w:val="00171CA7"/>
    <w:rsid w:val="00172150"/>
    <w:rsid w:val="00172204"/>
    <w:rsid w:val="00172481"/>
    <w:rsid w:val="0017278E"/>
    <w:rsid w:val="00172ACA"/>
    <w:rsid w:val="00172C58"/>
    <w:rsid w:val="00172E5E"/>
    <w:rsid w:val="001732BD"/>
    <w:rsid w:val="00173386"/>
    <w:rsid w:val="001736CD"/>
    <w:rsid w:val="00173912"/>
    <w:rsid w:val="00174768"/>
    <w:rsid w:val="001747B4"/>
    <w:rsid w:val="00174899"/>
    <w:rsid w:val="00174D9E"/>
    <w:rsid w:val="00175011"/>
    <w:rsid w:val="0017510E"/>
    <w:rsid w:val="00175317"/>
    <w:rsid w:val="0017531B"/>
    <w:rsid w:val="00175370"/>
    <w:rsid w:val="001755E6"/>
    <w:rsid w:val="001758DB"/>
    <w:rsid w:val="00175905"/>
    <w:rsid w:val="001759B7"/>
    <w:rsid w:val="00175D41"/>
    <w:rsid w:val="00176502"/>
    <w:rsid w:val="0017668B"/>
    <w:rsid w:val="00176717"/>
    <w:rsid w:val="001769CD"/>
    <w:rsid w:val="00176A7F"/>
    <w:rsid w:val="001777B4"/>
    <w:rsid w:val="0017788C"/>
    <w:rsid w:val="00177EF8"/>
    <w:rsid w:val="0018011E"/>
    <w:rsid w:val="001806EC"/>
    <w:rsid w:val="00180728"/>
    <w:rsid w:val="00181053"/>
    <w:rsid w:val="00181054"/>
    <w:rsid w:val="0018133B"/>
    <w:rsid w:val="00181562"/>
    <w:rsid w:val="001816BF"/>
    <w:rsid w:val="00181D81"/>
    <w:rsid w:val="0018203E"/>
    <w:rsid w:val="00182B8D"/>
    <w:rsid w:val="00182CBE"/>
    <w:rsid w:val="00183431"/>
    <w:rsid w:val="001834C8"/>
    <w:rsid w:val="001835E0"/>
    <w:rsid w:val="001838E7"/>
    <w:rsid w:val="001839C6"/>
    <w:rsid w:val="00184142"/>
    <w:rsid w:val="00184FFA"/>
    <w:rsid w:val="001854DE"/>
    <w:rsid w:val="0018563B"/>
    <w:rsid w:val="00185677"/>
    <w:rsid w:val="001856CD"/>
    <w:rsid w:val="001856DF"/>
    <w:rsid w:val="0018633D"/>
    <w:rsid w:val="00186440"/>
    <w:rsid w:val="001866DF"/>
    <w:rsid w:val="00186B60"/>
    <w:rsid w:val="001876B6"/>
    <w:rsid w:val="00187A9F"/>
    <w:rsid w:val="00190449"/>
    <w:rsid w:val="0019049C"/>
    <w:rsid w:val="001909C9"/>
    <w:rsid w:val="00190BBB"/>
    <w:rsid w:val="00190E35"/>
    <w:rsid w:val="001910A4"/>
    <w:rsid w:val="00191A38"/>
    <w:rsid w:val="00191B42"/>
    <w:rsid w:val="00191E3E"/>
    <w:rsid w:val="001920CC"/>
    <w:rsid w:val="00192494"/>
    <w:rsid w:val="00193601"/>
    <w:rsid w:val="00193782"/>
    <w:rsid w:val="00193CAE"/>
    <w:rsid w:val="00193DB1"/>
    <w:rsid w:val="00193DD5"/>
    <w:rsid w:val="00193DFD"/>
    <w:rsid w:val="00193E41"/>
    <w:rsid w:val="00193F90"/>
    <w:rsid w:val="00194061"/>
    <w:rsid w:val="00194344"/>
    <w:rsid w:val="001943AE"/>
    <w:rsid w:val="001943CC"/>
    <w:rsid w:val="001948E2"/>
    <w:rsid w:val="00194E6D"/>
    <w:rsid w:val="0019515B"/>
    <w:rsid w:val="001954BD"/>
    <w:rsid w:val="00195656"/>
    <w:rsid w:val="00196193"/>
    <w:rsid w:val="00196279"/>
    <w:rsid w:val="00196336"/>
    <w:rsid w:val="00196CD0"/>
    <w:rsid w:val="001971DA"/>
    <w:rsid w:val="00197738"/>
    <w:rsid w:val="00197789"/>
    <w:rsid w:val="001A0381"/>
    <w:rsid w:val="001A07B0"/>
    <w:rsid w:val="001A0D11"/>
    <w:rsid w:val="001A11CF"/>
    <w:rsid w:val="001A1490"/>
    <w:rsid w:val="001A15B9"/>
    <w:rsid w:val="001A1D70"/>
    <w:rsid w:val="001A230A"/>
    <w:rsid w:val="001A26E6"/>
    <w:rsid w:val="001A2AEC"/>
    <w:rsid w:val="001A2C14"/>
    <w:rsid w:val="001A2CB9"/>
    <w:rsid w:val="001A2CD4"/>
    <w:rsid w:val="001A3187"/>
    <w:rsid w:val="001A320D"/>
    <w:rsid w:val="001A3828"/>
    <w:rsid w:val="001A47ED"/>
    <w:rsid w:val="001A4B95"/>
    <w:rsid w:val="001A4D28"/>
    <w:rsid w:val="001A4D94"/>
    <w:rsid w:val="001A5178"/>
    <w:rsid w:val="001A527F"/>
    <w:rsid w:val="001A57C0"/>
    <w:rsid w:val="001A58C7"/>
    <w:rsid w:val="001A5A6C"/>
    <w:rsid w:val="001A5B2B"/>
    <w:rsid w:val="001A5CDB"/>
    <w:rsid w:val="001A6107"/>
    <w:rsid w:val="001A6568"/>
    <w:rsid w:val="001A685B"/>
    <w:rsid w:val="001A6FD7"/>
    <w:rsid w:val="001A7410"/>
    <w:rsid w:val="001A7979"/>
    <w:rsid w:val="001A7DEB"/>
    <w:rsid w:val="001A7EAE"/>
    <w:rsid w:val="001B013D"/>
    <w:rsid w:val="001B04E6"/>
    <w:rsid w:val="001B0647"/>
    <w:rsid w:val="001B08E9"/>
    <w:rsid w:val="001B0CE4"/>
    <w:rsid w:val="001B0D00"/>
    <w:rsid w:val="001B0D7A"/>
    <w:rsid w:val="001B1059"/>
    <w:rsid w:val="001B1B8D"/>
    <w:rsid w:val="001B2230"/>
    <w:rsid w:val="001B2291"/>
    <w:rsid w:val="001B29D8"/>
    <w:rsid w:val="001B2A6E"/>
    <w:rsid w:val="001B3503"/>
    <w:rsid w:val="001B360F"/>
    <w:rsid w:val="001B42E9"/>
    <w:rsid w:val="001B4E8B"/>
    <w:rsid w:val="001B5753"/>
    <w:rsid w:val="001B5A7F"/>
    <w:rsid w:val="001B609C"/>
    <w:rsid w:val="001B626E"/>
    <w:rsid w:val="001B6537"/>
    <w:rsid w:val="001B6DAA"/>
    <w:rsid w:val="001B70AD"/>
    <w:rsid w:val="001B70F1"/>
    <w:rsid w:val="001B76AE"/>
    <w:rsid w:val="001B7D49"/>
    <w:rsid w:val="001B7F97"/>
    <w:rsid w:val="001C05A9"/>
    <w:rsid w:val="001C126B"/>
    <w:rsid w:val="001C12DF"/>
    <w:rsid w:val="001C15AE"/>
    <w:rsid w:val="001C17A3"/>
    <w:rsid w:val="001C1D7C"/>
    <w:rsid w:val="001C1EAB"/>
    <w:rsid w:val="001C23E5"/>
    <w:rsid w:val="001C3580"/>
    <w:rsid w:val="001C3A8D"/>
    <w:rsid w:val="001C3F04"/>
    <w:rsid w:val="001C46C7"/>
    <w:rsid w:val="001C4834"/>
    <w:rsid w:val="001C4C64"/>
    <w:rsid w:val="001C4DD0"/>
    <w:rsid w:val="001C5431"/>
    <w:rsid w:val="001C58DA"/>
    <w:rsid w:val="001C5CF7"/>
    <w:rsid w:val="001C5D47"/>
    <w:rsid w:val="001C6297"/>
    <w:rsid w:val="001C6515"/>
    <w:rsid w:val="001C6606"/>
    <w:rsid w:val="001C663E"/>
    <w:rsid w:val="001C7460"/>
    <w:rsid w:val="001C7990"/>
    <w:rsid w:val="001C7E1D"/>
    <w:rsid w:val="001D013D"/>
    <w:rsid w:val="001D0231"/>
    <w:rsid w:val="001D0849"/>
    <w:rsid w:val="001D0A64"/>
    <w:rsid w:val="001D0CB6"/>
    <w:rsid w:val="001D0F60"/>
    <w:rsid w:val="001D133B"/>
    <w:rsid w:val="001D172A"/>
    <w:rsid w:val="001D1A8C"/>
    <w:rsid w:val="001D2314"/>
    <w:rsid w:val="001D23EF"/>
    <w:rsid w:val="001D3537"/>
    <w:rsid w:val="001D3757"/>
    <w:rsid w:val="001D3ACF"/>
    <w:rsid w:val="001D3DA1"/>
    <w:rsid w:val="001D4044"/>
    <w:rsid w:val="001D4270"/>
    <w:rsid w:val="001D4294"/>
    <w:rsid w:val="001D441E"/>
    <w:rsid w:val="001D4488"/>
    <w:rsid w:val="001D47E6"/>
    <w:rsid w:val="001D4DFD"/>
    <w:rsid w:val="001D5442"/>
    <w:rsid w:val="001D5543"/>
    <w:rsid w:val="001D56E1"/>
    <w:rsid w:val="001D5D09"/>
    <w:rsid w:val="001D5DDD"/>
    <w:rsid w:val="001D5FFD"/>
    <w:rsid w:val="001D6DFB"/>
    <w:rsid w:val="001D739E"/>
    <w:rsid w:val="001D75AA"/>
    <w:rsid w:val="001D7B0C"/>
    <w:rsid w:val="001D7D25"/>
    <w:rsid w:val="001D7DA2"/>
    <w:rsid w:val="001E009C"/>
    <w:rsid w:val="001E02AE"/>
    <w:rsid w:val="001E02BA"/>
    <w:rsid w:val="001E0AB5"/>
    <w:rsid w:val="001E1130"/>
    <w:rsid w:val="001E1203"/>
    <w:rsid w:val="001E1322"/>
    <w:rsid w:val="001E13F6"/>
    <w:rsid w:val="001E1B4E"/>
    <w:rsid w:val="001E1E70"/>
    <w:rsid w:val="001E2856"/>
    <w:rsid w:val="001E2C7D"/>
    <w:rsid w:val="001E2E40"/>
    <w:rsid w:val="001E2F29"/>
    <w:rsid w:val="001E339D"/>
    <w:rsid w:val="001E3706"/>
    <w:rsid w:val="001E3999"/>
    <w:rsid w:val="001E3B9B"/>
    <w:rsid w:val="001E3BE0"/>
    <w:rsid w:val="001E3CA1"/>
    <w:rsid w:val="001E4228"/>
    <w:rsid w:val="001E43E1"/>
    <w:rsid w:val="001E4A05"/>
    <w:rsid w:val="001E52D2"/>
    <w:rsid w:val="001E58AD"/>
    <w:rsid w:val="001E59D4"/>
    <w:rsid w:val="001E5AB7"/>
    <w:rsid w:val="001E5C23"/>
    <w:rsid w:val="001E5E90"/>
    <w:rsid w:val="001E664F"/>
    <w:rsid w:val="001E6BB3"/>
    <w:rsid w:val="001E7880"/>
    <w:rsid w:val="001E7CDF"/>
    <w:rsid w:val="001E7E39"/>
    <w:rsid w:val="001E7ECB"/>
    <w:rsid w:val="001E7F20"/>
    <w:rsid w:val="001F00C8"/>
    <w:rsid w:val="001F00DD"/>
    <w:rsid w:val="001F04DE"/>
    <w:rsid w:val="001F0908"/>
    <w:rsid w:val="001F09AF"/>
    <w:rsid w:val="001F1645"/>
    <w:rsid w:val="001F1B48"/>
    <w:rsid w:val="001F1E14"/>
    <w:rsid w:val="001F2321"/>
    <w:rsid w:val="001F24BC"/>
    <w:rsid w:val="001F25C5"/>
    <w:rsid w:val="001F2886"/>
    <w:rsid w:val="001F30FC"/>
    <w:rsid w:val="001F32A4"/>
    <w:rsid w:val="001F3BC7"/>
    <w:rsid w:val="001F482E"/>
    <w:rsid w:val="001F49D0"/>
    <w:rsid w:val="001F4B85"/>
    <w:rsid w:val="001F5569"/>
    <w:rsid w:val="001F5B11"/>
    <w:rsid w:val="001F5B83"/>
    <w:rsid w:val="001F5B9E"/>
    <w:rsid w:val="001F5D8E"/>
    <w:rsid w:val="001F5F2C"/>
    <w:rsid w:val="001F6597"/>
    <w:rsid w:val="001F6A22"/>
    <w:rsid w:val="001F6CDC"/>
    <w:rsid w:val="001F6D23"/>
    <w:rsid w:val="001F6FE6"/>
    <w:rsid w:val="001F7083"/>
    <w:rsid w:val="001F7263"/>
    <w:rsid w:val="001F75FE"/>
    <w:rsid w:val="001F774F"/>
    <w:rsid w:val="001F7AA3"/>
    <w:rsid w:val="001F7D1A"/>
    <w:rsid w:val="0020024A"/>
    <w:rsid w:val="002009B3"/>
    <w:rsid w:val="00200C83"/>
    <w:rsid w:val="00200D1B"/>
    <w:rsid w:val="00200D6F"/>
    <w:rsid w:val="002014B8"/>
    <w:rsid w:val="00201C43"/>
    <w:rsid w:val="00201D70"/>
    <w:rsid w:val="002022F2"/>
    <w:rsid w:val="00202849"/>
    <w:rsid w:val="00202B76"/>
    <w:rsid w:val="00203688"/>
    <w:rsid w:val="00203C49"/>
    <w:rsid w:val="00203D5C"/>
    <w:rsid w:val="00204138"/>
    <w:rsid w:val="0020429E"/>
    <w:rsid w:val="002042D8"/>
    <w:rsid w:val="0020451F"/>
    <w:rsid w:val="00204665"/>
    <w:rsid w:val="00204BE2"/>
    <w:rsid w:val="00205348"/>
    <w:rsid w:val="002059A7"/>
    <w:rsid w:val="002059CD"/>
    <w:rsid w:val="00205B33"/>
    <w:rsid w:val="00206417"/>
    <w:rsid w:val="002064A7"/>
    <w:rsid w:val="00206553"/>
    <w:rsid w:val="002067B9"/>
    <w:rsid w:val="002069A5"/>
    <w:rsid w:val="00206C17"/>
    <w:rsid w:val="002074D6"/>
    <w:rsid w:val="002075EA"/>
    <w:rsid w:val="00207659"/>
    <w:rsid w:val="00207DB3"/>
    <w:rsid w:val="00207E7B"/>
    <w:rsid w:val="00207EC8"/>
    <w:rsid w:val="002101CC"/>
    <w:rsid w:val="002103CC"/>
    <w:rsid w:val="002105FA"/>
    <w:rsid w:val="00210F10"/>
    <w:rsid w:val="0021150D"/>
    <w:rsid w:val="00211799"/>
    <w:rsid w:val="00211C61"/>
    <w:rsid w:val="00211CD8"/>
    <w:rsid w:val="00211EF5"/>
    <w:rsid w:val="0021216D"/>
    <w:rsid w:val="002123ED"/>
    <w:rsid w:val="002123FD"/>
    <w:rsid w:val="00212428"/>
    <w:rsid w:val="0021255E"/>
    <w:rsid w:val="002127C5"/>
    <w:rsid w:val="0021283E"/>
    <w:rsid w:val="00212BC1"/>
    <w:rsid w:val="00213279"/>
    <w:rsid w:val="00213459"/>
    <w:rsid w:val="002136A6"/>
    <w:rsid w:val="0021373F"/>
    <w:rsid w:val="002138C8"/>
    <w:rsid w:val="00213913"/>
    <w:rsid w:val="00213AD1"/>
    <w:rsid w:val="00213B81"/>
    <w:rsid w:val="00213B8C"/>
    <w:rsid w:val="00213C44"/>
    <w:rsid w:val="00213CF0"/>
    <w:rsid w:val="00213E1D"/>
    <w:rsid w:val="00213E4B"/>
    <w:rsid w:val="00214DCA"/>
    <w:rsid w:val="00214DCD"/>
    <w:rsid w:val="0021515B"/>
    <w:rsid w:val="002160BE"/>
    <w:rsid w:val="002166A4"/>
    <w:rsid w:val="002169A7"/>
    <w:rsid w:val="00216A92"/>
    <w:rsid w:val="00216F79"/>
    <w:rsid w:val="0021710A"/>
    <w:rsid w:val="002173CA"/>
    <w:rsid w:val="002179CF"/>
    <w:rsid w:val="00220401"/>
    <w:rsid w:val="002205A4"/>
    <w:rsid w:val="00220B38"/>
    <w:rsid w:val="00220F8D"/>
    <w:rsid w:val="0022126B"/>
    <w:rsid w:val="0022170D"/>
    <w:rsid w:val="00221ECC"/>
    <w:rsid w:val="0022231C"/>
    <w:rsid w:val="002223C9"/>
    <w:rsid w:val="0022265F"/>
    <w:rsid w:val="0022277B"/>
    <w:rsid w:val="002227CA"/>
    <w:rsid w:val="00222895"/>
    <w:rsid w:val="00222E9B"/>
    <w:rsid w:val="0022321F"/>
    <w:rsid w:val="002235C3"/>
    <w:rsid w:val="00223F3D"/>
    <w:rsid w:val="00223F3E"/>
    <w:rsid w:val="00224D6E"/>
    <w:rsid w:val="00224DAC"/>
    <w:rsid w:val="002253EC"/>
    <w:rsid w:val="00225C6D"/>
    <w:rsid w:val="00225E9D"/>
    <w:rsid w:val="002260FE"/>
    <w:rsid w:val="0022661D"/>
    <w:rsid w:val="0022685E"/>
    <w:rsid w:val="00226FAD"/>
    <w:rsid w:val="0022733B"/>
    <w:rsid w:val="002274BB"/>
    <w:rsid w:val="002303DE"/>
    <w:rsid w:val="002306A2"/>
    <w:rsid w:val="00230A94"/>
    <w:rsid w:val="00230E8E"/>
    <w:rsid w:val="00231EDF"/>
    <w:rsid w:val="0023230D"/>
    <w:rsid w:val="00232387"/>
    <w:rsid w:val="00232425"/>
    <w:rsid w:val="00232A6D"/>
    <w:rsid w:val="00232C15"/>
    <w:rsid w:val="00232DAD"/>
    <w:rsid w:val="00232ED3"/>
    <w:rsid w:val="002335EA"/>
    <w:rsid w:val="00233953"/>
    <w:rsid w:val="00233ACE"/>
    <w:rsid w:val="00233DAC"/>
    <w:rsid w:val="00233DF2"/>
    <w:rsid w:val="00234AF9"/>
    <w:rsid w:val="00234D19"/>
    <w:rsid w:val="00234F96"/>
    <w:rsid w:val="00235345"/>
    <w:rsid w:val="00235635"/>
    <w:rsid w:val="002356DE"/>
    <w:rsid w:val="00235763"/>
    <w:rsid w:val="00235BF1"/>
    <w:rsid w:val="002363D7"/>
    <w:rsid w:val="002364ED"/>
    <w:rsid w:val="00236C1F"/>
    <w:rsid w:val="00237494"/>
    <w:rsid w:val="00237790"/>
    <w:rsid w:val="00237978"/>
    <w:rsid w:val="00237D4C"/>
    <w:rsid w:val="00237F97"/>
    <w:rsid w:val="0024022A"/>
    <w:rsid w:val="002404D8"/>
    <w:rsid w:val="002410CE"/>
    <w:rsid w:val="002426A2"/>
    <w:rsid w:val="00242920"/>
    <w:rsid w:val="00242C03"/>
    <w:rsid w:val="002432B2"/>
    <w:rsid w:val="00243419"/>
    <w:rsid w:val="00243464"/>
    <w:rsid w:val="00243DD3"/>
    <w:rsid w:val="0024405E"/>
    <w:rsid w:val="0024432E"/>
    <w:rsid w:val="00244F0F"/>
    <w:rsid w:val="002455E2"/>
    <w:rsid w:val="0024594A"/>
    <w:rsid w:val="002459A2"/>
    <w:rsid w:val="002462E6"/>
    <w:rsid w:val="00246673"/>
    <w:rsid w:val="00246674"/>
    <w:rsid w:val="00246783"/>
    <w:rsid w:val="0024678E"/>
    <w:rsid w:val="00246995"/>
    <w:rsid w:val="002469E2"/>
    <w:rsid w:val="002473E2"/>
    <w:rsid w:val="002476ED"/>
    <w:rsid w:val="0024795C"/>
    <w:rsid w:val="00247DC7"/>
    <w:rsid w:val="00247F21"/>
    <w:rsid w:val="0025009D"/>
    <w:rsid w:val="00250BC2"/>
    <w:rsid w:val="00251132"/>
    <w:rsid w:val="002512BE"/>
    <w:rsid w:val="00251FF5"/>
    <w:rsid w:val="002522FD"/>
    <w:rsid w:val="00252ADB"/>
    <w:rsid w:val="00253350"/>
    <w:rsid w:val="002535DF"/>
    <w:rsid w:val="002537E2"/>
    <w:rsid w:val="00253DA6"/>
    <w:rsid w:val="00254407"/>
    <w:rsid w:val="00254641"/>
    <w:rsid w:val="00254715"/>
    <w:rsid w:val="00254738"/>
    <w:rsid w:val="002547E2"/>
    <w:rsid w:val="002548F2"/>
    <w:rsid w:val="0025559E"/>
    <w:rsid w:val="00255763"/>
    <w:rsid w:val="0025580C"/>
    <w:rsid w:val="0025593C"/>
    <w:rsid w:val="00255C69"/>
    <w:rsid w:val="00255DEB"/>
    <w:rsid w:val="00255F9D"/>
    <w:rsid w:val="002560C2"/>
    <w:rsid w:val="0025624E"/>
    <w:rsid w:val="00256533"/>
    <w:rsid w:val="002566C2"/>
    <w:rsid w:val="002566CA"/>
    <w:rsid w:val="00256709"/>
    <w:rsid w:val="00256D45"/>
    <w:rsid w:val="00257147"/>
    <w:rsid w:val="0025714E"/>
    <w:rsid w:val="002575C1"/>
    <w:rsid w:val="00257802"/>
    <w:rsid w:val="00257AF8"/>
    <w:rsid w:val="00257BAF"/>
    <w:rsid w:val="00257CA3"/>
    <w:rsid w:val="00260458"/>
    <w:rsid w:val="00260579"/>
    <w:rsid w:val="00260756"/>
    <w:rsid w:val="0026084B"/>
    <w:rsid w:val="00260B30"/>
    <w:rsid w:val="00260CDB"/>
    <w:rsid w:val="00260E7A"/>
    <w:rsid w:val="002614F2"/>
    <w:rsid w:val="00261630"/>
    <w:rsid w:val="0026163E"/>
    <w:rsid w:val="002616BE"/>
    <w:rsid w:val="00261856"/>
    <w:rsid w:val="00261CD6"/>
    <w:rsid w:val="00261DF7"/>
    <w:rsid w:val="002620BE"/>
    <w:rsid w:val="00262101"/>
    <w:rsid w:val="00262950"/>
    <w:rsid w:val="00262A61"/>
    <w:rsid w:val="00262C46"/>
    <w:rsid w:val="002631CA"/>
    <w:rsid w:val="00263310"/>
    <w:rsid w:val="00263F71"/>
    <w:rsid w:val="00264A63"/>
    <w:rsid w:val="00264B63"/>
    <w:rsid w:val="00264D6C"/>
    <w:rsid w:val="002652FE"/>
    <w:rsid w:val="0026535F"/>
    <w:rsid w:val="00265A0D"/>
    <w:rsid w:val="00265B36"/>
    <w:rsid w:val="00265D40"/>
    <w:rsid w:val="00265DA8"/>
    <w:rsid w:val="00265FF4"/>
    <w:rsid w:val="00266BEA"/>
    <w:rsid w:val="00266EC3"/>
    <w:rsid w:val="00266FC5"/>
    <w:rsid w:val="00270082"/>
    <w:rsid w:val="002700C2"/>
    <w:rsid w:val="00270168"/>
    <w:rsid w:val="00270226"/>
    <w:rsid w:val="00270382"/>
    <w:rsid w:val="00270773"/>
    <w:rsid w:val="002709B1"/>
    <w:rsid w:val="00270DCD"/>
    <w:rsid w:val="00271106"/>
    <w:rsid w:val="0027138E"/>
    <w:rsid w:val="002714BD"/>
    <w:rsid w:val="00271508"/>
    <w:rsid w:val="00271EC8"/>
    <w:rsid w:val="00272417"/>
    <w:rsid w:val="002725B6"/>
    <w:rsid w:val="002728D6"/>
    <w:rsid w:val="002728F3"/>
    <w:rsid w:val="002731E0"/>
    <w:rsid w:val="002736C9"/>
    <w:rsid w:val="00273D29"/>
    <w:rsid w:val="00273D55"/>
    <w:rsid w:val="00274A16"/>
    <w:rsid w:val="00274E5D"/>
    <w:rsid w:val="00274ED1"/>
    <w:rsid w:val="002753EB"/>
    <w:rsid w:val="002765B4"/>
    <w:rsid w:val="00276714"/>
    <w:rsid w:val="00276941"/>
    <w:rsid w:val="00276F07"/>
    <w:rsid w:val="00277100"/>
    <w:rsid w:val="002771D9"/>
    <w:rsid w:val="0028014B"/>
    <w:rsid w:val="00280568"/>
    <w:rsid w:val="002807DC"/>
    <w:rsid w:val="00280DBD"/>
    <w:rsid w:val="00280E9B"/>
    <w:rsid w:val="0028107B"/>
    <w:rsid w:val="0028145C"/>
    <w:rsid w:val="002815D2"/>
    <w:rsid w:val="002819B6"/>
    <w:rsid w:val="00281DF6"/>
    <w:rsid w:val="00281FD7"/>
    <w:rsid w:val="002826E1"/>
    <w:rsid w:val="00282D94"/>
    <w:rsid w:val="00282EC3"/>
    <w:rsid w:val="00282F46"/>
    <w:rsid w:val="0028351A"/>
    <w:rsid w:val="00283751"/>
    <w:rsid w:val="002839E6"/>
    <w:rsid w:val="00283B5C"/>
    <w:rsid w:val="00283EC2"/>
    <w:rsid w:val="002840A1"/>
    <w:rsid w:val="0028453E"/>
    <w:rsid w:val="002850AD"/>
    <w:rsid w:val="002853E3"/>
    <w:rsid w:val="00285849"/>
    <w:rsid w:val="002859BA"/>
    <w:rsid w:val="00285FA5"/>
    <w:rsid w:val="002863AE"/>
    <w:rsid w:val="00286652"/>
    <w:rsid w:val="00287239"/>
    <w:rsid w:val="0028751E"/>
    <w:rsid w:val="00287716"/>
    <w:rsid w:val="0028775D"/>
    <w:rsid w:val="002902CA"/>
    <w:rsid w:val="00290C66"/>
    <w:rsid w:val="00290C68"/>
    <w:rsid w:val="00290D74"/>
    <w:rsid w:val="00290F49"/>
    <w:rsid w:val="00291228"/>
    <w:rsid w:val="002915A2"/>
    <w:rsid w:val="002917DC"/>
    <w:rsid w:val="002922A3"/>
    <w:rsid w:val="00292D19"/>
    <w:rsid w:val="00292D73"/>
    <w:rsid w:val="0029300B"/>
    <w:rsid w:val="00293189"/>
    <w:rsid w:val="0029345E"/>
    <w:rsid w:val="00293585"/>
    <w:rsid w:val="00293A7D"/>
    <w:rsid w:val="00293BC9"/>
    <w:rsid w:val="002940C0"/>
    <w:rsid w:val="00294607"/>
    <w:rsid w:val="00295285"/>
    <w:rsid w:val="00295A9F"/>
    <w:rsid w:val="00295C2B"/>
    <w:rsid w:val="002964D9"/>
    <w:rsid w:val="002965CF"/>
    <w:rsid w:val="002965D2"/>
    <w:rsid w:val="0029680B"/>
    <w:rsid w:val="0029683A"/>
    <w:rsid w:val="00296917"/>
    <w:rsid w:val="00297723"/>
    <w:rsid w:val="00297C73"/>
    <w:rsid w:val="002A02FF"/>
    <w:rsid w:val="002A065A"/>
    <w:rsid w:val="002A0861"/>
    <w:rsid w:val="002A0E76"/>
    <w:rsid w:val="002A106A"/>
    <w:rsid w:val="002A1159"/>
    <w:rsid w:val="002A1D4E"/>
    <w:rsid w:val="002A2609"/>
    <w:rsid w:val="002A2B2C"/>
    <w:rsid w:val="002A33E1"/>
    <w:rsid w:val="002A3430"/>
    <w:rsid w:val="002A3C6C"/>
    <w:rsid w:val="002A3D1D"/>
    <w:rsid w:val="002A3DC6"/>
    <w:rsid w:val="002A4717"/>
    <w:rsid w:val="002A4D62"/>
    <w:rsid w:val="002A5599"/>
    <w:rsid w:val="002A5850"/>
    <w:rsid w:val="002A5CA5"/>
    <w:rsid w:val="002A609F"/>
    <w:rsid w:val="002A628C"/>
    <w:rsid w:val="002A664F"/>
    <w:rsid w:val="002A6805"/>
    <w:rsid w:val="002A6B19"/>
    <w:rsid w:val="002A6CA0"/>
    <w:rsid w:val="002A6DA7"/>
    <w:rsid w:val="002A70C0"/>
    <w:rsid w:val="002A76F8"/>
    <w:rsid w:val="002A7754"/>
    <w:rsid w:val="002B06F2"/>
    <w:rsid w:val="002B0730"/>
    <w:rsid w:val="002B0836"/>
    <w:rsid w:val="002B1422"/>
    <w:rsid w:val="002B14FC"/>
    <w:rsid w:val="002B17EA"/>
    <w:rsid w:val="002B1E97"/>
    <w:rsid w:val="002B2A8B"/>
    <w:rsid w:val="002B2B6F"/>
    <w:rsid w:val="002B2D01"/>
    <w:rsid w:val="002B3308"/>
    <w:rsid w:val="002B3C63"/>
    <w:rsid w:val="002B3D59"/>
    <w:rsid w:val="002B40F4"/>
    <w:rsid w:val="002B47DE"/>
    <w:rsid w:val="002B4E2B"/>
    <w:rsid w:val="002B4F09"/>
    <w:rsid w:val="002B5174"/>
    <w:rsid w:val="002B5C10"/>
    <w:rsid w:val="002B5D43"/>
    <w:rsid w:val="002B62EA"/>
    <w:rsid w:val="002B6540"/>
    <w:rsid w:val="002B6855"/>
    <w:rsid w:val="002B7133"/>
    <w:rsid w:val="002B720E"/>
    <w:rsid w:val="002C00D5"/>
    <w:rsid w:val="002C012E"/>
    <w:rsid w:val="002C04EE"/>
    <w:rsid w:val="002C08EE"/>
    <w:rsid w:val="002C0D1C"/>
    <w:rsid w:val="002C0EF8"/>
    <w:rsid w:val="002C24C5"/>
    <w:rsid w:val="002C250C"/>
    <w:rsid w:val="002C25C5"/>
    <w:rsid w:val="002C270F"/>
    <w:rsid w:val="002C2F48"/>
    <w:rsid w:val="002C32D0"/>
    <w:rsid w:val="002C3973"/>
    <w:rsid w:val="002C3FB4"/>
    <w:rsid w:val="002C45FE"/>
    <w:rsid w:val="002C4678"/>
    <w:rsid w:val="002C4E03"/>
    <w:rsid w:val="002C4FD1"/>
    <w:rsid w:val="002C5188"/>
    <w:rsid w:val="002C5194"/>
    <w:rsid w:val="002C5224"/>
    <w:rsid w:val="002C5CCA"/>
    <w:rsid w:val="002C5E21"/>
    <w:rsid w:val="002C65EB"/>
    <w:rsid w:val="002C694C"/>
    <w:rsid w:val="002C70F3"/>
    <w:rsid w:val="002C7137"/>
    <w:rsid w:val="002C7389"/>
    <w:rsid w:val="002C7481"/>
    <w:rsid w:val="002C7F9A"/>
    <w:rsid w:val="002D057A"/>
    <w:rsid w:val="002D065B"/>
    <w:rsid w:val="002D088D"/>
    <w:rsid w:val="002D0A4A"/>
    <w:rsid w:val="002D11E3"/>
    <w:rsid w:val="002D12DC"/>
    <w:rsid w:val="002D15B4"/>
    <w:rsid w:val="002D19C9"/>
    <w:rsid w:val="002D1C5C"/>
    <w:rsid w:val="002D1F27"/>
    <w:rsid w:val="002D219A"/>
    <w:rsid w:val="002D236F"/>
    <w:rsid w:val="002D2DAC"/>
    <w:rsid w:val="002D2FD5"/>
    <w:rsid w:val="002D36D6"/>
    <w:rsid w:val="002D3E19"/>
    <w:rsid w:val="002D3ECE"/>
    <w:rsid w:val="002D3F9B"/>
    <w:rsid w:val="002D45EA"/>
    <w:rsid w:val="002D475A"/>
    <w:rsid w:val="002D48E9"/>
    <w:rsid w:val="002D4987"/>
    <w:rsid w:val="002D49E5"/>
    <w:rsid w:val="002D4CB2"/>
    <w:rsid w:val="002D55B7"/>
    <w:rsid w:val="002D5EE0"/>
    <w:rsid w:val="002D624A"/>
    <w:rsid w:val="002D64D6"/>
    <w:rsid w:val="002D652D"/>
    <w:rsid w:val="002D653A"/>
    <w:rsid w:val="002D65E7"/>
    <w:rsid w:val="002D66B4"/>
    <w:rsid w:val="002D697A"/>
    <w:rsid w:val="002D6C3A"/>
    <w:rsid w:val="002D734D"/>
    <w:rsid w:val="002D73EF"/>
    <w:rsid w:val="002D75AC"/>
    <w:rsid w:val="002D7F05"/>
    <w:rsid w:val="002D7F5A"/>
    <w:rsid w:val="002E008E"/>
    <w:rsid w:val="002E08CF"/>
    <w:rsid w:val="002E0931"/>
    <w:rsid w:val="002E0A9D"/>
    <w:rsid w:val="002E0C05"/>
    <w:rsid w:val="002E0E74"/>
    <w:rsid w:val="002E0F08"/>
    <w:rsid w:val="002E14A1"/>
    <w:rsid w:val="002E1515"/>
    <w:rsid w:val="002E153D"/>
    <w:rsid w:val="002E15D5"/>
    <w:rsid w:val="002E1709"/>
    <w:rsid w:val="002E1AD2"/>
    <w:rsid w:val="002E208F"/>
    <w:rsid w:val="002E2286"/>
    <w:rsid w:val="002E2A7D"/>
    <w:rsid w:val="002E3455"/>
    <w:rsid w:val="002E357F"/>
    <w:rsid w:val="002E373F"/>
    <w:rsid w:val="002E37F6"/>
    <w:rsid w:val="002E38D2"/>
    <w:rsid w:val="002E3BF5"/>
    <w:rsid w:val="002E3D23"/>
    <w:rsid w:val="002E43D2"/>
    <w:rsid w:val="002E44A6"/>
    <w:rsid w:val="002E4E42"/>
    <w:rsid w:val="002E4FE9"/>
    <w:rsid w:val="002E5666"/>
    <w:rsid w:val="002E5789"/>
    <w:rsid w:val="002E5BD8"/>
    <w:rsid w:val="002E5E21"/>
    <w:rsid w:val="002E63B8"/>
    <w:rsid w:val="002E6909"/>
    <w:rsid w:val="002E6BD2"/>
    <w:rsid w:val="002E7067"/>
    <w:rsid w:val="002E72EE"/>
    <w:rsid w:val="002F009C"/>
    <w:rsid w:val="002F00C2"/>
    <w:rsid w:val="002F090D"/>
    <w:rsid w:val="002F09F4"/>
    <w:rsid w:val="002F0DC6"/>
    <w:rsid w:val="002F113F"/>
    <w:rsid w:val="002F1445"/>
    <w:rsid w:val="002F14E6"/>
    <w:rsid w:val="002F16EC"/>
    <w:rsid w:val="002F1BBE"/>
    <w:rsid w:val="002F2000"/>
    <w:rsid w:val="002F2165"/>
    <w:rsid w:val="002F2A13"/>
    <w:rsid w:val="002F2E1B"/>
    <w:rsid w:val="002F2E97"/>
    <w:rsid w:val="002F372F"/>
    <w:rsid w:val="002F37BE"/>
    <w:rsid w:val="002F3AB0"/>
    <w:rsid w:val="002F3C3F"/>
    <w:rsid w:val="002F3CE1"/>
    <w:rsid w:val="002F3D3E"/>
    <w:rsid w:val="002F41B5"/>
    <w:rsid w:val="002F437D"/>
    <w:rsid w:val="002F44EF"/>
    <w:rsid w:val="002F4903"/>
    <w:rsid w:val="002F4928"/>
    <w:rsid w:val="002F4EEB"/>
    <w:rsid w:val="002F4F37"/>
    <w:rsid w:val="002F553F"/>
    <w:rsid w:val="002F5B70"/>
    <w:rsid w:val="002F5CCC"/>
    <w:rsid w:val="002F5E8A"/>
    <w:rsid w:val="002F676D"/>
    <w:rsid w:val="002F698F"/>
    <w:rsid w:val="002F75D6"/>
    <w:rsid w:val="002F7635"/>
    <w:rsid w:val="0030033E"/>
    <w:rsid w:val="003004FC"/>
    <w:rsid w:val="00300A57"/>
    <w:rsid w:val="00300C36"/>
    <w:rsid w:val="00300C39"/>
    <w:rsid w:val="00300EEB"/>
    <w:rsid w:val="00301CE2"/>
    <w:rsid w:val="00301FAD"/>
    <w:rsid w:val="003020F8"/>
    <w:rsid w:val="00302583"/>
    <w:rsid w:val="00302D8B"/>
    <w:rsid w:val="00302EC1"/>
    <w:rsid w:val="003034B5"/>
    <w:rsid w:val="00303A24"/>
    <w:rsid w:val="0030496C"/>
    <w:rsid w:val="00304B09"/>
    <w:rsid w:val="00305358"/>
    <w:rsid w:val="00305C49"/>
    <w:rsid w:val="00306408"/>
    <w:rsid w:val="00306413"/>
    <w:rsid w:val="00306C90"/>
    <w:rsid w:val="003070C7"/>
    <w:rsid w:val="003073CB"/>
    <w:rsid w:val="003073F9"/>
    <w:rsid w:val="003077DA"/>
    <w:rsid w:val="00307868"/>
    <w:rsid w:val="0030797D"/>
    <w:rsid w:val="00307AA5"/>
    <w:rsid w:val="00307B49"/>
    <w:rsid w:val="00307BDB"/>
    <w:rsid w:val="00307C40"/>
    <w:rsid w:val="00307FEC"/>
    <w:rsid w:val="003102C6"/>
    <w:rsid w:val="003105B2"/>
    <w:rsid w:val="00310E98"/>
    <w:rsid w:val="003110AD"/>
    <w:rsid w:val="0031130F"/>
    <w:rsid w:val="00311D18"/>
    <w:rsid w:val="00312603"/>
    <w:rsid w:val="00312620"/>
    <w:rsid w:val="003126C4"/>
    <w:rsid w:val="003127BD"/>
    <w:rsid w:val="00313776"/>
    <w:rsid w:val="00313876"/>
    <w:rsid w:val="00314095"/>
    <w:rsid w:val="003145DA"/>
    <w:rsid w:val="00314963"/>
    <w:rsid w:val="00314D19"/>
    <w:rsid w:val="003152A6"/>
    <w:rsid w:val="003155DA"/>
    <w:rsid w:val="00315A21"/>
    <w:rsid w:val="00315AFA"/>
    <w:rsid w:val="00315CD6"/>
    <w:rsid w:val="00315DAC"/>
    <w:rsid w:val="00316092"/>
    <w:rsid w:val="00316158"/>
    <w:rsid w:val="0031662F"/>
    <w:rsid w:val="0031681E"/>
    <w:rsid w:val="00316C13"/>
    <w:rsid w:val="00317118"/>
    <w:rsid w:val="00317255"/>
    <w:rsid w:val="00317828"/>
    <w:rsid w:val="003178A0"/>
    <w:rsid w:val="00317A2F"/>
    <w:rsid w:val="00317E59"/>
    <w:rsid w:val="0032001A"/>
    <w:rsid w:val="00320182"/>
    <w:rsid w:val="00320335"/>
    <w:rsid w:val="003203B1"/>
    <w:rsid w:val="00320652"/>
    <w:rsid w:val="003208A3"/>
    <w:rsid w:val="00320E76"/>
    <w:rsid w:val="00320ED2"/>
    <w:rsid w:val="0032176C"/>
    <w:rsid w:val="00321A61"/>
    <w:rsid w:val="00321A8E"/>
    <w:rsid w:val="00321DA4"/>
    <w:rsid w:val="00321EBC"/>
    <w:rsid w:val="00321F43"/>
    <w:rsid w:val="003224B3"/>
    <w:rsid w:val="00322990"/>
    <w:rsid w:val="0032349B"/>
    <w:rsid w:val="00323BFD"/>
    <w:rsid w:val="00324D6F"/>
    <w:rsid w:val="00324F23"/>
    <w:rsid w:val="00324FAA"/>
    <w:rsid w:val="0032530C"/>
    <w:rsid w:val="00325430"/>
    <w:rsid w:val="0032553A"/>
    <w:rsid w:val="00325572"/>
    <w:rsid w:val="003257DD"/>
    <w:rsid w:val="003259DF"/>
    <w:rsid w:val="0032692D"/>
    <w:rsid w:val="00327482"/>
    <w:rsid w:val="003274D6"/>
    <w:rsid w:val="00327859"/>
    <w:rsid w:val="0032799B"/>
    <w:rsid w:val="00330559"/>
    <w:rsid w:val="00330DA2"/>
    <w:rsid w:val="00330E23"/>
    <w:rsid w:val="003310B0"/>
    <w:rsid w:val="00331456"/>
    <w:rsid w:val="0033170A"/>
    <w:rsid w:val="00331851"/>
    <w:rsid w:val="0033186D"/>
    <w:rsid w:val="0033188D"/>
    <w:rsid w:val="00331A11"/>
    <w:rsid w:val="00331A63"/>
    <w:rsid w:val="00331A9F"/>
    <w:rsid w:val="00331AB9"/>
    <w:rsid w:val="00331B38"/>
    <w:rsid w:val="00331D91"/>
    <w:rsid w:val="00331EF1"/>
    <w:rsid w:val="00332225"/>
    <w:rsid w:val="003331AB"/>
    <w:rsid w:val="003335E8"/>
    <w:rsid w:val="00333691"/>
    <w:rsid w:val="003337F8"/>
    <w:rsid w:val="0033399E"/>
    <w:rsid w:val="00333CD4"/>
    <w:rsid w:val="00333DA6"/>
    <w:rsid w:val="00333F5D"/>
    <w:rsid w:val="003348F1"/>
    <w:rsid w:val="00334BEE"/>
    <w:rsid w:val="00334FD7"/>
    <w:rsid w:val="00334FE0"/>
    <w:rsid w:val="00335473"/>
    <w:rsid w:val="003357F7"/>
    <w:rsid w:val="00335868"/>
    <w:rsid w:val="003366BF"/>
    <w:rsid w:val="003366D6"/>
    <w:rsid w:val="00336C4B"/>
    <w:rsid w:val="00336F37"/>
    <w:rsid w:val="00336F4E"/>
    <w:rsid w:val="00337280"/>
    <w:rsid w:val="003372B0"/>
    <w:rsid w:val="0033769D"/>
    <w:rsid w:val="00337968"/>
    <w:rsid w:val="003401C2"/>
    <w:rsid w:val="00340477"/>
    <w:rsid w:val="00340727"/>
    <w:rsid w:val="0034091D"/>
    <w:rsid w:val="003410AB"/>
    <w:rsid w:val="00341224"/>
    <w:rsid w:val="003413AE"/>
    <w:rsid w:val="003419BE"/>
    <w:rsid w:val="00341DA4"/>
    <w:rsid w:val="00341E5D"/>
    <w:rsid w:val="00341FB5"/>
    <w:rsid w:val="0034209D"/>
    <w:rsid w:val="0034267E"/>
    <w:rsid w:val="003431D4"/>
    <w:rsid w:val="003432A5"/>
    <w:rsid w:val="003433D1"/>
    <w:rsid w:val="003435D2"/>
    <w:rsid w:val="0034372A"/>
    <w:rsid w:val="003438E5"/>
    <w:rsid w:val="003439AF"/>
    <w:rsid w:val="003439F0"/>
    <w:rsid w:val="00343BE2"/>
    <w:rsid w:val="00344384"/>
    <w:rsid w:val="0034497F"/>
    <w:rsid w:val="00344A58"/>
    <w:rsid w:val="00344AEE"/>
    <w:rsid w:val="00344F41"/>
    <w:rsid w:val="003450A6"/>
    <w:rsid w:val="003450F4"/>
    <w:rsid w:val="00345A2E"/>
    <w:rsid w:val="00345D0B"/>
    <w:rsid w:val="00346615"/>
    <w:rsid w:val="0034690A"/>
    <w:rsid w:val="00346F08"/>
    <w:rsid w:val="0034713B"/>
    <w:rsid w:val="003473A2"/>
    <w:rsid w:val="0034753B"/>
    <w:rsid w:val="00347871"/>
    <w:rsid w:val="00347A2A"/>
    <w:rsid w:val="00347B5F"/>
    <w:rsid w:val="00347EA4"/>
    <w:rsid w:val="00350181"/>
    <w:rsid w:val="003501D2"/>
    <w:rsid w:val="0035034F"/>
    <w:rsid w:val="00351017"/>
    <w:rsid w:val="00351376"/>
    <w:rsid w:val="00352569"/>
    <w:rsid w:val="003532ED"/>
    <w:rsid w:val="00353748"/>
    <w:rsid w:val="0035389D"/>
    <w:rsid w:val="003538B2"/>
    <w:rsid w:val="00353A48"/>
    <w:rsid w:val="00353B21"/>
    <w:rsid w:val="00353B73"/>
    <w:rsid w:val="00353C3E"/>
    <w:rsid w:val="00353CD5"/>
    <w:rsid w:val="0035402A"/>
    <w:rsid w:val="003545CE"/>
    <w:rsid w:val="00354951"/>
    <w:rsid w:val="00355323"/>
    <w:rsid w:val="003559BD"/>
    <w:rsid w:val="00356047"/>
    <w:rsid w:val="00356660"/>
    <w:rsid w:val="0035699B"/>
    <w:rsid w:val="00356CF8"/>
    <w:rsid w:val="00356DBB"/>
    <w:rsid w:val="00357247"/>
    <w:rsid w:val="00357ADC"/>
    <w:rsid w:val="003606FE"/>
    <w:rsid w:val="00360740"/>
    <w:rsid w:val="003608A2"/>
    <w:rsid w:val="00360A13"/>
    <w:rsid w:val="00360B24"/>
    <w:rsid w:val="00360E59"/>
    <w:rsid w:val="00361556"/>
    <w:rsid w:val="00361AE5"/>
    <w:rsid w:val="00361C33"/>
    <w:rsid w:val="00362190"/>
    <w:rsid w:val="00362204"/>
    <w:rsid w:val="003625EB"/>
    <w:rsid w:val="003630D2"/>
    <w:rsid w:val="00363121"/>
    <w:rsid w:val="00363374"/>
    <w:rsid w:val="00363EE8"/>
    <w:rsid w:val="0036404F"/>
    <w:rsid w:val="00364231"/>
    <w:rsid w:val="00364826"/>
    <w:rsid w:val="00364930"/>
    <w:rsid w:val="00364E03"/>
    <w:rsid w:val="0036527E"/>
    <w:rsid w:val="0036595F"/>
    <w:rsid w:val="00365970"/>
    <w:rsid w:val="00365A54"/>
    <w:rsid w:val="0036601A"/>
    <w:rsid w:val="00366386"/>
    <w:rsid w:val="003663EF"/>
    <w:rsid w:val="0036645F"/>
    <w:rsid w:val="00366BF8"/>
    <w:rsid w:val="0036723C"/>
    <w:rsid w:val="0036750F"/>
    <w:rsid w:val="0036755D"/>
    <w:rsid w:val="003677C8"/>
    <w:rsid w:val="003677E8"/>
    <w:rsid w:val="00367B45"/>
    <w:rsid w:val="00367B52"/>
    <w:rsid w:val="00370263"/>
    <w:rsid w:val="0037093B"/>
    <w:rsid w:val="0037095C"/>
    <w:rsid w:val="003709E6"/>
    <w:rsid w:val="00370DCD"/>
    <w:rsid w:val="00371675"/>
    <w:rsid w:val="0037176D"/>
    <w:rsid w:val="003719AE"/>
    <w:rsid w:val="00372130"/>
    <w:rsid w:val="003721DD"/>
    <w:rsid w:val="00372664"/>
    <w:rsid w:val="00372AA0"/>
    <w:rsid w:val="00372DD5"/>
    <w:rsid w:val="00372F8E"/>
    <w:rsid w:val="00373236"/>
    <w:rsid w:val="00373DB2"/>
    <w:rsid w:val="00373EFE"/>
    <w:rsid w:val="00374205"/>
    <w:rsid w:val="0037428D"/>
    <w:rsid w:val="0037496E"/>
    <w:rsid w:val="00374C12"/>
    <w:rsid w:val="00375250"/>
    <w:rsid w:val="0037567F"/>
    <w:rsid w:val="0037570A"/>
    <w:rsid w:val="003757B3"/>
    <w:rsid w:val="003759A4"/>
    <w:rsid w:val="00375ADA"/>
    <w:rsid w:val="00375BB9"/>
    <w:rsid w:val="00375D45"/>
    <w:rsid w:val="0037639F"/>
    <w:rsid w:val="003764B1"/>
    <w:rsid w:val="0037650D"/>
    <w:rsid w:val="003765BB"/>
    <w:rsid w:val="00377264"/>
    <w:rsid w:val="00377845"/>
    <w:rsid w:val="00377A24"/>
    <w:rsid w:val="00377E71"/>
    <w:rsid w:val="00380569"/>
    <w:rsid w:val="00380812"/>
    <w:rsid w:val="003808BA"/>
    <w:rsid w:val="00380A78"/>
    <w:rsid w:val="0038124C"/>
    <w:rsid w:val="0038162B"/>
    <w:rsid w:val="003817A9"/>
    <w:rsid w:val="00381963"/>
    <w:rsid w:val="003819DC"/>
    <w:rsid w:val="00382B32"/>
    <w:rsid w:val="00382B47"/>
    <w:rsid w:val="00382C6E"/>
    <w:rsid w:val="00383216"/>
    <w:rsid w:val="003832EB"/>
    <w:rsid w:val="0038342B"/>
    <w:rsid w:val="00383977"/>
    <w:rsid w:val="00383F6A"/>
    <w:rsid w:val="00383F7E"/>
    <w:rsid w:val="0038400A"/>
    <w:rsid w:val="00384771"/>
    <w:rsid w:val="00384A36"/>
    <w:rsid w:val="00384D18"/>
    <w:rsid w:val="00384EF8"/>
    <w:rsid w:val="00385ACA"/>
    <w:rsid w:val="003863A6"/>
    <w:rsid w:val="003865A1"/>
    <w:rsid w:val="003867D0"/>
    <w:rsid w:val="003869FF"/>
    <w:rsid w:val="00387013"/>
    <w:rsid w:val="00387693"/>
    <w:rsid w:val="003876BC"/>
    <w:rsid w:val="003877DA"/>
    <w:rsid w:val="00387A01"/>
    <w:rsid w:val="00387CEA"/>
    <w:rsid w:val="0039049A"/>
    <w:rsid w:val="00390920"/>
    <w:rsid w:val="00390C7F"/>
    <w:rsid w:val="00390D03"/>
    <w:rsid w:val="003918ED"/>
    <w:rsid w:val="0039195A"/>
    <w:rsid w:val="00391B0F"/>
    <w:rsid w:val="00391D0E"/>
    <w:rsid w:val="00391F99"/>
    <w:rsid w:val="00392074"/>
    <w:rsid w:val="00392224"/>
    <w:rsid w:val="0039275E"/>
    <w:rsid w:val="00392BFF"/>
    <w:rsid w:val="00392C9F"/>
    <w:rsid w:val="00392D66"/>
    <w:rsid w:val="0039333C"/>
    <w:rsid w:val="00393783"/>
    <w:rsid w:val="00393B8F"/>
    <w:rsid w:val="00393DD9"/>
    <w:rsid w:val="00393DEB"/>
    <w:rsid w:val="00393EEB"/>
    <w:rsid w:val="0039420D"/>
    <w:rsid w:val="003949E1"/>
    <w:rsid w:val="00397342"/>
    <w:rsid w:val="00397377"/>
    <w:rsid w:val="003A01E2"/>
    <w:rsid w:val="003A058B"/>
    <w:rsid w:val="003A070D"/>
    <w:rsid w:val="003A091D"/>
    <w:rsid w:val="003A093C"/>
    <w:rsid w:val="003A0B4F"/>
    <w:rsid w:val="003A130A"/>
    <w:rsid w:val="003A1546"/>
    <w:rsid w:val="003A1563"/>
    <w:rsid w:val="003A170E"/>
    <w:rsid w:val="003A1D9C"/>
    <w:rsid w:val="003A1F4B"/>
    <w:rsid w:val="003A2025"/>
    <w:rsid w:val="003A258D"/>
    <w:rsid w:val="003A2EF2"/>
    <w:rsid w:val="003A3522"/>
    <w:rsid w:val="003A3528"/>
    <w:rsid w:val="003A3869"/>
    <w:rsid w:val="003A3BB0"/>
    <w:rsid w:val="003A3D05"/>
    <w:rsid w:val="003A464A"/>
    <w:rsid w:val="003A476A"/>
    <w:rsid w:val="003A4AB5"/>
    <w:rsid w:val="003A4C9D"/>
    <w:rsid w:val="003A4E63"/>
    <w:rsid w:val="003A5E89"/>
    <w:rsid w:val="003A5EF0"/>
    <w:rsid w:val="003A624C"/>
    <w:rsid w:val="003A6A14"/>
    <w:rsid w:val="003A6CF4"/>
    <w:rsid w:val="003A7001"/>
    <w:rsid w:val="003A7A24"/>
    <w:rsid w:val="003A7E95"/>
    <w:rsid w:val="003B0A92"/>
    <w:rsid w:val="003B153B"/>
    <w:rsid w:val="003B177F"/>
    <w:rsid w:val="003B1BE7"/>
    <w:rsid w:val="003B1E33"/>
    <w:rsid w:val="003B1FDA"/>
    <w:rsid w:val="003B21C6"/>
    <w:rsid w:val="003B24A8"/>
    <w:rsid w:val="003B2953"/>
    <w:rsid w:val="003B2CD7"/>
    <w:rsid w:val="003B3479"/>
    <w:rsid w:val="003B388F"/>
    <w:rsid w:val="003B38E5"/>
    <w:rsid w:val="003B3937"/>
    <w:rsid w:val="003B3BB3"/>
    <w:rsid w:val="003B4110"/>
    <w:rsid w:val="003B41B5"/>
    <w:rsid w:val="003B43BC"/>
    <w:rsid w:val="003B43C3"/>
    <w:rsid w:val="003B46B2"/>
    <w:rsid w:val="003B4832"/>
    <w:rsid w:val="003B4B07"/>
    <w:rsid w:val="003B552B"/>
    <w:rsid w:val="003B5621"/>
    <w:rsid w:val="003B56C3"/>
    <w:rsid w:val="003B575D"/>
    <w:rsid w:val="003B57EC"/>
    <w:rsid w:val="003B5BC9"/>
    <w:rsid w:val="003B657F"/>
    <w:rsid w:val="003B691C"/>
    <w:rsid w:val="003B6FB9"/>
    <w:rsid w:val="003B75AE"/>
    <w:rsid w:val="003B75C0"/>
    <w:rsid w:val="003B779E"/>
    <w:rsid w:val="003C02D4"/>
    <w:rsid w:val="003C0395"/>
    <w:rsid w:val="003C03F5"/>
    <w:rsid w:val="003C050A"/>
    <w:rsid w:val="003C0C34"/>
    <w:rsid w:val="003C0C3E"/>
    <w:rsid w:val="003C0C6F"/>
    <w:rsid w:val="003C0ED7"/>
    <w:rsid w:val="003C10A5"/>
    <w:rsid w:val="003C1643"/>
    <w:rsid w:val="003C1A1E"/>
    <w:rsid w:val="003C1C79"/>
    <w:rsid w:val="003C1F26"/>
    <w:rsid w:val="003C2435"/>
    <w:rsid w:val="003C26F0"/>
    <w:rsid w:val="003C2CBF"/>
    <w:rsid w:val="003C2D56"/>
    <w:rsid w:val="003C3019"/>
    <w:rsid w:val="003C3ACD"/>
    <w:rsid w:val="003C4172"/>
    <w:rsid w:val="003C4A8E"/>
    <w:rsid w:val="003C4B91"/>
    <w:rsid w:val="003C4C41"/>
    <w:rsid w:val="003C4D16"/>
    <w:rsid w:val="003C5B51"/>
    <w:rsid w:val="003C5F18"/>
    <w:rsid w:val="003C6197"/>
    <w:rsid w:val="003C648C"/>
    <w:rsid w:val="003C682B"/>
    <w:rsid w:val="003C6BE5"/>
    <w:rsid w:val="003C6C6A"/>
    <w:rsid w:val="003C76AE"/>
    <w:rsid w:val="003C7837"/>
    <w:rsid w:val="003C7840"/>
    <w:rsid w:val="003D0148"/>
    <w:rsid w:val="003D1419"/>
    <w:rsid w:val="003D16F2"/>
    <w:rsid w:val="003D1785"/>
    <w:rsid w:val="003D1C08"/>
    <w:rsid w:val="003D1E55"/>
    <w:rsid w:val="003D2562"/>
    <w:rsid w:val="003D25C0"/>
    <w:rsid w:val="003D29BF"/>
    <w:rsid w:val="003D2D44"/>
    <w:rsid w:val="003D2FF0"/>
    <w:rsid w:val="003D3180"/>
    <w:rsid w:val="003D318A"/>
    <w:rsid w:val="003D34BA"/>
    <w:rsid w:val="003D3FF9"/>
    <w:rsid w:val="003D3FFC"/>
    <w:rsid w:val="003D4258"/>
    <w:rsid w:val="003D43CC"/>
    <w:rsid w:val="003D470A"/>
    <w:rsid w:val="003D48FA"/>
    <w:rsid w:val="003D4C1C"/>
    <w:rsid w:val="003D562A"/>
    <w:rsid w:val="003D5655"/>
    <w:rsid w:val="003D5AFB"/>
    <w:rsid w:val="003D5FA9"/>
    <w:rsid w:val="003D6185"/>
    <w:rsid w:val="003D631D"/>
    <w:rsid w:val="003D73DC"/>
    <w:rsid w:val="003D77CD"/>
    <w:rsid w:val="003D7911"/>
    <w:rsid w:val="003D7AFB"/>
    <w:rsid w:val="003E06D8"/>
    <w:rsid w:val="003E1742"/>
    <w:rsid w:val="003E19E8"/>
    <w:rsid w:val="003E1DD5"/>
    <w:rsid w:val="003E1EB5"/>
    <w:rsid w:val="003E1F22"/>
    <w:rsid w:val="003E2102"/>
    <w:rsid w:val="003E21E1"/>
    <w:rsid w:val="003E230B"/>
    <w:rsid w:val="003E2D8A"/>
    <w:rsid w:val="003E3118"/>
    <w:rsid w:val="003E3AFD"/>
    <w:rsid w:val="003E4014"/>
    <w:rsid w:val="003E4320"/>
    <w:rsid w:val="003E49D1"/>
    <w:rsid w:val="003E49E5"/>
    <w:rsid w:val="003E4B55"/>
    <w:rsid w:val="003E517C"/>
    <w:rsid w:val="003E5321"/>
    <w:rsid w:val="003E54B7"/>
    <w:rsid w:val="003E5894"/>
    <w:rsid w:val="003E5C24"/>
    <w:rsid w:val="003E689E"/>
    <w:rsid w:val="003E68E3"/>
    <w:rsid w:val="003E6CA9"/>
    <w:rsid w:val="003E6FF5"/>
    <w:rsid w:val="003E7484"/>
    <w:rsid w:val="003E77D3"/>
    <w:rsid w:val="003E7AB1"/>
    <w:rsid w:val="003F0017"/>
    <w:rsid w:val="003F0141"/>
    <w:rsid w:val="003F01A5"/>
    <w:rsid w:val="003F098B"/>
    <w:rsid w:val="003F0B9B"/>
    <w:rsid w:val="003F0DFE"/>
    <w:rsid w:val="003F134F"/>
    <w:rsid w:val="003F14C8"/>
    <w:rsid w:val="003F1555"/>
    <w:rsid w:val="003F1575"/>
    <w:rsid w:val="003F15F6"/>
    <w:rsid w:val="003F1898"/>
    <w:rsid w:val="003F26C9"/>
    <w:rsid w:val="003F3562"/>
    <w:rsid w:val="003F3695"/>
    <w:rsid w:val="003F3A0B"/>
    <w:rsid w:val="003F406F"/>
    <w:rsid w:val="003F41A8"/>
    <w:rsid w:val="003F49A4"/>
    <w:rsid w:val="003F4FF0"/>
    <w:rsid w:val="003F50BF"/>
    <w:rsid w:val="003F557D"/>
    <w:rsid w:val="003F57B1"/>
    <w:rsid w:val="003F5B33"/>
    <w:rsid w:val="003F5E18"/>
    <w:rsid w:val="003F5E98"/>
    <w:rsid w:val="003F66D4"/>
    <w:rsid w:val="003F6B6C"/>
    <w:rsid w:val="003F6BD9"/>
    <w:rsid w:val="003F6DD6"/>
    <w:rsid w:val="003F6E4B"/>
    <w:rsid w:val="003F6ED8"/>
    <w:rsid w:val="003F7157"/>
    <w:rsid w:val="003F72F7"/>
    <w:rsid w:val="003F73EF"/>
    <w:rsid w:val="003F73FB"/>
    <w:rsid w:val="003F7699"/>
    <w:rsid w:val="0040012E"/>
    <w:rsid w:val="00400DAF"/>
    <w:rsid w:val="00401092"/>
    <w:rsid w:val="004013AD"/>
    <w:rsid w:val="00401555"/>
    <w:rsid w:val="004019D4"/>
    <w:rsid w:val="00401A0F"/>
    <w:rsid w:val="00401F69"/>
    <w:rsid w:val="004023F9"/>
    <w:rsid w:val="0040268B"/>
    <w:rsid w:val="00402741"/>
    <w:rsid w:val="004029D0"/>
    <w:rsid w:val="00402FD0"/>
    <w:rsid w:val="00403275"/>
    <w:rsid w:val="004033D6"/>
    <w:rsid w:val="00403705"/>
    <w:rsid w:val="00403B42"/>
    <w:rsid w:val="0040406C"/>
    <w:rsid w:val="00404169"/>
    <w:rsid w:val="004041D1"/>
    <w:rsid w:val="004043B2"/>
    <w:rsid w:val="004044CD"/>
    <w:rsid w:val="0040494C"/>
    <w:rsid w:val="00404BED"/>
    <w:rsid w:val="00404CC4"/>
    <w:rsid w:val="00404E32"/>
    <w:rsid w:val="004050D9"/>
    <w:rsid w:val="004050DC"/>
    <w:rsid w:val="0040531B"/>
    <w:rsid w:val="004053C8"/>
    <w:rsid w:val="004057CB"/>
    <w:rsid w:val="004059BC"/>
    <w:rsid w:val="004074FF"/>
    <w:rsid w:val="0040795B"/>
    <w:rsid w:val="00407ABC"/>
    <w:rsid w:val="004100C9"/>
    <w:rsid w:val="004104CB"/>
    <w:rsid w:val="00410793"/>
    <w:rsid w:val="00410D92"/>
    <w:rsid w:val="00410F4F"/>
    <w:rsid w:val="00411015"/>
    <w:rsid w:val="00411082"/>
    <w:rsid w:val="00411108"/>
    <w:rsid w:val="00411BA1"/>
    <w:rsid w:val="00411D9A"/>
    <w:rsid w:val="00411E89"/>
    <w:rsid w:val="00412AEF"/>
    <w:rsid w:val="00412C5A"/>
    <w:rsid w:val="00412F94"/>
    <w:rsid w:val="00413B4D"/>
    <w:rsid w:val="00413CFD"/>
    <w:rsid w:val="00413D78"/>
    <w:rsid w:val="004141B8"/>
    <w:rsid w:val="00414234"/>
    <w:rsid w:val="00414BAE"/>
    <w:rsid w:val="00414E65"/>
    <w:rsid w:val="00414EFC"/>
    <w:rsid w:val="00415893"/>
    <w:rsid w:val="00415C71"/>
    <w:rsid w:val="004163DA"/>
    <w:rsid w:val="004166EA"/>
    <w:rsid w:val="00416779"/>
    <w:rsid w:val="00416D40"/>
    <w:rsid w:val="00417190"/>
    <w:rsid w:val="0041777C"/>
    <w:rsid w:val="004177FB"/>
    <w:rsid w:val="00420BB6"/>
    <w:rsid w:val="00420CB6"/>
    <w:rsid w:val="00421743"/>
    <w:rsid w:val="004217D7"/>
    <w:rsid w:val="004219E7"/>
    <w:rsid w:val="00421D0B"/>
    <w:rsid w:val="00422119"/>
    <w:rsid w:val="00422657"/>
    <w:rsid w:val="00422F30"/>
    <w:rsid w:val="00423072"/>
    <w:rsid w:val="0042309C"/>
    <w:rsid w:val="00423102"/>
    <w:rsid w:val="00423281"/>
    <w:rsid w:val="00423E07"/>
    <w:rsid w:val="00424169"/>
    <w:rsid w:val="00424D5B"/>
    <w:rsid w:val="004252BA"/>
    <w:rsid w:val="0042530D"/>
    <w:rsid w:val="00425FAE"/>
    <w:rsid w:val="004261C5"/>
    <w:rsid w:val="00426B0B"/>
    <w:rsid w:val="004270DD"/>
    <w:rsid w:val="004272CB"/>
    <w:rsid w:val="004277D8"/>
    <w:rsid w:val="00427CB3"/>
    <w:rsid w:val="0043034A"/>
    <w:rsid w:val="00430551"/>
    <w:rsid w:val="00430913"/>
    <w:rsid w:val="00430B0B"/>
    <w:rsid w:val="00430C81"/>
    <w:rsid w:val="00430DF1"/>
    <w:rsid w:val="00430EF6"/>
    <w:rsid w:val="00431207"/>
    <w:rsid w:val="004312CD"/>
    <w:rsid w:val="00431975"/>
    <w:rsid w:val="004319E7"/>
    <w:rsid w:val="004321D3"/>
    <w:rsid w:val="00432479"/>
    <w:rsid w:val="00432DAB"/>
    <w:rsid w:val="00433E53"/>
    <w:rsid w:val="00433F6B"/>
    <w:rsid w:val="0043460C"/>
    <w:rsid w:val="00434961"/>
    <w:rsid w:val="00434C9C"/>
    <w:rsid w:val="00434ED0"/>
    <w:rsid w:val="00436056"/>
    <w:rsid w:val="00436259"/>
    <w:rsid w:val="00436358"/>
    <w:rsid w:val="00436415"/>
    <w:rsid w:val="0043657D"/>
    <w:rsid w:val="00436591"/>
    <w:rsid w:val="00437B19"/>
    <w:rsid w:val="004403AC"/>
    <w:rsid w:val="004416FD"/>
    <w:rsid w:val="00441A25"/>
    <w:rsid w:val="00441B16"/>
    <w:rsid w:val="004425AA"/>
    <w:rsid w:val="00442BC9"/>
    <w:rsid w:val="00442BDE"/>
    <w:rsid w:val="00442E37"/>
    <w:rsid w:val="00442FD4"/>
    <w:rsid w:val="00443C40"/>
    <w:rsid w:val="00443DD9"/>
    <w:rsid w:val="0044470D"/>
    <w:rsid w:val="0044476F"/>
    <w:rsid w:val="004447CC"/>
    <w:rsid w:val="00444AEC"/>
    <w:rsid w:val="00444E95"/>
    <w:rsid w:val="00445389"/>
    <w:rsid w:val="004457FE"/>
    <w:rsid w:val="0044621D"/>
    <w:rsid w:val="004466A7"/>
    <w:rsid w:val="00446F80"/>
    <w:rsid w:val="00447017"/>
    <w:rsid w:val="004470ED"/>
    <w:rsid w:val="00447776"/>
    <w:rsid w:val="00447865"/>
    <w:rsid w:val="004479D3"/>
    <w:rsid w:val="00447C0B"/>
    <w:rsid w:val="00447E52"/>
    <w:rsid w:val="00450C31"/>
    <w:rsid w:val="004510EF"/>
    <w:rsid w:val="00451304"/>
    <w:rsid w:val="004513FC"/>
    <w:rsid w:val="00452687"/>
    <w:rsid w:val="00452688"/>
    <w:rsid w:val="00452A09"/>
    <w:rsid w:val="00453003"/>
    <w:rsid w:val="00453073"/>
    <w:rsid w:val="004530A3"/>
    <w:rsid w:val="0045313D"/>
    <w:rsid w:val="0045329A"/>
    <w:rsid w:val="004538C2"/>
    <w:rsid w:val="004539D6"/>
    <w:rsid w:val="004539E2"/>
    <w:rsid w:val="00453FC5"/>
    <w:rsid w:val="0045413A"/>
    <w:rsid w:val="00454213"/>
    <w:rsid w:val="0045428E"/>
    <w:rsid w:val="00454AA9"/>
    <w:rsid w:val="00454F1B"/>
    <w:rsid w:val="004550C7"/>
    <w:rsid w:val="0045532E"/>
    <w:rsid w:val="004556E4"/>
    <w:rsid w:val="00455B6E"/>
    <w:rsid w:val="00455EEC"/>
    <w:rsid w:val="00456296"/>
    <w:rsid w:val="0045635A"/>
    <w:rsid w:val="00456517"/>
    <w:rsid w:val="0045691C"/>
    <w:rsid w:val="00456ADE"/>
    <w:rsid w:val="00457031"/>
    <w:rsid w:val="00457521"/>
    <w:rsid w:val="0045790B"/>
    <w:rsid w:val="00457AC6"/>
    <w:rsid w:val="00457EAA"/>
    <w:rsid w:val="00460166"/>
    <w:rsid w:val="00460386"/>
    <w:rsid w:val="00460CC1"/>
    <w:rsid w:val="00460DB0"/>
    <w:rsid w:val="00461488"/>
    <w:rsid w:val="004615A1"/>
    <w:rsid w:val="004618E7"/>
    <w:rsid w:val="00461E52"/>
    <w:rsid w:val="004620AD"/>
    <w:rsid w:val="00462337"/>
    <w:rsid w:val="00462436"/>
    <w:rsid w:val="0046270D"/>
    <w:rsid w:val="00463600"/>
    <w:rsid w:val="0046372A"/>
    <w:rsid w:val="00463A08"/>
    <w:rsid w:val="00463F76"/>
    <w:rsid w:val="004643E2"/>
    <w:rsid w:val="004644B2"/>
    <w:rsid w:val="00464667"/>
    <w:rsid w:val="00464B46"/>
    <w:rsid w:val="00464B6E"/>
    <w:rsid w:val="00464CAF"/>
    <w:rsid w:val="00464F40"/>
    <w:rsid w:val="00466000"/>
    <w:rsid w:val="00466322"/>
    <w:rsid w:val="004664EC"/>
    <w:rsid w:val="00466533"/>
    <w:rsid w:val="00466547"/>
    <w:rsid w:val="0046661C"/>
    <w:rsid w:val="00466A39"/>
    <w:rsid w:val="00466ABA"/>
    <w:rsid w:val="00466BE0"/>
    <w:rsid w:val="00466E5A"/>
    <w:rsid w:val="004673DC"/>
    <w:rsid w:val="00470222"/>
    <w:rsid w:val="00470645"/>
    <w:rsid w:val="00470B18"/>
    <w:rsid w:val="00471585"/>
    <w:rsid w:val="00471719"/>
    <w:rsid w:val="00471CA1"/>
    <w:rsid w:val="00471CE9"/>
    <w:rsid w:val="004720D8"/>
    <w:rsid w:val="004722C1"/>
    <w:rsid w:val="004727B6"/>
    <w:rsid w:val="00472A69"/>
    <w:rsid w:val="00472CD7"/>
    <w:rsid w:val="00472D4B"/>
    <w:rsid w:val="00472E91"/>
    <w:rsid w:val="0047336B"/>
    <w:rsid w:val="0047341C"/>
    <w:rsid w:val="00473649"/>
    <w:rsid w:val="004737BD"/>
    <w:rsid w:val="00473A57"/>
    <w:rsid w:val="00473AB7"/>
    <w:rsid w:val="00474130"/>
    <w:rsid w:val="00474236"/>
    <w:rsid w:val="00474406"/>
    <w:rsid w:val="0047544F"/>
    <w:rsid w:val="00475AB3"/>
    <w:rsid w:val="004762CD"/>
    <w:rsid w:val="004765A3"/>
    <w:rsid w:val="00476D59"/>
    <w:rsid w:val="00477196"/>
    <w:rsid w:val="0047721D"/>
    <w:rsid w:val="00477A3E"/>
    <w:rsid w:val="00477AB4"/>
    <w:rsid w:val="00477ADE"/>
    <w:rsid w:val="00477C1E"/>
    <w:rsid w:val="0048000F"/>
    <w:rsid w:val="00480B2C"/>
    <w:rsid w:val="00480CA6"/>
    <w:rsid w:val="0048140D"/>
    <w:rsid w:val="00481899"/>
    <w:rsid w:val="00481AD5"/>
    <w:rsid w:val="00481EA9"/>
    <w:rsid w:val="004823BA"/>
    <w:rsid w:val="00482D37"/>
    <w:rsid w:val="00482FBD"/>
    <w:rsid w:val="0048305F"/>
    <w:rsid w:val="00483334"/>
    <w:rsid w:val="00483746"/>
    <w:rsid w:val="00483B11"/>
    <w:rsid w:val="00483B85"/>
    <w:rsid w:val="00483C02"/>
    <w:rsid w:val="004841F5"/>
    <w:rsid w:val="0048442E"/>
    <w:rsid w:val="0048479D"/>
    <w:rsid w:val="0048492C"/>
    <w:rsid w:val="00484B89"/>
    <w:rsid w:val="00485858"/>
    <w:rsid w:val="004858E4"/>
    <w:rsid w:val="00485F32"/>
    <w:rsid w:val="00486D69"/>
    <w:rsid w:val="004872D0"/>
    <w:rsid w:val="004873DA"/>
    <w:rsid w:val="00487524"/>
    <w:rsid w:val="004876D4"/>
    <w:rsid w:val="00487CC9"/>
    <w:rsid w:val="00487DDB"/>
    <w:rsid w:val="00487EE9"/>
    <w:rsid w:val="00490114"/>
    <w:rsid w:val="004908AD"/>
    <w:rsid w:val="00491031"/>
    <w:rsid w:val="00491445"/>
    <w:rsid w:val="004915C6"/>
    <w:rsid w:val="004916C7"/>
    <w:rsid w:val="00491A1F"/>
    <w:rsid w:val="00491A8E"/>
    <w:rsid w:val="00491A9A"/>
    <w:rsid w:val="004927B3"/>
    <w:rsid w:val="004929ED"/>
    <w:rsid w:val="00492C34"/>
    <w:rsid w:val="00493002"/>
    <w:rsid w:val="004930E7"/>
    <w:rsid w:val="004932C6"/>
    <w:rsid w:val="004933EA"/>
    <w:rsid w:val="00493464"/>
    <w:rsid w:val="00493643"/>
    <w:rsid w:val="00493655"/>
    <w:rsid w:val="00494515"/>
    <w:rsid w:val="00494647"/>
    <w:rsid w:val="0049481F"/>
    <w:rsid w:val="00494B0B"/>
    <w:rsid w:val="00494D54"/>
    <w:rsid w:val="00495346"/>
    <w:rsid w:val="0049570D"/>
    <w:rsid w:val="00495AE4"/>
    <w:rsid w:val="00495D39"/>
    <w:rsid w:val="00495E9B"/>
    <w:rsid w:val="00495ED8"/>
    <w:rsid w:val="00495F74"/>
    <w:rsid w:val="00496102"/>
    <w:rsid w:val="00496776"/>
    <w:rsid w:val="00496DD9"/>
    <w:rsid w:val="00496E7D"/>
    <w:rsid w:val="00496F8B"/>
    <w:rsid w:val="00497001"/>
    <w:rsid w:val="00497CAB"/>
    <w:rsid w:val="004A0041"/>
    <w:rsid w:val="004A01B2"/>
    <w:rsid w:val="004A057D"/>
    <w:rsid w:val="004A0909"/>
    <w:rsid w:val="004A0AFA"/>
    <w:rsid w:val="004A0C37"/>
    <w:rsid w:val="004A0D00"/>
    <w:rsid w:val="004A129F"/>
    <w:rsid w:val="004A15DA"/>
    <w:rsid w:val="004A1942"/>
    <w:rsid w:val="004A1D69"/>
    <w:rsid w:val="004A1E58"/>
    <w:rsid w:val="004A2046"/>
    <w:rsid w:val="004A21CD"/>
    <w:rsid w:val="004A29B9"/>
    <w:rsid w:val="004A2CF4"/>
    <w:rsid w:val="004A2DEC"/>
    <w:rsid w:val="004A3820"/>
    <w:rsid w:val="004A3AFB"/>
    <w:rsid w:val="004A3B0A"/>
    <w:rsid w:val="004A4256"/>
    <w:rsid w:val="004A4705"/>
    <w:rsid w:val="004A4715"/>
    <w:rsid w:val="004A4999"/>
    <w:rsid w:val="004A50A1"/>
    <w:rsid w:val="004A5230"/>
    <w:rsid w:val="004A52A4"/>
    <w:rsid w:val="004A5B28"/>
    <w:rsid w:val="004B0181"/>
    <w:rsid w:val="004B03A6"/>
    <w:rsid w:val="004B0549"/>
    <w:rsid w:val="004B0807"/>
    <w:rsid w:val="004B0C63"/>
    <w:rsid w:val="004B1267"/>
    <w:rsid w:val="004B194B"/>
    <w:rsid w:val="004B2127"/>
    <w:rsid w:val="004B2322"/>
    <w:rsid w:val="004B2364"/>
    <w:rsid w:val="004B3093"/>
    <w:rsid w:val="004B30BC"/>
    <w:rsid w:val="004B3209"/>
    <w:rsid w:val="004B34AD"/>
    <w:rsid w:val="004B34E3"/>
    <w:rsid w:val="004B38BC"/>
    <w:rsid w:val="004B39D5"/>
    <w:rsid w:val="004B3A9A"/>
    <w:rsid w:val="004B44BE"/>
    <w:rsid w:val="004B4500"/>
    <w:rsid w:val="004B4792"/>
    <w:rsid w:val="004B490A"/>
    <w:rsid w:val="004B51E0"/>
    <w:rsid w:val="004B5DE8"/>
    <w:rsid w:val="004B5E0C"/>
    <w:rsid w:val="004B616E"/>
    <w:rsid w:val="004B65E0"/>
    <w:rsid w:val="004B67AB"/>
    <w:rsid w:val="004B718A"/>
    <w:rsid w:val="004B7387"/>
    <w:rsid w:val="004B7519"/>
    <w:rsid w:val="004B7887"/>
    <w:rsid w:val="004B7C2F"/>
    <w:rsid w:val="004C008A"/>
    <w:rsid w:val="004C00D0"/>
    <w:rsid w:val="004C01A0"/>
    <w:rsid w:val="004C0265"/>
    <w:rsid w:val="004C0789"/>
    <w:rsid w:val="004C0C36"/>
    <w:rsid w:val="004C0CB4"/>
    <w:rsid w:val="004C11C1"/>
    <w:rsid w:val="004C1537"/>
    <w:rsid w:val="004C1557"/>
    <w:rsid w:val="004C1895"/>
    <w:rsid w:val="004C24AA"/>
    <w:rsid w:val="004C2870"/>
    <w:rsid w:val="004C2C76"/>
    <w:rsid w:val="004C361B"/>
    <w:rsid w:val="004C3821"/>
    <w:rsid w:val="004C3A33"/>
    <w:rsid w:val="004C4E70"/>
    <w:rsid w:val="004C4FEA"/>
    <w:rsid w:val="004C5188"/>
    <w:rsid w:val="004C5300"/>
    <w:rsid w:val="004C5A07"/>
    <w:rsid w:val="004C6524"/>
    <w:rsid w:val="004C66C6"/>
    <w:rsid w:val="004C6760"/>
    <w:rsid w:val="004C72A4"/>
    <w:rsid w:val="004C7C9F"/>
    <w:rsid w:val="004C7EB9"/>
    <w:rsid w:val="004D0091"/>
    <w:rsid w:val="004D041E"/>
    <w:rsid w:val="004D0516"/>
    <w:rsid w:val="004D062D"/>
    <w:rsid w:val="004D0784"/>
    <w:rsid w:val="004D0B07"/>
    <w:rsid w:val="004D0DCA"/>
    <w:rsid w:val="004D0E04"/>
    <w:rsid w:val="004D1B3B"/>
    <w:rsid w:val="004D1E0B"/>
    <w:rsid w:val="004D22F7"/>
    <w:rsid w:val="004D275D"/>
    <w:rsid w:val="004D2A11"/>
    <w:rsid w:val="004D305E"/>
    <w:rsid w:val="004D31C4"/>
    <w:rsid w:val="004D326F"/>
    <w:rsid w:val="004D393A"/>
    <w:rsid w:val="004D3DDD"/>
    <w:rsid w:val="004D4445"/>
    <w:rsid w:val="004D449E"/>
    <w:rsid w:val="004D498B"/>
    <w:rsid w:val="004D4E67"/>
    <w:rsid w:val="004D500C"/>
    <w:rsid w:val="004D51DA"/>
    <w:rsid w:val="004D548D"/>
    <w:rsid w:val="004D55F5"/>
    <w:rsid w:val="004D5B5E"/>
    <w:rsid w:val="004D610F"/>
    <w:rsid w:val="004D643F"/>
    <w:rsid w:val="004D64B0"/>
    <w:rsid w:val="004D7247"/>
    <w:rsid w:val="004D794C"/>
    <w:rsid w:val="004D7B74"/>
    <w:rsid w:val="004D7B88"/>
    <w:rsid w:val="004D7DD7"/>
    <w:rsid w:val="004D7ECE"/>
    <w:rsid w:val="004E01C6"/>
    <w:rsid w:val="004E02D9"/>
    <w:rsid w:val="004E06D9"/>
    <w:rsid w:val="004E1355"/>
    <w:rsid w:val="004E1ABE"/>
    <w:rsid w:val="004E1CF7"/>
    <w:rsid w:val="004E1D54"/>
    <w:rsid w:val="004E1D6B"/>
    <w:rsid w:val="004E20B8"/>
    <w:rsid w:val="004E21DB"/>
    <w:rsid w:val="004E2210"/>
    <w:rsid w:val="004E2709"/>
    <w:rsid w:val="004E344A"/>
    <w:rsid w:val="004E3606"/>
    <w:rsid w:val="004E37B3"/>
    <w:rsid w:val="004E37C4"/>
    <w:rsid w:val="004E3901"/>
    <w:rsid w:val="004E3B3C"/>
    <w:rsid w:val="004E3B42"/>
    <w:rsid w:val="004E4432"/>
    <w:rsid w:val="004E5211"/>
    <w:rsid w:val="004E54B1"/>
    <w:rsid w:val="004E55A5"/>
    <w:rsid w:val="004E56F6"/>
    <w:rsid w:val="004E576D"/>
    <w:rsid w:val="004E5B44"/>
    <w:rsid w:val="004E5BD0"/>
    <w:rsid w:val="004E5EB8"/>
    <w:rsid w:val="004E60CE"/>
    <w:rsid w:val="004E626B"/>
    <w:rsid w:val="004E728C"/>
    <w:rsid w:val="004E75C5"/>
    <w:rsid w:val="004E75CB"/>
    <w:rsid w:val="004E7A80"/>
    <w:rsid w:val="004E7DBA"/>
    <w:rsid w:val="004F04B0"/>
    <w:rsid w:val="004F053E"/>
    <w:rsid w:val="004F1245"/>
    <w:rsid w:val="004F1981"/>
    <w:rsid w:val="004F1AC9"/>
    <w:rsid w:val="004F1BBB"/>
    <w:rsid w:val="004F1BC3"/>
    <w:rsid w:val="004F2779"/>
    <w:rsid w:val="004F29E6"/>
    <w:rsid w:val="004F2D28"/>
    <w:rsid w:val="004F2ED9"/>
    <w:rsid w:val="004F380C"/>
    <w:rsid w:val="004F3CD2"/>
    <w:rsid w:val="004F3F99"/>
    <w:rsid w:val="004F423A"/>
    <w:rsid w:val="004F4C81"/>
    <w:rsid w:val="004F5199"/>
    <w:rsid w:val="004F520C"/>
    <w:rsid w:val="004F5666"/>
    <w:rsid w:val="004F58ED"/>
    <w:rsid w:val="004F602A"/>
    <w:rsid w:val="004F6559"/>
    <w:rsid w:val="004F683E"/>
    <w:rsid w:val="004F7021"/>
    <w:rsid w:val="004F74AB"/>
    <w:rsid w:val="004F7AB0"/>
    <w:rsid w:val="00500039"/>
    <w:rsid w:val="00500232"/>
    <w:rsid w:val="00500287"/>
    <w:rsid w:val="00500501"/>
    <w:rsid w:val="00500CA0"/>
    <w:rsid w:val="00501016"/>
    <w:rsid w:val="005011BF"/>
    <w:rsid w:val="0050123E"/>
    <w:rsid w:val="00501E18"/>
    <w:rsid w:val="0050222B"/>
    <w:rsid w:val="005024AB"/>
    <w:rsid w:val="005025D0"/>
    <w:rsid w:val="00502718"/>
    <w:rsid w:val="00502857"/>
    <w:rsid w:val="00502DA3"/>
    <w:rsid w:val="00502ECE"/>
    <w:rsid w:val="00503383"/>
    <w:rsid w:val="005034C5"/>
    <w:rsid w:val="00503F69"/>
    <w:rsid w:val="00503FA8"/>
    <w:rsid w:val="00504295"/>
    <w:rsid w:val="0050437A"/>
    <w:rsid w:val="00504492"/>
    <w:rsid w:val="00504E4D"/>
    <w:rsid w:val="00504F11"/>
    <w:rsid w:val="005054C7"/>
    <w:rsid w:val="00505747"/>
    <w:rsid w:val="00505A80"/>
    <w:rsid w:val="0050664D"/>
    <w:rsid w:val="00506750"/>
    <w:rsid w:val="0050680A"/>
    <w:rsid w:val="0050684E"/>
    <w:rsid w:val="0050700D"/>
    <w:rsid w:val="005071B6"/>
    <w:rsid w:val="0050799B"/>
    <w:rsid w:val="00510927"/>
    <w:rsid w:val="005110D9"/>
    <w:rsid w:val="00511656"/>
    <w:rsid w:val="00511915"/>
    <w:rsid w:val="00511A52"/>
    <w:rsid w:val="005125A7"/>
    <w:rsid w:val="00512C00"/>
    <w:rsid w:val="00512E20"/>
    <w:rsid w:val="00512E88"/>
    <w:rsid w:val="005134BC"/>
    <w:rsid w:val="005138A5"/>
    <w:rsid w:val="00515785"/>
    <w:rsid w:val="005160D0"/>
    <w:rsid w:val="0051635A"/>
    <w:rsid w:val="0051692F"/>
    <w:rsid w:val="00516B14"/>
    <w:rsid w:val="00517061"/>
    <w:rsid w:val="0051735F"/>
    <w:rsid w:val="005175DB"/>
    <w:rsid w:val="00517603"/>
    <w:rsid w:val="00517683"/>
    <w:rsid w:val="00517AE9"/>
    <w:rsid w:val="00517DE1"/>
    <w:rsid w:val="005204C1"/>
    <w:rsid w:val="0052068A"/>
    <w:rsid w:val="0052069F"/>
    <w:rsid w:val="00520937"/>
    <w:rsid w:val="00520BE2"/>
    <w:rsid w:val="00520EB1"/>
    <w:rsid w:val="00521071"/>
    <w:rsid w:val="0052108B"/>
    <w:rsid w:val="005210AC"/>
    <w:rsid w:val="00521185"/>
    <w:rsid w:val="005217F3"/>
    <w:rsid w:val="00522158"/>
    <w:rsid w:val="005224FF"/>
    <w:rsid w:val="005225A9"/>
    <w:rsid w:val="005227EE"/>
    <w:rsid w:val="0052282E"/>
    <w:rsid w:val="00523259"/>
    <w:rsid w:val="005234C4"/>
    <w:rsid w:val="00523938"/>
    <w:rsid w:val="00523AC8"/>
    <w:rsid w:val="00523BDB"/>
    <w:rsid w:val="00523DAB"/>
    <w:rsid w:val="00523F1D"/>
    <w:rsid w:val="00524106"/>
    <w:rsid w:val="0052429F"/>
    <w:rsid w:val="0052485E"/>
    <w:rsid w:val="005248A9"/>
    <w:rsid w:val="00525126"/>
    <w:rsid w:val="00525410"/>
    <w:rsid w:val="0052578F"/>
    <w:rsid w:val="00525E28"/>
    <w:rsid w:val="00526111"/>
    <w:rsid w:val="00526958"/>
    <w:rsid w:val="00526979"/>
    <w:rsid w:val="00526C0E"/>
    <w:rsid w:val="00526EB0"/>
    <w:rsid w:val="00526FE6"/>
    <w:rsid w:val="00527009"/>
    <w:rsid w:val="0052708C"/>
    <w:rsid w:val="005274AB"/>
    <w:rsid w:val="005275F2"/>
    <w:rsid w:val="0052760D"/>
    <w:rsid w:val="005278F5"/>
    <w:rsid w:val="00527F15"/>
    <w:rsid w:val="0053065A"/>
    <w:rsid w:val="0053098E"/>
    <w:rsid w:val="00530C0C"/>
    <w:rsid w:val="005321A2"/>
    <w:rsid w:val="005322DE"/>
    <w:rsid w:val="00532A93"/>
    <w:rsid w:val="00533222"/>
    <w:rsid w:val="005334C7"/>
    <w:rsid w:val="00533755"/>
    <w:rsid w:val="005338EE"/>
    <w:rsid w:val="005339D9"/>
    <w:rsid w:val="00533BAC"/>
    <w:rsid w:val="00533E83"/>
    <w:rsid w:val="005340C6"/>
    <w:rsid w:val="00534166"/>
    <w:rsid w:val="005341F2"/>
    <w:rsid w:val="00534488"/>
    <w:rsid w:val="0053484D"/>
    <w:rsid w:val="00534913"/>
    <w:rsid w:val="00534A6B"/>
    <w:rsid w:val="005360DA"/>
    <w:rsid w:val="0053640E"/>
    <w:rsid w:val="00537074"/>
    <w:rsid w:val="0053731A"/>
    <w:rsid w:val="005376C2"/>
    <w:rsid w:val="00537C64"/>
    <w:rsid w:val="00537E7B"/>
    <w:rsid w:val="00540023"/>
    <w:rsid w:val="00540256"/>
    <w:rsid w:val="00540344"/>
    <w:rsid w:val="005404F6"/>
    <w:rsid w:val="005407AE"/>
    <w:rsid w:val="005415D7"/>
    <w:rsid w:val="0054194F"/>
    <w:rsid w:val="00541B7B"/>
    <w:rsid w:val="00541C06"/>
    <w:rsid w:val="00542530"/>
    <w:rsid w:val="005428D3"/>
    <w:rsid w:val="00542AA4"/>
    <w:rsid w:val="00542FAD"/>
    <w:rsid w:val="00543370"/>
    <w:rsid w:val="005446B8"/>
    <w:rsid w:val="00544DFA"/>
    <w:rsid w:val="00544E9D"/>
    <w:rsid w:val="00544F0A"/>
    <w:rsid w:val="00545089"/>
    <w:rsid w:val="005451CF"/>
    <w:rsid w:val="005458D5"/>
    <w:rsid w:val="00545B1C"/>
    <w:rsid w:val="00545D75"/>
    <w:rsid w:val="00545EF1"/>
    <w:rsid w:val="005462BA"/>
    <w:rsid w:val="00546521"/>
    <w:rsid w:val="00546C84"/>
    <w:rsid w:val="00546EAB"/>
    <w:rsid w:val="00547E41"/>
    <w:rsid w:val="005500F2"/>
    <w:rsid w:val="0055024D"/>
    <w:rsid w:val="005502CF"/>
    <w:rsid w:val="005509D3"/>
    <w:rsid w:val="00550B51"/>
    <w:rsid w:val="00550E4B"/>
    <w:rsid w:val="00551819"/>
    <w:rsid w:val="00551839"/>
    <w:rsid w:val="00551F28"/>
    <w:rsid w:val="00552303"/>
    <w:rsid w:val="005528AC"/>
    <w:rsid w:val="00552A14"/>
    <w:rsid w:val="00552E89"/>
    <w:rsid w:val="00553B2A"/>
    <w:rsid w:val="00554564"/>
    <w:rsid w:val="005545A7"/>
    <w:rsid w:val="00554657"/>
    <w:rsid w:val="00554C3F"/>
    <w:rsid w:val="00554F8B"/>
    <w:rsid w:val="005551EE"/>
    <w:rsid w:val="0055531B"/>
    <w:rsid w:val="00555369"/>
    <w:rsid w:val="00555440"/>
    <w:rsid w:val="005556D9"/>
    <w:rsid w:val="0055596B"/>
    <w:rsid w:val="005559DF"/>
    <w:rsid w:val="00555C4D"/>
    <w:rsid w:val="00555DF8"/>
    <w:rsid w:val="00556562"/>
    <w:rsid w:val="0055661E"/>
    <w:rsid w:val="00556C28"/>
    <w:rsid w:val="00556D64"/>
    <w:rsid w:val="00556F65"/>
    <w:rsid w:val="00556F7C"/>
    <w:rsid w:val="005571B1"/>
    <w:rsid w:val="005575BB"/>
    <w:rsid w:val="00557A51"/>
    <w:rsid w:val="00557AC4"/>
    <w:rsid w:val="00557D29"/>
    <w:rsid w:val="005602A2"/>
    <w:rsid w:val="00560491"/>
    <w:rsid w:val="00560CDE"/>
    <w:rsid w:val="00560D2F"/>
    <w:rsid w:val="00561325"/>
    <w:rsid w:val="0056183F"/>
    <w:rsid w:val="00561966"/>
    <w:rsid w:val="00562124"/>
    <w:rsid w:val="00562253"/>
    <w:rsid w:val="005623B8"/>
    <w:rsid w:val="005630FD"/>
    <w:rsid w:val="00563895"/>
    <w:rsid w:val="00563FCC"/>
    <w:rsid w:val="0056446E"/>
    <w:rsid w:val="005645D7"/>
    <w:rsid w:val="00564E50"/>
    <w:rsid w:val="00564F2A"/>
    <w:rsid w:val="00565177"/>
    <w:rsid w:val="005652BC"/>
    <w:rsid w:val="0056566A"/>
    <w:rsid w:val="00565900"/>
    <w:rsid w:val="00565BBF"/>
    <w:rsid w:val="00565D8B"/>
    <w:rsid w:val="00565F8A"/>
    <w:rsid w:val="005662DD"/>
    <w:rsid w:val="005663EE"/>
    <w:rsid w:val="00566603"/>
    <w:rsid w:val="00566966"/>
    <w:rsid w:val="00566AD8"/>
    <w:rsid w:val="00566ECE"/>
    <w:rsid w:val="00567010"/>
    <w:rsid w:val="00567426"/>
    <w:rsid w:val="00567449"/>
    <w:rsid w:val="00567849"/>
    <w:rsid w:val="0056793E"/>
    <w:rsid w:val="00567ADE"/>
    <w:rsid w:val="00567C36"/>
    <w:rsid w:val="00567D26"/>
    <w:rsid w:val="00567ECD"/>
    <w:rsid w:val="005705EF"/>
    <w:rsid w:val="00570A39"/>
    <w:rsid w:val="00570DBC"/>
    <w:rsid w:val="00570E8A"/>
    <w:rsid w:val="00571220"/>
    <w:rsid w:val="00571425"/>
    <w:rsid w:val="00571787"/>
    <w:rsid w:val="00571CA6"/>
    <w:rsid w:val="005723EA"/>
    <w:rsid w:val="005724CC"/>
    <w:rsid w:val="0057313C"/>
    <w:rsid w:val="0057318B"/>
    <w:rsid w:val="00573956"/>
    <w:rsid w:val="00573A65"/>
    <w:rsid w:val="00573BA7"/>
    <w:rsid w:val="00573FBE"/>
    <w:rsid w:val="0057423F"/>
    <w:rsid w:val="005750D9"/>
    <w:rsid w:val="00575351"/>
    <w:rsid w:val="00575BE3"/>
    <w:rsid w:val="00575C60"/>
    <w:rsid w:val="005763C1"/>
    <w:rsid w:val="00576A3B"/>
    <w:rsid w:val="00576F7F"/>
    <w:rsid w:val="00577080"/>
    <w:rsid w:val="005771ED"/>
    <w:rsid w:val="005773CC"/>
    <w:rsid w:val="00577834"/>
    <w:rsid w:val="00577A1C"/>
    <w:rsid w:val="00577ABB"/>
    <w:rsid w:val="00577B3D"/>
    <w:rsid w:val="00577C65"/>
    <w:rsid w:val="005806F6"/>
    <w:rsid w:val="00580E2C"/>
    <w:rsid w:val="005815D7"/>
    <w:rsid w:val="00581875"/>
    <w:rsid w:val="00581C99"/>
    <w:rsid w:val="00582004"/>
    <w:rsid w:val="00582026"/>
    <w:rsid w:val="005821AE"/>
    <w:rsid w:val="00582301"/>
    <w:rsid w:val="00583209"/>
    <w:rsid w:val="005833B9"/>
    <w:rsid w:val="0058348C"/>
    <w:rsid w:val="00583B18"/>
    <w:rsid w:val="00583D64"/>
    <w:rsid w:val="00583F20"/>
    <w:rsid w:val="005844DF"/>
    <w:rsid w:val="005845E7"/>
    <w:rsid w:val="00584676"/>
    <w:rsid w:val="005847A7"/>
    <w:rsid w:val="00584888"/>
    <w:rsid w:val="005849C6"/>
    <w:rsid w:val="00584B8F"/>
    <w:rsid w:val="00585385"/>
    <w:rsid w:val="005858F7"/>
    <w:rsid w:val="005859CF"/>
    <w:rsid w:val="00585ADD"/>
    <w:rsid w:val="00585E18"/>
    <w:rsid w:val="00585E23"/>
    <w:rsid w:val="0058600B"/>
    <w:rsid w:val="00586385"/>
    <w:rsid w:val="00586666"/>
    <w:rsid w:val="005868BA"/>
    <w:rsid w:val="00586AA2"/>
    <w:rsid w:val="00586BE6"/>
    <w:rsid w:val="00586E72"/>
    <w:rsid w:val="00587966"/>
    <w:rsid w:val="00587AE9"/>
    <w:rsid w:val="00587C54"/>
    <w:rsid w:val="005907A2"/>
    <w:rsid w:val="005907CC"/>
    <w:rsid w:val="00591BA1"/>
    <w:rsid w:val="00591C71"/>
    <w:rsid w:val="00591E35"/>
    <w:rsid w:val="0059230D"/>
    <w:rsid w:val="005927CD"/>
    <w:rsid w:val="00592CF4"/>
    <w:rsid w:val="00592EB1"/>
    <w:rsid w:val="00592F97"/>
    <w:rsid w:val="00593534"/>
    <w:rsid w:val="005935B3"/>
    <w:rsid w:val="005937A0"/>
    <w:rsid w:val="00593A15"/>
    <w:rsid w:val="00593C4D"/>
    <w:rsid w:val="00593D04"/>
    <w:rsid w:val="005942D3"/>
    <w:rsid w:val="00594668"/>
    <w:rsid w:val="005948B8"/>
    <w:rsid w:val="00594E43"/>
    <w:rsid w:val="00595166"/>
    <w:rsid w:val="005956DF"/>
    <w:rsid w:val="0059599D"/>
    <w:rsid w:val="00595BDD"/>
    <w:rsid w:val="00595D63"/>
    <w:rsid w:val="00595D8F"/>
    <w:rsid w:val="00595FBB"/>
    <w:rsid w:val="0059613F"/>
    <w:rsid w:val="00596294"/>
    <w:rsid w:val="005974DC"/>
    <w:rsid w:val="0059791A"/>
    <w:rsid w:val="00597D9B"/>
    <w:rsid w:val="00597EA6"/>
    <w:rsid w:val="00597F23"/>
    <w:rsid w:val="005A03FE"/>
    <w:rsid w:val="005A04D4"/>
    <w:rsid w:val="005A0654"/>
    <w:rsid w:val="005A0879"/>
    <w:rsid w:val="005A0AFE"/>
    <w:rsid w:val="005A108C"/>
    <w:rsid w:val="005A11B0"/>
    <w:rsid w:val="005A1A13"/>
    <w:rsid w:val="005A1BA7"/>
    <w:rsid w:val="005A23A2"/>
    <w:rsid w:val="005A27FF"/>
    <w:rsid w:val="005A293C"/>
    <w:rsid w:val="005A2CC7"/>
    <w:rsid w:val="005A2D9C"/>
    <w:rsid w:val="005A2EF4"/>
    <w:rsid w:val="005A37DA"/>
    <w:rsid w:val="005A3F35"/>
    <w:rsid w:val="005A44FE"/>
    <w:rsid w:val="005A47BD"/>
    <w:rsid w:val="005A49CE"/>
    <w:rsid w:val="005A4A3E"/>
    <w:rsid w:val="005A5135"/>
    <w:rsid w:val="005A52E1"/>
    <w:rsid w:val="005A53E0"/>
    <w:rsid w:val="005A540B"/>
    <w:rsid w:val="005A54A8"/>
    <w:rsid w:val="005A6D7D"/>
    <w:rsid w:val="005A700E"/>
    <w:rsid w:val="005A71E4"/>
    <w:rsid w:val="005A7709"/>
    <w:rsid w:val="005A78E2"/>
    <w:rsid w:val="005A7DAD"/>
    <w:rsid w:val="005B0583"/>
    <w:rsid w:val="005B0E11"/>
    <w:rsid w:val="005B1657"/>
    <w:rsid w:val="005B16FC"/>
    <w:rsid w:val="005B2144"/>
    <w:rsid w:val="005B21BB"/>
    <w:rsid w:val="005B29C0"/>
    <w:rsid w:val="005B30E3"/>
    <w:rsid w:val="005B32D0"/>
    <w:rsid w:val="005B33A9"/>
    <w:rsid w:val="005B3810"/>
    <w:rsid w:val="005B3ABE"/>
    <w:rsid w:val="005B3F9F"/>
    <w:rsid w:val="005B434A"/>
    <w:rsid w:val="005B4464"/>
    <w:rsid w:val="005B4DFC"/>
    <w:rsid w:val="005B528C"/>
    <w:rsid w:val="005B5678"/>
    <w:rsid w:val="005B5F97"/>
    <w:rsid w:val="005B63BF"/>
    <w:rsid w:val="005B6CF8"/>
    <w:rsid w:val="005B77FE"/>
    <w:rsid w:val="005B7FB4"/>
    <w:rsid w:val="005C076F"/>
    <w:rsid w:val="005C0839"/>
    <w:rsid w:val="005C0B31"/>
    <w:rsid w:val="005C0CB1"/>
    <w:rsid w:val="005C11DD"/>
    <w:rsid w:val="005C1323"/>
    <w:rsid w:val="005C1B5F"/>
    <w:rsid w:val="005C1B9D"/>
    <w:rsid w:val="005C1E47"/>
    <w:rsid w:val="005C1FFF"/>
    <w:rsid w:val="005C254F"/>
    <w:rsid w:val="005C255D"/>
    <w:rsid w:val="005C25BB"/>
    <w:rsid w:val="005C2886"/>
    <w:rsid w:val="005C290C"/>
    <w:rsid w:val="005C2D0E"/>
    <w:rsid w:val="005C36C3"/>
    <w:rsid w:val="005C3E69"/>
    <w:rsid w:val="005C42B2"/>
    <w:rsid w:val="005C4851"/>
    <w:rsid w:val="005C4A04"/>
    <w:rsid w:val="005C4FDF"/>
    <w:rsid w:val="005C5550"/>
    <w:rsid w:val="005C578D"/>
    <w:rsid w:val="005C60D5"/>
    <w:rsid w:val="005C62AE"/>
    <w:rsid w:val="005C65FD"/>
    <w:rsid w:val="005C6E42"/>
    <w:rsid w:val="005C6F1A"/>
    <w:rsid w:val="005C737E"/>
    <w:rsid w:val="005C7A1A"/>
    <w:rsid w:val="005C7E94"/>
    <w:rsid w:val="005C7EF9"/>
    <w:rsid w:val="005D0043"/>
    <w:rsid w:val="005D04BD"/>
    <w:rsid w:val="005D1986"/>
    <w:rsid w:val="005D26B4"/>
    <w:rsid w:val="005D27F9"/>
    <w:rsid w:val="005D4D5D"/>
    <w:rsid w:val="005D5195"/>
    <w:rsid w:val="005D5804"/>
    <w:rsid w:val="005D5ACB"/>
    <w:rsid w:val="005D603A"/>
    <w:rsid w:val="005D60B8"/>
    <w:rsid w:val="005D6267"/>
    <w:rsid w:val="005D66A4"/>
    <w:rsid w:val="005D6803"/>
    <w:rsid w:val="005D6A6E"/>
    <w:rsid w:val="005D75D6"/>
    <w:rsid w:val="005D76A5"/>
    <w:rsid w:val="005D7B33"/>
    <w:rsid w:val="005D7F9D"/>
    <w:rsid w:val="005E0155"/>
    <w:rsid w:val="005E01FF"/>
    <w:rsid w:val="005E096C"/>
    <w:rsid w:val="005E0A24"/>
    <w:rsid w:val="005E0E12"/>
    <w:rsid w:val="005E175A"/>
    <w:rsid w:val="005E17B0"/>
    <w:rsid w:val="005E1A2F"/>
    <w:rsid w:val="005E1E6B"/>
    <w:rsid w:val="005E2A9A"/>
    <w:rsid w:val="005E2AED"/>
    <w:rsid w:val="005E3365"/>
    <w:rsid w:val="005E34A7"/>
    <w:rsid w:val="005E361B"/>
    <w:rsid w:val="005E42EC"/>
    <w:rsid w:val="005E4888"/>
    <w:rsid w:val="005E496E"/>
    <w:rsid w:val="005E4AC7"/>
    <w:rsid w:val="005E4D73"/>
    <w:rsid w:val="005E5101"/>
    <w:rsid w:val="005E5477"/>
    <w:rsid w:val="005E54FB"/>
    <w:rsid w:val="005E57B5"/>
    <w:rsid w:val="005E57E6"/>
    <w:rsid w:val="005E5817"/>
    <w:rsid w:val="005E5A0D"/>
    <w:rsid w:val="005E5FA2"/>
    <w:rsid w:val="005E609E"/>
    <w:rsid w:val="005E6F5C"/>
    <w:rsid w:val="005E7107"/>
    <w:rsid w:val="005E73CF"/>
    <w:rsid w:val="005E76D0"/>
    <w:rsid w:val="005E7783"/>
    <w:rsid w:val="005E7A6B"/>
    <w:rsid w:val="005E7C6D"/>
    <w:rsid w:val="005F0482"/>
    <w:rsid w:val="005F0593"/>
    <w:rsid w:val="005F0757"/>
    <w:rsid w:val="005F0E96"/>
    <w:rsid w:val="005F125F"/>
    <w:rsid w:val="005F20B5"/>
    <w:rsid w:val="005F2338"/>
    <w:rsid w:val="005F25C2"/>
    <w:rsid w:val="005F270B"/>
    <w:rsid w:val="005F2A30"/>
    <w:rsid w:val="005F2E29"/>
    <w:rsid w:val="005F2F38"/>
    <w:rsid w:val="005F2FCC"/>
    <w:rsid w:val="005F3E6B"/>
    <w:rsid w:val="005F43D6"/>
    <w:rsid w:val="005F4465"/>
    <w:rsid w:val="005F4F61"/>
    <w:rsid w:val="005F5164"/>
    <w:rsid w:val="005F5CBB"/>
    <w:rsid w:val="005F623C"/>
    <w:rsid w:val="005F643D"/>
    <w:rsid w:val="005F66E3"/>
    <w:rsid w:val="005F6D68"/>
    <w:rsid w:val="005F70EA"/>
    <w:rsid w:val="005F773A"/>
    <w:rsid w:val="005F7FD4"/>
    <w:rsid w:val="006006DB"/>
    <w:rsid w:val="00600895"/>
    <w:rsid w:val="00600D10"/>
    <w:rsid w:val="00600D4A"/>
    <w:rsid w:val="00600F1E"/>
    <w:rsid w:val="00601814"/>
    <w:rsid w:val="00601947"/>
    <w:rsid w:val="00601B89"/>
    <w:rsid w:val="00601E9D"/>
    <w:rsid w:val="0060296A"/>
    <w:rsid w:val="00602A40"/>
    <w:rsid w:val="00602D16"/>
    <w:rsid w:val="006030AB"/>
    <w:rsid w:val="00603669"/>
    <w:rsid w:val="00603EDE"/>
    <w:rsid w:val="00603F80"/>
    <w:rsid w:val="0060416B"/>
    <w:rsid w:val="00604209"/>
    <w:rsid w:val="0060433F"/>
    <w:rsid w:val="006046E5"/>
    <w:rsid w:val="00605140"/>
    <w:rsid w:val="00605409"/>
    <w:rsid w:val="00605623"/>
    <w:rsid w:val="00605779"/>
    <w:rsid w:val="00605A8B"/>
    <w:rsid w:val="00605BD8"/>
    <w:rsid w:val="00605CC1"/>
    <w:rsid w:val="00605F79"/>
    <w:rsid w:val="00606166"/>
    <w:rsid w:val="006068D2"/>
    <w:rsid w:val="00606991"/>
    <w:rsid w:val="00606BE5"/>
    <w:rsid w:val="00606D32"/>
    <w:rsid w:val="00606EE7"/>
    <w:rsid w:val="00606FC5"/>
    <w:rsid w:val="00607432"/>
    <w:rsid w:val="006078EA"/>
    <w:rsid w:val="00607FB6"/>
    <w:rsid w:val="0061029D"/>
    <w:rsid w:val="006104CC"/>
    <w:rsid w:val="00610A71"/>
    <w:rsid w:val="00610C35"/>
    <w:rsid w:val="006113F8"/>
    <w:rsid w:val="006114C2"/>
    <w:rsid w:val="00611A58"/>
    <w:rsid w:val="00611C67"/>
    <w:rsid w:val="00612012"/>
    <w:rsid w:val="006122D1"/>
    <w:rsid w:val="006123DC"/>
    <w:rsid w:val="00612E72"/>
    <w:rsid w:val="00612EB0"/>
    <w:rsid w:val="00612EF2"/>
    <w:rsid w:val="006136D1"/>
    <w:rsid w:val="006137EF"/>
    <w:rsid w:val="00613BCD"/>
    <w:rsid w:val="006144E8"/>
    <w:rsid w:val="006148FE"/>
    <w:rsid w:val="006151BC"/>
    <w:rsid w:val="00615498"/>
    <w:rsid w:val="00615CB7"/>
    <w:rsid w:val="00615DD1"/>
    <w:rsid w:val="00616357"/>
    <w:rsid w:val="00616AD2"/>
    <w:rsid w:val="00616B5E"/>
    <w:rsid w:val="00616E70"/>
    <w:rsid w:val="006178B3"/>
    <w:rsid w:val="006179CC"/>
    <w:rsid w:val="00617AB7"/>
    <w:rsid w:val="00620058"/>
    <w:rsid w:val="006204DC"/>
    <w:rsid w:val="00620B4A"/>
    <w:rsid w:val="0062123B"/>
    <w:rsid w:val="0062125A"/>
    <w:rsid w:val="00621609"/>
    <w:rsid w:val="006219B7"/>
    <w:rsid w:val="006220DE"/>
    <w:rsid w:val="006223E6"/>
    <w:rsid w:val="0062288C"/>
    <w:rsid w:val="0062292C"/>
    <w:rsid w:val="006230FB"/>
    <w:rsid w:val="00623331"/>
    <w:rsid w:val="00623416"/>
    <w:rsid w:val="006238B0"/>
    <w:rsid w:val="00623AEF"/>
    <w:rsid w:val="00623F80"/>
    <w:rsid w:val="006240AE"/>
    <w:rsid w:val="00624158"/>
    <w:rsid w:val="00624394"/>
    <w:rsid w:val="006246C0"/>
    <w:rsid w:val="00624D4F"/>
    <w:rsid w:val="00624E03"/>
    <w:rsid w:val="00625709"/>
    <w:rsid w:val="006257A6"/>
    <w:rsid w:val="00625F91"/>
    <w:rsid w:val="00626025"/>
    <w:rsid w:val="006261B0"/>
    <w:rsid w:val="00626F5F"/>
    <w:rsid w:val="0062717C"/>
    <w:rsid w:val="00627D61"/>
    <w:rsid w:val="00627E0D"/>
    <w:rsid w:val="00630859"/>
    <w:rsid w:val="00630A94"/>
    <w:rsid w:val="00630D08"/>
    <w:rsid w:val="00630E66"/>
    <w:rsid w:val="00630E68"/>
    <w:rsid w:val="0063126D"/>
    <w:rsid w:val="00631795"/>
    <w:rsid w:val="006325D7"/>
    <w:rsid w:val="00632AA7"/>
    <w:rsid w:val="00632E9B"/>
    <w:rsid w:val="00633220"/>
    <w:rsid w:val="00633525"/>
    <w:rsid w:val="0063375B"/>
    <w:rsid w:val="006337AC"/>
    <w:rsid w:val="00633A70"/>
    <w:rsid w:val="006340F7"/>
    <w:rsid w:val="00634C00"/>
    <w:rsid w:val="00634C86"/>
    <w:rsid w:val="00635136"/>
    <w:rsid w:val="006351B5"/>
    <w:rsid w:val="00635232"/>
    <w:rsid w:val="00635502"/>
    <w:rsid w:val="00635723"/>
    <w:rsid w:val="006358DC"/>
    <w:rsid w:val="00635AFA"/>
    <w:rsid w:val="00635B8B"/>
    <w:rsid w:val="00635CDE"/>
    <w:rsid w:val="0063606F"/>
    <w:rsid w:val="006363DB"/>
    <w:rsid w:val="00636968"/>
    <w:rsid w:val="00636EAE"/>
    <w:rsid w:val="0063739B"/>
    <w:rsid w:val="00637622"/>
    <w:rsid w:val="006378DD"/>
    <w:rsid w:val="00637A40"/>
    <w:rsid w:val="00637CC3"/>
    <w:rsid w:val="006401AB"/>
    <w:rsid w:val="00640523"/>
    <w:rsid w:val="00640CE7"/>
    <w:rsid w:val="00640F50"/>
    <w:rsid w:val="00641243"/>
    <w:rsid w:val="006412B4"/>
    <w:rsid w:val="006414D7"/>
    <w:rsid w:val="00641CFB"/>
    <w:rsid w:val="00641F2E"/>
    <w:rsid w:val="00641F96"/>
    <w:rsid w:val="00642303"/>
    <w:rsid w:val="00642364"/>
    <w:rsid w:val="00642710"/>
    <w:rsid w:val="00642D1A"/>
    <w:rsid w:val="00642D2B"/>
    <w:rsid w:val="00642E1D"/>
    <w:rsid w:val="00642E6B"/>
    <w:rsid w:val="00642FA6"/>
    <w:rsid w:val="0064337D"/>
    <w:rsid w:val="00643708"/>
    <w:rsid w:val="0064424C"/>
    <w:rsid w:val="0064441F"/>
    <w:rsid w:val="0064446D"/>
    <w:rsid w:val="006447E4"/>
    <w:rsid w:val="00644A74"/>
    <w:rsid w:val="00644D45"/>
    <w:rsid w:val="00644F42"/>
    <w:rsid w:val="0064529E"/>
    <w:rsid w:val="0064587E"/>
    <w:rsid w:val="00646325"/>
    <w:rsid w:val="0064640F"/>
    <w:rsid w:val="00646646"/>
    <w:rsid w:val="00646733"/>
    <w:rsid w:val="00646874"/>
    <w:rsid w:val="0064694F"/>
    <w:rsid w:val="00646C72"/>
    <w:rsid w:val="00647509"/>
    <w:rsid w:val="006477A0"/>
    <w:rsid w:val="00650232"/>
    <w:rsid w:val="00650420"/>
    <w:rsid w:val="00650493"/>
    <w:rsid w:val="00650824"/>
    <w:rsid w:val="0065087A"/>
    <w:rsid w:val="00650A2B"/>
    <w:rsid w:val="00650A79"/>
    <w:rsid w:val="00650C05"/>
    <w:rsid w:val="00650E5E"/>
    <w:rsid w:val="00650EAE"/>
    <w:rsid w:val="0065125A"/>
    <w:rsid w:val="00651725"/>
    <w:rsid w:val="00651AFD"/>
    <w:rsid w:val="00651C27"/>
    <w:rsid w:val="00651DFB"/>
    <w:rsid w:val="00651F37"/>
    <w:rsid w:val="00652BFA"/>
    <w:rsid w:val="00652EF0"/>
    <w:rsid w:val="00653064"/>
    <w:rsid w:val="0065312F"/>
    <w:rsid w:val="006535E3"/>
    <w:rsid w:val="00653B03"/>
    <w:rsid w:val="00653DE5"/>
    <w:rsid w:val="00653F0B"/>
    <w:rsid w:val="00653F2B"/>
    <w:rsid w:val="00654AEF"/>
    <w:rsid w:val="00654C59"/>
    <w:rsid w:val="00654D72"/>
    <w:rsid w:val="006551C3"/>
    <w:rsid w:val="0065528F"/>
    <w:rsid w:val="006554FE"/>
    <w:rsid w:val="0065572E"/>
    <w:rsid w:val="00655829"/>
    <w:rsid w:val="0065603E"/>
    <w:rsid w:val="006560CD"/>
    <w:rsid w:val="006562AE"/>
    <w:rsid w:val="00656BA2"/>
    <w:rsid w:val="00656D66"/>
    <w:rsid w:val="00656F1B"/>
    <w:rsid w:val="00657274"/>
    <w:rsid w:val="0065737C"/>
    <w:rsid w:val="0065738C"/>
    <w:rsid w:val="006573DD"/>
    <w:rsid w:val="006574EE"/>
    <w:rsid w:val="00657B75"/>
    <w:rsid w:val="00657D69"/>
    <w:rsid w:val="0066007A"/>
    <w:rsid w:val="0066017D"/>
    <w:rsid w:val="0066096A"/>
    <w:rsid w:val="00660A6A"/>
    <w:rsid w:val="00660B1A"/>
    <w:rsid w:val="00661947"/>
    <w:rsid w:val="00661DD9"/>
    <w:rsid w:val="00662118"/>
    <w:rsid w:val="006626DA"/>
    <w:rsid w:val="006629E3"/>
    <w:rsid w:val="00662A46"/>
    <w:rsid w:val="00662E0E"/>
    <w:rsid w:val="0066316B"/>
    <w:rsid w:val="006631B9"/>
    <w:rsid w:val="0066324C"/>
    <w:rsid w:val="006632B2"/>
    <w:rsid w:val="00663594"/>
    <w:rsid w:val="00663B76"/>
    <w:rsid w:val="00663F26"/>
    <w:rsid w:val="0066402C"/>
    <w:rsid w:val="006642A0"/>
    <w:rsid w:val="006643F6"/>
    <w:rsid w:val="00664AB4"/>
    <w:rsid w:val="00664D40"/>
    <w:rsid w:val="00665DE6"/>
    <w:rsid w:val="00666536"/>
    <w:rsid w:val="0066675F"/>
    <w:rsid w:val="00666F5F"/>
    <w:rsid w:val="006672B0"/>
    <w:rsid w:val="00667548"/>
    <w:rsid w:val="006676AF"/>
    <w:rsid w:val="00667A24"/>
    <w:rsid w:val="00670408"/>
    <w:rsid w:val="00670598"/>
    <w:rsid w:val="0067066A"/>
    <w:rsid w:val="00670771"/>
    <w:rsid w:val="0067079C"/>
    <w:rsid w:val="00670955"/>
    <w:rsid w:val="00670D7B"/>
    <w:rsid w:val="00670FBE"/>
    <w:rsid w:val="0067102C"/>
    <w:rsid w:val="00671491"/>
    <w:rsid w:val="0067170A"/>
    <w:rsid w:val="006718FF"/>
    <w:rsid w:val="006719D4"/>
    <w:rsid w:val="00671F6A"/>
    <w:rsid w:val="0067281E"/>
    <w:rsid w:val="00672908"/>
    <w:rsid w:val="00672976"/>
    <w:rsid w:val="00672D40"/>
    <w:rsid w:val="00672D5F"/>
    <w:rsid w:val="0067306B"/>
    <w:rsid w:val="006734D1"/>
    <w:rsid w:val="006738AE"/>
    <w:rsid w:val="00673ADA"/>
    <w:rsid w:val="00673B90"/>
    <w:rsid w:val="00673F0F"/>
    <w:rsid w:val="00674082"/>
    <w:rsid w:val="00674470"/>
    <w:rsid w:val="006744B1"/>
    <w:rsid w:val="00674A63"/>
    <w:rsid w:val="00674B46"/>
    <w:rsid w:val="00675192"/>
    <w:rsid w:val="00675373"/>
    <w:rsid w:val="00675388"/>
    <w:rsid w:val="00675496"/>
    <w:rsid w:val="0067598C"/>
    <w:rsid w:val="00676542"/>
    <w:rsid w:val="00676919"/>
    <w:rsid w:val="00676B0C"/>
    <w:rsid w:val="00676CDE"/>
    <w:rsid w:val="0067762A"/>
    <w:rsid w:val="00677651"/>
    <w:rsid w:val="00677B18"/>
    <w:rsid w:val="0068014C"/>
    <w:rsid w:val="006804C3"/>
    <w:rsid w:val="006804FC"/>
    <w:rsid w:val="00680630"/>
    <w:rsid w:val="00680BD5"/>
    <w:rsid w:val="00680DC1"/>
    <w:rsid w:val="00680FB5"/>
    <w:rsid w:val="00680FC2"/>
    <w:rsid w:val="00681227"/>
    <w:rsid w:val="006812F7"/>
    <w:rsid w:val="00681329"/>
    <w:rsid w:val="00681892"/>
    <w:rsid w:val="0068189F"/>
    <w:rsid w:val="00681F71"/>
    <w:rsid w:val="00682143"/>
    <w:rsid w:val="006824CB"/>
    <w:rsid w:val="006824DA"/>
    <w:rsid w:val="00682541"/>
    <w:rsid w:val="00682621"/>
    <w:rsid w:val="00682742"/>
    <w:rsid w:val="00683C4A"/>
    <w:rsid w:val="00683CB1"/>
    <w:rsid w:val="00684250"/>
    <w:rsid w:val="00684615"/>
    <w:rsid w:val="00684AB6"/>
    <w:rsid w:val="006850D1"/>
    <w:rsid w:val="00685255"/>
    <w:rsid w:val="00685751"/>
    <w:rsid w:val="0068591D"/>
    <w:rsid w:val="00685AC9"/>
    <w:rsid w:val="00685FFB"/>
    <w:rsid w:val="0068619E"/>
    <w:rsid w:val="006865AE"/>
    <w:rsid w:val="00686872"/>
    <w:rsid w:val="00686CBB"/>
    <w:rsid w:val="00687062"/>
    <w:rsid w:val="0068716D"/>
    <w:rsid w:val="006873A3"/>
    <w:rsid w:val="006875F7"/>
    <w:rsid w:val="0068791E"/>
    <w:rsid w:val="0068794B"/>
    <w:rsid w:val="006879E1"/>
    <w:rsid w:val="0069022D"/>
    <w:rsid w:val="00690A14"/>
    <w:rsid w:val="00690D19"/>
    <w:rsid w:val="006913EF"/>
    <w:rsid w:val="006917B5"/>
    <w:rsid w:val="00691DA1"/>
    <w:rsid w:val="00691F7A"/>
    <w:rsid w:val="006921EF"/>
    <w:rsid w:val="006924AA"/>
    <w:rsid w:val="0069267C"/>
    <w:rsid w:val="006927FE"/>
    <w:rsid w:val="00692E0E"/>
    <w:rsid w:val="00692F20"/>
    <w:rsid w:val="006933A5"/>
    <w:rsid w:val="0069370A"/>
    <w:rsid w:val="00693B76"/>
    <w:rsid w:val="0069475F"/>
    <w:rsid w:val="0069498F"/>
    <w:rsid w:val="00695073"/>
    <w:rsid w:val="006952E8"/>
    <w:rsid w:val="00695BC0"/>
    <w:rsid w:val="0069674C"/>
    <w:rsid w:val="006968AE"/>
    <w:rsid w:val="00696DE6"/>
    <w:rsid w:val="00696F1B"/>
    <w:rsid w:val="00697075"/>
    <w:rsid w:val="006973F3"/>
    <w:rsid w:val="00697687"/>
    <w:rsid w:val="00697791"/>
    <w:rsid w:val="0069785B"/>
    <w:rsid w:val="00697BB0"/>
    <w:rsid w:val="00697E40"/>
    <w:rsid w:val="00697F8E"/>
    <w:rsid w:val="006A0010"/>
    <w:rsid w:val="006A0AEC"/>
    <w:rsid w:val="006A0CCD"/>
    <w:rsid w:val="006A0E88"/>
    <w:rsid w:val="006A0F84"/>
    <w:rsid w:val="006A1257"/>
    <w:rsid w:val="006A13CC"/>
    <w:rsid w:val="006A19CC"/>
    <w:rsid w:val="006A2069"/>
    <w:rsid w:val="006A2DEC"/>
    <w:rsid w:val="006A2FB8"/>
    <w:rsid w:val="006A3886"/>
    <w:rsid w:val="006A3BED"/>
    <w:rsid w:val="006A406D"/>
    <w:rsid w:val="006A46D8"/>
    <w:rsid w:val="006A4A4B"/>
    <w:rsid w:val="006A4BD7"/>
    <w:rsid w:val="006A515D"/>
    <w:rsid w:val="006A5854"/>
    <w:rsid w:val="006A618C"/>
    <w:rsid w:val="006A6AF5"/>
    <w:rsid w:val="006A6B99"/>
    <w:rsid w:val="006A6DE4"/>
    <w:rsid w:val="006A6E46"/>
    <w:rsid w:val="006A6FB3"/>
    <w:rsid w:val="006A7061"/>
    <w:rsid w:val="006A7137"/>
    <w:rsid w:val="006A76E0"/>
    <w:rsid w:val="006A77C0"/>
    <w:rsid w:val="006A7A76"/>
    <w:rsid w:val="006B004D"/>
    <w:rsid w:val="006B0687"/>
    <w:rsid w:val="006B1ADA"/>
    <w:rsid w:val="006B1DB5"/>
    <w:rsid w:val="006B230E"/>
    <w:rsid w:val="006B2AC0"/>
    <w:rsid w:val="006B2CCD"/>
    <w:rsid w:val="006B3449"/>
    <w:rsid w:val="006B36F4"/>
    <w:rsid w:val="006B389C"/>
    <w:rsid w:val="006B3B31"/>
    <w:rsid w:val="006B3D2C"/>
    <w:rsid w:val="006B41B5"/>
    <w:rsid w:val="006B4347"/>
    <w:rsid w:val="006B4878"/>
    <w:rsid w:val="006B4F08"/>
    <w:rsid w:val="006B580A"/>
    <w:rsid w:val="006B618B"/>
    <w:rsid w:val="006B64EB"/>
    <w:rsid w:val="006B65A0"/>
    <w:rsid w:val="006B6C2E"/>
    <w:rsid w:val="006C0190"/>
    <w:rsid w:val="006C0877"/>
    <w:rsid w:val="006C08D2"/>
    <w:rsid w:val="006C0FDA"/>
    <w:rsid w:val="006C13BA"/>
    <w:rsid w:val="006C166E"/>
    <w:rsid w:val="006C1E14"/>
    <w:rsid w:val="006C1E66"/>
    <w:rsid w:val="006C231E"/>
    <w:rsid w:val="006C2320"/>
    <w:rsid w:val="006C245B"/>
    <w:rsid w:val="006C2A74"/>
    <w:rsid w:val="006C2B3D"/>
    <w:rsid w:val="006C2DCE"/>
    <w:rsid w:val="006C3249"/>
    <w:rsid w:val="006C3FCB"/>
    <w:rsid w:val="006C42C8"/>
    <w:rsid w:val="006C4818"/>
    <w:rsid w:val="006C4C9B"/>
    <w:rsid w:val="006C4D5A"/>
    <w:rsid w:val="006C4ECF"/>
    <w:rsid w:val="006C554D"/>
    <w:rsid w:val="006C56BA"/>
    <w:rsid w:val="006C59D0"/>
    <w:rsid w:val="006C5AD4"/>
    <w:rsid w:val="006C5F37"/>
    <w:rsid w:val="006C61D4"/>
    <w:rsid w:val="006C66B4"/>
    <w:rsid w:val="006C6E1C"/>
    <w:rsid w:val="006C7849"/>
    <w:rsid w:val="006C7B1E"/>
    <w:rsid w:val="006D057E"/>
    <w:rsid w:val="006D0759"/>
    <w:rsid w:val="006D0912"/>
    <w:rsid w:val="006D0C96"/>
    <w:rsid w:val="006D0E2C"/>
    <w:rsid w:val="006D14AE"/>
    <w:rsid w:val="006D14B7"/>
    <w:rsid w:val="006D1985"/>
    <w:rsid w:val="006D19E2"/>
    <w:rsid w:val="006D1CF3"/>
    <w:rsid w:val="006D1E77"/>
    <w:rsid w:val="006D2037"/>
    <w:rsid w:val="006D2466"/>
    <w:rsid w:val="006D2900"/>
    <w:rsid w:val="006D2FBD"/>
    <w:rsid w:val="006D3124"/>
    <w:rsid w:val="006D3155"/>
    <w:rsid w:val="006D328B"/>
    <w:rsid w:val="006D3B98"/>
    <w:rsid w:val="006D3EF5"/>
    <w:rsid w:val="006D4932"/>
    <w:rsid w:val="006D4D45"/>
    <w:rsid w:val="006D4D51"/>
    <w:rsid w:val="006D4E4E"/>
    <w:rsid w:val="006D53D7"/>
    <w:rsid w:val="006D56F7"/>
    <w:rsid w:val="006D5B96"/>
    <w:rsid w:val="006D636A"/>
    <w:rsid w:val="006D71EB"/>
    <w:rsid w:val="006D7201"/>
    <w:rsid w:val="006D7431"/>
    <w:rsid w:val="006D75A6"/>
    <w:rsid w:val="006D7AEC"/>
    <w:rsid w:val="006D7B4A"/>
    <w:rsid w:val="006E005F"/>
    <w:rsid w:val="006E05C1"/>
    <w:rsid w:val="006E05F3"/>
    <w:rsid w:val="006E0C49"/>
    <w:rsid w:val="006E12BD"/>
    <w:rsid w:val="006E1654"/>
    <w:rsid w:val="006E16D9"/>
    <w:rsid w:val="006E16F6"/>
    <w:rsid w:val="006E1839"/>
    <w:rsid w:val="006E1990"/>
    <w:rsid w:val="006E1A0E"/>
    <w:rsid w:val="006E1D8B"/>
    <w:rsid w:val="006E1EA0"/>
    <w:rsid w:val="006E1FF0"/>
    <w:rsid w:val="006E24E8"/>
    <w:rsid w:val="006E26A9"/>
    <w:rsid w:val="006E2C13"/>
    <w:rsid w:val="006E32A8"/>
    <w:rsid w:val="006E35C0"/>
    <w:rsid w:val="006E35EE"/>
    <w:rsid w:val="006E3DB7"/>
    <w:rsid w:val="006E3EBD"/>
    <w:rsid w:val="006E426D"/>
    <w:rsid w:val="006E44F1"/>
    <w:rsid w:val="006E4AEE"/>
    <w:rsid w:val="006E4D14"/>
    <w:rsid w:val="006E4FA3"/>
    <w:rsid w:val="006E57B1"/>
    <w:rsid w:val="006E583A"/>
    <w:rsid w:val="006E5998"/>
    <w:rsid w:val="006E5D6F"/>
    <w:rsid w:val="006E657A"/>
    <w:rsid w:val="006E66E0"/>
    <w:rsid w:val="006E7322"/>
    <w:rsid w:val="006E7D0A"/>
    <w:rsid w:val="006F0151"/>
    <w:rsid w:val="006F0565"/>
    <w:rsid w:val="006F07DB"/>
    <w:rsid w:val="006F1172"/>
    <w:rsid w:val="006F1266"/>
    <w:rsid w:val="006F13EA"/>
    <w:rsid w:val="006F1525"/>
    <w:rsid w:val="006F17EB"/>
    <w:rsid w:val="006F1F6A"/>
    <w:rsid w:val="006F2134"/>
    <w:rsid w:val="006F21B1"/>
    <w:rsid w:val="006F2D21"/>
    <w:rsid w:val="006F2F7D"/>
    <w:rsid w:val="006F303F"/>
    <w:rsid w:val="006F305D"/>
    <w:rsid w:val="006F30B7"/>
    <w:rsid w:val="006F374E"/>
    <w:rsid w:val="006F38DF"/>
    <w:rsid w:val="006F469A"/>
    <w:rsid w:val="006F4F30"/>
    <w:rsid w:val="006F51DC"/>
    <w:rsid w:val="006F581E"/>
    <w:rsid w:val="006F6146"/>
    <w:rsid w:val="006F6564"/>
    <w:rsid w:val="006F6AC5"/>
    <w:rsid w:val="006F70AB"/>
    <w:rsid w:val="006F7474"/>
    <w:rsid w:val="006F77C0"/>
    <w:rsid w:val="006F7A24"/>
    <w:rsid w:val="006F7ABF"/>
    <w:rsid w:val="006F7D88"/>
    <w:rsid w:val="006F7FE5"/>
    <w:rsid w:val="00700360"/>
    <w:rsid w:val="007003AC"/>
    <w:rsid w:val="00700665"/>
    <w:rsid w:val="007006CB"/>
    <w:rsid w:val="00700ABE"/>
    <w:rsid w:val="00700DEE"/>
    <w:rsid w:val="00701190"/>
    <w:rsid w:val="00701370"/>
    <w:rsid w:val="007016C3"/>
    <w:rsid w:val="00701A75"/>
    <w:rsid w:val="007024EB"/>
    <w:rsid w:val="0070282E"/>
    <w:rsid w:val="00702C68"/>
    <w:rsid w:val="007032CA"/>
    <w:rsid w:val="00704220"/>
    <w:rsid w:val="00704BA9"/>
    <w:rsid w:val="00705019"/>
    <w:rsid w:val="00705154"/>
    <w:rsid w:val="00705179"/>
    <w:rsid w:val="007056D7"/>
    <w:rsid w:val="00705E88"/>
    <w:rsid w:val="00706A97"/>
    <w:rsid w:val="00706BC7"/>
    <w:rsid w:val="00706E42"/>
    <w:rsid w:val="00706E6B"/>
    <w:rsid w:val="00706F47"/>
    <w:rsid w:val="007070BB"/>
    <w:rsid w:val="00707860"/>
    <w:rsid w:val="00707A21"/>
    <w:rsid w:val="00707B4B"/>
    <w:rsid w:val="00707D20"/>
    <w:rsid w:val="00707E08"/>
    <w:rsid w:val="007100CE"/>
    <w:rsid w:val="0071012F"/>
    <w:rsid w:val="00710532"/>
    <w:rsid w:val="00710718"/>
    <w:rsid w:val="007109DB"/>
    <w:rsid w:val="00710AF3"/>
    <w:rsid w:val="00710B02"/>
    <w:rsid w:val="00710E98"/>
    <w:rsid w:val="0071106E"/>
    <w:rsid w:val="00711777"/>
    <w:rsid w:val="00711AED"/>
    <w:rsid w:val="00711C7E"/>
    <w:rsid w:val="00711CB5"/>
    <w:rsid w:val="007128F5"/>
    <w:rsid w:val="00712A99"/>
    <w:rsid w:val="0071360C"/>
    <w:rsid w:val="0071393C"/>
    <w:rsid w:val="00713FBB"/>
    <w:rsid w:val="00714173"/>
    <w:rsid w:val="0071444A"/>
    <w:rsid w:val="00714566"/>
    <w:rsid w:val="00714E45"/>
    <w:rsid w:val="00715380"/>
    <w:rsid w:val="00715508"/>
    <w:rsid w:val="007156F4"/>
    <w:rsid w:val="00715BC4"/>
    <w:rsid w:val="00716007"/>
    <w:rsid w:val="00716064"/>
    <w:rsid w:val="007168A5"/>
    <w:rsid w:val="007169EA"/>
    <w:rsid w:val="00716B61"/>
    <w:rsid w:val="00717280"/>
    <w:rsid w:val="0071742F"/>
    <w:rsid w:val="007202E9"/>
    <w:rsid w:val="007206F9"/>
    <w:rsid w:val="00720FA0"/>
    <w:rsid w:val="0072169A"/>
    <w:rsid w:val="00721861"/>
    <w:rsid w:val="00721A35"/>
    <w:rsid w:val="0072255D"/>
    <w:rsid w:val="007225BD"/>
    <w:rsid w:val="007227F3"/>
    <w:rsid w:val="00722B03"/>
    <w:rsid w:val="00722EB3"/>
    <w:rsid w:val="007230F0"/>
    <w:rsid w:val="0072322C"/>
    <w:rsid w:val="00723584"/>
    <w:rsid w:val="007236CF"/>
    <w:rsid w:val="00723E7E"/>
    <w:rsid w:val="00723F23"/>
    <w:rsid w:val="0072402E"/>
    <w:rsid w:val="007249F1"/>
    <w:rsid w:val="00724F29"/>
    <w:rsid w:val="0072540F"/>
    <w:rsid w:val="0072574B"/>
    <w:rsid w:val="00725C43"/>
    <w:rsid w:val="007263B6"/>
    <w:rsid w:val="00726795"/>
    <w:rsid w:val="0072684A"/>
    <w:rsid w:val="00726912"/>
    <w:rsid w:val="00726DFD"/>
    <w:rsid w:val="0072723E"/>
    <w:rsid w:val="0072799B"/>
    <w:rsid w:val="00727A74"/>
    <w:rsid w:val="007303AB"/>
    <w:rsid w:val="0073053F"/>
    <w:rsid w:val="0073082B"/>
    <w:rsid w:val="00730E7F"/>
    <w:rsid w:val="007311F6"/>
    <w:rsid w:val="007319EE"/>
    <w:rsid w:val="00731BA3"/>
    <w:rsid w:val="00731DC5"/>
    <w:rsid w:val="00731F10"/>
    <w:rsid w:val="007320B8"/>
    <w:rsid w:val="0073263E"/>
    <w:rsid w:val="00732753"/>
    <w:rsid w:val="007327B3"/>
    <w:rsid w:val="007327B9"/>
    <w:rsid w:val="00732F62"/>
    <w:rsid w:val="0073301D"/>
    <w:rsid w:val="007334F8"/>
    <w:rsid w:val="00733615"/>
    <w:rsid w:val="0073436D"/>
    <w:rsid w:val="0073460C"/>
    <w:rsid w:val="00734691"/>
    <w:rsid w:val="0073471D"/>
    <w:rsid w:val="007355FA"/>
    <w:rsid w:val="0073583C"/>
    <w:rsid w:val="00735858"/>
    <w:rsid w:val="0073597B"/>
    <w:rsid w:val="00735AA5"/>
    <w:rsid w:val="00735B39"/>
    <w:rsid w:val="00735DE8"/>
    <w:rsid w:val="00735E34"/>
    <w:rsid w:val="00735F04"/>
    <w:rsid w:val="00736314"/>
    <w:rsid w:val="007363A8"/>
    <w:rsid w:val="00736682"/>
    <w:rsid w:val="007366DD"/>
    <w:rsid w:val="00736B12"/>
    <w:rsid w:val="00736BD4"/>
    <w:rsid w:val="0073775A"/>
    <w:rsid w:val="00740436"/>
    <w:rsid w:val="00740558"/>
    <w:rsid w:val="007406B6"/>
    <w:rsid w:val="00740BCD"/>
    <w:rsid w:val="00740CD2"/>
    <w:rsid w:val="00740E82"/>
    <w:rsid w:val="00740E90"/>
    <w:rsid w:val="007417FD"/>
    <w:rsid w:val="00741DC8"/>
    <w:rsid w:val="007420C9"/>
    <w:rsid w:val="007421E2"/>
    <w:rsid w:val="00742494"/>
    <w:rsid w:val="0074268A"/>
    <w:rsid w:val="00742F58"/>
    <w:rsid w:val="0074308F"/>
    <w:rsid w:val="007431CA"/>
    <w:rsid w:val="0074326F"/>
    <w:rsid w:val="0074357E"/>
    <w:rsid w:val="007437D1"/>
    <w:rsid w:val="007439B1"/>
    <w:rsid w:val="00744492"/>
    <w:rsid w:val="00744733"/>
    <w:rsid w:val="00744735"/>
    <w:rsid w:val="00744ADD"/>
    <w:rsid w:val="00744BB6"/>
    <w:rsid w:val="00744F29"/>
    <w:rsid w:val="007453E8"/>
    <w:rsid w:val="0074572E"/>
    <w:rsid w:val="00745C0D"/>
    <w:rsid w:val="00745E6A"/>
    <w:rsid w:val="007461C0"/>
    <w:rsid w:val="0074644C"/>
    <w:rsid w:val="007466A6"/>
    <w:rsid w:val="00746823"/>
    <w:rsid w:val="0074687A"/>
    <w:rsid w:val="00746B5E"/>
    <w:rsid w:val="00746ED9"/>
    <w:rsid w:val="0074706F"/>
    <w:rsid w:val="007470C8"/>
    <w:rsid w:val="007474D9"/>
    <w:rsid w:val="00747C5E"/>
    <w:rsid w:val="00747DF0"/>
    <w:rsid w:val="0075008B"/>
    <w:rsid w:val="00750336"/>
    <w:rsid w:val="007506D6"/>
    <w:rsid w:val="00750FF5"/>
    <w:rsid w:val="00751198"/>
    <w:rsid w:val="0075143B"/>
    <w:rsid w:val="00751494"/>
    <w:rsid w:val="00751596"/>
    <w:rsid w:val="007517DA"/>
    <w:rsid w:val="00751C86"/>
    <w:rsid w:val="007522DF"/>
    <w:rsid w:val="0075249D"/>
    <w:rsid w:val="007527EB"/>
    <w:rsid w:val="00752A27"/>
    <w:rsid w:val="00752AF2"/>
    <w:rsid w:val="00753173"/>
    <w:rsid w:val="00753D45"/>
    <w:rsid w:val="00753E9B"/>
    <w:rsid w:val="00753F04"/>
    <w:rsid w:val="007541D7"/>
    <w:rsid w:val="007542F5"/>
    <w:rsid w:val="007549C8"/>
    <w:rsid w:val="00754B0F"/>
    <w:rsid w:val="00754C06"/>
    <w:rsid w:val="00754DE2"/>
    <w:rsid w:val="0075572D"/>
    <w:rsid w:val="00755997"/>
    <w:rsid w:val="00755A10"/>
    <w:rsid w:val="00755C48"/>
    <w:rsid w:val="00755DBF"/>
    <w:rsid w:val="007562ED"/>
    <w:rsid w:val="007568D1"/>
    <w:rsid w:val="00756CC5"/>
    <w:rsid w:val="00756EFF"/>
    <w:rsid w:val="0075735E"/>
    <w:rsid w:val="00757612"/>
    <w:rsid w:val="00757692"/>
    <w:rsid w:val="007576A2"/>
    <w:rsid w:val="00757BD9"/>
    <w:rsid w:val="00757C58"/>
    <w:rsid w:val="007600E7"/>
    <w:rsid w:val="0076035F"/>
    <w:rsid w:val="00760370"/>
    <w:rsid w:val="007606B5"/>
    <w:rsid w:val="00760745"/>
    <w:rsid w:val="00760C60"/>
    <w:rsid w:val="00760FDA"/>
    <w:rsid w:val="007612A9"/>
    <w:rsid w:val="00761503"/>
    <w:rsid w:val="0076181D"/>
    <w:rsid w:val="0076197B"/>
    <w:rsid w:val="00762443"/>
    <w:rsid w:val="007626F4"/>
    <w:rsid w:val="007627ED"/>
    <w:rsid w:val="0076287E"/>
    <w:rsid w:val="00763542"/>
    <w:rsid w:val="007635D2"/>
    <w:rsid w:val="007637F8"/>
    <w:rsid w:val="00763841"/>
    <w:rsid w:val="00763AD6"/>
    <w:rsid w:val="00763DF3"/>
    <w:rsid w:val="00764091"/>
    <w:rsid w:val="007645AD"/>
    <w:rsid w:val="00764735"/>
    <w:rsid w:val="007649EE"/>
    <w:rsid w:val="007650BD"/>
    <w:rsid w:val="00765110"/>
    <w:rsid w:val="00765323"/>
    <w:rsid w:val="00765637"/>
    <w:rsid w:val="00765C4F"/>
    <w:rsid w:val="007666C9"/>
    <w:rsid w:val="00766A04"/>
    <w:rsid w:val="00766E94"/>
    <w:rsid w:val="007674F0"/>
    <w:rsid w:val="00767D31"/>
    <w:rsid w:val="00767FD1"/>
    <w:rsid w:val="00770305"/>
    <w:rsid w:val="00770D1C"/>
    <w:rsid w:val="00770E0E"/>
    <w:rsid w:val="00770FA9"/>
    <w:rsid w:val="00771195"/>
    <w:rsid w:val="00771308"/>
    <w:rsid w:val="007714E3"/>
    <w:rsid w:val="007717A9"/>
    <w:rsid w:val="00771BEF"/>
    <w:rsid w:val="00771CB0"/>
    <w:rsid w:val="00772223"/>
    <w:rsid w:val="00772355"/>
    <w:rsid w:val="007728BA"/>
    <w:rsid w:val="00772BA9"/>
    <w:rsid w:val="00772D54"/>
    <w:rsid w:val="00772DF6"/>
    <w:rsid w:val="00772EAA"/>
    <w:rsid w:val="0077319D"/>
    <w:rsid w:val="0077336A"/>
    <w:rsid w:val="007734FA"/>
    <w:rsid w:val="00773635"/>
    <w:rsid w:val="007739A3"/>
    <w:rsid w:val="00773CAC"/>
    <w:rsid w:val="00773FC7"/>
    <w:rsid w:val="007742E9"/>
    <w:rsid w:val="00774467"/>
    <w:rsid w:val="007744C0"/>
    <w:rsid w:val="007745B3"/>
    <w:rsid w:val="007745B5"/>
    <w:rsid w:val="00774ADA"/>
    <w:rsid w:val="00774B1C"/>
    <w:rsid w:val="00775574"/>
    <w:rsid w:val="00775D22"/>
    <w:rsid w:val="00775FA7"/>
    <w:rsid w:val="007760D7"/>
    <w:rsid w:val="00776AB1"/>
    <w:rsid w:val="00776ED9"/>
    <w:rsid w:val="007776F1"/>
    <w:rsid w:val="00777821"/>
    <w:rsid w:val="00777A2D"/>
    <w:rsid w:val="007802C2"/>
    <w:rsid w:val="00780556"/>
    <w:rsid w:val="007806D3"/>
    <w:rsid w:val="00780BE2"/>
    <w:rsid w:val="0078116A"/>
    <w:rsid w:val="0078138B"/>
    <w:rsid w:val="00781508"/>
    <w:rsid w:val="0078153E"/>
    <w:rsid w:val="00781F55"/>
    <w:rsid w:val="007825F9"/>
    <w:rsid w:val="00782808"/>
    <w:rsid w:val="00782B25"/>
    <w:rsid w:val="00782CF0"/>
    <w:rsid w:val="007833CF"/>
    <w:rsid w:val="00783656"/>
    <w:rsid w:val="007836F0"/>
    <w:rsid w:val="00783E1E"/>
    <w:rsid w:val="00783E73"/>
    <w:rsid w:val="00783F02"/>
    <w:rsid w:val="00783F55"/>
    <w:rsid w:val="00784432"/>
    <w:rsid w:val="00784865"/>
    <w:rsid w:val="00785987"/>
    <w:rsid w:val="00785A5A"/>
    <w:rsid w:val="00785CD2"/>
    <w:rsid w:val="007868F0"/>
    <w:rsid w:val="007870B2"/>
    <w:rsid w:val="007874FD"/>
    <w:rsid w:val="00787AA1"/>
    <w:rsid w:val="00787BD0"/>
    <w:rsid w:val="00790A3A"/>
    <w:rsid w:val="00791851"/>
    <w:rsid w:val="00791C33"/>
    <w:rsid w:val="00791C9A"/>
    <w:rsid w:val="00791D87"/>
    <w:rsid w:val="007920E4"/>
    <w:rsid w:val="00792176"/>
    <w:rsid w:val="007921AD"/>
    <w:rsid w:val="0079289B"/>
    <w:rsid w:val="00792C40"/>
    <w:rsid w:val="00792EFD"/>
    <w:rsid w:val="00793140"/>
    <w:rsid w:val="00793225"/>
    <w:rsid w:val="007932E7"/>
    <w:rsid w:val="007933B4"/>
    <w:rsid w:val="00793713"/>
    <w:rsid w:val="00793804"/>
    <w:rsid w:val="00793A21"/>
    <w:rsid w:val="007940C6"/>
    <w:rsid w:val="007941B1"/>
    <w:rsid w:val="00794B25"/>
    <w:rsid w:val="00794B3C"/>
    <w:rsid w:val="00795121"/>
    <w:rsid w:val="00795161"/>
    <w:rsid w:val="00795203"/>
    <w:rsid w:val="007959C1"/>
    <w:rsid w:val="00795B1F"/>
    <w:rsid w:val="00795CAB"/>
    <w:rsid w:val="007960BB"/>
    <w:rsid w:val="00796765"/>
    <w:rsid w:val="00796B60"/>
    <w:rsid w:val="00796D74"/>
    <w:rsid w:val="00797D40"/>
    <w:rsid w:val="00797F31"/>
    <w:rsid w:val="007A028D"/>
    <w:rsid w:val="007A0778"/>
    <w:rsid w:val="007A0867"/>
    <w:rsid w:val="007A14E6"/>
    <w:rsid w:val="007A1856"/>
    <w:rsid w:val="007A1CD5"/>
    <w:rsid w:val="007A1D40"/>
    <w:rsid w:val="007A221D"/>
    <w:rsid w:val="007A29D7"/>
    <w:rsid w:val="007A2D00"/>
    <w:rsid w:val="007A32C9"/>
    <w:rsid w:val="007A36DE"/>
    <w:rsid w:val="007A36E1"/>
    <w:rsid w:val="007A3A7B"/>
    <w:rsid w:val="007A3CFE"/>
    <w:rsid w:val="007A46E6"/>
    <w:rsid w:val="007A4B95"/>
    <w:rsid w:val="007A4D93"/>
    <w:rsid w:val="007A563B"/>
    <w:rsid w:val="007A5899"/>
    <w:rsid w:val="007A5C52"/>
    <w:rsid w:val="007A5F4C"/>
    <w:rsid w:val="007A6310"/>
    <w:rsid w:val="007A684B"/>
    <w:rsid w:val="007A69A4"/>
    <w:rsid w:val="007A6ABE"/>
    <w:rsid w:val="007A768E"/>
    <w:rsid w:val="007A79B6"/>
    <w:rsid w:val="007A7C03"/>
    <w:rsid w:val="007A7CA0"/>
    <w:rsid w:val="007A7E77"/>
    <w:rsid w:val="007B039C"/>
    <w:rsid w:val="007B03B7"/>
    <w:rsid w:val="007B08EE"/>
    <w:rsid w:val="007B1436"/>
    <w:rsid w:val="007B158C"/>
    <w:rsid w:val="007B1923"/>
    <w:rsid w:val="007B2109"/>
    <w:rsid w:val="007B21D3"/>
    <w:rsid w:val="007B2F29"/>
    <w:rsid w:val="007B310A"/>
    <w:rsid w:val="007B3194"/>
    <w:rsid w:val="007B32E9"/>
    <w:rsid w:val="007B38B9"/>
    <w:rsid w:val="007B4C41"/>
    <w:rsid w:val="007B5238"/>
    <w:rsid w:val="007B55CA"/>
    <w:rsid w:val="007B5CB2"/>
    <w:rsid w:val="007B6155"/>
    <w:rsid w:val="007B650A"/>
    <w:rsid w:val="007B6C02"/>
    <w:rsid w:val="007B6D3E"/>
    <w:rsid w:val="007B6DE2"/>
    <w:rsid w:val="007B6F1D"/>
    <w:rsid w:val="007B72CE"/>
    <w:rsid w:val="007B755E"/>
    <w:rsid w:val="007B7FD4"/>
    <w:rsid w:val="007C0BAD"/>
    <w:rsid w:val="007C0C22"/>
    <w:rsid w:val="007C0DAD"/>
    <w:rsid w:val="007C0DB6"/>
    <w:rsid w:val="007C108C"/>
    <w:rsid w:val="007C151B"/>
    <w:rsid w:val="007C1655"/>
    <w:rsid w:val="007C2200"/>
    <w:rsid w:val="007C295C"/>
    <w:rsid w:val="007C299F"/>
    <w:rsid w:val="007C2AA3"/>
    <w:rsid w:val="007C3039"/>
    <w:rsid w:val="007C375D"/>
    <w:rsid w:val="007C3CC0"/>
    <w:rsid w:val="007C4DB1"/>
    <w:rsid w:val="007C55DF"/>
    <w:rsid w:val="007C562D"/>
    <w:rsid w:val="007C58AA"/>
    <w:rsid w:val="007C6429"/>
    <w:rsid w:val="007C6A5B"/>
    <w:rsid w:val="007C6AA9"/>
    <w:rsid w:val="007C6FC8"/>
    <w:rsid w:val="007C72B6"/>
    <w:rsid w:val="007C74F3"/>
    <w:rsid w:val="007C7558"/>
    <w:rsid w:val="007C7B04"/>
    <w:rsid w:val="007C7E4A"/>
    <w:rsid w:val="007C7EB8"/>
    <w:rsid w:val="007D06F8"/>
    <w:rsid w:val="007D06FC"/>
    <w:rsid w:val="007D0B02"/>
    <w:rsid w:val="007D0CE7"/>
    <w:rsid w:val="007D0F32"/>
    <w:rsid w:val="007D0F3C"/>
    <w:rsid w:val="007D0F4D"/>
    <w:rsid w:val="007D1031"/>
    <w:rsid w:val="007D1440"/>
    <w:rsid w:val="007D1542"/>
    <w:rsid w:val="007D15A6"/>
    <w:rsid w:val="007D1661"/>
    <w:rsid w:val="007D16DB"/>
    <w:rsid w:val="007D1B72"/>
    <w:rsid w:val="007D1C4F"/>
    <w:rsid w:val="007D216C"/>
    <w:rsid w:val="007D2550"/>
    <w:rsid w:val="007D29D1"/>
    <w:rsid w:val="007D2E56"/>
    <w:rsid w:val="007D3077"/>
    <w:rsid w:val="007D3082"/>
    <w:rsid w:val="007D3165"/>
    <w:rsid w:val="007D3327"/>
    <w:rsid w:val="007D346D"/>
    <w:rsid w:val="007D35D6"/>
    <w:rsid w:val="007D3AE1"/>
    <w:rsid w:val="007D3EA9"/>
    <w:rsid w:val="007D4081"/>
    <w:rsid w:val="007D4099"/>
    <w:rsid w:val="007D40D1"/>
    <w:rsid w:val="007D44C0"/>
    <w:rsid w:val="007D46A5"/>
    <w:rsid w:val="007D48EB"/>
    <w:rsid w:val="007D5078"/>
    <w:rsid w:val="007D5382"/>
    <w:rsid w:val="007D55DE"/>
    <w:rsid w:val="007D5A3B"/>
    <w:rsid w:val="007D5A56"/>
    <w:rsid w:val="007D609E"/>
    <w:rsid w:val="007D637E"/>
    <w:rsid w:val="007D67BC"/>
    <w:rsid w:val="007D729A"/>
    <w:rsid w:val="007D750A"/>
    <w:rsid w:val="007D7742"/>
    <w:rsid w:val="007D7A5E"/>
    <w:rsid w:val="007D7CCE"/>
    <w:rsid w:val="007D7E15"/>
    <w:rsid w:val="007E02F5"/>
    <w:rsid w:val="007E0927"/>
    <w:rsid w:val="007E0B20"/>
    <w:rsid w:val="007E0DFE"/>
    <w:rsid w:val="007E0F18"/>
    <w:rsid w:val="007E0F9D"/>
    <w:rsid w:val="007E169F"/>
    <w:rsid w:val="007E16F9"/>
    <w:rsid w:val="007E1726"/>
    <w:rsid w:val="007E1A9F"/>
    <w:rsid w:val="007E1BD8"/>
    <w:rsid w:val="007E2023"/>
    <w:rsid w:val="007E2443"/>
    <w:rsid w:val="007E2F42"/>
    <w:rsid w:val="007E40FD"/>
    <w:rsid w:val="007E4216"/>
    <w:rsid w:val="007E4229"/>
    <w:rsid w:val="007E4684"/>
    <w:rsid w:val="007E4861"/>
    <w:rsid w:val="007E4C20"/>
    <w:rsid w:val="007E4FE5"/>
    <w:rsid w:val="007E5843"/>
    <w:rsid w:val="007E61DB"/>
    <w:rsid w:val="007E63F4"/>
    <w:rsid w:val="007E65D2"/>
    <w:rsid w:val="007E74C7"/>
    <w:rsid w:val="007E77D3"/>
    <w:rsid w:val="007E78B2"/>
    <w:rsid w:val="007E797D"/>
    <w:rsid w:val="007E7B1A"/>
    <w:rsid w:val="007F0255"/>
    <w:rsid w:val="007F0C5F"/>
    <w:rsid w:val="007F12B3"/>
    <w:rsid w:val="007F144F"/>
    <w:rsid w:val="007F192F"/>
    <w:rsid w:val="007F1A82"/>
    <w:rsid w:val="007F1B64"/>
    <w:rsid w:val="007F218C"/>
    <w:rsid w:val="007F236D"/>
    <w:rsid w:val="007F2762"/>
    <w:rsid w:val="007F29D2"/>
    <w:rsid w:val="007F2A0B"/>
    <w:rsid w:val="007F2E40"/>
    <w:rsid w:val="007F3155"/>
    <w:rsid w:val="007F35D7"/>
    <w:rsid w:val="007F36E0"/>
    <w:rsid w:val="007F39CF"/>
    <w:rsid w:val="007F3AEA"/>
    <w:rsid w:val="007F3C55"/>
    <w:rsid w:val="007F3E40"/>
    <w:rsid w:val="007F4261"/>
    <w:rsid w:val="007F42C5"/>
    <w:rsid w:val="007F4892"/>
    <w:rsid w:val="007F49DD"/>
    <w:rsid w:val="007F4A26"/>
    <w:rsid w:val="007F50A0"/>
    <w:rsid w:val="007F5391"/>
    <w:rsid w:val="007F5666"/>
    <w:rsid w:val="007F5890"/>
    <w:rsid w:val="007F5B73"/>
    <w:rsid w:val="007F5C39"/>
    <w:rsid w:val="007F5C81"/>
    <w:rsid w:val="007F5CCF"/>
    <w:rsid w:val="007F63A0"/>
    <w:rsid w:val="007F64DD"/>
    <w:rsid w:val="007F6847"/>
    <w:rsid w:val="007F6C25"/>
    <w:rsid w:val="007F6F27"/>
    <w:rsid w:val="007F7A88"/>
    <w:rsid w:val="007F7B90"/>
    <w:rsid w:val="007F7D52"/>
    <w:rsid w:val="007F7DDC"/>
    <w:rsid w:val="007F7E9A"/>
    <w:rsid w:val="007F7EB1"/>
    <w:rsid w:val="0080085F"/>
    <w:rsid w:val="008008F1"/>
    <w:rsid w:val="00800B4E"/>
    <w:rsid w:val="00800DFE"/>
    <w:rsid w:val="00801152"/>
    <w:rsid w:val="008011B2"/>
    <w:rsid w:val="008020E7"/>
    <w:rsid w:val="008023B2"/>
    <w:rsid w:val="0080240F"/>
    <w:rsid w:val="00802604"/>
    <w:rsid w:val="00802D54"/>
    <w:rsid w:val="0080320C"/>
    <w:rsid w:val="008033AB"/>
    <w:rsid w:val="008035BD"/>
    <w:rsid w:val="00803759"/>
    <w:rsid w:val="00803EA7"/>
    <w:rsid w:val="00803F6B"/>
    <w:rsid w:val="008042D8"/>
    <w:rsid w:val="008043E3"/>
    <w:rsid w:val="00804870"/>
    <w:rsid w:val="00805517"/>
    <w:rsid w:val="00805CCA"/>
    <w:rsid w:val="00805D71"/>
    <w:rsid w:val="008067AC"/>
    <w:rsid w:val="0080696A"/>
    <w:rsid w:val="00806BC3"/>
    <w:rsid w:val="008074EA"/>
    <w:rsid w:val="008078B2"/>
    <w:rsid w:val="00810918"/>
    <w:rsid w:val="00810A40"/>
    <w:rsid w:val="00810F30"/>
    <w:rsid w:val="00811656"/>
    <w:rsid w:val="00812576"/>
    <w:rsid w:val="00812CEC"/>
    <w:rsid w:val="008133E4"/>
    <w:rsid w:val="00813779"/>
    <w:rsid w:val="0081440D"/>
    <w:rsid w:val="008144D8"/>
    <w:rsid w:val="00814664"/>
    <w:rsid w:val="00814C1E"/>
    <w:rsid w:val="00815BB7"/>
    <w:rsid w:val="00815FC5"/>
    <w:rsid w:val="008167A5"/>
    <w:rsid w:val="0081697A"/>
    <w:rsid w:val="00816FBD"/>
    <w:rsid w:val="00817611"/>
    <w:rsid w:val="008178C4"/>
    <w:rsid w:val="00817975"/>
    <w:rsid w:val="00817A05"/>
    <w:rsid w:val="00817F33"/>
    <w:rsid w:val="008204B4"/>
    <w:rsid w:val="00820FAB"/>
    <w:rsid w:val="00821259"/>
    <w:rsid w:val="00821715"/>
    <w:rsid w:val="00821748"/>
    <w:rsid w:val="008217AC"/>
    <w:rsid w:val="00821826"/>
    <w:rsid w:val="00821D21"/>
    <w:rsid w:val="00821D40"/>
    <w:rsid w:val="00821D97"/>
    <w:rsid w:val="00821FA4"/>
    <w:rsid w:val="00822323"/>
    <w:rsid w:val="00822BB7"/>
    <w:rsid w:val="00822ED3"/>
    <w:rsid w:val="00822F7A"/>
    <w:rsid w:val="00823201"/>
    <w:rsid w:val="0082345D"/>
    <w:rsid w:val="00823517"/>
    <w:rsid w:val="00823BD7"/>
    <w:rsid w:val="00824201"/>
    <w:rsid w:val="008242AE"/>
    <w:rsid w:val="00824F8A"/>
    <w:rsid w:val="008251D8"/>
    <w:rsid w:val="0082543B"/>
    <w:rsid w:val="00825532"/>
    <w:rsid w:val="008257CE"/>
    <w:rsid w:val="00826151"/>
    <w:rsid w:val="00826605"/>
    <w:rsid w:val="008268CD"/>
    <w:rsid w:val="0082696B"/>
    <w:rsid w:val="00826AB8"/>
    <w:rsid w:val="00826D7D"/>
    <w:rsid w:val="008270FB"/>
    <w:rsid w:val="00827287"/>
    <w:rsid w:val="00827357"/>
    <w:rsid w:val="00827468"/>
    <w:rsid w:val="008279C3"/>
    <w:rsid w:val="00827CE6"/>
    <w:rsid w:val="00830561"/>
    <w:rsid w:val="0083076E"/>
    <w:rsid w:val="008309DA"/>
    <w:rsid w:val="00830D22"/>
    <w:rsid w:val="00830ECF"/>
    <w:rsid w:val="00831143"/>
    <w:rsid w:val="0083142D"/>
    <w:rsid w:val="008316FA"/>
    <w:rsid w:val="008317A2"/>
    <w:rsid w:val="008319B5"/>
    <w:rsid w:val="008321F7"/>
    <w:rsid w:val="00832399"/>
    <w:rsid w:val="008324BF"/>
    <w:rsid w:val="00832765"/>
    <w:rsid w:val="00832D85"/>
    <w:rsid w:val="00832EDF"/>
    <w:rsid w:val="0083326F"/>
    <w:rsid w:val="008338C0"/>
    <w:rsid w:val="00833D31"/>
    <w:rsid w:val="00833EAA"/>
    <w:rsid w:val="00833EF3"/>
    <w:rsid w:val="00833FA2"/>
    <w:rsid w:val="008347F2"/>
    <w:rsid w:val="00834B0A"/>
    <w:rsid w:val="00834C50"/>
    <w:rsid w:val="008351E3"/>
    <w:rsid w:val="0083532C"/>
    <w:rsid w:val="0083553B"/>
    <w:rsid w:val="00836614"/>
    <w:rsid w:val="008366B8"/>
    <w:rsid w:val="008366CB"/>
    <w:rsid w:val="00836CF1"/>
    <w:rsid w:val="008370AC"/>
    <w:rsid w:val="00837356"/>
    <w:rsid w:val="00837506"/>
    <w:rsid w:val="008377EF"/>
    <w:rsid w:val="0083798A"/>
    <w:rsid w:val="00837992"/>
    <w:rsid w:val="00837AF8"/>
    <w:rsid w:val="00837B62"/>
    <w:rsid w:val="00837F05"/>
    <w:rsid w:val="00840043"/>
    <w:rsid w:val="00840342"/>
    <w:rsid w:val="00840343"/>
    <w:rsid w:val="008410F8"/>
    <w:rsid w:val="008413D7"/>
    <w:rsid w:val="00841905"/>
    <w:rsid w:val="00841965"/>
    <w:rsid w:val="00842399"/>
    <w:rsid w:val="008433D2"/>
    <w:rsid w:val="00843B1E"/>
    <w:rsid w:val="00843BDB"/>
    <w:rsid w:val="00843C73"/>
    <w:rsid w:val="00843E32"/>
    <w:rsid w:val="00844194"/>
    <w:rsid w:val="00844766"/>
    <w:rsid w:val="00844E44"/>
    <w:rsid w:val="0084506E"/>
    <w:rsid w:val="00845388"/>
    <w:rsid w:val="00845497"/>
    <w:rsid w:val="008455D1"/>
    <w:rsid w:val="00846793"/>
    <w:rsid w:val="00846A93"/>
    <w:rsid w:val="00846EB5"/>
    <w:rsid w:val="008472B3"/>
    <w:rsid w:val="008472C0"/>
    <w:rsid w:val="008476F2"/>
    <w:rsid w:val="0084788F"/>
    <w:rsid w:val="00847916"/>
    <w:rsid w:val="00847C2B"/>
    <w:rsid w:val="008502B7"/>
    <w:rsid w:val="00850BB6"/>
    <w:rsid w:val="00850D8F"/>
    <w:rsid w:val="008515C8"/>
    <w:rsid w:val="008525A8"/>
    <w:rsid w:val="008525C4"/>
    <w:rsid w:val="00852971"/>
    <w:rsid w:val="00852D58"/>
    <w:rsid w:val="00852D5C"/>
    <w:rsid w:val="00852F35"/>
    <w:rsid w:val="0085310B"/>
    <w:rsid w:val="008533EB"/>
    <w:rsid w:val="00853A28"/>
    <w:rsid w:val="00853EEB"/>
    <w:rsid w:val="00853F6D"/>
    <w:rsid w:val="0085437B"/>
    <w:rsid w:val="008543A6"/>
    <w:rsid w:val="00854713"/>
    <w:rsid w:val="00854BB5"/>
    <w:rsid w:val="00854D10"/>
    <w:rsid w:val="00854EAE"/>
    <w:rsid w:val="00854FA1"/>
    <w:rsid w:val="008551A7"/>
    <w:rsid w:val="008553F4"/>
    <w:rsid w:val="00855438"/>
    <w:rsid w:val="00855B2D"/>
    <w:rsid w:val="0085601D"/>
    <w:rsid w:val="0085605A"/>
    <w:rsid w:val="00856A10"/>
    <w:rsid w:val="00856EED"/>
    <w:rsid w:val="00857647"/>
    <w:rsid w:val="008579C1"/>
    <w:rsid w:val="008579C5"/>
    <w:rsid w:val="00857AD4"/>
    <w:rsid w:val="00857C14"/>
    <w:rsid w:val="00857C4D"/>
    <w:rsid w:val="00860038"/>
    <w:rsid w:val="0086011B"/>
    <w:rsid w:val="00860229"/>
    <w:rsid w:val="00860BB1"/>
    <w:rsid w:val="00860C8E"/>
    <w:rsid w:val="00860E3C"/>
    <w:rsid w:val="00860FFD"/>
    <w:rsid w:val="008615B8"/>
    <w:rsid w:val="00861872"/>
    <w:rsid w:val="00861CA6"/>
    <w:rsid w:val="00862339"/>
    <w:rsid w:val="00862563"/>
    <w:rsid w:val="008625A1"/>
    <w:rsid w:val="008625D9"/>
    <w:rsid w:val="0086267A"/>
    <w:rsid w:val="00862DE8"/>
    <w:rsid w:val="00863035"/>
    <w:rsid w:val="00863564"/>
    <w:rsid w:val="00863609"/>
    <w:rsid w:val="00864323"/>
    <w:rsid w:val="008649C4"/>
    <w:rsid w:val="00864FFD"/>
    <w:rsid w:val="0086570A"/>
    <w:rsid w:val="00865FF3"/>
    <w:rsid w:val="008662FF"/>
    <w:rsid w:val="00866CCF"/>
    <w:rsid w:val="00866DC7"/>
    <w:rsid w:val="0087004C"/>
    <w:rsid w:val="008700F8"/>
    <w:rsid w:val="00870292"/>
    <w:rsid w:val="008704E8"/>
    <w:rsid w:val="0087066E"/>
    <w:rsid w:val="008708DD"/>
    <w:rsid w:val="00870B3A"/>
    <w:rsid w:val="00871D3D"/>
    <w:rsid w:val="00872356"/>
    <w:rsid w:val="0087244F"/>
    <w:rsid w:val="00872A03"/>
    <w:rsid w:val="0087312D"/>
    <w:rsid w:val="00873141"/>
    <w:rsid w:val="008732D6"/>
    <w:rsid w:val="00873727"/>
    <w:rsid w:val="008738AE"/>
    <w:rsid w:val="00873F56"/>
    <w:rsid w:val="00873FFA"/>
    <w:rsid w:val="00874075"/>
    <w:rsid w:val="00874159"/>
    <w:rsid w:val="008743DA"/>
    <w:rsid w:val="008748ED"/>
    <w:rsid w:val="00874A4B"/>
    <w:rsid w:val="00874C7F"/>
    <w:rsid w:val="00874C89"/>
    <w:rsid w:val="00874F22"/>
    <w:rsid w:val="008752F6"/>
    <w:rsid w:val="00875910"/>
    <w:rsid w:val="008759DE"/>
    <w:rsid w:val="00875B0F"/>
    <w:rsid w:val="00875C69"/>
    <w:rsid w:val="00875EEF"/>
    <w:rsid w:val="008760CD"/>
    <w:rsid w:val="008765AA"/>
    <w:rsid w:val="00876D90"/>
    <w:rsid w:val="00876F97"/>
    <w:rsid w:val="00877477"/>
    <w:rsid w:val="00877A7B"/>
    <w:rsid w:val="00877FED"/>
    <w:rsid w:val="008800C3"/>
    <w:rsid w:val="008802A4"/>
    <w:rsid w:val="00880B7D"/>
    <w:rsid w:val="00880E7B"/>
    <w:rsid w:val="00881107"/>
    <w:rsid w:val="00881284"/>
    <w:rsid w:val="008815BB"/>
    <w:rsid w:val="008818BB"/>
    <w:rsid w:val="00881A42"/>
    <w:rsid w:val="00881EFF"/>
    <w:rsid w:val="00882AF1"/>
    <w:rsid w:val="00882DC5"/>
    <w:rsid w:val="00882FCE"/>
    <w:rsid w:val="008834E0"/>
    <w:rsid w:val="00884F01"/>
    <w:rsid w:val="008850EC"/>
    <w:rsid w:val="00885800"/>
    <w:rsid w:val="0088594B"/>
    <w:rsid w:val="00885B4B"/>
    <w:rsid w:val="00885EB8"/>
    <w:rsid w:val="00886351"/>
    <w:rsid w:val="008869AA"/>
    <w:rsid w:val="00886AC0"/>
    <w:rsid w:val="00886D80"/>
    <w:rsid w:val="0088751B"/>
    <w:rsid w:val="00887520"/>
    <w:rsid w:val="0088769F"/>
    <w:rsid w:val="008903F8"/>
    <w:rsid w:val="00890DDD"/>
    <w:rsid w:val="00891822"/>
    <w:rsid w:val="00891C1F"/>
    <w:rsid w:val="00891C3D"/>
    <w:rsid w:val="00891D72"/>
    <w:rsid w:val="00891DB9"/>
    <w:rsid w:val="00892334"/>
    <w:rsid w:val="008926AF"/>
    <w:rsid w:val="00892A46"/>
    <w:rsid w:val="0089339F"/>
    <w:rsid w:val="00893987"/>
    <w:rsid w:val="00893A57"/>
    <w:rsid w:val="00893BE0"/>
    <w:rsid w:val="008942D7"/>
    <w:rsid w:val="008942F3"/>
    <w:rsid w:val="00894551"/>
    <w:rsid w:val="0089469F"/>
    <w:rsid w:val="00894F0A"/>
    <w:rsid w:val="0089511F"/>
    <w:rsid w:val="008954F9"/>
    <w:rsid w:val="008955E0"/>
    <w:rsid w:val="00895906"/>
    <w:rsid w:val="008959A6"/>
    <w:rsid w:val="00895A85"/>
    <w:rsid w:val="00895C8C"/>
    <w:rsid w:val="00895E1B"/>
    <w:rsid w:val="00896302"/>
    <w:rsid w:val="0089680F"/>
    <w:rsid w:val="00896967"/>
    <w:rsid w:val="00896B05"/>
    <w:rsid w:val="00896D21"/>
    <w:rsid w:val="00896EA7"/>
    <w:rsid w:val="0089746C"/>
    <w:rsid w:val="00897680"/>
    <w:rsid w:val="0089781D"/>
    <w:rsid w:val="00897ABB"/>
    <w:rsid w:val="00897B9C"/>
    <w:rsid w:val="00897BD1"/>
    <w:rsid w:val="008A0245"/>
    <w:rsid w:val="008A03C4"/>
    <w:rsid w:val="008A0550"/>
    <w:rsid w:val="008A097E"/>
    <w:rsid w:val="008A0DEE"/>
    <w:rsid w:val="008A1051"/>
    <w:rsid w:val="008A1053"/>
    <w:rsid w:val="008A1420"/>
    <w:rsid w:val="008A14C8"/>
    <w:rsid w:val="008A1601"/>
    <w:rsid w:val="008A196A"/>
    <w:rsid w:val="008A1A91"/>
    <w:rsid w:val="008A1AB7"/>
    <w:rsid w:val="008A1C92"/>
    <w:rsid w:val="008A1D49"/>
    <w:rsid w:val="008A2286"/>
    <w:rsid w:val="008A22B9"/>
    <w:rsid w:val="008A2B82"/>
    <w:rsid w:val="008A2E2A"/>
    <w:rsid w:val="008A2F75"/>
    <w:rsid w:val="008A3184"/>
    <w:rsid w:val="008A3368"/>
    <w:rsid w:val="008A33E7"/>
    <w:rsid w:val="008A36F0"/>
    <w:rsid w:val="008A3993"/>
    <w:rsid w:val="008A4140"/>
    <w:rsid w:val="008A49C7"/>
    <w:rsid w:val="008A4AB2"/>
    <w:rsid w:val="008A4CF5"/>
    <w:rsid w:val="008A522C"/>
    <w:rsid w:val="008A54D1"/>
    <w:rsid w:val="008A574B"/>
    <w:rsid w:val="008A5937"/>
    <w:rsid w:val="008A5947"/>
    <w:rsid w:val="008A5B8F"/>
    <w:rsid w:val="008A5CFE"/>
    <w:rsid w:val="008A6202"/>
    <w:rsid w:val="008A6597"/>
    <w:rsid w:val="008A6754"/>
    <w:rsid w:val="008A6ABA"/>
    <w:rsid w:val="008A6CDC"/>
    <w:rsid w:val="008A7124"/>
    <w:rsid w:val="008A7C12"/>
    <w:rsid w:val="008B013E"/>
    <w:rsid w:val="008B0713"/>
    <w:rsid w:val="008B077F"/>
    <w:rsid w:val="008B0957"/>
    <w:rsid w:val="008B0C3A"/>
    <w:rsid w:val="008B0CA8"/>
    <w:rsid w:val="008B0D99"/>
    <w:rsid w:val="008B15F0"/>
    <w:rsid w:val="008B15F3"/>
    <w:rsid w:val="008B16D5"/>
    <w:rsid w:val="008B2131"/>
    <w:rsid w:val="008B222A"/>
    <w:rsid w:val="008B23F0"/>
    <w:rsid w:val="008B2501"/>
    <w:rsid w:val="008B2AD8"/>
    <w:rsid w:val="008B2B34"/>
    <w:rsid w:val="008B2D02"/>
    <w:rsid w:val="008B32A5"/>
    <w:rsid w:val="008B351E"/>
    <w:rsid w:val="008B40A2"/>
    <w:rsid w:val="008B42B3"/>
    <w:rsid w:val="008B48BA"/>
    <w:rsid w:val="008B4B38"/>
    <w:rsid w:val="008B4C0E"/>
    <w:rsid w:val="008B53CB"/>
    <w:rsid w:val="008B5B11"/>
    <w:rsid w:val="008B5B51"/>
    <w:rsid w:val="008B5C90"/>
    <w:rsid w:val="008B5CB2"/>
    <w:rsid w:val="008B613F"/>
    <w:rsid w:val="008B6379"/>
    <w:rsid w:val="008B656B"/>
    <w:rsid w:val="008B67AD"/>
    <w:rsid w:val="008B6809"/>
    <w:rsid w:val="008B6DAF"/>
    <w:rsid w:val="008B6E34"/>
    <w:rsid w:val="008B730F"/>
    <w:rsid w:val="008B7334"/>
    <w:rsid w:val="008B7706"/>
    <w:rsid w:val="008B7C52"/>
    <w:rsid w:val="008C0208"/>
    <w:rsid w:val="008C09AE"/>
    <w:rsid w:val="008C10B5"/>
    <w:rsid w:val="008C16CB"/>
    <w:rsid w:val="008C173C"/>
    <w:rsid w:val="008C1766"/>
    <w:rsid w:val="008C1D56"/>
    <w:rsid w:val="008C1E23"/>
    <w:rsid w:val="008C2290"/>
    <w:rsid w:val="008C281F"/>
    <w:rsid w:val="008C2842"/>
    <w:rsid w:val="008C2E85"/>
    <w:rsid w:val="008C31F5"/>
    <w:rsid w:val="008C3423"/>
    <w:rsid w:val="008C3480"/>
    <w:rsid w:val="008C35DB"/>
    <w:rsid w:val="008C37D0"/>
    <w:rsid w:val="008C37E0"/>
    <w:rsid w:val="008C38CE"/>
    <w:rsid w:val="008C397E"/>
    <w:rsid w:val="008C42AC"/>
    <w:rsid w:val="008C495D"/>
    <w:rsid w:val="008C4BBC"/>
    <w:rsid w:val="008C5234"/>
    <w:rsid w:val="008C5476"/>
    <w:rsid w:val="008C6038"/>
    <w:rsid w:val="008C62A9"/>
    <w:rsid w:val="008C6810"/>
    <w:rsid w:val="008C6B21"/>
    <w:rsid w:val="008C6E91"/>
    <w:rsid w:val="008C6F2B"/>
    <w:rsid w:val="008C7422"/>
    <w:rsid w:val="008C74D1"/>
    <w:rsid w:val="008C7DCB"/>
    <w:rsid w:val="008C7E49"/>
    <w:rsid w:val="008D04D8"/>
    <w:rsid w:val="008D081E"/>
    <w:rsid w:val="008D0AE8"/>
    <w:rsid w:val="008D0D7A"/>
    <w:rsid w:val="008D0E50"/>
    <w:rsid w:val="008D0E81"/>
    <w:rsid w:val="008D0F23"/>
    <w:rsid w:val="008D1163"/>
    <w:rsid w:val="008D11F6"/>
    <w:rsid w:val="008D1420"/>
    <w:rsid w:val="008D1C73"/>
    <w:rsid w:val="008D23A0"/>
    <w:rsid w:val="008D24D3"/>
    <w:rsid w:val="008D2E4F"/>
    <w:rsid w:val="008D3065"/>
    <w:rsid w:val="008D312C"/>
    <w:rsid w:val="008D3C31"/>
    <w:rsid w:val="008D3DE8"/>
    <w:rsid w:val="008D44A8"/>
    <w:rsid w:val="008D4BC0"/>
    <w:rsid w:val="008D569F"/>
    <w:rsid w:val="008D5A1F"/>
    <w:rsid w:val="008D629D"/>
    <w:rsid w:val="008D6519"/>
    <w:rsid w:val="008D66B5"/>
    <w:rsid w:val="008D6704"/>
    <w:rsid w:val="008D6ACD"/>
    <w:rsid w:val="008D6C00"/>
    <w:rsid w:val="008D71FD"/>
    <w:rsid w:val="008D768C"/>
    <w:rsid w:val="008D7B4F"/>
    <w:rsid w:val="008D7D5E"/>
    <w:rsid w:val="008E04D1"/>
    <w:rsid w:val="008E05B0"/>
    <w:rsid w:val="008E0C35"/>
    <w:rsid w:val="008E0CF1"/>
    <w:rsid w:val="008E1108"/>
    <w:rsid w:val="008E170D"/>
    <w:rsid w:val="008E18D7"/>
    <w:rsid w:val="008E1A57"/>
    <w:rsid w:val="008E1BCC"/>
    <w:rsid w:val="008E1C3A"/>
    <w:rsid w:val="008E2008"/>
    <w:rsid w:val="008E2104"/>
    <w:rsid w:val="008E24FA"/>
    <w:rsid w:val="008E273C"/>
    <w:rsid w:val="008E274D"/>
    <w:rsid w:val="008E2EC1"/>
    <w:rsid w:val="008E2EFA"/>
    <w:rsid w:val="008E30EF"/>
    <w:rsid w:val="008E39F5"/>
    <w:rsid w:val="008E3D15"/>
    <w:rsid w:val="008E3E03"/>
    <w:rsid w:val="008E3E05"/>
    <w:rsid w:val="008E3F23"/>
    <w:rsid w:val="008E4AEB"/>
    <w:rsid w:val="008E4BE7"/>
    <w:rsid w:val="008E538D"/>
    <w:rsid w:val="008E57BA"/>
    <w:rsid w:val="008E5B3D"/>
    <w:rsid w:val="008E5BA5"/>
    <w:rsid w:val="008E5BC6"/>
    <w:rsid w:val="008E5FBB"/>
    <w:rsid w:val="008E61F3"/>
    <w:rsid w:val="008E6901"/>
    <w:rsid w:val="008E6BC8"/>
    <w:rsid w:val="008E6FD5"/>
    <w:rsid w:val="008E7B77"/>
    <w:rsid w:val="008F0449"/>
    <w:rsid w:val="008F0D45"/>
    <w:rsid w:val="008F0D69"/>
    <w:rsid w:val="008F11E0"/>
    <w:rsid w:val="008F1212"/>
    <w:rsid w:val="008F1807"/>
    <w:rsid w:val="008F1B1F"/>
    <w:rsid w:val="008F1BA9"/>
    <w:rsid w:val="008F1C98"/>
    <w:rsid w:val="008F1E13"/>
    <w:rsid w:val="008F1E5A"/>
    <w:rsid w:val="008F1F6B"/>
    <w:rsid w:val="008F2224"/>
    <w:rsid w:val="008F2699"/>
    <w:rsid w:val="008F272D"/>
    <w:rsid w:val="008F28A6"/>
    <w:rsid w:val="008F2C9E"/>
    <w:rsid w:val="008F307D"/>
    <w:rsid w:val="008F364A"/>
    <w:rsid w:val="008F3F1C"/>
    <w:rsid w:val="008F4518"/>
    <w:rsid w:val="008F4670"/>
    <w:rsid w:val="008F490E"/>
    <w:rsid w:val="008F49F0"/>
    <w:rsid w:val="008F54C3"/>
    <w:rsid w:val="008F55C8"/>
    <w:rsid w:val="008F57BC"/>
    <w:rsid w:val="008F586D"/>
    <w:rsid w:val="008F5E38"/>
    <w:rsid w:val="008F5FF3"/>
    <w:rsid w:val="008F60A9"/>
    <w:rsid w:val="008F6996"/>
    <w:rsid w:val="008F6CCF"/>
    <w:rsid w:val="008F723C"/>
    <w:rsid w:val="008F7569"/>
    <w:rsid w:val="008F76FC"/>
    <w:rsid w:val="008F774A"/>
    <w:rsid w:val="008F7FFB"/>
    <w:rsid w:val="00900079"/>
    <w:rsid w:val="009004A4"/>
    <w:rsid w:val="00900A84"/>
    <w:rsid w:val="00900ABF"/>
    <w:rsid w:val="00900C45"/>
    <w:rsid w:val="00900DC0"/>
    <w:rsid w:val="00901293"/>
    <w:rsid w:val="0090168B"/>
    <w:rsid w:val="00901807"/>
    <w:rsid w:val="00902C4C"/>
    <w:rsid w:val="00902EDD"/>
    <w:rsid w:val="0090379E"/>
    <w:rsid w:val="00903BF4"/>
    <w:rsid w:val="00903C0A"/>
    <w:rsid w:val="0090436D"/>
    <w:rsid w:val="00904879"/>
    <w:rsid w:val="00904CBA"/>
    <w:rsid w:val="00905316"/>
    <w:rsid w:val="009053A7"/>
    <w:rsid w:val="00905BAC"/>
    <w:rsid w:val="00905BC7"/>
    <w:rsid w:val="009063B1"/>
    <w:rsid w:val="00906560"/>
    <w:rsid w:val="00906794"/>
    <w:rsid w:val="00906A40"/>
    <w:rsid w:val="00906AC1"/>
    <w:rsid w:val="009074AD"/>
    <w:rsid w:val="0090753A"/>
    <w:rsid w:val="009078F0"/>
    <w:rsid w:val="00907B72"/>
    <w:rsid w:val="00907BEF"/>
    <w:rsid w:val="0091038E"/>
    <w:rsid w:val="0091043A"/>
    <w:rsid w:val="0091046E"/>
    <w:rsid w:val="009106BA"/>
    <w:rsid w:val="0091083B"/>
    <w:rsid w:val="009109A6"/>
    <w:rsid w:val="00910ED3"/>
    <w:rsid w:val="00911332"/>
    <w:rsid w:val="0091159E"/>
    <w:rsid w:val="0091160D"/>
    <w:rsid w:val="00912521"/>
    <w:rsid w:val="0091271F"/>
    <w:rsid w:val="00912742"/>
    <w:rsid w:val="00912923"/>
    <w:rsid w:val="00912CD0"/>
    <w:rsid w:val="00912F12"/>
    <w:rsid w:val="009130D5"/>
    <w:rsid w:val="009133B1"/>
    <w:rsid w:val="0091360B"/>
    <w:rsid w:val="009136AA"/>
    <w:rsid w:val="0091383D"/>
    <w:rsid w:val="00913916"/>
    <w:rsid w:val="00913D25"/>
    <w:rsid w:val="00913D8E"/>
    <w:rsid w:val="00913E3D"/>
    <w:rsid w:val="009140A5"/>
    <w:rsid w:val="009141B1"/>
    <w:rsid w:val="009145A5"/>
    <w:rsid w:val="00914D99"/>
    <w:rsid w:val="0091502E"/>
    <w:rsid w:val="00915044"/>
    <w:rsid w:val="0091539C"/>
    <w:rsid w:val="00915651"/>
    <w:rsid w:val="009156A5"/>
    <w:rsid w:val="0091574F"/>
    <w:rsid w:val="0091578C"/>
    <w:rsid w:val="00915C78"/>
    <w:rsid w:val="0091630F"/>
    <w:rsid w:val="0091633B"/>
    <w:rsid w:val="00916540"/>
    <w:rsid w:val="00916997"/>
    <w:rsid w:val="00916ADF"/>
    <w:rsid w:val="0091714F"/>
    <w:rsid w:val="00917369"/>
    <w:rsid w:val="009176BD"/>
    <w:rsid w:val="00917D40"/>
    <w:rsid w:val="00920671"/>
    <w:rsid w:val="0092076E"/>
    <w:rsid w:val="009209F1"/>
    <w:rsid w:val="00920DCC"/>
    <w:rsid w:val="00920EB2"/>
    <w:rsid w:val="00921454"/>
    <w:rsid w:val="00921748"/>
    <w:rsid w:val="009222E3"/>
    <w:rsid w:val="00922389"/>
    <w:rsid w:val="009226F2"/>
    <w:rsid w:val="009229A1"/>
    <w:rsid w:val="009229C9"/>
    <w:rsid w:val="00922A73"/>
    <w:rsid w:val="00922F3C"/>
    <w:rsid w:val="00923289"/>
    <w:rsid w:val="009237CC"/>
    <w:rsid w:val="00923EEB"/>
    <w:rsid w:val="00924410"/>
    <w:rsid w:val="0092451B"/>
    <w:rsid w:val="0092489C"/>
    <w:rsid w:val="00924C4C"/>
    <w:rsid w:val="00924FC3"/>
    <w:rsid w:val="009255A5"/>
    <w:rsid w:val="00926250"/>
    <w:rsid w:val="009264FB"/>
    <w:rsid w:val="00926CB4"/>
    <w:rsid w:val="00926CF4"/>
    <w:rsid w:val="00926E46"/>
    <w:rsid w:val="009270DC"/>
    <w:rsid w:val="00927303"/>
    <w:rsid w:val="0092739A"/>
    <w:rsid w:val="00927652"/>
    <w:rsid w:val="00927795"/>
    <w:rsid w:val="00927925"/>
    <w:rsid w:val="00927A1F"/>
    <w:rsid w:val="00927AFB"/>
    <w:rsid w:val="00927BCB"/>
    <w:rsid w:val="00927E2B"/>
    <w:rsid w:val="009300B0"/>
    <w:rsid w:val="0093060E"/>
    <w:rsid w:val="00930865"/>
    <w:rsid w:val="009310C3"/>
    <w:rsid w:val="00931119"/>
    <w:rsid w:val="00931148"/>
    <w:rsid w:val="009318B6"/>
    <w:rsid w:val="00931C0A"/>
    <w:rsid w:val="00931FC5"/>
    <w:rsid w:val="0093204B"/>
    <w:rsid w:val="0093231B"/>
    <w:rsid w:val="00932E1C"/>
    <w:rsid w:val="00933039"/>
    <w:rsid w:val="00933175"/>
    <w:rsid w:val="00933189"/>
    <w:rsid w:val="009339AE"/>
    <w:rsid w:val="00933DA8"/>
    <w:rsid w:val="00933F26"/>
    <w:rsid w:val="00934583"/>
    <w:rsid w:val="0093470E"/>
    <w:rsid w:val="00934712"/>
    <w:rsid w:val="00934D9B"/>
    <w:rsid w:val="00934E0C"/>
    <w:rsid w:val="009352CB"/>
    <w:rsid w:val="00935508"/>
    <w:rsid w:val="009356D6"/>
    <w:rsid w:val="009358C6"/>
    <w:rsid w:val="009358EC"/>
    <w:rsid w:val="00936649"/>
    <w:rsid w:val="009367F5"/>
    <w:rsid w:val="00936E99"/>
    <w:rsid w:val="00937281"/>
    <w:rsid w:val="0093782D"/>
    <w:rsid w:val="0093786B"/>
    <w:rsid w:val="00937F69"/>
    <w:rsid w:val="009400B9"/>
    <w:rsid w:val="009401C0"/>
    <w:rsid w:val="0094046C"/>
    <w:rsid w:val="00940704"/>
    <w:rsid w:val="009408E7"/>
    <w:rsid w:val="00940944"/>
    <w:rsid w:val="00940C82"/>
    <w:rsid w:val="00941280"/>
    <w:rsid w:val="00941308"/>
    <w:rsid w:val="0094139F"/>
    <w:rsid w:val="00941836"/>
    <w:rsid w:val="00941C29"/>
    <w:rsid w:val="00942316"/>
    <w:rsid w:val="009426E8"/>
    <w:rsid w:val="00942944"/>
    <w:rsid w:val="00942A8C"/>
    <w:rsid w:val="00942EDE"/>
    <w:rsid w:val="00943415"/>
    <w:rsid w:val="00943738"/>
    <w:rsid w:val="00943D49"/>
    <w:rsid w:val="00944165"/>
    <w:rsid w:val="00944601"/>
    <w:rsid w:val="00944721"/>
    <w:rsid w:val="0094482F"/>
    <w:rsid w:val="00944C87"/>
    <w:rsid w:val="00944DA4"/>
    <w:rsid w:val="009450B9"/>
    <w:rsid w:val="009453D5"/>
    <w:rsid w:val="009455F0"/>
    <w:rsid w:val="00945A03"/>
    <w:rsid w:val="00945DA1"/>
    <w:rsid w:val="00945EC6"/>
    <w:rsid w:val="009461EA"/>
    <w:rsid w:val="009462DA"/>
    <w:rsid w:val="00947774"/>
    <w:rsid w:val="00947DA5"/>
    <w:rsid w:val="009500EA"/>
    <w:rsid w:val="0095024E"/>
    <w:rsid w:val="00950A66"/>
    <w:rsid w:val="00950C66"/>
    <w:rsid w:val="00951B74"/>
    <w:rsid w:val="0095251E"/>
    <w:rsid w:val="00952850"/>
    <w:rsid w:val="00952C63"/>
    <w:rsid w:val="0095313B"/>
    <w:rsid w:val="009534A0"/>
    <w:rsid w:val="00953A8A"/>
    <w:rsid w:val="00953B54"/>
    <w:rsid w:val="00953D86"/>
    <w:rsid w:val="00953E72"/>
    <w:rsid w:val="00954482"/>
    <w:rsid w:val="00954626"/>
    <w:rsid w:val="00954B4B"/>
    <w:rsid w:val="00954B71"/>
    <w:rsid w:val="00954F88"/>
    <w:rsid w:val="00955087"/>
    <w:rsid w:val="00955B13"/>
    <w:rsid w:val="00955C38"/>
    <w:rsid w:val="00956082"/>
    <w:rsid w:val="009566F0"/>
    <w:rsid w:val="00956BF6"/>
    <w:rsid w:val="00956E1C"/>
    <w:rsid w:val="00956E99"/>
    <w:rsid w:val="00957EA1"/>
    <w:rsid w:val="00960686"/>
    <w:rsid w:val="009608EF"/>
    <w:rsid w:val="00960F33"/>
    <w:rsid w:val="00960FA9"/>
    <w:rsid w:val="00961469"/>
    <w:rsid w:val="0096178D"/>
    <w:rsid w:val="00961AEC"/>
    <w:rsid w:val="00961D3F"/>
    <w:rsid w:val="0096238A"/>
    <w:rsid w:val="0096282A"/>
    <w:rsid w:val="00962F46"/>
    <w:rsid w:val="00963570"/>
    <w:rsid w:val="00963ABD"/>
    <w:rsid w:val="00963FE4"/>
    <w:rsid w:val="00964CF8"/>
    <w:rsid w:val="00965202"/>
    <w:rsid w:val="0096637B"/>
    <w:rsid w:val="00966404"/>
    <w:rsid w:val="00966EB6"/>
    <w:rsid w:val="00966F65"/>
    <w:rsid w:val="009676B8"/>
    <w:rsid w:val="009676FB"/>
    <w:rsid w:val="00967E86"/>
    <w:rsid w:val="00970E2D"/>
    <w:rsid w:val="009716FE"/>
    <w:rsid w:val="00971790"/>
    <w:rsid w:val="00971DCC"/>
    <w:rsid w:val="00971F42"/>
    <w:rsid w:val="00971FC8"/>
    <w:rsid w:val="00972737"/>
    <w:rsid w:val="00972ED2"/>
    <w:rsid w:val="009733ED"/>
    <w:rsid w:val="0097369D"/>
    <w:rsid w:val="00973BA7"/>
    <w:rsid w:val="00973D0E"/>
    <w:rsid w:val="009740CE"/>
    <w:rsid w:val="009740E9"/>
    <w:rsid w:val="00974184"/>
    <w:rsid w:val="0097446B"/>
    <w:rsid w:val="0097458E"/>
    <w:rsid w:val="00974798"/>
    <w:rsid w:val="0097488F"/>
    <w:rsid w:val="00974A07"/>
    <w:rsid w:val="00974DE6"/>
    <w:rsid w:val="00974F88"/>
    <w:rsid w:val="00975428"/>
    <w:rsid w:val="0097583C"/>
    <w:rsid w:val="00975D29"/>
    <w:rsid w:val="0097609A"/>
    <w:rsid w:val="0097655F"/>
    <w:rsid w:val="00976AC1"/>
    <w:rsid w:val="00976E37"/>
    <w:rsid w:val="00977A8B"/>
    <w:rsid w:val="00977EF2"/>
    <w:rsid w:val="00977EF4"/>
    <w:rsid w:val="00977F85"/>
    <w:rsid w:val="009802A7"/>
    <w:rsid w:val="009806BA"/>
    <w:rsid w:val="00980949"/>
    <w:rsid w:val="00980EFD"/>
    <w:rsid w:val="009812BC"/>
    <w:rsid w:val="00981310"/>
    <w:rsid w:val="00981A41"/>
    <w:rsid w:val="00981DB1"/>
    <w:rsid w:val="0098202B"/>
    <w:rsid w:val="009820E0"/>
    <w:rsid w:val="009820F8"/>
    <w:rsid w:val="009822C5"/>
    <w:rsid w:val="0098239D"/>
    <w:rsid w:val="009825B1"/>
    <w:rsid w:val="009828F8"/>
    <w:rsid w:val="009829A4"/>
    <w:rsid w:val="00982A51"/>
    <w:rsid w:val="00982B19"/>
    <w:rsid w:val="00983A61"/>
    <w:rsid w:val="00983B7A"/>
    <w:rsid w:val="00983F3C"/>
    <w:rsid w:val="0098467E"/>
    <w:rsid w:val="009847B9"/>
    <w:rsid w:val="009847FF"/>
    <w:rsid w:val="00984B9B"/>
    <w:rsid w:val="0098523B"/>
    <w:rsid w:val="009855D6"/>
    <w:rsid w:val="0098576C"/>
    <w:rsid w:val="009857C6"/>
    <w:rsid w:val="00985ED5"/>
    <w:rsid w:val="009861BC"/>
    <w:rsid w:val="009865EA"/>
    <w:rsid w:val="009874B2"/>
    <w:rsid w:val="00990835"/>
    <w:rsid w:val="00990C54"/>
    <w:rsid w:val="00990DB8"/>
    <w:rsid w:val="00991227"/>
    <w:rsid w:val="00991966"/>
    <w:rsid w:val="00991E11"/>
    <w:rsid w:val="0099206B"/>
    <w:rsid w:val="00992307"/>
    <w:rsid w:val="00992319"/>
    <w:rsid w:val="0099256D"/>
    <w:rsid w:val="00992970"/>
    <w:rsid w:val="00992CD8"/>
    <w:rsid w:val="00992D7A"/>
    <w:rsid w:val="00992FCB"/>
    <w:rsid w:val="0099303C"/>
    <w:rsid w:val="009936ED"/>
    <w:rsid w:val="0099386A"/>
    <w:rsid w:val="0099394C"/>
    <w:rsid w:val="00994587"/>
    <w:rsid w:val="00994AFE"/>
    <w:rsid w:val="00995289"/>
    <w:rsid w:val="009952EF"/>
    <w:rsid w:val="00995493"/>
    <w:rsid w:val="00995572"/>
    <w:rsid w:val="00995951"/>
    <w:rsid w:val="00995952"/>
    <w:rsid w:val="00995A65"/>
    <w:rsid w:val="00995B4F"/>
    <w:rsid w:val="00995BF1"/>
    <w:rsid w:val="00995FD5"/>
    <w:rsid w:val="00996919"/>
    <w:rsid w:val="00996CE0"/>
    <w:rsid w:val="00997780"/>
    <w:rsid w:val="00997A3C"/>
    <w:rsid w:val="009A010E"/>
    <w:rsid w:val="009A09BA"/>
    <w:rsid w:val="009A0E37"/>
    <w:rsid w:val="009A12A5"/>
    <w:rsid w:val="009A143B"/>
    <w:rsid w:val="009A2003"/>
    <w:rsid w:val="009A2063"/>
    <w:rsid w:val="009A222C"/>
    <w:rsid w:val="009A245E"/>
    <w:rsid w:val="009A2C11"/>
    <w:rsid w:val="009A2C36"/>
    <w:rsid w:val="009A2C81"/>
    <w:rsid w:val="009A2F58"/>
    <w:rsid w:val="009A3534"/>
    <w:rsid w:val="009A3D26"/>
    <w:rsid w:val="009A4A22"/>
    <w:rsid w:val="009A4A8B"/>
    <w:rsid w:val="009A4B13"/>
    <w:rsid w:val="009A4C3A"/>
    <w:rsid w:val="009A55CF"/>
    <w:rsid w:val="009A5622"/>
    <w:rsid w:val="009A57D3"/>
    <w:rsid w:val="009A5924"/>
    <w:rsid w:val="009A595C"/>
    <w:rsid w:val="009A5F08"/>
    <w:rsid w:val="009A62A6"/>
    <w:rsid w:val="009A67E0"/>
    <w:rsid w:val="009A6962"/>
    <w:rsid w:val="009A69A1"/>
    <w:rsid w:val="009A6DFF"/>
    <w:rsid w:val="009A7154"/>
    <w:rsid w:val="009A75B8"/>
    <w:rsid w:val="009A7627"/>
    <w:rsid w:val="009A7701"/>
    <w:rsid w:val="009A7C27"/>
    <w:rsid w:val="009A7F88"/>
    <w:rsid w:val="009B0104"/>
    <w:rsid w:val="009B014A"/>
    <w:rsid w:val="009B03D0"/>
    <w:rsid w:val="009B0658"/>
    <w:rsid w:val="009B1154"/>
    <w:rsid w:val="009B1397"/>
    <w:rsid w:val="009B160B"/>
    <w:rsid w:val="009B172C"/>
    <w:rsid w:val="009B1776"/>
    <w:rsid w:val="009B229D"/>
    <w:rsid w:val="009B22A7"/>
    <w:rsid w:val="009B232E"/>
    <w:rsid w:val="009B24AE"/>
    <w:rsid w:val="009B2EB1"/>
    <w:rsid w:val="009B2ECB"/>
    <w:rsid w:val="009B30D7"/>
    <w:rsid w:val="009B3833"/>
    <w:rsid w:val="009B390F"/>
    <w:rsid w:val="009B3CB5"/>
    <w:rsid w:val="009B3EFB"/>
    <w:rsid w:val="009B3F2E"/>
    <w:rsid w:val="009B4143"/>
    <w:rsid w:val="009B48C6"/>
    <w:rsid w:val="009B5331"/>
    <w:rsid w:val="009B5568"/>
    <w:rsid w:val="009B59BA"/>
    <w:rsid w:val="009B5BFF"/>
    <w:rsid w:val="009B603C"/>
    <w:rsid w:val="009B634A"/>
    <w:rsid w:val="009B6568"/>
    <w:rsid w:val="009B6745"/>
    <w:rsid w:val="009B68A2"/>
    <w:rsid w:val="009B6911"/>
    <w:rsid w:val="009B6BA2"/>
    <w:rsid w:val="009B7126"/>
    <w:rsid w:val="009B7625"/>
    <w:rsid w:val="009B765D"/>
    <w:rsid w:val="009B7D7D"/>
    <w:rsid w:val="009B7E9B"/>
    <w:rsid w:val="009C008E"/>
    <w:rsid w:val="009C047C"/>
    <w:rsid w:val="009C0C10"/>
    <w:rsid w:val="009C0C5E"/>
    <w:rsid w:val="009C12ED"/>
    <w:rsid w:val="009C1454"/>
    <w:rsid w:val="009C14B7"/>
    <w:rsid w:val="009C1649"/>
    <w:rsid w:val="009C1DDC"/>
    <w:rsid w:val="009C203B"/>
    <w:rsid w:val="009C28FC"/>
    <w:rsid w:val="009C2BC6"/>
    <w:rsid w:val="009C315C"/>
    <w:rsid w:val="009C31A4"/>
    <w:rsid w:val="009C3F7A"/>
    <w:rsid w:val="009C4057"/>
    <w:rsid w:val="009C417C"/>
    <w:rsid w:val="009C4331"/>
    <w:rsid w:val="009C45EA"/>
    <w:rsid w:val="009C4C2D"/>
    <w:rsid w:val="009C4DC9"/>
    <w:rsid w:val="009C5506"/>
    <w:rsid w:val="009C5E4D"/>
    <w:rsid w:val="009C6B45"/>
    <w:rsid w:val="009C6E11"/>
    <w:rsid w:val="009C6E56"/>
    <w:rsid w:val="009C7123"/>
    <w:rsid w:val="009C7256"/>
    <w:rsid w:val="009C72B6"/>
    <w:rsid w:val="009C77BD"/>
    <w:rsid w:val="009C7A75"/>
    <w:rsid w:val="009C7D45"/>
    <w:rsid w:val="009C7EE7"/>
    <w:rsid w:val="009D08A8"/>
    <w:rsid w:val="009D0F7E"/>
    <w:rsid w:val="009D18F3"/>
    <w:rsid w:val="009D1D3C"/>
    <w:rsid w:val="009D2738"/>
    <w:rsid w:val="009D2814"/>
    <w:rsid w:val="009D2FA5"/>
    <w:rsid w:val="009D30F5"/>
    <w:rsid w:val="009D31B7"/>
    <w:rsid w:val="009D35EF"/>
    <w:rsid w:val="009D3DCE"/>
    <w:rsid w:val="009D3F6A"/>
    <w:rsid w:val="009D48BD"/>
    <w:rsid w:val="009D4AB9"/>
    <w:rsid w:val="009D5247"/>
    <w:rsid w:val="009D559F"/>
    <w:rsid w:val="009D59C2"/>
    <w:rsid w:val="009D6251"/>
    <w:rsid w:val="009D62CE"/>
    <w:rsid w:val="009D6727"/>
    <w:rsid w:val="009D6790"/>
    <w:rsid w:val="009D710C"/>
    <w:rsid w:val="009D7544"/>
    <w:rsid w:val="009D75DD"/>
    <w:rsid w:val="009D76C9"/>
    <w:rsid w:val="009D7AD7"/>
    <w:rsid w:val="009D7B07"/>
    <w:rsid w:val="009D7B0F"/>
    <w:rsid w:val="009D7FBD"/>
    <w:rsid w:val="009D7FD6"/>
    <w:rsid w:val="009E0693"/>
    <w:rsid w:val="009E09BC"/>
    <w:rsid w:val="009E1572"/>
    <w:rsid w:val="009E1B88"/>
    <w:rsid w:val="009E2222"/>
    <w:rsid w:val="009E32C8"/>
    <w:rsid w:val="009E32E3"/>
    <w:rsid w:val="009E342F"/>
    <w:rsid w:val="009E3689"/>
    <w:rsid w:val="009E38BD"/>
    <w:rsid w:val="009E390F"/>
    <w:rsid w:val="009E3AA6"/>
    <w:rsid w:val="009E3E35"/>
    <w:rsid w:val="009E3E55"/>
    <w:rsid w:val="009E40AF"/>
    <w:rsid w:val="009E4AA6"/>
    <w:rsid w:val="009E4BE3"/>
    <w:rsid w:val="009E504A"/>
    <w:rsid w:val="009E508C"/>
    <w:rsid w:val="009E52F0"/>
    <w:rsid w:val="009E5FC1"/>
    <w:rsid w:val="009E6CE2"/>
    <w:rsid w:val="009E6FCD"/>
    <w:rsid w:val="009E70D2"/>
    <w:rsid w:val="009E7DE1"/>
    <w:rsid w:val="009E7E95"/>
    <w:rsid w:val="009F015B"/>
    <w:rsid w:val="009F03FF"/>
    <w:rsid w:val="009F053E"/>
    <w:rsid w:val="009F08D1"/>
    <w:rsid w:val="009F09F1"/>
    <w:rsid w:val="009F0A43"/>
    <w:rsid w:val="009F0C67"/>
    <w:rsid w:val="009F0DEA"/>
    <w:rsid w:val="009F0EAE"/>
    <w:rsid w:val="009F134D"/>
    <w:rsid w:val="009F1CBC"/>
    <w:rsid w:val="009F2BBA"/>
    <w:rsid w:val="009F2CD0"/>
    <w:rsid w:val="009F2E06"/>
    <w:rsid w:val="009F3F30"/>
    <w:rsid w:val="009F435D"/>
    <w:rsid w:val="009F4444"/>
    <w:rsid w:val="009F4C68"/>
    <w:rsid w:val="009F5007"/>
    <w:rsid w:val="009F5045"/>
    <w:rsid w:val="009F5457"/>
    <w:rsid w:val="009F58D6"/>
    <w:rsid w:val="009F5A27"/>
    <w:rsid w:val="009F5A29"/>
    <w:rsid w:val="009F5F98"/>
    <w:rsid w:val="009F624B"/>
    <w:rsid w:val="009F6398"/>
    <w:rsid w:val="009F6D96"/>
    <w:rsid w:val="009F6E2A"/>
    <w:rsid w:val="009F72D4"/>
    <w:rsid w:val="009F7CE9"/>
    <w:rsid w:val="00A000DE"/>
    <w:rsid w:val="00A006CB"/>
    <w:rsid w:val="00A00BBC"/>
    <w:rsid w:val="00A00F42"/>
    <w:rsid w:val="00A00F49"/>
    <w:rsid w:val="00A013C5"/>
    <w:rsid w:val="00A017EC"/>
    <w:rsid w:val="00A0190B"/>
    <w:rsid w:val="00A01A6D"/>
    <w:rsid w:val="00A02368"/>
    <w:rsid w:val="00A024A5"/>
    <w:rsid w:val="00A0282E"/>
    <w:rsid w:val="00A02898"/>
    <w:rsid w:val="00A02CC3"/>
    <w:rsid w:val="00A02E22"/>
    <w:rsid w:val="00A03126"/>
    <w:rsid w:val="00A035BE"/>
    <w:rsid w:val="00A0368B"/>
    <w:rsid w:val="00A03BE5"/>
    <w:rsid w:val="00A04817"/>
    <w:rsid w:val="00A04A82"/>
    <w:rsid w:val="00A05908"/>
    <w:rsid w:val="00A05AB5"/>
    <w:rsid w:val="00A05AD6"/>
    <w:rsid w:val="00A05E0B"/>
    <w:rsid w:val="00A06512"/>
    <w:rsid w:val="00A06D42"/>
    <w:rsid w:val="00A07225"/>
    <w:rsid w:val="00A0765B"/>
    <w:rsid w:val="00A07913"/>
    <w:rsid w:val="00A07997"/>
    <w:rsid w:val="00A07B53"/>
    <w:rsid w:val="00A07D27"/>
    <w:rsid w:val="00A103D9"/>
    <w:rsid w:val="00A10A6C"/>
    <w:rsid w:val="00A112B7"/>
    <w:rsid w:val="00A1184B"/>
    <w:rsid w:val="00A11A46"/>
    <w:rsid w:val="00A11C30"/>
    <w:rsid w:val="00A12009"/>
    <w:rsid w:val="00A12D8F"/>
    <w:rsid w:val="00A13095"/>
    <w:rsid w:val="00A13401"/>
    <w:rsid w:val="00A136DD"/>
    <w:rsid w:val="00A143D7"/>
    <w:rsid w:val="00A144ED"/>
    <w:rsid w:val="00A145F3"/>
    <w:rsid w:val="00A14715"/>
    <w:rsid w:val="00A14E20"/>
    <w:rsid w:val="00A150F4"/>
    <w:rsid w:val="00A151F8"/>
    <w:rsid w:val="00A15398"/>
    <w:rsid w:val="00A159C3"/>
    <w:rsid w:val="00A15A96"/>
    <w:rsid w:val="00A15ECB"/>
    <w:rsid w:val="00A16039"/>
    <w:rsid w:val="00A16B7E"/>
    <w:rsid w:val="00A16C72"/>
    <w:rsid w:val="00A16D55"/>
    <w:rsid w:val="00A17630"/>
    <w:rsid w:val="00A20137"/>
    <w:rsid w:val="00A2025B"/>
    <w:rsid w:val="00A205E5"/>
    <w:rsid w:val="00A20A79"/>
    <w:rsid w:val="00A20B53"/>
    <w:rsid w:val="00A21404"/>
    <w:rsid w:val="00A218D7"/>
    <w:rsid w:val="00A219F2"/>
    <w:rsid w:val="00A21B00"/>
    <w:rsid w:val="00A21D08"/>
    <w:rsid w:val="00A22337"/>
    <w:rsid w:val="00A22A18"/>
    <w:rsid w:val="00A22CCB"/>
    <w:rsid w:val="00A22EE3"/>
    <w:rsid w:val="00A23279"/>
    <w:rsid w:val="00A236CD"/>
    <w:rsid w:val="00A238F9"/>
    <w:rsid w:val="00A24249"/>
    <w:rsid w:val="00A24318"/>
    <w:rsid w:val="00A2431D"/>
    <w:rsid w:val="00A246ED"/>
    <w:rsid w:val="00A2483F"/>
    <w:rsid w:val="00A253DB"/>
    <w:rsid w:val="00A25989"/>
    <w:rsid w:val="00A25AE1"/>
    <w:rsid w:val="00A25FE5"/>
    <w:rsid w:val="00A261B4"/>
    <w:rsid w:val="00A26A3D"/>
    <w:rsid w:val="00A26D9B"/>
    <w:rsid w:val="00A273FA"/>
    <w:rsid w:val="00A27AF0"/>
    <w:rsid w:val="00A27C1A"/>
    <w:rsid w:val="00A30265"/>
    <w:rsid w:val="00A3093B"/>
    <w:rsid w:val="00A3124A"/>
    <w:rsid w:val="00A317AA"/>
    <w:rsid w:val="00A31E07"/>
    <w:rsid w:val="00A31FEE"/>
    <w:rsid w:val="00A32092"/>
    <w:rsid w:val="00A326DB"/>
    <w:rsid w:val="00A32CBE"/>
    <w:rsid w:val="00A3336D"/>
    <w:rsid w:val="00A33ED6"/>
    <w:rsid w:val="00A3435A"/>
    <w:rsid w:val="00A3469D"/>
    <w:rsid w:val="00A347AD"/>
    <w:rsid w:val="00A34DD1"/>
    <w:rsid w:val="00A350B9"/>
    <w:rsid w:val="00A35301"/>
    <w:rsid w:val="00A35B9C"/>
    <w:rsid w:val="00A3626F"/>
    <w:rsid w:val="00A366CA"/>
    <w:rsid w:val="00A36FD1"/>
    <w:rsid w:val="00A3700E"/>
    <w:rsid w:val="00A37209"/>
    <w:rsid w:val="00A3746B"/>
    <w:rsid w:val="00A377D5"/>
    <w:rsid w:val="00A379A7"/>
    <w:rsid w:val="00A37B6C"/>
    <w:rsid w:val="00A37DA5"/>
    <w:rsid w:val="00A4013B"/>
    <w:rsid w:val="00A407DB"/>
    <w:rsid w:val="00A40EF2"/>
    <w:rsid w:val="00A41316"/>
    <w:rsid w:val="00A41350"/>
    <w:rsid w:val="00A414ED"/>
    <w:rsid w:val="00A417A0"/>
    <w:rsid w:val="00A41F8A"/>
    <w:rsid w:val="00A4255E"/>
    <w:rsid w:val="00A42961"/>
    <w:rsid w:val="00A42B24"/>
    <w:rsid w:val="00A433F7"/>
    <w:rsid w:val="00A43407"/>
    <w:rsid w:val="00A43550"/>
    <w:rsid w:val="00A436A7"/>
    <w:rsid w:val="00A43AE8"/>
    <w:rsid w:val="00A43C3B"/>
    <w:rsid w:val="00A43F92"/>
    <w:rsid w:val="00A444E6"/>
    <w:rsid w:val="00A4497A"/>
    <w:rsid w:val="00A4523B"/>
    <w:rsid w:val="00A455C3"/>
    <w:rsid w:val="00A45BB1"/>
    <w:rsid w:val="00A45CD4"/>
    <w:rsid w:val="00A45CE5"/>
    <w:rsid w:val="00A461C1"/>
    <w:rsid w:val="00A46257"/>
    <w:rsid w:val="00A46986"/>
    <w:rsid w:val="00A46AE5"/>
    <w:rsid w:val="00A4744F"/>
    <w:rsid w:val="00A4773E"/>
    <w:rsid w:val="00A47BAD"/>
    <w:rsid w:val="00A50014"/>
    <w:rsid w:val="00A505CC"/>
    <w:rsid w:val="00A50601"/>
    <w:rsid w:val="00A50984"/>
    <w:rsid w:val="00A509CE"/>
    <w:rsid w:val="00A50BD2"/>
    <w:rsid w:val="00A50C17"/>
    <w:rsid w:val="00A515ED"/>
    <w:rsid w:val="00A517C6"/>
    <w:rsid w:val="00A517C7"/>
    <w:rsid w:val="00A51898"/>
    <w:rsid w:val="00A5211B"/>
    <w:rsid w:val="00A52160"/>
    <w:rsid w:val="00A5298E"/>
    <w:rsid w:val="00A5317B"/>
    <w:rsid w:val="00A53784"/>
    <w:rsid w:val="00A53CE7"/>
    <w:rsid w:val="00A53E57"/>
    <w:rsid w:val="00A5444F"/>
    <w:rsid w:val="00A54510"/>
    <w:rsid w:val="00A5588A"/>
    <w:rsid w:val="00A55D27"/>
    <w:rsid w:val="00A56391"/>
    <w:rsid w:val="00A564A5"/>
    <w:rsid w:val="00A56DB2"/>
    <w:rsid w:val="00A56E04"/>
    <w:rsid w:val="00A56FDB"/>
    <w:rsid w:val="00A5712D"/>
    <w:rsid w:val="00A5726E"/>
    <w:rsid w:val="00A575B6"/>
    <w:rsid w:val="00A57B72"/>
    <w:rsid w:val="00A57E35"/>
    <w:rsid w:val="00A57FA5"/>
    <w:rsid w:val="00A57FCA"/>
    <w:rsid w:val="00A6075C"/>
    <w:rsid w:val="00A60CCC"/>
    <w:rsid w:val="00A61127"/>
    <w:rsid w:val="00A61153"/>
    <w:rsid w:val="00A612E0"/>
    <w:rsid w:val="00A614A2"/>
    <w:rsid w:val="00A615EF"/>
    <w:rsid w:val="00A618CF"/>
    <w:rsid w:val="00A61A96"/>
    <w:rsid w:val="00A61B74"/>
    <w:rsid w:val="00A61C98"/>
    <w:rsid w:val="00A61CB9"/>
    <w:rsid w:val="00A625B7"/>
    <w:rsid w:val="00A62929"/>
    <w:rsid w:val="00A62CC2"/>
    <w:rsid w:val="00A62DAA"/>
    <w:rsid w:val="00A634EC"/>
    <w:rsid w:val="00A63718"/>
    <w:rsid w:val="00A63E84"/>
    <w:rsid w:val="00A6408E"/>
    <w:rsid w:val="00A640A8"/>
    <w:rsid w:val="00A641B1"/>
    <w:rsid w:val="00A64DAF"/>
    <w:rsid w:val="00A656BA"/>
    <w:rsid w:val="00A658EB"/>
    <w:rsid w:val="00A65F85"/>
    <w:rsid w:val="00A666CC"/>
    <w:rsid w:val="00A66E7C"/>
    <w:rsid w:val="00A66F9A"/>
    <w:rsid w:val="00A67236"/>
    <w:rsid w:val="00A67706"/>
    <w:rsid w:val="00A70015"/>
    <w:rsid w:val="00A708E2"/>
    <w:rsid w:val="00A709AB"/>
    <w:rsid w:val="00A70F28"/>
    <w:rsid w:val="00A70F5C"/>
    <w:rsid w:val="00A710DA"/>
    <w:rsid w:val="00A71106"/>
    <w:rsid w:val="00A716F7"/>
    <w:rsid w:val="00A71BEC"/>
    <w:rsid w:val="00A71C89"/>
    <w:rsid w:val="00A71F87"/>
    <w:rsid w:val="00A72976"/>
    <w:rsid w:val="00A72BCB"/>
    <w:rsid w:val="00A72D67"/>
    <w:rsid w:val="00A730BA"/>
    <w:rsid w:val="00A73BE3"/>
    <w:rsid w:val="00A73F85"/>
    <w:rsid w:val="00A73FCF"/>
    <w:rsid w:val="00A74316"/>
    <w:rsid w:val="00A7468B"/>
    <w:rsid w:val="00A74C6A"/>
    <w:rsid w:val="00A74C7E"/>
    <w:rsid w:val="00A75EBF"/>
    <w:rsid w:val="00A76529"/>
    <w:rsid w:val="00A76B79"/>
    <w:rsid w:val="00A7732F"/>
    <w:rsid w:val="00A779B6"/>
    <w:rsid w:val="00A77A4E"/>
    <w:rsid w:val="00A77D3C"/>
    <w:rsid w:val="00A77D70"/>
    <w:rsid w:val="00A80557"/>
    <w:rsid w:val="00A80866"/>
    <w:rsid w:val="00A81972"/>
    <w:rsid w:val="00A81AB4"/>
    <w:rsid w:val="00A81ECD"/>
    <w:rsid w:val="00A81F73"/>
    <w:rsid w:val="00A82481"/>
    <w:rsid w:val="00A82BBA"/>
    <w:rsid w:val="00A82C72"/>
    <w:rsid w:val="00A82D35"/>
    <w:rsid w:val="00A8302B"/>
    <w:rsid w:val="00A8424C"/>
    <w:rsid w:val="00A84433"/>
    <w:rsid w:val="00A84956"/>
    <w:rsid w:val="00A84DA6"/>
    <w:rsid w:val="00A84E0F"/>
    <w:rsid w:val="00A8512B"/>
    <w:rsid w:val="00A858C6"/>
    <w:rsid w:val="00A85BCC"/>
    <w:rsid w:val="00A85FC6"/>
    <w:rsid w:val="00A8667C"/>
    <w:rsid w:val="00A86C25"/>
    <w:rsid w:val="00A86DDE"/>
    <w:rsid w:val="00A86F54"/>
    <w:rsid w:val="00A87515"/>
    <w:rsid w:val="00A8781A"/>
    <w:rsid w:val="00A8785D"/>
    <w:rsid w:val="00A87CB2"/>
    <w:rsid w:val="00A904AA"/>
    <w:rsid w:val="00A906DA"/>
    <w:rsid w:val="00A907A7"/>
    <w:rsid w:val="00A91996"/>
    <w:rsid w:val="00A92072"/>
    <w:rsid w:val="00A9231B"/>
    <w:rsid w:val="00A929B8"/>
    <w:rsid w:val="00A93048"/>
    <w:rsid w:val="00A9357A"/>
    <w:rsid w:val="00A93C57"/>
    <w:rsid w:val="00A93D21"/>
    <w:rsid w:val="00A94526"/>
    <w:rsid w:val="00A94DE3"/>
    <w:rsid w:val="00A95156"/>
    <w:rsid w:val="00A95230"/>
    <w:rsid w:val="00A95238"/>
    <w:rsid w:val="00A954BF"/>
    <w:rsid w:val="00A954D5"/>
    <w:rsid w:val="00A95A0F"/>
    <w:rsid w:val="00A96395"/>
    <w:rsid w:val="00A9746D"/>
    <w:rsid w:val="00A978F7"/>
    <w:rsid w:val="00A97ADF"/>
    <w:rsid w:val="00AA0292"/>
    <w:rsid w:val="00AA02C8"/>
    <w:rsid w:val="00AA0A5D"/>
    <w:rsid w:val="00AA1566"/>
    <w:rsid w:val="00AA15EE"/>
    <w:rsid w:val="00AA1AFF"/>
    <w:rsid w:val="00AA1C0D"/>
    <w:rsid w:val="00AA1E65"/>
    <w:rsid w:val="00AA1F20"/>
    <w:rsid w:val="00AA1FDC"/>
    <w:rsid w:val="00AA256B"/>
    <w:rsid w:val="00AA2586"/>
    <w:rsid w:val="00AA276E"/>
    <w:rsid w:val="00AA2979"/>
    <w:rsid w:val="00AA2D75"/>
    <w:rsid w:val="00AA3612"/>
    <w:rsid w:val="00AA38E5"/>
    <w:rsid w:val="00AA3DC5"/>
    <w:rsid w:val="00AA3FD2"/>
    <w:rsid w:val="00AA4047"/>
    <w:rsid w:val="00AA4381"/>
    <w:rsid w:val="00AA4D6C"/>
    <w:rsid w:val="00AA547C"/>
    <w:rsid w:val="00AA58D8"/>
    <w:rsid w:val="00AA5913"/>
    <w:rsid w:val="00AA5A73"/>
    <w:rsid w:val="00AA60FE"/>
    <w:rsid w:val="00AA6499"/>
    <w:rsid w:val="00AA6610"/>
    <w:rsid w:val="00AA6AC3"/>
    <w:rsid w:val="00AA6E2F"/>
    <w:rsid w:val="00AA6F53"/>
    <w:rsid w:val="00AA6FE3"/>
    <w:rsid w:val="00AA7146"/>
    <w:rsid w:val="00AA7344"/>
    <w:rsid w:val="00AA748E"/>
    <w:rsid w:val="00AA7F51"/>
    <w:rsid w:val="00AA7F7B"/>
    <w:rsid w:val="00AA7FB5"/>
    <w:rsid w:val="00AB022F"/>
    <w:rsid w:val="00AB0FF5"/>
    <w:rsid w:val="00AB1624"/>
    <w:rsid w:val="00AB1F9E"/>
    <w:rsid w:val="00AB281F"/>
    <w:rsid w:val="00AB2862"/>
    <w:rsid w:val="00AB28DC"/>
    <w:rsid w:val="00AB293E"/>
    <w:rsid w:val="00AB2A01"/>
    <w:rsid w:val="00AB2F36"/>
    <w:rsid w:val="00AB338E"/>
    <w:rsid w:val="00AB33FF"/>
    <w:rsid w:val="00AB3628"/>
    <w:rsid w:val="00AB372E"/>
    <w:rsid w:val="00AB3C76"/>
    <w:rsid w:val="00AB3D73"/>
    <w:rsid w:val="00AB4268"/>
    <w:rsid w:val="00AB44BB"/>
    <w:rsid w:val="00AB4731"/>
    <w:rsid w:val="00AB478F"/>
    <w:rsid w:val="00AB47BC"/>
    <w:rsid w:val="00AB4DED"/>
    <w:rsid w:val="00AB5295"/>
    <w:rsid w:val="00AB5ED5"/>
    <w:rsid w:val="00AB5F2C"/>
    <w:rsid w:val="00AB61EF"/>
    <w:rsid w:val="00AB6496"/>
    <w:rsid w:val="00AB649F"/>
    <w:rsid w:val="00AB6918"/>
    <w:rsid w:val="00AB6D3E"/>
    <w:rsid w:val="00AB6E50"/>
    <w:rsid w:val="00AB6EE8"/>
    <w:rsid w:val="00AB7161"/>
    <w:rsid w:val="00AB7617"/>
    <w:rsid w:val="00AB7A71"/>
    <w:rsid w:val="00AB7CD4"/>
    <w:rsid w:val="00AC026E"/>
    <w:rsid w:val="00AC079C"/>
    <w:rsid w:val="00AC0C60"/>
    <w:rsid w:val="00AC129A"/>
    <w:rsid w:val="00AC1D72"/>
    <w:rsid w:val="00AC1E89"/>
    <w:rsid w:val="00AC20B0"/>
    <w:rsid w:val="00AC20D1"/>
    <w:rsid w:val="00AC21D8"/>
    <w:rsid w:val="00AC23C4"/>
    <w:rsid w:val="00AC28F6"/>
    <w:rsid w:val="00AC2FD7"/>
    <w:rsid w:val="00AC31FF"/>
    <w:rsid w:val="00AC325A"/>
    <w:rsid w:val="00AC3340"/>
    <w:rsid w:val="00AC390F"/>
    <w:rsid w:val="00AC3BEF"/>
    <w:rsid w:val="00AC3E02"/>
    <w:rsid w:val="00AC423D"/>
    <w:rsid w:val="00AC42E0"/>
    <w:rsid w:val="00AC45D4"/>
    <w:rsid w:val="00AC4729"/>
    <w:rsid w:val="00AC5266"/>
    <w:rsid w:val="00AC5317"/>
    <w:rsid w:val="00AC59E4"/>
    <w:rsid w:val="00AC5A6E"/>
    <w:rsid w:val="00AC5E70"/>
    <w:rsid w:val="00AC5FA1"/>
    <w:rsid w:val="00AC64ED"/>
    <w:rsid w:val="00AC6A30"/>
    <w:rsid w:val="00AC6BF1"/>
    <w:rsid w:val="00AC718B"/>
    <w:rsid w:val="00AC7307"/>
    <w:rsid w:val="00AC7491"/>
    <w:rsid w:val="00AC77AB"/>
    <w:rsid w:val="00AC78A2"/>
    <w:rsid w:val="00AD03A9"/>
    <w:rsid w:val="00AD0442"/>
    <w:rsid w:val="00AD05CF"/>
    <w:rsid w:val="00AD07E3"/>
    <w:rsid w:val="00AD0830"/>
    <w:rsid w:val="00AD0B6B"/>
    <w:rsid w:val="00AD13F7"/>
    <w:rsid w:val="00AD1436"/>
    <w:rsid w:val="00AD191C"/>
    <w:rsid w:val="00AD1C7E"/>
    <w:rsid w:val="00AD1DC3"/>
    <w:rsid w:val="00AD1E06"/>
    <w:rsid w:val="00AD1F59"/>
    <w:rsid w:val="00AD20FE"/>
    <w:rsid w:val="00AD269D"/>
    <w:rsid w:val="00AD2B31"/>
    <w:rsid w:val="00AD2E8A"/>
    <w:rsid w:val="00AD32FF"/>
    <w:rsid w:val="00AD34C0"/>
    <w:rsid w:val="00AD3EAA"/>
    <w:rsid w:val="00AD402C"/>
    <w:rsid w:val="00AD44CE"/>
    <w:rsid w:val="00AD457C"/>
    <w:rsid w:val="00AD4ABA"/>
    <w:rsid w:val="00AD4B62"/>
    <w:rsid w:val="00AD4CFC"/>
    <w:rsid w:val="00AD4F46"/>
    <w:rsid w:val="00AD50A4"/>
    <w:rsid w:val="00AD5126"/>
    <w:rsid w:val="00AD56B7"/>
    <w:rsid w:val="00AD5D40"/>
    <w:rsid w:val="00AD5F2A"/>
    <w:rsid w:val="00AD6034"/>
    <w:rsid w:val="00AD6176"/>
    <w:rsid w:val="00AD62B8"/>
    <w:rsid w:val="00AD64BC"/>
    <w:rsid w:val="00AD6529"/>
    <w:rsid w:val="00AD654F"/>
    <w:rsid w:val="00AD6931"/>
    <w:rsid w:val="00AD7590"/>
    <w:rsid w:val="00AD7A22"/>
    <w:rsid w:val="00AD7D0D"/>
    <w:rsid w:val="00AE0841"/>
    <w:rsid w:val="00AE0919"/>
    <w:rsid w:val="00AE12B0"/>
    <w:rsid w:val="00AE1633"/>
    <w:rsid w:val="00AE1CF4"/>
    <w:rsid w:val="00AE1D6E"/>
    <w:rsid w:val="00AE225A"/>
    <w:rsid w:val="00AE2623"/>
    <w:rsid w:val="00AE2C6B"/>
    <w:rsid w:val="00AE36F2"/>
    <w:rsid w:val="00AE392A"/>
    <w:rsid w:val="00AE3AD2"/>
    <w:rsid w:val="00AE3B28"/>
    <w:rsid w:val="00AE4180"/>
    <w:rsid w:val="00AE43A7"/>
    <w:rsid w:val="00AE481D"/>
    <w:rsid w:val="00AE4B04"/>
    <w:rsid w:val="00AE4C57"/>
    <w:rsid w:val="00AE4D8C"/>
    <w:rsid w:val="00AE4F56"/>
    <w:rsid w:val="00AE4FC7"/>
    <w:rsid w:val="00AE524D"/>
    <w:rsid w:val="00AE52E9"/>
    <w:rsid w:val="00AE5886"/>
    <w:rsid w:val="00AE5A05"/>
    <w:rsid w:val="00AE5F41"/>
    <w:rsid w:val="00AE65FC"/>
    <w:rsid w:val="00AE67A5"/>
    <w:rsid w:val="00AE6B82"/>
    <w:rsid w:val="00AE6F26"/>
    <w:rsid w:val="00AE7342"/>
    <w:rsid w:val="00AE763D"/>
    <w:rsid w:val="00AE780C"/>
    <w:rsid w:val="00AE7CA3"/>
    <w:rsid w:val="00AE7D11"/>
    <w:rsid w:val="00AE7F3F"/>
    <w:rsid w:val="00AF06DE"/>
    <w:rsid w:val="00AF095A"/>
    <w:rsid w:val="00AF09CA"/>
    <w:rsid w:val="00AF0C99"/>
    <w:rsid w:val="00AF0EED"/>
    <w:rsid w:val="00AF14A7"/>
    <w:rsid w:val="00AF1B92"/>
    <w:rsid w:val="00AF222C"/>
    <w:rsid w:val="00AF2ADD"/>
    <w:rsid w:val="00AF2B89"/>
    <w:rsid w:val="00AF3A2C"/>
    <w:rsid w:val="00AF3B6E"/>
    <w:rsid w:val="00AF42BD"/>
    <w:rsid w:val="00AF42E1"/>
    <w:rsid w:val="00AF4541"/>
    <w:rsid w:val="00AF47B0"/>
    <w:rsid w:val="00AF4953"/>
    <w:rsid w:val="00AF4B7B"/>
    <w:rsid w:val="00AF4DBE"/>
    <w:rsid w:val="00AF559F"/>
    <w:rsid w:val="00AF61F0"/>
    <w:rsid w:val="00AF6248"/>
    <w:rsid w:val="00AF62E2"/>
    <w:rsid w:val="00AF67B0"/>
    <w:rsid w:val="00AF6EBF"/>
    <w:rsid w:val="00AF6ED2"/>
    <w:rsid w:val="00AF7051"/>
    <w:rsid w:val="00AF755F"/>
    <w:rsid w:val="00AF7DF6"/>
    <w:rsid w:val="00B003A5"/>
    <w:rsid w:val="00B003B8"/>
    <w:rsid w:val="00B00483"/>
    <w:rsid w:val="00B006F6"/>
    <w:rsid w:val="00B00B9C"/>
    <w:rsid w:val="00B00DE4"/>
    <w:rsid w:val="00B00E07"/>
    <w:rsid w:val="00B0117A"/>
    <w:rsid w:val="00B019B8"/>
    <w:rsid w:val="00B01D0A"/>
    <w:rsid w:val="00B01D3D"/>
    <w:rsid w:val="00B020E6"/>
    <w:rsid w:val="00B02199"/>
    <w:rsid w:val="00B02382"/>
    <w:rsid w:val="00B02AC7"/>
    <w:rsid w:val="00B02D86"/>
    <w:rsid w:val="00B02F5F"/>
    <w:rsid w:val="00B0358D"/>
    <w:rsid w:val="00B035C5"/>
    <w:rsid w:val="00B0375D"/>
    <w:rsid w:val="00B03E11"/>
    <w:rsid w:val="00B03FC1"/>
    <w:rsid w:val="00B041AB"/>
    <w:rsid w:val="00B04248"/>
    <w:rsid w:val="00B04368"/>
    <w:rsid w:val="00B04667"/>
    <w:rsid w:val="00B049AC"/>
    <w:rsid w:val="00B04C57"/>
    <w:rsid w:val="00B0504C"/>
    <w:rsid w:val="00B0513D"/>
    <w:rsid w:val="00B0532E"/>
    <w:rsid w:val="00B05505"/>
    <w:rsid w:val="00B05693"/>
    <w:rsid w:val="00B0589D"/>
    <w:rsid w:val="00B05907"/>
    <w:rsid w:val="00B0594F"/>
    <w:rsid w:val="00B05B63"/>
    <w:rsid w:val="00B05C26"/>
    <w:rsid w:val="00B066FB"/>
    <w:rsid w:val="00B06B43"/>
    <w:rsid w:val="00B06D5A"/>
    <w:rsid w:val="00B07231"/>
    <w:rsid w:val="00B10488"/>
    <w:rsid w:val="00B106B3"/>
    <w:rsid w:val="00B10DC4"/>
    <w:rsid w:val="00B11162"/>
    <w:rsid w:val="00B11329"/>
    <w:rsid w:val="00B11F4F"/>
    <w:rsid w:val="00B128E2"/>
    <w:rsid w:val="00B14882"/>
    <w:rsid w:val="00B14918"/>
    <w:rsid w:val="00B14C39"/>
    <w:rsid w:val="00B14C7C"/>
    <w:rsid w:val="00B14DA9"/>
    <w:rsid w:val="00B15A61"/>
    <w:rsid w:val="00B1654E"/>
    <w:rsid w:val="00B166D7"/>
    <w:rsid w:val="00B169B4"/>
    <w:rsid w:val="00B16C2C"/>
    <w:rsid w:val="00B178E9"/>
    <w:rsid w:val="00B17C3C"/>
    <w:rsid w:val="00B17CF2"/>
    <w:rsid w:val="00B17D22"/>
    <w:rsid w:val="00B17DF9"/>
    <w:rsid w:val="00B201DA"/>
    <w:rsid w:val="00B20CA6"/>
    <w:rsid w:val="00B20FC7"/>
    <w:rsid w:val="00B2105F"/>
    <w:rsid w:val="00B210A5"/>
    <w:rsid w:val="00B21315"/>
    <w:rsid w:val="00B21973"/>
    <w:rsid w:val="00B21A21"/>
    <w:rsid w:val="00B21ABE"/>
    <w:rsid w:val="00B21B12"/>
    <w:rsid w:val="00B21BD9"/>
    <w:rsid w:val="00B21C01"/>
    <w:rsid w:val="00B22672"/>
    <w:rsid w:val="00B2295D"/>
    <w:rsid w:val="00B229E2"/>
    <w:rsid w:val="00B23095"/>
    <w:rsid w:val="00B231B3"/>
    <w:rsid w:val="00B23260"/>
    <w:rsid w:val="00B2350B"/>
    <w:rsid w:val="00B237CF"/>
    <w:rsid w:val="00B23BFF"/>
    <w:rsid w:val="00B23C39"/>
    <w:rsid w:val="00B24350"/>
    <w:rsid w:val="00B2448A"/>
    <w:rsid w:val="00B2451B"/>
    <w:rsid w:val="00B2480C"/>
    <w:rsid w:val="00B24EE6"/>
    <w:rsid w:val="00B252DB"/>
    <w:rsid w:val="00B2551F"/>
    <w:rsid w:val="00B255DC"/>
    <w:rsid w:val="00B25850"/>
    <w:rsid w:val="00B25A1C"/>
    <w:rsid w:val="00B25B64"/>
    <w:rsid w:val="00B25FE8"/>
    <w:rsid w:val="00B26266"/>
    <w:rsid w:val="00B26A1C"/>
    <w:rsid w:val="00B26AA6"/>
    <w:rsid w:val="00B272AF"/>
    <w:rsid w:val="00B2746C"/>
    <w:rsid w:val="00B27AF7"/>
    <w:rsid w:val="00B27B03"/>
    <w:rsid w:val="00B3009F"/>
    <w:rsid w:val="00B302B1"/>
    <w:rsid w:val="00B3030A"/>
    <w:rsid w:val="00B30832"/>
    <w:rsid w:val="00B30D51"/>
    <w:rsid w:val="00B30FFA"/>
    <w:rsid w:val="00B31ABD"/>
    <w:rsid w:val="00B328B6"/>
    <w:rsid w:val="00B32932"/>
    <w:rsid w:val="00B336C7"/>
    <w:rsid w:val="00B33738"/>
    <w:rsid w:val="00B33744"/>
    <w:rsid w:val="00B3387E"/>
    <w:rsid w:val="00B33B75"/>
    <w:rsid w:val="00B33FA5"/>
    <w:rsid w:val="00B3432C"/>
    <w:rsid w:val="00B3486F"/>
    <w:rsid w:val="00B366EB"/>
    <w:rsid w:val="00B36730"/>
    <w:rsid w:val="00B368C3"/>
    <w:rsid w:val="00B368D6"/>
    <w:rsid w:val="00B368F9"/>
    <w:rsid w:val="00B36B11"/>
    <w:rsid w:val="00B36D8E"/>
    <w:rsid w:val="00B371A5"/>
    <w:rsid w:val="00B37222"/>
    <w:rsid w:val="00B37386"/>
    <w:rsid w:val="00B376A5"/>
    <w:rsid w:val="00B3775B"/>
    <w:rsid w:val="00B37AB3"/>
    <w:rsid w:val="00B37DAD"/>
    <w:rsid w:val="00B404FC"/>
    <w:rsid w:val="00B40606"/>
    <w:rsid w:val="00B40775"/>
    <w:rsid w:val="00B4088F"/>
    <w:rsid w:val="00B409AE"/>
    <w:rsid w:val="00B40A5E"/>
    <w:rsid w:val="00B418DD"/>
    <w:rsid w:val="00B41D42"/>
    <w:rsid w:val="00B41DE7"/>
    <w:rsid w:val="00B41E16"/>
    <w:rsid w:val="00B42105"/>
    <w:rsid w:val="00B42BD8"/>
    <w:rsid w:val="00B42BE8"/>
    <w:rsid w:val="00B43141"/>
    <w:rsid w:val="00B43490"/>
    <w:rsid w:val="00B43749"/>
    <w:rsid w:val="00B4391D"/>
    <w:rsid w:val="00B43D2C"/>
    <w:rsid w:val="00B44CAF"/>
    <w:rsid w:val="00B450F5"/>
    <w:rsid w:val="00B4560F"/>
    <w:rsid w:val="00B4563E"/>
    <w:rsid w:val="00B45AAD"/>
    <w:rsid w:val="00B45C32"/>
    <w:rsid w:val="00B45C3C"/>
    <w:rsid w:val="00B46266"/>
    <w:rsid w:val="00B4689B"/>
    <w:rsid w:val="00B46DE8"/>
    <w:rsid w:val="00B50A16"/>
    <w:rsid w:val="00B50A91"/>
    <w:rsid w:val="00B50C5D"/>
    <w:rsid w:val="00B50F1E"/>
    <w:rsid w:val="00B51140"/>
    <w:rsid w:val="00B5192A"/>
    <w:rsid w:val="00B51E2E"/>
    <w:rsid w:val="00B52E4D"/>
    <w:rsid w:val="00B53880"/>
    <w:rsid w:val="00B53B36"/>
    <w:rsid w:val="00B53BDC"/>
    <w:rsid w:val="00B53E1C"/>
    <w:rsid w:val="00B53E45"/>
    <w:rsid w:val="00B53FF1"/>
    <w:rsid w:val="00B54263"/>
    <w:rsid w:val="00B546F0"/>
    <w:rsid w:val="00B54E0B"/>
    <w:rsid w:val="00B54E46"/>
    <w:rsid w:val="00B54FAD"/>
    <w:rsid w:val="00B54FEC"/>
    <w:rsid w:val="00B55144"/>
    <w:rsid w:val="00B55FD5"/>
    <w:rsid w:val="00B55FE0"/>
    <w:rsid w:val="00B5623A"/>
    <w:rsid w:val="00B56813"/>
    <w:rsid w:val="00B56C51"/>
    <w:rsid w:val="00B570C7"/>
    <w:rsid w:val="00B5713E"/>
    <w:rsid w:val="00B57519"/>
    <w:rsid w:val="00B602E4"/>
    <w:rsid w:val="00B608DF"/>
    <w:rsid w:val="00B6091F"/>
    <w:rsid w:val="00B60D63"/>
    <w:rsid w:val="00B610B6"/>
    <w:rsid w:val="00B610DD"/>
    <w:rsid w:val="00B6112A"/>
    <w:rsid w:val="00B6126C"/>
    <w:rsid w:val="00B61860"/>
    <w:rsid w:val="00B61A7A"/>
    <w:rsid w:val="00B61B45"/>
    <w:rsid w:val="00B61DD5"/>
    <w:rsid w:val="00B623C6"/>
    <w:rsid w:val="00B62597"/>
    <w:rsid w:val="00B628A5"/>
    <w:rsid w:val="00B6299F"/>
    <w:rsid w:val="00B63856"/>
    <w:rsid w:val="00B63E1F"/>
    <w:rsid w:val="00B63E38"/>
    <w:rsid w:val="00B64254"/>
    <w:rsid w:val="00B64264"/>
    <w:rsid w:val="00B6460A"/>
    <w:rsid w:val="00B64B70"/>
    <w:rsid w:val="00B653D5"/>
    <w:rsid w:val="00B660F9"/>
    <w:rsid w:val="00B66114"/>
    <w:rsid w:val="00B661BB"/>
    <w:rsid w:val="00B6665B"/>
    <w:rsid w:val="00B66BA7"/>
    <w:rsid w:val="00B66F33"/>
    <w:rsid w:val="00B6793C"/>
    <w:rsid w:val="00B67BC4"/>
    <w:rsid w:val="00B67CB6"/>
    <w:rsid w:val="00B702E6"/>
    <w:rsid w:val="00B710DA"/>
    <w:rsid w:val="00B71556"/>
    <w:rsid w:val="00B7175B"/>
    <w:rsid w:val="00B71B22"/>
    <w:rsid w:val="00B71CB0"/>
    <w:rsid w:val="00B71EC9"/>
    <w:rsid w:val="00B72482"/>
    <w:rsid w:val="00B724D8"/>
    <w:rsid w:val="00B7296A"/>
    <w:rsid w:val="00B72A4F"/>
    <w:rsid w:val="00B7303A"/>
    <w:rsid w:val="00B73336"/>
    <w:rsid w:val="00B735CD"/>
    <w:rsid w:val="00B738A5"/>
    <w:rsid w:val="00B738C6"/>
    <w:rsid w:val="00B73ECA"/>
    <w:rsid w:val="00B73F01"/>
    <w:rsid w:val="00B742BC"/>
    <w:rsid w:val="00B743AD"/>
    <w:rsid w:val="00B74B1F"/>
    <w:rsid w:val="00B74E0C"/>
    <w:rsid w:val="00B75792"/>
    <w:rsid w:val="00B757D6"/>
    <w:rsid w:val="00B75C9B"/>
    <w:rsid w:val="00B76784"/>
    <w:rsid w:val="00B76DAE"/>
    <w:rsid w:val="00B774A4"/>
    <w:rsid w:val="00B77ADB"/>
    <w:rsid w:val="00B80800"/>
    <w:rsid w:val="00B8081A"/>
    <w:rsid w:val="00B8082E"/>
    <w:rsid w:val="00B80A05"/>
    <w:rsid w:val="00B80FD7"/>
    <w:rsid w:val="00B81258"/>
    <w:rsid w:val="00B81262"/>
    <w:rsid w:val="00B81A62"/>
    <w:rsid w:val="00B81A9B"/>
    <w:rsid w:val="00B82228"/>
    <w:rsid w:val="00B824EF"/>
    <w:rsid w:val="00B8266C"/>
    <w:rsid w:val="00B828F4"/>
    <w:rsid w:val="00B82901"/>
    <w:rsid w:val="00B82A63"/>
    <w:rsid w:val="00B82F7B"/>
    <w:rsid w:val="00B84446"/>
    <w:rsid w:val="00B851E0"/>
    <w:rsid w:val="00B852F5"/>
    <w:rsid w:val="00B856CA"/>
    <w:rsid w:val="00B86319"/>
    <w:rsid w:val="00B868FA"/>
    <w:rsid w:val="00B869DC"/>
    <w:rsid w:val="00B86A21"/>
    <w:rsid w:val="00B86B0F"/>
    <w:rsid w:val="00B8736A"/>
    <w:rsid w:val="00B87662"/>
    <w:rsid w:val="00B87A2C"/>
    <w:rsid w:val="00B90F2B"/>
    <w:rsid w:val="00B91D8B"/>
    <w:rsid w:val="00B91E34"/>
    <w:rsid w:val="00B922A6"/>
    <w:rsid w:val="00B922F1"/>
    <w:rsid w:val="00B92542"/>
    <w:rsid w:val="00B93297"/>
    <w:rsid w:val="00B9389B"/>
    <w:rsid w:val="00B93D26"/>
    <w:rsid w:val="00B93E8B"/>
    <w:rsid w:val="00B93ED1"/>
    <w:rsid w:val="00B94256"/>
    <w:rsid w:val="00B94651"/>
    <w:rsid w:val="00B9578B"/>
    <w:rsid w:val="00B95E0B"/>
    <w:rsid w:val="00B95F04"/>
    <w:rsid w:val="00B965C8"/>
    <w:rsid w:val="00B965F7"/>
    <w:rsid w:val="00B96950"/>
    <w:rsid w:val="00B969B6"/>
    <w:rsid w:val="00B96E0C"/>
    <w:rsid w:val="00B979E9"/>
    <w:rsid w:val="00B97AA6"/>
    <w:rsid w:val="00BA013B"/>
    <w:rsid w:val="00BA0442"/>
    <w:rsid w:val="00BA059E"/>
    <w:rsid w:val="00BA085D"/>
    <w:rsid w:val="00BA0A6E"/>
    <w:rsid w:val="00BA0AB3"/>
    <w:rsid w:val="00BA0B0B"/>
    <w:rsid w:val="00BA0B53"/>
    <w:rsid w:val="00BA170C"/>
    <w:rsid w:val="00BA188F"/>
    <w:rsid w:val="00BA2154"/>
    <w:rsid w:val="00BA216D"/>
    <w:rsid w:val="00BA21DB"/>
    <w:rsid w:val="00BA2371"/>
    <w:rsid w:val="00BA2BAF"/>
    <w:rsid w:val="00BA2D3B"/>
    <w:rsid w:val="00BA2D8D"/>
    <w:rsid w:val="00BA3024"/>
    <w:rsid w:val="00BA3140"/>
    <w:rsid w:val="00BA3B89"/>
    <w:rsid w:val="00BA3D5E"/>
    <w:rsid w:val="00BA3FEA"/>
    <w:rsid w:val="00BA3FFD"/>
    <w:rsid w:val="00BA43B4"/>
    <w:rsid w:val="00BA43F6"/>
    <w:rsid w:val="00BA4416"/>
    <w:rsid w:val="00BA4B76"/>
    <w:rsid w:val="00BA4D15"/>
    <w:rsid w:val="00BA4E29"/>
    <w:rsid w:val="00BA4F0D"/>
    <w:rsid w:val="00BA585B"/>
    <w:rsid w:val="00BA5D84"/>
    <w:rsid w:val="00BA608F"/>
    <w:rsid w:val="00BA62A8"/>
    <w:rsid w:val="00BA62D2"/>
    <w:rsid w:val="00BA653C"/>
    <w:rsid w:val="00BA66D8"/>
    <w:rsid w:val="00BA68CC"/>
    <w:rsid w:val="00BA6CC4"/>
    <w:rsid w:val="00BA6DA5"/>
    <w:rsid w:val="00BA6F5D"/>
    <w:rsid w:val="00BA768F"/>
    <w:rsid w:val="00BA7C88"/>
    <w:rsid w:val="00BB0D10"/>
    <w:rsid w:val="00BB0D2C"/>
    <w:rsid w:val="00BB189B"/>
    <w:rsid w:val="00BB1B31"/>
    <w:rsid w:val="00BB1C72"/>
    <w:rsid w:val="00BB1D1A"/>
    <w:rsid w:val="00BB1F23"/>
    <w:rsid w:val="00BB24B6"/>
    <w:rsid w:val="00BB258F"/>
    <w:rsid w:val="00BB266E"/>
    <w:rsid w:val="00BB2DEF"/>
    <w:rsid w:val="00BB2EBB"/>
    <w:rsid w:val="00BB301E"/>
    <w:rsid w:val="00BB3B40"/>
    <w:rsid w:val="00BB3BE8"/>
    <w:rsid w:val="00BB3D75"/>
    <w:rsid w:val="00BB3DFC"/>
    <w:rsid w:val="00BB3F88"/>
    <w:rsid w:val="00BB419E"/>
    <w:rsid w:val="00BB47AB"/>
    <w:rsid w:val="00BB4CDF"/>
    <w:rsid w:val="00BB50DF"/>
    <w:rsid w:val="00BB5BB8"/>
    <w:rsid w:val="00BB6E55"/>
    <w:rsid w:val="00BB731A"/>
    <w:rsid w:val="00BB73DA"/>
    <w:rsid w:val="00BB7EA1"/>
    <w:rsid w:val="00BC04BC"/>
    <w:rsid w:val="00BC06E0"/>
    <w:rsid w:val="00BC06F4"/>
    <w:rsid w:val="00BC0C3C"/>
    <w:rsid w:val="00BC0D1A"/>
    <w:rsid w:val="00BC0E65"/>
    <w:rsid w:val="00BC1873"/>
    <w:rsid w:val="00BC1DCB"/>
    <w:rsid w:val="00BC1E7F"/>
    <w:rsid w:val="00BC1F1C"/>
    <w:rsid w:val="00BC2164"/>
    <w:rsid w:val="00BC2322"/>
    <w:rsid w:val="00BC2371"/>
    <w:rsid w:val="00BC30F9"/>
    <w:rsid w:val="00BC330F"/>
    <w:rsid w:val="00BC33B8"/>
    <w:rsid w:val="00BC393D"/>
    <w:rsid w:val="00BC3F68"/>
    <w:rsid w:val="00BC425D"/>
    <w:rsid w:val="00BC4D48"/>
    <w:rsid w:val="00BC4FA8"/>
    <w:rsid w:val="00BC5659"/>
    <w:rsid w:val="00BC64CE"/>
    <w:rsid w:val="00BC66D4"/>
    <w:rsid w:val="00BC6A75"/>
    <w:rsid w:val="00BC6DC4"/>
    <w:rsid w:val="00BC7212"/>
    <w:rsid w:val="00BC72C8"/>
    <w:rsid w:val="00BC7CDB"/>
    <w:rsid w:val="00BD0268"/>
    <w:rsid w:val="00BD0548"/>
    <w:rsid w:val="00BD06A1"/>
    <w:rsid w:val="00BD06D9"/>
    <w:rsid w:val="00BD0A50"/>
    <w:rsid w:val="00BD0E0B"/>
    <w:rsid w:val="00BD14C6"/>
    <w:rsid w:val="00BD15F4"/>
    <w:rsid w:val="00BD1AAE"/>
    <w:rsid w:val="00BD1AE7"/>
    <w:rsid w:val="00BD1B0F"/>
    <w:rsid w:val="00BD2290"/>
    <w:rsid w:val="00BD24FF"/>
    <w:rsid w:val="00BD2503"/>
    <w:rsid w:val="00BD29A0"/>
    <w:rsid w:val="00BD2B31"/>
    <w:rsid w:val="00BD2F2A"/>
    <w:rsid w:val="00BD2F73"/>
    <w:rsid w:val="00BD3385"/>
    <w:rsid w:val="00BD3943"/>
    <w:rsid w:val="00BD3B6E"/>
    <w:rsid w:val="00BD3B75"/>
    <w:rsid w:val="00BD3E61"/>
    <w:rsid w:val="00BD42C1"/>
    <w:rsid w:val="00BD468C"/>
    <w:rsid w:val="00BD4D80"/>
    <w:rsid w:val="00BD4DC0"/>
    <w:rsid w:val="00BD5A10"/>
    <w:rsid w:val="00BD6E0B"/>
    <w:rsid w:val="00BD73EF"/>
    <w:rsid w:val="00BD74D9"/>
    <w:rsid w:val="00BD7B16"/>
    <w:rsid w:val="00BD7FD8"/>
    <w:rsid w:val="00BE062F"/>
    <w:rsid w:val="00BE0716"/>
    <w:rsid w:val="00BE07D9"/>
    <w:rsid w:val="00BE0DF2"/>
    <w:rsid w:val="00BE1130"/>
    <w:rsid w:val="00BE1B77"/>
    <w:rsid w:val="00BE1E87"/>
    <w:rsid w:val="00BE21C2"/>
    <w:rsid w:val="00BE235C"/>
    <w:rsid w:val="00BE2AB1"/>
    <w:rsid w:val="00BE32B1"/>
    <w:rsid w:val="00BE32EF"/>
    <w:rsid w:val="00BE491E"/>
    <w:rsid w:val="00BE4DC5"/>
    <w:rsid w:val="00BE4F2C"/>
    <w:rsid w:val="00BE52E2"/>
    <w:rsid w:val="00BE546A"/>
    <w:rsid w:val="00BE5AA9"/>
    <w:rsid w:val="00BE6099"/>
    <w:rsid w:val="00BE618B"/>
    <w:rsid w:val="00BE65F4"/>
    <w:rsid w:val="00BE660C"/>
    <w:rsid w:val="00BE6C72"/>
    <w:rsid w:val="00BE73D1"/>
    <w:rsid w:val="00BE73DC"/>
    <w:rsid w:val="00BE7D31"/>
    <w:rsid w:val="00BF00A3"/>
    <w:rsid w:val="00BF02C2"/>
    <w:rsid w:val="00BF0B1D"/>
    <w:rsid w:val="00BF0BA7"/>
    <w:rsid w:val="00BF0C02"/>
    <w:rsid w:val="00BF1078"/>
    <w:rsid w:val="00BF10B9"/>
    <w:rsid w:val="00BF183C"/>
    <w:rsid w:val="00BF1985"/>
    <w:rsid w:val="00BF1D9A"/>
    <w:rsid w:val="00BF1F7E"/>
    <w:rsid w:val="00BF206F"/>
    <w:rsid w:val="00BF2949"/>
    <w:rsid w:val="00BF34B2"/>
    <w:rsid w:val="00BF428F"/>
    <w:rsid w:val="00BF42C7"/>
    <w:rsid w:val="00BF440A"/>
    <w:rsid w:val="00BF441C"/>
    <w:rsid w:val="00BF47C7"/>
    <w:rsid w:val="00BF4839"/>
    <w:rsid w:val="00BF4F38"/>
    <w:rsid w:val="00BF50EC"/>
    <w:rsid w:val="00BF5151"/>
    <w:rsid w:val="00BF52D3"/>
    <w:rsid w:val="00BF52DF"/>
    <w:rsid w:val="00BF543B"/>
    <w:rsid w:val="00BF5BF4"/>
    <w:rsid w:val="00BF6497"/>
    <w:rsid w:val="00BF660B"/>
    <w:rsid w:val="00BF66BE"/>
    <w:rsid w:val="00BF6B34"/>
    <w:rsid w:val="00BF6FA7"/>
    <w:rsid w:val="00BF7528"/>
    <w:rsid w:val="00BF7653"/>
    <w:rsid w:val="00BF7819"/>
    <w:rsid w:val="00BF7A02"/>
    <w:rsid w:val="00BF7BD5"/>
    <w:rsid w:val="00C00075"/>
    <w:rsid w:val="00C0035A"/>
    <w:rsid w:val="00C00441"/>
    <w:rsid w:val="00C01680"/>
    <w:rsid w:val="00C01C02"/>
    <w:rsid w:val="00C02356"/>
    <w:rsid w:val="00C02632"/>
    <w:rsid w:val="00C02760"/>
    <w:rsid w:val="00C02A83"/>
    <w:rsid w:val="00C02BFE"/>
    <w:rsid w:val="00C03365"/>
    <w:rsid w:val="00C033F3"/>
    <w:rsid w:val="00C03556"/>
    <w:rsid w:val="00C035CA"/>
    <w:rsid w:val="00C03750"/>
    <w:rsid w:val="00C04109"/>
    <w:rsid w:val="00C04352"/>
    <w:rsid w:val="00C044A7"/>
    <w:rsid w:val="00C04517"/>
    <w:rsid w:val="00C057AC"/>
    <w:rsid w:val="00C059CA"/>
    <w:rsid w:val="00C05AD5"/>
    <w:rsid w:val="00C05BD7"/>
    <w:rsid w:val="00C063E6"/>
    <w:rsid w:val="00C06505"/>
    <w:rsid w:val="00C065BB"/>
    <w:rsid w:val="00C06A5C"/>
    <w:rsid w:val="00C06A61"/>
    <w:rsid w:val="00C06FDD"/>
    <w:rsid w:val="00C076DE"/>
    <w:rsid w:val="00C07C0E"/>
    <w:rsid w:val="00C07F1C"/>
    <w:rsid w:val="00C07F45"/>
    <w:rsid w:val="00C1073C"/>
    <w:rsid w:val="00C109EA"/>
    <w:rsid w:val="00C10B43"/>
    <w:rsid w:val="00C10E02"/>
    <w:rsid w:val="00C1103F"/>
    <w:rsid w:val="00C111FE"/>
    <w:rsid w:val="00C11227"/>
    <w:rsid w:val="00C11767"/>
    <w:rsid w:val="00C117D8"/>
    <w:rsid w:val="00C11DAE"/>
    <w:rsid w:val="00C12082"/>
    <w:rsid w:val="00C1210E"/>
    <w:rsid w:val="00C1245F"/>
    <w:rsid w:val="00C124FA"/>
    <w:rsid w:val="00C1269D"/>
    <w:rsid w:val="00C12716"/>
    <w:rsid w:val="00C127CC"/>
    <w:rsid w:val="00C1290A"/>
    <w:rsid w:val="00C131B2"/>
    <w:rsid w:val="00C13644"/>
    <w:rsid w:val="00C136E7"/>
    <w:rsid w:val="00C13F5A"/>
    <w:rsid w:val="00C1421C"/>
    <w:rsid w:val="00C143A7"/>
    <w:rsid w:val="00C14984"/>
    <w:rsid w:val="00C152AC"/>
    <w:rsid w:val="00C1570C"/>
    <w:rsid w:val="00C1589E"/>
    <w:rsid w:val="00C15C81"/>
    <w:rsid w:val="00C15D82"/>
    <w:rsid w:val="00C15DB4"/>
    <w:rsid w:val="00C16108"/>
    <w:rsid w:val="00C1631E"/>
    <w:rsid w:val="00C1656A"/>
    <w:rsid w:val="00C16BF0"/>
    <w:rsid w:val="00C16D21"/>
    <w:rsid w:val="00C16ED6"/>
    <w:rsid w:val="00C16F66"/>
    <w:rsid w:val="00C1736E"/>
    <w:rsid w:val="00C17476"/>
    <w:rsid w:val="00C17BE4"/>
    <w:rsid w:val="00C17C7C"/>
    <w:rsid w:val="00C20407"/>
    <w:rsid w:val="00C2042B"/>
    <w:rsid w:val="00C2043E"/>
    <w:rsid w:val="00C2067C"/>
    <w:rsid w:val="00C20775"/>
    <w:rsid w:val="00C2174D"/>
    <w:rsid w:val="00C21845"/>
    <w:rsid w:val="00C218F3"/>
    <w:rsid w:val="00C21E9E"/>
    <w:rsid w:val="00C2256F"/>
    <w:rsid w:val="00C236A5"/>
    <w:rsid w:val="00C2383B"/>
    <w:rsid w:val="00C23C41"/>
    <w:rsid w:val="00C23D45"/>
    <w:rsid w:val="00C23D70"/>
    <w:rsid w:val="00C23F2F"/>
    <w:rsid w:val="00C241DA"/>
    <w:rsid w:val="00C2446D"/>
    <w:rsid w:val="00C247F2"/>
    <w:rsid w:val="00C2491D"/>
    <w:rsid w:val="00C2506B"/>
    <w:rsid w:val="00C25447"/>
    <w:rsid w:val="00C256B5"/>
    <w:rsid w:val="00C2613C"/>
    <w:rsid w:val="00C264CC"/>
    <w:rsid w:val="00C26AA2"/>
    <w:rsid w:val="00C26EA8"/>
    <w:rsid w:val="00C27805"/>
    <w:rsid w:val="00C27818"/>
    <w:rsid w:val="00C27F4C"/>
    <w:rsid w:val="00C3019C"/>
    <w:rsid w:val="00C3022E"/>
    <w:rsid w:val="00C303D4"/>
    <w:rsid w:val="00C3067B"/>
    <w:rsid w:val="00C31591"/>
    <w:rsid w:val="00C31F9A"/>
    <w:rsid w:val="00C32044"/>
    <w:rsid w:val="00C320E7"/>
    <w:rsid w:val="00C3252D"/>
    <w:rsid w:val="00C325C6"/>
    <w:rsid w:val="00C327B4"/>
    <w:rsid w:val="00C32A18"/>
    <w:rsid w:val="00C32A8D"/>
    <w:rsid w:val="00C32B2D"/>
    <w:rsid w:val="00C32C0C"/>
    <w:rsid w:val="00C32CA2"/>
    <w:rsid w:val="00C32CF2"/>
    <w:rsid w:val="00C32D45"/>
    <w:rsid w:val="00C331C4"/>
    <w:rsid w:val="00C33321"/>
    <w:rsid w:val="00C333F9"/>
    <w:rsid w:val="00C33A21"/>
    <w:rsid w:val="00C33A7C"/>
    <w:rsid w:val="00C33BD9"/>
    <w:rsid w:val="00C33FE0"/>
    <w:rsid w:val="00C348C5"/>
    <w:rsid w:val="00C348DB"/>
    <w:rsid w:val="00C34B0E"/>
    <w:rsid w:val="00C34CD6"/>
    <w:rsid w:val="00C35430"/>
    <w:rsid w:val="00C35E3D"/>
    <w:rsid w:val="00C36AB4"/>
    <w:rsid w:val="00C3721A"/>
    <w:rsid w:val="00C3744D"/>
    <w:rsid w:val="00C3786D"/>
    <w:rsid w:val="00C37A95"/>
    <w:rsid w:val="00C37CBD"/>
    <w:rsid w:val="00C37CFD"/>
    <w:rsid w:val="00C37EC6"/>
    <w:rsid w:val="00C40A5A"/>
    <w:rsid w:val="00C40BA5"/>
    <w:rsid w:val="00C40BDB"/>
    <w:rsid w:val="00C40D29"/>
    <w:rsid w:val="00C4190F"/>
    <w:rsid w:val="00C4196D"/>
    <w:rsid w:val="00C41D96"/>
    <w:rsid w:val="00C41EC3"/>
    <w:rsid w:val="00C4203C"/>
    <w:rsid w:val="00C4206F"/>
    <w:rsid w:val="00C42107"/>
    <w:rsid w:val="00C4279C"/>
    <w:rsid w:val="00C42A51"/>
    <w:rsid w:val="00C42BFD"/>
    <w:rsid w:val="00C42EC1"/>
    <w:rsid w:val="00C430AD"/>
    <w:rsid w:val="00C4325B"/>
    <w:rsid w:val="00C432DA"/>
    <w:rsid w:val="00C43C57"/>
    <w:rsid w:val="00C44158"/>
    <w:rsid w:val="00C44339"/>
    <w:rsid w:val="00C44644"/>
    <w:rsid w:val="00C446F2"/>
    <w:rsid w:val="00C44A98"/>
    <w:rsid w:val="00C44F0C"/>
    <w:rsid w:val="00C45232"/>
    <w:rsid w:val="00C4585A"/>
    <w:rsid w:val="00C45A31"/>
    <w:rsid w:val="00C45C24"/>
    <w:rsid w:val="00C45D45"/>
    <w:rsid w:val="00C46E15"/>
    <w:rsid w:val="00C46F97"/>
    <w:rsid w:val="00C470B0"/>
    <w:rsid w:val="00C472E3"/>
    <w:rsid w:val="00C4761D"/>
    <w:rsid w:val="00C47CF4"/>
    <w:rsid w:val="00C50A60"/>
    <w:rsid w:val="00C50A94"/>
    <w:rsid w:val="00C50C07"/>
    <w:rsid w:val="00C50F53"/>
    <w:rsid w:val="00C51143"/>
    <w:rsid w:val="00C513E4"/>
    <w:rsid w:val="00C51E19"/>
    <w:rsid w:val="00C526A7"/>
    <w:rsid w:val="00C53341"/>
    <w:rsid w:val="00C535E8"/>
    <w:rsid w:val="00C5362F"/>
    <w:rsid w:val="00C53698"/>
    <w:rsid w:val="00C53B85"/>
    <w:rsid w:val="00C541E7"/>
    <w:rsid w:val="00C542AF"/>
    <w:rsid w:val="00C54652"/>
    <w:rsid w:val="00C54689"/>
    <w:rsid w:val="00C54CB0"/>
    <w:rsid w:val="00C55453"/>
    <w:rsid w:val="00C55B9C"/>
    <w:rsid w:val="00C55D5E"/>
    <w:rsid w:val="00C55FD7"/>
    <w:rsid w:val="00C55FE7"/>
    <w:rsid w:val="00C5630F"/>
    <w:rsid w:val="00C56B25"/>
    <w:rsid w:val="00C56BC0"/>
    <w:rsid w:val="00C57676"/>
    <w:rsid w:val="00C57D9F"/>
    <w:rsid w:val="00C6006A"/>
    <w:rsid w:val="00C6014A"/>
    <w:rsid w:val="00C601B5"/>
    <w:rsid w:val="00C604F0"/>
    <w:rsid w:val="00C60A06"/>
    <w:rsid w:val="00C60EDA"/>
    <w:rsid w:val="00C60F27"/>
    <w:rsid w:val="00C61758"/>
    <w:rsid w:val="00C61964"/>
    <w:rsid w:val="00C619A1"/>
    <w:rsid w:val="00C619C7"/>
    <w:rsid w:val="00C619F3"/>
    <w:rsid w:val="00C61F46"/>
    <w:rsid w:val="00C62A3C"/>
    <w:rsid w:val="00C62EF0"/>
    <w:rsid w:val="00C62F51"/>
    <w:rsid w:val="00C6311B"/>
    <w:rsid w:val="00C6313E"/>
    <w:rsid w:val="00C63713"/>
    <w:rsid w:val="00C6397C"/>
    <w:rsid w:val="00C64562"/>
    <w:rsid w:val="00C65066"/>
    <w:rsid w:val="00C65994"/>
    <w:rsid w:val="00C659DE"/>
    <w:rsid w:val="00C66032"/>
    <w:rsid w:val="00C660BA"/>
    <w:rsid w:val="00C66592"/>
    <w:rsid w:val="00C66806"/>
    <w:rsid w:val="00C668F6"/>
    <w:rsid w:val="00C66AC2"/>
    <w:rsid w:val="00C66BFE"/>
    <w:rsid w:val="00C66D36"/>
    <w:rsid w:val="00C66D3B"/>
    <w:rsid w:val="00C6704D"/>
    <w:rsid w:val="00C67ACF"/>
    <w:rsid w:val="00C70215"/>
    <w:rsid w:val="00C70E77"/>
    <w:rsid w:val="00C7104C"/>
    <w:rsid w:val="00C713FC"/>
    <w:rsid w:val="00C71546"/>
    <w:rsid w:val="00C71F27"/>
    <w:rsid w:val="00C726B5"/>
    <w:rsid w:val="00C72B50"/>
    <w:rsid w:val="00C72EEF"/>
    <w:rsid w:val="00C72F84"/>
    <w:rsid w:val="00C73272"/>
    <w:rsid w:val="00C733E4"/>
    <w:rsid w:val="00C735A6"/>
    <w:rsid w:val="00C735F0"/>
    <w:rsid w:val="00C7371B"/>
    <w:rsid w:val="00C74563"/>
    <w:rsid w:val="00C74B34"/>
    <w:rsid w:val="00C74F2A"/>
    <w:rsid w:val="00C75470"/>
    <w:rsid w:val="00C754A7"/>
    <w:rsid w:val="00C75681"/>
    <w:rsid w:val="00C757D0"/>
    <w:rsid w:val="00C75B17"/>
    <w:rsid w:val="00C75E84"/>
    <w:rsid w:val="00C75E91"/>
    <w:rsid w:val="00C76603"/>
    <w:rsid w:val="00C77388"/>
    <w:rsid w:val="00C775A2"/>
    <w:rsid w:val="00C77608"/>
    <w:rsid w:val="00C77C73"/>
    <w:rsid w:val="00C77ED0"/>
    <w:rsid w:val="00C807BA"/>
    <w:rsid w:val="00C80A1F"/>
    <w:rsid w:val="00C80E9D"/>
    <w:rsid w:val="00C81040"/>
    <w:rsid w:val="00C810A2"/>
    <w:rsid w:val="00C81315"/>
    <w:rsid w:val="00C8168F"/>
    <w:rsid w:val="00C81778"/>
    <w:rsid w:val="00C81814"/>
    <w:rsid w:val="00C81F3A"/>
    <w:rsid w:val="00C82330"/>
    <w:rsid w:val="00C82810"/>
    <w:rsid w:val="00C8286D"/>
    <w:rsid w:val="00C82B68"/>
    <w:rsid w:val="00C82BCB"/>
    <w:rsid w:val="00C8318F"/>
    <w:rsid w:val="00C83209"/>
    <w:rsid w:val="00C83287"/>
    <w:rsid w:val="00C83470"/>
    <w:rsid w:val="00C83C2C"/>
    <w:rsid w:val="00C84560"/>
    <w:rsid w:val="00C84643"/>
    <w:rsid w:val="00C84A23"/>
    <w:rsid w:val="00C85587"/>
    <w:rsid w:val="00C85590"/>
    <w:rsid w:val="00C858F5"/>
    <w:rsid w:val="00C85D33"/>
    <w:rsid w:val="00C85D96"/>
    <w:rsid w:val="00C85EA4"/>
    <w:rsid w:val="00C85EED"/>
    <w:rsid w:val="00C8618C"/>
    <w:rsid w:val="00C865EF"/>
    <w:rsid w:val="00C87401"/>
    <w:rsid w:val="00C87800"/>
    <w:rsid w:val="00C87D00"/>
    <w:rsid w:val="00C9029F"/>
    <w:rsid w:val="00C904E1"/>
    <w:rsid w:val="00C90AA2"/>
    <w:rsid w:val="00C90AF9"/>
    <w:rsid w:val="00C90F1A"/>
    <w:rsid w:val="00C9195F"/>
    <w:rsid w:val="00C919C4"/>
    <w:rsid w:val="00C91A35"/>
    <w:rsid w:val="00C91FB9"/>
    <w:rsid w:val="00C92255"/>
    <w:rsid w:val="00C926B6"/>
    <w:rsid w:val="00C93490"/>
    <w:rsid w:val="00C936DE"/>
    <w:rsid w:val="00C93F38"/>
    <w:rsid w:val="00C93FA7"/>
    <w:rsid w:val="00C941BD"/>
    <w:rsid w:val="00C945B7"/>
    <w:rsid w:val="00C946FA"/>
    <w:rsid w:val="00C94836"/>
    <w:rsid w:val="00C9498A"/>
    <w:rsid w:val="00C95226"/>
    <w:rsid w:val="00C95C08"/>
    <w:rsid w:val="00C96933"/>
    <w:rsid w:val="00C96B95"/>
    <w:rsid w:val="00C96D25"/>
    <w:rsid w:val="00C96D58"/>
    <w:rsid w:val="00C96F8B"/>
    <w:rsid w:val="00C972A3"/>
    <w:rsid w:val="00C974F3"/>
    <w:rsid w:val="00CA0208"/>
    <w:rsid w:val="00CA03F0"/>
    <w:rsid w:val="00CA0768"/>
    <w:rsid w:val="00CA0B05"/>
    <w:rsid w:val="00CA0CA2"/>
    <w:rsid w:val="00CA0FED"/>
    <w:rsid w:val="00CA101C"/>
    <w:rsid w:val="00CA11B7"/>
    <w:rsid w:val="00CA1387"/>
    <w:rsid w:val="00CA168B"/>
    <w:rsid w:val="00CA1869"/>
    <w:rsid w:val="00CA1FAB"/>
    <w:rsid w:val="00CA216F"/>
    <w:rsid w:val="00CA237F"/>
    <w:rsid w:val="00CA252A"/>
    <w:rsid w:val="00CA3117"/>
    <w:rsid w:val="00CA3852"/>
    <w:rsid w:val="00CA3934"/>
    <w:rsid w:val="00CA39A9"/>
    <w:rsid w:val="00CA3E4E"/>
    <w:rsid w:val="00CA4660"/>
    <w:rsid w:val="00CA49DB"/>
    <w:rsid w:val="00CA4BFE"/>
    <w:rsid w:val="00CA5103"/>
    <w:rsid w:val="00CA59A4"/>
    <w:rsid w:val="00CA5F85"/>
    <w:rsid w:val="00CA6318"/>
    <w:rsid w:val="00CA6BA3"/>
    <w:rsid w:val="00CA6BC6"/>
    <w:rsid w:val="00CA6C86"/>
    <w:rsid w:val="00CA6E97"/>
    <w:rsid w:val="00CA7383"/>
    <w:rsid w:val="00CB029E"/>
    <w:rsid w:val="00CB08B1"/>
    <w:rsid w:val="00CB0D38"/>
    <w:rsid w:val="00CB0E21"/>
    <w:rsid w:val="00CB0FDD"/>
    <w:rsid w:val="00CB14A6"/>
    <w:rsid w:val="00CB1E12"/>
    <w:rsid w:val="00CB1E82"/>
    <w:rsid w:val="00CB29B1"/>
    <w:rsid w:val="00CB2B66"/>
    <w:rsid w:val="00CB2EEC"/>
    <w:rsid w:val="00CB31F7"/>
    <w:rsid w:val="00CB367D"/>
    <w:rsid w:val="00CB4443"/>
    <w:rsid w:val="00CB4662"/>
    <w:rsid w:val="00CB4E43"/>
    <w:rsid w:val="00CB4F66"/>
    <w:rsid w:val="00CB4FC5"/>
    <w:rsid w:val="00CB5132"/>
    <w:rsid w:val="00CB55A7"/>
    <w:rsid w:val="00CB56E3"/>
    <w:rsid w:val="00CB592D"/>
    <w:rsid w:val="00CB5A8C"/>
    <w:rsid w:val="00CB5BB7"/>
    <w:rsid w:val="00CB66CB"/>
    <w:rsid w:val="00CB689D"/>
    <w:rsid w:val="00CB6A8B"/>
    <w:rsid w:val="00CB72C1"/>
    <w:rsid w:val="00CB7831"/>
    <w:rsid w:val="00CB78D6"/>
    <w:rsid w:val="00CB7C17"/>
    <w:rsid w:val="00CC0BDE"/>
    <w:rsid w:val="00CC100E"/>
    <w:rsid w:val="00CC1312"/>
    <w:rsid w:val="00CC13B8"/>
    <w:rsid w:val="00CC1498"/>
    <w:rsid w:val="00CC1A00"/>
    <w:rsid w:val="00CC1D84"/>
    <w:rsid w:val="00CC20A2"/>
    <w:rsid w:val="00CC2300"/>
    <w:rsid w:val="00CC2C3E"/>
    <w:rsid w:val="00CC2C6E"/>
    <w:rsid w:val="00CC2C9C"/>
    <w:rsid w:val="00CC308B"/>
    <w:rsid w:val="00CC38EA"/>
    <w:rsid w:val="00CC4DCD"/>
    <w:rsid w:val="00CC4E83"/>
    <w:rsid w:val="00CC56A8"/>
    <w:rsid w:val="00CC60B1"/>
    <w:rsid w:val="00CC62E8"/>
    <w:rsid w:val="00CC6310"/>
    <w:rsid w:val="00CC7007"/>
    <w:rsid w:val="00CC702B"/>
    <w:rsid w:val="00CC70E2"/>
    <w:rsid w:val="00CC715C"/>
    <w:rsid w:val="00CC7A7E"/>
    <w:rsid w:val="00CC7BEB"/>
    <w:rsid w:val="00CD05F1"/>
    <w:rsid w:val="00CD08D5"/>
    <w:rsid w:val="00CD093D"/>
    <w:rsid w:val="00CD0AB3"/>
    <w:rsid w:val="00CD1231"/>
    <w:rsid w:val="00CD14F3"/>
    <w:rsid w:val="00CD151D"/>
    <w:rsid w:val="00CD1992"/>
    <w:rsid w:val="00CD2152"/>
    <w:rsid w:val="00CD2643"/>
    <w:rsid w:val="00CD276D"/>
    <w:rsid w:val="00CD30CF"/>
    <w:rsid w:val="00CD337C"/>
    <w:rsid w:val="00CD3AD2"/>
    <w:rsid w:val="00CD3F9D"/>
    <w:rsid w:val="00CD4090"/>
    <w:rsid w:val="00CD4855"/>
    <w:rsid w:val="00CD4C82"/>
    <w:rsid w:val="00CD5D8F"/>
    <w:rsid w:val="00CD5F54"/>
    <w:rsid w:val="00CD63D4"/>
    <w:rsid w:val="00CD688E"/>
    <w:rsid w:val="00CD6CFA"/>
    <w:rsid w:val="00CD7121"/>
    <w:rsid w:val="00CD71FF"/>
    <w:rsid w:val="00CD7222"/>
    <w:rsid w:val="00CD78CE"/>
    <w:rsid w:val="00CD798D"/>
    <w:rsid w:val="00CD7CB8"/>
    <w:rsid w:val="00CE0068"/>
    <w:rsid w:val="00CE0221"/>
    <w:rsid w:val="00CE035B"/>
    <w:rsid w:val="00CE1278"/>
    <w:rsid w:val="00CE184B"/>
    <w:rsid w:val="00CE1B2A"/>
    <w:rsid w:val="00CE1D7D"/>
    <w:rsid w:val="00CE1F2B"/>
    <w:rsid w:val="00CE204D"/>
    <w:rsid w:val="00CE232D"/>
    <w:rsid w:val="00CE2341"/>
    <w:rsid w:val="00CE25E4"/>
    <w:rsid w:val="00CE286D"/>
    <w:rsid w:val="00CE32A5"/>
    <w:rsid w:val="00CE3408"/>
    <w:rsid w:val="00CE367B"/>
    <w:rsid w:val="00CE3764"/>
    <w:rsid w:val="00CE395A"/>
    <w:rsid w:val="00CE3B26"/>
    <w:rsid w:val="00CE3B3C"/>
    <w:rsid w:val="00CE4085"/>
    <w:rsid w:val="00CE4188"/>
    <w:rsid w:val="00CE472C"/>
    <w:rsid w:val="00CE4E99"/>
    <w:rsid w:val="00CE5051"/>
    <w:rsid w:val="00CE5133"/>
    <w:rsid w:val="00CE5242"/>
    <w:rsid w:val="00CE573B"/>
    <w:rsid w:val="00CE582D"/>
    <w:rsid w:val="00CE5999"/>
    <w:rsid w:val="00CE6041"/>
    <w:rsid w:val="00CE7034"/>
    <w:rsid w:val="00CE7236"/>
    <w:rsid w:val="00CE79B5"/>
    <w:rsid w:val="00CF02A1"/>
    <w:rsid w:val="00CF07B3"/>
    <w:rsid w:val="00CF08A1"/>
    <w:rsid w:val="00CF0E1C"/>
    <w:rsid w:val="00CF1220"/>
    <w:rsid w:val="00CF12A7"/>
    <w:rsid w:val="00CF14D9"/>
    <w:rsid w:val="00CF1D00"/>
    <w:rsid w:val="00CF2184"/>
    <w:rsid w:val="00CF2282"/>
    <w:rsid w:val="00CF23BB"/>
    <w:rsid w:val="00CF2541"/>
    <w:rsid w:val="00CF2702"/>
    <w:rsid w:val="00CF2AEC"/>
    <w:rsid w:val="00CF2E4D"/>
    <w:rsid w:val="00CF3012"/>
    <w:rsid w:val="00CF34FE"/>
    <w:rsid w:val="00CF375C"/>
    <w:rsid w:val="00CF421F"/>
    <w:rsid w:val="00CF4A89"/>
    <w:rsid w:val="00CF4BB3"/>
    <w:rsid w:val="00CF4FCB"/>
    <w:rsid w:val="00CF5356"/>
    <w:rsid w:val="00CF668E"/>
    <w:rsid w:val="00CF6C16"/>
    <w:rsid w:val="00CF6D42"/>
    <w:rsid w:val="00CF74AB"/>
    <w:rsid w:val="00CF77C1"/>
    <w:rsid w:val="00CF7C07"/>
    <w:rsid w:val="00CF7CF5"/>
    <w:rsid w:val="00D000DF"/>
    <w:rsid w:val="00D00423"/>
    <w:rsid w:val="00D01044"/>
    <w:rsid w:val="00D010EF"/>
    <w:rsid w:val="00D013D7"/>
    <w:rsid w:val="00D014DF"/>
    <w:rsid w:val="00D02745"/>
    <w:rsid w:val="00D0293F"/>
    <w:rsid w:val="00D02ECA"/>
    <w:rsid w:val="00D0313E"/>
    <w:rsid w:val="00D0343C"/>
    <w:rsid w:val="00D035D7"/>
    <w:rsid w:val="00D03980"/>
    <w:rsid w:val="00D0488A"/>
    <w:rsid w:val="00D04EF8"/>
    <w:rsid w:val="00D060F0"/>
    <w:rsid w:val="00D0664C"/>
    <w:rsid w:val="00D06A81"/>
    <w:rsid w:val="00D06BA4"/>
    <w:rsid w:val="00D06E66"/>
    <w:rsid w:val="00D06ECA"/>
    <w:rsid w:val="00D076F8"/>
    <w:rsid w:val="00D07A47"/>
    <w:rsid w:val="00D07BDE"/>
    <w:rsid w:val="00D07D77"/>
    <w:rsid w:val="00D07F89"/>
    <w:rsid w:val="00D1026A"/>
    <w:rsid w:val="00D10B60"/>
    <w:rsid w:val="00D10D58"/>
    <w:rsid w:val="00D10E06"/>
    <w:rsid w:val="00D10F7D"/>
    <w:rsid w:val="00D115FE"/>
    <w:rsid w:val="00D11B8A"/>
    <w:rsid w:val="00D11F0A"/>
    <w:rsid w:val="00D12169"/>
    <w:rsid w:val="00D12772"/>
    <w:rsid w:val="00D12861"/>
    <w:rsid w:val="00D12A6C"/>
    <w:rsid w:val="00D12AA1"/>
    <w:rsid w:val="00D1383B"/>
    <w:rsid w:val="00D138BF"/>
    <w:rsid w:val="00D13D20"/>
    <w:rsid w:val="00D13F0E"/>
    <w:rsid w:val="00D13FFD"/>
    <w:rsid w:val="00D14513"/>
    <w:rsid w:val="00D1473B"/>
    <w:rsid w:val="00D14E96"/>
    <w:rsid w:val="00D157FA"/>
    <w:rsid w:val="00D15881"/>
    <w:rsid w:val="00D1599F"/>
    <w:rsid w:val="00D15C7F"/>
    <w:rsid w:val="00D16040"/>
    <w:rsid w:val="00D16153"/>
    <w:rsid w:val="00D16400"/>
    <w:rsid w:val="00D16547"/>
    <w:rsid w:val="00D16B0D"/>
    <w:rsid w:val="00D16E01"/>
    <w:rsid w:val="00D16E82"/>
    <w:rsid w:val="00D16F42"/>
    <w:rsid w:val="00D17A8D"/>
    <w:rsid w:val="00D2002E"/>
    <w:rsid w:val="00D20182"/>
    <w:rsid w:val="00D20329"/>
    <w:rsid w:val="00D20817"/>
    <w:rsid w:val="00D2084F"/>
    <w:rsid w:val="00D20CAA"/>
    <w:rsid w:val="00D20CBF"/>
    <w:rsid w:val="00D20E58"/>
    <w:rsid w:val="00D211B4"/>
    <w:rsid w:val="00D21255"/>
    <w:rsid w:val="00D2125F"/>
    <w:rsid w:val="00D214A1"/>
    <w:rsid w:val="00D21C8E"/>
    <w:rsid w:val="00D222B3"/>
    <w:rsid w:val="00D223AE"/>
    <w:rsid w:val="00D229A1"/>
    <w:rsid w:val="00D22C71"/>
    <w:rsid w:val="00D233E6"/>
    <w:rsid w:val="00D2340B"/>
    <w:rsid w:val="00D244A4"/>
    <w:rsid w:val="00D2464E"/>
    <w:rsid w:val="00D24D8B"/>
    <w:rsid w:val="00D24DB3"/>
    <w:rsid w:val="00D24F8D"/>
    <w:rsid w:val="00D25070"/>
    <w:rsid w:val="00D25278"/>
    <w:rsid w:val="00D253E6"/>
    <w:rsid w:val="00D2598D"/>
    <w:rsid w:val="00D25A40"/>
    <w:rsid w:val="00D25B8E"/>
    <w:rsid w:val="00D26342"/>
    <w:rsid w:val="00D26525"/>
    <w:rsid w:val="00D26B4F"/>
    <w:rsid w:val="00D2770A"/>
    <w:rsid w:val="00D27829"/>
    <w:rsid w:val="00D27930"/>
    <w:rsid w:val="00D304B6"/>
    <w:rsid w:val="00D304D9"/>
    <w:rsid w:val="00D3063B"/>
    <w:rsid w:val="00D306BB"/>
    <w:rsid w:val="00D31654"/>
    <w:rsid w:val="00D31998"/>
    <w:rsid w:val="00D31CE7"/>
    <w:rsid w:val="00D3289F"/>
    <w:rsid w:val="00D32CA6"/>
    <w:rsid w:val="00D332F8"/>
    <w:rsid w:val="00D33473"/>
    <w:rsid w:val="00D3396D"/>
    <w:rsid w:val="00D34268"/>
    <w:rsid w:val="00D3437B"/>
    <w:rsid w:val="00D34557"/>
    <w:rsid w:val="00D3457C"/>
    <w:rsid w:val="00D34B54"/>
    <w:rsid w:val="00D35091"/>
    <w:rsid w:val="00D35715"/>
    <w:rsid w:val="00D35EBA"/>
    <w:rsid w:val="00D364AD"/>
    <w:rsid w:val="00D3669D"/>
    <w:rsid w:val="00D36CCD"/>
    <w:rsid w:val="00D36F30"/>
    <w:rsid w:val="00D3702A"/>
    <w:rsid w:val="00D37275"/>
    <w:rsid w:val="00D374D3"/>
    <w:rsid w:val="00D37619"/>
    <w:rsid w:val="00D37B8E"/>
    <w:rsid w:val="00D37CEB"/>
    <w:rsid w:val="00D37ED5"/>
    <w:rsid w:val="00D40CB1"/>
    <w:rsid w:val="00D4135A"/>
    <w:rsid w:val="00D415B3"/>
    <w:rsid w:val="00D41799"/>
    <w:rsid w:val="00D418D5"/>
    <w:rsid w:val="00D422AA"/>
    <w:rsid w:val="00D42673"/>
    <w:rsid w:val="00D42CAE"/>
    <w:rsid w:val="00D42CCF"/>
    <w:rsid w:val="00D42D68"/>
    <w:rsid w:val="00D43153"/>
    <w:rsid w:val="00D43AB0"/>
    <w:rsid w:val="00D44126"/>
    <w:rsid w:val="00D44586"/>
    <w:rsid w:val="00D446C0"/>
    <w:rsid w:val="00D44842"/>
    <w:rsid w:val="00D450C8"/>
    <w:rsid w:val="00D45195"/>
    <w:rsid w:val="00D4539A"/>
    <w:rsid w:val="00D45485"/>
    <w:rsid w:val="00D455CC"/>
    <w:rsid w:val="00D45766"/>
    <w:rsid w:val="00D45945"/>
    <w:rsid w:val="00D45D64"/>
    <w:rsid w:val="00D45E5C"/>
    <w:rsid w:val="00D460F3"/>
    <w:rsid w:val="00D46125"/>
    <w:rsid w:val="00D46630"/>
    <w:rsid w:val="00D467D2"/>
    <w:rsid w:val="00D46D99"/>
    <w:rsid w:val="00D46EC6"/>
    <w:rsid w:val="00D472AE"/>
    <w:rsid w:val="00D47764"/>
    <w:rsid w:val="00D47ADF"/>
    <w:rsid w:val="00D47B5B"/>
    <w:rsid w:val="00D47C70"/>
    <w:rsid w:val="00D502D8"/>
    <w:rsid w:val="00D50DF7"/>
    <w:rsid w:val="00D5109B"/>
    <w:rsid w:val="00D515CB"/>
    <w:rsid w:val="00D517EC"/>
    <w:rsid w:val="00D5235C"/>
    <w:rsid w:val="00D5248D"/>
    <w:rsid w:val="00D52C4B"/>
    <w:rsid w:val="00D53362"/>
    <w:rsid w:val="00D53A6D"/>
    <w:rsid w:val="00D549AF"/>
    <w:rsid w:val="00D54A67"/>
    <w:rsid w:val="00D54F21"/>
    <w:rsid w:val="00D54FDC"/>
    <w:rsid w:val="00D55179"/>
    <w:rsid w:val="00D55529"/>
    <w:rsid w:val="00D55FC2"/>
    <w:rsid w:val="00D561EB"/>
    <w:rsid w:val="00D5667A"/>
    <w:rsid w:val="00D56780"/>
    <w:rsid w:val="00D56A57"/>
    <w:rsid w:val="00D56F41"/>
    <w:rsid w:val="00D57319"/>
    <w:rsid w:val="00D5793B"/>
    <w:rsid w:val="00D57C4F"/>
    <w:rsid w:val="00D57DCB"/>
    <w:rsid w:val="00D57DCF"/>
    <w:rsid w:val="00D57F61"/>
    <w:rsid w:val="00D60386"/>
    <w:rsid w:val="00D6049A"/>
    <w:rsid w:val="00D60CB3"/>
    <w:rsid w:val="00D60D2E"/>
    <w:rsid w:val="00D60FA1"/>
    <w:rsid w:val="00D61018"/>
    <w:rsid w:val="00D610DD"/>
    <w:rsid w:val="00D610E7"/>
    <w:rsid w:val="00D616B0"/>
    <w:rsid w:val="00D618A6"/>
    <w:rsid w:val="00D61975"/>
    <w:rsid w:val="00D61B07"/>
    <w:rsid w:val="00D629E4"/>
    <w:rsid w:val="00D62B6E"/>
    <w:rsid w:val="00D62BB5"/>
    <w:rsid w:val="00D633AD"/>
    <w:rsid w:val="00D63629"/>
    <w:rsid w:val="00D63A72"/>
    <w:rsid w:val="00D63D25"/>
    <w:rsid w:val="00D63E89"/>
    <w:rsid w:val="00D644B3"/>
    <w:rsid w:val="00D64F99"/>
    <w:rsid w:val="00D66029"/>
    <w:rsid w:val="00D66331"/>
    <w:rsid w:val="00D6638F"/>
    <w:rsid w:val="00D6642A"/>
    <w:rsid w:val="00D667B3"/>
    <w:rsid w:val="00D66860"/>
    <w:rsid w:val="00D66E49"/>
    <w:rsid w:val="00D67138"/>
    <w:rsid w:val="00D67740"/>
    <w:rsid w:val="00D67CA5"/>
    <w:rsid w:val="00D701EC"/>
    <w:rsid w:val="00D704FD"/>
    <w:rsid w:val="00D706DF"/>
    <w:rsid w:val="00D70A35"/>
    <w:rsid w:val="00D70B14"/>
    <w:rsid w:val="00D70D87"/>
    <w:rsid w:val="00D711F3"/>
    <w:rsid w:val="00D71763"/>
    <w:rsid w:val="00D71882"/>
    <w:rsid w:val="00D71D2F"/>
    <w:rsid w:val="00D71F16"/>
    <w:rsid w:val="00D72086"/>
    <w:rsid w:val="00D727C5"/>
    <w:rsid w:val="00D729E8"/>
    <w:rsid w:val="00D72AF0"/>
    <w:rsid w:val="00D72E63"/>
    <w:rsid w:val="00D73A44"/>
    <w:rsid w:val="00D74118"/>
    <w:rsid w:val="00D7421F"/>
    <w:rsid w:val="00D742B7"/>
    <w:rsid w:val="00D743EB"/>
    <w:rsid w:val="00D7447C"/>
    <w:rsid w:val="00D7458C"/>
    <w:rsid w:val="00D745C7"/>
    <w:rsid w:val="00D7466A"/>
    <w:rsid w:val="00D74CF0"/>
    <w:rsid w:val="00D74E31"/>
    <w:rsid w:val="00D75046"/>
    <w:rsid w:val="00D751E7"/>
    <w:rsid w:val="00D7598B"/>
    <w:rsid w:val="00D75BCB"/>
    <w:rsid w:val="00D75D7B"/>
    <w:rsid w:val="00D75F6B"/>
    <w:rsid w:val="00D75FDA"/>
    <w:rsid w:val="00D76438"/>
    <w:rsid w:val="00D76513"/>
    <w:rsid w:val="00D76714"/>
    <w:rsid w:val="00D76C7A"/>
    <w:rsid w:val="00D77089"/>
    <w:rsid w:val="00D77649"/>
    <w:rsid w:val="00D778EB"/>
    <w:rsid w:val="00D77C5B"/>
    <w:rsid w:val="00D77FEB"/>
    <w:rsid w:val="00D803E0"/>
    <w:rsid w:val="00D8048F"/>
    <w:rsid w:val="00D80550"/>
    <w:rsid w:val="00D805C3"/>
    <w:rsid w:val="00D8072F"/>
    <w:rsid w:val="00D809CB"/>
    <w:rsid w:val="00D80A91"/>
    <w:rsid w:val="00D80DB9"/>
    <w:rsid w:val="00D81018"/>
    <w:rsid w:val="00D81225"/>
    <w:rsid w:val="00D813C0"/>
    <w:rsid w:val="00D814BD"/>
    <w:rsid w:val="00D817E1"/>
    <w:rsid w:val="00D822A9"/>
    <w:rsid w:val="00D82519"/>
    <w:rsid w:val="00D826DE"/>
    <w:rsid w:val="00D82A0F"/>
    <w:rsid w:val="00D82B6D"/>
    <w:rsid w:val="00D82E90"/>
    <w:rsid w:val="00D82F29"/>
    <w:rsid w:val="00D82FE8"/>
    <w:rsid w:val="00D83080"/>
    <w:rsid w:val="00D8311C"/>
    <w:rsid w:val="00D83727"/>
    <w:rsid w:val="00D845E9"/>
    <w:rsid w:val="00D84701"/>
    <w:rsid w:val="00D849FE"/>
    <w:rsid w:val="00D84E89"/>
    <w:rsid w:val="00D850AD"/>
    <w:rsid w:val="00D850DA"/>
    <w:rsid w:val="00D85148"/>
    <w:rsid w:val="00D854EF"/>
    <w:rsid w:val="00D85D89"/>
    <w:rsid w:val="00D85E18"/>
    <w:rsid w:val="00D85E5B"/>
    <w:rsid w:val="00D85FD2"/>
    <w:rsid w:val="00D86176"/>
    <w:rsid w:val="00D862F6"/>
    <w:rsid w:val="00D866CA"/>
    <w:rsid w:val="00D8679E"/>
    <w:rsid w:val="00D8721C"/>
    <w:rsid w:val="00D87D5C"/>
    <w:rsid w:val="00D87FA5"/>
    <w:rsid w:val="00D90548"/>
    <w:rsid w:val="00D90AB7"/>
    <w:rsid w:val="00D90D3C"/>
    <w:rsid w:val="00D916BF"/>
    <w:rsid w:val="00D91F3C"/>
    <w:rsid w:val="00D91FEF"/>
    <w:rsid w:val="00D921C1"/>
    <w:rsid w:val="00D92268"/>
    <w:rsid w:val="00D923AC"/>
    <w:rsid w:val="00D929B2"/>
    <w:rsid w:val="00D92D77"/>
    <w:rsid w:val="00D93BD6"/>
    <w:rsid w:val="00D93CC2"/>
    <w:rsid w:val="00D93E8A"/>
    <w:rsid w:val="00D94114"/>
    <w:rsid w:val="00D9423C"/>
    <w:rsid w:val="00D946D0"/>
    <w:rsid w:val="00D94769"/>
    <w:rsid w:val="00D9499B"/>
    <w:rsid w:val="00D94B5F"/>
    <w:rsid w:val="00D94BE5"/>
    <w:rsid w:val="00D94BE7"/>
    <w:rsid w:val="00D94E42"/>
    <w:rsid w:val="00D951FC"/>
    <w:rsid w:val="00D95231"/>
    <w:rsid w:val="00D95431"/>
    <w:rsid w:val="00D9548E"/>
    <w:rsid w:val="00D9614A"/>
    <w:rsid w:val="00D961F3"/>
    <w:rsid w:val="00D96216"/>
    <w:rsid w:val="00D965C9"/>
    <w:rsid w:val="00D969B2"/>
    <w:rsid w:val="00D97129"/>
    <w:rsid w:val="00D97364"/>
    <w:rsid w:val="00D97711"/>
    <w:rsid w:val="00D979BC"/>
    <w:rsid w:val="00D97C62"/>
    <w:rsid w:val="00DA0250"/>
    <w:rsid w:val="00DA038E"/>
    <w:rsid w:val="00DA0665"/>
    <w:rsid w:val="00DA0812"/>
    <w:rsid w:val="00DA09BB"/>
    <w:rsid w:val="00DA0B5D"/>
    <w:rsid w:val="00DA0E0D"/>
    <w:rsid w:val="00DA1380"/>
    <w:rsid w:val="00DA1489"/>
    <w:rsid w:val="00DA1956"/>
    <w:rsid w:val="00DA1D2C"/>
    <w:rsid w:val="00DA2108"/>
    <w:rsid w:val="00DA26B4"/>
    <w:rsid w:val="00DA3516"/>
    <w:rsid w:val="00DA3964"/>
    <w:rsid w:val="00DA3A0A"/>
    <w:rsid w:val="00DA3AD4"/>
    <w:rsid w:val="00DA3D2E"/>
    <w:rsid w:val="00DA475D"/>
    <w:rsid w:val="00DA48CE"/>
    <w:rsid w:val="00DA4970"/>
    <w:rsid w:val="00DA4D56"/>
    <w:rsid w:val="00DA4F1E"/>
    <w:rsid w:val="00DA5484"/>
    <w:rsid w:val="00DA554E"/>
    <w:rsid w:val="00DA5D4B"/>
    <w:rsid w:val="00DA5E02"/>
    <w:rsid w:val="00DA5FCB"/>
    <w:rsid w:val="00DA6875"/>
    <w:rsid w:val="00DA69D0"/>
    <w:rsid w:val="00DA69E0"/>
    <w:rsid w:val="00DA6B26"/>
    <w:rsid w:val="00DA6BA2"/>
    <w:rsid w:val="00DA7327"/>
    <w:rsid w:val="00DA74C1"/>
    <w:rsid w:val="00DA783B"/>
    <w:rsid w:val="00DA7A67"/>
    <w:rsid w:val="00DA7AC4"/>
    <w:rsid w:val="00DB0330"/>
    <w:rsid w:val="00DB06BE"/>
    <w:rsid w:val="00DB07A8"/>
    <w:rsid w:val="00DB0B95"/>
    <w:rsid w:val="00DB0F31"/>
    <w:rsid w:val="00DB0F70"/>
    <w:rsid w:val="00DB18C7"/>
    <w:rsid w:val="00DB1AC1"/>
    <w:rsid w:val="00DB22C8"/>
    <w:rsid w:val="00DB2FC5"/>
    <w:rsid w:val="00DB3E50"/>
    <w:rsid w:val="00DB3FE9"/>
    <w:rsid w:val="00DB450B"/>
    <w:rsid w:val="00DB47F3"/>
    <w:rsid w:val="00DB4CDD"/>
    <w:rsid w:val="00DB4D76"/>
    <w:rsid w:val="00DB5241"/>
    <w:rsid w:val="00DB5457"/>
    <w:rsid w:val="00DB5E10"/>
    <w:rsid w:val="00DB5EE2"/>
    <w:rsid w:val="00DB65B1"/>
    <w:rsid w:val="00DB671B"/>
    <w:rsid w:val="00DB6881"/>
    <w:rsid w:val="00DB6A43"/>
    <w:rsid w:val="00DB6F1C"/>
    <w:rsid w:val="00DB735A"/>
    <w:rsid w:val="00DB7C60"/>
    <w:rsid w:val="00DC0022"/>
    <w:rsid w:val="00DC00D7"/>
    <w:rsid w:val="00DC02C0"/>
    <w:rsid w:val="00DC0855"/>
    <w:rsid w:val="00DC0D5F"/>
    <w:rsid w:val="00DC0D79"/>
    <w:rsid w:val="00DC0DC3"/>
    <w:rsid w:val="00DC0E47"/>
    <w:rsid w:val="00DC1157"/>
    <w:rsid w:val="00DC12CF"/>
    <w:rsid w:val="00DC1D87"/>
    <w:rsid w:val="00DC1DE3"/>
    <w:rsid w:val="00DC2228"/>
    <w:rsid w:val="00DC25DD"/>
    <w:rsid w:val="00DC28D6"/>
    <w:rsid w:val="00DC2E1A"/>
    <w:rsid w:val="00DC30E4"/>
    <w:rsid w:val="00DC32D9"/>
    <w:rsid w:val="00DC3423"/>
    <w:rsid w:val="00DC3913"/>
    <w:rsid w:val="00DC3C15"/>
    <w:rsid w:val="00DC3F8A"/>
    <w:rsid w:val="00DC452C"/>
    <w:rsid w:val="00DC49A3"/>
    <w:rsid w:val="00DC52E1"/>
    <w:rsid w:val="00DC54A6"/>
    <w:rsid w:val="00DC55C2"/>
    <w:rsid w:val="00DC5C84"/>
    <w:rsid w:val="00DC6708"/>
    <w:rsid w:val="00DC6B1D"/>
    <w:rsid w:val="00DC6C77"/>
    <w:rsid w:val="00DC6DC7"/>
    <w:rsid w:val="00DC7656"/>
    <w:rsid w:val="00DC772B"/>
    <w:rsid w:val="00DC77F9"/>
    <w:rsid w:val="00DC7B58"/>
    <w:rsid w:val="00DC7CF2"/>
    <w:rsid w:val="00DC7DFC"/>
    <w:rsid w:val="00DD025F"/>
    <w:rsid w:val="00DD02F3"/>
    <w:rsid w:val="00DD05A5"/>
    <w:rsid w:val="00DD0603"/>
    <w:rsid w:val="00DD07E0"/>
    <w:rsid w:val="00DD095E"/>
    <w:rsid w:val="00DD1395"/>
    <w:rsid w:val="00DD1C0B"/>
    <w:rsid w:val="00DD1E6D"/>
    <w:rsid w:val="00DD2520"/>
    <w:rsid w:val="00DD27EE"/>
    <w:rsid w:val="00DD2D42"/>
    <w:rsid w:val="00DD2DF1"/>
    <w:rsid w:val="00DD2E22"/>
    <w:rsid w:val="00DD307E"/>
    <w:rsid w:val="00DD4172"/>
    <w:rsid w:val="00DD43B6"/>
    <w:rsid w:val="00DD46B8"/>
    <w:rsid w:val="00DD48BC"/>
    <w:rsid w:val="00DD4C23"/>
    <w:rsid w:val="00DD583D"/>
    <w:rsid w:val="00DD5D08"/>
    <w:rsid w:val="00DD6562"/>
    <w:rsid w:val="00DD68D4"/>
    <w:rsid w:val="00DD6BC7"/>
    <w:rsid w:val="00DD70E1"/>
    <w:rsid w:val="00DD7567"/>
    <w:rsid w:val="00DD75F6"/>
    <w:rsid w:val="00DE082A"/>
    <w:rsid w:val="00DE109D"/>
    <w:rsid w:val="00DE11F2"/>
    <w:rsid w:val="00DE13CE"/>
    <w:rsid w:val="00DE1779"/>
    <w:rsid w:val="00DE1A5C"/>
    <w:rsid w:val="00DE1D6B"/>
    <w:rsid w:val="00DE2362"/>
    <w:rsid w:val="00DE23F4"/>
    <w:rsid w:val="00DE2764"/>
    <w:rsid w:val="00DE331B"/>
    <w:rsid w:val="00DE344A"/>
    <w:rsid w:val="00DE3702"/>
    <w:rsid w:val="00DE3814"/>
    <w:rsid w:val="00DE38E1"/>
    <w:rsid w:val="00DE42FD"/>
    <w:rsid w:val="00DE4308"/>
    <w:rsid w:val="00DE43B8"/>
    <w:rsid w:val="00DE43FC"/>
    <w:rsid w:val="00DE43FE"/>
    <w:rsid w:val="00DE53A8"/>
    <w:rsid w:val="00DE53AA"/>
    <w:rsid w:val="00DE5AB9"/>
    <w:rsid w:val="00DE5D14"/>
    <w:rsid w:val="00DE5DD2"/>
    <w:rsid w:val="00DE5EC9"/>
    <w:rsid w:val="00DE642C"/>
    <w:rsid w:val="00DE6B31"/>
    <w:rsid w:val="00DE70B1"/>
    <w:rsid w:val="00DE736F"/>
    <w:rsid w:val="00DE77E4"/>
    <w:rsid w:val="00DE78BC"/>
    <w:rsid w:val="00DE7922"/>
    <w:rsid w:val="00DE7C0E"/>
    <w:rsid w:val="00DF0023"/>
    <w:rsid w:val="00DF09CF"/>
    <w:rsid w:val="00DF0E0F"/>
    <w:rsid w:val="00DF14E3"/>
    <w:rsid w:val="00DF155A"/>
    <w:rsid w:val="00DF1634"/>
    <w:rsid w:val="00DF1ADF"/>
    <w:rsid w:val="00DF1F1A"/>
    <w:rsid w:val="00DF1FBF"/>
    <w:rsid w:val="00DF2099"/>
    <w:rsid w:val="00DF24CB"/>
    <w:rsid w:val="00DF2DE5"/>
    <w:rsid w:val="00DF2F34"/>
    <w:rsid w:val="00DF302D"/>
    <w:rsid w:val="00DF3BC7"/>
    <w:rsid w:val="00DF3DDA"/>
    <w:rsid w:val="00DF3F39"/>
    <w:rsid w:val="00DF40EA"/>
    <w:rsid w:val="00DF44E2"/>
    <w:rsid w:val="00DF4500"/>
    <w:rsid w:val="00DF4555"/>
    <w:rsid w:val="00DF481E"/>
    <w:rsid w:val="00DF4B9A"/>
    <w:rsid w:val="00DF50C2"/>
    <w:rsid w:val="00DF516C"/>
    <w:rsid w:val="00DF5448"/>
    <w:rsid w:val="00DF550D"/>
    <w:rsid w:val="00DF55AF"/>
    <w:rsid w:val="00DF55D7"/>
    <w:rsid w:val="00DF58C1"/>
    <w:rsid w:val="00DF5923"/>
    <w:rsid w:val="00DF5B29"/>
    <w:rsid w:val="00DF5BE3"/>
    <w:rsid w:val="00DF5CD0"/>
    <w:rsid w:val="00DF62A2"/>
    <w:rsid w:val="00DF6908"/>
    <w:rsid w:val="00DF6C06"/>
    <w:rsid w:val="00DF6DAF"/>
    <w:rsid w:val="00DF7A4D"/>
    <w:rsid w:val="00E0041D"/>
    <w:rsid w:val="00E00581"/>
    <w:rsid w:val="00E00A4A"/>
    <w:rsid w:val="00E00C4E"/>
    <w:rsid w:val="00E00CC4"/>
    <w:rsid w:val="00E00E30"/>
    <w:rsid w:val="00E010E1"/>
    <w:rsid w:val="00E01396"/>
    <w:rsid w:val="00E013F5"/>
    <w:rsid w:val="00E01483"/>
    <w:rsid w:val="00E01ECB"/>
    <w:rsid w:val="00E01F8D"/>
    <w:rsid w:val="00E020DC"/>
    <w:rsid w:val="00E0261E"/>
    <w:rsid w:val="00E029ED"/>
    <w:rsid w:val="00E02B70"/>
    <w:rsid w:val="00E0385F"/>
    <w:rsid w:val="00E03B18"/>
    <w:rsid w:val="00E03F36"/>
    <w:rsid w:val="00E042EC"/>
    <w:rsid w:val="00E04478"/>
    <w:rsid w:val="00E046A8"/>
    <w:rsid w:val="00E0475C"/>
    <w:rsid w:val="00E0535B"/>
    <w:rsid w:val="00E053B5"/>
    <w:rsid w:val="00E05603"/>
    <w:rsid w:val="00E05616"/>
    <w:rsid w:val="00E058EB"/>
    <w:rsid w:val="00E0603A"/>
    <w:rsid w:val="00E06393"/>
    <w:rsid w:val="00E06509"/>
    <w:rsid w:val="00E06639"/>
    <w:rsid w:val="00E06D6C"/>
    <w:rsid w:val="00E06E12"/>
    <w:rsid w:val="00E0718A"/>
    <w:rsid w:val="00E07AEC"/>
    <w:rsid w:val="00E07BE0"/>
    <w:rsid w:val="00E07E04"/>
    <w:rsid w:val="00E07E33"/>
    <w:rsid w:val="00E10329"/>
    <w:rsid w:val="00E108D7"/>
    <w:rsid w:val="00E10DBC"/>
    <w:rsid w:val="00E11D3F"/>
    <w:rsid w:val="00E11F4A"/>
    <w:rsid w:val="00E122B7"/>
    <w:rsid w:val="00E129F9"/>
    <w:rsid w:val="00E12AFE"/>
    <w:rsid w:val="00E12DE9"/>
    <w:rsid w:val="00E12EAF"/>
    <w:rsid w:val="00E132BD"/>
    <w:rsid w:val="00E13340"/>
    <w:rsid w:val="00E13729"/>
    <w:rsid w:val="00E13792"/>
    <w:rsid w:val="00E138BB"/>
    <w:rsid w:val="00E14341"/>
    <w:rsid w:val="00E14707"/>
    <w:rsid w:val="00E149C0"/>
    <w:rsid w:val="00E14CC2"/>
    <w:rsid w:val="00E15203"/>
    <w:rsid w:val="00E1649B"/>
    <w:rsid w:val="00E164BD"/>
    <w:rsid w:val="00E16960"/>
    <w:rsid w:val="00E16BB0"/>
    <w:rsid w:val="00E16DC4"/>
    <w:rsid w:val="00E1724B"/>
    <w:rsid w:val="00E17316"/>
    <w:rsid w:val="00E174B3"/>
    <w:rsid w:val="00E17714"/>
    <w:rsid w:val="00E178B5"/>
    <w:rsid w:val="00E17C30"/>
    <w:rsid w:val="00E17DAB"/>
    <w:rsid w:val="00E201BB"/>
    <w:rsid w:val="00E2066A"/>
    <w:rsid w:val="00E210A7"/>
    <w:rsid w:val="00E212B2"/>
    <w:rsid w:val="00E212D2"/>
    <w:rsid w:val="00E214D3"/>
    <w:rsid w:val="00E217DC"/>
    <w:rsid w:val="00E21903"/>
    <w:rsid w:val="00E2238A"/>
    <w:rsid w:val="00E22D1D"/>
    <w:rsid w:val="00E230D6"/>
    <w:rsid w:val="00E232CE"/>
    <w:rsid w:val="00E23488"/>
    <w:rsid w:val="00E23615"/>
    <w:rsid w:val="00E24FC2"/>
    <w:rsid w:val="00E250FD"/>
    <w:rsid w:val="00E2511A"/>
    <w:rsid w:val="00E2536D"/>
    <w:rsid w:val="00E25864"/>
    <w:rsid w:val="00E263DA"/>
    <w:rsid w:val="00E26468"/>
    <w:rsid w:val="00E2673E"/>
    <w:rsid w:val="00E26AF4"/>
    <w:rsid w:val="00E26CB6"/>
    <w:rsid w:val="00E26FDE"/>
    <w:rsid w:val="00E272F6"/>
    <w:rsid w:val="00E2763E"/>
    <w:rsid w:val="00E276A5"/>
    <w:rsid w:val="00E2782C"/>
    <w:rsid w:val="00E27AB8"/>
    <w:rsid w:val="00E27B7C"/>
    <w:rsid w:val="00E3066D"/>
    <w:rsid w:val="00E306DD"/>
    <w:rsid w:val="00E30758"/>
    <w:rsid w:val="00E30F84"/>
    <w:rsid w:val="00E30F9E"/>
    <w:rsid w:val="00E30FB5"/>
    <w:rsid w:val="00E315F2"/>
    <w:rsid w:val="00E316B2"/>
    <w:rsid w:val="00E3181C"/>
    <w:rsid w:val="00E31D2B"/>
    <w:rsid w:val="00E31D5D"/>
    <w:rsid w:val="00E31E78"/>
    <w:rsid w:val="00E32060"/>
    <w:rsid w:val="00E320F0"/>
    <w:rsid w:val="00E3212D"/>
    <w:rsid w:val="00E326F8"/>
    <w:rsid w:val="00E32E8C"/>
    <w:rsid w:val="00E32FE9"/>
    <w:rsid w:val="00E34090"/>
    <w:rsid w:val="00E3435E"/>
    <w:rsid w:val="00E34C5D"/>
    <w:rsid w:val="00E34CCA"/>
    <w:rsid w:val="00E35229"/>
    <w:rsid w:val="00E3537C"/>
    <w:rsid w:val="00E354B8"/>
    <w:rsid w:val="00E35F23"/>
    <w:rsid w:val="00E367D3"/>
    <w:rsid w:val="00E36C40"/>
    <w:rsid w:val="00E37008"/>
    <w:rsid w:val="00E370E1"/>
    <w:rsid w:val="00E373DC"/>
    <w:rsid w:val="00E3748F"/>
    <w:rsid w:val="00E377D4"/>
    <w:rsid w:val="00E37962"/>
    <w:rsid w:val="00E4039E"/>
    <w:rsid w:val="00E40B08"/>
    <w:rsid w:val="00E40F02"/>
    <w:rsid w:val="00E410CF"/>
    <w:rsid w:val="00E413C9"/>
    <w:rsid w:val="00E4181A"/>
    <w:rsid w:val="00E41A91"/>
    <w:rsid w:val="00E41DD1"/>
    <w:rsid w:val="00E41E59"/>
    <w:rsid w:val="00E42346"/>
    <w:rsid w:val="00E42428"/>
    <w:rsid w:val="00E427A0"/>
    <w:rsid w:val="00E4286B"/>
    <w:rsid w:val="00E434D2"/>
    <w:rsid w:val="00E435E7"/>
    <w:rsid w:val="00E43600"/>
    <w:rsid w:val="00E437C7"/>
    <w:rsid w:val="00E4417F"/>
    <w:rsid w:val="00E442BF"/>
    <w:rsid w:val="00E4441A"/>
    <w:rsid w:val="00E4458E"/>
    <w:rsid w:val="00E45548"/>
    <w:rsid w:val="00E458DE"/>
    <w:rsid w:val="00E470FC"/>
    <w:rsid w:val="00E4738E"/>
    <w:rsid w:val="00E47399"/>
    <w:rsid w:val="00E47645"/>
    <w:rsid w:val="00E4766A"/>
    <w:rsid w:val="00E477C2"/>
    <w:rsid w:val="00E47981"/>
    <w:rsid w:val="00E47A07"/>
    <w:rsid w:val="00E5069F"/>
    <w:rsid w:val="00E5082C"/>
    <w:rsid w:val="00E50AB2"/>
    <w:rsid w:val="00E50EFA"/>
    <w:rsid w:val="00E51657"/>
    <w:rsid w:val="00E52740"/>
    <w:rsid w:val="00E527EB"/>
    <w:rsid w:val="00E53126"/>
    <w:rsid w:val="00E535B9"/>
    <w:rsid w:val="00E536DB"/>
    <w:rsid w:val="00E545F8"/>
    <w:rsid w:val="00E554DF"/>
    <w:rsid w:val="00E55839"/>
    <w:rsid w:val="00E55A37"/>
    <w:rsid w:val="00E55DE8"/>
    <w:rsid w:val="00E55E11"/>
    <w:rsid w:val="00E56F62"/>
    <w:rsid w:val="00E572CB"/>
    <w:rsid w:val="00E575AC"/>
    <w:rsid w:val="00E57622"/>
    <w:rsid w:val="00E5766F"/>
    <w:rsid w:val="00E57983"/>
    <w:rsid w:val="00E57A5D"/>
    <w:rsid w:val="00E57EA0"/>
    <w:rsid w:val="00E57F34"/>
    <w:rsid w:val="00E600DB"/>
    <w:rsid w:val="00E60BBC"/>
    <w:rsid w:val="00E60BD7"/>
    <w:rsid w:val="00E611FF"/>
    <w:rsid w:val="00E6170C"/>
    <w:rsid w:val="00E618CC"/>
    <w:rsid w:val="00E61A4A"/>
    <w:rsid w:val="00E61B10"/>
    <w:rsid w:val="00E61B96"/>
    <w:rsid w:val="00E61DC9"/>
    <w:rsid w:val="00E622D0"/>
    <w:rsid w:val="00E6277F"/>
    <w:rsid w:val="00E6291A"/>
    <w:rsid w:val="00E63D81"/>
    <w:rsid w:val="00E645C5"/>
    <w:rsid w:val="00E64CDD"/>
    <w:rsid w:val="00E6556C"/>
    <w:rsid w:val="00E65BE2"/>
    <w:rsid w:val="00E66182"/>
    <w:rsid w:val="00E66184"/>
    <w:rsid w:val="00E66480"/>
    <w:rsid w:val="00E6671D"/>
    <w:rsid w:val="00E66D06"/>
    <w:rsid w:val="00E66DA0"/>
    <w:rsid w:val="00E66E57"/>
    <w:rsid w:val="00E671C4"/>
    <w:rsid w:val="00E671D5"/>
    <w:rsid w:val="00E67E61"/>
    <w:rsid w:val="00E70063"/>
    <w:rsid w:val="00E7009D"/>
    <w:rsid w:val="00E705A6"/>
    <w:rsid w:val="00E708FD"/>
    <w:rsid w:val="00E70AE7"/>
    <w:rsid w:val="00E70D5E"/>
    <w:rsid w:val="00E71073"/>
    <w:rsid w:val="00E7107F"/>
    <w:rsid w:val="00E71A2B"/>
    <w:rsid w:val="00E72394"/>
    <w:rsid w:val="00E7442D"/>
    <w:rsid w:val="00E744E1"/>
    <w:rsid w:val="00E74ECF"/>
    <w:rsid w:val="00E75168"/>
    <w:rsid w:val="00E7589D"/>
    <w:rsid w:val="00E75C74"/>
    <w:rsid w:val="00E75D5D"/>
    <w:rsid w:val="00E75EA5"/>
    <w:rsid w:val="00E76079"/>
    <w:rsid w:val="00E7610C"/>
    <w:rsid w:val="00E76211"/>
    <w:rsid w:val="00E7639B"/>
    <w:rsid w:val="00E76563"/>
    <w:rsid w:val="00E7656E"/>
    <w:rsid w:val="00E769FE"/>
    <w:rsid w:val="00E76BBA"/>
    <w:rsid w:val="00E76BC5"/>
    <w:rsid w:val="00E77097"/>
    <w:rsid w:val="00E77391"/>
    <w:rsid w:val="00E774E3"/>
    <w:rsid w:val="00E77D56"/>
    <w:rsid w:val="00E77E66"/>
    <w:rsid w:val="00E80033"/>
    <w:rsid w:val="00E800EF"/>
    <w:rsid w:val="00E80836"/>
    <w:rsid w:val="00E80E52"/>
    <w:rsid w:val="00E80F6B"/>
    <w:rsid w:val="00E80FEF"/>
    <w:rsid w:val="00E813CE"/>
    <w:rsid w:val="00E81920"/>
    <w:rsid w:val="00E81AE9"/>
    <w:rsid w:val="00E81B16"/>
    <w:rsid w:val="00E81D41"/>
    <w:rsid w:val="00E826F0"/>
    <w:rsid w:val="00E82B7F"/>
    <w:rsid w:val="00E82D5F"/>
    <w:rsid w:val="00E82D95"/>
    <w:rsid w:val="00E82F08"/>
    <w:rsid w:val="00E83BD1"/>
    <w:rsid w:val="00E83F01"/>
    <w:rsid w:val="00E847AD"/>
    <w:rsid w:val="00E84DD4"/>
    <w:rsid w:val="00E84DF3"/>
    <w:rsid w:val="00E8562A"/>
    <w:rsid w:val="00E8578D"/>
    <w:rsid w:val="00E859A1"/>
    <w:rsid w:val="00E85C6A"/>
    <w:rsid w:val="00E85DCF"/>
    <w:rsid w:val="00E8617D"/>
    <w:rsid w:val="00E865E9"/>
    <w:rsid w:val="00E8670B"/>
    <w:rsid w:val="00E867A0"/>
    <w:rsid w:val="00E868F9"/>
    <w:rsid w:val="00E8692B"/>
    <w:rsid w:val="00E86943"/>
    <w:rsid w:val="00E86B95"/>
    <w:rsid w:val="00E87B64"/>
    <w:rsid w:val="00E87DB0"/>
    <w:rsid w:val="00E87E2A"/>
    <w:rsid w:val="00E903E1"/>
    <w:rsid w:val="00E9046E"/>
    <w:rsid w:val="00E90512"/>
    <w:rsid w:val="00E9064C"/>
    <w:rsid w:val="00E912A7"/>
    <w:rsid w:val="00E9148B"/>
    <w:rsid w:val="00E917FD"/>
    <w:rsid w:val="00E918D7"/>
    <w:rsid w:val="00E91DEF"/>
    <w:rsid w:val="00E92A3F"/>
    <w:rsid w:val="00E92CC3"/>
    <w:rsid w:val="00E92FAD"/>
    <w:rsid w:val="00E93324"/>
    <w:rsid w:val="00E939E5"/>
    <w:rsid w:val="00E93AC2"/>
    <w:rsid w:val="00E93DCF"/>
    <w:rsid w:val="00E94CF7"/>
    <w:rsid w:val="00E95687"/>
    <w:rsid w:val="00E95770"/>
    <w:rsid w:val="00E95B39"/>
    <w:rsid w:val="00E96267"/>
    <w:rsid w:val="00E96594"/>
    <w:rsid w:val="00E96691"/>
    <w:rsid w:val="00E97E81"/>
    <w:rsid w:val="00EA0191"/>
    <w:rsid w:val="00EA04CB"/>
    <w:rsid w:val="00EA05C6"/>
    <w:rsid w:val="00EA0F87"/>
    <w:rsid w:val="00EA113F"/>
    <w:rsid w:val="00EA13D6"/>
    <w:rsid w:val="00EA1BEE"/>
    <w:rsid w:val="00EA241C"/>
    <w:rsid w:val="00EA2690"/>
    <w:rsid w:val="00EA2D03"/>
    <w:rsid w:val="00EA3307"/>
    <w:rsid w:val="00EA3596"/>
    <w:rsid w:val="00EA35EC"/>
    <w:rsid w:val="00EA38D0"/>
    <w:rsid w:val="00EA3B76"/>
    <w:rsid w:val="00EA3CFA"/>
    <w:rsid w:val="00EA3EB0"/>
    <w:rsid w:val="00EA425E"/>
    <w:rsid w:val="00EA42F0"/>
    <w:rsid w:val="00EA431B"/>
    <w:rsid w:val="00EA4676"/>
    <w:rsid w:val="00EA4742"/>
    <w:rsid w:val="00EA4E88"/>
    <w:rsid w:val="00EA4E99"/>
    <w:rsid w:val="00EA4F8E"/>
    <w:rsid w:val="00EA5460"/>
    <w:rsid w:val="00EA566A"/>
    <w:rsid w:val="00EA5737"/>
    <w:rsid w:val="00EA59CA"/>
    <w:rsid w:val="00EA5C34"/>
    <w:rsid w:val="00EA63A5"/>
    <w:rsid w:val="00EA6902"/>
    <w:rsid w:val="00EA6C01"/>
    <w:rsid w:val="00EA6D4D"/>
    <w:rsid w:val="00EA6E26"/>
    <w:rsid w:val="00EA7406"/>
    <w:rsid w:val="00EA75F7"/>
    <w:rsid w:val="00EB089E"/>
    <w:rsid w:val="00EB0AC3"/>
    <w:rsid w:val="00EB0E11"/>
    <w:rsid w:val="00EB10F6"/>
    <w:rsid w:val="00EB1C65"/>
    <w:rsid w:val="00EB1DAA"/>
    <w:rsid w:val="00EB20A0"/>
    <w:rsid w:val="00EB3061"/>
    <w:rsid w:val="00EB36B7"/>
    <w:rsid w:val="00EB435F"/>
    <w:rsid w:val="00EB4696"/>
    <w:rsid w:val="00EB4907"/>
    <w:rsid w:val="00EB494D"/>
    <w:rsid w:val="00EB4B57"/>
    <w:rsid w:val="00EB51FB"/>
    <w:rsid w:val="00EB555C"/>
    <w:rsid w:val="00EB56DD"/>
    <w:rsid w:val="00EB59D5"/>
    <w:rsid w:val="00EB5A22"/>
    <w:rsid w:val="00EB5B69"/>
    <w:rsid w:val="00EB5CAB"/>
    <w:rsid w:val="00EB5D6E"/>
    <w:rsid w:val="00EB5F42"/>
    <w:rsid w:val="00EB5F52"/>
    <w:rsid w:val="00EB6AFC"/>
    <w:rsid w:val="00EB6C00"/>
    <w:rsid w:val="00EB6EFD"/>
    <w:rsid w:val="00EB73CF"/>
    <w:rsid w:val="00EB76FB"/>
    <w:rsid w:val="00EB790E"/>
    <w:rsid w:val="00EB792F"/>
    <w:rsid w:val="00EB7D60"/>
    <w:rsid w:val="00EB7F30"/>
    <w:rsid w:val="00EC03A3"/>
    <w:rsid w:val="00EC0B5D"/>
    <w:rsid w:val="00EC0C21"/>
    <w:rsid w:val="00EC0E43"/>
    <w:rsid w:val="00EC0F24"/>
    <w:rsid w:val="00EC1148"/>
    <w:rsid w:val="00EC1484"/>
    <w:rsid w:val="00EC1B24"/>
    <w:rsid w:val="00EC1EB1"/>
    <w:rsid w:val="00EC29A1"/>
    <w:rsid w:val="00EC2FFE"/>
    <w:rsid w:val="00EC329C"/>
    <w:rsid w:val="00EC33C6"/>
    <w:rsid w:val="00EC38CF"/>
    <w:rsid w:val="00EC3C5D"/>
    <w:rsid w:val="00EC46FF"/>
    <w:rsid w:val="00EC48CD"/>
    <w:rsid w:val="00EC5A8A"/>
    <w:rsid w:val="00EC6939"/>
    <w:rsid w:val="00EC6ADD"/>
    <w:rsid w:val="00EC6EED"/>
    <w:rsid w:val="00EC7B1A"/>
    <w:rsid w:val="00EC7C36"/>
    <w:rsid w:val="00EC7ECA"/>
    <w:rsid w:val="00EC7F55"/>
    <w:rsid w:val="00ED00D2"/>
    <w:rsid w:val="00ED00FB"/>
    <w:rsid w:val="00ED011D"/>
    <w:rsid w:val="00ED0372"/>
    <w:rsid w:val="00ED0B57"/>
    <w:rsid w:val="00ED11A6"/>
    <w:rsid w:val="00ED1529"/>
    <w:rsid w:val="00ED1A5E"/>
    <w:rsid w:val="00ED201C"/>
    <w:rsid w:val="00ED230A"/>
    <w:rsid w:val="00ED2360"/>
    <w:rsid w:val="00ED2721"/>
    <w:rsid w:val="00ED278C"/>
    <w:rsid w:val="00ED2B60"/>
    <w:rsid w:val="00ED34C0"/>
    <w:rsid w:val="00ED3A25"/>
    <w:rsid w:val="00ED3D05"/>
    <w:rsid w:val="00ED3DBE"/>
    <w:rsid w:val="00ED437D"/>
    <w:rsid w:val="00ED49A0"/>
    <w:rsid w:val="00ED4AF9"/>
    <w:rsid w:val="00ED5342"/>
    <w:rsid w:val="00ED56DE"/>
    <w:rsid w:val="00ED5747"/>
    <w:rsid w:val="00ED590A"/>
    <w:rsid w:val="00ED5950"/>
    <w:rsid w:val="00ED619A"/>
    <w:rsid w:val="00ED6F23"/>
    <w:rsid w:val="00ED71AB"/>
    <w:rsid w:val="00ED75A5"/>
    <w:rsid w:val="00ED7844"/>
    <w:rsid w:val="00ED7CA7"/>
    <w:rsid w:val="00EE028C"/>
    <w:rsid w:val="00EE036D"/>
    <w:rsid w:val="00EE0D31"/>
    <w:rsid w:val="00EE11EF"/>
    <w:rsid w:val="00EE1297"/>
    <w:rsid w:val="00EE1655"/>
    <w:rsid w:val="00EE1AC9"/>
    <w:rsid w:val="00EE228D"/>
    <w:rsid w:val="00EE2733"/>
    <w:rsid w:val="00EE28C9"/>
    <w:rsid w:val="00EE2CBF"/>
    <w:rsid w:val="00EE2E26"/>
    <w:rsid w:val="00EE34ED"/>
    <w:rsid w:val="00EE42FA"/>
    <w:rsid w:val="00EE52C5"/>
    <w:rsid w:val="00EE68DF"/>
    <w:rsid w:val="00EE6D72"/>
    <w:rsid w:val="00EE7072"/>
    <w:rsid w:val="00EE7095"/>
    <w:rsid w:val="00EE70AE"/>
    <w:rsid w:val="00EE7447"/>
    <w:rsid w:val="00EE7629"/>
    <w:rsid w:val="00EE7764"/>
    <w:rsid w:val="00EE7B21"/>
    <w:rsid w:val="00EF06A0"/>
    <w:rsid w:val="00EF087E"/>
    <w:rsid w:val="00EF1842"/>
    <w:rsid w:val="00EF1ABB"/>
    <w:rsid w:val="00EF1BFF"/>
    <w:rsid w:val="00EF232A"/>
    <w:rsid w:val="00EF2963"/>
    <w:rsid w:val="00EF30D4"/>
    <w:rsid w:val="00EF3533"/>
    <w:rsid w:val="00EF3701"/>
    <w:rsid w:val="00EF3831"/>
    <w:rsid w:val="00EF3B1E"/>
    <w:rsid w:val="00EF3C7F"/>
    <w:rsid w:val="00EF4008"/>
    <w:rsid w:val="00EF4684"/>
    <w:rsid w:val="00EF4976"/>
    <w:rsid w:val="00EF49FE"/>
    <w:rsid w:val="00EF4A2C"/>
    <w:rsid w:val="00EF511C"/>
    <w:rsid w:val="00EF5942"/>
    <w:rsid w:val="00EF5963"/>
    <w:rsid w:val="00EF59C7"/>
    <w:rsid w:val="00EF5BBE"/>
    <w:rsid w:val="00EF60B6"/>
    <w:rsid w:val="00EF68B7"/>
    <w:rsid w:val="00EF6AED"/>
    <w:rsid w:val="00EF6AF6"/>
    <w:rsid w:val="00EF7739"/>
    <w:rsid w:val="00F004C7"/>
    <w:rsid w:val="00F0094A"/>
    <w:rsid w:val="00F00CFE"/>
    <w:rsid w:val="00F00E33"/>
    <w:rsid w:val="00F01802"/>
    <w:rsid w:val="00F01E5C"/>
    <w:rsid w:val="00F01FE1"/>
    <w:rsid w:val="00F020EE"/>
    <w:rsid w:val="00F02117"/>
    <w:rsid w:val="00F02598"/>
    <w:rsid w:val="00F02604"/>
    <w:rsid w:val="00F02E43"/>
    <w:rsid w:val="00F030E3"/>
    <w:rsid w:val="00F035FC"/>
    <w:rsid w:val="00F03A4C"/>
    <w:rsid w:val="00F03AF5"/>
    <w:rsid w:val="00F03C2E"/>
    <w:rsid w:val="00F04514"/>
    <w:rsid w:val="00F04692"/>
    <w:rsid w:val="00F0475C"/>
    <w:rsid w:val="00F0508D"/>
    <w:rsid w:val="00F054BA"/>
    <w:rsid w:val="00F057CB"/>
    <w:rsid w:val="00F059BA"/>
    <w:rsid w:val="00F05B21"/>
    <w:rsid w:val="00F06743"/>
    <w:rsid w:val="00F0713D"/>
    <w:rsid w:val="00F07286"/>
    <w:rsid w:val="00F0774D"/>
    <w:rsid w:val="00F07774"/>
    <w:rsid w:val="00F10483"/>
    <w:rsid w:val="00F10748"/>
    <w:rsid w:val="00F114A9"/>
    <w:rsid w:val="00F115B7"/>
    <w:rsid w:val="00F118C4"/>
    <w:rsid w:val="00F11A13"/>
    <w:rsid w:val="00F11B41"/>
    <w:rsid w:val="00F11F1D"/>
    <w:rsid w:val="00F11F78"/>
    <w:rsid w:val="00F12430"/>
    <w:rsid w:val="00F127B0"/>
    <w:rsid w:val="00F128BD"/>
    <w:rsid w:val="00F132FE"/>
    <w:rsid w:val="00F13632"/>
    <w:rsid w:val="00F13783"/>
    <w:rsid w:val="00F14108"/>
    <w:rsid w:val="00F142E6"/>
    <w:rsid w:val="00F14B94"/>
    <w:rsid w:val="00F14DC3"/>
    <w:rsid w:val="00F15690"/>
    <w:rsid w:val="00F15AD2"/>
    <w:rsid w:val="00F15EEC"/>
    <w:rsid w:val="00F1682D"/>
    <w:rsid w:val="00F16C1A"/>
    <w:rsid w:val="00F171AA"/>
    <w:rsid w:val="00F174A6"/>
    <w:rsid w:val="00F1750C"/>
    <w:rsid w:val="00F17568"/>
    <w:rsid w:val="00F175BC"/>
    <w:rsid w:val="00F17732"/>
    <w:rsid w:val="00F17BA9"/>
    <w:rsid w:val="00F20008"/>
    <w:rsid w:val="00F2025A"/>
    <w:rsid w:val="00F202AB"/>
    <w:rsid w:val="00F20E91"/>
    <w:rsid w:val="00F20FBA"/>
    <w:rsid w:val="00F215F6"/>
    <w:rsid w:val="00F2168F"/>
    <w:rsid w:val="00F216DD"/>
    <w:rsid w:val="00F22178"/>
    <w:rsid w:val="00F22203"/>
    <w:rsid w:val="00F22706"/>
    <w:rsid w:val="00F23007"/>
    <w:rsid w:val="00F2340B"/>
    <w:rsid w:val="00F2356E"/>
    <w:rsid w:val="00F23926"/>
    <w:rsid w:val="00F24338"/>
    <w:rsid w:val="00F24FB9"/>
    <w:rsid w:val="00F2545E"/>
    <w:rsid w:val="00F25609"/>
    <w:rsid w:val="00F2589D"/>
    <w:rsid w:val="00F25A9C"/>
    <w:rsid w:val="00F25FF0"/>
    <w:rsid w:val="00F261FF"/>
    <w:rsid w:val="00F26F3E"/>
    <w:rsid w:val="00F27069"/>
    <w:rsid w:val="00F270F1"/>
    <w:rsid w:val="00F274EE"/>
    <w:rsid w:val="00F27B35"/>
    <w:rsid w:val="00F27E5A"/>
    <w:rsid w:val="00F27FA5"/>
    <w:rsid w:val="00F3021D"/>
    <w:rsid w:val="00F30647"/>
    <w:rsid w:val="00F30723"/>
    <w:rsid w:val="00F3090F"/>
    <w:rsid w:val="00F30D53"/>
    <w:rsid w:val="00F31DCA"/>
    <w:rsid w:val="00F323B3"/>
    <w:rsid w:val="00F327A9"/>
    <w:rsid w:val="00F328A4"/>
    <w:rsid w:val="00F32929"/>
    <w:rsid w:val="00F32A79"/>
    <w:rsid w:val="00F32ACF"/>
    <w:rsid w:val="00F32FFE"/>
    <w:rsid w:val="00F3328F"/>
    <w:rsid w:val="00F336D6"/>
    <w:rsid w:val="00F33782"/>
    <w:rsid w:val="00F339CE"/>
    <w:rsid w:val="00F342DF"/>
    <w:rsid w:val="00F34433"/>
    <w:rsid w:val="00F346C2"/>
    <w:rsid w:val="00F346D4"/>
    <w:rsid w:val="00F34DFF"/>
    <w:rsid w:val="00F353EC"/>
    <w:rsid w:val="00F35B27"/>
    <w:rsid w:val="00F36146"/>
    <w:rsid w:val="00F366D8"/>
    <w:rsid w:val="00F36A6D"/>
    <w:rsid w:val="00F36B50"/>
    <w:rsid w:val="00F36BDA"/>
    <w:rsid w:val="00F36E83"/>
    <w:rsid w:val="00F3712E"/>
    <w:rsid w:val="00F372B7"/>
    <w:rsid w:val="00F37B3D"/>
    <w:rsid w:val="00F37C7F"/>
    <w:rsid w:val="00F4022E"/>
    <w:rsid w:val="00F40359"/>
    <w:rsid w:val="00F40802"/>
    <w:rsid w:val="00F40960"/>
    <w:rsid w:val="00F40DCC"/>
    <w:rsid w:val="00F4101D"/>
    <w:rsid w:val="00F41924"/>
    <w:rsid w:val="00F4193E"/>
    <w:rsid w:val="00F420DC"/>
    <w:rsid w:val="00F42419"/>
    <w:rsid w:val="00F4278F"/>
    <w:rsid w:val="00F429C8"/>
    <w:rsid w:val="00F42C5A"/>
    <w:rsid w:val="00F439A8"/>
    <w:rsid w:val="00F43BCD"/>
    <w:rsid w:val="00F43E3D"/>
    <w:rsid w:val="00F44360"/>
    <w:rsid w:val="00F449EB"/>
    <w:rsid w:val="00F44CC5"/>
    <w:rsid w:val="00F4558E"/>
    <w:rsid w:val="00F45D23"/>
    <w:rsid w:val="00F45EEB"/>
    <w:rsid w:val="00F46469"/>
    <w:rsid w:val="00F46591"/>
    <w:rsid w:val="00F46598"/>
    <w:rsid w:val="00F46641"/>
    <w:rsid w:val="00F46791"/>
    <w:rsid w:val="00F46874"/>
    <w:rsid w:val="00F46CE9"/>
    <w:rsid w:val="00F4768D"/>
    <w:rsid w:val="00F47AA3"/>
    <w:rsid w:val="00F47F30"/>
    <w:rsid w:val="00F50325"/>
    <w:rsid w:val="00F5041E"/>
    <w:rsid w:val="00F5053D"/>
    <w:rsid w:val="00F5063A"/>
    <w:rsid w:val="00F50AA3"/>
    <w:rsid w:val="00F50BBF"/>
    <w:rsid w:val="00F50BD6"/>
    <w:rsid w:val="00F50C17"/>
    <w:rsid w:val="00F50E58"/>
    <w:rsid w:val="00F50FDF"/>
    <w:rsid w:val="00F51194"/>
    <w:rsid w:val="00F518AB"/>
    <w:rsid w:val="00F51D42"/>
    <w:rsid w:val="00F51FF2"/>
    <w:rsid w:val="00F522D9"/>
    <w:rsid w:val="00F5237B"/>
    <w:rsid w:val="00F52883"/>
    <w:rsid w:val="00F52AF3"/>
    <w:rsid w:val="00F52EAA"/>
    <w:rsid w:val="00F533EE"/>
    <w:rsid w:val="00F536AF"/>
    <w:rsid w:val="00F53818"/>
    <w:rsid w:val="00F53BCA"/>
    <w:rsid w:val="00F53DCA"/>
    <w:rsid w:val="00F542C8"/>
    <w:rsid w:val="00F54311"/>
    <w:rsid w:val="00F543B8"/>
    <w:rsid w:val="00F54932"/>
    <w:rsid w:val="00F54C05"/>
    <w:rsid w:val="00F55A65"/>
    <w:rsid w:val="00F55A6A"/>
    <w:rsid w:val="00F56544"/>
    <w:rsid w:val="00F5689C"/>
    <w:rsid w:val="00F56F1E"/>
    <w:rsid w:val="00F574C3"/>
    <w:rsid w:val="00F579D2"/>
    <w:rsid w:val="00F57DA2"/>
    <w:rsid w:val="00F57F33"/>
    <w:rsid w:val="00F6007A"/>
    <w:rsid w:val="00F6031B"/>
    <w:rsid w:val="00F60600"/>
    <w:rsid w:val="00F6084D"/>
    <w:rsid w:val="00F60DA1"/>
    <w:rsid w:val="00F611B8"/>
    <w:rsid w:val="00F61E09"/>
    <w:rsid w:val="00F62166"/>
    <w:rsid w:val="00F62433"/>
    <w:rsid w:val="00F625BB"/>
    <w:rsid w:val="00F6290A"/>
    <w:rsid w:val="00F62AA2"/>
    <w:rsid w:val="00F62D17"/>
    <w:rsid w:val="00F62E17"/>
    <w:rsid w:val="00F63008"/>
    <w:rsid w:val="00F630F1"/>
    <w:rsid w:val="00F6346C"/>
    <w:rsid w:val="00F63816"/>
    <w:rsid w:val="00F64135"/>
    <w:rsid w:val="00F645EF"/>
    <w:rsid w:val="00F6494B"/>
    <w:rsid w:val="00F64B40"/>
    <w:rsid w:val="00F64CBA"/>
    <w:rsid w:val="00F6583D"/>
    <w:rsid w:val="00F65A3C"/>
    <w:rsid w:val="00F65C12"/>
    <w:rsid w:val="00F65E00"/>
    <w:rsid w:val="00F6640E"/>
    <w:rsid w:val="00F66486"/>
    <w:rsid w:val="00F66878"/>
    <w:rsid w:val="00F670B9"/>
    <w:rsid w:val="00F67196"/>
    <w:rsid w:val="00F67247"/>
    <w:rsid w:val="00F672D9"/>
    <w:rsid w:val="00F67601"/>
    <w:rsid w:val="00F6770C"/>
    <w:rsid w:val="00F679DE"/>
    <w:rsid w:val="00F67CE2"/>
    <w:rsid w:val="00F70055"/>
    <w:rsid w:val="00F70156"/>
    <w:rsid w:val="00F7086C"/>
    <w:rsid w:val="00F708E7"/>
    <w:rsid w:val="00F70E17"/>
    <w:rsid w:val="00F71468"/>
    <w:rsid w:val="00F71E6D"/>
    <w:rsid w:val="00F722F6"/>
    <w:rsid w:val="00F72871"/>
    <w:rsid w:val="00F72D39"/>
    <w:rsid w:val="00F73188"/>
    <w:rsid w:val="00F74188"/>
    <w:rsid w:val="00F742AB"/>
    <w:rsid w:val="00F75094"/>
    <w:rsid w:val="00F756C8"/>
    <w:rsid w:val="00F7592A"/>
    <w:rsid w:val="00F75D45"/>
    <w:rsid w:val="00F764B5"/>
    <w:rsid w:val="00F764F1"/>
    <w:rsid w:val="00F76596"/>
    <w:rsid w:val="00F7665D"/>
    <w:rsid w:val="00F76974"/>
    <w:rsid w:val="00F76CB9"/>
    <w:rsid w:val="00F77263"/>
    <w:rsid w:val="00F77302"/>
    <w:rsid w:val="00F774E3"/>
    <w:rsid w:val="00F775F5"/>
    <w:rsid w:val="00F777FE"/>
    <w:rsid w:val="00F77842"/>
    <w:rsid w:val="00F779A2"/>
    <w:rsid w:val="00F77BA6"/>
    <w:rsid w:val="00F77E66"/>
    <w:rsid w:val="00F80262"/>
    <w:rsid w:val="00F80411"/>
    <w:rsid w:val="00F805F7"/>
    <w:rsid w:val="00F80998"/>
    <w:rsid w:val="00F80C0E"/>
    <w:rsid w:val="00F80C88"/>
    <w:rsid w:val="00F80FAB"/>
    <w:rsid w:val="00F810A8"/>
    <w:rsid w:val="00F819A7"/>
    <w:rsid w:val="00F81AE6"/>
    <w:rsid w:val="00F81C6F"/>
    <w:rsid w:val="00F81CDF"/>
    <w:rsid w:val="00F8230F"/>
    <w:rsid w:val="00F827A3"/>
    <w:rsid w:val="00F827EA"/>
    <w:rsid w:val="00F82DBF"/>
    <w:rsid w:val="00F83A03"/>
    <w:rsid w:val="00F83D87"/>
    <w:rsid w:val="00F84220"/>
    <w:rsid w:val="00F8435E"/>
    <w:rsid w:val="00F84E02"/>
    <w:rsid w:val="00F85000"/>
    <w:rsid w:val="00F854B5"/>
    <w:rsid w:val="00F856B1"/>
    <w:rsid w:val="00F858B6"/>
    <w:rsid w:val="00F85D0B"/>
    <w:rsid w:val="00F85D1E"/>
    <w:rsid w:val="00F85E94"/>
    <w:rsid w:val="00F8652D"/>
    <w:rsid w:val="00F867B0"/>
    <w:rsid w:val="00F86DCD"/>
    <w:rsid w:val="00F870BB"/>
    <w:rsid w:val="00F871E9"/>
    <w:rsid w:val="00F875AA"/>
    <w:rsid w:val="00F879A3"/>
    <w:rsid w:val="00F904A2"/>
    <w:rsid w:val="00F90574"/>
    <w:rsid w:val="00F90681"/>
    <w:rsid w:val="00F90703"/>
    <w:rsid w:val="00F9093F"/>
    <w:rsid w:val="00F90F2D"/>
    <w:rsid w:val="00F9110F"/>
    <w:rsid w:val="00F9127D"/>
    <w:rsid w:val="00F91AB6"/>
    <w:rsid w:val="00F91F0A"/>
    <w:rsid w:val="00F92314"/>
    <w:rsid w:val="00F926E4"/>
    <w:rsid w:val="00F9331D"/>
    <w:rsid w:val="00F935E2"/>
    <w:rsid w:val="00F93F5D"/>
    <w:rsid w:val="00F941C0"/>
    <w:rsid w:val="00F94270"/>
    <w:rsid w:val="00F942E1"/>
    <w:rsid w:val="00F94877"/>
    <w:rsid w:val="00F9489D"/>
    <w:rsid w:val="00F94A49"/>
    <w:rsid w:val="00F951F7"/>
    <w:rsid w:val="00F955B1"/>
    <w:rsid w:val="00F95CE3"/>
    <w:rsid w:val="00F95D3F"/>
    <w:rsid w:val="00F95E3B"/>
    <w:rsid w:val="00F974E2"/>
    <w:rsid w:val="00F97556"/>
    <w:rsid w:val="00F97897"/>
    <w:rsid w:val="00F97A82"/>
    <w:rsid w:val="00F97B3B"/>
    <w:rsid w:val="00F97B4F"/>
    <w:rsid w:val="00F97DB5"/>
    <w:rsid w:val="00FA013D"/>
    <w:rsid w:val="00FA0754"/>
    <w:rsid w:val="00FA0BFD"/>
    <w:rsid w:val="00FA0D27"/>
    <w:rsid w:val="00FA0E33"/>
    <w:rsid w:val="00FA0F97"/>
    <w:rsid w:val="00FA10ED"/>
    <w:rsid w:val="00FA13D6"/>
    <w:rsid w:val="00FA14E1"/>
    <w:rsid w:val="00FA161B"/>
    <w:rsid w:val="00FA1EC5"/>
    <w:rsid w:val="00FA2082"/>
    <w:rsid w:val="00FA22B8"/>
    <w:rsid w:val="00FA24A7"/>
    <w:rsid w:val="00FA26A0"/>
    <w:rsid w:val="00FA30E7"/>
    <w:rsid w:val="00FA3A04"/>
    <w:rsid w:val="00FA4A1E"/>
    <w:rsid w:val="00FA4DD1"/>
    <w:rsid w:val="00FA559B"/>
    <w:rsid w:val="00FA5638"/>
    <w:rsid w:val="00FA6330"/>
    <w:rsid w:val="00FA6359"/>
    <w:rsid w:val="00FA6701"/>
    <w:rsid w:val="00FA6828"/>
    <w:rsid w:val="00FA68D0"/>
    <w:rsid w:val="00FA6996"/>
    <w:rsid w:val="00FA6FBF"/>
    <w:rsid w:val="00FA70CB"/>
    <w:rsid w:val="00FA7130"/>
    <w:rsid w:val="00FA721F"/>
    <w:rsid w:val="00FA7592"/>
    <w:rsid w:val="00FA7C43"/>
    <w:rsid w:val="00FB0355"/>
    <w:rsid w:val="00FB0A2A"/>
    <w:rsid w:val="00FB0B31"/>
    <w:rsid w:val="00FB0CC4"/>
    <w:rsid w:val="00FB0CC7"/>
    <w:rsid w:val="00FB1159"/>
    <w:rsid w:val="00FB116D"/>
    <w:rsid w:val="00FB2111"/>
    <w:rsid w:val="00FB231E"/>
    <w:rsid w:val="00FB2AB7"/>
    <w:rsid w:val="00FB2C38"/>
    <w:rsid w:val="00FB2C52"/>
    <w:rsid w:val="00FB2CCC"/>
    <w:rsid w:val="00FB3185"/>
    <w:rsid w:val="00FB38A8"/>
    <w:rsid w:val="00FB390B"/>
    <w:rsid w:val="00FB3944"/>
    <w:rsid w:val="00FB39ED"/>
    <w:rsid w:val="00FB3B49"/>
    <w:rsid w:val="00FB3F07"/>
    <w:rsid w:val="00FB436A"/>
    <w:rsid w:val="00FB4AB1"/>
    <w:rsid w:val="00FB5090"/>
    <w:rsid w:val="00FB51BA"/>
    <w:rsid w:val="00FB569C"/>
    <w:rsid w:val="00FB59AF"/>
    <w:rsid w:val="00FB59BC"/>
    <w:rsid w:val="00FB65A5"/>
    <w:rsid w:val="00FB6A89"/>
    <w:rsid w:val="00FB6FF6"/>
    <w:rsid w:val="00FB722A"/>
    <w:rsid w:val="00FB7CBD"/>
    <w:rsid w:val="00FC017E"/>
    <w:rsid w:val="00FC02AB"/>
    <w:rsid w:val="00FC0356"/>
    <w:rsid w:val="00FC0EAF"/>
    <w:rsid w:val="00FC110B"/>
    <w:rsid w:val="00FC1695"/>
    <w:rsid w:val="00FC16EE"/>
    <w:rsid w:val="00FC1945"/>
    <w:rsid w:val="00FC2B6B"/>
    <w:rsid w:val="00FC2CB1"/>
    <w:rsid w:val="00FC36F1"/>
    <w:rsid w:val="00FC3F1D"/>
    <w:rsid w:val="00FC43C9"/>
    <w:rsid w:val="00FC45F5"/>
    <w:rsid w:val="00FC460A"/>
    <w:rsid w:val="00FC4769"/>
    <w:rsid w:val="00FC4867"/>
    <w:rsid w:val="00FC57BA"/>
    <w:rsid w:val="00FC582D"/>
    <w:rsid w:val="00FC59D9"/>
    <w:rsid w:val="00FC6B0D"/>
    <w:rsid w:val="00FC6CB0"/>
    <w:rsid w:val="00FC705C"/>
    <w:rsid w:val="00FC70EF"/>
    <w:rsid w:val="00FC7BCA"/>
    <w:rsid w:val="00FC7D63"/>
    <w:rsid w:val="00FC7EDB"/>
    <w:rsid w:val="00FD0468"/>
    <w:rsid w:val="00FD0B01"/>
    <w:rsid w:val="00FD127E"/>
    <w:rsid w:val="00FD196F"/>
    <w:rsid w:val="00FD1CAF"/>
    <w:rsid w:val="00FD1D03"/>
    <w:rsid w:val="00FD21AE"/>
    <w:rsid w:val="00FD239D"/>
    <w:rsid w:val="00FD23F0"/>
    <w:rsid w:val="00FD2793"/>
    <w:rsid w:val="00FD2804"/>
    <w:rsid w:val="00FD286F"/>
    <w:rsid w:val="00FD28DE"/>
    <w:rsid w:val="00FD2E06"/>
    <w:rsid w:val="00FD2FBB"/>
    <w:rsid w:val="00FD31BC"/>
    <w:rsid w:val="00FD33CB"/>
    <w:rsid w:val="00FD33D4"/>
    <w:rsid w:val="00FD342A"/>
    <w:rsid w:val="00FD3493"/>
    <w:rsid w:val="00FD34F3"/>
    <w:rsid w:val="00FD42C6"/>
    <w:rsid w:val="00FD4381"/>
    <w:rsid w:val="00FD463D"/>
    <w:rsid w:val="00FD4FBF"/>
    <w:rsid w:val="00FD4FFD"/>
    <w:rsid w:val="00FD5272"/>
    <w:rsid w:val="00FD53EC"/>
    <w:rsid w:val="00FD5FC0"/>
    <w:rsid w:val="00FD6290"/>
    <w:rsid w:val="00FD645F"/>
    <w:rsid w:val="00FD655F"/>
    <w:rsid w:val="00FD6CBD"/>
    <w:rsid w:val="00FD72F1"/>
    <w:rsid w:val="00FD75FA"/>
    <w:rsid w:val="00FD78AF"/>
    <w:rsid w:val="00FE0001"/>
    <w:rsid w:val="00FE0300"/>
    <w:rsid w:val="00FE0444"/>
    <w:rsid w:val="00FE061C"/>
    <w:rsid w:val="00FE076F"/>
    <w:rsid w:val="00FE0C2B"/>
    <w:rsid w:val="00FE0C68"/>
    <w:rsid w:val="00FE0D03"/>
    <w:rsid w:val="00FE0D92"/>
    <w:rsid w:val="00FE11D7"/>
    <w:rsid w:val="00FE14A9"/>
    <w:rsid w:val="00FE1991"/>
    <w:rsid w:val="00FE1A9C"/>
    <w:rsid w:val="00FE1E3F"/>
    <w:rsid w:val="00FE1F44"/>
    <w:rsid w:val="00FE2091"/>
    <w:rsid w:val="00FE20E1"/>
    <w:rsid w:val="00FE233C"/>
    <w:rsid w:val="00FE2593"/>
    <w:rsid w:val="00FE26C0"/>
    <w:rsid w:val="00FE2A8D"/>
    <w:rsid w:val="00FE2BDD"/>
    <w:rsid w:val="00FE3021"/>
    <w:rsid w:val="00FE34D0"/>
    <w:rsid w:val="00FE36A6"/>
    <w:rsid w:val="00FE3732"/>
    <w:rsid w:val="00FE38EC"/>
    <w:rsid w:val="00FE38F0"/>
    <w:rsid w:val="00FE3E18"/>
    <w:rsid w:val="00FE3F91"/>
    <w:rsid w:val="00FE430A"/>
    <w:rsid w:val="00FE43C9"/>
    <w:rsid w:val="00FE52F0"/>
    <w:rsid w:val="00FE5613"/>
    <w:rsid w:val="00FE5783"/>
    <w:rsid w:val="00FE58B6"/>
    <w:rsid w:val="00FE58F7"/>
    <w:rsid w:val="00FE5B8B"/>
    <w:rsid w:val="00FE5DC8"/>
    <w:rsid w:val="00FE6141"/>
    <w:rsid w:val="00FE6492"/>
    <w:rsid w:val="00FE649B"/>
    <w:rsid w:val="00FE6784"/>
    <w:rsid w:val="00FE6E50"/>
    <w:rsid w:val="00FE6EEB"/>
    <w:rsid w:val="00FE7305"/>
    <w:rsid w:val="00FE7511"/>
    <w:rsid w:val="00FE7B83"/>
    <w:rsid w:val="00FE7E8B"/>
    <w:rsid w:val="00FF05F7"/>
    <w:rsid w:val="00FF08EF"/>
    <w:rsid w:val="00FF1094"/>
    <w:rsid w:val="00FF1269"/>
    <w:rsid w:val="00FF137C"/>
    <w:rsid w:val="00FF1AB1"/>
    <w:rsid w:val="00FF1D66"/>
    <w:rsid w:val="00FF2402"/>
    <w:rsid w:val="00FF263F"/>
    <w:rsid w:val="00FF2940"/>
    <w:rsid w:val="00FF3261"/>
    <w:rsid w:val="00FF371E"/>
    <w:rsid w:val="00FF3B01"/>
    <w:rsid w:val="00FF4262"/>
    <w:rsid w:val="00FF4436"/>
    <w:rsid w:val="00FF45DA"/>
    <w:rsid w:val="00FF4B75"/>
    <w:rsid w:val="00FF53C4"/>
    <w:rsid w:val="00FF5C11"/>
    <w:rsid w:val="00FF6643"/>
    <w:rsid w:val="00FF6C36"/>
    <w:rsid w:val="00FF6E26"/>
    <w:rsid w:val="00FF6E76"/>
    <w:rsid w:val="00FF6ED0"/>
    <w:rsid w:val="00FF723A"/>
    <w:rsid w:val="00FF73B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8d0,#008eb0,#1492e8,#1287d6,#117dc7,#c2e3fa"/>
    </o:shapedefaults>
    <o:shapelayout v:ext="edit">
      <o:idmap v:ext="edit" data="2"/>
    </o:shapelayout>
  </w:shapeDefaults>
  <w:decimalSymbol w:val="."/>
  <w:listSeparator w:val=","/>
  <w14:docId w14:val="784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8"/>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8"/>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8"/>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8"/>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character" w:customStyle="1" w:styleId="MIRHeading1Char">
    <w:name w:val="MIR Heading 1 Char"/>
    <w:basedOn w:val="Heading1nonumberChar"/>
    <w:rsid w:val="00AE7D11"/>
    <w:rPr>
      <w:rFonts w:ascii="Arial" w:hAnsi="Arial" w:cs="Arial"/>
      <w:b/>
      <w:kern w:val="28"/>
      <w:sz w:val="36"/>
      <w:szCs w:val="36"/>
    </w:rPr>
  </w:style>
  <w:style w:type="paragraph" w:customStyle="1" w:styleId="li-bodytextnumbered0">
    <w:name w:val="li-bodytextnumbered0"/>
    <w:basedOn w:val="Normal"/>
    <w:rsid w:val="000C1C64"/>
    <w:pPr>
      <w:spacing w:before="100" w:beforeAutospacing="1" w:after="100" w:afterAutospacing="1"/>
    </w:pPr>
    <w:rPr>
      <w:sz w:val="24"/>
      <w:szCs w:val="24"/>
    </w:rPr>
  </w:style>
  <w:style w:type="paragraph" w:customStyle="1" w:styleId="li-bodytextsubparai">
    <w:name w:val="li-bodytextsubparai"/>
    <w:basedOn w:val="Normal"/>
    <w:rsid w:val="000C1C64"/>
    <w:pPr>
      <w:spacing w:before="100" w:beforeAutospacing="1" w:after="100" w:afterAutospacing="1"/>
    </w:pPr>
    <w:rPr>
      <w:sz w:val="24"/>
      <w:szCs w:val="24"/>
    </w:rPr>
  </w:style>
  <w:style w:type="paragraph" w:customStyle="1" w:styleId="mirheading3rule0">
    <w:name w:val="mirheading3rule"/>
    <w:basedOn w:val="Normal"/>
    <w:rsid w:val="006A2FB8"/>
    <w:pPr>
      <w:spacing w:before="100" w:beforeAutospacing="1" w:after="100" w:afterAutospacing="1"/>
    </w:pPr>
    <w:rPr>
      <w:sz w:val="24"/>
      <w:szCs w:val="24"/>
    </w:rPr>
  </w:style>
  <w:style w:type="paragraph" w:customStyle="1" w:styleId="mirnote0">
    <w:name w:val="mirnote"/>
    <w:basedOn w:val="Normal"/>
    <w:rsid w:val="006A2FB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D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83053">
      <w:bodyDiv w:val="1"/>
      <w:marLeft w:val="0"/>
      <w:marRight w:val="0"/>
      <w:marTop w:val="0"/>
      <w:marBottom w:val="0"/>
      <w:divBdr>
        <w:top w:val="none" w:sz="0" w:space="0" w:color="auto"/>
        <w:left w:val="none" w:sz="0" w:space="0" w:color="auto"/>
        <w:bottom w:val="none" w:sz="0" w:space="0" w:color="auto"/>
        <w:right w:val="none" w:sz="0" w:space="0" w:color="auto"/>
      </w:divBdr>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893336">
      <w:bodyDiv w:val="1"/>
      <w:marLeft w:val="0"/>
      <w:marRight w:val="0"/>
      <w:marTop w:val="0"/>
      <w:marBottom w:val="0"/>
      <w:divBdr>
        <w:top w:val="none" w:sz="0" w:space="0" w:color="auto"/>
        <w:left w:val="none" w:sz="0" w:space="0" w:color="auto"/>
        <w:bottom w:val="none" w:sz="0" w:space="0" w:color="auto"/>
        <w:right w:val="none" w:sz="0" w:space="0" w:color="auto"/>
      </w:divBdr>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legislation.gov.a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1884093534C14F97E78FECD91E4D5E" ma:contentTypeVersion="7" ma:contentTypeDescription="Create a new document." ma:contentTypeScope="" ma:versionID="0c3b04ecf3eef79b130090765d0a11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6866825ac798522bf9433a7dd65bd0f5"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DocumentID xmlns="eb44715b-cd74-4c79-92c4-f0e9f1a86440" xsi:nil="true"/>
    <ECMSP13CreatedBy xmlns="eb44715b-cd74-4c79-92c4-f0e9f1a86440" xsi:nil="true"/>
    <ECMSP13ModifiedBy xmlns="eb44715b-cd74-4c79-92c4-f0e9f1a86440" xsi:nil="true"/>
    <DocumentNotes xmlns="db2b92ca-6ed0-4085-802d-4c686a2e8c3f" xsi:nil="true"/>
    <NAPReason xmlns="db2b92ca-6ed0-4085-802d-4c686a2e8c3f" xsi:nil="true"/>
    <ECMSP13SecurityClassification xmlns="eb44715b-cd74-4c79-92c4-f0e9f1a86440" xsi:nil="true"/>
    <_dlc_DocId xmlns="eb44715b-cd74-4c79-92c4-f0e9f1a86440">001055-1122178031-2233</_dlc_DocId>
    <_dlc_DocIdUrl xmlns="eb44715b-cd74-4c79-92c4-f0e9f1a86440">
      <Url>https://asiclink.sharepoint.com/teams/001055/_layouts/15/DocIdRedir.aspx?ID=001055-1122178031-2233</Url>
      <Description>001055-1122178031-2233</Description>
    </_dlc_DocIdUrl>
    <TaxCatchAll xmlns="db2b92ca-6ed0-4085-802d-4c686a2e8c3f">
      <Value>1</Value>
    </TaxCatchAl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af302855-5de3-48f9-83c2-fc1acc0f760b" ContentTypeId="0x010100B5F685A1365F544391EF8C813B164F3A"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3BFC-6BFE-4279-B8A1-E89CDE51C99E}">
  <ds:schemaRefs>
    <ds:schemaRef ds:uri="http://schemas.openxmlformats.org/officeDocument/2006/bibliography"/>
  </ds:schemaRefs>
</ds:datastoreItem>
</file>

<file path=customXml/itemProps2.xml><?xml version="1.0" encoding="utf-8"?>
<ds:datastoreItem xmlns:ds="http://schemas.openxmlformats.org/officeDocument/2006/customXml" ds:itemID="{7E8C6A37-5B54-4B1B-8677-E46C16B60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5D337-CAE0-4D42-90E6-786661F1F9B6}">
  <ds:schemaRefs>
    <ds:schemaRef ds:uri="http://schemas.openxmlformats.org/officeDocument/2006/bibliography"/>
  </ds:schemaRefs>
</ds:datastoreItem>
</file>

<file path=customXml/itemProps4.xml><?xml version="1.0" encoding="utf-8"?>
<ds:datastoreItem xmlns:ds="http://schemas.openxmlformats.org/officeDocument/2006/customXml" ds:itemID="{51B16451-299E-4993-A697-981FECC49DCC}">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5.xml><?xml version="1.0" encoding="utf-8"?>
<ds:datastoreItem xmlns:ds="http://schemas.openxmlformats.org/officeDocument/2006/customXml" ds:itemID="{AB2D3F6C-1FCE-4F5F-8BD8-87F76E9B3C02}">
  <ds:schemaRefs>
    <ds:schemaRef ds:uri="http://schemas.microsoft.com/sharepoint/events"/>
  </ds:schemaRefs>
</ds:datastoreItem>
</file>

<file path=customXml/itemProps6.xml><?xml version="1.0" encoding="utf-8"?>
<ds:datastoreItem xmlns:ds="http://schemas.openxmlformats.org/officeDocument/2006/customXml" ds:itemID="{D55790C2-25CA-4173-9B5B-125B26086CB4}">
  <ds:schemaRefs>
    <ds:schemaRef ds:uri="http://schemas.microsoft.com/sharepoint/v3/contenttype/forms"/>
  </ds:schemaRefs>
</ds:datastoreItem>
</file>

<file path=customXml/itemProps7.xml><?xml version="1.0" encoding="utf-8"?>
<ds:datastoreItem xmlns:ds="http://schemas.openxmlformats.org/officeDocument/2006/customXml" ds:itemID="{E0F5C29B-21CF-4BEB-BAFF-56FC64AAE65B}">
  <ds:schemaRefs>
    <ds:schemaRef ds:uri="http://schemas.openxmlformats.org/officeDocument/2006/bibliography"/>
  </ds:schemaRefs>
</ds:datastoreItem>
</file>

<file path=customXml/itemProps8.xml><?xml version="1.0" encoding="utf-8"?>
<ds:datastoreItem xmlns:ds="http://schemas.openxmlformats.org/officeDocument/2006/customXml" ds:itemID="{A7C66B60-DB48-4FFD-A281-C37F621D88A1}">
  <ds:schemaRefs>
    <ds:schemaRef ds:uri="Microsoft.SharePoint.Taxonomy.ContentTypeSync"/>
  </ds:schemaRefs>
</ds:datastoreItem>
</file>

<file path=customXml/itemProps9.xml><?xml version="1.0" encoding="utf-8"?>
<ds:datastoreItem xmlns:ds="http://schemas.openxmlformats.org/officeDocument/2006/customXml" ds:itemID="{576C0205-FEF7-49C9-A049-8A184E66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15046</Words>
  <Characters>80820</Characters>
  <Application>Microsoft Office Word</Application>
  <DocSecurity>0</DocSecurity>
  <Lines>673</Lines>
  <Paragraphs>191</Paragraphs>
  <ScaleCrop>false</ScaleCrop>
  <Company/>
  <LinksUpToDate>false</LinksUpToDate>
  <CharactersWithSpaces>95675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2022-12-11T21:40:00Z</dcterms:created>
  <dcterms:modified xsi:type="dcterms:W3CDTF">2022-12-16T04:27:00Z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num">
    <vt:lpwstr>000</vt:lpwstr>
  </property>
  <property fmtid="{D5CDD505-2E9C-101B-9397-08002B2CF9AE}" pid="4" name="Objective-VersionNumber">
    <vt:i4>2</vt:i4>
  </property>
  <property fmtid="{D5CDD505-2E9C-101B-9397-08002B2CF9AE}" pid="5" name="Objective-Path">
    <vt:lpwstr>Kathleen Cuneo:Special Folder - Kathleen Cuneo:FMI:OTC Derivatives:</vt:lpwstr>
  </property>
  <property fmtid="{D5CDD505-2E9C-101B-9397-08002B2CF9AE}" pid="6" name="Objective-Caveats">
    <vt:lpwstr>
    </vt:lpwstr>
  </property>
  <property fmtid="{D5CDD505-2E9C-101B-9397-08002B2CF9AE}" pid="7" name="RecordPoint_RecordNumberSubmitted">
    <vt:lpwstr>R20220000982813</vt:lpwstr>
  </property>
  <property fmtid="{D5CDD505-2E9C-101B-9397-08002B2CF9AE}" pid="8" name="Objective-CreationStamp">
    <vt:filetime>2015-03-16T04:44:28Z</vt:filetime>
  </property>
  <property fmtid="{D5CDD505-2E9C-101B-9397-08002B2CF9AE}" pid="9" name="Objective-Owner">
    <vt:lpwstr>Kathleen Cuneo</vt:lpwstr>
  </property>
  <property fmtid="{D5CDD505-2E9C-101B-9397-08002B2CF9AE}" pid="10" name="Objective-State">
    <vt:lpwstr>Being Drafted</vt:lpwstr>
  </property>
  <property fmtid="{D5CDD505-2E9C-101B-9397-08002B2CF9AE}" pid="11" name="Issue date">
    <vt:lpwstr>June 2013</vt:lpwstr>
  </property>
  <property fmtid="{D5CDD505-2E9C-101B-9397-08002B2CF9AE}" pid="12" name="Source file type">
    <vt:lpwstr>RR</vt:lpwstr>
  </property>
  <property fmtid="{D5CDD505-2E9C-101B-9397-08002B2CF9AE}" pid="13" name="ContentTypeId">
    <vt:lpwstr>0x010100B5F685A1365F544391EF8C813B164F3A006A0666AD55E74A4AA7B2AAEA6C351A6000421884093534C14F97E78FECD91E4D5E</vt:lpwstr>
  </property>
  <property fmtid="{D5CDD505-2E9C-101B-9397-08002B2CF9AE}" pid="14" name="Objective-Parent">
    <vt:lpwstr>OTC Derivatives</vt:lpwstr>
  </property>
  <property fmtid="{D5CDD505-2E9C-101B-9397-08002B2CF9AE}" pid="15" name="SecurityClassification">
    <vt:lpwstr>1;#OFFICIAL - Sensitive|6eccc17f-024b-41b0-b6b1-faf98d2aff85</vt:lpwstr>
  </property>
  <property fmtid="{D5CDD505-2E9C-101B-9397-08002B2CF9AE}" pid="16" name="RecordPoint_ActiveItemWebId">
    <vt:lpwstr>{e3c121ce-93ad-4322-8dbe-6959e0a586ce}</vt:lpwstr>
  </property>
  <property fmtid="{D5CDD505-2E9C-101B-9397-08002B2CF9AE}" pid="17" name="Objective-DatePublished">
    <vt:lpwstr>
    </vt:lpwstr>
  </property>
  <property fmtid="{D5CDD505-2E9C-101B-9397-08002B2CF9AE}" pid="18" name="Objective-Version">
    <vt:lpwstr>0.2</vt:lpwstr>
  </property>
  <property fmtid="{D5CDD505-2E9C-101B-9397-08002B2CF9AE}" pid="19" name="Objective-FileNumber">
    <vt:lpwstr>
    </vt:lpwstr>
  </property>
  <property fmtid="{D5CDD505-2E9C-101B-9397-08002B2CF9AE}" pid="20" name="Objective-ModificationStamp">
    <vt:filetime>2015-03-16T04:44:34Z</vt:filetime>
  </property>
  <property fmtid="{D5CDD505-2E9C-101B-9397-08002B2CF9AE}" pid="21" name="Objective-VersionComment">
    <vt:lpwstr>Version 2</vt:lpwstr>
  </property>
  <property fmtid="{D5CDD505-2E9C-101B-9397-08002B2CF9AE}" pid="22" name="Objective-Category [system]">
    <vt:lpwstr>
    </vt:lpwstr>
  </property>
  <property fmtid="{D5CDD505-2E9C-101B-9397-08002B2CF9AE}" pid="23" name="RecordPoint_WorkflowType">
    <vt:lpwstr>ActiveSubmitStub</vt:lpwstr>
  </property>
  <property fmtid="{D5CDD505-2E9C-101B-9397-08002B2CF9AE}" pid="24" name="Document title">
    <vt:lpwstr>ASIC Derivative Transaction Rules (Reporting) 2013</vt:lpwstr>
  </property>
  <property fmtid="{D5CDD505-2E9C-101B-9397-08002B2CF9AE}" pid="25" name="Objective-Id">
    <vt:lpwstr>A4425825</vt:lpwstr>
  </property>
  <property fmtid="{D5CDD505-2E9C-101B-9397-08002B2CF9AE}" pid="26" name="Objective-Comment">
    <vt:lpwstr>
    </vt:lpwstr>
  </property>
  <property fmtid="{D5CDD505-2E9C-101B-9397-08002B2CF9AE}" pid="27" name="Objective-Title">
    <vt:lpwstr>OTC Rules compiled  March 2015 marked up for AG</vt:lpwstr>
  </property>
  <property fmtid="{D5CDD505-2E9C-101B-9397-08002B2CF9AE}" pid="28" name="RecordPoint_ActiveItemSiteId">
    <vt:lpwstr>{0b958f2c-90d4-403d-8438-83e392e48011}</vt:lpwstr>
  </property>
  <property fmtid="{D5CDD505-2E9C-101B-9397-08002B2CF9AE}" pid="29" name="Document type">
    <vt:lpwstr>REPORT</vt:lpwstr>
  </property>
  <property fmtid="{D5CDD505-2E9C-101B-9397-08002B2CF9AE}" pid="30" name="Objective-IsApproved">
    <vt:bool>false</vt:bool>
  </property>
  <property fmtid="{D5CDD505-2E9C-101B-9397-08002B2CF9AE}" pid="31" name="Objective-IsPublished">
    <vt:bool>false</vt:bool>
  </property>
  <property fmtid="{D5CDD505-2E9C-101B-9397-08002B2CF9AE}" pid="32" name="RecordPoint_ActiveItemListId">
    <vt:lpwstr>{a81fef9e-b920-4a5b-93bb-284df61abdfb}</vt:lpwstr>
  </property>
  <property fmtid="{D5CDD505-2E9C-101B-9397-08002B2CF9AE}" pid="33" name="RecordPoint_ActiveItemUniqueId">
    <vt:lpwstr>{ad8e7f71-1de0-42ff-b50c-2aa39968dfd6}</vt:lpwstr>
  </property>
  <property fmtid="{D5CDD505-2E9C-101B-9397-08002B2CF9AE}" pid="34" name="RecordPoint_SubmissionCompleted">
    <vt:lpwstr>2022-04-04T17:21:29.0639900+10:00</vt:lpwstr>
  </property>
  <property fmtid="{D5CDD505-2E9C-101B-9397-08002B2CF9AE}" pid="35" name="RecordPoint_RecordFormat">
    <vt:lpwstr/>
  </property>
  <property fmtid="{D5CDD505-2E9C-101B-9397-08002B2CF9AE}" pid="36" name="Objective-Classification">
    <vt:lpwstr>[Inherited - IN-CONFIDENCE]</vt:lpwstr>
  </property>
  <property fmtid="{D5CDD505-2E9C-101B-9397-08002B2CF9AE}" pid="37" name="_dlc_DocIdItemGuid">
    <vt:lpwstr>09e48ca7-0ca9-4058-b5e4-7835bc768c1f</vt:lpwstr>
  </property>
  <property fmtid="{D5CDD505-2E9C-101B-9397-08002B2CF9AE}" pid="38" name="bdf3bab5a81c426f8b5cbfa0265a271c">
    <vt:lpwstr/>
  </property>
  <property fmtid="{D5CDD505-2E9C-101B-9397-08002B2CF9AE}" pid="39" name="PolicyWorkDocumentType">
    <vt:lpwstr/>
  </property>
  <property fmtid="{D5CDD505-2E9C-101B-9397-08002B2CF9AE}" pid="40" name="MSIP_Label_a6aead41-07f8-4767-ac8e-ef1c9c793766_Enabled">
    <vt:lpwstr>true</vt:lpwstr>
  </property>
  <property fmtid="{D5CDD505-2E9C-101B-9397-08002B2CF9AE}" pid="41" name="MSIP_Label_a6aead41-07f8-4767-ac8e-ef1c9c793766_SetDate">
    <vt:lpwstr>2022-10-26T02:14:22Z</vt:lpwstr>
  </property>
  <property fmtid="{D5CDD505-2E9C-101B-9397-08002B2CF9AE}" pid="42" name="MSIP_Label_a6aead41-07f8-4767-ac8e-ef1c9c793766_Method">
    <vt:lpwstr>Standard</vt:lpwstr>
  </property>
  <property fmtid="{D5CDD505-2E9C-101B-9397-08002B2CF9AE}" pid="43" name="MSIP_Label_a6aead41-07f8-4767-ac8e-ef1c9c793766_Name">
    <vt:lpwstr>OFFICIAL</vt:lpwstr>
  </property>
  <property fmtid="{D5CDD505-2E9C-101B-9397-08002B2CF9AE}" pid="44" name="MSIP_Label_a6aead41-07f8-4767-ac8e-ef1c9c793766_SiteId">
    <vt:lpwstr>5f1de7c6-55cd-4bb2-902d-514c78cf10f4</vt:lpwstr>
  </property>
  <property fmtid="{D5CDD505-2E9C-101B-9397-08002B2CF9AE}" pid="45" name="MSIP_Label_a6aead41-07f8-4767-ac8e-ef1c9c793766_ActionId">
    <vt:lpwstr>5447cca1-4d37-4c46-b88d-4af8421f1d69</vt:lpwstr>
  </property>
  <property fmtid="{D5CDD505-2E9C-101B-9397-08002B2CF9AE}" pid="46" name="MSIP_Label_a6aead41-07f8-4767-ac8e-ef1c9c793766_ContentBits">
    <vt:lpwstr>0</vt:lpwstr>
  </property>
</Properties>
</file>